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22E4" w14:textId="10F16636" w:rsidR="00577D08" w:rsidRDefault="00000000">
      <w:pPr>
        <w:spacing w:beforeLines="50" w:before="120" w:afterLines="50" w:after="120"/>
        <w:rPr>
          <w:bCs/>
        </w:rPr>
      </w:pPr>
      <w:sdt>
        <w:sdtPr>
          <w:tag w:val="_PLD_1949c108a8da4292a0058e3719689765"/>
          <w:id w:val="1483731623"/>
        </w:sdtPr>
        <w:sdtContent>
          <w:r w:rsidR="00330FC0">
            <w:rPr>
              <w:rFonts w:hint="eastAsia"/>
              <w:bCs/>
            </w:rPr>
            <w:t>公司代码：</w:t>
          </w:r>
        </w:sdtContent>
      </w:sdt>
      <w:sdt>
        <w:sdtPr>
          <w:rPr>
            <w:rFonts w:hint="eastAsia"/>
            <w:bCs/>
          </w:rPr>
          <w:alias w:val="公司代码"/>
          <w:tag w:val="_GBC_704b7b03ea3f4a93b8d4655a09b2ff61"/>
          <w:id w:val="1456524163"/>
          <w:placeholder>
            <w:docPart w:val="GBC22222222222222222222222222222"/>
          </w:placeholder>
        </w:sdtPr>
        <w:sdtContent>
          <w:r w:rsidR="000970DA">
            <w:rPr>
              <w:bCs/>
            </w:rPr>
            <w:t>603191</w:t>
          </w:r>
        </w:sdtContent>
      </w:sdt>
      <w:r w:rsidR="00330FC0">
        <w:rPr>
          <w:rFonts w:hint="eastAsia"/>
          <w:bCs/>
        </w:rPr>
        <w:t xml:space="preserve">                                           </w:t>
      </w:r>
      <w:sdt>
        <w:sdtPr>
          <w:tag w:val="_PLD_fdb42a71c1cc4dc59fad3ee29e241a4f"/>
          <w:id w:val="-648901693"/>
        </w:sdtPr>
        <w:sdtContent>
          <w:r w:rsidR="00330FC0">
            <w:rPr>
              <w:rFonts w:hint="eastAsia"/>
              <w:bCs/>
            </w:rPr>
            <w:t>公司简称：</w:t>
          </w:r>
        </w:sdtContent>
      </w:sdt>
      <w:sdt>
        <w:sdtPr>
          <w:rPr>
            <w:rFonts w:hint="eastAsia"/>
            <w:bCs/>
          </w:rPr>
          <w:alias w:val="公司简称"/>
          <w:tag w:val="_GBC_0384ae715a1e4b4894a29e4d27f5bef4"/>
          <w:id w:val="472418937"/>
          <w:placeholder>
            <w:docPart w:val="GBC22222222222222222222222222222"/>
          </w:placeholder>
        </w:sdtPr>
        <w:sdtContent>
          <w:r w:rsidR="00330FC0">
            <w:rPr>
              <w:rFonts w:hint="eastAsia"/>
              <w:bCs/>
            </w:rPr>
            <w:t>望变电气</w:t>
          </w:r>
        </w:sdtContent>
      </w:sdt>
    </w:p>
    <w:p w14:paraId="6F01791D" w14:textId="77777777" w:rsidR="00577D08" w:rsidRDefault="00577D08"/>
    <w:p w14:paraId="26904A25" w14:textId="77777777" w:rsidR="00577D08" w:rsidRDefault="00577D08"/>
    <w:p w14:paraId="0879239E" w14:textId="77777777" w:rsidR="00577D08" w:rsidRDefault="00577D08"/>
    <w:p w14:paraId="2A582464" w14:textId="77777777" w:rsidR="00577D08" w:rsidRDefault="00577D08"/>
    <w:p w14:paraId="1278C874" w14:textId="77777777" w:rsidR="00577D08" w:rsidRDefault="00577D08"/>
    <w:p w14:paraId="3EAEBF7D" w14:textId="77777777" w:rsidR="00577D08" w:rsidRDefault="00577D08"/>
    <w:p w14:paraId="50F504D6" w14:textId="77777777" w:rsidR="00577D08" w:rsidRDefault="00577D08">
      <w:pPr>
        <w:rPr>
          <w:b/>
          <w:bCs/>
        </w:rPr>
      </w:pPr>
    </w:p>
    <w:p w14:paraId="62C76B31" w14:textId="77777777" w:rsidR="00577D08" w:rsidRDefault="00577D08">
      <w:pPr>
        <w:rPr>
          <w:b/>
          <w:bCs/>
        </w:rPr>
      </w:pPr>
    </w:p>
    <w:p w14:paraId="176834C2" w14:textId="77777777" w:rsidR="00577D08" w:rsidRDefault="00000000">
      <w:pPr>
        <w:jc w:val="center"/>
        <w:rPr>
          <w:rFonts w:ascii="黑体" w:eastAsia="黑体" w:hAnsi="黑体" w:hint="eastAsia"/>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543975174"/>
          <w:placeholder>
            <w:docPart w:val="GBC22222222222222222222222222222"/>
          </w:placeholder>
          <w:dataBinding w:prefixMappings="xmlns:clcid-cgi='clcid-cgi'" w:xpath="/*/clcid-cgi:GongSiFaDingZhongWenMingCheng[not(@periodRef)]" w:storeItemID="{89EBAB94-44A0-46A2-B712-30D997D04A6D}"/>
          <w:text/>
        </w:sdtPr>
        <w:sdtContent>
          <w:r w:rsidR="00330FC0">
            <w:rPr>
              <w:rFonts w:ascii="黑体" w:eastAsia="黑体" w:hAnsi="黑体" w:hint="eastAsia"/>
              <w:b/>
              <w:bCs/>
              <w:color w:val="FF0000"/>
              <w:sz w:val="44"/>
              <w:szCs w:val="44"/>
            </w:rPr>
            <w:t>重庆望变电气（集团）股份有限公司</w:t>
          </w:r>
        </w:sdtContent>
      </w:sdt>
    </w:p>
    <w:p w14:paraId="13BCB6EB" w14:textId="77777777" w:rsidR="00577D08" w:rsidRDefault="00330FC0">
      <w:pPr>
        <w:jc w:val="center"/>
        <w:rPr>
          <w:rFonts w:ascii="黑体" w:eastAsia="黑体" w:hAnsi="黑体" w:hint="eastAsia"/>
          <w:b/>
          <w:bCs/>
          <w:color w:val="FF0000"/>
          <w:sz w:val="44"/>
          <w:szCs w:val="44"/>
        </w:rPr>
      </w:pPr>
      <w:r>
        <w:rPr>
          <w:rFonts w:ascii="黑体" w:eastAsia="黑体" w:hAnsi="黑体"/>
          <w:b/>
          <w:bCs/>
          <w:color w:val="FF0000"/>
          <w:sz w:val="44"/>
          <w:szCs w:val="44"/>
        </w:rPr>
        <w:t>2025</w:t>
      </w:r>
      <w:r>
        <w:rPr>
          <w:rFonts w:ascii="黑体" w:eastAsia="黑体" w:hAnsi="黑体" w:hint="eastAsia"/>
          <w:b/>
          <w:bCs/>
          <w:color w:val="FF0000"/>
          <w:sz w:val="44"/>
          <w:szCs w:val="44"/>
        </w:rPr>
        <w:t>年年度报告</w:t>
      </w:r>
    </w:p>
    <w:p w14:paraId="49C210F0" w14:textId="77777777" w:rsidR="00577D08" w:rsidRDefault="00330FC0">
      <w:pPr>
        <w:jc w:val="center"/>
        <w:rPr>
          <w:rFonts w:ascii="黑体" w:eastAsia="黑体" w:hAnsi="黑体" w:hint="eastAsia"/>
          <w:b/>
          <w:bCs/>
          <w:color w:val="FF0000"/>
          <w:sz w:val="44"/>
          <w:szCs w:val="44"/>
        </w:rPr>
      </w:pPr>
      <w:r>
        <w:rPr>
          <w:noProof/>
        </w:rPr>
        <w:drawing>
          <wp:inline distT="0" distB="0" distL="0" distR="0" wp14:anchorId="1034A6C7" wp14:editId="4EEEDD0F">
            <wp:extent cx="5608955" cy="3691890"/>
            <wp:effectExtent l="0" t="0" r="0" b="3810"/>
            <wp:docPr id="20970464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46487"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608955" cy="3691890"/>
                    </a:xfrm>
                    <a:prstGeom prst="rect">
                      <a:avLst/>
                    </a:prstGeom>
                    <a:noFill/>
                    <a:ln>
                      <a:noFill/>
                    </a:ln>
                    <a:effectLst>
                      <a:softEdge rad="317500"/>
                    </a:effectLst>
                  </pic:spPr>
                </pic:pic>
              </a:graphicData>
            </a:graphic>
          </wp:inline>
        </w:drawing>
      </w:r>
    </w:p>
    <w:p w14:paraId="3510B08A" w14:textId="77777777" w:rsidR="00577D08" w:rsidRDefault="00577D08">
      <w:pPr>
        <w:jc w:val="center"/>
        <w:rPr>
          <w:rFonts w:ascii="黑体" w:eastAsia="黑体" w:hAnsi="黑体" w:hint="eastAsia"/>
          <w:b/>
          <w:bCs/>
          <w:color w:val="FF0000"/>
          <w:sz w:val="44"/>
          <w:szCs w:val="44"/>
        </w:rPr>
      </w:pPr>
    </w:p>
    <w:p w14:paraId="5C516071" w14:textId="77777777" w:rsidR="00577D08" w:rsidRDefault="00577D08">
      <w:pPr>
        <w:jc w:val="center"/>
        <w:rPr>
          <w:rFonts w:ascii="黑体" w:eastAsia="黑体" w:hAnsi="黑体" w:hint="eastAsia"/>
          <w:b/>
          <w:bCs/>
          <w:color w:val="FF0000"/>
          <w:sz w:val="44"/>
          <w:szCs w:val="44"/>
        </w:rPr>
      </w:pPr>
    </w:p>
    <w:p w14:paraId="38EDC5BD" w14:textId="77777777" w:rsidR="00577D08" w:rsidRDefault="00577D08"/>
    <w:p w14:paraId="14C7B2B6" w14:textId="77777777" w:rsidR="00577D08" w:rsidRDefault="00577D08">
      <w:pPr>
        <w:rPr>
          <w:rFonts w:ascii="黑体" w:eastAsia="黑体" w:hAnsi="黑体" w:hint="eastAsia"/>
          <w:b/>
          <w:bCs/>
          <w:color w:val="FF0000"/>
          <w:sz w:val="44"/>
          <w:szCs w:val="44"/>
        </w:rPr>
        <w:sectPr w:rsidR="00577D08">
          <w:headerReference w:type="default" r:id="rId13"/>
          <w:footerReference w:type="default" r:id="rId14"/>
          <w:pgSz w:w="11906" w:h="16838"/>
          <w:pgMar w:top="1525" w:right="1276" w:bottom="1440" w:left="1797" w:header="855" w:footer="992" w:gutter="0"/>
          <w:cols w:space="425"/>
          <w:docGrid w:linePitch="312"/>
        </w:sectPr>
      </w:pPr>
    </w:p>
    <w:p w14:paraId="4C1FBBCB" w14:textId="77777777" w:rsidR="00577D08" w:rsidRDefault="00330FC0">
      <w:pPr>
        <w:spacing w:before="100" w:beforeAutospacing="1" w:after="280"/>
        <w:jc w:val="center"/>
        <w:rPr>
          <w:b/>
          <w:bCs/>
          <w:sz w:val="28"/>
          <w:szCs w:val="28"/>
        </w:rPr>
      </w:pPr>
      <w:r>
        <w:rPr>
          <w:rFonts w:hint="eastAsia"/>
          <w:b/>
          <w:bCs/>
          <w:sz w:val="28"/>
          <w:szCs w:val="28"/>
        </w:rPr>
        <w:lastRenderedPageBreak/>
        <w:t>致股东</w:t>
      </w:r>
    </w:p>
    <w:p w14:paraId="7874461D" w14:textId="77777777" w:rsidR="00577D08" w:rsidRDefault="00330FC0">
      <w:pPr>
        <w:rPr>
          <w:sz w:val="18"/>
          <w:szCs w:val="18"/>
        </w:rPr>
      </w:pPr>
      <w:r>
        <w:rPr>
          <w:rFonts w:hint="eastAsia"/>
          <w:sz w:val="18"/>
          <w:szCs w:val="18"/>
        </w:rPr>
        <w:t>尊敬的各位股东：</w:t>
      </w:r>
    </w:p>
    <w:p w14:paraId="1FB2D1E7" w14:textId="77777777" w:rsidR="00577D08" w:rsidRDefault="00577D08">
      <w:pPr>
        <w:rPr>
          <w:sz w:val="18"/>
          <w:szCs w:val="18"/>
        </w:rPr>
      </w:pPr>
    </w:p>
    <w:p w14:paraId="2A2B5F10" w14:textId="77777777" w:rsidR="00577D08" w:rsidRDefault="00330FC0">
      <w:pPr>
        <w:rPr>
          <w:sz w:val="18"/>
          <w:szCs w:val="18"/>
        </w:rPr>
      </w:pPr>
      <w:r>
        <w:rPr>
          <w:rFonts w:hint="eastAsia"/>
          <w:sz w:val="18"/>
          <w:szCs w:val="18"/>
        </w:rPr>
        <w:t>2025</w:t>
      </w:r>
      <w:r>
        <w:rPr>
          <w:rFonts w:hint="eastAsia"/>
          <w:sz w:val="18"/>
          <w:szCs w:val="18"/>
        </w:rPr>
        <w:t>，望变电气作为中国西南区域电力设备领先制造商，迎来了从成渝地区双城经济圈，到西部陆海新通道，再到共建一带一路枢纽等一系列国家赋予西部地区的、前所未有的战略机遇。望变人在此机遇下，巩固输配电及控制设备和取向硅钢主业的同时，积极进取，拥抱新能源和新科技，成功携手华为，成为华为重卡兆瓦超充生态核心伙伴，立志推动让望变成为中国新能源物流的基石，让有路的地方就有望变充电！</w:t>
      </w:r>
    </w:p>
    <w:p w14:paraId="5CEAC1FA" w14:textId="77777777" w:rsidR="00577D08" w:rsidRDefault="00577D08">
      <w:pPr>
        <w:rPr>
          <w:sz w:val="18"/>
          <w:szCs w:val="18"/>
        </w:rPr>
      </w:pPr>
    </w:p>
    <w:p w14:paraId="35207381" w14:textId="77777777" w:rsidR="00577D08" w:rsidRDefault="00330FC0">
      <w:pPr>
        <w:rPr>
          <w:sz w:val="18"/>
          <w:szCs w:val="18"/>
        </w:rPr>
      </w:pPr>
      <w:r>
        <w:rPr>
          <w:rFonts w:hint="eastAsia"/>
          <w:sz w:val="18"/>
          <w:szCs w:val="18"/>
        </w:rPr>
        <w:t>2024</w:t>
      </w:r>
      <w:r>
        <w:rPr>
          <w:rFonts w:hint="eastAsia"/>
          <w:sz w:val="18"/>
          <w:szCs w:val="18"/>
        </w:rPr>
        <w:t>年，我们曾坦诚面对盈利挑战，许下改善经营质量的承诺。</w:t>
      </w:r>
      <w:r>
        <w:rPr>
          <w:rFonts w:hint="eastAsia"/>
          <w:sz w:val="18"/>
          <w:szCs w:val="18"/>
        </w:rPr>
        <w:t>2025</w:t>
      </w:r>
      <w:r>
        <w:rPr>
          <w:rFonts w:hint="eastAsia"/>
          <w:sz w:val="18"/>
          <w:szCs w:val="18"/>
        </w:rPr>
        <w:t>年，我们笃定前行，在战略落地上迈出坚实步伐，经营基本面持续改善，顺利兑现既定承诺。总体来看，公司在收入规模、盈利质量及产业结构优化方面实现同步提升，经营拐点进一步确立，高端化与一体化战略进入加速兑现阶段。</w:t>
      </w:r>
    </w:p>
    <w:p w14:paraId="12CE9432" w14:textId="77777777" w:rsidR="00330FC0" w:rsidRDefault="00330FC0">
      <w:pPr>
        <w:rPr>
          <w:b/>
          <w:sz w:val="18"/>
          <w:szCs w:val="18"/>
        </w:rPr>
      </w:pPr>
    </w:p>
    <w:p w14:paraId="38FBF3FB" w14:textId="49F68EBC" w:rsidR="00577D08" w:rsidRDefault="00330FC0">
      <w:pPr>
        <w:rPr>
          <w:b/>
          <w:sz w:val="18"/>
          <w:szCs w:val="18"/>
        </w:rPr>
      </w:pPr>
      <w:r>
        <w:rPr>
          <w:rFonts w:hint="eastAsia"/>
          <w:b/>
          <w:sz w:val="18"/>
          <w:szCs w:val="18"/>
        </w:rPr>
        <w:t>一、经营业绩稳健增长，核心盈利质量显著提升</w:t>
      </w:r>
    </w:p>
    <w:p w14:paraId="34CBAF0A" w14:textId="77777777" w:rsidR="00577D08" w:rsidRDefault="00577D08">
      <w:pPr>
        <w:rPr>
          <w:sz w:val="18"/>
          <w:szCs w:val="18"/>
        </w:rPr>
      </w:pPr>
    </w:p>
    <w:p w14:paraId="0506D7B8" w14:textId="77777777" w:rsidR="00577D08" w:rsidRDefault="00330FC0">
      <w:pPr>
        <w:rPr>
          <w:sz w:val="18"/>
          <w:szCs w:val="18"/>
        </w:rPr>
      </w:pPr>
      <w:r>
        <w:rPr>
          <w:rFonts w:hint="eastAsia"/>
          <w:sz w:val="18"/>
          <w:szCs w:val="18"/>
        </w:rPr>
        <w:t>2025</w:t>
      </w:r>
      <w:r>
        <w:rPr>
          <w:rFonts w:hint="eastAsia"/>
          <w:sz w:val="18"/>
          <w:szCs w:val="18"/>
        </w:rPr>
        <w:t>年，公司实现营业收入</w:t>
      </w:r>
      <w:r>
        <w:rPr>
          <w:rFonts w:hint="eastAsia"/>
          <w:sz w:val="18"/>
          <w:szCs w:val="18"/>
        </w:rPr>
        <w:t>391,701</w:t>
      </w:r>
      <w:r>
        <w:rPr>
          <w:rFonts w:hint="eastAsia"/>
          <w:sz w:val="18"/>
          <w:szCs w:val="18"/>
        </w:rPr>
        <w:t>万元，同比增长</w:t>
      </w:r>
      <w:r>
        <w:rPr>
          <w:rFonts w:hint="eastAsia"/>
          <w:sz w:val="18"/>
          <w:szCs w:val="18"/>
        </w:rPr>
        <w:t>16.87%</w:t>
      </w:r>
      <w:r>
        <w:rPr>
          <w:rFonts w:hint="eastAsia"/>
          <w:sz w:val="18"/>
          <w:szCs w:val="18"/>
        </w:rPr>
        <w:t>；归属于上市公司股东的净利润</w:t>
      </w:r>
      <w:r>
        <w:rPr>
          <w:rFonts w:hint="eastAsia"/>
          <w:sz w:val="18"/>
          <w:szCs w:val="18"/>
        </w:rPr>
        <w:t>6,924</w:t>
      </w:r>
      <w:r>
        <w:rPr>
          <w:rFonts w:hint="eastAsia"/>
          <w:sz w:val="18"/>
          <w:szCs w:val="18"/>
        </w:rPr>
        <w:t>万元，同比增长</w:t>
      </w:r>
      <w:r>
        <w:rPr>
          <w:rFonts w:hint="eastAsia"/>
          <w:sz w:val="18"/>
          <w:szCs w:val="18"/>
        </w:rPr>
        <w:t>6.26%</w:t>
      </w:r>
      <w:r>
        <w:rPr>
          <w:rFonts w:hint="eastAsia"/>
          <w:sz w:val="18"/>
          <w:szCs w:val="18"/>
        </w:rPr>
        <w:t>；归属于上市公司股东的扣除非经常性损益的净利润</w:t>
      </w:r>
      <w:r>
        <w:rPr>
          <w:rFonts w:hint="eastAsia"/>
          <w:sz w:val="18"/>
          <w:szCs w:val="18"/>
        </w:rPr>
        <w:t>6,479</w:t>
      </w:r>
      <w:r>
        <w:rPr>
          <w:rFonts w:hint="eastAsia"/>
          <w:sz w:val="18"/>
          <w:szCs w:val="18"/>
        </w:rPr>
        <w:t>万元，同比增长</w:t>
      </w:r>
      <w:r>
        <w:rPr>
          <w:rFonts w:hint="eastAsia"/>
          <w:sz w:val="18"/>
          <w:szCs w:val="18"/>
        </w:rPr>
        <w:t>79.38%</w:t>
      </w:r>
      <w:r>
        <w:rPr>
          <w:rFonts w:hint="eastAsia"/>
          <w:sz w:val="18"/>
          <w:szCs w:val="18"/>
        </w:rPr>
        <w:t>，在电力变压器营业收入增长的带动下，核心业务盈利能力显著增强。输配电及控制设备、取向硅钢、电动汽车充电三大业务板块协同发力，为后续战略投入与可持续发展提供了坚实的业务保障。</w:t>
      </w:r>
    </w:p>
    <w:p w14:paraId="728E7373" w14:textId="77777777" w:rsidR="00577D08" w:rsidRDefault="00577D08">
      <w:pPr>
        <w:rPr>
          <w:sz w:val="18"/>
          <w:szCs w:val="18"/>
        </w:rPr>
      </w:pPr>
    </w:p>
    <w:p w14:paraId="5DEFF92A" w14:textId="77777777" w:rsidR="00577D08" w:rsidRDefault="00330FC0">
      <w:pPr>
        <w:rPr>
          <w:b/>
          <w:sz w:val="18"/>
          <w:szCs w:val="18"/>
        </w:rPr>
      </w:pPr>
      <w:r>
        <w:rPr>
          <w:rFonts w:hint="eastAsia"/>
          <w:b/>
          <w:sz w:val="18"/>
          <w:szCs w:val="18"/>
        </w:rPr>
        <w:t>二、各业务板块协同发力，高端化转型成效显著</w:t>
      </w:r>
    </w:p>
    <w:p w14:paraId="5A3699CC" w14:textId="77777777" w:rsidR="00577D08" w:rsidRDefault="00577D08">
      <w:pPr>
        <w:rPr>
          <w:sz w:val="18"/>
          <w:szCs w:val="18"/>
        </w:rPr>
      </w:pPr>
    </w:p>
    <w:p w14:paraId="7BB70345" w14:textId="77777777" w:rsidR="00577D08" w:rsidRDefault="00330FC0">
      <w:pPr>
        <w:rPr>
          <w:sz w:val="18"/>
          <w:szCs w:val="18"/>
        </w:rPr>
      </w:pPr>
      <w:r>
        <w:rPr>
          <w:rFonts w:hint="eastAsia"/>
          <w:sz w:val="18"/>
          <w:szCs w:val="18"/>
        </w:rPr>
        <w:t>公司围绕“高端化</w:t>
      </w:r>
      <w:r>
        <w:rPr>
          <w:rFonts w:hint="eastAsia"/>
          <w:sz w:val="18"/>
          <w:szCs w:val="18"/>
        </w:rPr>
        <w:t>+</w:t>
      </w:r>
      <w:r>
        <w:rPr>
          <w:rFonts w:hint="eastAsia"/>
          <w:sz w:val="18"/>
          <w:szCs w:val="18"/>
        </w:rPr>
        <w:t>规模化</w:t>
      </w:r>
      <w:r>
        <w:rPr>
          <w:rFonts w:hint="eastAsia"/>
          <w:sz w:val="18"/>
          <w:szCs w:val="18"/>
        </w:rPr>
        <w:t>+</w:t>
      </w:r>
      <w:r>
        <w:rPr>
          <w:rFonts w:hint="eastAsia"/>
          <w:sz w:val="18"/>
          <w:szCs w:val="18"/>
        </w:rPr>
        <w:t>新业务孵化”三条路径，持续推动业务结构优化升级。</w:t>
      </w:r>
    </w:p>
    <w:p w14:paraId="370557F1" w14:textId="77777777" w:rsidR="00577D08" w:rsidRDefault="00577D08">
      <w:pPr>
        <w:rPr>
          <w:sz w:val="18"/>
          <w:szCs w:val="18"/>
        </w:rPr>
      </w:pPr>
    </w:p>
    <w:p w14:paraId="630B855A" w14:textId="77777777" w:rsidR="00577D08" w:rsidRDefault="00330FC0">
      <w:pPr>
        <w:rPr>
          <w:sz w:val="18"/>
          <w:szCs w:val="18"/>
        </w:rPr>
      </w:pPr>
      <w:r>
        <w:rPr>
          <w:rFonts w:hint="eastAsia"/>
          <w:sz w:val="18"/>
          <w:szCs w:val="18"/>
        </w:rPr>
        <w:t>输配电及控制设备业务实现营业收入</w:t>
      </w:r>
      <w:r>
        <w:rPr>
          <w:rFonts w:hint="eastAsia"/>
          <w:sz w:val="18"/>
          <w:szCs w:val="18"/>
        </w:rPr>
        <w:t>251,083</w:t>
      </w:r>
      <w:r>
        <w:rPr>
          <w:rFonts w:hint="eastAsia"/>
          <w:sz w:val="18"/>
          <w:szCs w:val="18"/>
        </w:rPr>
        <w:t>万元，同比增长</w:t>
      </w:r>
      <w:r>
        <w:rPr>
          <w:rFonts w:hint="eastAsia"/>
          <w:sz w:val="18"/>
          <w:szCs w:val="18"/>
        </w:rPr>
        <w:t>29.90%</w:t>
      </w:r>
      <w:r>
        <w:rPr>
          <w:rFonts w:hint="eastAsia"/>
          <w:sz w:val="18"/>
          <w:szCs w:val="18"/>
        </w:rPr>
        <w:t>。</w:t>
      </w:r>
      <w:r>
        <w:rPr>
          <w:rFonts w:hint="eastAsia"/>
          <w:sz w:val="18"/>
          <w:szCs w:val="18"/>
        </w:rPr>
        <w:t>110kV</w:t>
      </w:r>
      <w:r>
        <w:rPr>
          <w:rFonts w:hint="eastAsia"/>
          <w:sz w:val="18"/>
          <w:szCs w:val="18"/>
        </w:rPr>
        <w:t>及以上变压器产品收入同比增长</w:t>
      </w:r>
      <w:r>
        <w:rPr>
          <w:rFonts w:hint="eastAsia"/>
          <w:sz w:val="18"/>
          <w:szCs w:val="18"/>
        </w:rPr>
        <w:t>74.39%</w:t>
      </w:r>
      <w:r>
        <w:rPr>
          <w:rFonts w:hint="eastAsia"/>
          <w:sz w:val="18"/>
          <w:szCs w:val="18"/>
        </w:rPr>
        <w:t>，占同类型业务收入比重从</w:t>
      </w:r>
      <w:r>
        <w:rPr>
          <w:rFonts w:hint="eastAsia"/>
          <w:sz w:val="18"/>
          <w:szCs w:val="18"/>
        </w:rPr>
        <w:t>44.05%</w:t>
      </w:r>
      <w:r>
        <w:rPr>
          <w:rFonts w:hint="eastAsia"/>
          <w:sz w:val="18"/>
          <w:szCs w:val="18"/>
        </w:rPr>
        <w:t>提升至</w:t>
      </w:r>
      <w:r>
        <w:rPr>
          <w:rFonts w:hint="eastAsia"/>
          <w:sz w:val="18"/>
          <w:szCs w:val="18"/>
        </w:rPr>
        <w:t>60.01%</w:t>
      </w:r>
      <w:r>
        <w:rPr>
          <w:rFonts w:hint="eastAsia"/>
          <w:sz w:val="18"/>
          <w:szCs w:val="18"/>
        </w:rPr>
        <w:t>，高电压等级产品已成为拉动增长的核心引擎。</w:t>
      </w:r>
    </w:p>
    <w:p w14:paraId="4C07AE81" w14:textId="77777777" w:rsidR="00577D08" w:rsidRDefault="00577D08">
      <w:pPr>
        <w:rPr>
          <w:sz w:val="18"/>
          <w:szCs w:val="18"/>
        </w:rPr>
      </w:pPr>
    </w:p>
    <w:p w14:paraId="5DBE586A" w14:textId="77777777" w:rsidR="00577D08" w:rsidRDefault="00330FC0">
      <w:pPr>
        <w:rPr>
          <w:sz w:val="18"/>
          <w:szCs w:val="18"/>
        </w:rPr>
      </w:pPr>
      <w:r>
        <w:rPr>
          <w:rFonts w:hint="eastAsia"/>
          <w:sz w:val="18"/>
          <w:szCs w:val="18"/>
        </w:rPr>
        <w:t>取向硅钢业务总产能达</w:t>
      </w:r>
      <w:r>
        <w:rPr>
          <w:rFonts w:hint="eastAsia"/>
          <w:sz w:val="18"/>
          <w:szCs w:val="18"/>
        </w:rPr>
        <w:t>18</w:t>
      </w:r>
      <w:r>
        <w:rPr>
          <w:rFonts w:hint="eastAsia"/>
          <w:sz w:val="18"/>
          <w:szCs w:val="18"/>
        </w:rPr>
        <w:t>万吨，产能利用率</w:t>
      </w:r>
      <w:r>
        <w:rPr>
          <w:rFonts w:hint="eastAsia"/>
          <w:sz w:val="18"/>
          <w:szCs w:val="18"/>
        </w:rPr>
        <w:t>103.71%</w:t>
      </w:r>
      <w:r>
        <w:rPr>
          <w:rFonts w:hint="eastAsia"/>
          <w:sz w:val="18"/>
          <w:szCs w:val="18"/>
        </w:rPr>
        <w:t>，产销率</w:t>
      </w:r>
      <w:r>
        <w:rPr>
          <w:rFonts w:hint="eastAsia"/>
          <w:sz w:val="18"/>
          <w:szCs w:val="18"/>
        </w:rPr>
        <w:t>95.77%</w:t>
      </w:r>
      <w:r>
        <w:rPr>
          <w:rFonts w:hint="eastAsia"/>
          <w:sz w:val="18"/>
          <w:szCs w:val="18"/>
        </w:rPr>
        <w:t>，基本实现满产满销；同时，公司成功攻克</w:t>
      </w:r>
      <w:r>
        <w:rPr>
          <w:rFonts w:hint="eastAsia"/>
          <w:sz w:val="18"/>
          <w:szCs w:val="18"/>
        </w:rPr>
        <w:t>075</w:t>
      </w:r>
      <w:r>
        <w:rPr>
          <w:rFonts w:hint="eastAsia"/>
          <w:sz w:val="18"/>
          <w:szCs w:val="18"/>
        </w:rPr>
        <w:t>牌号高磁感取向硅钢关键技术，为后续高端产品量产奠定基础。</w:t>
      </w:r>
    </w:p>
    <w:p w14:paraId="6A52B445" w14:textId="77777777" w:rsidR="00577D08" w:rsidRDefault="00577D08">
      <w:pPr>
        <w:rPr>
          <w:sz w:val="18"/>
          <w:szCs w:val="18"/>
        </w:rPr>
      </w:pPr>
    </w:p>
    <w:p w14:paraId="01DAAC23" w14:textId="77777777" w:rsidR="00577D08" w:rsidRDefault="00330FC0">
      <w:pPr>
        <w:rPr>
          <w:rFonts w:ascii="Segoe UI" w:hAnsi="Segoe UI" w:cs="Segoe UI"/>
          <w:color w:val="0F1115"/>
          <w:sz w:val="18"/>
          <w:szCs w:val="18"/>
          <w:shd w:val="clear" w:color="auto" w:fill="FFFFFF"/>
        </w:rPr>
      </w:pPr>
      <w:r>
        <w:rPr>
          <w:rFonts w:ascii="Segoe UI" w:hAnsi="Segoe UI" w:cs="Segoe UI" w:hint="eastAsia"/>
          <w:color w:val="0F1115"/>
          <w:sz w:val="18"/>
          <w:szCs w:val="18"/>
          <w:shd w:val="clear" w:color="auto" w:fill="FFFFFF"/>
        </w:rPr>
        <w:t>公司积极布局新能源领域，投资建设“兆瓦级智能超充网络建设项目”；截止目前，望变</w:t>
      </w:r>
      <w:r>
        <w:rPr>
          <w:rFonts w:ascii="Segoe UI" w:hAnsi="Segoe UI" w:cs="Segoe UI" w:hint="eastAsia"/>
          <w:color w:val="0F1115"/>
          <w:sz w:val="18"/>
          <w:szCs w:val="18"/>
          <w:shd w:val="clear" w:color="auto" w:fill="FFFFFF"/>
        </w:rPr>
        <w:t>1</w:t>
      </w:r>
      <w:r>
        <w:rPr>
          <w:rFonts w:ascii="Segoe UI" w:hAnsi="Segoe UI" w:cs="Segoe UI" w:hint="eastAsia"/>
          <w:color w:val="0F1115"/>
          <w:sz w:val="18"/>
          <w:szCs w:val="18"/>
          <w:shd w:val="clear" w:color="auto" w:fill="FFFFFF"/>
        </w:rPr>
        <w:t>号超充站已建成投运。自主研发的智能变充一体机成功应用，不仅有效降低自建充电站投资成本、提升建设效率，亦为公司探索“设备</w:t>
      </w:r>
      <w:r>
        <w:rPr>
          <w:rFonts w:ascii="Segoe UI" w:hAnsi="Segoe UI" w:cs="Segoe UI" w:hint="eastAsia"/>
          <w:color w:val="0F1115"/>
          <w:sz w:val="18"/>
          <w:szCs w:val="18"/>
          <w:shd w:val="clear" w:color="auto" w:fill="FFFFFF"/>
        </w:rPr>
        <w:t>+</w:t>
      </w:r>
      <w:r>
        <w:rPr>
          <w:rFonts w:ascii="Segoe UI" w:hAnsi="Segoe UI" w:cs="Segoe UI" w:hint="eastAsia"/>
          <w:color w:val="0F1115"/>
          <w:sz w:val="18"/>
          <w:szCs w:val="18"/>
          <w:shd w:val="clear" w:color="auto" w:fill="FFFFFF"/>
        </w:rPr>
        <w:t>运营”一体化商业模式提供重要支撑，有望培育新的业务增长极。</w:t>
      </w:r>
    </w:p>
    <w:p w14:paraId="3D0A71DD" w14:textId="77777777" w:rsidR="00577D08" w:rsidRDefault="00577D08">
      <w:pPr>
        <w:rPr>
          <w:sz w:val="18"/>
          <w:szCs w:val="18"/>
        </w:rPr>
      </w:pPr>
    </w:p>
    <w:p w14:paraId="54BEF923" w14:textId="77777777" w:rsidR="00577D08" w:rsidRDefault="00330FC0">
      <w:pPr>
        <w:rPr>
          <w:b/>
          <w:sz w:val="18"/>
          <w:szCs w:val="18"/>
        </w:rPr>
      </w:pPr>
      <w:r>
        <w:rPr>
          <w:rFonts w:hint="eastAsia"/>
          <w:b/>
          <w:sz w:val="18"/>
          <w:szCs w:val="18"/>
        </w:rPr>
        <w:t>三、市场拓展与全球化布局持续推进，海外业务实现新突破</w:t>
      </w:r>
    </w:p>
    <w:p w14:paraId="3D6899FE" w14:textId="77777777" w:rsidR="00577D08" w:rsidRDefault="00577D08">
      <w:pPr>
        <w:rPr>
          <w:sz w:val="18"/>
          <w:szCs w:val="18"/>
        </w:rPr>
      </w:pPr>
    </w:p>
    <w:p w14:paraId="70E87CC9" w14:textId="77777777" w:rsidR="00577D08" w:rsidRDefault="00330FC0">
      <w:pPr>
        <w:rPr>
          <w:sz w:val="18"/>
          <w:szCs w:val="18"/>
        </w:rPr>
      </w:pPr>
      <w:r>
        <w:rPr>
          <w:rFonts w:hint="eastAsia"/>
          <w:sz w:val="18"/>
          <w:szCs w:val="18"/>
        </w:rPr>
        <w:t>2025</w:t>
      </w:r>
      <w:r>
        <w:rPr>
          <w:rFonts w:hint="eastAsia"/>
          <w:sz w:val="18"/>
          <w:szCs w:val="18"/>
        </w:rPr>
        <w:t>年，公司持续推进全球化布局，输配电设备海外订单达</w:t>
      </w:r>
      <w:r>
        <w:rPr>
          <w:rFonts w:hint="eastAsia"/>
          <w:sz w:val="18"/>
          <w:szCs w:val="18"/>
        </w:rPr>
        <w:t>1.1</w:t>
      </w:r>
      <w:r>
        <w:rPr>
          <w:rFonts w:hint="eastAsia"/>
          <w:sz w:val="18"/>
          <w:szCs w:val="18"/>
        </w:rPr>
        <w:t>亿元，同比增长</w:t>
      </w:r>
      <w:r>
        <w:rPr>
          <w:rFonts w:hint="eastAsia"/>
          <w:sz w:val="18"/>
          <w:szCs w:val="18"/>
        </w:rPr>
        <w:t>28.71%</w:t>
      </w:r>
      <w:r>
        <w:rPr>
          <w:rFonts w:hint="eastAsia"/>
          <w:sz w:val="18"/>
          <w:szCs w:val="18"/>
        </w:rPr>
        <w:t>，成功打入欧洲高端市场。取向硅钢远销十余个国家，并对</w:t>
      </w:r>
      <w:r>
        <w:rPr>
          <w:rFonts w:hint="eastAsia"/>
          <w:sz w:val="18"/>
          <w:szCs w:val="18"/>
        </w:rPr>
        <w:t>23</w:t>
      </w:r>
      <w:r>
        <w:rPr>
          <w:rFonts w:hint="eastAsia"/>
          <w:sz w:val="18"/>
          <w:szCs w:val="18"/>
        </w:rPr>
        <w:t>个海外重点项目持续跟踪推进。海外市场拓展不仅带动收入增长，也有助于优化收入结构、对冲国内市场周期波动，增强公司经营韧性。</w:t>
      </w:r>
    </w:p>
    <w:p w14:paraId="22083138" w14:textId="77777777" w:rsidR="00577D08" w:rsidRDefault="00577D08">
      <w:pPr>
        <w:rPr>
          <w:sz w:val="18"/>
          <w:szCs w:val="18"/>
        </w:rPr>
      </w:pPr>
    </w:p>
    <w:p w14:paraId="2F54F11C" w14:textId="77777777" w:rsidR="00577D08" w:rsidRDefault="00330FC0">
      <w:pPr>
        <w:rPr>
          <w:sz w:val="18"/>
          <w:szCs w:val="18"/>
        </w:rPr>
      </w:pPr>
      <w:r>
        <w:rPr>
          <w:rFonts w:hint="eastAsia"/>
          <w:sz w:val="18"/>
          <w:szCs w:val="18"/>
        </w:rPr>
        <w:t>同时，公司成功获批“国家企业技术中心”及“国家级博士后科研工作站”，研发体系建设进一步加强，创新能力持续提升。</w:t>
      </w:r>
    </w:p>
    <w:p w14:paraId="68B288C0" w14:textId="77777777" w:rsidR="00577D08" w:rsidRDefault="00577D08">
      <w:pPr>
        <w:rPr>
          <w:b/>
          <w:bCs/>
          <w:sz w:val="18"/>
          <w:szCs w:val="18"/>
        </w:rPr>
      </w:pPr>
    </w:p>
    <w:p w14:paraId="243515D4" w14:textId="77777777" w:rsidR="00577D08" w:rsidRDefault="00330FC0">
      <w:pPr>
        <w:rPr>
          <w:b/>
          <w:bCs/>
          <w:sz w:val="18"/>
          <w:szCs w:val="18"/>
        </w:rPr>
      </w:pPr>
      <w:r>
        <w:rPr>
          <w:rFonts w:hint="eastAsia"/>
          <w:b/>
          <w:bCs/>
          <w:sz w:val="18"/>
          <w:szCs w:val="18"/>
        </w:rPr>
        <w:t>四、核心竞争力持续巩固，全产业链优势凸显</w:t>
      </w:r>
    </w:p>
    <w:p w14:paraId="239324F5" w14:textId="77777777" w:rsidR="00577D08" w:rsidRDefault="00577D08">
      <w:pPr>
        <w:rPr>
          <w:sz w:val="18"/>
          <w:szCs w:val="18"/>
        </w:rPr>
      </w:pPr>
    </w:p>
    <w:p w14:paraId="5EFD94A8" w14:textId="77777777" w:rsidR="00577D08" w:rsidRDefault="00330FC0">
      <w:pPr>
        <w:rPr>
          <w:sz w:val="18"/>
          <w:szCs w:val="18"/>
        </w:rPr>
      </w:pPr>
      <w:r>
        <w:rPr>
          <w:rFonts w:hint="eastAsia"/>
          <w:sz w:val="18"/>
          <w:szCs w:val="18"/>
        </w:rPr>
        <w:t>公司作为国内唯一实现“取向硅钢—变压器核心材料—电力变压器—成套电气设备”全产业链布局的国家级高新技术企业，持续强化产业链协同优势，实现“以材补器、以器促材”的良性内循环。通过控股云变电气，公司已成为国内少数具备</w:t>
      </w:r>
      <w:r>
        <w:rPr>
          <w:rFonts w:hint="eastAsia"/>
          <w:sz w:val="18"/>
          <w:szCs w:val="18"/>
        </w:rPr>
        <w:t>500kV</w:t>
      </w:r>
      <w:r>
        <w:rPr>
          <w:rFonts w:hint="eastAsia"/>
          <w:sz w:val="18"/>
          <w:szCs w:val="18"/>
        </w:rPr>
        <w:t>级电力变压器生产能力的民营企业，在轨道交通牵引变压器及高原特种变压器等细分领域保持领先地位。产业链一体化布局有助于降低原材料价格波动对经营业绩的影响，同时提升产品附加值与整体盈利能力。</w:t>
      </w:r>
    </w:p>
    <w:p w14:paraId="413CE013" w14:textId="77777777" w:rsidR="00577D08" w:rsidRDefault="00577D08">
      <w:pPr>
        <w:rPr>
          <w:b/>
          <w:bCs/>
          <w:sz w:val="18"/>
          <w:szCs w:val="18"/>
        </w:rPr>
      </w:pPr>
    </w:p>
    <w:p w14:paraId="576D1A15" w14:textId="77777777" w:rsidR="00577D08" w:rsidRDefault="00330FC0">
      <w:pPr>
        <w:rPr>
          <w:b/>
          <w:bCs/>
          <w:sz w:val="18"/>
          <w:szCs w:val="18"/>
        </w:rPr>
      </w:pPr>
      <w:r>
        <w:rPr>
          <w:rFonts w:hint="eastAsia"/>
          <w:b/>
          <w:bCs/>
          <w:sz w:val="18"/>
          <w:szCs w:val="18"/>
        </w:rPr>
        <w:t>五、公司发展战略与</w:t>
      </w:r>
      <w:r>
        <w:rPr>
          <w:rFonts w:hint="eastAsia"/>
          <w:b/>
          <w:bCs/>
          <w:sz w:val="18"/>
          <w:szCs w:val="18"/>
        </w:rPr>
        <w:t>2026</w:t>
      </w:r>
      <w:r>
        <w:rPr>
          <w:rFonts w:hint="eastAsia"/>
          <w:b/>
          <w:bCs/>
          <w:sz w:val="18"/>
          <w:szCs w:val="18"/>
        </w:rPr>
        <w:t>年经营计划</w:t>
      </w:r>
    </w:p>
    <w:p w14:paraId="0F8E8806" w14:textId="77777777" w:rsidR="00577D08" w:rsidRDefault="00577D08">
      <w:pPr>
        <w:rPr>
          <w:sz w:val="18"/>
          <w:szCs w:val="18"/>
        </w:rPr>
      </w:pPr>
    </w:p>
    <w:p w14:paraId="6A051356" w14:textId="77777777" w:rsidR="00577D08" w:rsidRDefault="00330FC0">
      <w:pPr>
        <w:jc w:val="both"/>
        <w:rPr>
          <w:sz w:val="18"/>
          <w:szCs w:val="18"/>
        </w:rPr>
      </w:pPr>
      <w:r>
        <w:rPr>
          <w:rFonts w:ascii="宋体" w:hAnsi="宋体" w:hint="eastAsia"/>
          <w:sz w:val="18"/>
          <w:szCs w:val="18"/>
        </w:rPr>
        <w:t>未来五年，公司将围绕“高端材料突破、装备能力升级、全球市场拓展”三大核心战略，持续推进向“能源电力全产业链综合服务商”转型。在纵向上，公司将深化全产业链布局，加快高牌号取向硅钢量产进程；在横向上，积极拓展超充运营、储能系统等新业务领域；依托国家级创新平台，重点攻关高端取向硅钢、高效节能变压器、大功率超充技术等关键技术；同时推动产品与服务协同出海，逐步形成</w:t>
      </w:r>
      <w:bookmarkStart w:id="0" w:name="OLE_LINK72"/>
      <w:bookmarkStart w:id="1" w:name="OLE_LINK87"/>
      <w:r>
        <w:rPr>
          <w:rFonts w:ascii="宋体" w:hAnsi="宋体" w:hint="eastAsia"/>
          <w:sz w:val="18"/>
          <w:szCs w:val="18"/>
        </w:rPr>
        <w:t>“材料—装备—服务—运营”</w:t>
      </w:r>
      <w:bookmarkEnd w:id="0"/>
      <w:bookmarkEnd w:id="1"/>
      <w:r>
        <w:rPr>
          <w:rFonts w:ascii="宋体" w:hAnsi="宋体" w:hint="eastAsia"/>
          <w:sz w:val="18"/>
          <w:szCs w:val="18"/>
        </w:rPr>
        <w:t>的全球化发展格局。</w:t>
      </w:r>
    </w:p>
    <w:p w14:paraId="5FC3BD2E" w14:textId="77777777" w:rsidR="00577D08" w:rsidRDefault="00577D08">
      <w:pPr>
        <w:rPr>
          <w:sz w:val="18"/>
          <w:szCs w:val="18"/>
        </w:rPr>
      </w:pPr>
    </w:p>
    <w:p w14:paraId="733D7FF9" w14:textId="77777777" w:rsidR="00577D08" w:rsidRDefault="00330FC0">
      <w:pPr>
        <w:rPr>
          <w:sz w:val="18"/>
          <w:szCs w:val="18"/>
        </w:rPr>
      </w:pPr>
      <w:r>
        <w:rPr>
          <w:rFonts w:hint="eastAsia"/>
          <w:sz w:val="18"/>
          <w:szCs w:val="18"/>
        </w:rPr>
        <w:lastRenderedPageBreak/>
        <w:t>2026</w:t>
      </w:r>
      <w:r>
        <w:rPr>
          <w:rFonts w:hint="eastAsia"/>
          <w:sz w:val="18"/>
          <w:szCs w:val="18"/>
        </w:rPr>
        <w:t>年，公司将紧扣“战略落地、效能提升、业务扩容”年度主线：取向硅钢确保满产满销，提升高牌号产品占比；输配电业务巩固</w:t>
      </w:r>
      <w:r>
        <w:rPr>
          <w:sz w:val="18"/>
          <w:szCs w:val="18"/>
        </w:rPr>
        <w:t>110</w:t>
      </w:r>
      <w:r>
        <w:rPr>
          <w:rFonts w:hint="eastAsia"/>
          <w:sz w:val="18"/>
          <w:szCs w:val="18"/>
        </w:rPr>
        <w:t>kV</w:t>
      </w:r>
      <w:r>
        <w:rPr>
          <w:rFonts w:hint="eastAsia"/>
          <w:sz w:val="18"/>
          <w:szCs w:val="18"/>
        </w:rPr>
        <w:t>及以上市场优势，拓展超高压领域机会；新能源超充加速网络布局，形成初步规模化运营；海外业务深度参与“一带一路”建设，聚焦东南亚、中东、欧美等重点区域。</w:t>
      </w:r>
    </w:p>
    <w:p w14:paraId="196373BD" w14:textId="77777777" w:rsidR="00577D08" w:rsidRDefault="00577D08">
      <w:pPr>
        <w:rPr>
          <w:sz w:val="18"/>
          <w:szCs w:val="18"/>
        </w:rPr>
      </w:pPr>
    </w:p>
    <w:p w14:paraId="175BCBF1" w14:textId="77777777" w:rsidR="00577D08" w:rsidRDefault="00330FC0">
      <w:pPr>
        <w:rPr>
          <w:b/>
          <w:bCs/>
          <w:sz w:val="18"/>
          <w:szCs w:val="18"/>
        </w:rPr>
      </w:pPr>
      <w:r>
        <w:rPr>
          <w:rFonts w:hint="eastAsia"/>
          <w:b/>
          <w:bCs/>
          <w:sz w:val="18"/>
          <w:szCs w:val="18"/>
        </w:rPr>
        <w:t>行稳致远，进而有为。我们将以百倍努力，兑现“百亿企业、百年望变”的承诺，为股东创造可持续回报，为中国电力装备高质量发展贡献力量！</w:t>
      </w:r>
    </w:p>
    <w:p w14:paraId="37AB8B75" w14:textId="77777777" w:rsidR="00577D08" w:rsidRDefault="00577D08">
      <w:pPr>
        <w:rPr>
          <w:b/>
          <w:bCs/>
          <w:sz w:val="18"/>
          <w:szCs w:val="18"/>
        </w:rPr>
      </w:pPr>
    </w:p>
    <w:p w14:paraId="4B11D61A" w14:textId="77777777" w:rsidR="00577D08" w:rsidRDefault="00577D08">
      <w:pPr>
        <w:rPr>
          <w:sz w:val="18"/>
          <w:szCs w:val="18"/>
        </w:rPr>
      </w:pPr>
    </w:p>
    <w:p w14:paraId="064F920B" w14:textId="77777777" w:rsidR="00577D08" w:rsidRDefault="00330FC0">
      <w:pPr>
        <w:ind w:firstLineChars="3100" w:firstLine="5580"/>
        <w:rPr>
          <w:sz w:val="18"/>
          <w:szCs w:val="18"/>
        </w:rPr>
      </w:pPr>
      <w:r>
        <w:rPr>
          <w:rFonts w:hint="eastAsia"/>
          <w:sz w:val="18"/>
          <w:szCs w:val="18"/>
        </w:rPr>
        <w:t>董事长：杨泽民</w:t>
      </w:r>
    </w:p>
    <w:p w14:paraId="0176ACBE" w14:textId="77777777" w:rsidR="006035A9" w:rsidRDefault="006035A9">
      <w:pPr>
        <w:ind w:firstLineChars="3100" w:firstLine="5580"/>
        <w:rPr>
          <w:sz w:val="18"/>
          <w:szCs w:val="18"/>
        </w:rPr>
      </w:pPr>
    </w:p>
    <w:p w14:paraId="2D4A423A" w14:textId="77777777" w:rsidR="006035A9" w:rsidRDefault="006035A9">
      <w:pPr>
        <w:ind w:firstLineChars="3100" w:firstLine="5580"/>
        <w:rPr>
          <w:sz w:val="18"/>
          <w:szCs w:val="18"/>
        </w:rPr>
      </w:pPr>
    </w:p>
    <w:p w14:paraId="1CB338C9" w14:textId="77777777" w:rsidR="006035A9" w:rsidRDefault="006035A9">
      <w:pPr>
        <w:ind w:firstLineChars="3100" w:firstLine="5580"/>
        <w:rPr>
          <w:sz w:val="18"/>
          <w:szCs w:val="18"/>
        </w:rPr>
      </w:pPr>
    </w:p>
    <w:p w14:paraId="286582E7" w14:textId="77777777" w:rsidR="006035A9" w:rsidRDefault="006035A9">
      <w:pPr>
        <w:ind w:firstLineChars="3100" w:firstLine="5580"/>
        <w:rPr>
          <w:sz w:val="18"/>
          <w:szCs w:val="18"/>
        </w:rPr>
      </w:pPr>
    </w:p>
    <w:p w14:paraId="5DB728FA" w14:textId="77777777" w:rsidR="006035A9" w:rsidRDefault="006035A9">
      <w:pPr>
        <w:ind w:firstLineChars="3100" w:firstLine="5580"/>
        <w:rPr>
          <w:sz w:val="18"/>
          <w:szCs w:val="18"/>
        </w:rPr>
      </w:pPr>
    </w:p>
    <w:p w14:paraId="195C6A0E" w14:textId="77777777" w:rsidR="006035A9" w:rsidRDefault="006035A9">
      <w:pPr>
        <w:ind w:firstLineChars="3100" w:firstLine="5580"/>
        <w:rPr>
          <w:sz w:val="18"/>
          <w:szCs w:val="18"/>
        </w:rPr>
      </w:pPr>
    </w:p>
    <w:p w14:paraId="3DA777A7" w14:textId="77777777" w:rsidR="006035A9" w:rsidRDefault="006035A9">
      <w:pPr>
        <w:ind w:firstLineChars="3100" w:firstLine="5580"/>
        <w:rPr>
          <w:sz w:val="18"/>
          <w:szCs w:val="18"/>
        </w:rPr>
      </w:pPr>
    </w:p>
    <w:p w14:paraId="134D4466" w14:textId="77777777" w:rsidR="006035A9" w:rsidRDefault="006035A9">
      <w:pPr>
        <w:ind w:firstLineChars="3100" w:firstLine="5580"/>
        <w:rPr>
          <w:sz w:val="18"/>
          <w:szCs w:val="18"/>
        </w:rPr>
      </w:pPr>
    </w:p>
    <w:p w14:paraId="4F791186" w14:textId="77777777" w:rsidR="006035A9" w:rsidRDefault="006035A9">
      <w:pPr>
        <w:ind w:firstLineChars="3100" w:firstLine="5580"/>
        <w:rPr>
          <w:sz w:val="18"/>
          <w:szCs w:val="18"/>
        </w:rPr>
      </w:pPr>
    </w:p>
    <w:p w14:paraId="256430D0" w14:textId="77777777" w:rsidR="006035A9" w:rsidRDefault="006035A9">
      <w:pPr>
        <w:ind w:firstLineChars="3100" w:firstLine="5580"/>
        <w:rPr>
          <w:sz w:val="18"/>
          <w:szCs w:val="18"/>
        </w:rPr>
      </w:pPr>
    </w:p>
    <w:p w14:paraId="413648DF" w14:textId="77777777" w:rsidR="006035A9" w:rsidRDefault="006035A9">
      <w:pPr>
        <w:ind w:firstLineChars="3100" w:firstLine="5580"/>
        <w:rPr>
          <w:sz w:val="18"/>
          <w:szCs w:val="18"/>
        </w:rPr>
      </w:pPr>
    </w:p>
    <w:p w14:paraId="468009F5" w14:textId="77777777" w:rsidR="006035A9" w:rsidRDefault="006035A9">
      <w:pPr>
        <w:ind w:firstLineChars="3100" w:firstLine="5580"/>
        <w:rPr>
          <w:sz w:val="18"/>
          <w:szCs w:val="18"/>
        </w:rPr>
      </w:pPr>
    </w:p>
    <w:p w14:paraId="15E94B0C" w14:textId="77777777" w:rsidR="006035A9" w:rsidRDefault="006035A9">
      <w:pPr>
        <w:ind w:firstLineChars="3100" w:firstLine="5580"/>
        <w:rPr>
          <w:sz w:val="18"/>
          <w:szCs w:val="18"/>
        </w:rPr>
      </w:pPr>
    </w:p>
    <w:p w14:paraId="5FEF35B8" w14:textId="77777777" w:rsidR="006035A9" w:rsidRDefault="006035A9">
      <w:pPr>
        <w:ind w:firstLineChars="3100" w:firstLine="5580"/>
        <w:rPr>
          <w:sz w:val="18"/>
          <w:szCs w:val="18"/>
        </w:rPr>
      </w:pPr>
    </w:p>
    <w:p w14:paraId="2DD14A0C" w14:textId="77777777" w:rsidR="006035A9" w:rsidRDefault="006035A9">
      <w:pPr>
        <w:ind w:firstLineChars="3100" w:firstLine="5580"/>
        <w:rPr>
          <w:sz w:val="18"/>
          <w:szCs w:val="18"/>
        </w:rPr>
      </w:pPr>
    </w:p>
    <w:p w14:paraId="50DC0E94" w14:textId="77777777" w:rsidR="006035A9" w:rsidRDefault="006035A9">
      <w:pPr>
        <w:ind w:firstLineChars="3100" w:firstLine="5580"/>
        <w:rPr>
          <w:sz w:val="18"/>
          <w:szCs w:val="18"/>
        </w:rPr>
      </w:pPr>
    </w:p>
    <w:p w14:paraId="25B84226" w14:textId="77777777" w:rsidR="006035A9" w:rsidRDefault="006035A9">
      <w:pPr>
        <w:ind w:firstLineChars="3100" w:firstLine="5580"/>
        <w:rPr>
          <w:sz w:val="18"/>
          <w:szCs w:val="18"/>
        </w:rPr>
      </w:pPr>
    </w:p>
    <w:p w14:paraId="61981E46" w14:textId="77777777" w:rsidR="006035A9" w:rsidRDefault="006035A9">
      <w:pPr>
        <w:ind w:firstLineChars="3100" w:firstLine="5580"/>
        <w:rPr>
          <w:sz w:val="18"/>
          <w:szCs w:val="18"/>
        </w:rPr>
      </w:pPr>
    </w:p>
    <w:p w14:paraId="4775FCF1" w14:textId="77777777" w:rsidR="006035A9" w:rsidRDefault="006035A9">
      <w:pPr>
        <w:ind w:firstLineChars="3100" w:firstLine="5580"/>
        <w:rPr>
          <w:sz w:val="18"/>
          <w:szCs w:val="18"/>
        </w:rPr>
      </w:pPr>
    </w:p>
    <w:p w14:paraId="0C189F4E" w14:textId="77777777" w:rsidR="006035A9" w:rsidRDefault="006035A9">
      <w:pPr>
        <w:ind w:firstLineChars="3100" w:firstLine="5580"/>
        <w:rPr>
          <w:sz w:val="18"/>
          <w:szCs w:val="18"/>
        </w:rPr>
      </w:pPr>
    </w:p>
    <w:p w14:paraId="3347B2F5" w14:textId="77777777" w:rsidR="006035A9" w:rsidRDefault="006035A9">
      <w:pPr>
        <w:ind w:firstLineChars="3100" w:firstLine="5580"/>
        <w:rPr>
          <w:sz w:val="18"/>
          <w:szCs w:val="18"/>
        </w:rPr>
      </w:pPr>
    </w:p>
    <w:p w14:paraId="13EB6E93" w14:textId="77777777" w:rsidR="006035A9" w:rsidRDefault="006035A9">
      <w:pPr>
        <w:ind w:firstLineChars="3100" w:firstLine="5580"/>
        <w:rPr>
          <w:sz w:val="18"/>
          <w:szCs w:val="18"/>
        </w:rPr>
      </w:pPr>
    </w:p>
    <w:p w14:paraId="0A1EC1A9" w14:textId="77777777" w:rsidR="006035A9" w:rsidRDefault="006035A9">
      <w:pPr>
        <w:ind w:firstLineChars="3100" w:firstLine="5580"/>
        <w:rPr>
          <w:sz w:val="18"/>
          <w:szCs w:val="18"/>
        </w:rPr>
      </w:pPr>
    </w:p>
    <w:p w14:paraId="40D21DC3" w14:textId="77777777" w:rsidR="006035A9" w:rsidRDefault="006035A9">
      <w:pPr>
        <w:ind w:firstLineChars="3100" w:firstLine="5580"/>
        <w:rPr>
          <w:sz w:val="18"/>
          <w:szCs w:val="18"/>
        </w:rPr>
      </w:pPr>
    </w:p>
    <w:p w14:paraId="6F1F8EAB" w14:textId="77777777" w:rsidR="006035A9" w:rsidRDefault="006035A9">
      <w:pPr>
        <w:ind w:firstLineChars="3100" w:firstLine="5580"/>
        <w:rPr>
          <w:sz w:val="18"/>
          <w:szCs w:val="18"/>
        </w:rPr>
      </w:pPr>
    </w:p>
    <w:p w14:paraId="1EC9D16E" w14:textId="77777777" w:rsidR="006035A9" w:rsidRDefault="006035A9">
      <w:pPr>
        <w:ind w:firstLineChars="3100" w:firstLine="5580"/>
        <w:rPr>
          <w:sz w:val="18"/>
          <w:szCs w:val="18"/>
        </w:rPr>
      </w:pPr>
    </w:p>
    <w:p w14:paraId="24BE4FE8" w14:textId="77777777" w:rsidR="006035A9" w:rsidRDefault="006035A9">
      <w:pPr>
        <w:ind w:firstLineChars="3100" w:firstLine="5580"/>
        <w:rPr>
          <w:sz w:val="18"/>
          <w:szCs w:val="18"/>
        </w:rPr>
      </w:pPr>
    </w:p>
    <w:p w14:paraId="5186A856" w14:textId="77777777" w:rsidR="006035A9" w:rsidRDefault="006035A9">
      <w:pPr>
        <w:ind w:firstLineChars="3100" w:firstLine="5580"/>
        <w:rPr>
          <w:sz w:val="18"/>
          <w:szCs w:val="18"/>
        </w:rPr>
      </w:pPr>
    </w:p>
    <w:p w14:paraId="4E0C16F1" w14:textId="77777777" w:rsidR="006035A9" w:rsidRDefault="006035A9">
      <w:pPr>
        <w:ind w:firstLineChars="3100" w:firstLine="5580"/>
        <w:rPr>
          <w:sz w:val="18"/>
          <w:szCs w:val="18"/>
        </w:rPr>
      </w:pPr>
    </w:p>
    <w:p w14:paraId="19F0517C" w14:textId="77777777" w:rsidR="006035A9" w:rsidRDefault="006035A9">
      <w:pPr>
        <w:ind w:firstLineChars="3100" w:firstLine="5580"/>
        <w:rPr>
          <w:sz w:val="18"/>
          <w:szCs w:val="18"/>
        </w:rPr>
      </w:pPr>
    </w:p>
    <w:p w14:paraId="02CAE12D" w14:textId="77777777" w:rsidR="006035A9" w:rsidRDefault="006035A9">
      <w:pPr>
        <w:ind w:firstLineChars="3100" w:firstLine="5580"/>
        <w:rPr>
          <w:sz w:val="18"/>
          <w:szCs w:val="18"/>
        </w:rPr>
      </w:pPr>
    </w:p>
    <w:p w14:paraId="000F7665" w14:textId="77777777" w:rsidR="006035A9" w:rsidRDefault="006035A9">
      <w:pPr>
        <w:ind w:firstLineChars="3100" w:firstLine="5580"/>
        <w:rPr>
          <w:sz w:val="18"/>
          <w:szCs w:val="18"/>
        </w:rPr>
      </w:pPr>
    </w:p>
    <w:p w14:paraId="13AE0BA5" w14:textId="77777777" w:rsidR="006035A9" w:rsidRDefault="006035A9">
      <w:pPr>
        <w:ind w:firstLineChars="3100" w:firstLine="5580"/>
        <w:rPr>
          <w:sz w:val="18"/>
          <w:szCs w:val="18"/>
        </w:rPr>
      </w:pPr>
    </w:p>
    <w:p w14:paraId="690CAB1E" w14:textId="77777777" w:rsidR="006035A9" w:rsidRDefault="006035A9">
      <w:pPr>
        <w:ind w:firstLineChars="3100" w:firstLine="5580"/>
        <w:rPr>
          <w:sz w:val="18"/>
          <w:szCs w:val="18"/>
        </w:rPr>
      </w:pPr>
    </w:p>
    <w:p w14:paraId="722A7F49" w14:textId="77777777" w:rsidR="006035A9" w:rsidRDefault="006035A9">
      <w:pPr>
        <w:ind w:firstLineChars="3100" w:firstLine="5580"/>
        <w:rPr>
          <w:sz w:val="18"/>
          <w:szCs w:val="18"/>
        </w:rPr>
      </w:pPr>
    </w:p>
    <w:p w14:paraId="3AFBE4A6" w14:textId="77777777" w:rsidR="006035A9" w:rsidRDefault="006035A9">
      <w:pPr>
        <w:ind w:firstLineChars="3100" w:firstLine="5580"/>
        <w:rPr>
          <w:sz w:val="18"/>
          <w:szCs w:val="18"/>
        </w:rPr>
      </w:pPr>
    </w:p>
    <w:p w14:paraId="4F306B3F" w14:textId="77777777" w:rsidR="006035A9" w:rsidRDefault="006035A9">
      <w:pPr>
        <w:ind w:firstLineChars="3100" w:firstLine="5580"/>
        <w:rPr>
          <w:sz w:val="18"/>
          <w:szCs w:val="18"/>
        </w:rPr>
      </w:pPr>
    </w:p>
    <w:p w14:paraId="26EBF685" w14:textId="77777777" w:rsidR="006035A9" w:rsidRDefault="006035A9">
      <w:pPr>
        <w:ind w:firstLineChars="3100" w:firstLine="5580"/>
        <w:rPr>
          <w:sz w:val="18"/>
          <w:szCs w:val="18"/>
        </w:rPr>
      </w:pPr>
    </w:p>
    <w:p w14:paraId="643F72DC" w14:textId="77777777" w:rsidR="006035A9" w:rsidRDefault="006035A9">
      <w:pPr>
        <w:ind w:firstLineChars="3100" w:firstLine="5580"/>
        <w:rPr>
          <w:sz w:val="18"/>
          <w:szCs w:val="18"/>
        </w:rPr>
      </w:pPr>
    </w:p>
    <w:p w14:paraId="2E6DED4A" w14:textId="77777777" w:rsidR="006035A9" w:rsidRDefault="006035A9">
      <w:pPr>
        <w:ind w:firstLineChars="3100" w:firstLine="5580"/>
        <w:rPr>
          <w:sz w:val="18"/>
          <w:szCs w:val="18"/>
        </w:rPr>
      </w:pPr>
    </w:p>
    <w:p w14:paraId="22F5F7C6" w14:textId="77777777" w:rsidR="006035A9" w:rsidRDefault="006035A9">
      <w:pPr>
        <w:ind w:firstLineChars="3100" w:firstLine="5580"/>
        <w:rPr>
          <w:sz w:val="18"/>
          <w:szCs w:val="18"/>
        </w:rPr>
      </w:pPr>
    </w:p>
    <w:p w14:paraId="788C7392" w14:textId="77777777" w:rsidR="006035A9" w:rsidRDefault="006035A9">
      <w:pPr>
        <w:ind w:firstLineChars="3100" w:firstLine="5580"/>
        <w:rPr>
          <w:sz w:val="18"/>
          <w:szCs w:val="18"/>
        </w:rPr>
      </w:pPr>
    </w:p>
    <w:p w14:paraId="013D47A6" w14:textId="77777777" w:rsidR="006035A9" w:rsidRDefault="006035A9">
      <w:pPr>
        <w:ind w:firstLineChars="3100" w:firstLine="5580"/>
        <w:rPr>
          <w:sz w:val="18"/>
          <w:szCs w:val="18"/>
        </w:rPr>
      </w:pPr>
    </w:p>
    <w:p w14:paraId="4D9FBB70" w14:textId="77777777" w:rsidR="006035A9" w:rsidRDefault="006035A9">
      <w:pPr>
        <w:ind w:firstLineChars="3100" w:firstLine="5580"/>
        <w:rPr>
          <w:sz w:val="18"/>
          <w:szCs w:val="18"/>
        </w:rPr>
      </w:pPr>
    </w:p>
    <w:p w14:paraId="67A4B222" w14:textId="77777777" w:rsidR="006035A9" w:rsidRDefault="006035A9">
      <w:pPr>
        <w:ind w:firstLineChars="3100" w:firstLine="5580"/>
        <w:rPr>
          <w:sz w:val="18"/>
          <w:szCs w:val="18"/>
        </w:rPr>
      </w:pPr>
    </w:p>
    <w:p w14:paraId="0E014710" w14:textId="77777777" w:rsidR="006035A9" w:rsidRDefault="006035A9">
      <w:pPr>
        <w:ind w:firstLineChars="3100" w:firstLine="5580"/>
        <w:rPr>
          <w:sz w:val="18"/>
          <w:szCs w:val="18"/>
        </w:rPr>
      </w:pPr>
    </w:p>
    <w:p w14:paraId="6E77F18B" w14:textId="77777777" w:rsidR="006035A9" w:rsidRDefault="006035A9">
      <w:pPr>
        <w:ind w:firstLineChars="3100" w:firstLine="5580"/>
        <w:rPr>
          <w:sz w:val="18"/>
          <w:szCs w:val="18"/>
        </w:rPr>
      </w:pPr>
    </w:p>
    <w:p w14:paraId="6F2D63AC" w14:textId="77777777" w:rsidR="006035A9" w:rsidRDefault="006035A9">
      <w:pPr>
        <w:ind w:firstLineChars="3100" w:firstLine="5580"/>
        <w:rPr>
          <w:sz w:val="18"/>
          <w:szCs w:val="18"/>
        </w:rPr>
      </w:pPr>
    </w:p>
    <w:p w14:paraId="18EC6929" w14:textId="77777777" w:rsidR="006035A9" w:rsidRDefault="006035A9">
      <w:pPr>
        <w:ind w:firstLineChars="3100" w:firstLine="5580"/>
        <w:rPr>
          <w:sz w:val="18"/>
          <w:szCs w:val="18"/>
        </w:rPr>
      </w:pPr>
    </w:p>
    <w:p w14:paraId="2C08B21A" w14:textId="77777777" w:rsidR="006035A9" w:rsidRDefault="006035A9">
      <w:pPr>
        <w:ind w:firstLineChars="3100" w:firstLine="5580"/>
        <w:rPr>
          <w:sz w:val="18"/>
          <w:szCs w:val="18"/>
        </w:rPr>
      </w:pPr>
    </w:p>
    <w:p w14:paraId="2A2D12BC" w14:textId="77777777" w:rsidR="006035A9" w:rsidRDefault="006035A9">
      <w:pPr>
        <w:ind w:firstLineChars="3100" w:firstLine="5580"/>
        <w:rPr>
          <w:sz w:val="18"/>
          <w:szCs w:val="18"/>
        </w:rPr>
      </w:pPr>
    </w:p>
    <w:p w14:paraId="1ED89AFB" w14:textId="77777777" w:rsidR="006035A9" w:rsidRDefault="006035A9">
      <w:pPr>
        <w:ind w:firstLineChars="3100" w:firstLine="5580"/>
        <w:rPr>
          <w:sz w:val="18"/>
          <w:szCs w:val="18"/>
        </w:rPr>
      </w:pPr>
    </w:p>
    <w:p w14:paraId="6737F84F" w14:textId="77777777" w:rsidR="006035A9" w:rsidRDefault="006035A9">
      <w:pPr>
        <w:ind w:firstLineChars="3100" w:firstLine="5580"/>
        <w:rPr>
          <w:sz w:val="18"/>
          <w:szCs w:val="18"/>
        </w:rPr>
      </w:pPr>
    </w:p>
    <w:p w14:paraId="38AAACEE" w14:textId="77777777" w:rsidR="006035A9" w:rsidRDefault="006035A9">
      <w:pPr>
        <w:ind w:firstLineChars="3100" w:firstLine="5580"/>
        <w:rPr>
          <w:sz w:val="18"/>
          <w:szCs w:val="18"/>
        </w:rPr>
      </w:pPr>
    </w:p>
    <w:p w14:paraId="248C9FDA" w14:textId="77777777" w:rsidR="006035A9" w:rsidRDefault="006035A9">
      <w:pPr>
        <w:ind w:firstLineChars="3100" w:firstLine="5580"/>
        <w:rPr>
          <w:sz w:val="18"/>
          <w:szCs w:val="18"/>
        </w:rPr>
      </w:pPr>
    </w:p>
    <w:bookmarkStart w:id="2" w:name="_Toc387656034" w:displacedByCustomXml="next"/>
    <w:sdt>
      <w:sdtPr>
        <w:rPr>
          <w:rFonts w:ascii="黑体" w:eastAsia="黑体" w:hAnsi="黑体" w:hint="eastAsia"/>
          <w:b/>
          <w:bCs/>
          <w:sz w:val="28"/>
          <w:szCs w:val="28"/>
        </w:rPr>
        <w:tag w:val="_PLD_429fee330a4a46d2822ec08d94ecdb3f"/>
        <w:id w:val="-1447000113"/>
      </w:sdtPr>
      <w:sdtEndPr>
        <w:rPr>
          <w:rFonts w:ascii="Times New Roman" w:eastAsia="宋体" w:hAnsi="Times New Roman" w:hint="default"/>
          <w:b w:val="0"/>
          <w:bCs w:val="0"/>
          <w:sz w:val="21"/>
          <w:szCs w:val="21"/>
        </w:rPr>
      </w:sdtEndPr>
      <w:sdtContent>
        <w:p w14:paraId="35A2675E" w14:textId="2A394FD4" w:rsidR="00577D08" w:rsidRDefault="00330FC0">
          <w:pPr>
            <w:spacing w:before="100" w:beforeAutospacing="1" w:after="100" w:afterAutospacing="1" w:line="360" w:lineRule="auto"/>
            <w:jc w:val="center"/>
            <w:rPr>
              <w:rFonts w:ascii="黑体" w:eastAsia="黑体" w:hAnsi="黑体" w:hint="eastAsia"/>
              <w:b/>
              <w:bCs/>
              <w:sz w:val="28"/>
              <w:szCs w:val="28"/>
            </w:rPr>
          </w:pPr>
          <w:r>
            <w:rPr>
              <w:rFonts w:ascii="黑体" w:eastAsia="黑体" w:hAnsi="黑体" w:hint="eastAsia"/>
              <w:b/>
              <w:bCs/>
              <w:sz w:val="28"/>
              <w:szCs w:val="28"/>
            </w:rPr>
            <w:t>重要提示</w:t>
          </w:r>
        </w:p>
      </w:sdtContent>
    </w:sdt>
    <w:bookmarkEnd w:id="2" w:displacedByCustomXml="next"/>
    <w:sdt>
      <w:sdtPr>
        <w:rPr>
          <w:rFonts w:ascii="宋体" w:hAnsi="宋体" w:cs="宋体" w:hint="eastAsia"/>
          <w:b w:val="0"/>
          <w:bCs w:val="0"/>
          <w:kern w:val="0"/>
          <w:szCs w:val="24"/>
        </w:rPr>
        <w:alias w:val="选项模块:董事会及董事声明"/>
        <w:tag w:val="_SEC_7d2cef92505949c6b5bd6a9bd88e1b07"/>
        <w:id w:val="2079019062"/>
        <w:placeholder>
          <w:docPart w:val="GBC22222222222222222222222222222"/>
        </w:placeholder>
      </w:sdtPr>
      <w:sdtEndPr>
        <w:rPr>
          <w:rFonts w:ascii="Times New Roman" w:hAnsi="Times New Roman" w:cs="Times New Roman" w:hint="default"/>
          <w:szCs w:val="20"/>
        </w:rPr>
      </w:sdtEndPr>
      <w:sdtContent>
        <w:sdt>
          <w:sdtPr>
            <w:rPr>
              <w:rFonts w:ascii="宋体" w:hAnsi="宋体" w:cs="宋体" w:hint="eastAsia"/>
              <w:b w:val="0"/>
              <w:bCs w:val="0"/>
              <w:kern w:val="0"/>
              <w:szCs w:val="24"/>
            </w:rPr>
            <w:alias w:val="董事会及董事声明"/>
            <w:tag w:val="_GBC_7a4abe6548364d7e8583e54b6ff64105"/>
            <w:id w:val="1874188606"/>
            <w:placeholder>
              <w:docPart w:val="GBC22222222222222222222222222222"/>
            </w:placeholder>
          </w:sdtPr>
          <w:sdtEndPr>
            <w:rPr>
              <w:rFonts w:ascii="Arial" w:hAnsi="Arial" w:cs="Times New Roman"/>
              <w:b/>
              <w:bCs/>
              <w:kern w:val="2"/>
              <w:szCs w:val="21"/>
            </w:rPr>
          </w:sdtEndPr>
          <w:sdtContent>
            <w:p w14:paraId="326463E8" w14:textId="77777777" w:rsidR="00577D08" w:rsidRDefault="00330FC0">
              <w:pPr>
                <w:pStyle w:val="2"/>
                <w:numPr>
                  <w:ilvl w:val="0"/>
                  <w:numId w:val="1"/>
                </w:numPr>
                <w:tabs>
                  <w:tab w:val="left" w:pos="434"/>
                </w:tabs>
                <w:spacing w:before="0"/>
                <w:rPr>
                  <w:rFonts w:ascii="Times New Roman" w:hAnsi="宋体" w:cs="宋体" w:hint="eastAsia"/>
                  <w:bCs w:val="0"/>
                </w:rPr>
              </w:pPr>
              <w:r>
                <w:rPr>
                  <w:rFonts w:ascii="Times New Roman" w:hAnsi="宋体" w:cs="宋体"/>
                  <w:bCs w:val="0"/>
                </w:rPr>
                <w:t>本公司董事会及董事、高级管理人员保证年度报告内容的真实</w:t>
              </w:r>
              <w:r>
                <w:rPr>
                  <w:rFonts w:ascii="Times New Roman" w:hAnsi="宋体" w:cs="宋体" w:hint="eastAsia"/>
                  <w:bCs w:val="0"/>
                </w:rPr>
                <w:t>性</w:t>
              </w:r>
              <w:r>
                <w:rPr>
                  <w:rFonts w:ascii="Times New Roman" w:hAnsi="宋体" w:cs="宋体"/>
                  <w:bCs w:val="0"/>
                </w:rPr>
                <w:t>、准确</w:t>
              </w:r>
              <w:r>
                <w:rPr>
                  <w:rFonts w:ascii="Times New Roman" w:hAnsi="宋体" w:cs="宋体" w:hint="eastAsia"/>
                  <w:bCs w:val="0"/>
                </w:rPr>
                <w:t>性</w:t>
              </w:r>
              <w:r>
                <w:rPr>
                  <w:rFonts w:ascii="Times New Roman" w:hAnsi="宋体" w:cs="宋体"/>
                  <w:bCs w:val="0"/>
                </w:rPr>
                <w:t>、完整</w:t>
              </w:r>
              <w:r>
                <w:rPr>
                  <w:rFonts w:ascii="Times New Roman" w:hAnsi="宋体" w:cs="宋体" w:hint="eastAsia"/>
                  <w:bCs w:val="0"/>
                </w:rPr>
                <w:t>性</w:t>
              </w:r>
              <w:r>
                <w:rPr>
                  <w:rFonts w:ascii="Times New Roman" w:hAnsi="宋体" w:cs="宋体"/>
                  <w:bCs w:val="0"/>
                </w:rPr>
                <w:t>，不存在虚假记载、误导性陈述或重大遗漏，并承担个别和连带的法律责任。</w:t>
              </w:r>
            </w:p>
          </w:sdtContent>
        </w:sdt>
        <w:p w14:paraId="50597E31" w14:textId="77777777" w:rsidR="00577D08" w:rsidRDefault="00000000"/>
      </w:sdtContent>
    </w:sdt>
    <w:sdt>
      <w:sdtPr>
        <w:rPr>
          <w:rFonts w:ascii="Calibri" w:hAnsi="Calibri" w:cs="宋体" w:hint="eastAsia"/>
          <w:b w:val="0"/>
          <w:bCs w:val="0"/>
          <w:kern w:val="0"/>
          <w:sz w:val="24"/>
          <w:szCs w:val="22"/>
        </w:rPr>
        <w:alias w:val="选项模块:公司全体董事出席董事会会议。"/>
        <w:tag w:val="_SEC_22f2821f4b8f443f90d5135b8aaff83a"/>
        <w:id w:val="704529561"/>
        <w:placeholder>
          <w:docPart w:val="GBC22222222222222222222222222222"/>
        </w:placeholder>
      </w:sdtPr>
      <w:sdtEndPr>
        <w:rPr>
          <w:rFonts w:ascii="Arial" w:hAnsi="Arial" w:cs="Times New Roman" w:hint="default"/>
          <w:b/>
          <w:bCs/>
          <w:kern w:val="2"/>
          <w:sz w:val="21"/>
          <w:szCs w:val="21"/>
        </w:rPr>
      </w:sdtEndPr>
      <w:sdtContent>
        <w:p w14:paraId="144AFF83" w14:textId="77777777" w:rsidR="00577D08" w:rsidRDefault="00330FC0">
          <w:pPr>
            <w:pStyle w:val="2"/>
            <w:numPr>
              <w:ilvl w:val="0"/>
              <w:numId w:val="1"/>
            </w:numPr>
            <w:tabs>
              <w:tab w:val="left" w:pos="448"/>
            </w:tabs>
            <w:spacing w:before="0"/>
          </w:pPr>
          <w:r>
            <w:rPr>
              <w:rFonts w:hint="eastAsia"/>
            </w:rPr>
            <w:t>公司</w:t>
          </w:r>
          <w:sdt>
            <w:sdtPr>
              <w:tag w:val="_PLD_67dfe594d3e24f69b6f9757d86ded61b"/>
              <w:id w:val="-2100637121"/>
            </w:sdtPr>
            <w:sdtContent>
              <w:r>
                <w:rPr>
                  <w:rFonts w:hint="eastAsia"/>
                </w:rPr>
                <w:t>全体董事出席</w:t>
              </w:r>
            </w:sdtContent>
          </w:sdt>
          <w:r>
            <w:rPr>
              <w:rFonts w:hint="eastAsia"/>
            </w:rPr>
            <w:t>董事会会议。</w:t>
          </w:r>
        </w:p>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560829293"/>
        <w:placeholder>
          <w:docPart w:val="GBC22222222222222222222222222222"/>
        </w:placeholder>
      </w:sdtPr>
      <w:sdtEndPr>
        <w:rPr>
          <w:rFonts w:ascii="Arial" w:hAnsi="Arial" w:cs="Times New Roman" w:hint="default"/>
          <w:b/>
          <w:bCs/>
          <w:kern w:val="2"/>
          <w:sz w:val="21"/>
          <w:szCs w:val="20"/>
        </w:rPr>
      </w:sdtEndPr>
      <w:sdtContent>
        <w:p w14:paraId="1C38F2AC" w14:textId="77777777" w:rsidR="00577D08" w:rsidRDefault="00000000">
          <w:pPr>
            <w:pStyle w:val="2"/>
            <w:numPr>
              <w:ilvl w:val="0"/>
              <w:numId w:val="1"/>
            </w:numPr>
            <w:tabs>
              <w:tab w:val="left" w:pos="518"/>
            </w:tabs>
            <w:spacing w:before="0"/>
            <w:jc w:val="left"/>
          </w:pPr>
          <w:sdt>
            <w:sdtPr>
              <w:rPr>
                <w:rFonts w:ascii="宋体" w:hAnsi="宋体" w:hint="eastAsia"/>
              </w:rPr>
              <w:alias w:val="公司聘请的境内会计师事务所名称"/>
              <w:tag w:val="_GBC_ad504284986e4ab994733d7125ba1c33"/>
              <w:id w:val="-424646390"/>
              <w:placeholder>
                <w:docPart w:val="GBC22222222222222222222222222222"/>
              </w:placeholder>
            </w:sdtPr>
            <w:sdtContent>
              <w:sdt>
                <w:sdtPr>
                  <w:rPr>
                    <w:rFonts w:ascii="宋体" w:hAnsi="宋体" w:cs="宋体"/>
                    <w:sz w:val="24"/>
                    <w:szCs w:val="24"/>
                  </w:rPr>
                  <w:alias w:val="公司聘请的境内会计师事务所名称"/>
                  <w:tag w:val="_GBC_ad504284986e4ab994733d7125ba1c33"/>
                  <w:id w:val="-1853477781"/>
                </w:sdtPr>
                <w:sdtContent>
                  <w:r w:rsidR="00330FC0">
                    <w:rPr>
                      <w:rFonts w:ascii="宋体" w:hAnsi="宋体" w:cs="宋体"/>
                    </w:rPr>
                    <w:t>天健会计师事务所（特殊普通合伙）</w:t>
                  </w:r>
                </w:sdtContent>
              </w:sdt>
            </w:sdtContent>
          </w:sdt>
          <w:r w:rsidR="00330FC0">
            <w:rPr>
              <w:rFonts w:ascii="宋体" w:hAnsi="宋体" w:hint="eastAsia"/>
            </w:rPr>
            <w:t>为本公司出具了</w:t>
          </w:r>
          <w:sdt>
            <w:sdtPr>
              <w:rPr>
                <w:rFonts w:ascii="宋体" w:hAnsi="宋体" w:hint="eastAsia"/>
              </w:rPr>
              <w:alias w:val="会计师事务所审计意见类型"/>
              <w:tag w:val="_GBC_fc66ac35f9514436909a413223854389"/>
              <w:id w:val="-95406090"/>
              <w:placeholder>
                <w:docPart w:val="GBC22222222222222222222222222222"/>
              </w:placeholder>
            </w:sdtPr>
            <w:sdtContent>
              <w:r w:rsidR="00330FC0">
                <w:rPr>
                  <w:rFonts w:ascii="宋体" w:hAnsi="宋体" w:hint="eastAsia"/>
                </w:rPr>
                <w:t>标准无保留意见</w:t>
              </w:r>
            </w:sdtContent>
          </w:sdt>
          <w:r w:rsidR="00330FC0">
            <w:rPr>
              <w:rFonts w:ascii="宋体" w:hAnsi="宋体" w:hint="eastAsia"/>
            </w:rPr>
            <w:t>的审计报告。</w:t>
          </w:r>
        </w:p>
      </w:sdtContent>
    </w:sdt>
    <w:p w14:paraId="4FC27F29" w14:textId="77777777" w:rsidR="00577D08" w:rsidRDefault="00330FC0">
      <w:pPr>
        <w:pStyle w:val="2"/>
        <w:numPr>
          <w:ilvl w:val="0"/>
          <w:numId w:val="1"/>
        </w:numPr>
        <w:tabs>
          <w:tab w:val="left" w:pos="434"/>
        </w:tabs>
        <w:spacing w:before="0"/>
      </w:pPr>
      <w:r>
        <w:rPr>
          <w:rFonts w:ascii="宋体" w:hAnsi="宋体" w:hint="eastAsia"/>
        </w:rPr>
        <w:t>公司负责人</w:t>
      </w:r>
      <w:sdt>
        <w:sdtPr>
          <w:rPr>
            <w:rFonts w:ascii="宋体" w:hAnsi="宋体"/>
          </w:rPr>
          <w:alias w:val="公司负责人姓名"/>
          <w:tag w:val="_GBC_ba0728eaa9a342098d20addcde59ed31"/>
          <w:id w:val="734357281"/>
          <w:placeholder>
            <w:docPart w:val="GBC22222222222222222222222222222"/>
          </w:placeholder>
          <w:dataBinding w:prefixMappings="xmlns:clcid-mr='clcid-mr'" w:xpath="/*/clcid-mr:GongSiFuZeRenXingMing[not(@periodRef)]" w:storeItemID="{89EBAB94-44A0-46A2-B712-30D997D04A6D}"/>
          <w:text/>
        </w:sdtPr>
        <w:sdtContent>
          <w:r>
            <w:rPr>
              <w:rFonts w:ascii="宋体" w:hAnsi="宋体"/>
            </w:rPr>
            <w:t>杨泽民</w:t>
          </w:r>
        </w:sdtContent>
      </w:sdt>
      <w:r>
        <w:rPr>
          <w:rFonts w:ascii="宋体" w:hAnsi="宋体" w:hint="eastAsia"/>
        </w:rPr>
        <w:t>、主管会计工作负责人</w:t>
      </w:r>
      <w:sdt>
        <w:sdtPr>
          <w:rPr>
            <w:rFonts w:ascii="宋体" w:hAnsi="宋体"/>
          </w:rPr>
          <w:alias w:val="主管会计工作负责人姓名"/>
          <w:tag w:val="_GBC_9ac791ae357946e68402505d2aa6b3b9"/>
          <w:id w:val="-943372511"/>
          <w:placeholder>
            <w:docPart w:val="GBC22222222222222222222222222222"/>
          </w:placeholder>
          <w:dataBinding w:prefixMappings="xmlns:clcid-mr='clcid-mr'" w:xpath="/*/clcid-mr:ZhuGuanKuaiJiGongZuoFuZeRenXingMing[not(@periodRef)]" w:storeItemID="{89EBAB94-44A0-46A2-B712-30D997D04A6D}"/>
          <w:text/>
        </w:sdtPr>
        <w:sdtContent>
          <w:r>
            <w:rPr>
              <w:rFonts w:ascii="宋体" w:hAnsi="宋体"/>
            </w:rPr>
            <w:t>杨万华</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39157757"/>
          <w:placeholder>
            <w:docPart w:val="GBC22222222222222222222222222222"/>
          </w:placeholder>
          <w:dataBinding w:prefixMappings="xmlns:clcid-mr='clcid-mr'" w:xpath="/*/clcid-mr:KuaiJiJiGouFuZeRenXingMing[not(@periodRef)]" w:storeItemID="{89EBAB94-44A0-46A2-B712-30D997D04A6D}"/>
          <w:text/>
        </w:sdtPr>
        <w:sdtContent>
          <w:r>
            <w:rPr>
              <w:rFonts w:ascii="宋体" w:hAnsi="宋体"/>
            </w:rPr>
            <w:t>冯波</w:t>
          </w:r>
        </w:sdtContent>
      </w:sdt>
      <w:r>
        <w:rPr>
          <w:rFonts w:ascii="宋体" w:hAnsi="宋体" w:hint="eastAsia"/>
        </w:rPr>
        <w:t>声明：保证年度报告中财务报告的真实、准确、完整。</w:t>
      </w:r>
    </w:p>
    <w:p w14:paraId="73951717" w14:textId="77777777" w:rsidR="00577D08" w:rsidRDefault="00330FC0">
      <w:pPr>
        <w:pStyle w:val="2"/>
        <w:numPr>
          <w:ilvl w:val="0"/>
          <w:numId w:val="1"/>
        </w:numPr>
        <w:tabs>
          <w:tab w:val="left" w:pos="490"/>
        </w:tabs>
        <w:spacing w:before="0"/>
        <w:rPr>
          <w:rFonts w:ascii="宋体" w:hAnsi="宋体" w:hint="eastAsia"/>
        </w:rPr>
      </w:pPr>
      <w:bookmarkStart w:id="3" w:name="_Hlk188283359"/>
      <w:r>
        <w:rPr>
          <w:rFonts w:ascii="Calibri" w:hAnsi="Calibri" w:cs="宋体" w:hint="eastAsia"/>
          <w:kern w:val="0"/>
        </w:rPr>
        <w:t>董事会决议通过的本报告期利润分配预案或公积金转增股本预案</w:t>
      </w:r>
    </w:p>
    <w:sdt>
      <w:sdtPr>
        <w:rPr>
          <w:rFonts w:hint="eastAsia"/>
        </w:rPr>
        <w:alias w:val="经董事会审议的报告期利润分配预案或公积金转增股本预案"/>
        <w:tag w:val="_GBC_87fdd30c16df49cc824b47e55e4be6d9"/>
        <w:id w:val="-1680886957"/>
        <w:placeholder>
          <w:docPart w:val="EFC8D6548FF84CBD965294544361FEEC"/>
        </w:placeholder>
      </w:sdtPr>
      <w:sdtContent>
        <w:p w14:paraId="39A3CD55" w14:textId="77777777" w:rsidR="00577D08" w:rsidRDefault="00330FC0">
          <w:pPr>
            <w:kinsoku w:val="0"/>
            <w:overflowPunct w:val="0"/>
            <w:autoSpaceDE w:val="0"/>
            <w:autoSpaceDN w:val="0"/>
            <w:adjustRightInd w:val="0"/>
            <w:snapToGrid w:val="0"/>
            <w:spacing w:line="360" w:lineRule="exact"/>
            <w:ind w:firstLineChars="200" w:firstLine="420"/>
          </w:pPr>
          <w:r>
            <w:rPr>
              <w:rFonts w:hint="eastAsia"/>
            </w:rPr>
            <w:t>经天健会计师事务所（特殊普通合伙）审计，公司</w:t>
          </w:r>
          <w:r>
            <w:rPr>
              <w:rFonts w:hint="eastAsia"/>
            </w:rPr>
            <w:t>2025</w:t>
          </w:r>
          <w:r>
            <w:rPr>
              <w:rFonts w:hint="eastAsia"/>
            </w:rPr>
            <w:t>年度归属于母公司所有者的净利润为</w:t>
          </w:r>
          <w:r>
            <w:rPr>
              <w:rFonts w:hint="eastAsia"/>
            </w:rPr>
            <w:t>6,924.32</w:t>
          </w:r>
          <w:r>
            <w:rPr>
              <w:rFonts w:hint="eastAsia"/>
            </w:rPr>
            <w:t>万元，截止</w:t>
          </w:r>
          <w:r>
            <w:rPr>
              <w:rFonts w:hint="eastAsia"/>
            </w:rPr>
            <w:t>2025</w:t>
          </w:r>
          <w:r>
            <w:rPr>
              <w:rFonts w:hint="eastAsia"/>
            </w:rPr>
            <w:t>年</w:t>
          </w:r>
          <w:r>
            <w:rPr>
              <w:rFonts w:hint="eastAsia"/>
            </w:rPr>
            <w:t>12</w:t>
          </w:r>
          <w:r>
            <w:rPr>
              <w:rFonts w:hint="eastAsia"/>
            </w:rPr>
            <w:t>月</w:t>
          </w:r>
          <w:r>
            <w:rPr>
              <w:rFonts w:hint="eastAsia"/>
            </w:rPr>
            <w:t>31</w:t>
          </w:r>
          <w:r>
            <w:rPr>
              <w:rFonts w:hint="eastAsia"/>
            </w:rPr>
            <w:t>日，母公司经审计可供分配利润为</w:t>
          </w:r>
          <w:r>
            <w:rPr>
              <w:rFonts w:hint="eastAsia"/>
            </w:rPr>
            <w:t>101,047.62</w:t>
          </w:r>
          <w:r>
            <w:rPr>
              <w:rFonts w:hint="eastAsia"/>
            </w:rPr>
            <w:t>万元。</w:t>
          </w:r>
        </w:p>
        <w:p w14:paraId="5C091902" w14:textId="77777777" w:rsidR="00577D08" w:rsidRDefault="00330FC0">
          <w:pPr>
            <w:kinsoku w:val="0"/>
            <w:overflowPunct w:val="0"/>
            <w:autoSpaceDE w:val="0"/>
            <w:autoSpaceDN w:val="0"/>
            <w:adjustRightInd w:val="0"/>
            <w:snapToGrid w:val="0"/>
            <w:spacing w:line="360" w:lineRule="exact"/>
            <w:ind w:firstLineChars="200" w:firstLine="420"/>
          </w:pPr>
          <w:r>
            <w:rPr>
              <w:rFonts w:hint="eastAsia"/>
            </w:rPr>
            <w:t>公司拟以实施权益分派股权登记日登记的总股本为基数，向全体股东每</w:t>
          </w:r>
          <w:r>
            <w:rPr>
              <w:rFonts w:hint="eastAsia"/>
            </w:rPr>
            <w:t>10</w:t>
          </w:r>
          <w:r>
            <w:rPr>
              <w:rFonts w:hint="eastAsia"/>
            </w:rPr>
            <w:t>股派发现金红利</w:t>
          </w:r>
          <w:r>
            <w:rPr>
              <w:rFonts w:hint="eastAsia"/>
            </w:rPr>
            <w:t>0.5</w:t>
          </w:r>
          <w:r>
            <w:rPr>
              <w:rFonts w:hint="eastAsia"/>
            </w:rPr>
            <w:t>元（含税），不进行资本公积金转增股本和送红股。截至目前，公司总股本</w:t>
          </w:r>
          <w:r>
            <w:rPr>
              <w:rFonts w:hint="eastAsia"/>
            </w:rPr>
            <w:t>329,964,639</w:t>
          </w:r>
          <w:r>
            <w:rPr>
              <w:rFonts w:hint="eastAsia"/>
            </w:rPr>
            <w:t>股，以此计算拟派发现金红利</w:t>
          </w:r>
          <w:r>
            <w:rPr>
              <w:rFonts w:hint="eastAsia"/>
            </w:rPr>
            <w:t>1,649.82</w:t>
          </w:r>
          <w:r>
            <w:rPr>
              <w:rFonts w:hint="eastAsia"/>
            </w:rPr>
            <w:t>万元（含税），占公司</w:t>
          </w:r>
          <w:r>
            <w:rPr>
              <w:rFonts w:hint="eastAsia"/>
            </w:rPr>
            <w:t>2025</w:t>
          </w:r>
          <w:r>
            <w:rPr>
              <w:rFonts w:hint="eastAsia"/>
            </w:rPr>
            <w:t>年度归属于母公司所有者的净利润比例为</w:t>
          </w:r>
          <w:r>
            <w:rPr>
              <w:rFonts w:hint="eastAsia"/>
            </w:rPr>
            <w:t>23.83%</w:t>
          </w:r>
          <w:r>
            <w:rPr>
              <w:rFonts w:hint="eastAsia"/>
            </w:rPr>
            <w:t>。</w:t>
          </w:r>
        </w:p>
        <w:p w14:paraId="6411477A" w14:textId="77777777" w:rsidR="00577D08" w:rsidRDefault="00330FC0">
          <w:pPr>
            <w:kinsoku w:val="0"/>
            <w:overflowPunct w:val="0"/>
            <w:autoSpaceDE w:val="0"/>
            <w:autoSpaceDN w:val="0"/>
            <w:adjustRightInd w:val="0"/>
            <w:snapToGrid w:val="0"/>
            <w:spacing w:line="360" w:lineRule="exact"/>
            <w:ind w:firstLineChars="200" w:firstLine="420"/>
          </w:pPr>
          <w:r>
            <w:rPr>
              <w:rFonts w:hint="eastAsia"/>
            </w:rPr>
            <w:t>如在本利润分配预案披露之日起至实施权益分派股权登记日期间，公司总股本发生变动的，公司拟维持每股分配比例不变，以实施分配方案时股权登记日的总股本为基数，相应调整分配总额。如后续公司总股本发生变化，将在相关公告中披露。</w:t>
          </w:r>
        </w:p>
        <w:p w14:paraId="05F006CA" w14:textId="77777777" w:rsidR="00577D08" w:rsidRDefault="00330FC0">
          <w:pPr>
            <w:kinsoku w:val="0"/>
            <w:overflowPunct w:val="0"/>
            <w:autoSpaceDE w:val="0"/>
            <w:autoSpaceDN w:val="0"/>
            <w:adjustRightInd w:val="0"/>
            <w:snapToGrid w:val="0"/>
            <w:spacing w:line="360" w:lineRule="exact"/>
            <w:ind w:firstLineChars="200" w:firstLine="420"/>
          </w:pPr>
          <w:r>
            <w:rPr>
              <w:rFonts w:hint="eastAsia"/>
            </w:rPr>
            <w:t>本预案经公司第四届董事会第十八次会议审议通过，尚需提交公司股东会审议。</w:t>
          </w:r>
        </w:p>
      </w:sdtContent>
    </w:sdt>
    <w:p w14:paraId="64412356" w14:textId="77777777" w:rsidR="00577D08" w:rsidRDefault="00330FC0">
      <w:pPr>
        <w:kinsoku w:val="0"/>
        <w:overflowPunct w:val="0"/>
        <w:autoSpaceDE w:val="0"/>
        <w:autoSpaceDN w:val="0"/>
        <w:adjustRightInd w:val="0"/>
        <w:snapToGrid w:val="0"/>
        <w:spacing w:line="360" w:lineRule="exact"/>
        <w:rPr>
          <w:rFonts w:ascii="Calibri" w:hAnsi="Calibri"/>
          <w:b/>
          <w:bCs/>
        </w:rPr>
      </w:pPr>
      <w:r>
        <w:rPr>
          <w:rFonts w:ascii="Calibri" w:hAnsi="Calibri" w:hint="eastAsia"/>
          <w:b/>
          <w:bCs/>
        </w:rPr>
        <w:t>截至报告期末，母公司存在未弥补亏损的相关情况及其对公司分红等事项的影响</w:t>
      </w:r>
    </w:p>
    <w:sdt>
      <w:sdtPr>
        <w:rPr>
          <w:rFonts w:hint="eastAsia"/>
        </w:rPr>
        <w:alias w:val="是否适用：母公司存在未弥补亏损的相关情况及对公司分红等事项的影响[双击切换]"/>
        <w:tag w:val="_GBC_f4072938560548dfb5ebe61b52489b8c"/>
        <w:id w:val="-363440193"/>
        <w:placeholder>
          <w:docPart w:val="EFC8D6548FF84CBD965294544361FEEC"/>
        </w:placeholder>
      </w:sdtPr>
      <w:sdtContent>
        <w:p w14:paraId="31F57DAC" w14:textId="77777777" w:rsidR="00577D08" w:rsidRDefault="00330FC0">
          <w:pPr>
            <w:rPr>
              <w:rFonts w:asciiTheme="minorEastAsia" w:eastAsiaTheme="minorEastAsia" w:hAnsiTheme="minorEastAsia" w:hint="eastAsia"/>
            </w:rPr>
          </w:pPr>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3"/>
    <w:p w14:paraId="31E30AC0" w14:textId="77777777" w:rsidR="00577D08" w:rsidRDefault="00330FC0">
      <w:pPr>
        <w:pStyle w:val="2"/>
        <w:numPr>
          <w:ilvl w:val="0"/>
          <w:numId w:val="1"/>
        </w:numPr>
        <w:tabs>
          <w:tab w:val="left" w:pos="504"/>
        </w:tabs>
        <w:spacing w:before="0"/>
      </w:pPr>
      <w:r>
        <w:t>前瞻性陈述的风险声明</w:t>
      </w:r>
    </w:p>
    <w:sdt>
      <w:sdtPr>
        <w:alias w:val="是否适用：前瞻性陈述的风险声明[双击切换]"/>
        <w:tag w:val="_GBC_5e5553f9f96e47e8b5eded9c0e6a26c0"/>
        <w:id w:val="-794593797"/>
        <w:placeholder>
          <w:docPart w:val="GBC22222222222222222222222222222"/>
        </w:placeholder>
      </w:sdtPr>
      <w:sdtContent>
        <w:p w14:paraId="6E20245D"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对报告涉及未来计划等前瞻性陈述的声明"/>
        <w:tag w:val="_GBC_1f83625afa8e46e9bb2a951797b077a3"/>
        <w:id w:val="1897008243"/>
        <w:placeholder>
          <w:docPart w:val="GBC22222222222222222222222222222"/>
        </w:placeholder>
      </w:sdtPr>
      <w:sdtContent>
        <w:p w14:paraId="622001F6" w14:textId="77777777" w:rsidR="00577D08" w:rsidRDefault="00330FC0">
          <w:pPr>
            <w:kinsoku w:val="0"/>
            <w:overflowPunct w:val="0"/>
            <w:autoSpaceDE w:val="0"/>
            <w:autoSpaceDN w:val="0"/>
            <w:adjustRightInd w:val="0"/>
            <w:snapToGrid w:val="0"/>
            <w:spacing w:line="360" w:lineRule="exact"/>
            <w:ind w:firstLineChars="200" w:firstLine="420"/>
          </w:pPr>
          <w:r>
            <w:rPr>
              <w:rFonts w:hint="eastAsia"/>
            </w:rPr>
            <w:t>本报告包含若干公司对未来发展战略、业务规划、经营计划、财务预计等前瞻性描述；这些</w:t>
          </w:r>
        </w:p>
        <w:p w14:paraId="00F83614" w14:textId="77777777" w:rsidR="00577D08" w:rsidRDefault="00330FC0">
          <w:pPr>
            <w:kinsoku w:val="0"/>
            <w:overflowPunct w:val="0"/>
            <w:autoSpaceDE w:val="0"/>
            <w:autoSpaceDN w:val="0"/>
            <w:adjustRightInd w:val="0"/>
            <w:snapToGrid w:val="0"/>
            <w:spacing w:line="360" w:lineRule="exact"/>
          </w:pPr>
          <w:r>
            <w:rPr>
              <w:rFonts w:hint="eastAsia"/>
            </w:rPr>
            <w:t>陈述基于当前能够掌握的信息与数据对未来所做出的估计或预测，不构成公司对投资者的实质承诺，敬请投资者注意投资风险。</w:t>
          </w:r>
        </w:p>
      </w:sdtContent>
    </w:sdt>
    <w:p w14:paraId="4D3F4C78" w14:textId="77777777" w:rsidR="00577D08" w:rsidRDefault="00330FC0">
      <w:pPr>
        <w:pStyle w:val="2"/>
        <w:numPr>
          <w:ilvl w:val="0"/>
          <w:numId w:val="1"/>
        </w:numPr>
        <w:tabs>
          <w:tab w:val="left" w:pos="434"/>
          <w:tab w:val="left" w:pos="644"/>
        </w:tabs>
        <w:spacing w:before="0"/>
      </w:pPr>
      <w:r>
        <w:t>是否存在被控股股东及其</w:t>
      </w:r>
      <w:r>
        <w:rPr>
          <w:rFonts w:hint="eastAsia"/>
        </w:rPr>
        <w:t>他</w:t>
      </w:r>
      <w:r>
        <w:t>关联方非经营性占用资金情况</w:t>
      </w:r>
    </w:p>
    <w:sdt>
      <w:sdtPr>
        <w:rPr>
          <w:rFonts w:ascii="Arial" w:hAnsi="Arial" w:hint="eastAsia"/>
          <w:bCs/>
        </w:rPr>
        <w:alias w:val="本公司是否存在大股东占用资金情况"/>
        <w:tag w:val="_GBC_a9b8d3170fbb4d50a645223c117f8b30"/>
        <w:id w:val="-782957130"/>
        <w:placeholder>
          <w:docPart w:val="GBC22222222222222222222222222222"/>
        </w:placeholder>
        <w:comboBox>
          <w:listItem w:displayText="是" w:value="true"/>
          <w:listItem w:displayText="否" w:value="false"/>
        </w:comboBox>
      </w:sdtPr>
      <w:sdtContent>
        <w:p w14:paraId="10658212" w14:textId="77777777" w:rsidR="00577D08" w:rsidRDefault="00330FC0">
          <w:pPr>
            <w:kinsoku w:val="0"/>
            <w:overflowPunct w:val="0"/>
            <w:autoSpaceDE w:val="0"/>
            <w:autoSpaceDN w:val="0"/>
            <w:adjustRightInd w:val="0"/>
            <w:snapToGrid w:val="0"/>
            <w:spacing w:line="360" w:lineRule="exact"/>
            <w:rPr>
              <w:rFonts w:ascii="Arial" w:hAnsi="Arial"/>
              <w:bCs/>
            </w:rPr>
          </w:pPr>
          <w:r>
            <w:rPr>
              <w:rFonts w:ascii="Arial" w:hAnsi="Arial" w:hint="eastAsia"/>
              <w:bCs/>
            </w:rPr>
            <w:t>否</w:t>
          </w:r>
        </w:p>
      </w:sdtContent>
    </w:sdt>
    <w:p w14:paraId="213BAFC0" w14:textId="77777777" w:rsidR="00577D08" w:rsidRDefault="00330FC0">
      <w:pPr>
        <w:pStyle w:val="2"/>
        <w:numPr>
          <w:ilvl w:val="0"/>
          <w:numId w:val="1"/>
        </w:numPr>
        <w:tabs>
          <w:tab w:val="left" w:pos="644"/>
        </w:tabs>
        <w:spacing w:before="0"/>
      </w:pPr>
      <w:r>
        <w:t>是否存在违反规定决策程序对外提供担保的情况</w:t>
      </w:r>
    </w:p>
    <w:sdt>
      <w:sdtPr>
        <w:rPr>
          <w:rFonts w:hint="eastAsia"/>
        </w:rPr>
        <w:alias w:val="本公司是否存在违反规定决策程序对外提供担保的情况"/>
        <w:tag w:val="_GBC_aef7ac6bbdf043bc8051c4f9fb55e5ea"/>
        <w:id w:val="1938011711"/>
        <w:placeholder>
          <w:docPart w:val="GBC22222222222222222222222222222"/>
        </w:placeholder>
        <w:comboBox>
          <w:listItem w:displayText="是" w:value="true"/>
          <w:listItem w:displayText="否" w:value="false"/>
        </w:comboBox>
      </w:sdtPr>
      <w:sdtContent>
        <w:p w14:paraId="09D22FF8" w14:textId="77777777" w:rsidR="00577D08" w:rsidRDefault="00330FC0">
          <w:r>
            <w:rPr>
              <w:rFonts w:hint="eastAsia"/>
            </w:rPr>
            <w:t>否</w:t>
          </w:r>
        </w:p>
      </w:sdtContent>
    </w:sdt>
    <w:p w14:paraId="5F87010D" w14:textId="77777777" w:rsidR="00577D08" w:rsidRDefault="00330FC0">
      <w:pPr>
        <w:pStyle w:val="2"/>
        <w:numPr>
          <w:ilvl w:val="0"/>
          <w:numId w:val="1"/>
        </w:numPr>
        <w:tabs>
          <w:tab w:val="left" w:pos="644"/>
        </w:tabs>
        <w:spacing w:before="0"/>
        <w:rPr>
          <w:rFonts w:ascii="Calibri" w:hAnsi="Calibri" w:cs="宋体"/>
          <w:kern w:val="0"/>
        </w:rPr>
      </w:pPr>
      <w:bookmarkStart w:id="4" w:name="_Hlk61881950"/>
      <w:r>
        <w:rPr>
          <w:rFonts w:ascii="Calibri" w:hAnsi="Calibri" w:cs="宋体"/>
          <w:kern w:val="0"/>
        </w:rPr>
        <w:t>是否存在半数</w:t>
      </w:r>
      <w:r>
        <w:rPr>
          <w:rFonts w:ascii="Calibri" w:hAnsi="Calibri" w:cs="宋体" w:hint="eastAsia"/>
          <w:kern w:val="0"/>
        </w:rPr>
        <w:t>以上</w:t>
      </w:r>
      <w:r>
        <w:rPr>
          <w:rFonts w:ascii="Calibri" w:hAnsi="Calibri" w:cs="宋体"/>
          <w:kern w:val="0"/>
        </w:rPr>
        <w:t>董事无法保证公司所披露年度报告的真实性、准确性和完整性</w:t>
      </w:r>
      <w:bookmarkEnd w:id="4"/>
    </w:p>
    <w:sdt>
      <w:sdtPr>
        <w:rPr>
          <w:rFonts w:hint="eastAsia"/>
        </w:rPr>
        <w:alias w:val="是否存在半数以上董事无法保证公司所披露年度报告的真实性、准确性和完整性"/>
        <w:tag w:val="_GBC_abc43c78fabf487d8ee599f7fe1628a3"/>
        <w:id w:val="-356893611"/>
        <w:placeholder>
          <w:docPart w:val="GBC22222222222222222222222222222"/>
        </w:placeholder>
        <w:comboBox>
          <w:listItem w:displayText="是" w:value="是"/>
          <w:listItem w:displayText="否" w:value="否"/>
        </w:comboBox>
      </w:sdtPr>
      <w:sdtContent>
        <w:p w14:paraId="59404642" w14:textId="77777777" w:rsidR="00577D08" w:rsidRDefault="00330FC0">
          <w:r>
            <w:rPr>
              <w:rFonts w:hint="eastAsia"/>
            </w:rPr>
            <w:t>否</w:t>
          </w:r>
        </w:p>
      </w:sdtContent>
    </w:sdt>
    <w:p w14:paraId="11D43975" w14:textId="77777777" w:rsidR="00577D08" w:rsidRDefault="00330FC0">
      <w:pPr>
        <w:pStyle w:val="2"/>
        <w:numPr>
          <w:ilvl w:val="0"/>
          <w:numId w:val="1"/>
        </w:numPr>
        <w:tabs>
          <w:tab w:val="left" w:pos="644"/>
        </w:tabs>
        <w:spacing w:before="0"/>
      </w:pPr>
      <w:r>
        <w:rPr>
          <w:rFonts w:hint="eastAsia"/>
        </w:rPr>
        <w:t>重大风险提示</w:t>
      </w:r>
    </w:p>
    <w:sdt>
      <w:sdtPr>
        <w:alias w:val="重大风险提示"/>
        <w:tag w:val="_GBC_43a6b8847e0241f1af5326af848c7cec"/>
        <w:id w:val="604855287"/>
        <w:placeholder>
          <w:docPart w:val="GBC22222222222222222222222222222"/>
        </w:placeholder>
      </w:sdtPr>
      <w:sdtContent>
        <w:p w14:paraId="15ACEB10" w14:textId="77777777" w:rsidR="00577D08" w:rsidRDefault="00330FC0">
          <w:pPr>
            <w:ind w:firstLineChars="200" w:firstLine="420"/>
          </w:pPr>
          <w:r>
            <w:rPr>
              <w:rFonts w:hint="eastAsia"/>
            </w:rPr>
            <w:t>公司已在本报告中详细阐述了公司在生产经营过程中可能面临的各种风险及应对措施，敬请</w:t>
          </w:r>
        </w:p>
        <w:p w14:paraId="25C28913" w14:textId="77777777" w:rsidR="00577D08" w:rsidRDefault="00330FC0">
          <w:r>
            <w:rPr>
              <w:rFonts w:hint="eastAsia"/>
            </w:rPr>
            <w:t>查阅第三节、六（四）“可能面对的风险”部分</w:t>
          </w:r>
        </w:p>
      </w:sdtContent>
    </w:sdt>
    <w:p w14:paraId="33116396" w14:textId="77777777" w:rsidR="00577D08" w:rsidRDefault="00330FC0">
      <w:pPr>
        <w:pStyle w:val="2"/>
        <w:numPr>
          <w:ilvl w:val="0"/>
          <w:numId w:val="1"/>
        </w:numPr>
        <w:tabs>
          <w:tab w:val="left" w:pos="588"/>
          <w:tab w:val="left" w:pos="644"/>
          <w:tab w:val="left" w:pos="672"/>
        </w:tabs>
        <w:spacing w:before="0"/>
      </w:pPr>
      <w:r>
        <w:rPr>
          <w:rFonts w:hint="eastAsia"/>
        </w:rPr>
        <w:t>其他</w:t>
      </w:r>
    </w:p>
    <w:sdt>
      <w:sdtPr>
        <w:alias w:val="是否适用：其他重要提示[双击切换]"/>
        <w:tag w:val="_GBC_0eafa210a73340628544c13dacbc7643"/>
        <w:id w:val="1758637097"/>
        <w:placeholder>
          <w:docPart w:val="GBC22222222222222222222222222222"/>
        </w:placeholder>
      </w:sdtPr>
      <w:sdtContent>
        <w:p w14:paraId="3D26487C"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0B79278" w14:textId="77777777" w:rsidR="00577D08" w:rsidRDefault="00330FC0">
      <w:pPr>
        <w:spacing w:line="480" w:lineRule="auto"/>
        <w:jc w:val="center"/>
        <w:rPr>
          <w:b/>
          <w:sz w:val="28"/>
          <w:szCs w:val="28"/>
        </w:rPr>
      </w:pPr>
      <w:r>
        <w:rPr>
          <w:rFonts w:hint="eastAsia"/>
          <w:b/>
          <w:sz w:val="28"/>
          <w:szCs w:val="28"/>
          <w:shd w:val="solid" w:color="FFFFFF" w:fill="auto"/>
        </w:rPr>
        <w:lastRenderedPageBreak/>
        <w:t>目录</w:t>
      </w:r>
    </w:p>
    <w:p w14:paraId="1D7ABBC5" w14:textId="77777777" w:rsidR="00577D08" w:rsidRDefault="00330FC0">
      <w:pPr>
        <w:pStyle w:val="TOC1"/>
        <w:rPr>
          <w:rFonts w:asciiTheme="minorHAnsi" w:eastAsiaTheme="minorEastAsia" w:hAnsiTheme="minorHAnsi" w:cstheme="minorBidi"/>
          <w:b/>
          <w:bCs/>
          <w:sz w:val="22"/>
          <w:szCs w:val="24"/>
          <w14:ligatures w14:val="standardContextual"/>
        </w:rPr>
      </w:pPr>
      <w:r>
        <w:fldChar w:fldCharType="begin"/>
      </w:r>
      <w:r>
        <w:instrText xml:space="preserve"> TOC \o "1-1" \h \z \u </w:instrText>
      </w:r>
      <w:r>
        <w:fldChar w:fldCharType="separate"/>
      </w:r>
      <w:hyperlink w:anchor="_Toc191024256" w:history="1">
        <w:r>
          <w:rPr>
            <w:rStyle w:val="aff6"/>
            <w:rFonts w:hint="eastAsia"/>
            <w:b/>
            <w:bCs/>
          </w:rPr>
          <w:t>第一节</w:t>
        </w:r>
        <w:r>
          <w:rPr>
            <w:rFonts w:asciiTheme="minorHAnsi" w:eastAsiaTheme="minorEastAsia" w:hAnsiTheme="minorHAnsi" w:cstheme="minorBidi" w:hint="eastAsia"/>
            <w:b/>
            <w:bCs/>
            <w:sz w:val="22"/>
            <w:szCs w:val="24"/>
            <w14:ligatures w14:val="standardContextual"/>
          </w:rPr>
          <w:tab/>
        </w:r>
        <w:r>
          <w:rPr>
            <w:rStyle w:val="aff6"/>
            <w:rFonts w:hint="eastAsia"/>
            <w:b/>
            <w:bCs/>
          </w:rPr>
          <w:t>释义</w:t>
        </w:r>
        <w:r>
          <w:rPr>
            <w:rFonts w:hint="eastAsia"/>
            <w:b/>
            <w:bCs/>
          </w:rPr>
          <w:tab/>
        </w:r>
        <w:r>
          <w:rPr>
            <w:rFonts w:hint="eastAsia"/>
            <w:b/>
            <w:bCs/>
          </w:rPr>
          <w:fldChar w:fldCharType="begin"/>
        </w:r>
        <w:r>
          <w:rPr>
            <w:rFonts w:hint="eastAsia"/>
            <w:b/>
            <w:bCs/>
          </w:rPr>
          <w:instrText xml:space="preserve"> </w:instrText>
        </w:r>
        <w:r>
          <w:rPr>
            <w:b/>
            <w:bCs/>
          </w:rPr>
          <w:instrText>PAGEREF _Toc191024256 \h</w:instrText>
        </w:r>
        <w:r>
          <w:rPr>
            <w:rFonts w:hint="eastAsia"/>
            <w:b/>
            <w:bCs/>
          </w:rPr>
          <w:instrText xml:space="preserve"> </w:instrText>
        </w:r>
        <w:r>
          <w:rPr>
            <w:rFonts w:hint="eastAsia"/>
            <w:b/>
            <w:bCs/>
          </w:rPr>
        </w:r>
        <w:r>
          <w:rPr>
            <w:rFonts w:hint="eastAsia"/>
            <w:b/>
            <w:bCs/>
          </w:rPr>
          <w:fldChar w:fldCharType="separate"/>
        </w:r>
        <w:r>
          <w:rPr>
            <w:b/>
            <w:bCs/>
          </w:rPr>
          <w:t>5</w:t>
        </w:r>
        <w:r>
          <w:rPr>
            <w:rFonts w:hint="eastAsia"/>
            <w:b/>
            <w:bCs/>
          </w:rPr>
          <w:fldChar w:fldCharType="end"/>
        </w:r>
      </w:hyperlink>
    </w:p>
    <w:p w14:paraId="0882348F" w14:textId="77777777" w:rsidR="00577D08" w:rsidRDefault="00330FC0">
      <w:pPr>
        <w:pStyle w:val="TOC1"/>
        <w:rPr>
          <w:rFonts w:asciiTheme="minorHAnsi" w:eastAsiaTheme="minorEastAsia" w:hAnsiTheme="minorHAnsi" w:cstheme="minorBidi"/>
          <w:b/>
          <w:bCs/>
          <w:sz w:val="22"/>
          <w:szCs w:val="24"/>
          <w14:ligatures w14:val="standardContextual"/>
        </w:rPr>
      </w:pPr>
      <w:hyperlink w:anchor="_Toc191024257" w:history="1">
        <w:r>
          <w:rPr>
            <w:rStyle w:val="aff6"/>
            <w:rFonts w:hint="eastAsia"/>
            <w:b/>
            <w:bCs/>
          </w:rPr>
          <w:t>第二节</w:t>
        </w:r>
        <w:r>
          <w:rPr>
            <w:rFonts w:asciiTheme="minorHAnsi" w:eastAsiaTheme="minorEastAsia" w:hAnsiTheme="minorHAnsi" w:cstheme="minorBidi" w:hint="eastAsia"/>
            <w:b/>
            <w:bCs/>
            <w:sz w:val="22"/>
            <w:szCs w:val="24"/>
            <w14:ligatures w14:val="standardContextual"/>
          </w:rPr>
          <w:tab/>
        </w:r>
        <w:r>
          <w:rPr>
            <w:rStyle w:val="aff6"/>
            <w:rFonts w:hint="eastAsia"/>
            <w:b/>
            <w:bCs/>
          </w:rPr>
          <w:t>公司简介和主要财务指标</w:t>
        </w:r>
        <w:r>
          <w:rPr>
            <w:rFonts w:hint="eastAsia"/>
            <w:b/>
            <w:bCs/>
          </w:rPr>
          <w:tab/>
          <w:t>7</w:t>
        </w:r>
      </w:hyperlink>
    </w:p>
    <w:p w14:paraId="06271593" w14:textId="77777777" w:rsidR="00577D08" w:rsidRDefault="00330FC0">
      <w:pPr>
        <w:pStyle w:val="TOC1"/>
        <w:rPr>
          <w:rFonts w:asciiTheme="minorHAnsi" w:eastAsiaTheme="minorEastAsia" w:hAnsiTheme="minorHAnsi" w:cstheme="minorBidi"/>
          <w:b/>
          <w:bCs/>
          <w:sz w:val="22"/>
          <w:szCs w:val="24"/>
          <w14:ligatures w14:val="standardContextual"/>
        </w:rPr>
      </w:pPr>
      <w:hyperlink w:anchor="_Toc191024258" w:history="1">
        <w:r>
          <w:rPr>
            <w:rStyle w:val="aff6"/>
            <w:rFonts w:hint="eastAsia"/>
            <w:b/>
            <w:bCs/>
          </w:rPr>
          <w:t>第三节</w:t>
        </w:r>
        <w:r>
          <w:rPr>
            <w:rFonts w:asciiTheme="minorHAnsi" w:eastAsiaTheme="minorEastAsia" w:hAnsiTheme="minorHAnsi" w:cstheme="minorBidi" w:hint="eastAsia"/>
            <w:b/>
            <w:bCs/>
            <w:sz w:val="22"/>
            <w:szCs w:val="24"/>
            <w14:ligatures w14:val="standardContextual"/>
          </w:rPr>
          <w:tab/>
        </w:r>
        <w:r>
          <w:rPr>
            <w:rStyle w:val="aff6"/>
            <w:rFonts w:hint="eastAsia"/>
            <w:b/>
            <w:bCs/>
          </w:rPr>
          <w:t>管理层讨论与分析</w:t>
        </w:r>
        <w:r>
          <w:rPr>
            <w:rFonts w:hint="eastAsia"/>
            <w:b/>
            <w:bCs/>
          </w:rPr>
          <w:tab/>
        </w:r>
        <w:r>
          <w:rPr>
            <w:rFonts w:hint="eastAsia"/>
            <w:b/>
            <w:bCs/>
          </w:rPr>
          <w:fldChar w:fldCharType="begin"/>
        </w:r>
        <w:r>
          <w:rPr>
            <w:rFonts w:hint="eastAsia"/>
            <w:b/>
            <w:bCs/>
          </w:rPr>
          <w:instrText xml:space="preserve"> </w:instrText>
        </w:r>
        <w:r>
          <w:rPr>
            <w:b/>
            <w:bCs/>
          </w:rPr>
          <w:instrText>PAGEREF _Toc191024258 \h</w:instrText>
        </w:r>
        <w:r>
          <w:rPr>
            <w:rFonts w:hint="eastAsia"/>
            <w:b/>
            <w:bCs/>
          </w:rPr>
          <w:instrText xml:space="preserve"> </w:instrText>
        </w:r>
        <w:r>
          <w:rPr>
            <w:rFonts w:hint="eastAsia"/>
            <w:b/>
            <w:bCs/>
          </w:rPr>
        </w:r>
        <w:r>
          <w:rPr>
            <w:rFonts w:hint="eastAsia"/>
            <w:b/>
            <w:bCs/>
          </w:rPr>
          <w:fldChar w:fldCharType="separate"/>
        </w:r>
        <w:r>
          <w:rPr>
            <w:b/>
            <w:bCs/>
          </w:rPr>
          <w:t>1</w:t>
        </w:r>
        <w:r>
          <w:rPr>
            <w:rFonts w:hint="eastAsia"/>
            <w:b/>
            <w:bCs/>
          </w:rPr>
          <w:t>1</w:t>
        </w:r>
        <w:r>
          <w:rPr>
            <w:rFonts w:hint="eastAsia"/>
            <w:b/>
            <w:bCs/>
          </w:rPr>
          <w:fldChar w:fldCharType="end"/>
        </w:r>
      </w:hyperlink>
    </w:p>
    <w:p w14:paraId="24736C67" w14:textId="77777777" w:rsidR="00577D08" w:rsidRDefault="00330FC0">
      <w:pPr>
        <w:pStyle w:val="TOC1"/>
        <w:rPr>
          <w:rFonts w:asciiTheme="minorHAnsi" w:eastAsiaTheme="minorEastAsia" w:hAnsiTheme="minorHAnsi" w:cstheme="minorBidi"/>
          <w:b/>
          <w:bCs/>
          <w:sz w:val="22"/>
          <w:szCs w:val="24"/>
          <w14:ligatures w14:val="standardContextual"/>
        </w:rPr>
      </w:pPr>
      <w:hyperlink w:anchor="_Toc191024259" w:history="1">
        <w:r>
          <w:rPr>
            <w:rStyle w:val="aff6"/>
            <w:rFonts w:hint="eastAsia"/>
            <w:b/>
            <w:bCs/>
          </w:rPr>
          <w:t>第四节</w:t>
        </w:r>
        <w:r>
          <w:rPr>
            <w:rFonts w:asciiTheme="minorHAnsi" w:eastAsiaTheme="minorEastAsia" w:hAnsiTheme="minorHAnsi" w:cstheme="minorBidi" w:hint="eastAsia"/>
            <w:b/>
            <w:bCs/>
            <w:sz w:val="22"/>
            <w:szCs w:val="24"/>
            <w14:ligatures w14:val="standardContextual"/>
          </w:rPr>
          <w:tab/>
        </w:r>
        <w:r>
          <w:rPr>
            <w:rStyle w:val="aff6"/>
            <w:rFonts w:hint="eastAsia"/>
            <w:b/>
            <w:bCs/>
          </w:rPr>
          <w:t>公司治理、环境和社会</w:t>
        </w:r>
        <w:r>
          <w:rPr>
            <w:rFonts w:hint="eastAsia"/>
            <w:b/>
            <w:bCs/>
          </w:rPr>
          <w:tab/>
          <w:t>46</w:t>
        </w:r>
      </w:hyperlink>
    </w:p>
    <w:p w14:paraId="7B126BE4" w14:textId="77777777" w:rsidR="00577D08" w:rsidRDefault="00330FC0">
      <w:pPr>
        <w:pStyle w:val="TOC1"/>
        <w:rPr>
          <w:rFonts w:asciiTheme="minorHAnsi" w:eastAsiaTheme="minorEastAsia" w:hAnsiTheme="minorHAnsi" w:cstheme="minorBidi"/>
          <w:b/>
          <w:bCs/>
          <w:sz w:val="22"/>
          <w:szCs w:val="24"/>
          <w14:ligatures w14:val="standardContextual"/>
        </w:rPr>
      </w:pPr>
      <w:hyperlink w:anchor="_Toc191024260" w:history="1">
        <w:r>
          <w:rPr>
            <w:rStyle w:val="aff6"/>
            <w:rFonts w:hint="eastAsia"/>
            <w:b/>
            <w:bCs/>
          </w:rPr>
          <w:t>第五节</w:t>
        </w:r>
        <w:r>
          <w:rPr>
            <w:rFonts w:asciiTheme="minorHAnsi" w:eastAsiaTheme="minorEastAsia" w:hAnsiTheme="minorHAnsi" w:cstheme="minorBidi" w:hint="eastAsia"/>
            <w:b/>
            <w:bCs/>
            <w:sz w:val="22"/>
            <w:szCs w:val="24"/>
            <w14:ligatures w14:val="standardContextual"/>
          </w:rPr>
          <w:tab/>
        </w:r>
        <w:r>
          <w:rPr>
            <w:rStyle w:val="aff6"/>
            <w:rFonts w:hint="eastAsia"/>
            <w:b/>
            <w:bCs/>
          </w:rPr>
          <w:t>重要事项</w:t>
        </w:r>
        <w:r>
          <w:rPr>
            <w:rFonts w:hint="eastAsia"/>
            <w:b/>
            <w:bCs/>
          </w:rPr>
          <w:tab/>
          <w:t>62</w:t>
        </w:r>
      </w:hyperlink>
    </w:p>
    <w:p w14:paraId="0CC2026E" w14:textId="77777777" w:rsidR="00577D08" w:rsidRDefault="00330FC0">
      <w:pPr>
        <w:pStyle w:val="TOC1"/>
        <w:rPr>
          <w:rFonts w:asciiTheme="minorHAnsi" w:eastAsiaTheme="minorEastAsia" w:hAnsiTheme="minorHAnsi" w:cstheme="minorBidi"/>
          <w:b/>
          <w:bCs/>
          <w:sz w:val="22"/>
          <w:szCs w:val="24"/>
          <w14:ligatures w14:val="standardContextual"/>
        </w:rPr>
      </w:pPr>
      <w:hyperlink w:anchor="_Toc191024261" w:history="1">
        <w:r>
          <w:rPr>
            <w:rStyle w:val="aff6"/>
            <w:rFonts w:hint="eastAsia"/>
            <w:b/>
            <w:bCs/>
          </w:rPr>
          <w:t>第六节</w:t>
        </w:r>
        <w:r>
          <w:rPr>
            <w:rFonts w:asciiTheme="minorHAnsi" w:eastAsiaTheme="minorEastAsia" w:hAnsiTheme="minorHAnsi" w:cstheme="minorBidi" w:hint="eastAsia"/>
            <w:b/>
            <w:bCs/>
            <w:sz w:val="22"/>
            <w:szCs w:val="24"/>
            <w14:ligatures w14:val="standardContextual"/>
          </w:rPr>
          <w:tab/>
        </w:r>
        <w:r>
          <w:rPr>
            <w:rStyle w:val="aff6"/>
            <w:rFonts w:hint="eastAsia"/>
            <w:b/>
            <w:bCs/>
          </w:rPr>
          <w:t>股份变动及股东情况</w:t>
        </w:r>
        <w:r>
          <w:rPr>
            <w:rFonts w:hint="eastAsia"/>
            <w:b/>
            <w:bCs/>
          </w:rPr>
          <w:tab/>
        </w:r>
        <w:r>
          <w:rPr>
            <w:rFonts w:hint="eastAsia"/>
            <w:b/>
            <w:bCs/>
          </w:rPr>
          <w:fldChar w:fldCharType="begin"/>
        </w:r>
        <w:r>
          <w:rPr>
            <w:rFonts w:hint="eastAsia"/>
            <w:b/>
            <w:bCs/>
          </w:rPr>
          <w:instrText xml:space="preserve"> </w:instrText>
        </w:r>
        <w:r>
          <w:rPr>
            <w:b/>
            <w:bCs/>
          </w:rPr>
          <w:instrText>PAGEREF _Toc191024261 \h</w:instrText>
        </w:r>
        <w:r>
          <w:rPr>
            <w:rFonts w:hint="eastAsia"/>
            <w:b/>
            <w:bCs/>
          </w:rPr>
          <w:instrText xml:space="preserve"> </w:instrText>
        </w:r>
        <w:r>
          <w:rPr>
            <w:rFonts w:hint="eastAsia"/>
            <w:b/>
            <w:bCs/>
          </w:rPr>
        </w:r>
        <w:r>
          <w:rPr>
            <w:rFonts w:hint="eastAsia"/>
            <w:b/>
            <w:bCs/>
          </w:rPr>
          <w:fldChar w:fldCharType="separate"/>
        </w:r>
        <w:r>
          <w:rPr>
            <w:b/>
            <w:bCs/>
          </w:rPr>
          <w:t>8</w:t>
        </w:r>
        <w:r>
          <w:rPr>
            <w:rFonts w:hint="eastAsia"/>
            <w:b/>
            <w:bCs/>
          </w:rPr>
          <w:t>2</w:t>
        </w:r>
        <w:r>
          <w:rPr>
            <w:rFonts w:hint="eastAsia"/>
            <w:b/>
            <w:bCs/>
          </w:rPr>
          <w:fldChar w:fldCharType="end"/>
        </w:r>
      </w:hyperlink>
    </w:p>
    <w:p w14:paraId="09E3E3BF" w14:textId="77777777" w:rsidR="00577D08" w:rsidRDefault="00330FC0">
      <w:pPr>
        <w:pStyle w:val="TOC1"/>
        <w:rPr>
          <w:rFonts w:asciiTheme="minorHAnsi" w:eastAsiaTheme="minorEastAsia" w:hAnsiTheme="minorHAnsi" w:cstheme="minorBidi"/>
          <w:b/>
          <w:bCs/>
          <w:sz w:val="22"/>
          <w:szCs w:val="24"/>
          <w14:ligatures w14:val="standardContextual"/>
        </w:rPr>
      </w:pPr>
      <w:hyperlink w:anchor="_Toc191024262" w:history="1">
        <w:r>
          <w:rPr>
            <w:rStyle w:val="aff6"/>
            <w:rFonts w:hint="eastAsia"/>
            <w:b/>
            <w:bCs/>
          </w:rPr>
          <w:t>第七节</w:t>
        </w:r>
        <w:r>
          <w:rPr>
            <w:rFonts w:asciiTheme="minorHAnsi" w:eastAsiaTheme="minorEastAsia" w:hAnsiTheme="minorHAnsi" w:cstheme="minorBidi" w:hint="eastAsia"/>
            <w:b/>
            <w:bCs/>
            <w:sz w:val="22"/>
            <w:szCs w:val="24"/>
            <w14:ligatures w14:val="standardContextual"/>
          </w:rPr>
          <w:tab/>
        </w:r>
        <w:r>
          <w:rPr>
            <w:rStyle w:val="aff6"/>
            <w:rFonts w:hint="eastAsia"/>
            <w:b/>
            <w:bCs/>
          </w:rPr>
          <w:t>债券相关情况</w:t>
        </w:r>
        <w:r>
          <w:rPr>
            <w:rFonts w:hint="eastAsia"/>
            <w:b/>
            <w:bCs/>
          </w:rPr>
          <w:tab/>
          <w:t>89</w:t>
        </w:r>
      </w:hyperlink>
    </w:p>
    <w:p w14:paraId="06A4C931" w14:textId="77777777" w:rsidR="00577D08" w:rsidRDefault="00330FC0">
      <w:pPr>
        <w:pStyle w:val="TOC1"/>
        <w:rPr>
          <w:rFonts w:asciiTheme="minorHAnsi" w:eastAsiaTheme="minorEastAsia" w:hAnsiTheme="minorHAnsi" w:cstheme="minorBidi"/>
          <w:sz w:val="22"/>
          <w:szCs w:val="24"/>
          <w14:ligatures w14:val="standardContextual"/>
        </w:rPr>
      </w:pPr>
      <w:hyperlink w:anchor="_Toc191024263" w:history="1">
        <w:r>
          <w:rPr>
            <w:rStyle w:val="aff6"/>
            <w:rFonts w:hint="eastAsia"/>
            <w:b/>
            <w:bCs/>
          </w:rPr>
          <w:t>第八节</w:t>
        </w:r>
        <w:r>
          <w:rPr>
            <w:rFonts w:asciiTheme="minorHAnsi" w:eastAsiaTheme="minorEastAsia" w:hAnsiTheme="minorHAnsi" w:cstheme="minorBidi" w:hint="eastAsia"/>
            <w:b/>
            <w:bCs/>
            <w:sz w:val="22"/>
            <w:szCs w:val="24"/>
            <w14:ligatures w14:val="standardContextual"/>
          </w:rPr>
          <w:tab/>
        </w:r>
        <w:r>
          <w:rPr>
            <w:rStyle w:val="aff6"/>
            <w:rFonts w:hint="eastAsia"/>
            <w:b/>
            <w:bCs/>
          </w:rPr>
          <w:t>财务报告</w:t>
        </w:r>
        <w:r>
          <w:rPr>
            <w:rFonts w:hint="eastAsia"/>
            <w:b/>
            <w:bCs/>
          </w:rPr>
          <w:tab/>
          <w:t>90</w:t>
        </w:r>
      </w:hyperlink>
    </w:p>
    <w:p w14:paraId="7AC7161E" w14:textId="77777777" w:rsidR="00577D08" w:rsidRDefault="00330FC0">
      <w:r>
        <w:fldChar w:fldCharType="end"/>
      </w:r>
      <w:bookmarkStart w:id="5" w:name="_Toc437440708"/>
      <w:bookmarkStart w:id="6" w:name="_Toc436392761"/>
      <w:bookmarkStart w:id="7" w:name="_Toc407111354"/>
    </w:p>
    <w:p w14:paraId="42A87B61" w14:textId="77777777" w:rsidR="00577D08" w:rsidRDefault="00577D08">
      <w:pPr>
        <w:spacing w:line="360" w:lineRule="exact"/>
        <w:ind w:right="5"/>
        <w:rPr>
          <w:b/>
          <w:bCs/>
          <w:sz w:val="24"/>
        </w:rPr>
      </w:pPr>
      <w:bookmarkStart w:id="8" w:name="_Hlk90893687"/>
      <w:bookmarkStart w:id="9" w:name="_Hlk90888086"/>
      <w:bookmarkStart w:id="10" w:name="_Hlk908917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294"/>
        <w:gridCol w:w="6598"/>
      </w:tblGrid>
      <w:sdt>
        <w:sdtPr>
          <w:alias w:val="备查文件情况"/>
          <w:tag w:val="_TUP_bb3c6eba15bb4f89aaabf5b28bea5766"/>
          <w:id w:val="881989555"/>
          <w:placeholder>
            <w:docPart w:val="GBC11111111111111111111111111111"/>
          </w:placeholder>
        </w:sdtPr>
        <w:sdtContent>
          <w:tr w:rsidR="00577D08" w14:paraId="4DC6C872" w14:textId="77777777">
            <w:trPr>
              <w:cantSplit/>
            </w:trPr>
            <w:tc>
              <w:tcPr>
                <w:tcW w:w="2294" w:type="dxa"/>
                <w:vMerge w:val="restart"/>
                <w:tcBorders>
                  <w:top w:val="single" w:sz="4" w:space="0" w:color="auto"/>
                  <w:left w:val="single" w:sz="4" w:space="0" w:color="auto"/>
                  <w:bottom w:val="single" w:sz="4" w:space="0" w:color="auto"/>
                  <w:right w:val="single" w:sz="4" w:space="0" w:color="auto"/>
                </w:tcBorders>
                <w:vAlign w:val="center"/>
              </w:tcPr>
              <w:sdt>
                <w:sdtPr>
                  <w:tag w:val="_PLD_a77548a64feb4f70a4cecbb587219734"/>
                  <w:id w:val="1962533130"/>
                </w:sdtPr>
                <w:sdtContent>
                  <w:p w14:paraId="54920317" w14:textId="77777777" w:rsidR="00577D08" w:rsidRDefault="00330FC0">
                    <w:pPr>
                      <w:autoSpaceDE w:val="0"/>
                      <w:autoSpaceDN w:val="0"/>
                      <w:adjustRightInd w:val="0"/>
                      <w:jc w:val="center"/>
                    </w:pPr>
                    <w:r>
                      <w:t>备查文件目录</w:t>
                    </w:r>
                  </w:p>
                </w:sdtContent>
              </w:sdt>
            </w:tc>
            <w:sdt>
              <w:sdtPr>
                <w:alias w:val="备查文件目录"/>
                <w:tag w:val="_GBC_0c6e892b0eee4faaa5b2883811d0eed4"/>
                <w:id w:val="-1480075969"/>
              </w:sdtPr>
              <w:sdtContent>
                <w:tc>
                  <w:tcPr>
                    <w:tcW w:w="6598" w:type="dxa"/>
                    <w:tcBorders>
                      <w:top w:val="single" w:sz="4" w:space="0" w:color="auto"/>
                      <w:left w:val="single" w:sz="4" w:space="0" w:color="auto"/>
                      <w:bottom w:val="single" w:sz="4" w:space="0" w:color="auto"/>
                      <w:right w:val="single" w:sz="4" w:space="0" w:color="auto"/>
                    </w:tcBorders>
                    <w:vAlign w:val="center"/>
                  </w:tcPr>
                  <w:p w14:paraId="008D74CF" w14:textId="77777777" w:rsidR="00577D08" w:rsidRDefault="00330FC0">
                    <w:pPr>
                      <w:autoSpaceDE w:val="0"/>
                      <w:autoSpaceDN w:val="0"/>
                      <w:adjustRightInd w:val="0"/>
                    </w:pPr>
                    <w:r>
                      <w:rPr>
                        <w:rFonts w:hint="eastAsia"/>
                      </w:rPr>
                      <w:t>载有公司负责人、主管会计工作负责人、会计机构负责人（会计主管人员）签名并盖章的财务报表；载有会计师事务所盖章、注册会计师签名并盖章的审计报告原件；</w:t>
                    </w:r>
                  </w:p>
                </w:tc>
              </w:sdtContent>
            </w:sdt>
          </w:tr>
        </w:sdtContent>
      </w:sdt>
      <w:tr w:rsidR="00577D08" w14:paraId="3D48E872" w14:textId="77777777">
        <w:trPr>
          <w:cantSplit/>
        </w:trPr>
        <w:tc>
          <w:tcPr>
            <w:tcW w:w="2294" w:type="dxa"/>
            <w:vMerge/>
            <w:tcBorders>
              <w:top w:val="single" w:sz="4" w:space="0" w:color="auto"/>
              <w:left w:val="single" w:sz="4" w:space="0" w:color="auto"/>
              <w:bottom w:val="single" w:sz="4" w:space="0" w:color="auto"/>
              <w:right w:val="single" w:sz="4" w:space="0" w:color="auto"/>
            </w:tcBorders>
            <w:vAlign w:val="center"/>
          </w:tcPr>
          <w:p w14:paraId="5E048D70" w14:textId="77777777" w:rsidR="00577D08" w:rsidRDefault="00577D08"/>
        </w:tc>
        <w:tc>
          <w:tcPr>
            <w:tcW w:w="6598" w:type="dxa"/>
            <w:tcBorders>
              <w:top w:val="single" w:sz="4" w:space="0" w:color="auto"/>
              <w:left w:val="single" w:sz="4" w:space="0" w:color="auto"/>
              <w:bottom w:val="single" w:sz="4" w:space="0" w:color="auto"/>
              <w:right w:val="single" w:sz="4" w:space="0" w:color="auto"/>
            </w:tcBorders>
            <w:vAlign w:val="center"/>
          </w:tcPr>
          <w:p w14:paraId="6FB2E6B0" w14:textId="77777777" w:rsidR="00577D08" w:rsidRDefault="00330FC0">
            <w:pPr>
              <w:autoSpaceDE w:val="0"/>
              <w:autoSpaceDN w:val="0"/>
              <w:adjustRightInd w:val="0"/>
            </w:pPr>
            <w:r>
              <w:rPr>
                <w:rFonts w:hint="eastAsia"/>
              </w:rPr>
              <w:t>报告期内公开披露过的所有公司文件的正本及公告的原稿</w:t>
            </w:r>
          </w:p>
        </w:tc>
      </w:tr>
      <w:tr w:rsidR="00577D08" w14:paraId="6DF09CC8" w14:textId="77777777">
        <w:trPr>
          <w:cantSplit/>
        </w:trPr>
        <w:tc>
          <w:tcPr>
            <w:tcW w:w="2294" w:type="dxa"/>
            <w:vMerge/>
            <w:tcBorders>
              <w:top w:val="single" w:sz="4" w:space="0" w:color="auto"/>
              <w:left w:val="single" w:sz="4" w:space="0" w:color="auto"/>
              <w:bottom w:val="single" w:sz="4" w:space="0" w:color="auto"/>
              <w:right w:val="single" w:sz="4" w:space="0" w:color="auto"/>
            </w:tcBorders>
            <w:vAlign w:val="center"/>
          </w:tcPr>
          <w:p w14:paraId="310A36A8" w14:textId="77777777" w:rsidR="00577D08" w:rsidRDefault="00577D08"/>
        </w:tc>
        <w:tc>
          <w:tcPr>
            <w:tcW w:w="6598" w:type="dxa"/>
            <w:tcBorders>
              <w:top w:val="single" w:sz="4" w:space="0" w:color="auto"/>
              <w:left w:val="single" w:sz="4" w:space="0" w:color="auto"/>
              <w:bottom w:val="single" w:sz="4" w:space="0" w:color="auto"/>
              <w:right w:val="single" w:sz="4" w:space="0" w:color="auto"/>
            </w:tcBorders>
            <w:vAlign w:val="center"/>
          </w:tcPr>
          <w:p w14:paraId="6FDF8B51" w14:textId="77777777" w:rsidR="00577D08" w:rsidRDefault="00330FC0">
            <w:pPr>
              <w:autoSpaceDE w:val="0"/>
              <w:autoSpaceDN w:val="0"/>
              <w:adjustRightInd w:val="0"/>
            </w:pPr>
            <w:r>
              <w:rPr>
                <w:rFonts w:hint="eastAsia"/>
              </w:rPr>
              <w:t>经公司法定代表人签署的</w:t>
            </w:r>
            <w:r>
              <w:rPr>
                <w:rFonts w:hint="eastAsia"/>
              </w:rPr>
              <w:t>2025</w:t>
            </w:r>
            <w:r>
              <w:rPr>
                <w:rFonts w:hint="eastAsia"/>
              </w:rPr>
              <w:t>年年度报告原件。</w:t>
            </w:r>
          </w:p>
        </w:tc>
      </w:tr>
      <w:bookmarkEnd w:id="8"/>
      <w:bookmarkEnd w:id="9"/>
    </w:tbl>
    <w:p w14:paraId="42BB9653" w14:textId="77777777" w:rsidR="00577D08" w:rsidRDefault="00577D08"/>
    <w:bookmarkEnd w:id="10"/>
    <w:p w14:paraId="3182B6C2" w14:textId="77777777" w:rsidR="00577D08" w:rsidRDefault="00577D08">
      <w:pPr>
        <w:sectPr w:rsidR="00577D08">
          <w:pgSz w:w="11906" w:h="16838"/>
          <w:pgMar w:top="1440" w:right="1797" w:bottom="1525" w:left="1276" w:header="855" w:footer="992" w:gutter="0"/>
          <w:cols w:space="425"/>
          <w:docGrid w:linePitch="312"/>
        </w:sectPr>
      </w:pPr>
    </w:p>
    <w:p w14:paraId="7EAA0AB0" w14:textId="77777777" w:rsidR="00577D08" w:rsidRDefault="00330FC0">
      <w:pPr>
        <w:pStyle w:val="1"/>
        <w:numPr>
          <w:ilvl w:val="0"/>
          <w:numId w:val="2"/>
        </w:numPr>
      </w:pPr>
      <w:bookmarkStart w:id="11" w:name="_Toc191024256"/>
      <w:r>
        <w:rPr>
          <w:rFonts w:hint="eastAsia"/>
        </w:rPr>
        <w:lastRenderedPageBreak/>
        <w:t>释义</w:t>
      </w:r>
    </w:p>
    <w:bookmarkEnd w:id="5"/>
    <w:bookmarkEnd w:id="6"/>
    <w:bookmarkEnd w:id="7"/>
    <w:bookmarkEnd w:id="11"/>
    <w:p w14:paraId="5C68F673" w14:textId="03D2973B" w:rsidR="00577D08" w:rsidRDefault="00577D08" w:rsidP="00EB28BB">
      <w:pPr>
        <w:pStyle w:val="2"/>
        <w:tabs>
          <w:tab w:val="left" w:pos="588"/>
        </w:tabs>
      </w:pPr>
    </w:p>
    <w:p w14:paraId="41C38500" w14:textId="77777777" w:rsidR="00577D08" w:rsidRDefault="00330FC0">
      <w:r>
        <w:t>在本报告书中，除非文义另有所指，下列词语具有如下含义：</w:t>
      </w:r>
    </w:p>
    <w:tbl>
      <w:tblPr>
        <w:tblStyle w:val="aff2"/>
        <w:tblW w:w="0" w:type="auto"/>
        <w:tblLayout w:type="fixed"/>
        <w:tblLook w:val="04A0" w:firstRow="1" w:lastRow="0" w:firstColumn="1" w:lastColumn="0" w:noHBand="0" w:noVBand="1"/>
      </w:tblPr>
      <w:tblGrid>
        <w:gridCol w:w="2972"/>
        <w:gridCol w:w="851"/>
        <w:gridCol w:w="5000"/>
      </w:tblGrid>
      <w:tr w:rsidR="00577D08" w14:paraId="0D57F091" w14:textId="77777777">
        <w:sdt>
          <w:sdtPr>
            <w:tag w:val="_PLD_bf37a984a1d34209a94aac58652eb6b9"/>
            <w:id w:val="1941337099"/>
          </w:sdtPr>
          <w:sdtContent>
            <w:tc>
              <w:tcPr>
                <w:tcW w:w="8823" w:type="dxa"/>
                <w:gridSpan w:val="3"/>
                <w:vAlign w:val="center"/>
              </w:tcPr>
              <w:p w14:paraId="04D22812" w14:textId="77777777" w:rsidR="00577D08" w:rsidRDefault="00330FC0">
                <w:r>
                  <w:t>常用词语释义</w:t>
                </w:r>
              </w:p>
            </w:tc>
          </w:sdtContent>
        </w:sdt>
      </w:tr>
      <w:tr w:rsidR="00577D08" w14:paraId="69BDED80" w14:textId="77777777">
        <w:tc>
          <w:tcPr>
            <w:tcW w:w="2972" w:type="dxa"/>
            <w:vAlign w:val="center"/>
          </w:tcPr>
          <w:p w14:paraId="01B49CBB" w14:textId="77777777" w:rsidR="00577D08" w:rsidRDefault="00330FC0">
            <w:r>
              <w:rPr>
                <w:rFonts w:ascii="宋体" w:hAnsi="宋体" w:hint="eastAsia"/>
                <w:sz w:val="20"/>
                <w:szCs w:val="20"/>
              </w:rPr>
              <w:t>中国证监会、证监会</w:t>
            </w:r>
          </w:p>
        </w:tc>
        <w:tc>
          <w:tcPr>
            <w:tcW w:w="851" w:type="dxa"/>
            <w:vAlign w:val="center"/>
          </w:tcPr>
          <w:p w14:paraId="08ED724D" w14:textId="77777777" w:rsidR="00577D08" w:rsidRDefault="00330FC0">
            <w:pPr>
              <w:jc w:val="center"/>
              <w:rPr>
                <w:highlight w:val="lightGray"/>
              </w:rPr>
            </w:pPr>
            <w:r>
              <w:rPr>
                <w:rFonts w:ascii="宋体" w:hAnsi="宋体" w:hint="eastAsia"/>
                <w:color w:val="000000"/>
              </w:rPr>
              <w:t>指</w:t>
            </w:r>
          </w:p>
        </w:tc>
        <w:tc>
          <w:tcPr>
            <w:tcW w:w="5000" w:type="dxa"/>
          </w:tcPr>
          <w:p w14:paraId="1846A894" w14:textId="77777777" w:rsidR="00577D08" w:rsidRDefault="00330FC0">
            <w:r>
              <w:rPr>
                <w:rFonts w:ascii="宋体" w:hAnsi="宋体" w:hint="eastAsia"/>
                <w:sz w:val="20"/>
                <w:szCs w:val="20"/>
              </w:rPr>
              <w:t>中国证券监督管理委员会</w:t>
            </w:r>
          </w:p>
        </w:tc>
      </w:tr>
      <w:tr w:rsidR="00577D08" w14:paraId="2639DA82" w14:textId="77777777">
        <w:tc>
          <w:tcPr>
            <w:tcW w:w="2972" w:type="dxa"/>
            <w:vAlign w:val="center"/>
          </w:tcPr>
          <w:p w14:paraId="364D3DDA" w14:textId="77777777" w:rsidR="00577D08" w:rsidRDefault="00330FC0">
            <w:r>
              <w:rPr>
                <w:rFonts w:ascii="宋体" w:hAnsi="宋体" w:hint="eastAsia"/>
                <w:sz w:val="20"/>
                <w:szCs w:val="20"/>
              </w:rPr>
              <w:t>上交所</w:t>
            </w:r>
          </w:p>
        </w:tc>
        <w:tc>
          <w:tcPr>
            <w:tcW w:w="851" w:type="dxa"/>
            <w:vAlign w:val="center"/>
          </w:tcPr>
          <w:p w14:paraId="4C4A9708" w14:textId="77777777" w:rsidR="00577D08" w:rsidRDefault="00330FC0">
            <w:pPr>
              <w:jc w:val="center"/>
            </w:pPr>
            <w:r>
              <w:rPr>
                <w:rFonts w:ascii="宋体" w:hAnsi="宋体" w:hint="eastAsia"/>
                <w:color w:val="000000"/>
              </w:rPr>
              <w:t>指</w:t>
            </w:r>
          </w:p>
        </w:tc>
        <w:tc>
          <w:tcPr>
            <w:tcW w:w="5000" w:type="dxa"/>
          </w:tcPr>
          <w:p w14:paraId="6490E8A4" w14:textId="77777777" w:rsidR="00577D08" w:rsidRDefault="00330FC0">
            <w:r>
              <w:rPr>
                <w:rFonts w:ascii="宋体" w:hAnsi="宋体" w:hint="eastAsia"/>
                <w:sz w:val="20"/>
                <w:szCs w:val="20"/>
              </w:rPr>
              <w:t>上海证券交易所</w:t>
            </w:r>
          </w:p>
        </w:tc>
      </w:tr>
      <w:tr w:rsidR="00577D08" w14:paraId="494FE7B5" w14:textId="77777777">
        <w:tc>
          <w:tcPr>
            <w:tcW w:w="2972" w:type="dxa"/>
            <w:vAlign w:val="center"/>
          </w:tcPr>
          <w:p w14:paraId="14807B88" w14:textId="77777777" w:rsidR="00577D08" w:rsidRDefault="00330FC0">
            <w:r>
              <w:rPr>
                <w:rFonts w:ascii="宋体" w:hAnsi="宋体" w:hint="eastAsia"/>
                <w:sz w:val="20"/>
                <w:szCs w:val="20"/>
              </w:rPr>
              <w:t>公司法、《公司法》</w:t>
            </w:r>
          </w:p>
        </w:tc>
        <w:tc>
          <w:tcPr>
            <w:tcW w:w="851" w:type="dxa"/>
            <w:vAlign w:val="center"/>
          </w:tcPr>
          <w:p w14:paraId="200FBCC4" w14:textId="77777777" w:rsidR="00577D08" w:rsidRDefault="00330FC0">
            <w:pPr>
              <w:jc w:val="center"/>
            </w:pPr>
            <w:r>
              <w:rPr>
                <w:rFonts w:ascii="宋体" w:hAnsi="宋体" w:hint="eastAsia"/>
                <w:color w:val="000000"/>
              </w:rPr>
              <w:t>指</w:t>
            </w:r>
          </w:p>
        </w:tc>
        <w:tc>
          <w:tcPr>
            <w:tcW w:w="5000" w:type="dxa"/>
          </w:tcPr>
          <w:p w14:paraId="16C97310" w14:textId="77777777" w:rsidR="00577D08" w:rsidRDefault="00330FC0">
            <w:r>
              <w:rPr>
                <w:rFonts w:ascii="宋体" w:hAnsi="宋体" w:hint="eastAsia"/>
                <w:sz w:val="20"/>
                <w:szCs w:val="20"/>
              </w:rPr>
              <w:t>《中华人民共和国证券法》</w:t>
            </w:r>
          </w:p>
        </w:tc>
      </w:tr>
      <w:tr w:rsidR="00577D08" w14:paraId="4C3B7AA4" w14:textId="77777777">
        <w:tc>
          <w:tcPr>
            <w:tcW w:w="2972" w:type="dxa"/>
            <w:vAlign w:val="center"/>
          </w:tcPr>
          <w:p w14:paraId="1978DBC1" w14:textId="77777777" w:rsidR="00577D08" w:rsidRDefault="00330FC0">
            <w:r>
              <w:rPr>
                <w:rFonts w:ascii="宋体" w:hAnsi="宋体" w:hint="eastAsia"/>
                <w:sz w:val="20"/>
                <w:szCs w:val="20"/>
              </w:rPr>
              <w:t>证券法、《证券法》</w:t>
            </w:r>
          </w:p>
        </w:tc>
        <w:tc>
          <w:tcPr>
            <w:tcW w:w="851" w:type="dxa"/>
            <w:vAlign w:val="center"/>
          </w:tcPr>
          <w:p w14:paraId="4C933C27" w14:textId="77777777" w:rsidR="00577D08" w:rsidRDefault="00330FC0">
            <w:pPr>
              <w:jc w:val="center"/>
            </w:pPr>
            <w:r>
              <w:rPr>
                <w:rFonts w:ascii="宋体" w:hAnsi="宋体" w:hint="eastAsia"/>
                <w:color w:val="000000"/>
              </w:rPr>
              <w:t>指</w:t>
            </w:r>
          </w:p>
        </w:tc>
        <w:tc>
          <w:tcPr>
            <w:tcW w:w="5000" w:type="dxa"/>
          </w:tcPr>
          <w:p w14:paraId="4777711F" w14:textId="77777777" w:rsidR="00577D08" w:rsidRDefault="00330FC0">
            <w:r>
              <w:rPr>
                <w:rFonts w:ascii="宋体" w:hAnsi="宋体" w:hint="eastAsia"/>
                <w:sz w:val="20"/>
                <w:szCs w:val="20"/>
              </w:rPr>
              <w:t>《中华人民共和国证券法》</w:t>
            </w:r>
          </w:p>
        </w:tc>
      </w:tr>
      <w:tr w:rsidR="00577D08" w14:paraId="4A2C20F3" w14:textId="77777777">
        <w:tc>
          <w:tcPr>
            <w:tcW w:w="2972" w:type="dxa"/>
            <w:vAlign w:val="center"/>
          </w:tcPr>
          <w:p w14:paraId="20DCD141" w14:textId="77777777" w:rsidR="00577D08" w:rsidRDefault="00330FC0">
            <w:r>
              <w:rPr>
                <w:rFonts w:ascii="宋体" w:hAnsi="宋体" w:hint="eastAsia"/>
                <w:sz w:val="20"/>
                <w:szCs w:val="20"/>
              </w:rPr>
              <w:t>公司章程、《公司章程》</w:t>
            </w:r>
          </w:p>
        </w:tc>
        <w:tc>
          <w:tcPr>
            <w:tcW w:w="851" w:type="dxa"/>
            <w:vAlign w:val="center"/>
          </w:tcPr>
          <w:p w14:paraId="52545EC3" w14:textId="77777777" w:rsidR="00577D08" w:rsidRDefault="00330FC0">
            <w:pPr>
              <w:jc w:val="center"/>
            </w:pPr>
            <w:r>
              <w:rPr>
                <w:rFonts w:ascii="宋体" w:hAnsi="宋体" w:hint="eastAsia"/>
                <w:color w:val="000000"/>
              </w:rPr>
              <w:t>指</w:t>
            </w:r>
          </w:p>
        </w:tc>
        <w:tc>
          <w:tcPr>
            <w:tcW w:w="5000" w:type="dxa"/>
          </w:tcPr>
          <w:p w14:paraId="09C448DE" w14:textId="77777777" w:rsidR="00577D08" w:rsidRDefault="00330FC0">
            <w:r>
              <w:rPr>
                <w:rFonts w:ascii="宋体" w:hAnsi="宋体" w:hint="eastAsia"/>
                <w:sz w:val="20"/>
                <w:szCs w:val="20"/>
              </w:rPr>
              <w:t>重庆望变电气（集团）股份有限公司章程</w:t>
            </w:r>
          </w:p>
        </w:tc>
      </w:tr>
      <w:tr w:rsidR="00577D08" w14:paraId="4C30A9F5" w14:textId="77777777">
        <w:tc>
          <w:tcPr>
            <w:tcW w:w="2972" w:type="dxa"/>
            <w:vAlign w:val="center"/>
          </w:tcPr>
          <w:p w14:paraId="19F8DBE0" w14:textId="77777777" w:rsidR="00577D08" w:rsidRDefault="00330FC0">
            <w:r>
              <w:rPr>
                <w:rFonts w:ascii="宋体" w:hAnsi="宋体" w:hint="eastAsia"/>
                <w:sz w:val="20"/>
                <w:szCs w:val="20"/>
              </w:rPr>
              <w:t>报告期、本报告期、本期</w:t>
            </w:r>
          </w:p>
        </w:tc>
        <w:tc>
          <w:tcPr>
            <w:tcW w:w="851" w:type="dxa"/>
            <w:vAlign w:val="center"/>
          </w:tcPr>
          <w:p w14:paraId="7B17F2CB" w14:textId="77777777" w:rsidR="00577D08" w:rsidRDefault="00330FC0">
            <w:pPr>
              <w:jc w:val="center"/>
            </w:pPr>
            <w:r>
              <w:rPr>
                <w:rFonts w:ascii="宋体" w:hAnsi="宋体" w:hint="eastAsia"/>
                <w:color w:val="000000"/>
              </w:rPr>
              <w:t>指</w:t>
            </w:r>
          </w:p>
        </w:tc>
        <w:tc>
          <w:tcPr>
            <w:tcW w:w="5000" w:type="dxa"/>
          </w:tcPr>
          <w:p w14:paraId="60CA4E74" w14:textId="77777777" w:rsidR="00577D08" w:rsidRDefault="00330FC0">
            <w:r>
              <w:rPr>
                <w:rFonts w:hint="eastAsia"/>
                <w:sz w:val="20"/>
                <w:szCs w:val="20"/>
              </w:rPr>
              <w:t>2025</w:t>
            </w:r>
            <w:r>
              <w:rPr>
                <w:rFonts w:ascii="宋体" w:hAnsi="宋体" w:hint="eastAsia"/>
                <w:sz w:val="20"/>
                <w:szCs w:val="20"/>
              </w:rPr>
              <w:t>年</w:t>
            </w:r>
            <w:r>
              <w:rPr>
                <w:rFonts w:hint="eastAsia"/>
                <w:sz w:val="20"/>
                <w:szCs w:val="20"/>
              </w:rPr>
              <w:t>1</w:t>
            </w:r>
            <w:r>
              <w:rPr>
                <w:rFonts w:ascii="宋体" w:hAnsi="宋体" w:hint="eastAsia"/>
                <w:sz w:val="20"/>
                <w:szCs w:val="20"/>
              </w:rPr>
              <w:t>月</w:t>
            </w:r>
            <w:r>
              <w:rPr>
                <w:rFonts w:hint="eastAsia"/>
                <w:sz w:val="20"/>
                <w:szCs w:val="20"/>
              </w:rPr>
              <w:t>1</w:t>
            </w:r>
            <w:r>
              <w:rPr>
                <w:rFonts w:ascii="宋体" w:hAnsi="宋体" w:hint="eastAsia"/>
                <w:sz w:val="20"/>
                <w:szCs w:val="20"/>
              </w:rPr>
              <w:t>日至</w:t>
            </w:r>
            <w:r>
              <w:rPr>
                <w:rFonts w:hint="eastAsia"/>
                <w:sz w:val="20"/>
                <w:szCs w:val="20"/>
              </w:rPr>
              <w:t>2025</w:t>
            </w:r>
            <w:r>
              <w:rPr>
                <w:rFonts w:ascii="宋体" w:hAnsi="宋体" w:hint="eastAsia"/>
                <w:sz w:val="20"/>
                <w:szCs w:val="20"/>
              </w:rPr>
              <w:t>年</w:t>
            </w:r>
            <w:r>
              <w:rPr>
                <w:sz w:val="20"/>
                <w:szCs w:val="20"/>
              </w:rPr>
              <w:t>12</w:t>
            </w:r>
            <w:r>
              <w:rPr>
                <w:rFonts w:ascii="宋体" w:hAnsi="宋体" w:hint="eastAsia"/>
                <w:sz w:val="20"/>
                <w:szCs w:val="20"/>
              </w:rPr>
              <w:t>月</w:t>
            </w:r>
            <w:r>
              <w:rPr>
                <w:rFonts w:hint="eastAsia"/>
                <w:sz w:val="20"/>
                <w:szCs w:val="20"/>
              </w:rPr>
              <w:t>3</w:t>
            </w:r>
            <w:r>
              <w:rPr>
                <w:sz w:val="20"/>
                <w:szCs w:val="20"/>
              </w:rPr>
              <w:t>1</w:t>
            </w:r>
            <w:r>
              <w:rPr>
                <w:rFonts w:ascii="宋体" w:hAnsi="宋体" w:hint="eastAsia"/>
                <w:sz w:val="20"/>
                <w:szCs w:val="20"/>
              </w:rPr>
              <w:t>日</w:t>
            </w:r>
          </w:p>
        </w:tc>
      </w:tr>
      <w:tr w:rsidR="00577D08" w14:paraId="6CA4C6B2" w14:textId="77777777">
        <w:tc>
          <w:tcPr>
            <w:tcW w:w="2972" w:type="dxa"/>
            <w:vAlign w:val="center"/>
          </w:tcPr>
          <w:p w14:paraId="01F4F27A" w14:textId="77777777" w:rsidR="00577D08" w:rsidRDefault="00330FC0">
            <w:r>
              <w:rPr>
                <w:rFonts w:ascii="宋体" w:hAnsi="宋体" w:hint="eastAsia"/>
                <w:sz w:val="20"/>
                <w:szCs w:val="20"/>
              </w:rPr>
              <w:t>亿元、万元、元</w:t>
            </w:r>
          </w:p>
        </w:tc>
        <w:tc>
          <w:tcPr>
            <w:tcW w:w="851" w:type="dxa"/>
            <w:vAlign w:val="center"/>
          </w:tcPr>
          <w:p w14:paraId="2D06D6F6" w14:textId="77777777" w:rsidR="00577D08" w:rsidRDefault="00330FC0">
            <w:pPr>
              <w:jc w:val="center"/>
            </w:pPr>
            <w:r>
              <w:rPr>
                <w:rFonts w:ascii="宋体" w:hAnsi="宋体" w:hint="eastAsia"/>
                <w:color w:val="000000"/>
              </w:rPr>
              <w:t>指</w:t>
            </w:r>
          </w:p>
        </w:tc>
        <w:tc>
          <w:tcPr>
            <w:tcW w:w="5000" w:type="dxa"/>
          </w:tcPr>
          <w:p w14:paraId="7A716E63" w14:textId="77777777" w:rsidR="00577D08" w:rsidRDefault="00330FC0">
            <w:r>
              <w:rPr>
                <w:rFonts w:ascii="宋体" w:hAnsi="宋体" w:hint="eastAsia"/>
                <w:sz w:val="20"/>
                <w:szCs w:val="20"/>
              </w:rPr>
              <w:t>人民币亿元、万元、元</w:t>
            </w:r>
          </w:p>
        </w:tc>
      </w:tr>
      <w:tr w:rsidR="00577D08" w14:paraId="54E5EB29" w14:textId="77777777">
        <w:tc>
          <w:tcPr>
            <w:tcW w:w="2972" w:type="dxa"/>
            <w:vAlign w:val="center"/>
          </w:tcPr>
          <w:p w14:paraId="086788E3" w14:textId="0E847A21" w:rsidR="00577D08" w:rsidRDefault="00330FC0">
            <w:r>
              <w:rPr>
                <w:rFonts w:ascii="宋体" w:hAnsi="宋体" w:hint="eastAsia"/>
                <w:sz w:val="20"/>
                <w:szCs w:val="20"/>
              </w:rPr>
              <w:t>望变电气、</w:t>
            </w:r>
            <w:r w:rsidR="00EB28BB">
              <w:rPr>
                <w:rFonts w:ascii="宋体" w:hAnsi="宋体" w:hint="eastAsia"/>
                <w:sz w:val="20"/>
                <w:szCs w:val="20"/>
              </w:rPr>
              <w:t>望变、</w:t>
            </w:r>
            <w:r>
              <w:rPr>
                <w:rFonts w:ascii="宋体" w:hAnsi="宋体" w:hint="eastAsia"/>
                <w:sz w:val="20"/>
                <w:szCs w:val="20"/>
              </w:rPr>
              <w:t>公司、母公司、集团</w:t>
            </w:r>
          </w:p>
        </w:tc>
        <w:tc>
          <w:tcPr>
            <w:tcW w:w="851" w:type="dxa"/>
            <w:vAlign w:val="center"/>
          </w:tcPr>
          <w:p w14:paraId="06FB2770" w14:textId="77777777" w:rsidR="00577D08" w:rsidRDefault="00330FC0">
            <w:pPr>
              <w:jc w:val="center"/>
            </w:pPr>
            <w:r>
              <w:rPr>
                <w:rFonts w:ascii="宋体" w:hAnsi="宋体" w:hint="eastAsia"/>
                <w:color w:val="000000"/>
              </w:rPr>
              <w:t>指</w:t>
            </w:r>
          </w:p>
        </w:tc>
        <w:tc>
          <w:tcPr>
            <w:tcW w:w="5000" w:type="dxa"/>
          </w:tcPr>
          <w:p w14:paraId="6C24A54A" w14:textId="77777777" w:rsidR="00577D08" w:rsidRDefault="00330FC0">
            <w:r>
              <w:rPr>
                <w:rFonts w:ascii="宋体" w:hAnsi="宋体" w:hint="eastAsia"/>
                <w:sz w:val="20"/>
                <w:szCs w:val="20"/>
              </w:rPr>
              <w:t>重庆望变电气（集团）股份有限公司</w:t>
            </w:r>
          </w:p>
        </w:tc>
      </w:tr>
      <w:tr w:rsidR="00577D08" w14:paraId="1FE9566F" w14:textId="77777777">
        <w:tc>
          <w:tcPr>
            <w:tcW w:w="2972" w:type="dxa"/>
            <w:vAlign w:val="center"/>
          </w:tcPr>
          <w:p w14:paraId="137B77A9" w14:textId="77777777" w:rsidR="00577D08" w:rsidRDefault="00330FC0">
            <w:r>
              <w:rPr>
                <w:rFonts w:ascii="宋体" w:hAnsi="宋体" w:hint="eastAsia"/>
                <w:sz w:val="20"/>
                <w:szCs w:val="20"/>
              </w:rPr>
              <w:t>云变电气</w:t>
            </w:r>
          </w:p>
        </w:tc>
        <w:tc>
          <w:tcPr>
            <w:tcW w:w="851" w:type="dxa"/>
            <w:vAlign w:val="center"/>
          </w:tcPr>
          <w:p w14:paraId="02AA5A3A" w14:textId="77777777" w:rsidR="00577D08" w:rsidRDefault="00330FC0">
            <w:pPr>
              <w:jc w:val="center"/>
            </w:pPr>
            <w:r>
              <w:rPr>
                <w:rFonts w:ascii="宋体" w:hAnsi="宋体" w:hint="eastAsia"/>
                <w:color w:val="000000"/>
              </w:rPr>
              <w:t>指</w:t>
            </w:r>
          </w:p>
        </w:tc>
        <w:tc>
          <w:tcPr>
            <w:tcW w:w="5000" w:type="dxa"/>
          </w:tcPr>
          <w:p w14:paraId="5C540FA7" w14:textId="77777777" w:rsidR="00577D08" w:rsidRDefault="00330FC0">
            <w:r>
              <w:rPr>
                <w:rFonts w:ascii="宋体" w:hAnsi="宋体" w:hint="eastAsia"/>
                <w:sz w:val="20"/>
                <w:szCs w:val="20"/>
              </w:rPr>
              <w:t>云南变压器电气股份有限公司</w:t>
            </w:r>
          </w:p>
        </w:tc>
      </w:tr>
      <w:tr w:rsidR="00577D08" w14:paraId="66AFC778" w14:textId="77777777">
        <w:tc>
          <w:tcPr>
            <w:tcW w:w="2972" w:type="dxa"/>
            <w:vAlign w:val="center"/>
          </w:tcPr>
          <w:p w14:paraId="55A5A5DB" w14:textId="77777777" w:rsidR="00577D08" w:rsidRDefault="00330FC0">
            <w:r>
              <w:rPr>
                <w:rFonts w:ascii="宋体" w:hAnsi="宋体" w:hint="eastAsia"/>
                <w:sz w:val="20"/>
                <w:szCs w:val="20"/>
              </w:rPr>
              <w:t>黔南望江</w:t>
            </w:r>
          </w:p>
        </w:tc>
        <w:tc>
          <w:tcPr>
            <w:tcW w:w="851" w:type="dxa"/>
            <w:vAlign w:val="center"/>
          </w:tcPr>
          <w:p w14:paraId="4ED8B1FA" w14:textId="77777777" w:rsidR="00577D08" w:rsidRDefault="00330FC0">
            <w:pPr>
              <w:jc w:val="center"/>
            </w:pPr>
            <w:r>
              <w:rPr>
                <w:rFonts w:ascii="宋体" w:hAnsi="宋体" w:hint="eastAsia"/>
                <w:color w:val="000000"/>
              </w:rPr>
              <w:t>指</w:t>
            </w:r>
          </w:p>
        </w:tc>
        <w:tc>
          <w:tcPr>
            <w:tcW w:w="5000" w:type="dxa"/>
          </w:tcPr>
          <w:p w14:paraId="6A30A17A" w14:textId="77777777" w:rsidR="00577D08" w:rsidRDefault="00330FC0">
            <w:r>
              <w:rPr>
                <w:rFonts w:ascii="宋体" w:hAnsi="宋体" w:hint="eastAsia"/>
                <w:sz w:val="20"/>
                <w:szCs w:val="20"/>
              </w:rPr>
              <w:t>黔南望江变压器有限公司</w:t>
            </w:r>
          </w:p>
        </w:tc>
      </w:tr>
      <w:tr w:rsidR="00577D08" w14:paraId="5E63663A" w14:textId="77777777">
        <w:tc>
          <w:tcPr>
            <w:tcW w:w="2972" w:type="dxa"/>
            <w:vAlign w:val="center"/>
          </w:tcPr>
          <w:p w14:paraId="008433FE" w14:textId="77777777" w:rsidR="00577D08" w:rsidRDefault="00330FC0">
            <w:r>
              <w:rPr>
                <w:rFonts w:ascii="宋体" w:hAnsi="宋体" w:hint="eastAsia"/>
                <w:sz w:val="20"/>
                <w:szCs w:val="20"/>
              </w:rPr>
              <w:t>惠泽电器</w:t>
            </w:r>
          </w:p>
        </w:tc>
        <w:tc>
          <w:tcPr>
            <w:tcW w:w="851" w:type="dxa"/>
            <w:vAlign w:val="center"/>
          </w:tcPr>
          <w:p w14:paraId="6ACB523D" w14:textId="77777777" w:rsidR="00577D08" w:rsidRDefault="00330FC0">
            <w:pPr>
              <w:jc w:val="center"/>
            </w:pPr>
            <w:r>
              <w:rPr>
                <w:rFonts w:ascii="宋体" w:hAnsi="宋体" w:hint="eastAsia"/>
                <w:color w:val="000000"/>
              </w:rPr>
              <w:t>指</w:t>
            </w:r>
          </w:p>
        </w:tc>
        <w:tc>
          <w:tcPr>
            <w:tcW w:w="5000" w:type="dxa"/>
          </w:tcPr>
          <w:p w14:paraId="151EEC7E" w14:textId="77777777" w:rsidR="00577D08" w:rsidRDefault="00330FC0">
            <w:r>
              <w:rPr>
                <w:rFonts w:ascii="宋体" w:hAnsi="宋体" w:hint="eastAsia"/>
                <w:sz w:val="20"/>
                <w:szCs w:val="20"/>
              </w:rPr>
              <w:t>重庆惠泽电器有限公司</w:t>
            </w:r>
          </w:p>
        </w:tc>
      </w:tr>
      <w:tr w:rsidR="00577D08" w14:paraId="2D05F345" w14:textId="77777777">
        <w:tc>
          <w:tcPr>
            <w:tcW w:w="2972" w:type="dxa"/>
            <w:vAlign w:val="center"/>
          </w:tcPr>
          <w:p w14:paraId="2655B1B6" w14:textId="77777777" w:rsidR="00577D08" w:rsidRDefault="00330FC0">
            <w:r>
              <w:rPr>
                <w:rFonts w:ascii="宋体" w:hAnsi="宋体" w:hint="eastAsia"/>
                <w:sz w:val="20"/>
                <w:szCs w:val="20"/>
              </w:rPr>
              <w:t>香港望变</w:t>
            </w:r>
          </w:p>
        </w:tc>
        <w:tc>
          <w:tcPr>
            <w:tcW w:w="851" w:type="dxa"/>
            <w:vAlign w:val="center"/>
          </w:tcPr>
          <w:p w14:paraId="408F6983" w14:textId="77777777" w:rsidR="00577D08" w:rsidRDefault="00330FC0">
            <w:pPr>
              <w:jc w:val="center"/>
            </w:pPr>
            <w:r>
              <w:rPr>
                <w:rFonts w:ascii="宋体" w:hAnsi="宋体" w:hint="eastAsia"/>
                <w:color w:val="000000"/>
              </w:rPr>
              <w:t>指</w:t>
            </w:r>
          </w:p>
        </w:tc>
        <w:tc>
          <w:tcPr>
            <w:tcW w:w="5000" w:type="dxa"/>
          </w:tcPr>
          <w:p w14:paraId="58CF8AA0" w14:textId="77777777" w:rsidR="00577D08" w:rsidRDefault="00330FC0">
            <w:r>
              <w:rPr>
                <w:rFonts w:ascii="宋体" w:hAnsi="宋体" w:hint="eastAsia"/>
                <w:sz w:val="20"/>
                <w:szCs w:val="20"/>
              </w:rPr>
              <w:t>香港望变国际有限公司</w:t>
            </w:r>
          </w:p>
        </w:tc>
      </w:tr>
      <w:tr w:rsidR="00577D08" w14:paraId="3BEA3511" w14:textId="77777777">
        <w:tc>
          <w:tcPr>
            <w:tcW w:w="2972" w:type="dxa"/>
            <w:vAlign w:val="center"/>
          </w:tcPr>
          <w:p w14:paraId="58525B0F" w14:textId="77777777" w:rsidR="00577D08" w:rsidRDefault="00330FC0">
            <w:bookmarkStart w:id="12" w:name="OLE_LINK36"/>
            <w:r>
              <w:rPr>
                <w:rFonts w:ascii="宋体" w:hAnsi="宋体" w:hint="eastAsia"/>
                <w:sz w:val="20"/>
                <w:szCs w:val="20"/>
              </w:rPr>
              <w:t>望来充</w:t>
            </w:r>
            <w:bookmarkEnd w:id="12"/>
          </w:p>
        </w:tc>
        <w:tc>
          <w:tcPr>
            <w:tcW w:w="851" w:type="dxa"/>
            <w:vAlign w:val="center"/>
          </w:tcPr>
          <w:p w14:paraId="6A7C22BE" w14:textId="77777777" w:rsidR="00577D08" w:rsidRDefault="00330FC0">
            <w:pPr>
              <w:jc w:val="center"/>
            </w:pPr>
            <w:r>
              <w:rPr>
                <w:rFonts w:ascii="宋体" w:hAnsi="宋体" w:hint="eastAsia"/>
                <w:color w:val="000000"/>
              </w:rPr>
              <w:t>指</w:t>
            </w:r>
          </w:p>
        </w:tc>
        <w:tc>
          <w:tcPr>
            <w:tcW w:w="5000" w:type="dxa"/>
          </w:tcPr>
          <w:p w14:paraId="374DBA20" w14:textId="77777777" w:rsidR="00577D08" w:rsidRDefault="00330FC0">
            <w:r>
              <w:rPr>
                <w:rFonts w:ascii="宋体" w:hAnsi="宋体" w:hint="eastAsia"/>
                <w:sz w:val="20"/>
                <w:szCs w:val="20"/>
              </w:rPr>
              <w:t>望来充（重庆）科技有限责任公司及其控制企业</w:t>
            </w:r>
          </w:p>
        </w:tc>
      </w:tr>
      <w:tr w:rsidR="00577D08" w14:paraId="45218C0B" w14:textId="77777777">
        <w:tc>
          <w:tcPr>
            <w:tcW w:w="2972" w:type="dxa"/>
            <w:vAlign w:val="center"/>
          </w:tcPr>
          <w:p w14:paraId="2302A60B" w14:textId="77777777" w:rsidR="00577D08" w:rsidRDefault="00330FC0">
            <w:r>
              <w:rPr>
                <w:rFonts w:ascii="宋体" w:hAnsi="宋体" w:hint="eastAsia"/>
                <w:sz w:val="20"/>
                <w:szCs w:val="20"/>
              </w:rPr>
              <w:t>沈阳望泽</w:t>
            </w:r>
          </w:p>
        </w:tc>
        <w:tc>
          <w:tcPr>
            <w:tcW w:w="851" w:type="dxa"/>
            <w:vAlign w:val="center"/>
          </w:tcPr>
          <w:p w14:paraId="37A8B7CF" w14:textId="77777777" w:rsidR="00577D08" w:rsidRDefault="00330FC0">
            <w:pPr>
              <w:jc w:val="center"/>
            </w:pPr>
            <w:r>
              <w:rPr>
                <w:rFonts w:ascii="宋体" w:hAnsi="宋体" w:hint="eastAsia"/>
                <w:color w:val="000000"/>
              </w:rPr>
              <w:t>指</w:t>
            </w:r>
          </w:p>
        </w:tc>
        <w:tc>
          <w:tcPr>
            <w:tcW w:w="5000" w:type="dxa"/>
          </w:tcPr>
          <w:p w14:paraId="5EA0426F" w14:textId="77777777" w:rsidR="00577D08" w:rsidRDefault="00330FC0">
            <w:r>
              <w:rPr>
                <w:rFonts w:ascii="宋体" w:hAnsi="宋体" w:hint="eastAsia"/>
                <w:sz w:val="20"/>
                <w:szCs w:val="20"/>
              </w:rPr>
              <w:t>沈阳望泽电气有限公司</w:t>
            </w:r>
          </w:p>
        </w:tc>
      </w:tr>
      <w:tr w:rsidR="00577D08" w14:paraId="60E654BB" w14:textId="77777777">
        <w:tc>
          <w:tcPr>
            <w:tcW w:w="2972" w:type="dxa"/>
            <w:vAlign w:val="center"/>
          </w:tcPr>
          <w:p w14:paraId="3306552B" w14:textId="77777777" w:rsidR="00577D08" w:rsidRDefault="00330FC0">
            <w:r>
              <w:rPr>
                <w:rFonts w:ascii="宋体" w:hAnsi="宋体" w:hint="eastAsia"/>
                <w:sz w:val="20"/>
                <w:szCs w:val="20"/>
              </w:rPr>
              <w:t>上海渝申</w:t>
            </w:r>
          </w:p>
        </w:tc>
        <w:tc>
          <w:tcPr>
            <w:tcW w:w="851" w:type="dxa"/>
            <w:vAlign w:val="center"/>
          </w:tcPr>
          <w:p w14:paraId="14FE1DED" w14:textId="77777777" w:rsidR="00577D08" w:rsidRDefault="00330FC0">
            <w:pPr>
              <w:jc w:val="center"/>
            </w:pPr>
            <w:r>
              <w:rPr>
                <w:rFonts w:ascii="宋体" w:hAnsi="宋体" w:hint="eastAsia"/>
                <w:color w:val="000000"/>
              </w:rPr>
              <w:t>指</w:t>
            </w:r>
          </w:p>
        </w:tc>
        <w:tc>
          <w:tcPr>
            <w:tcW w:w="5000" w:type="dxa"/>
          </w:tcPr>
          <w:p w14:paraId="73CED5A0" w14:textId="77777777" w:rsidR="00577D08" w:rsidRDefault="00330FC0">
            <w:r>
              <w:rPr>
                <w:rFonts w:ascii="宋体" w:hAnsi="宋体" w:hint="eastAsia"/>
                <w:sz w:val="20"/>
                <w:szCs w:val="20"/>
              </w:rPr>
              <w:t>上海渝申望变新能源科技有限公司</w:t>
            </w:r>
          </w:p>
        </w:tc>
      </w:tr>
      <w:tr w:rsidR="00577D08" w14:paraId="1BABB1C0" w14:textId="77777777">
        <w:tc>
          <w:tcPr>
            <w:tcW w:w="2972" w:type="dxa"/>
            <w:vAlign w:val="center"/>
          </w:tcPr>
          <w:p w14:paraId="7F4D82A4" w14:textId="77777777" w:rsidR="00577D08" w:rsidRDefault="00330FC0">
            <w:r>
              <w:rPr>
                <w:rFonts w:ascii="宋体" w:hAnsi="宋体" w:hint="eastAsia"/>
                <w:sz w:val="20"/>
                <w:szCs w:val="20"/>
              </w:rPr>
              <w:t>望来电</w:t>
            </w:r>
          </w:p>
        </w:tc>
        <w:tc>
          <w:tcPr>
            <w:tcW w:w="851" w:type="dxa"/>
            <w:vAlign w:val="center"/>
          </w:tcPr>
          <w:p w14:paraId="5B99BF51" w14:textId="77777777" w:rsidR="00577D08" w:rsidRDefault="00330FC0">
            <w:pPr>
              <w:jc w:val="center"/>
            </w:pPr>
            <w:r>
              <w:rPr>
                <w:rFonts w:ascii="宋体" w:hAnsi="宋体" w:hint="eastAsia"/>
                <w:color w:val="000000"/>
              </w:rPr>
              <w:t>指</w:t>
            </w:r>
          </w:p>
        </w:tc>
        <w:tc>
          <w:tcPr>
            <w:tcW w:w="5000" w:type="dxa"/>
          </w:tcPr>
          <w:p w14:paraId="344D7C70" w14:textId="77777777" w:rsidR="00577D08" w:rsidRDefault="00330FC0">
            <w:r>
              <w:rPr>
                <w:rFonts w:ascii="宋体" w:hAnsi="宋体" w:hint="eastAsia"/>
                <w:sz w:val="20"/>
                <w:szCs w:val="20"/>
              </w:rPr>
              <w:t>重庆望来电智能装备科技有限公司</w:t>
            </w:r>
          </w:p>
        </w:tc>
      </w:tr>
      <w:tr w:rsidR="00577D08" w14:paraId="241A48C8" w14:textId="77777777">
        <w:tc>
          <w:tcPr>
            <w:tcW w:w="2972" w:type="dxa"/>
            <w:vAlign w:val="center"/>
          </w:tcPr>
          <w:p w14:paraId="24CEDD28" w14:textId="77777777" w:rsidR="00577D08" w:rsidRDefault="00330FC0">
            <w:r>
              <w:rPr>
                <w:rFonts w:ascii="宋体" w:hAnsi="宋体" w:hint="eastAsia"/>
                <w:sz w:val="20"/>
                <w:szCs w:val="20"/>
              </w:rPr>
              <w:t>能投售电</w:t>
            </w:r>
          </w:p>
        </w:tc>
        <w:tc>
          <w:tcPr>
            <w:tcW w:w="851" w:type="dxa"/>
            <w:vAlign w:val="center"/>
          </w:tcPr>
          <w:p w14:paraId="2F07092B" w14:textId="77777777" w:rsidR="00577D08" w:rsidRDefault="00330FC0">
            <w:pPr>
              <w:jc w:val="center"/>
            </w:pPr>
            <w:r>
              <w:rPr>
                <w:rFonts w:ascii="宋体" w:hAnsi="宋体" w:hint="eastAsia"/>
                <w:color w:val="000000"/>
              </w:rPr>
              <w:t>指</w:t>
            </w:r>
          </w:p>
        </w:tc>
        <w:tc>
          <w:tcPr>
            <w:tcW w:w="5000" w:type="dxa"/>
          </w:tcPr>
          <w:p w14:paraId="3BF794F5" w14:textId="77777777" w:rsidR="00577D08" w:rsidRDefault="00330FC0">
            <w:r>
              <w:rPr>
                <w:rFonts w:ascii="宋体" w:hAnsi="宋体" w:hint="eastAsia"/>
                <w:sz w:val="20"/>
                <w:szCs w:val="20"/>
              </w:rPr>
              <w:t>重庆能投长寿经开区售电有限公司</w:t>
            </w:r>
          </w:p>
        </w:tc>
      </w:tr>
      <w:tr w:rsidR="00577D08" w14:paraId="4DCF08A2" w14:textId="77777777">
        <w:tc>
          <w:tcPr>
            <w:tcW w:w="2972" w:type="dxa"/>
            <w:vAlign w:val="center"/>
          </w:tcPr>
          <w:p w14:paraId="1F66E8F7" w14:textId="77777777" w:rsidR="00577D08" w:rsidRDefault="00330FC0">
            <w:r>
              <w:rPr>
                <w:rFonts w:ascii="宋体" w:hAnsi="宋体" w:hint="eastAsia"/>
                <w:sz w:val="20"/>
                <w:szCs w:val="20"/>
              </w:rPr>
              <w:t>电工钢</w:t>
            </w:r>
          </w:p>
        </w:tc>
        <w:tc>
          <w:tcPr>
            <w:tcW w:w="851" w:type="dxa"/>
            <w:vAlign w:val="center"/>
          </w:tcPr>
          <w:p w14:paraId="4A040A12" w14:textId="77777777" w:rsidR="00577D08" w:rsidRDefault="00330FC0">
            <w:pPr>
              <w:jc w:val="center"/>
            </w:pPr>
            <w:r>
              <w:rPr>
                <w:rFonts w:ascii="宋体" w:hAnsi="宋体" w:hint="eastAsia"/>
                <w:color w:val="000000"/>
              </w:rPr>
              <w:t>指</w:t>
            </w:r>
          </w:p>
        </w:tc>
        <w:tc>
          <w:tcPr>
            <w:tcW w:w="5000" w:type="dxa"/>
          </w:tcPr>
          <w:p w14:paraId="1803332D" w14:textId="77777777" w:rsidR="00577D08" w:rsidRDefault="00330FC0">
            <w:r>
              <w:rPr>
                <w:rFonts w:ascii="宋体" w:hAnsi="宋体" w:hint="eastAsia"/>
                <w:sz w:val="20"/>
                <w:szCs w:val="20"/>
              </w:rPr>
              <w:t>是一种含碳极低的硅铁软磁合金，一般含硅量为</w:t>
            </w:r>
            <w:r>
              <w:rPr>
                <w:rFonts w:hint="eastAsia"/>
                <w:sz w:val="20"/>
                <w:szCs w:val="20"/>
              </w:rPr>
              <w:t>0.5%</w:t>
            </w:r>
            <w:r>
              <w:rPr>
                <w:rFonts w:ascii="宋体" w:hAnsi="宋体" w:hint="eastAsia"/>
                <w:sz w:val="20"/>
                <w:szCs w:val="20"/>
              </w:rPr>
              <w:t>～</w:t>
            </w:r>
            <w:r>
              <w:rPr>
                <w:rFonts w:hint="eastAsia"/>
                <w:sz w:val="20"/>
                <w:szCs w:val="20"/>
              </w:rPr>
              <w:t>4.5%</w:t>
            </w:r>
            <w:r>
              <w:rPr>
                <w:rFonts w:ascii="宋体" w:hAnsi="宋体" w:hint="eastAsia"/>
                <w:sz w:val="20"/>
                <w:szCs w:val="20"/>
              </w:rPr>
              <w:t>，亦称硅钢片</w:t>
            </w:r>
          </w:p>
        </w:tc>
      </w:tr>
      <w:tr w:rsidR="00577D08" w14:paraId="2EDBDAD2" w14:textId="77777777">
        <w:tc>
          <w:tcPr>
            <w:tcW w:w="2972" w:type="dxa"/>
            <w:vAlign w:val="center"/>
          </w:tcPr>
          <w:p w14:paraId="1A8B0D0A" w14:textId="77777777" w:rsidR="00577D08" w:rsidRDefault="00330FC0">
            <w:r>
              <w:rPr>
                <w:rFonts w:ascii="宋体" w:hAnsi="宋体" w:hint="eastAsia"/>
                <w:sz w:val="20"/>
                <w:szCs w:val="20"/>
              </w:rPr>
              <w:t>取向硅钢、取向电工钢</w:t>
            </w:r>
          </w:p>
        </w:tc>
        <w:tc>
          <w:tcPr>
            <w:tcW w:w="851" w:type="dxa"/>
            <w:vAlign w:val="center"/>
          </w:tcPr>
          <w:p w14:paraId="637FF878" w14:textId="77777777" w:rsidR="00577D08" w:rsidRDefault="00330FC0">
            <w:pPr>
              <w:jc w:val="center"/>
            </w:pPr>
            <w:r>
              <w:rPr>
                <w:rFonts w:ascii="宋体" w:hAnsi="宋体" w:hint="eastAsia"/>
                <w:color w:val="000000"/>
              </w:rPr>
              <w:t>指</w:t>
            </w:r>
          </w:p>
        </w:tc>
        <w:tc>
          <w:tcPr>
            <w:tcW w:w="5000" w:type="dxa"/>
          </w:tcPr>
          <w:p w14:paraId="3F6C0A81" w14:textId="77777777" w:rsidR="00577D08" w:rsidRDefault="00330FC0">
            <w:r>
              <w:rPr>
                <w:rFonts w:ascii="宋体" w:hAnsi="宋体" w:hint="eastAsia"/>
                <w:sz w:val="20"/>
                <w:szCs w:val="20"/>
              </w:rPr>
              <w:t>一种晶粒基本朝同一方向排列的极低碳硅铁合金材料，主要应用于变压器（铁心）制造行业</w:t>
            </w:r>
          </w:p>
        </w:tc>
      </w:tr>
      <w:tr w:rsidR="00577D08" w14:paraId="2213B078" w14:textId="77777777">
        <w:tc>
          <w:tcPr>
            <w:tcW w:w="2972" w:type="dxa"/>
            <w:vAlign w:val="center"/>
          </w:tcPr>
          <w:p w14:paraId="4366699B" w14:textId="77777777" w:rsidR="00577D08" w:rsidRDefault="00330FC0">
            <w:r>
              <w:rPr>
                <w:sz w:val="20"/>
                <w:szCs w:val="20"/>
              </w:rPr>
              <w:t>HiB</w:t>
            </w:r>
            <w:r>
              <w:rPr>
                <w:rFonts w:ascii="宋体" w:hAnsi="宋体" w:hint="eastAsia"/>
                <w:sz w:val="20"/>
                <w:szCs w:val="20"/>
              </w:rPr>
              <w:t>、高磁感取向硅钢</w:t>
            </w:r>
          </w:p>
        </w:tc>
        <w:tc>
          <w:tcPr>
            <w:tcW w:w="851" w:type="dxa"/>
            <w:vAlign w:val="center"/>
          </w:tcPr>
          <w:p w14:paraId="4AEE2571" w14:textId="77777777" w:rsidR="00577D08" w:rsidRDefault="00330FC0">
            <w:pPr>
              <w:jc w:val="center"/>
            </w:pPr>
            <w:r>
              <w:rPr>
                <w:rFonts w:ascii="宋体" w:hAnsi="宋体" w:hint="eastAsia"/>
                <w:color w:val="000000"/>
              </w:rPr>
              <w:t>指</w:t>
            </w:r>
          </w:p>
        </w:tc>
        <w:tc>
          <w:tcPr>
            <w:tcW w:w="5000" w:type="dxa"/>
          </w:tcPr>
          <w:p w14:paraId="2D1F3A7E" w14:textId="77777777" w:rsidR="00577D08" w:rsidRDefault="00330FC0">
            <w:r>
              <w:rPr>
                <w:rFonts w:ascii="宋体" w:hAnsi="宋体" w:hint="eastAsia"/>
                <w:sz w:val="20"/>
                <w:szCs w:val="20"/>
              </w:rPr>
              <w:t>磁感强度≥</w:t>
            </w:r>
            <w:r>
              <w:rPr>
                <w:rFonts w:hint="eastAsia"/>
                <w:sz w:val="20"/>
                <w:szCs w:val="20"/>
              </w:rPr>
              <w:t>1.88T</w:t>
            </w:r>
            <w:r>
              <w:rPr>
                <w:rFonts w:ascii="宋体" w:hAnsi="宋体" w:hint="eastAsia"/>
                <w:sz w:val="20"/>
                <w:szCs w:val="20"/>
              </w:rPr>
              <w:t>的取向硅钢，与一般取向硅钢相比具有铁损低、磁感应强度高、磁致伸缩小等优点。</w:t>
            </w:r>
          </w:p>
        </w:tc>
      </w:tr>
      <w:tr w:rsidR="00577D08" w14:paraId="11F21456" w14:textId="77777777">
        <w:tc>
          <w:tcPr>
            <w:tcW w:w="2972" w:type="dxa"/>
            <w:vAlign w:val="center"/>
          </w:tcPr>
          <w:p w14:paraId="6865A403" w14:textId="77777777" w:rsidR="00577D08" w:rsidRDefault="00330FC0">
            <w:r>
              <w:rPr>
                <w:sz w:val="20"/>
                <w:szCs w:val="20"/>
              </w:rPr>
              <w:t>CGO</w:t>
            </w:r>
            <w:r>
              <w:rPr>
                <w:rFonts w:ascii="宋体" w:hAnsi="宋体" w:hint="eastAsia"/>
                <w:sz w:val="20"/>
                <w:szCs w:val="20"/>
              </w:rPr>
              <w:t>、一般取向硅钢</w:t>
            </w:r>
          </w:p>
        </w:tc>
        <w:tc>
          <w:tcPr>
            <w:tcW w:w="851" w:type="dxa"/>
            <w:vAlign w:val="center"/>
          </w:tcPr>
          <w:p w14:paraId="1E51FEAE" w14:textId="77777777" w:rsidR="00577D08" w:rsidRDefault="00330FC0">
            <w:pPr>
              <w:jc w:val="center"/>
            </w:pPr>
            <w:r>
              <w:rPr>
                <w:rFonts w:ascii="宋体" w:hAnsi="宋体" w:hint="eastAsia"/>
                <w:color w:val="000000"/>
              </w:rPr>
              <w:t>指</w:t>
            </w:r>
          </w:p>
        </w:tc>
        <w:tc>
          <w:tcPr>
            <w:tcW w:w="5000" w:type="dxa"/>
          </w:tcPr>
          <w:p w14:paraId="4AA408CA" w14:textId="77777777" w:rsidR="00577D08" w:rsidRDefault="00330FC0">
            <w:r>
              <w:rPr>
                <w:rFonts w:ascii="宋体" w:hAnsi="宋体" w:hint="eastAsia"/>
                <w:sz w:val="20"/>
                <w:szCs w:val="20"/>
              </w:rPr>
              <w:t>磁感强度＜</w:t>
            </w:r>
            <w:r>
              <w:rPr>
                <w:rFonts w:hint="eastAsia"/>
                <w:sz w:val="20"/>
                <w:szCs w:val="20"/>
              </w:rPr>
              <w:t>1.88T</w:t>
            </w:r>
            <w:r>
              <w:rPr>
                <w:rFonts w:ascii="宋体" w:hAnsi="宋体" w:hint="eastAsia"/>
                <w:sz w:val="20"/>
                <w:szCs w:val="20"/>
              </w:rPr>
              <w:t>的取向硅钢</w:t>
            </w:r>
          </w:p>
        </w:tc>
      </w:tr>
      <w:tr w:rsidR="00577D08" w14:paraId="0B675CE3" w14:textId="77777777">
        <w:tc>
          <w:tcPr>
            <w:tcW w:w="2972" w:type="dxa"/>
            <w:vAlign w:val="center"/>
          </w:tcPr>
          <w:p w14:paraId="0F02F0C0" w14:textId="77777777" w:rsidR="00577D08" w:rsidRDefault="00330FC0">
            <w:r>
              <w:rPr>
                <w:rFonts w:ascii="宋体" w:hAnsi="宋体" w:hint="eastAsia"/>
                <w:sz w:val="20"/>
                <w:szCs w:val="20"/>
              </w:rPr>
              <w:t>牌号</w:t>
            </w:r>
          </w:p>
        </w:tc>
        <w:tc>
          <w:tcPr>
            <w:tcW w:w="851" w:type="dxa"/>
            <w:vAlign w:val="center"/>
          </w:tcPr>
          <w:p w14:paraId="7EDAB07E" w14:textId="77777777" w:rsidR="00577D08" w:rsidRDefault="00330FC0">
            <w:pPr>
              <w:jc w:val="center"/>
            </w:pPr>
            <w:r>
              <w:rPr>
                <w:rFonts w:ascii="宋体" w:hAnsi="宋体" w:hint="eastAsia"/>
                <w:color w:val="000000"/>
              </w:rPr>
              <w:t>指</w:t>
            </w:r>
          </w:p>
        </w:tc>
        <w:tc>
          <w:tcPr>
            <w:tcW w:w="5000" w:type="dxa"/>
          </w:tcPr>
          <w:p w14:paraId="26B1BB33" w14:textId="77777777" w:rsidR="00577D08" w:rsidRDefault="00330FC0">
            <w:r>
              <w:rPr>
                <w:rFonts w:ascii="宋体" w:hAnsi="宋体" w:hint="eastAsia"/>
                <w:sz w:val="20"/>
                <w:szCs w:val="20"/>
              </w:rPr>
              <w:t>一般取向硅钢按</w:t>
            </w:r>
            <w:r>
              <w:rPr>
                <w:rFonts w:hint="eastAsia"/>
                <w:sz w:val="20"/>
                <w:szCs w:val="20"/>
              </w:rPr>
              <w:t>130</w:t>
            </w:r>
            <w:r>
              <w:rPr>
                <w:rFonts w:ascii="宋体" w:hAnsi="宋体" w:hint="eastAsia"/>
                <w:sz w:val="20"/>
                <w:szCs w:val="20"/>
              </w:rPr>
              <w:t>、</w:t>
            </w:r>
            <w:r>
              <w:rPr>
                <w:rFonts w:hint="eastAsia"/>
                <w:sz w:val="20"/>
                <w:szCs w:val="20"/>
              </w:rPr>
              <w:t>120</w:t>
            </w:r>
            <w:r>
              <w:rPr>
                <w:rFonts w:ascii="宋体" w:hAnsi="宋体" w:hint="eastAsia"/>
                <w:sz w:val="20"/>
                <w:szCs w:val="20"/>
              </w:rPr>
              <w:t>、</w:t>
            </w:r>
            <w:r>
              <w:rPr>
                <w:rFonts w:hint="eastAsia"/>
                <w:sz w:val="20"/>
                <w:szCs w:val="20"/>
              </w:rPr>
              <w:t>110</w:t>
            </w:r>
            <w:r>
              <w:rPr>
                <w:rFonts w:ascii="宋体" w:hAnsi="宋体" w:hint="eastAsia"/>
                <w:sz w:val="20"/>
                <w:szCs w:val="20"/>
              </w:rPr>
              <w:t>的数字命名牌号，数字越小牌号越高；高磁感取向硅钢按</w:t>
            </w:r>
            <w:r>
              <w:rPr>
                <w:rFonts w:hint="eastAsia"/>
                <w:sz w:val="20"/>
                <w:szCs w:val="20"/>
              </w:rPr>
              <w:t>100</w:t>
            </w:r>
            <w:r>
              <w:rPr>
                <w:rFonts w:ascii="宋体" w:hAnsi="宋体" w:hint="eastAsia"/>
                <w:sz w:val="20"/>
                <w:szCs w:val="20"/>
              </w:rPr>
              <w:t>、</w:t>
            </w:r>
            <w:r>
              <w:rPr>
                <w:rFonts w:hint="eastAsia"/>
                <w:sz w:val="20"/>
                <w:szCs w:val="20"/>
              </w:rPr>
              <w:t>095</w:t>
            </w:r>
            <w:r>
              <w:rPr>
                <w:rFonts w:ascii="宋体" w:hAnsi="宋体" w:hint="eastAsia"/>
                <w:sz w:val="20"/>
                <w:szCs w:val="20"/>
              </w:rPr>
              <w:t>、</w:t>
            </w:r>
            <w:r>
              <w:rPr>
                <w:rFonts w:hint="eastAsia"/>
                <w:sz w:val="20"/>
                <w:szCs w:val="20"/>
              </w:rPr>
              <w:t>090</w:t>
            </w:r>
            <w:r>
              <w:rPr>
                <w:rFonts w:ascii="宋体" w:hAnsi="宋体" w:hint="eastAsia"/>
                <w:sz w:val="20"/>
                <w:szCs w:val="20"/>
              </w:rPr>
              <w:t>、</w:t>
            </w:r>
            <w:r>
              <w:rPr>
                <w:rFonts w:hint="eastAsia"/>
                <w:sz w:val="20"/>
                <w:szCs w:val="20"/>
              </w:rPr>
              <w:t>085</w:t>
            </w:r>
            <w:r>
              <w:rPr>
                <w:rFonts w:ascii="宋体" w:hAnsi="宋体" w:hint="eastAsia"/>
                <w:sz w:val="20"/>
                <w:szCs w:val="20"/>
              </w:rPr>
              <w:t>、</w:t>
            </w:r>
            <w:r>
              <w:rPr>
                <w:rFonts w:hint="eastAsia"/>
                <w:sz w:val="20"/>
                <w:szCs w:val="20"/>
              </w:rPr>
              <w:t>080</w:t>
            </w:r>
            <w:r>
              <w:rPr>
                <w:rFonts w:ascii="宋体" w:hAnsi="宋体" w:hint="eastAsia"/>
                <w:sz w:val="20"/>
                <w:szCs w:val="20"/>
              </w:rPr>
              <w:t>、</w:t>
            </w:r>
            <w:r>
              <w:rPr>
                <w:rFonts w:hint="eastAsia"/>
                <w:sz w:val="20"/>
                <w:szCs w:val="20"/>
              </w:rPr>
              <w:t>075</w:t>
            </w:r>
            <w:r>
              <w:rPr>
                <w:rFonts w:ascii="宋体" w:hAnsi="宋体" w:hint="eastAsia"/>
                <w:sz w:val="20"/>
                <w:szCs w:val="20"/>
              </w:rPr>
              <w:t>以此类推的数字命名牌号，数字越小牌号越高。</w:t>
            </w:r>
          </w:p>
        </w:tc>
      </w:tr>
      <w:tr w:rsidR="00577D08" w14:paraId="054C5544" w14:textId="77777777">
        <w:tc>
          <w:tcPr>
            <w:tcW w:w="2972" w:type="dxa"/>
            <w:vAlign w:val="center"/>
          </w:tcPr>
          <w:p w14:paraId="17631D46" w14:textId="77777777" w:rsidR="00577D08" w:rsidRDefault="00330FC0">
            <w:r>
              <w:rPr>
                <w:rFonts w:ascii="宋体" w:hAnsi="宋体" w:hint="eastAsia"/>
                <w:sz w:val="20"/>
                <w:szCs w:val="20"/>
              </w:rPr>
              <w:t>变压器、电力变压器</w:t>
            </w:r>
          </w:p>
        </w:tc>
        <w:tc>
          <w:tcPr>
            <w:tcW w:w="851" w:type="dxa"/>
            <w:vAlign w:val="center"/>
          </w:tcPr>
          <w:p w14:paraId="5066D1BB" w14:textId="77777777" w:rsidR="00577D08" w:rsidRDefault="00330FC0">
            <w:pPr>
              <w:jc w:val="center"/>
              <w:rPr>
                <w:highlight w:val="lightGray"/>
              </w:rPr>
            </w:pPr>
            <w:r>
              <w:rPr>
                <w:rFonts w:ascii="宋体" w:hAnsi="宋体" w:hint="eastAsia"/>
                <w:color w:val="000000"/>
              </w:rPr>
              <w:t>指</w:t>
            </w:r>
          </w:p>
        </w:tc>
        <w:tc>
          <w:tcPr>
            <w:tcW w:w="5000" w:type="dxa"/>
          </w:tcPr>
          <w:p w14:paraId="1388E1D5" w14:textId="77777777" w:rsidR="00577D08" w:rsidRDefault="00330FC0">
            <w:r>
              <w:rPr>
                <w:rFonts w:ascii="宋体" w:hAnsi="宋体" w:hint="eastAsia"/>
                <w:sz w:val="20"/>
                <w:szCs w:val="20"/>
              </w:rPr>
              <w:t>利用电磁感应原理制成的传输交流电能并改变交流电压的装置，主要构件是绕组、铁心、绝缘系统和散热装置。</w:t>
            </w:r>
          </w:p>
        </w:tc>
      </w:tr>
      <w:tr w:rsidR="00577D08" w14:paraId="56366105" w14:textId="77777777">
        <w:tc>
          <w:tcPr>
            <w:tcW w:w="2972" w:type="dxa"/>
            <w:vAlign w:val="center"/>
          </w:tcPr>
          <w:p w14:paraId="5C6FBD9C" w14:textId="77777777" w:rsidR="00577D08" w:rsidRDefault="00330FC0">
            <w:r>
              <w:rPr>
                <w:rFonts w:ascii="宋体" w:hAnsi="宋体" w:hint="eastAsia"/>
                <w:sz w:val="20"/>
                <w:szCs w:val="20"/>
              </w:rPr>
              <w:t>电气化铁路牵引变压器</w:t>
            </w:r>
          </w:p>
        </w:tc>
        <w:tc>
          <w:tcPr>
            <w:tcW w:w="851" w:type="dxa"/>
            <w:vAlign w:val="center"/>
          </w:tcPr>
          <w:p w14:paraId="45C9F472" w14:textId="77777777" w:rsidR="00577D08" w:rsidRDefault="00330FC0">
            <w:pPr>
              <w:jc w:val="center"/>
            </w:pPr>
            <w:r>
              <w:rPr>
                <w:rFonts w:ascii="宋体" w:hAnsi="宋体" w:hint="eastAsia"/>
                <w:color w:val="000000"/>
              </w:rPr>
              <w:t>指</w:t>
            </w:r>
          </w:p>
        </w:tc>
        <w:tc>
          <w:tcPr>
            <w:tcW w:w="5000" w:type="dxa"/>
          </w:tcPr>
          <w:p w14:paraId="6FB38D08" w14:textId="77777777" w:rsidR="00577D08" w:rsidRDefault="00330FC0">
            <w:r>
              <w:rPr>
                <w:rFonts w:ascii="宋体" w:hAnsi="宋体" w:hint="eastAsia"/>
                <w:sz w:val="20"/>
                <w:szCs w:val="20"/>
              </w:rPr>
              <w:t>是安装在电气化铁路牵引变电所，将</w:t>
            </w:r>
            <w:r>
              <w:rPr>
                <w:rFonts w:hint="eastAsia"/>
                <w:sz w:val="20"/>
                <w:szCs w:val="20"/>
              </w:rPr>
              <w:t>110</w:t>
            </w:r>
            <w:r>
              <w:rPr>
                <w:rFonts w:ascii="宋体" w:hAnsi="宋体" w:hint="eastAsia"/>
                <w:sz w:val="20"/>
                <w:szCs w:val="20"/>
              </w:rPr>
              <w:t>、</w:t>
            </w:r>
            <w:r>
              <w:rPr>
                <w:rFonts w:hint="eastAsia"/>
                <w:sz w:val="20"/>
                <w:szCs w:val="20"/>
              </w:rPr>
              <w:t>220</w:t>
            </w:r>
            <w:r>
              <w:rPr>
                <w:rFonts w:ascii="宋体" w:hAnsi="宋体" w:hint="eastAsia"/>
                <w:sz w:val="20"/>
                <w:szCs w:val="20"/>
              </w:rPr>
              <w:t>、</w:t>
            </w:r>
            <w:r>
              <w:rPr>
                <w:rFonts w:hint="eastAsia"/>
                <w:sz w:val="20"/>
                <w:szCs w:val="20"/>
              </w:rPr>
              <w:t>330kV</w:t>
            </w:r>
            <w:r>
              <w:rPr>
                <w:rFonts w:ascii="宋体" w:hAnsi="宋体" w:hint="eastAsia"/>
                <w:sz w:val="20"/>
                <w:szCs w:val="20"/>
              </w:rPr>
              <w:t>三相电力系统电压转换为单相或两相</w:t>
            </w:r>
            <w:r>
              <w:rPr>
                <w:rFonts w:hint="eastAsia"/>
                <w:sz w:val="20"/>
                <w:szCs w:val="20"/>
              </w:rPr>
              <w:t>27.5</w:t>
            </w:r>
            <w:r>
              <w:rPr>
                <w:rFonts w:ascii="宋体" w:hAnsi="宋体" w:hint="eastAsia"/>
                <w:sz w:val="20"/>
                <w:szCs w:val="20"/>
              </w:rPr>
              <w:t>、</w:t>
            </w:r>
            <w:r>
              <w:rPr>
                <w:rFonts w:hint="eastAsia"/>
                <w:sz w:val="20"/>
                <w:szCs w:val="20"/>
              </w:rPr>
              <w:t>2</w:t>
            </w:r>
            <w:r>
              <w:rPr>
                <w:rFonts w:ascii="宋体" w:hAnsi="宋体" w:hint="eastAsia"/>
                <w:sz w:val="20"/>
                <w:szCs w:val="20"/>
              </w:rPr>
              <w:t>×</w:t>
            </w:r>
            <w:r>
              <w:rPr>
                <w:rFonts w:hint="eastAsia"/>
                <w:sz w:val="20"/>
                <w:szCs w:val="20"/>
              </w:rPr>
              <w:t>27.5kV</w:t>
            </w:r>
            <w:r>
              <w:rPr>
                <w:rFonts w:ascii="宋体" w:hAnsi="宋体" w:hint="eastAsia"/>
                <w:sz w:val="20"/>
                <w:szCs w:val="20"/>
              </w:rPr>
              <w:t>馈线电压，对电力机车供电的变压器。</w:t>
            </w:r>
          </w:p>
        </w:tc>
      </w:tr>
      <w:tr w:rsidR="00577D08" w14:paraId="481762E4" w14:textId="77777777">
        <w:tc>
          <w:tcPr>
            <w:tcW w:w="2972" w:type="dxa"/>
            <w:vAlign w:val="center"/>
          </w:tcPr>
          <w:p w14:paraId="7F34D30E" w14:textId="77777777" w:rsidR="00577D08" w:rsidRDefault="00330FC0">
            <w:r>
              <w:rPr>
                <w:rFonts w:ascii="宋体" w:hAnsi="宋体" w:hint="eastAsia"/>
                <w:sz w:val="20"/>
                <w:szCs w:val="20"/>
              </w:rPr>
              <w:t>高原型电力变压器</w:t>
            </w:r>
          </w:p>
        </w:tc>
        <w:tc>
          <w:tcPr>
            <w:tcW w:w="851" w:type="dxa"/>
            <w:vAlign w:val="center"/>
          </w:tcPr>
          <w:p w14:paraId="2891C2EA" w14:textId="77777777" w:rsidR="00577D08" w:rsidRDefault="00330FC0">
            <w:pPr>
              <w:jc w:val="center"/>
            </w:pPr>
            <w:r>
              <w:rPr>
                <w:rFonts w:ascii="宋体" w:hAnsi="宋体" w:hint="eastAsia"/>
                <w:color w:val="000000"/>
              </w:rPr>
              <w:t>指</w:t>
            </w:r>
          </w:p>
        </w:tc>
        <w:tc>
          <w:tcPr>
            <w:tcW w:w="5000" w:type="dxa"/>
          </w:tcPr>
          <w:p w14:paraId="7AEF442D" w14:textId="77777777" w:rsidR="00577D08" w:rsidRDefault="00330FC0">
            <w:r>
              <w:rPr>
                <w:rFonts w:ascii="宋体" w:hAnsi="宋体" w:hint="eastAsia"/>
                <w:sz w:val="20"/>
                <w:szCs w:val="20"/>
              </w:rPr>
              <w:t>一般用于</w:t>
            </w:r>
            <w:r>
              <w:rPr>
                <w:rFonts w:hint="eastAsia"/>
                <w:sz w:val="20"/>
                <w:szCs w:val="20"/>
              </w:rPr>
              <w:t>2000</w:t>
            </w:r>
            <w:r>
              <w:rPr>
                <w:rFonts w:ascii="宋体" w:hAnsi="宋体" w:hint="eastAsia"/>
                <w:sz w:val="20"/>
                <w:szCs w:val="20"/>
              </w:rPr>
              <w:t>米以上海拔地区的电力变压器，能够高度适应空气稀薄、气候条件差 、雷暴多 、运输条件差等高原独特环境和气候，较一般电力变压器相比，在变压器的散热条件、 绝缘等级及二次控制原件安全性 等方面具有较强的优势。</w:t>
            </w:r>
          </w:p>
        </w:tc>
      </w:tr>
      <w:tr w:rsidR="00577D08" w14:paraId="57F85B2C" w14:textId="77777777">
        <w:tc>
          <w:tcPr>
            <w:tcW w:w="2972" w:type="dxa"/>
            <w:vAlign w:val="center"/>
          </w:tcPr>
          <w:p w14:paraId="44399813" w14:textId="77777777" w:rsidR="00577D08" w:rsidRDefault="00330FC0">
            <w:pPr>
              <w:rPr>
                <w:rFonts w:ascii="宋体" w:hAnsi="宋体" w:hint="eastAsia"/>
                <w:sz w:val="20"/>
                <w:szCs w:val="20"/>
              </w:rPr>
            </w:pPr>
            <w:r>
              <w:rPr>
                <w:rFonts w:ascii="宋体" w:hAnsi="宋体" w:hint="eastAsia"/>
                <w:sz w:val="20"/>
                <w:szCs w:val="20"/>
              </w:rPr>
              <w:t>智能充变一体机</w:t>
            </w:r>
          </w:p>
        </w:tc>
        <w:tc>
          <w:tcPr>
            <w:tcW w:w="851" w:type="dxa"/>
            <w:vAlign w:val="center"/>
          </w:tcPr>
          <w:p w14:paraId="708BE32C" w14:textId="77777777" w:rsidR="00577D08" w:rsidRDefault="00330FC0">
            <w:pPr>
              <w:jc w:val="center"/>
              <w:rPr>
                <w:rFonts w:ascii="宋体" w:hAnsi="宋体" w:hint="eastAsia"/>
                <w:color w:val="000000"/>
              </w:rPr>
            </w:pPr>
            <w:r>
              <w:rPr>
                <w:rFonts w:ascii="宋体" w:hAnsi="宋体" w:hint="eastAsia"/>
                <w:color w:val="000000"/>
              </w:rPr>
              <w:t>指</w:t>
            </w:r>
          </w:p>
        </w:tc>
        <w:tc>
          <w:tcPr>
            <w:tcW w:w="5000" w:type="dxa"/>
          </w:tcPr>
          <w:p w14:paraId="4196F9C2" w14:textId="77777777" w:rsidR="00577D08" w:rsidRDefault="00330FC0">
            <w:pPr>
              <w:rPr>
                <w:rFonts w:ascii="宋体" w:hAnsi="宋体" w:hint="eastAsia"/>
                <w:sz w:val="20"/>
                <w:szCs w:val="20"/>
              </w:rPr>
            </w:pPr>
            <w:r>
              <w:rPr>
                <w:rFonts w:ascii="宋体" w:hAnsi="宋体" w:hint="eastAsia"/>
                <w:sz w:val="20"/>
                <w:szCs w:val="20"/>
              </w:rPr>
              <w:t>指将</w:t>
            </w:r>
            <w:r>
              <w:rPr>
                <w:rFonts w:hint="eastAsia"/>
                <w:sz w:val="20"/>
                <w:szCs w:val="20"/>
              </w:rPr>
              <w:t>10kV</w:t>
            </w:r>
            <w:r>
              <w:rPr>
                <w:rFonts w:ascii="宋体" w:hAnsi="宋体" w:hint="eastAsia"/>
                <w:sz w:val="20"/>
                <w:szCs w:val="20"/>
              </w:rPr>
              <w:t>交流系统与低压直流充电系统深度耦合实现新能源电动重卡以及乘用车快速充电补能的产品。产品可直接接入</w:t>
            </w:r>
            <w:r>
              <w:rPr>
                <w:rFonts w:hint="eastAsia"/>
                <w:sz w:val="20"/>
                <w:szCs w:val="20"/>
              </w:rPr>
              <w:t>10kV</w:t>
            </w:r>
            <w:r>
              <w:rPr>
                <w:rFonts w:ascii="宋体" w:hAnsi="宋体" w:hint="eastAsia"/>
                <w:sz w:val="20"/>
                <w:szCs w:val="20"/>
              </w:rPr>
              <w:t>交流电网，输出</w:t>
            </w:r>
            <w:r>
              <w:rPr>
                <w:rFonts w:hint="eastAsia"/>
                <w:sz w:val="20"/>
                <w:szCs w:val="20"/>
              </w:rPr>
              <w:t>200-1000VDC</w:t>
            </w:r>
            <w:r>
              <w:rPr>
                <w:rFonts w:ascii="宋体" w:hAnsi="宋体" w:hint="eastAsia"/>
                <w:sz w:val="20"/>
                <w:szCs w:val="20"/>
              </w:rPr>
              <w:t>直流电，设备最大容量</w:t>
            </w:r>
            <w:r>
              <w:rPr>
                <w:rFonts w:hint="eastAsia"/>
                <w:sz w:val="20"/>
                <w:szCs w:val="20"/>
              </w:rPr>
              <w:t>2500kVA</w:t>
            </w:r>
            <w:r>
              <w:rPr>
                <w:rFonts w:ascii="宋体" w:hAnsi="宋体" w:hint="eastAsia"/>
                <w:sz w:val="20"/>
                <w:szCs w:val="20"/>
              </w:rPr>
              <w:t>，双枪最大充电功率</w:t>
            </w:r>
            <w:r>
              <w:rPr>
                <w:rFonts w:hint="eastAsia"/>
                <w:sz w:val="20"/>
                <w:szCs w:val="20"/>
              </w:rPr>
              <w:t>1440kW</w:t>
            </w:r>
            <w:r>
              <w:rPr>
                <w:rFonts w:ascii="宋体" w:hAnsi="宋体" w:hint="eastAsia"/>
                <w:sz w:val="20"/>
                <w:szCs w:val="20"/>
              </w:rPr>
              <w:t>，支持兆瓦超充。</w:t>
            </w:r>
          </w:p>
        </w:tc>
      </w:tr>
      <w:tr w:rsidR="00577D08" w14:paraId="2C613C71" w14:textId="77777777">
        <w:tc>
          <w:tcPr>
            <w:tcW w:w="2972" w:type="dxa"/>
            <w:vAlign w:val="center"/>
          </w:tcPr>
          <w:p w14:paraId="6DCE7CB3" w14:textId="77777777" w:rsidR="00577D08" w:rsidRDefault="00330FC0">
            <w:r>
              <w:rPr>
                <w:rFonts w:ascii="宋体" w:hAnsi="宋体" w:hint="eastAsia"/>
                <w:sz w:val="20"/>
                <w:szCs w:val="20"/>
              </w:rPr>
              <w:t>箱式变电站、箱变</w:t>
            </w:r>
          </w:p>
        </w:tc>
        <w:tc>
          <w:tcPr>
            <w:tcW w:w="851" w:type="dxa"/>
            <w:vAlign w:val="center"/>
          </w:tcPr>
          <w:p w14:paraId="2592D770" w14:textId="77777777" w:rsidR="00577D08" w:rsidRDefault="00330FC0">
            <w:pPr>
              <w:jc w:val="center"/>
            </w:pPr>
            <w:r>
              <w:rPr>
                <w:rFonts w:ascii="宋体" w:hAnsi="宋体" w:hint="eastAsia"/>
                <w:color w:val="000000"/>
              </w:rPr>
              <w:t>指</w:t>
            </w:r>
          </w:p>
        </w:tc>
        <w:tc>
          <w:tcPr>
            <w:tcW w:w="5000" w:type="dxa"/>
          </w:tcPr>
          <w:p w14:paraId="0D5FB9A2" w14:textId="77777777" w:rsidR="00577D08" w:rsidRDefault="00330FC0">
            <w:r>
              <w:rPr>
                <w:rFonts w:ascii="宋体" w:hAnsi="宋体" w:hint="eastAsia"/>
                <w:sz w:val="20"/>
                <w:szCs w:val="20"/>
              </w:rPr>
              <w:t>一种高压开关设备、电力变压器和低压配电装置，按一</w:t>
            </w:r>
            <w:r>
              <w:rPr>
                <w:rFonts w:ascii="宋体" w:hAnsi="宋体" w:hint="eastAsia"/>
                <w:sz w:val="20"/>
                <w:szCs w:val="20"/>
              </w:rPr>
              <w:lastRenderedPageBreak/>
              <w:t>定接线方案排成一体的工厂预制户内、户外紧凑式配电设备。</w:t>
            </w:r>
          </w:p>
        </w:tc>
      </w:tr>
      <w:tr w:rsidR="00577D08" w14:paraId="7229F7D9" w14:textId="77777777">
        <w:tc>
          <w:tcPr>
            <w:tcW w:w="2972" w:type="dxa"/>
            <w:vAlign w:val="center"/>
          </w:tcPr>
          <w:p w14:paraId="2958848F" w14:textId="77777777" w:rsidR="00577D08" w:rsidRDefault="00330FC0">
            <w:r>
              <w:rPr>
                <w:rFonts w:ascii="宋体" w:hAnsi="宋体" w:hint="eastAsia"/>
                <w:sz w:val="20"/>
                <w:szCs w:val="20"/>
              </w:rPr>
              <w:lastRenderedPageBreak/>
              <w:t>成套电气设备</w:t>
            </w:r>
          </w:p>
        </w:tc>
        <w:tc>
          <w:tcPr>
            <w:tcW w:w="851" w:type="dxa"/>
            <w:vAlign w:val="center"/>
          </w:tcPr>
          <w:p w14:paraId="43E21CB1" w14:textId="77777777" w:rsidR="00577D08" w:rsidRDefault="00330FC0">
            <w:pPr>
              <w:jc w:val="center"/>
            </w:pPr>
            <w:r>
              <w:rPr>
                <w:rFonts w:ascii="宋体" w:hAnsi="宋体" w:hint="eastAsia"/>
                <w:color w:val="000000"/>
              </w:rPr>
              <w:t>指</w:t>
            </w:r>
          </w:p>
        </w:tc>
        <w:tc>
          <w:tcPr>
            <w:tcW w:w="5000" w:type="dxa"/>
          </w:tcPr>
          <w:p w14:paraId="54739BB9" w14:textId="77777777" w:rsidR="00577D08" w:rsidRDefault="00330FC0">
            <w:r>
              <w:rPr>
                <w:rFonts w:ascii="宋体" w:hAnsi="宋体" w:hint="eastAsia"/>
                <w:sz w:val="20"/>
                <w:szCs w:val="20"/>
              </w:rPr>
              <w:t>由壳体、母线、一二次元件、辅材等组成的完整电力设备，它运行在电网中主要起着接受和分配电能的作用，同时对电力设备起着控制以及保护的作用。</w:t>
            </w:r>
          </w:p>
        </w:tc>
      </w:tr>
      <w:tr w:rsidR="00577D08" w14:paraId="0D13E8C4" w14:textId="77777777">
        <w:tc>
          <w:tcPr>
            <w:tcW w:w="2972" w:type="dxa"/>
            <w:vAlign w:val="center"/>
          </w:tcPr>
          <w:p w14:paraId="4F163266" w14:textId="77777777" w:rsidR="00577D08" w:rsidRDefault="00330FC0">
            <w:r>
              <w:rPr>
                <w:sz w:val="20"/>
                <w:szCs w:val="20"/>
              </w:rPr>
              <w:t>MVnex/BlokSeT</w:t>
            </w:r>
            <w:r>
              <w:rPr>
                <w:rFonts w:ascii="宋体" w:hAnsi="宋体" w:hint="eastAsia"/>
                <w:sz w:val="20"/>
                <w:szCs w:val="20"/>
              </w:rPr>
              <w:t>授权柜</w:t>
            </w:r>
          </w:p>
        </w:tc>
        <w:tc>
          <w:tcPr>
            <w:tcW w:w="851" w:type="dxa"/>
            <w:vAlign w:val="center"/>
          </w:tcPr>
          <w:p w14:paraId="2198428E" w14:textId="77777777" w:rsidR="00577D08" w:rsidRDefault="00330FC0">
            <w:pPr>
              <w:jc w:val="center"/>
            </w:pPr>
            <w:r>
              <w:rPr>
                <w:rFonts w:ascii="宋体" w:hAnsi="宋体" w:hint="eastAsia"/>
                <w:color w:val="000000"/>
              </w:rPr>
              <w:t>指</w:t>
            </w:r>
          </w:p>
        </w:tc>
        <w:tc>
          <w:tcPr>
            <w:tcW w:w="5000" w:type="dxa"/>
          </w:tcPr>
          <w:p w14:paraId="693E10B5" w14:textId="77777777" w:rsidR="00577D08" w:rsidRDefault="00330FC0">
            <w:r>
              <w:rPr>
                <w:rFonts w:ascii="宋体" w:hAnsi="宋体" w:hint="eastAsia"/>
                <w:sz w:val="20"/>
                <w:szCs w:val="20"/>
              </w:rPr>
              <w:t>公司产品之一，该产品可实现标准网关、无线连接、测温等多种功能的预制化搭载，打造出厂即自带数字化基因的新型智能成套设备，以更低投入且“轻量化”的方式为最终用户带来无与伦比的数字化体验。结合多款数字化软件，可随时监测设备运行状态，并能够实现现场及云端的高效管理，从而全面优化配电资产从设计、建造到部署、运维的全生命周期数字化管理，提高用电可靠性，提升供配电系统的运维效率。</w:t>
            </w:r>
          </w:p>
        </w:tc>
      </w:tr>
      <w:tr w:rsidR="00577D08" w14:paraId="47F6054B" w14:textId="77777777">
        <w:tc>
          <w:tcPr>
            <w:tcW w:w="2972" w:type="dxa"/>
            <w:vAlign w:val="center"/>
          </w:tcPr>
          <w:p w14:paraId="4FD56817" w14:textId="77777777" w:rsidR="00577D08" w:rsidRDefault="00330FC0">
            <w:r>
              <w:rPr>
                <w:rFonts w:ascii="宋体" w:hAnsi="宋体" w:hint="eastAsia"/>
                <w:sz w:val="20"/>
                <w:szCs w:val="20"/>
              </w:rPr>
              <w:t>中电联</w:t>
            </w:r>
          </w:p>
        </w:tc>
        <w:tc>
          <w:tcPr>
            <w:tcW w:w="851" w:type="dxa"/>
            <w:vAlign w:val="center"/>
          </w:tcPr>
          <w:p w14:paraId="49071FBC" w14:textId="77777777" w:rsidR="00577D08" w:rsidRDefault="00330FC0">
            <w:pPr>
              <w:jc w:val="center"/>
            </w:pPr>
            <w:r>
              <w:rPr>
                <w:rFonts w:ascii="宋体" w:hAnsi="宋体" w:hint="eastAsia"/>
                <w:color w:val="000000"/>
              </w:rPr>
              <w:t>指</w:t>
            </w:r>
          </w:p>
        </w:tc>
        <w:tc>
          <w:tcPr>
            <w:tcW w:w="5000" w:type="dxa"/>
          </w:tcPr>
          <w:p w14:paraId="31593FEC" w14:textId="77777777" w:rsidR="00577D08" w:rsidRDefault="00330FC0">
            <w:r>
              <w:rPr>
                <w:rFonts w:ascii="宋体" w:hAnsi="宋体" w:hint="eastAsia"/>
                <w:sz w:val="20"/>
                <w:szCs w:val="20"/>
              </w:rPr>
              <w:t>中国电力企业联合会</w:t>
            </w:r>
          </w:p>
        </w:tc>
      </w:tr>
      <w:tr w:rsidR="00577D08" w14:paraId="6E6238EA" w14:textId="77777777">
        <w:tc>
          <w:tcPr>
            <w:tcW w:w="2972" w:type="dxa"/>
            <w:vAlign w:val="center"/>
          </w:tcPr>
          <w:p w14:paraId="4435EFCE" w14:textId="77777777" w:rsidR="00577D08" w:rsidRDefault="00330FC0">
            <w:r>
              <w:rPr>
                <w:rFonts w:ascii="宋体" w:hAnsi="宋体" w:hint="eastAsia"/>
                <w:sz w:val="20"/>
                <w:szCs w:val="20"/>
              </w:rPr>
              <w:t>国家电网、国网</w:t>
            </w:r>
          </w:p>
        </w:tc>
        <w:tc>
          <w:tcPr>
            <w:tcW w:w="851" w:type="dxa"/>
            <w:vAlign w:val="center"/>
          </w:tcPr>
          <w:p w14:paraId="643D7857" w14:textId="77777777" w:rsidR="00577D08" w:rsidRDefault="00330FC0">
            <w:pPr>
              <w:jc w:val="center"/>
            </w:pPr>
            <w:r>
              <w:rPr>
                <w:rFonts w:ascii="宋体" w:hAnsi="宋体" w:hint="eastAsia"/>
                <w:color w:val="000000"/>
              </w:rPr>
              <w:t>指</w:t>
            </w:r>
          </w:p>
        </w:tc>
        <w:tc>
          <w:tcPr>
            <w:tcW w:w="5000" w:type="dxa"/>
          </w:tcPr>
          <w:p w14:paraId="253E9EE3" w14:textId="77777777" w:rsidR="00577D08" w:rsidRDefault="00330FC0">
            <w:bookmarkStart w:id="13" w:name="OLE_LINK47"/>
            <w:r>
              <w:rPr>
                <w:rFonts w:ascii="宋体" w:hAnsi="宋体" w:hint="eastAsia"/>
                <w:sz w:val="20"/>
                <w:szCs w:val="20"/>
              </w:rPr>
              <w:t>国家电网有限公司</w:t>
            </w:r>
            <w:bookmarkEnd w:id="13"/>
          </w:p>
        </w:tc>
      </w:tr>
      <w:tr w:rsidR="00577D08" w14:paraId="35D66813" w14:textId="77777777">
        <w:tc>
          <w:tcPr>
            <w:tcW w:w="2972" w:type="dxa"/>
            <w:vAlign w:val="center"/>
          </w:tcPr>
          <w:p w14:paraId="492E49AA" w14:textId="77777777" w:rsidR="00577D08" w:rsidRDefault="00330FC0">
            <w:r>
              <w:rPr>
                <w:rFonts w:ascii="宋体" w:hAnsi="宋体" w:hint="eastAsia"/>
                <w:sz w:val="20"/>
                <w:szCs w:val="20"/>
              </w:rPr>
              <w:t>南方电网、南网</w:t>
            </w:r>
          </w:p>
        </w:tc>
        <w:tc>
          <w:tcPr>
            <w:tcW w:w="851" w:type="dxa"/>
            <w:vAlign w:val="center"/>
          </w:tcPr>
          <w:p w14:paraId="0FCCE4E3" w14:textId="77777777" w:rsidR="00577D08" w:rsidRDefault="00330FC0">
            <w:pPr>
              <w:jc w:val="center"/>
            </w:pPr>
            <w:r>
              <w:rPr>
                <w:rFonts w:ascii="宋体" w:hAnsi="宋体" w:hint="eastAsia"/>
                <w:color w:val="000000"/>
              </w:rPr>
              <w:t>指</w:t>
            </w:r>
          </w:p>
        </w:tc>
        <w:tc>
          <w:tcPr>
            <w:tcW w:w="5000" w:type="dxa"/>
          </w:tcPr>
          <w:p w14:paraId="4275A20B" w14:textId="77777777" w:rsidR="00577D08" w:rsidRDefault="00330FC0">
            <w:bookmarkStart w:id="14" w:name="OLE_LINK46"/>
            <w:r>
              <w:rPr>
                <w:rFonts w:ascii="宋体" w:hAnsi="宋体" w:hint="eastAsia"/>
                <w:sz w:val="20"/>
                <w:szCs w:val="20"/>
              </w:rPr>
              <w:t>中国南方电网有限责任公司</w:t>
            </w:r>
            <w:bookmarkEnd w:id="14"/>
          </w:p>
        </w:tc>
      </w:tr>
      <w:tr w:rsidR="00577D08" w14:paraId="739B7863" w14:textId="77777777">
        <w:tc>
          <w:tcPr>
            <w:tcW w:w="2972" w:type="dxa"/>
            <w:vAlign w:val="center"/>
          </w:tcPr>
          <w:p w14:paraId="7D635FD7" w14:textId="77777777" w:rsidR="00577D08" w:rsidRDefault="00330FC0">
            <w:r>
              <w:rPr>
                <w:rFonts w:ascii="宋体" w:hAnsi="宋体" w:hint="eastAsia"/>
                <w:sz w:val="20"/>
                <w:szCs w:val="20"/>
              </w:rPr>
              <w:t>两网</w:t>
            </w:r>
          </w:p>
        </w:tc>
        <w:tc>
          <w:tcPr>
            <w:tcW w:w="851" w:type="dxa"/>
            <w:vAlign w:val="center"/>
          </w:tcPr>
          <w:p w14:paraId="6860AB1F" w14:textId="77777777" w:rsidR="00577D08" w:rsidRDefault="00330FC0">
            <w:pPr>
              <w:jc w:val="center"/>
            </w:pPr>
            <w:r>
              <w:rPr>
                <w:rFonts w:ascii="宋体" w:hAnsi="宋体" w:hint="eastAsia"/>
                <w:color w:val="000000"/>
              </w:rPr>
              <w:t>指</w:t>
            </w:r>
          </w:p>
        </w:tc>
        <w:tc>
          <w:tcPr>
            <w:tcW w:w="5000" w:type="dxa"/>
          </w:tcPr>
          <w:p w14:paraId="5F91B361" w14:textId="77777777" w:rsidR="00577D08" w:rsidRDefault="00330FC0">
            <w:r>
              <w:rPr>
                <w:rFonts w:ascii="宋体" w:hAnsi="宋体" w:hint="eastAsia"/>
                <w:sz w:val="20"/>
                <w:szCs w:val="20"/>
              </w:rPr>
              <w:t>中国南方电网有限责任公司和国家电网有限公司的统称</w:t>
            </w:r>
          </w:p>
        </w:tc>
      </w:tr>
      <w:tr w:rsidR="00577D08" w14:paraId="16AB0E66" w14:textId="77777777">
        <w:tc>
          <w:tcPr>
            <w:tcW w:w="2972" w:type="dxa"/>
            <w:vAlign w:val="center"/>
          </w:tcPr>
          <w:p w14:paraId="2E665A3D" w14:textId="77777777" w:rsidR="00577D08" w:rsidRDefault="00330FC0">
            <w:r>
              <w:rPr>
                <w:rFonts w:ascii="宋体" w:hAnsi="宋体" w:hint="eastAsia"/>
                <w:sz w:val="20"/>
                <w:szCs w:val="20"/>
              </w:rPr>
              <w:t>雅下项目</w:t>
            </w:r>
          </w:p>
        </w:tc>
        <w:tc>
          <w:tcPr>
            <w:tcW w:w="851" w:type="dxa"/>
            <w:vAlign w:val="center"/>
          </w:tcPr>
          <w:p w14:paraId="27A09BC5" w14:textId="77777777" w:rsidR="00577D08" w:rsidRDefault="00330FC0">
            <w:pPr>
              <w:jc w:val="center"/>
            </w:pPr>
            <w:r>
              <w:rPr>
                <w:rFonts w:ascii="宋体" w:hAnsi="宋体" w:hint="eastAsia"/>
                <w:color w:val="000000"/>
              </w:rPr>
              <w:t>指</w:t>
            </w:r>
          </w:p>
        </w:tc>
        <w:tc>
          <w:tcPr>
            <w:tcW w:w="5000" w:type="dxa"/>
          </w:tcPr>
          <w:p w14:paraId="5784A497" w14:textId="77777777" w:rsidR="00577D08" w:rsidRDefault="00330FC0">
            <w:r>
              <w:rPr>
                <w:rFonts w:ascii="宋体" w:hAnsi="宋体" w:hint="eastAsia"/>
                <w:sz w:val="20"/>
                <w:szCs w:val="20"/>
              </w:rPr>
              <w:t>雅鲁藏布江下游水电工程</w:t>
            </w:r>
          </w:p>
        </w:tc>
      </w:tr>
      <w:tr w:rsidR="00577D08" w14:paraId="39A18E8B" w14:textId="77777777">
        <w:tc>
          <w:tcPr>
            <w:tcW w:w="2972" w:type="dxa"/>
            <w:vAlign w:val="center"/>
          </w:tcPr>
          <w:p w14:paraId="3B5414DB" w14:textId="77777777" w:rsidR="00577D08" w:rsidRDefault="00330FC0">
            <w:r>
              <w:rPr>
                <w:rFonts w:ascii="宋体" w:hAnsi="宋体" w:hint="eastAsia"/>
                <w:sz w:val="20"/>
                <w:szCs w:val="20"/>
              </w:rPr>
              <w:t>五大六小</w:t>
            </w:r>
          </w:p>
        </w:tc>
        <w:tc>
          <w:tcPr>
            <w:tcW w:w="851" w:type="dxa"/>
            <w:vAlign w:val="center"/>
          </w:tcPr>
          <w:p w14:paraId="23B0D912" w14:textId="77777777" w:rsidR="00577D08" w:rsidRDefault="00330FC0">
            <w:pPr>
              <w:jc w:val="center"/>
            </w:pPr>
            <w:r>
              <w:rPr>
                <w:rFonts w:ascii="宋体" w:hAnsi="宋体" w:hint="eastAsia"/>
                <w:color w:val="000000"/>
              </w:rPr>
              <w:t>指</w:t>
            </w:r>
          </w:p>
        </w:tc>
        <w:tc>
          <w:tcPr>
            <w:tcW w:w="5000" w:type="dxa"/>
          </w:tcPr>
          <w:p w14:paraId="52845444" w14:textId="77777777" w:rsidR="00577D08" w:rsidRDefault="00330FC0">
            <w:r>
              <w:rPr>
                <w:rFonts w:ascii="宋体" w:hAnsi="宋体" w:hint="eastAsia"/>
                <w:sz w:val="20"/>
                <w:szCs w:val="20"/>
              </w:rPr>
              <w:t>我国主要的发电企业集团，其中五大指国家能源投资集团有限责任公司、中国华能集团有限公司、中国大唐集团有限公司、中国华电集团有限公司和国家电力投资集团有限公司；四小指国投电力控股股份有限公司</w:t>
            </w:r>
            <w:r>
              <w:rPr>
                <w:rFonts w:hint="eastAsia"/>
                <w:sz w:val="20"/>
                <w:szCs w:val="20"/>
              </w:rPr>
              <w:t xml:space="preserve"> </w:t>
            </w:r>
            <w:r>
              <w:rPr>
                <w:rFonts w:ascii="宋体" w:hAnsi="宋体" w:hint="eastAsia"/>
                <w:sz w:val="20"/>
                <w:szCs w:val="20"/>
              </w:rPr>
              <w:t>、华润电力控股有限公司</w:t>
            </w:r>
            <w:r>
              <w:rPr>
                <w:rFonts w:hint="eastAsia"/>
                <w:sz w:val="20"/>
                <w:szCs w:val="20"/>
              </w:rPr>
              <w:t xml:space="preserve"> </w:t>
            </w:r>
            <w:r>
              <w:rPr>
                <w:rFonts w:ascii="宋体" w:hAnsi="宋体" w:hint="eastAsia"/>
                <w:sz w:val="20"/>
                <w:szCs w:val="20"/>
              </w:rPr>
              <w:t>、中国广核集团有限公司和三峡集团。</w:t>
            </w:r>
          </w:p>
        </w:tc>
      </w:tr>
    </w:tbl>
    <w:p w14:paraId="05E63C2C" w14:textId="77777777" w:rsidR="00577D08" w:rsidRDefault="00577D08"/>
    <w:p w14:paraId="6C9F1702" w14:textId="77777777" w:rsidR="00577D08" w:rsidRDefault="00577D08"/>
    <w:p w14:paraId="2E429C51" w14:textId="77777777" w:rsidR="00577D08" w:rsidRDefault="00577D08"/>
    <w:p w14:paraId="4C739B2E" w14:textId="77777777" w:rsidR="00577D08" w:rsidRDefault="00577D08"/>
    <w:p w14:paraId="0A14FFB1" w14:textId="77777777" w:rsidR="00577D08" w:rsidRDefault="00577D08"/>
    <w:p w14:paraId="62A1E3D1" w14:textId="77777777" w:rsidR="00577D08" w:rsidRDefault="00577D08"/>
    <w:p w14:paraId="77ADC3CE" w14:textId="77777777" w:rsidR="00577D08" w:rsidRDefault="00577D08"/>
    <w:p w14:paraId="603DB1D7" w14:textId="77777777" w:rsidR="00577D08" w:rsidRDefault="00577D08"/>
    <w:p w14:paraId="39DC769F" w14:textId="77777777" w:rsidR="00577D08" w:rsidRDefault="00577D08"/>
    <w:p w14:paraId="59BF92B8" w14:textId="77777777" w:rsidR="00577D08" w:rsidRDefault="00577D08"/>
    <w:p w14:paraId="256C7855" w14:textId="77777777" w:rsidR="00577D08" w:rsidRDefault="00577D08"/>
    <w:p w14:paraId="4D512667" w14:textId="77777777" w:rsidR="00577D08" w:rsidRDefault="00577D08"/>
    <w:p w14:paraId="3D3B08DF" w14:textId="77777777" w:rsidR="00577D08" w:rsidRDefault="00577D08"/>
    <w:p w14:paraId="1CD0297B" w14:textId="77777777" w:rsidR="00577D08" w:rsidRDefault="00577D08"/>
    <w:p w14:paraId="78D41EAF" w14:textId="77777777" w:rsidR="00577D08" w:rsidRDefault="00577D08"/>
    <w:p w14:paraId="7CAA18F4" w14:textId="77777777" w:rsidR="00577D08" w:rsidRDefault="00577D08"/>
    <w:p w14:paraId="248C52BC" w14:textId="77777777" w:rsidR="00577D08" w:rsidRDefault="00577D08"/>
    <w:p w14:paraId="364EC725" w14:textId="77777777" w:rsidR="00577D08" w:rsidRDefault="00577D08"/>
    <w:p w14:paraId="073AAFE9" w14:textId="77777777" w:rsidR="00577D08" w:rsidRDefault="00577D08"/>
    <w:p w14:paraId="717B2C79" w14:textId="77777777" w:rsidR="00577D08" w:rsidRDefault="00577D08"/>
    <w:p w14:paraId="1D660BF4" w14:textId="77777777" w:rsidR="00577D08" w:rsidRDefault="00577D08"/>
    <w:p w14:paraId="6EE55BFD" w14:textId="77777777" w:rsidR="00577D08" w:rsidRDefault="00577D08"/>
    <w:p w14:paraId="7006FCA2" w14:textId="77777777" w:rsidR="00577D08" w:rsidRDefault="00577D08"/>
    <w:p w14:paraId="5716B947" w14:textId="77777777" w:rsidR="00577D08" w:rsidRDefault="00577D08"/>
    <w:p w14:paraId="1DCEBE53" w14:textId="77777777" w:rsidR="00577D08" w:rsidRDefault="00577D08"/>
    <w:p w14:paraId="1F682E5A" w14:textId="77777777" w:rsidR="00577D08" w:rsidRDefault="00577D08"/>
    <w:p w14:paraId="7AC6EF02" w14:textId="77777777" w:rsidR="00577D08" w:rsidRDefault="00577D08"/>
    <w:p w14:paraId="3CCC2865" w14:textId="77777777" w:rsidR="00577D08" w:rsidRDefault="00330FC0">
      <w:pPr>
        <w:pStyle w:val="1"/>
        <w:numPr>
          <w:ilvl w:val="0"/>
          <w:numId w:val="2"/>
        </w:numPr>
        <w:rPr>
          <w:u w:val="single"/>
        </w:rPr>
      </w:pPr>
      <w:bookmarkStart w:id="15" w:name="_Toc436392762"/>
      <w:bookmarkStart w:id="16" w:name="_Toc407111355"/>
      <w:bookmarkStart w:id="17" w:name="_Toc191024257"/>
      <w:bookmarkStart w:id="18" w:name="_Toc437440709"/>
      <w:r>
        <w:rPr>
          <w:rFonts w:hint="eastAsia"/>
        </w:rPr>
        <w:lastRenderedPageBreak/>
        <w:t>公司简介</w:t>
      </w:r>
      <w:bookmarkEnd w:id="15"/>
      <w:bookmarkEnd w:id="16"/>
      <w:r>
        <w:rPr>
          <w:rFonts w:hint="eastAsia"/>
        </w:rPr>
        <w:t>和主要财务指标</w:t>
      </w:r>
    </w:p>
    <w:p w14:paraId="7F369084" w14:textId="77777777" w:rsidR="00577D08" w:rsidRDefault="00330FC0">
      <w:pPr>
        <w:pStyle w:val="2"/>
        <w:numPr>
          <w:ilvl w:val="1"/>
          <w:numId w:val="4"/>
        </w:numPr>
        <w:ind w:left="498" w:hangingChars="236" w:hanging="498"/>
        <w:rPr>
          <w:u w:val="single"/>
        </w:rPr>
      </w:pPr>
      <w:bookmarkStart w:id="19" w:name="_Toc342565881"/>
      <w:bookmarkStart w:id="20" w:name="_Toc342051041"/>
      <w:bookmarkEnd w:id="17"/>
      <w:bookmarkEnd w:id="18"/>
      <w:r>
        <w:rPr>
          <w:rFonts w:hint="eastAsia"/>
        </w:rPr>
        <w:t>公司信息</w:t>
      </w:r>
      <w:bookmarkEnd w:id="19"/>
      <w:bookmarkEnd w:id="20"/>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3857"/>
        <w:gridCol w:w="5035"/>
      </w:tblGrid>
      <w:tr w:rsidR="00577D08" w14:paraId="1597F285" w14:textId="77777777">
        <w:trPr>
          <w:trHeight w:val="293"/>
        </w:trPr>
        <w:sdt>
          <w:sdtPr>
            <w:tag w:val="_PLD_76a4e08611bc46959c5497248a51b877"/>
            <w:id w:val="506026553"/>
          </w:sdtPr>
          <w:sdtContent>
            <w:tc>
              <w:tcPr>
                <w:tcW w:w="3857" w:type="dxa"/>
                <w:tcBorders>
                  <w:top w:val="single" w:sz="4" w:space="0" w:color="auto"/>
                  <w:bottom w:val="single" w:sz="4" w:space="0" w:color="auto"/>
                  <w:right w:val="single" w:sz="4" w:space="0" w:color="auto"/>
                </w:tcBorders>
                <w:vAlign w:val="center"/>
              </w:tcPr>
              <w:p w14:paraId="6B531262" w14:textId="77777777" w:rsidR="00577D08" w:rsidRDefault="00330FC0">
                <w:pPr>
                  <w:kinsoku w:val="0"/>
                  <w:overflowPunct w:val="0"/>
                  <w:autoSpaceDE w:val="0"/>
                  <w:autoSpaceDN w:val="0"/>
                  <w:adjustRightInd w:val="0"/>
                  <w:snapToGrid w:val="0"/>
                </w:pPr>
                <w:r>
                  <w:rPr>
                    <w:rFonts w:hint="eastAsia"/>
                  </w:rPr>
                  <w:t>公司的中文名称</w:t>
                </w:r>
              </w:p>
            </w:tc>
          </w:sdtContent>
        </w:sdt>
        <w:sdt>
          <w:sdtPr>
            <w:rPr>
              <w:rFonts w:hint="eastAsia"/>
            </w:rPr>
            <w:alias w:val="公司法定中文名称"/>
            <w:tag w:val="_GBC_7adfc39908d049d2970c391497a360e4"/>
            <w:id w:val="-1673322115"/>
            <w:dataBinding w:prefixMappings="xmlns:clcid-cgi='clcid-cgi'" w:xpath="/*/clcid-cgi:GongSiFaDingZhongWenMingCheng[not(@periodRef)]" w:storeItemID="{89EBAB94-44A0-46A2-B712-30D997D04A6D}"/>
            <w:text/>
          </w:sdtPr>
          <w:sdtContent>
            <w:tc>
              <w:tcPr>
                <w:tcW w:w="5035" w:type="dxa"/>
                <w:tcBorders>
                  <w:top w:val="single" w:sz="4" w:space="0" w:color="auto"/>
                  <w:left w:val="single" w:sz="4" w:space="0" w:color="auto"/>
                  <w:bottom w:val="single" w:sz="4" w:space="0" w:color="auto"/>
                </w:tcBorders>
                <w:vAlign w:val="center"/>
              </w:tcPr>
              <w:p w14:paraId="6CF5324F" w14:textId="77777777" w:rsidR="00577D08" w:rsidRDefault="00330FC0">
                <w:pPr>
                  <w:kinsoku w:val="0"/>
                  <w:overflowPunct w:val="0"/>
                  <w:autoSpaceDE w:val="0"/>
                  <w:autoSpaceDN w:val="0"/>
                  <w:adjustRightInd w:val="0"/>
                  <w:snapToGrid w:val="0"/>
                  <w:rPr>
                    <w:color w:val="FFC000"/>
                  </w:rPr>
                </w:pPr>
                <w:r>
                  <w:rPr>
                    <w:rFonts w:hint="eastAsia"/>
                  </w:rPr>
                  <w:t>重庆望变电气（集团）股份有限公司</w:t>
                </w:r>
              </w:p>
            </w:tc>
          </w:sdtContent>
        </w:sdt>
      </w:tr>
      <w:tr w:rsidR="00577D08" w14:paraId="0A48FB13" w14:textId="77777777">
        <w:trPr>
          <w:trHeight w:val="293"/>
        </w:trPr>
        <w:tc>
          <w:tcPr>
            <w:tcW w:w="3857" w:type="dxa"/>
            <w:tcBorders>
              <w:top w:val="single" w:sz="4" w:space="0" w:color="auto"/>
              <w:bottom w:val="single" w:sz="4" w:space="0" w:color="auto"/>
              <w:right w:val="single" w:sz="4" w:space="0" w:color="auto"/>
            </w:tcBorders>
            <w:vAlign w:val="center"/>
          </w:tcPr>
          <w:p w14:paraId="013F8880" w14:textId="77777777" w:rsidR="00577D08" w:rsidRDefault="00330FC0">
            <w:pPr>
              <w:kinsoku w:val="0"/>
              <w:overflowPunct w:val="0"/>
              <w:autoSpaceDE w:val="0"/>
              <w:autoSpaceDN w:val="0"/>
              <w:adjustRightInd w:val="0"/>
              <w:snapToGrid w:val="0"/>
            </w:pPr>
            <w:r>
              <w:rPr>
                <w:rFonts w:hint="eastAsia"/>
              </w:rPr>
              <w:t>公司的中文简称</w:t>
            </w:r>
          </w:p>
        </w:tc>
        <w:tc>
          <w:tcPr>
            <w:tcW w:w="5035" w:type="dxa"/>
            <w:tcBorders>
              <w:top w:val="single" w:sz="4" w:space="0" w:color="auto"/>
              <w:left w:val="single" w:sz="4" w:space="0" w:color="auto"/>
              <w:bottom w:val="single" w:sz="4" w:space="0" w:color="auto"/>
            </w:tcBorders>
            <w:vAlign w:val="center"/>
          </w:tcPr>
          <w:p w14:paraId="7D64421B" w14:textId="77777777" w:rsidR="00577D08" w:rsidRDefault="00330FC0">
            <w:pPr>
              <w:kinsoku w:val="0"/>
              <w:overflowPunct w:val="0"/>
              <w:autoSpaceDE w:val="0"/>
              <w:autoSpaceDN w:val="0"/>
              <w:adjustRightInd w:val="0"/>
              <w:snapToGrid w:val="0"/>
            </w:pPr>
            <w:r>
              <w:rPr>
                <w:rFonts w:hint="eastAsia"/>
              </w:rPr>
              <w:t>望变电气</w:t>
            </w:r>
          </w:p>
        </w:tc>
      </w:tr>
      <w:tr w:rsidR="00577D08" w14:paraId="11E2111C" w14:textId="77777777">
        <w:trPr>
          <w:trHeight w:val="293"/>
        </w:trPr>
        <w:tc>
          <w:tcPr>
            <w:tcW w:w="3857" w:type="dxa"/>
            <w:tcBorders>
              <w:top w:val="single" w:sz="4" w:space="0" w:color="auto"/>
              <w:bottom w:val="single" w:sz="4" w:space="0" w:color="auto"/>
              <w:right w:val="single" w:sz="4" w:space="0" w:color="auto"/>
            </w:tcBorders>
            <w:vAlign w:val="center"/>
          </w:tcPr>
          <w:p w14:paraId="2CD4D142" w14:textId="77777777" w:rsidR="00577D08" w:rsidRDefault="00330FC0">
            <w:pPr>
              <w:kinsoku w:val="0"/>
              <w:overflowPunct w:val="0"/>
              <w:autoSpaceDE w:val="0"/>
              <w:autoSpaceDN w:val="0"/>
              <w:adjustRightInd w:val="0"/>
              <w:snapToGrid w:val="0"/>
            </w:pPr>
            <w:r>
              <w:t>公司的外文名称</w:t>
            </w:r>
          </w:p>
        </w:tc>
        <w:tc>
          <w:tcPr>
            <w:tcW w:w="5035" w:type="dxa"/>
            <w:tcBorders>
              <w:top w:val="single" w:sz="4" w:space="0" w:color="auto"/>
              <w:left w:val="single" w:sz="4" w:space="0" w:color="auto"/>
              <w:bottom w:val="single" w:sz="4" w:space="0" w:color="auto"/>
            </w:tcBorders>
            <w:vAlign w:val="center"/>
          </w:tcPr>
          <w:p w14:paraId="7B6CA425" w14:textId="77777777" w:rsidR="00577D08" w:rsidRDefault="00330FC0">
            <w:pPr>
              <w:kinsoku w:val="0"/>
              <w:overflowPunct w:val="0"/>
              <w:autoSpaceDE w:val="0"/>
              <w:autoSpaceDN w:val="0"/>
              <w:adjustRightInd w:val="0"/>
              <w:snapToGrid w:val="0"/>
            </w:pPr>
            <w:r>
              <w:rPr>
                <w:rFonts w:hint="eastAsia"/>
              </w:rPr>
              <w:t>ChongqingWangbianElectric(Group)Corp.,Ltd.</w:t>
            </w:r>
          </w:p>
        </w:tc>
      </w:tr>
      <w:tr w:rsidR="00577D08" w14:paraId="17C16461" w14:textId="77777777">
        <w:trPr>
          <w:trHeight w:val="293"/>
        </w:trPr>
        <w:tc>
          <w:tcPr>
            <w:tcW w:w="3857" w:type="dxa"/>
            <w:tcBorders>
              <w:top w:val="single" w:sz="4" w:space="0" w:color="auto"/>
              <w:bottom w:val="single" w:sz="4" w:space="0" w:color="auto"/>
              <w:right w:val="single" w:sz="4" w:space="0" w:color="auto"/>
            </w:tcBorders>
            <w:vAlign w:val="center"/>
          </w:tcPr>
          <w:p w14:paraId="28B727C7" w14:textId="77777777" w:rsidR="00577D08" w:rsidRDefault="00330FC0">
            <w:pPr>
              <w:kinsoku w:val="0"/>
              <w:overflowPunct w:val="0"/>
              <w:autoSpaceDE w:val="0"/>
              <w:autoSpaceDN w:val="0"/>
              <w:adjustRightInd w:val="0"/>
              <w:snapToGrid w:val="0"/>
            </w:pPr>
            <w:r>
              <w:t>公司的外文名称缩写</w:t>
            </w:r>
          </w:p>
        </w:tc>
        <w:tc>
          <w:tcPr>
            <w:tcW w:w="5035" w:type="dxa"/>
            <w:tcBorders>
              <w:top w:val="single" w:sz="4" w:space="0" w:color="auto"/>
              <w:left w:val="single" w:sz="4" w:space="0" w:color="auto"/>
              <w:bottom w:val="single" w:sz="4" w:space="0" w:color="auto"/>
            </w:tcBorders>
            <w:vAlign w:val="center"/>
          </w:tcPr>
          <w:p w14:paraId="157DD782" w14:textId="77777777" w:rsidR="00577D08" w:rsidRDefault="00330FC0">
            <w:pPr>
              <w:kinsoku w:val="0"/>
              <w:overflowPunct w:val="0"/>
              <w:autoSpaceDE w:val="0"/>
              <w:autoSpaceDN w:val="0"/>
              <w:adjustRightInd w:val="0"/>
              <w:snapToGrid w:val="0"/>
            </w:pPr>
            <w:r>
              <w:rPr>
                <w:rFonts w:hint="eastAsia"/>
              </w:rPr>
              <w:t>WangbianElectric</w:t>
            </w:r>
          </w:p>
        </w:tc>
      </w:tr>
      <w:tr w:rsidR="00577D08" w14:paraId="1403D461" w14:textId="77777777">
        <w:trPr>
          <w:trHeight w:val="293"/>
        </w:trPr>
        <w:tc>
          <w:tcPr>
            <w:tcW w:w="3857" w:type="dxa"/>
            <w:tcBorders>
              <w:top w:val="single" w:sz="4" w:space="0" w:color="auto"/>
              <w:bottom w:val="single" w:sz="4" w:space="0" w:color="auto"/>
              <w:right w:val="single" w:sz="4" w:space="0" w:color="auto"/>
            </w:tcBorders>
            <w:vAlign w:val="center"/>
          </w:tcPr>
          <w:p w14:paraId="7134A205" w14:textId="77777777" w:rsidR="00577D08" w:rsidRDefault="00330FC0">
            <w:pPr>
              <w:kinsoku w:val="0"/>
              <w:overflowPunct w:val="0"/>
              <w:autoSpaceDE w:val="0"/>
              <w:autoSpaceDN w:val="0"/>
              <w:adjustRightInd w:val="0"/>
              <w:snapToGrid w:val="0"/>
            </w:pPr>
            <w:r>
              <w:t>公司的法定代表人</w:t>
            </w:r>
          </w:p>
        </w:tc>
        <w:tc>
          <w:tcPr>
            <w:tcW w:w="5035" w:type="dxa"/>
            <w:tcBorders>
              <w:top w:val="single" w:sz="4" w:space="0" w:color="auto"/>
              <w:left w:val="single" w:sz="4" w:space="0" w:color="auto"/>
              <w:bottom w:val="single" w:sz="4" w:space="0" w:color="auto"/>
            </w:tcBorders>
            <w:vAlign w:val="center"/>
          </w:tcPr>
          <w:p w14:paraId="0B389048" w14:textId="77777777" w:rsidR="00577D08" w:rsidRDefault="00330FC0">
            <w:pPr>
              <w:kinsoku w:val="0"/>
              <w:overflowPunct w:val="0"/>
              <w:autoSpaceDE w:val="0"/>
              <w:autoSpaceDN w:val="0"/>
              <w:adjustRightInd w:val="0"/>
              <w:snapToGrid w:val="0"/>
            </w:pPr>
            <w:r>
              <w:rPr>
                <w:rFonts w:hint="eastAsia"/>
              </w:rPr>
              <w:t>杨泽民</w:t>
            </w:r>
          </w:p>
        </w:tc>
      </w:tr>
    </w:tbl>
    <w:p w14:paraId="71F745E2" w14:textId="77777777" w:rsidR="00577D08" w:rsidRDefault="00330FC0">
      <w:pPr>
        <w:pStyle w:val="2"/>
        <w:numPr>
          <w:ilvl w:val="1"/>
          <w:numId w:val="4"/>
        </w:numPr>
        <w:ind w:left="498" w:hangingChars="236" w:hanging="498"/>
      </w:pPr>
      <w:r>
        <w:rPr>
          <w:rFonts w:hint="eastAsia"/>
        </w:rPr>
        <w:t>联系人和联系方式</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2424"/>
        <w:gridCol w:w="3503"/>
        <w:gridCol w:w="2964"/>
      </w:tblGrid>
      <w:tr w:rsidR="00577D08" w14:paraId="783A3B99" w14:textId="77777777">
        <w:tc>
          <w:tcPr>
            <w:tcW w:w="2424" w:type="dxa"/>
            <w:tcBorders>
              <w:top w:val="single" w:sz="4" w:space="0" w:color="auto"/>
              <w:bottom w:val="single" w:sz="4" w:space="0" w:color="auto"/>
              <w:right w:val="single" w:sz="4" w:space="0" w:color="auto"/>
            </w:tcBorders>
            <w:vAlign w:val="center"/>
          </w:tcPr>
          <w:p w14:paraId="3640D53B" w14:textId="77777777" w:rsidR="00577D08" w:rsidRDefault="00577D08">
            <w:pPr>
              <w:kinsoku w:val="0"/>
              <w:overflowPunct w:val="0"/>
              <w:autoSpaceDE w:val="0"/>
              <w:autoSpaceDN w:val="0"/>
              <w:adjustRightInd w:val="0"/>
              <w:snapToGrid w:val="0"/>
            </w:pPr>
            <w:bookmarkStart w:id="21" w:name="_Toc342051042"/>
            <w:bookmarkStart w:id="22" w:name="_Toc342565882"/>
            <w:bookmarkStart w:id="23" w:name="_Hlk186112521"/>
            <w:bookmarkStart w:id="24" w:name="_Hlk186115833"/>
            <w:bookmarkStart w:id="25" w:name="_Hlk186115772"/>
            <w:bookmarkEnd w:id="21"/>
            <w:bookmarkEnd w:id="22"/>
          </w:p>
        </w:tc>
        <w:tc>
          <w:tcPr>
            <w:tcW w:w="3503" w:type="dxa"/>
            <w:tcBorders>
              <w:top w:val="single" w:sz="4" w:space="0" w:color="auto"/>
              <w:left w:val="single" w:sz="4" w:space="0" w:color="auto"/>
              <w:bottom w:val="single" w:sz="4" w:space="0" w:color="auto"/>
              <w:right w:val="single" w:sz="4" w:space="0" w:color="auto"/>
            </w:tcBorders>
            <w:vAlign w:val="center"/>
          </w:tcPr>
          <w:p w14:paraId="70410216" w14:textId="77777777" w:rsidR="00577D08" w:rsidRDefault="00000000">
            <w:pPr>
              <w:pStyle w:val="ab"/>
              <w:kinsoku w:val="0"/>
              <w:overflowPunct w:val="0"/>
              <w:autoSpaceDE w:val="0"/>
              <w:autoSpaceDN w:val="0"/>
              <w:adjustRightInd w:val="0"/>
              <w:snapToGrid w:val="0"/>
              <w:jc w:val="center"/>
              <w:rPr>
                <w:rFonts w:ascii="宋体" w:hAnsi="宋体" w:hint="eastAsia"/>
                <w:color w:val="008000"/>
              </w:rPr>
            </w:pPr>
            <w:sdt>
              <w:sdtPr>
                <w:tag w:val="_PLD_2c78c38f6b284d4589a2a9ae76ce4059"/>
                <w:id w:val="-83146185"/>
              </w:sdtPr>
              <w:sdtContent>
                <w:r w:rsidR="00330FC0">
                  <w:rPr>
                    <w:rFonts w:ascii="宋体" w:hAnsi="宋体" w:cs="宋体" w:hint="eastAsia"/>
                  </w:rPr>
                  <w:t>董事会秘书</w:t>
                </w:r>
              </w:sdtContent>
            </w:sdt>
          </w:p>
        </w:tc>
        <w:sdt>
          <w:sdtPr>
            <w:tag w:val="_PLD_8425474fc03f4f31a663ee46b4c6fa3a"/>
            <w:id w:val="1858072894"/>
          </w:sdtPr>
          <w:sdtContent>
            <w:tc>
              <w:tcPr>
                <w:tcW w:w="2964" w:type="dxa"/>
                <w:tcBorders>
                  <w:top w:val="single" w:sz="4" w:space="0" w:color="auto"/>
                  <w:left w:val="single" w:sz="4" w:space="0" w:color="auto"/>
                  <w:bottom w:val="single" w:sz="4" w:space="0" w:color="auto"/>
                </w:tcBorders>
                <w:vAlign w:val="center"/>
              </w:tcPr>
              <w:p w14:paraId="08F9F50A" w14:textId="77777777" w:rsidR="00577D08" w:rsidRDefault="00330FC0">
                <w:pPr>
                  <w:pStyle w:val="ab"/>
                  <w:kinsoku w:val="0"/>
                  <w:overflowPunct w:val="0"/>
                  <w:autoSpaceDE w:val="0"/>
                  <w:autoSpaceDN w:val="0"/>
                  <w:adjustRightInd w:val="0"/>
                  <w:snapToGrid w:val="0"/>
                  <w:jc w:val="center"/>
                  <w:rPr>
                    <w:rFonts w:ascii="宋体" w:hAnsi="宋体" w:cs="宋体" w:hint="eastAsia"/>
                  </w:rPr>
                </w:pPr>
                <w:r>
                  <w:rPr>
                    <w:rFonts w:ascii="宋体" w:hAnsi="宋体" w:cs="宋体" w:hint="eastAsia"/>
                  </w:rPr>
                  <w:t>证券事务代表</w:t>
                </w:r>
              </w:p>
            </w:tc>
          </w:sdtContent>
        </w:sdt>
      </w:tr>
      <w:tr w:rsidR="00577D08" w14:paraId="57B3F21C" w14:textId="77777777">
        <w:tc>
          <w:tcPr>
            <w:tcW w:w="2424" w:type="dxa"/>
            <w:tcBorders>
              <w:top w:val="single" w:sz="4" w:space="0" w:color="auto"/>
              <w:bottom w:val="single" w:sz="4" w:space="0" w:color="auto"/>
              <w:right w:val="single" w:sz="4" w:space="0" w:color="auto"/>
            </w:tcBorders>
            <w:vAlign w:val="center"/>
          </w:tcPr>
          <w:p w14:paraId="6D0D5AE9" w14:textId="77777777" w:rsidR="00577D08" w:rsidRDefault="00330FC0">
            <w:pPr>
              <w:kinsoku w:val="0"/>
              <w:overflowPunct w:val="0"/>
              <w:autoSpaceDE w:val="0"/>
              <w:autoSpaceDN w:val="0"/>
              <w:adjustRightInd w:val="0"/>
              <w:snapToGrid w:val="0"/>
            </w:pPr>
            <w:r>
              <w:rPr>
                <w:rFonts w:hint="eastAsia"/>
              </w:rPr>
              <w:t>姓名</w:t>
            </w:r>
          </w:p>
        </w:tc>
        <w:tc>
          <w:tcPr>
            <w:tcW w:w="3503" w:type="dxa"/>
            <w:tcBorders>
              <w:top w:val="single" w:sz="4" w:space="0" w:color="auto"/>
              <w:left w:val="single" w:sz="4" w:space="0" w:color="auto"/>
              <w:bottom w:val="single" w:sz="4" w:space="0" w:color="auto"/>
              <w:right w:val="single" w:sz="4" w:space="0" w:color="auto"/>
            </w:tcBorders>
            <w:vAlign w:val="center"/>
          </w:tcPr>
          <w:p w14:paraId="34658013" w14:textId="77777777" w:rsidR="00577D08" w:rsidRDefault="00330FC0">
            <w:pPr>
              <w:kinsoku w:val="0"/>
              <w:overflowPunct w:val="0"/>
              <w:autoSpaceDE w:val="0"/>
              <w:autoSpaceDN w:val="0"/>
              <w:adjustRightInd w:val="0"/>
              <w:snapToGrid w:val="0"/>
            </w:pPr>
            <w:r>
              <w:rPr>
                <w:rFonts w:ascii="宋体" w:hAnsi="宋体" w:hint="eastAsia"/>
              </w:rPr>
              <w:t>李代萍</w:t>
            </w:r>
          </w:p>
        </w:tc>
        <w:tc>
          <w:tcPr>
            <w:tcW w:w="2964" w:type="dxa"/>
            <w:tcBorders>
              <w:top w:val="single" w:sz="4" w:space="0" w:color="auto"/>
              <w:left w:val="single" w:sz="4" w:space="0" w:color="auto"/>
              <w:bottom w:val="single" w:sz="4" w:space="0" w:color="auto"/>
            </w:tcBorders>
            <w:vAlign w:val="center"/>
          </w:tcPr>
          <w:p w14:paraId="34EF343E" w14:textId="77777777" w:rsidR="00577D08" w:rsidRDefault="00330FC0">
            <w:pPr>
              <w:kinsoku w:val="0"/>
              <w:overflowPunct w:val="0"/>
              <w:autoSpaceDE w:val="0"/>
              <w:autoSpaceDN w:val="0"/>
              <w:adjustRightInd w:val="0"/>
              <w:snapToGrid w:val="0"/>
            </w:pPr>
            <w:r>
              <w:rPr>
                <w:rFonts w:ascii="宋体" w:hAnsi="宋体" w:hint="eastAsia"/>
              </w:rPr>
              <w:t>雷雯亦</w:t>
            </w:r>
          </w:p>
        </w:tc>
      </w:tr>
      <w:tr w:rsidR="00577D08" w14:paraId="6B32B108" w14:textId="77777777">
        <w:tc>
          <w:tcPr>
            <w:tcW w:w="2424" w:type="dxa"/>
            <w:tcBorders>
              <w:top w:val="single" w:sz="4" w:space="0" w:color="auto"/>
              <w:bottom w:val="single" w:sz="4" w:space="0" w:color="auto"/>
              <w:right w:val="single" w:sz="4" w:space="0" w:color="auto"/>
            </w:tcBorders>
            <w:vAlign w:val="center"/>
          </w:tcPr>
          <w:p w14:paraId="2D5BEFDE" w14:textId="77777777" w:rsidR="00577D08" w:rsidRDefault="00330FC0">
            <w:pPr>
              <w:kinsoku w:val="0"/>
              <w:overflowPunct w:val="0"/>
              <w:autoSpaceDE w:val="0"/>
              <w:autoSpaceDN w:val="0"/>
              <w:adjustRightInd w:val="0"/>
              <w:snapToGrid w:val="0"/>
            </w:pPr>
            <w:r>
              <w:rPr>
                <w:rFonts w:hint="eastAsia"/>
              </w:rPr>
              <w:t>联系地址</w:t>
            </w:r>
          </w:p>
        </w:tc>
        <w:tc>
          <w:tcPr>
            <w:tcW w:w="3503" w:type="dxa"/>
            <w:tcBorders>
              <w:top w:val="single" w:sz="4" w:space="0" w:color="auto"/>
              <w:left w:val="single" w:sz="4" w:space="0" w:color="auto"/>
              <w:bottom w:val="single" w:sz="4" w:space="0" w:color="auto"/>
              <w:right w:val="single" w:sz="4" w:space="0" w:color="auto"/>
            </w:tcBorders>
            <w:vAlign w:val="center"/>
          </w:tcPr>
          <w:p w14:paraId="3B0DED5E" w14:textId="77777777" w:rsidR="00577D08" w:rsidRDefault="00330FC0">
            <w:pPr>
              <w:kinsoku w:val="0"/>
              <w:overflowPunct w:val="0"/>
              <w:autoSpaceDE w:val="0"/>
              <w:autoSpaceDN w:val="0"/>
              <w:adjustRightInd w:val="0"/>
              <w:snapToGrid w:val="0"/>
            </w:pPr>
            <w:r>
              <w:rPr>
                <w:rFonts w:ascii="宋体" w:hAnsi="宋体" w:hint="eastAsia"/>
              </w:rPr>
              <w:t>重庆市长寿区晏家街道齐心东路</w:t>
            </w:r>
            <w:r>
              <w:rPr>
                <w:rFonts w:hint="eastAsia"/>
              </w:rPr>
              <w:t>10</w:t>
            </w:r>
            <w:r>
              <w:rPr>
                <w:rFonts w:ascii="宋体" w:hAnsi="宋体" w:hint="eastAsia"/>
              </w:rPr>
              <w:t>号</w:t>
            </w:r>
          </w:p>
        </w:tc>
        <w:tc>
          <w:tcPr>
            <w:tcW w:w="2964" w:type="dxa"/>
            <w:tcBorders>
              <w:top w:val="single" w:sz="4" w:space="0" w:color="auto"/>
              <w:left w:val="single" w:sz="4" w:space="0" w:color="auto"/>
              <w:bottom w:val="single" w:sz="4" w:space="0" w:color="auto"/>
            </w:tcBorders>
            <w:vAlign w:val="center"/>
          </w:tcPr>
          <w:p w14:paraId="20580132" w14:textId="77777777" w:rsidR="00577D08" w:rsidRDefault="00330FC0">
            <w:pPr>
              <w:kinsoku w:val="0"/>
              <w:overflowPunct w:val="0"/>
              <w:autoSpaceDE w:val="0"/>
              <w:autoSpaceDN w:val="0"/>
              <w:adjustRightInd w:val="0"/>
              <w:snapToGrid w:val="0"/>
            </w:pPr>
            <w:r>
              <w:rPr>
                <w:rFonts w:ascii="宋体" w:hAnsi="宋体" w:hint="eastAsia"/>
              </w:rPr>
              <w:t>重庆市两江新区江北城街道江北城西大街</w:t>
            </w:r>
            <w:r>
              <w:rPr>
                <w:rFonts w:hint="eastAsia"/>
              </w:rPr>
              <w:t>3</w:t>
            </w:r>
            <w:r>
              <w:rPr>
                <w:rFonts w:ascii="宋体" w:hAnsi="宋体" w:hint="eastAsia"/>
              </w:rPr>
              <w:t>号交通银行大厦</w:t>
            </w:r>
            <w:r>
              <w:rPr>
                <w:rFonts w:hint="eastAsia"/>
              </w:rPr>
              <w:t>12</w:t>
            </w:r>
            <w:r>
              <w:rPr>
                <w:rFonts w:ascii="宋体" w:hAnsi="宋体" w:hint="eastAsia"/>
              </w:rPr>
              <w:t>楼</w:t>
            </w:r>
          </w:p>
        </w:tc>
      </w:tr>
      <w:tr w:rsidR="00577D08" w14:paraId="53274ED9" w14:textId="77777777">
        <w:tc>
          <w:tcPr>
            <w:tcW w:w="2424" w:type="dxa"/>
            <w:tcBorders>
              <w:top w:val="single" w:sz="4" w:space="0" w:color="auto"/>
              <w:bottom w:val="single" w:sz="4" w:space="0" w:color="auto"/>
              <w:right w:val="single" w:sz="4" w:space="0" w:color="auto"/>
            </w:tcBorders>
            <w:vAlign w:val="center"/>
          </w:tcPr>
          <w:p w14:paraId="12BE5FE4" w14:textId="77777777" w:rsidR="00577D08" w:rsidRDefault="00330FC0">
            <w:pPr>
              <w:kinsoku w:val="0"/>
              <w:overflowPunct w:val="0"/>
              <w:autoSpaceDE w:val="0"/>
              <w:autoSpaceDN w:val="0"/>
              <w:adjustRightInd w:val="0"/>
              <w:snapToGrid w:val="0"/>
            </w:pPr>
            <w:r>
              <w:t>电话</w:t>
            </w:r>
          </w:p>
        </w:tc>
        <w:tc>
          <w:tcPr>
            <w:tcW w:w="3503" w:type="dxa"/>
            <w:tcBorders>
              <w:top w:val="single" w:sz="4" w:space="0" w:color="auto"/>
              <w:left w:val="single" w:sz="4" w:space="0" w:color="auto"/>
              <w:bottom w:val="single" w:sz="4" w:space="0" w:color="auto"/>
              <w:right w:val="single" w:sz="4" w:space="0" w:color="auto"/>
            </w:tcBorders>
            <w:vAlign w:val="center"/>
          </w:tcPr>
          <w:p w14:paraId="2C717B88" w14:textId="77777777" w:rsidR="00577D08" w:rsidRDefault="00330FC0">
            <w:pPr>
              <w:kinsoku w:val="0"/>
              <w:overflowPunct w:val="0"/>
              <w:autoSpaceDE w:val="0"/>
              <w:autoSpaceDN w:val="0"/>
              <w:adjustRightInd w:val="0"/>
              <w:snapToGrid w:val="0"/>
            </w:pPr>
            <w:r>
              <w:t>023-40615383</w:t>
            </w:r>
          </w:p>
        </w:tc>
        <w:tc>
          <w:tcPr>
            <w:tcW w:w="2964" w:type="dxa"/>
            <w:tcBorders>
              <w:top w:val="single" w:sz="4" w:space="0" w:color="auto"/>
              <w:left w:val="single" w:sz="4" w:space="0" w:color="auto"/>
              <w:bottom w:val="single" w:sz="4" w:space="0" w:color="auto"/>
            </w:tcBorders>
            <w:vAlign w:val="center"/>
          </w:tcPr>
          <w:p w14:paraId="189CD1BF" w14:textId="77777777" w:rsidR="00577D08" w:rsidRDefault="00330FC0">
            <w:pPr>
              <w:kinsoku w:val="0"/>
              <w:overflowPunct w:val="0"/>
              <w:autoSpaceDE w:val="0"/>
              <w:autoSpaceDN w:val="0"/>
              <w:adjustRightInd w:val="0"/>
              <w:snapToGrid w:val="0"/>
            </w:pPr>
            <w:r>
              <w:t>023-67538525</w:t>
            </w:r>
          </w:p>
        </w:tc>
      </w:tr>
      <w:tr w:rsidR="00577D08" w14:paraId="1DD99EED" w14:textId="77777777">
        <w:tc>
          <w:tcPr>
            <w:tcW w:w="2424" w:type="dxa"/>
            <w:tcBorders>
              <w:top w:val="single" w:sz="4" w:space="0" w:color="auto"/>
              <w:bottom w:val="single" w:sz="4" w:space="0" w:color="auto"/>
              <w:right w:val="single" w:sz="4" w:space="0" w:color="auto"/>
            </w:tcBorders>
            <w:vAlign w:val="center"/>
          </w:tcPr>
          <w:p w14:paraId="2608B918" w14:textId="77777777" w:rsidR="00577D08" w:rsidRDefault="00330FC0">
            <w:pPr>
              <w:kinsoku w:val="0"/>
              <w:overflowPunct w:val="0"/>
              <w:autoSpaceDE w:val="0"/>
              <w:autoSpaceDN w:val="0"/>
              <w:adjustRightInd w:val="0"/>
              <w:snapToGrid w:val="0"/>
            </w:pPr>
            <w:r>
              <w:t>传真</w:t>
            </w:r>
          </w:p>
        </w:tc>
        <w:tc>
          <w:tcPr>
            <w:tcW w:w="3503" w:type="dxa"/>
            <w:tcBorders>
              <w:top w:val="single" w:sz="4" w:space="0" w:color="auto"/>
              <w:left w:val="single" w:sz="4" w:space="0" w:color="auto"/>
              <w:bottom w:val="single" w:sz="4" w:space="0" w:color="auto"/>
              <w:right w:val="single" w:sz="4" w:space="0" w:color="auto"/>
            </w:tcBorders>
            <w:vAlign w:val="center"/>
          </w:tcPr>
          <w:p w14:paraId="37B19487" w14:textId="77777777" w:rsidR="00577D08" w:rsidRDefault="00330FC0">
            <w:pPr>
              <w:kinsoku w:val="0"/>
              <w:overflowPunct w:val="0"/>
              <w:autoSpaceDE w:val="0"/>
              <w:autoSpaceDN w:val="0"/>
              <w:adjustRightInd w:val="0"/>
              <w:snapToGrid w:val="0"/>
            </w:pPr>
            <w:r>
              <w:t>023-40615383</w:t>
            </w:r>
          </w:p>
        </w:tc>
        <w:tc>
          <w:tcPr>
            <w:tcW w:w="2964" w:type="dxa"/>
            <w:tcBorders>
              <w:top w:val="single" w:sz="4" w:space="0" w:color="auto"/>
              <w:left w:val="single" w:sz="4" w:space="0" w:color="auto"/>
              <w:bottom w:val="single" w:sz="4" w:space="0" w:color="auto"/>
            </w:tcBorders>
            <w:vAlign w:val="center"/>
          </w:tcPr>
          <w:p w14:paraId="329BCB79" w14:textId="77777777" w:rsidR="00577D08" w:rsidRDefault="00330FC0">
            <w:pPr>
              <w:kinsoku w:val="0"/>
              <w:overflowPunct w:val="0"/>
              <w:autoSpaceDE w:val="0"/>
              <w:autoSpaceDN w:val="0"/>
              <w:adjustRightInd w:val="0"/>
              <w:snapToGrid w:val="0"/>
            </w:pPr>
            <w:r>
              <w:t>023-67538525</w:t>
            </w:r>
          </w:p>
        </w:tc>
      </w:tr>
      <w:tr w:rsidR="00577D08" w14:paraId="5704EDFA" w14:textId="77777777">
        <w:tc>
          <w:tcPr>
            <w:tcW w:w="2424" w:type="dxa"/>
            <w:tcBorders>
              <w:top w:val="single" w:sz="4" w:space="0" w:color="auto"/>
              <w:bottom w:val="single" w:sz="4" w:space="0" w:color="auto"/>
              <w:right w:val="single" w:sz="4" w:space="0" w:color="auto"/>
            </w:tcBorders>
            <w:vAlign w:val="center"/>
          </w:tcPr>
          <w:p w14:paraId="40B2A5E4" w14:textId="77777777" w:rsidR="00577D08" w:rsidRDefault="00330FC0">
            <w:pPr>
              <w:kinsoku w:val="0"/>
              <w:overflowPunct w:val="0"/>
              <w:autoSpaceDE w:val="0"/>
              <w:autoSpaceDN w:val="0"/>
              <w:adjustRightInd w:val="0"/>
              <w:snapToGrid w:val="0"/>
            </w:pPr>
            <w:r>
              <w:t>电子信箱</w:t>
            </w:r>
          </w:p>
        </w:tc>
        <w:tc>
          <w:tcPr>
            <w:tcW w:w="3503" w:type="dxa"/>
            <w:tcBorders>
              <w:top w:val="single" w:sz="4" w:space="0" w:color="auto"/>
              <w:left w:val="single" w:sz="4" w:space="0" w:color="auto"/>
              <w:bottom w:val="single" w:sz="4" w:space="0" w:color="auto"/>
              <w:right w:val="single" w:sz="4" w:space="0" w:color="auto"/>
            </w:tcBorders>
            <w:vAlign w:val="center"/>
          </w:tcPr>
          <w:p w14:paraId="2092F3B9" w14:textId="77777777" w:rsidR="00577D08" w:rsidRDefault="00330FC0">
            <w:pPr>
              <w:kinsoku w:val="0"/>
              <w:overflowPunct w:val="0"/>
              <w:autoSpaceDE w:val="0"/>
              <w:autoSpaceDN w:val="0"/>
              <w:adjustRightInd w:val="0"/>
              <w:snapToGrid w:val="0"/>
            </w:pPr>
            <w:r>
              <w:t>lidaiping@cqwbdq.com</w:t>
            </w:r>
          </w:p>
        </w:tc>
        <w:tc>
          <w:tcPr>
            <w:tcW w:w="2964" w:type="dxa"/>
            <w:tcBorders>
              <w:top w:val="single" w:sz="4" w:space="0" w:color="auto"/>
              <w:left w:val="single" w:sz="4" w:space="0" w:color="auto"/>
              <w:bottom w:val="single" w:sz="4" w:space="0" w:color="auto"/>
            </w:tcBorders>
            <w:vAlign w:val="center"/>
          </w:tcPr>
          <w:p w14:paraId="409CB628" w14:textId="77777777" w:rsidR="00577D08" w:rsidRDefault="00330FC0">
            <w:pPr>
              <w:kinsoku w:val="0"/>
              <w:overflowPunct w:val="0"/>
              <w:autoSpaceDE w:val="0"/>
              <w:autoSpaceDN w:val="0"/>
              <w:adjustRightInd w:val="0"/>
              <w:snapToGrid w:val="0"/>
            </w:pPr>
            <w:r>
              <w:t>leiwenyi@cqwbdq.com</w:t>
            </w:r>
          </w:p>
        </w:tc>
      </w:tr>
    </w:tbl>
    <w:bookmarkEnd w:id="23"/>
    <w:bookmarkEnd w:id="24"/>
    <w:bookmarkEnd w:id="25"/>
    <w:p w14:paraId="732A7AAA" w14:textId="77777777" w:rsidR="00577D08" w:rsidRDefault="00330FC0">
      <w:pPr>
        <w:pStyle w:val="2"/>
        <w:numPr>
          <w:ilvl w:val="1"/>
          <w:numId w:val="4"/>
        </w:numPr>
        <w:ind w:left="498" w:hangingChars="236" w:hanging="498"/>
        <w:rPr>
          <w:rFonts w:ascii="宋体" w:hAnsi="宋体" w:hint="eastAsia"/>
        </w:rPr>
      </w:pPr>
      <w:r>
        <w:t>基本情况</w:t>
      </w:r>
      <w:r>
        <w:rPr>
          <w:rFonts w:hint="eastAsia"/>
        </w:rPr>
        <w:t>简介</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3857"/>
        <w:gridCol w:w="5035"/>
      </w:tblGrid>
      <w:tr w:rsidR="00577D08" w14:paraId="278651CD" w14:textId="77777777">
        <w:trPr>
          <w:trHeight w:val="293"/>
        </w:trPr>
        <w:sdt>
          <w:sdtPr>
            <w:tag w:val="_PLD_65800154c9f246eeaabfb6d49f89b105"/>
            <w:id w:val="931851385"/>
          </w:sdtPr>
          <w:sdtContent>
            <w:tc>
              <w:tcPr>
                <w:tcW w:w="3857" w:type="dxa"/>
                <w:tcBorders>
                  <w:top w:val="single" w:sz="4" w:space="0" w:color="auto"/>
                  <w:bottom w:val="single" w:sz="4" w:space="0" w:color="auto"/>
                  <w:right w:val="single" w:sz="4" w:space="0" w:color="auto"/>
                </w:tcBorders>
                <w:vAlign w:val="center"/>
              </w:tcPr>
              <w:p w14:paraId="3FB0CCB6" w14:textId="77777777" w:rsidR="00577D08" w:rsidRDefault="00330FC0">
                <w:pPr>
                  <w:kinsoku w:val="0"/>
                  <w:overflowPunct w:val="0"/>
                  <w:autoSpaceDE w:val="0"/>
                  <w:autoSpaceDN w:val="0"/>
                  <w:adjustRightInd w:val="0"/>
                  <w:snapToGrid w:val="0"/>
                </w:pPr>
                <w:r>
                  <w:t>公司注册地址</w:t>
                </w:r>
              </w:p>
            </w:tc>
          </w:sdtContent>
        </w:sdt>
        <w:sdt>
          <w:sdtPr>
            <w:alias w:val="公司注册地址"/>
            <w:tag w:val="_GBC_89833c4f8593417f8d5751e5d0001721"/>
            <w:id w:val="1431159628"/>
          </w:sdtPr>
          <w:sdtContent>
            <w:tc>
              <w:tcPr>
                <w:tcW w:w="5035" w:type="dxa"/>
                <w:tcBorders>
                  <w:top w:val="single" w:sz="4" w:space="0" w:color="auto"/>
                  <w:left w:val="single" w:sz="4" w:space="0" w:color="auto"/>
                  <w:bottom w:val="single" w:sz="4" w:space="0" w:color="auto"/>
                </w:tcBorders>
                <w:vAlign w:val="center"/>
              </w:tcPr>
              <w:p w14:paraId="7CAA2CD1" w14:textId="77777777" w:rsidR="00577D08" w:rsidRDefault="00330FC0">
                <w:pPr>
                  <w:kinsoku w:val="0"/>
                  <w:overflowPunct w:val="0"/>
                  <w:autoSpaceDE w:val="0"/>
                  <w:autoSpaceDN w:val="0"/>
                  <w:adjustRightInd w:val="0"/>
                  <w:snapToGrid w:val="0"/>
                </w:pPr>
                <w:r>
                  <w:rPr>
                    <w:rFonts w:hint="eastAsia"/>
                  </w:rPr>
                  <w:t>重庆市长寿区晏家街道齐心东路</w:t>
                </w:r>
                <w:r>
                  <w:rPr>
                    <w:rFonts w:hint="eastAsia"/>
                  </w:rPr>
                  <w:t>10</w:t>
                </w:r>
                <w:r>
                  <w:rPr>
                    <w:rFonts w:hint="eastAsia"/>
                  </w:rPr>
                  <w:t>号</w:t>
                </w:r>
              </w:p>
            </w:tc>
          </w:sdtContent>
        </w:sdt>
      </w:tr>
      <w:tr w:rsidR="00577D08" w14:paraId="1BA4E42F" w14:textId="77777777">
        <w:trPr>
          <w:trHeight w:val="293"/>
        </w:trPr>
        <w:tc>
          <w:tcPr>
            <w:tcW w:w="3857" w:type="dxa"/>
            <w:tcBorders>
              <w:top w:val="single" w:sz="4" w:space="0" w:color="auto"/>
              <w:bottom w:val="single" w:sz="4" w:space="0" w:color="auto"/>
              <w:right w:val="single" w:sz="4" w:space="0" w:color="auto"/>
            </w:tcBorders>
            <w:vAlign w:val="center"/>
          </w:tcPr>
          <w:p w14:paraId="66FCF352" w14:textId="77777777" w:rsidR="00577D08" w:rsidRDefault="00330FC0">
            <w:pPr>
              <w:kinsoku w:val="0"/>
              <w:overflowPunct w:val="0"/>
              <w:autoSpaceDE w:val="0"/>
              <w:autoSpaceDN w:val="0"/>
              <w:adjustRightInd w:val="0"/>
              <w:snapToGrid w:val="0"/>
            </w:pPr>
            <w:r>
              <w:rPr>
                <w:rFonts w:hint="eastAsia"/>
              </w:rPr>
              <w:t>公司注册地址的历史变更情况</w:t>
            </w:r>
          </w:p>
        </w:tc>
        <w:tc>
          <w:tcPr>
            <w:tcW w:w="5035" w:type="dxa"/>
            <w:tcBorders>
              <w:top w:val="single" w:sz="4" w:space="0" w:color="auto"/>
              <w:left w:val="single" w:sz="4" w:space="0" w:color="auto"/>
              <w:bottom w:val="single" w:sz="4" w:space="0" w:color="auto"/>
            </w:tcBorders>
            <w:vAlign w:val="center"/>
          </w:tcPr>
          <w:p w14:paraId="110F866E" w14:textId="77777777" w:rsidR="00577D08" w:rsidRDefault="00330FC0">
            <w:pPr>
              <w:kinsoku w:val="0"/>
              <w:overflowPunct w:val="0"/>
              <w:autoSpaceDE w:val="0"/>
              <w:autoSpaceDN w:val="0"/>
              <w:adjustRightInd w:val="0"/>
              <w:snapToGrid w:val="0"/>
            </w:pPr>
            <w:r>
              <w:rPr>
                <w:rFonts w:ascii="宋体" w:hAnsi="宋体" w:hint="eastAsia"/>
              </w:rPr>
              <w:t>无</w:t>
            </w:r>
          </w:p>
        </w:tc>
      </w:tr>
      <w:tr w:rsidR="00577D08" w14:paraId="1989410A" w14:textId="77777777">
        <w:trPr>
          <w:trHeight w:val="293"/>
        </w:trPr>
        <w:tc>
          <w:tcPr>
            <w:tcW w:w="3857" w:type="dxa"/>
            <w:tcBorders>
              <w:top w:val="single" w:sz="4" w:space="0" w:color="auto"/>
              <w:bottom w:val="single" w:sz="4" w:space="0" w:color="auto"/>
              <w:right w:val="single" w:sz="4" w:space="0" w:color="auto"/>
            </w:tcBorders>
            <w:vAlign w:val="center"/>
          </w:tcPr>
          <w:p w14:paraId="1FD297B9" w14:textId="77777777" w:rsidR="00577D08" w:rsidRDefault="00330FC0">
            <w:pPr>
              <w:kinsoku w:val="0"/>
              <w:overflowPunct w:val="0"/>
              <w:autoSpaceDE w:val="0"/>
              <w:autoSpaceDN w:val="0"/>
              <w:adjustRightInd w:val="0"/>
              <w:snapToGrid w:val="0"/>
            </w:pPr>
            <w:r>
              <w:t>公司办公地址</w:t>
            </w:r>
          </w:p>
        </w:tc>
        <w:tc>
          <w:tcPr>
            <w:tcW w:w="5035" w:type="dxa"/>
            <w:tcBorders>
              <w:top w:val="single" w:sz="4" w:space="0" w:color="auto"/>
              <w:left w:val="single" w:sz="4" w:space="0" w:color="auto"/>
              <w:bottom w:val="single" w:sz="4" w:space="0" w:color="auto"/>
            </w:tcBorders>
            <w:vAlign w:val="center"/>
          </w:tcPr>
          <w:p w14:paraId="6D1353F8" w14:textId="77777777" w:rsidR="00577D08" w:rsidRDefault="00330FC0">
            <w:pPr>
              <w:kinsoku w:val="0"/>
              <w:overflowPunct w:val="0"/>
              <w:autoSpaceDE w:val="0"/>
              <w:autoSpaceDN w:val="0"/>
              <w:adjustRightInd w:val="0"/>
              <w:snapToGrid w:val="0"/>
            </w:pPr>
            <w:r>
              <w:rPr>
                <w:rFonts w:ascii="宋体" w:hAnsi="宋体" w:hint="eastAsia"/>
              </w:rPr>
              <w:t>重庆市江北区江北城街道江北城西大街</w:t>
            </w:r>
            <w:r>
              <w:rPr>
                <w:rFonts w:hint="eastAsia"/>
              </w:rPr>
              <w:t>3</w:t>
            </w:r>
            <w:r>
              <w:rPr>
                <w:rFonts w:ascii="宋体" w:hAnsi="宋体" w:hint="eastAsia"/>
              </w:rPr>
              <w:t>号交通银行大厦</w:t>
            </w:r>
            <w:r>
              <w:rPr>
                <w:rFonts w:hint="eastAsia"/>
              </w:rPr>
              <w:t>12</w:t>
            </w:r>
            <w:r>
              <w:rPr>
                <w:rFonts w:ascii="宋体" w:hAnsi="宋体" w:hint="eastAsia"/>
              </w:rPr>
              <w:t>楼</w:t>
            </w:r>
          </w:p>
        </w:tc>
      </w:tr>
      <w:tr w:rsidR="00577D08" w14:paraId="3FE009DE" w14:textId="77777777">
        <w:trPr>
          <w:trHeight w:val="293"/>
        </w:trPr>
        <w:tc>
          <w:tcPr>
            <w:tcW w:w="3857" w:type="dxa"/>
            <w:tcBorders>
              <w:top w:val="single" w:sz="4" w:space="0" w:color="auto"/>
              <w:bottom w:val="single" w:sz="4" w:space="0" w:color="auto"/>
              <w:right w:val="single" w:sz="4" w:space="0" w:color="auto"/>
            </w:tcBorders>
            <w:vAlign w:val="center"/>
          </w:tcPr>
          <w:p w14:paraId="4190DE7F" w14:textId="77777777" w:rsidR="00577D08" w:rsidRDefault="00330FC0">
            <w:pPr>
              <w:kinsoku w:val="0"/>
              <w:overflowPunct w:val="0"/>
              <w:autoSpaceDE w:val="0"/>
              <w:autoSpaceDN w:val="0"/>
              <w:adjustRightInd w:val="0"/>
              <w:snapToGrid w:val="0"/>
            </w:pPr>
            <w:r>
              <w:t>公司办公地址的邮政编码</w:t>
            </w:r>
          </w:p>
        </w:tc>
        <w:tc>
          <w:tcPr>
            <w:tcW w:w="5035" w:type="dxa"/>
            <w:tcBorders>
              <w:top w:val="single" w:sz="4" w:space="0" w:color="auto"/>
              <w:left w:val="single" w:sz="4" w:space="0" w:color="auto"/>
              <w:bottom w:val="single" w:sz="4" w:space="0" w:color="auto"/>
            </w:tcBorders>
            <w:vAlign w:val="center"/>
          </w:tcPr>
          <w:p w14:paraId="6DB47B03" w14:textId="77777777" w:rsidR="00577D08" w:rsidRDefault="00330FC0">
            <w:pPr>
              <w:kinsoku w:val="0"/>
              <w:overflowPunct w:val="0"/>
              <w:autoSpaceDE w:val="0"/>
              <w:autoSpaceDN w:val="0"/>
              <w:adjustRightInd w:val="0"/>
              <w:snapToGrid w:val="0"/>
            </w:pPr>
            <w:r>
              <w:t>400020</w:t>
            </w:r>
          </w:p>
        </w:tc>
      </w:tr>
      <w:tr w:rsidR="00577D08" w14:paraId="3341C6DB" w14:textId="77777777">
        <w:trPr>
          <w:trHeight w:val="293"/>
        </w:trPr>
        <w:tc>
          <w:tcPr>
            <w:tcW w:w="3857" w:type="dxa"/>
            <w:tcBorders>
              <w:top w:val="single" w:sz="4" w:space="0" w:color="auto"/>
              <w:bottom w:val="single" w:sz="4" w:space="0" w:color="auto"/>
              <w:right w:val="single" w:sz="4" w:space="0" w:color="auto"/>
            </w:tcBorders>
            <w:vAlign w:val="center"/>
          </w:tcPr>
          <w:p w14:paraId="10E75328" w14:textId="77777777" w:rsidR="00577D08" w:rsidRDefault="00330FC0">
            <w:pPr>
              <w:kinsoku w:val="0"/>
              <w:overflowPunct w:val="0"/>
              <w:autoSpaceDE w:val="0"/>
              <w:autoSpaceDN w:val="0"/>
              <w:adjustRightInd w:val="0"/>
              <w:snapToGrid w:val="0"/>
            </w:pPr>
            <w:r>
              <w:t>公司网址</w:t>
            </w:r>
          </w:p>
        </w:tc>
        <w:tc>
          <w:tcPr>
            <w:tcW w:w="5035" w:type="dxa"/>
            <w:tcBorders>
              <w:top w:val="single" w:sz="4" w:space="0" w:color="auto"/>
              <w:left w:val="single" w:sz="4" w:space="0" w:color="auto"/>
              <w:bottom w:val="single" w:sz="4" w:space="0" w:color="auto"/>
            </w:tcBorders>
            <w:vAlign w:val="center"/>
          </w:tcPr>
          <w:p w14:paraId="156DE047" w14:textId="77777777" w:rsidR="00577D08" w:rsidRDefault="00330FC0">
            <w:pPr>
              <w:kinsoku w:val="0"/>
              <w:overflowPunct w:val="0"/>
              <w:autoSpaceDE w:val="0"/>
              <w:autoSpaceDN w:val="0"/>
              <w:adjustRightInd w:val="0"/>
              <w:snapToGrid w:val="0"/>
            </w:pPr>
            <w:r>
              <w:t>www.cqwbdq.com</w:t>
            </w:r>
          </w:p>
        </w:tc>
      </w:tr>
      <w:tr w:rsidR="00577D08" w14:paraId="2583E233" w14:textId="77777777">
        <w:trPr>
          <w:trHeight w:val="293"/>
        </w:trPr>
        <w:tc>
          <w:tcPr>
            <w:tcW w:w="3857" w:type="dxa"/>
            <w:tcBorders>
              <w:top w:val="single" w:sz="4" w:space="0" w:color="auto"/>
              <w:bottom w:val="single" w:sz="4" w:space="0" w:color="auto"/>
              <w:right w:val="single" w:sz="4" w:space="0" w:color="auto"/>
            </w:tcBorders>
            <w:vAlign w:val="center"/>
          </w:tcPr>
          <w:p w14:paraId="7D7688D6" w14:textId="77777777" w:rsidR="00577D08" w:rsidRDefault="00330FC0">
            <w:pPr>
              <w:kinsoku w:val="0"/>
              <w:overflowPunct w:val="0"/>
              <w:autoSpaceDE w:val="0"/>
              <w:autoSpaceDN w:val="0"/>
              <w:adjustRightInd w:val="0"/>
              <w:snapToGrid w:val="0"/>
            </w:pPr>
            <w:r>
              <w:t>电子信箱</w:t>
            </w:r>
          </w:p>
        </w:tc>
        <w:tc>
          <w:tcPr>
            <w:tcW w:w="5035" w:type="dxa"/>
            <w:tcBorders>
              <w:top w:val="single" w:sz="4" w:space="0" w:color="auto"/>
              <w:left w:val="single" w:sz="4" w:space="0" w:color="auto"/>
              <w:bottom w:val="single" w:sz="4" w:space="0" w:color="auto"/>
            </w:tcBorders>
            <w:vAlign w:val="center"/>
          </w:tcPr>
          <w:p w14:paraId="476C6C4F" w14:textId="77777777" w:rsidR="00577D08" w:rsidRDefault="00330FC0">
            <w:pPr>
              <w:kinsoku w:val="0"/>
              <w:overflowPunct w:val="0"/>
              <w:autoSpaceDE w:val="0"/>
              <w:autoSpaceDN w:val="0"/>
              <w:adjustRightInd w:val="0"/>
              <w:snapToGrid w:val="0"/>
            </w:pPr>
            <w:r>
              <w:t>wbdq_ir@cqwbdq.com</w:t>
            </w:r>
          </w:p>
        </w:tc>
      </w:tr>
    </w:tbl>
    <w:p w14:paraId="4F898DA7" w14:textId="77777777" w:rsidR="00577D08" w:rsidRDefault="00330FC0">
      <w:pPr>
        <w:pStyle w:val="2"/>
        <w:numPr>
          <w:ilvl w:val="1"/>
          <w:numId w:val="4"/>
        </w:numPr>
        <w:ind w:left="498" w:hangingChars="236" w:hanging="498"/>
        <w:rPr>
          <w:rFonts w:ascii="宋体" w:hAnsi="宋体" w:hint="eastAsia"/>
        </w:rPr>
      </w:pPr>
      <w:r>
        <w:t>信息披露及备置地点</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4140"/>
        <w:gridCol w:w="4752"/>
      </w:tblGrid>
      <w:tr w:rsidR="00577D08" w14:paraId="08BFD898" w14:textId="77777777">
        <w:trPr>
          <w:trHeight w:val="293"/>
        </w:trPr>
        <w:sdt>
          <w:sdtPr>
            <w:tag w:val="_PLD_bbba55a3ebda46da946a09caf15c63b6"/>
            <w:id w:val="-1526627267"/>
          </w:sdtPr>
          <w:sdtContent>
            <w:tc>
              <w:tcPr>
                <w:tcW w:w="4140" w:type="dxa"/>
                <w:tcBorders>
                  <w:top w:val="single" w:sz="4" w:space="0" w:color="auto"/>
                  <w:bottom w:val="single" w:sz="4" w:space="0" w:color="auto"/>
                  <w:right w:val="single" w:sz="4" w:space="0" w:color="auto"/>
                </w:tcBorders>
                <w:vAlign w:val="center"/>
              </w:tcPr>
              <w:p w14:paraId="6B0C1250" w14:textId="77777777" w:rsidR="00577D08" w:rsidRDefault="00330FC0">
                <w:pPr>
                  <w:kinsoku w:val="0"/>
                  <w:overflowPunct w:val="0"/>
                  <w:autoSpaceDE w:val="0"/>
                  <w:autoSpaceDN w:val="0"/>
                  <w:adjustRightInd w:val="0"/>
                  <w:snapToGrid w:val="0"/>
                </w:pPr>
                <w:r>
                  <w:t>公司</w:t>
                </w:r>
                <w:r>
                  <w:rPr>
                    <w:rFonts w:hint="eastAsia"/>
                  </w:rPr>
                  <w:t>披露年度报告的媒体</w:t>
                </w:r>
                <w:r>
                  <w:t>名称</w:t>
                </w:r>
                <w:r>
                  <w:rPr>
                    <w:rFonts w:hint="eastAsia"/>
                  </w:rPr>
                  <w:t>及网址</w:t>
                </w:r>
              </w:p>
            </w:tc>
          </w:sdtContent>
        </w:sdt>
        <w:sdt>
          <w:sdtPr>
            <w:alias w:val="公司选定的信息披露报纸名称"/>
            <w:tag w:val="_GBC_001b00e5e370415c93177612f89840ec"/>
            <w:id w:val="2028677121"/>
          </w:sdtPr>
          <w:sdtContent>
            <w:tc>
              <w:tcPr>
                <w:tcW w:w="4752" w:type="dxa"/>
                <w:tcBorders>
                  <w:top w:val="single" w:sz="4" w:space="0" w:color="auto"/>
                  <w:left w:val="single" w:sz="4" w:space="0" w:color="auto"/>
                  <w:bottom w:val="single" w:sz="4" w:space="0" w:color="auto"/>
                </w:tcBorders>
                <w:vAlign w:val="center"/>
              </w:tcPr>
              <w:p w14:paraId="49276E50" w14:textId="77777777" w:rsidR="00577D08" w:rsidRDefault="00330FC0">
                <w:pPr>
                  <w:kinsoku w:val="0"/>
                  <w:overflowPunct w:val="0"/>
                  <w:autoSpaceDE w:val="0"/>
                  <w:autoSpaceDN w:val="0"/>
                  <w:adjustRightInd w:val="0"/>
                  <w:snapToGrid w:val="0"/>
                </w:pPr>
                <w:r>
                  <w:rPr>
                    <w:rFonts w:hint="eastAsia"/>
                  </w:rPr>
                  <w:t>《上海证券报》《中国证券报》《证券时报》和《证券日报》</w:t>
                </w:r>
              </w:p>
            </w:tc>
          </w:sdtContent>
        </w:sdt>
      </w:tr>
      <w:tr w:rsidR="00577D08" w14:paraId="12E693BF" w14:textId="77777777">
        <w:trPr>
          <w:trHeight w:val="293"/>
        </w:trPr>
        <w:tc>
          <w:tcPr>
            <w:tcW w:w="4140" w:type="dxa"/>
            <w:tcBorders>
              <w:top w:val="single" w:sz="4" w:space="0" w:color="auto"/>
              <w:bottom w:val="single" w:sz="4" w:space="0" w:color="auto"/>
              <w:right w:val="single" w:sz="4" w:space="0" w:color="auto"/>
            </w:tcBorders>
            <w:vAlign w:val="center"/>
          </w:tcPr>
          <w:p w14:paraId="42E4F76A" w14:textId="77777777" w:rsidR="00577D08" w:rsidRDefault="00330FC0">
            <w:pPr>
              <w:kinsoku w:val="0"/>
              <w:overflowPunct w:val="0"/>
              <w:autoSpaceDE w:val="0"/>
              <w:autoSpaceDN w:val="0"/>
              <w:adjustRightInd w:val="0"/>
              <w:snapToGrid w:val="0"/>
            </w:pPr>
            <w:r>
              <w:rPr>
                <w:rFonts w:hint="eastAsia"/>
              </w:rPr>
              <w:t>公司披露年度报告的证券交易所</w:t>
            </w:r>
            <w:r>
              <w:t>网址</w:t>
            </w:r>
          </w:p>
        </w:tc>
        <w:tc>
          <w:tcPr>
            <w:tcW w:w="4752" w:type="dxa"/>
            <w:tcBorders>
              <w:top w:val="single" w:sz="4" w:space="0" w:color="auto"/>
              <w:left w:val="single" w:sz="4" w:space="0" w:color="auto"/>
              <w:bottom w:val="single" w:sz="4" w:space="0" w:color="auto"/>
              <w:right w:val="single" w:sz="4" w:space="0" w:color="auto"/>
            </w:tcBorders>
            <w:vAlign w:val="center"/>
          </w:tcPr>
          <w:p w14:paraId="64F48030" w14:textId="77777777" w:rsidR="00577D08" w:rsidRDefault="00330FC0">
            <w:pPr>
              <w:kinsoku w:val="0"/>
              <w:overflowPunct w:val="0"/>
              <w:autoSpaceDE w:val="0"/>
              <w:autoSpaceDN w:val="0"/>
              <w:adjustRightInd w:val="0"/>
              <w:snapToGrid w:val="0"/>
            </w:pPr>
            <w:r>
              <w:t>www.sse.com.cn</w:t>
            </w:r>
          </w:p>
        </w:tc>
      </w:tr>
      <w:tr w:rsidR="00577D08" w14:paraId="65B1D2E6" w14:textId="77777777">
        <w:trPr>
          <w:trHeight w:val="293"/>
        </w:trPr>
        <w:tc>
          <w:tcPr>
            <w:tcW w:w="4140" w:type="dxa"/>
            <w:tcBorders>
              <w:top w:val="single" w:sz="4" w:space="0" w:color="auto"/>
              <w:bottom w:val="single" w:sz="4" w:space="0" w:color="auto"/>
              <w:right w:val="single" w:sz="4" w:space="0" w:color="auto"/>
            </w:tcBorders>
            <w:vAlign w:val="center"/>
          </w:tcPr>
          <w:p w14:paraId="32BEC5DA" w14:textId="77777777" w:rsidR="00577D08" w:rsidRDefault="00330FC0">
            <w:pPr>
              <w:kinsoku w:val="0"/>
              <w:overflowPunct w:val="0"/>
              <w:autoSpaceDE w:val="0"/>
              <w:autoSpaceDN w:val="0"/>
              <w:adjustRightInd w:val="0"/>
              <w:snapToGrid w:val="0"/>
            </w:pPr>
            <w:r>
              <w:t>公司年度报告备置地点</w:t>
            </w:r>
          </w:p>
        </w:tc>
        <w:tc>
          <w:tcPr>
            <w:tcW w:w="4752" w:type="dxa"/>
            <w:tcBorders>
              <w:top w:val="single" w:sz="4" w:space="0" w:color="auto"/>
              <w:left w:val="single" w:sz="4" w:space="0" w:color="auto"/>
              <w:bottom w:val="single" w:sz="4" w:space="0" w:color="auto"/>
              <w:right w:val="single" w:sz="4" w:space="0" w:color="auto"/>
            </w:tcBorders>
            <w:vAlign w:val="center"/>
          </w:tcPr>
          <w:p w14:paraId="5BB91043" w14:textId="77777777" w:rsidR="00577D08" w:rsidRDefault="00330FC0">
            <w:pPr>
              <w:kinsoku w:val="0"/>
              <w:overflowPunct w:val="0"/>
              <w:autoSpaceDE w:val="0"/>
              <w:autoSpaceDN w:val="0"/>
              <w:adjustRightInd w:val="0"/>
              <w:snapToGrid w:val="0"/>
            </w:pPr>
            <w:r>
              <w:rPr>
                <w:rFonts w:ascii="宋体" w:hAnsi="宋体" w:hint="eastAsia"/>
              </w:rPr>
              <w:t>重庆市江北区江北城街道江北城西大街</w:t>
            </w:r>
            <w:r>
              <w:rPr>
                <w:rFonts w:hint="eastAsia"/>
              </w:rPr>
              <w:t>3</w:t>
            </w:r>
            <w:r>
              <w:rPr>
                <w:rFonts w:ascii="宋体" w:hAnsi="宋体" w:hint="eastAsia"/>
              </w:rPr>
              <w:t>号交通银行大厦</w:t>
            </w:r>
            <w:r>
              <w:rPr>
                <w:rFonts w:hint="eastAsia"/>
              </w:rPr>
              <w:t>12</w:t>
            </w:r>
            <w:r>
              <w:rPr>
                <w:rFonts w:ascii="宋体" w:hAnsi="宋体" w:hint="eastAsia"/>
              </w:rPr>
              <w:t>楼</w:t>
            </w:r>
          </w:p>
        </w:tc>
      </w:tr>
    </w:tbl>
    <w:p w14:paraId="71F4A55B" w14:textId="77777777" w:rsidR="00577D08" w:rsidRDefault="00330FC0">
      <w:pPr>
        <w:pStyle w:val="2"/>
        <w:numPr>
          <w:ilvl w:val="1"/>
          <w:numId w:val="4"/>
        </w:numPr>
        <w:ind w:left="498" w:hangingChars="236" w:hanging="498"/>
      </w:pPr>
      <w:bookmarkStart w:id="26" w:name="_Toc342051045"/>
      <w:bookmarkStart w:id="27" w:name="_Toc342565885"/>
      <w:r>
        <w:rPr>
          <w:rFonts w:hint="eastAsia"/>
        </w:rPr>
        <w:t>公司股票简况</w:t>
      </w:r>
      <w:bookmarkEnd w:id="26"/>
      <w:bookmarkEnd w:id="27"/>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778"/>
        <w:gridCol w:w="1778"/>
        <w:gridCol w:w="1778"/>
        <w:gridCol w:w="1778"/>
        <w:gridCol w:w="1781"/>
      </w:tblGrid>
      <w:tr w:rsidR="00577D08" w14:paraId="198C23B6" w14:textId="77777777">
        <w:trPr>
          <w:trHeight w:val="293"/>
        </w:trPr>
        <w:sdt>
          <w:sdtPr>
            <w:tag w:val="_PLD_71e874b79d5946dfbee802d1ebcf10a8"/>
            <w:id w:val="-105964248"/>
          </w:sdtPr>
          <w:sdtContent>
            <w:tc>
              <w:tcPr>
                <w:tcW w:w="8893" w:type="dxa"/>
                <w:gridSpan w:val="5"/>
                <w:tcBorders>
                  <w:top w:val="single" w:sz="4" w:space="0" w:color="auto"/>
                  <w:bottom w:val="single" w:sz="4" w:space="0" w:color="auto"/>
                </w:tcBorders>
                <w:vAlign w:val="center"/>
              </w:tcPr>
              <w:p w14:paraId="5178922A" w14:textId="77777777" w:rsidR="00577D08" w:rsidRDefault="00330FC0">
                <w:pPr>
                  <w:kinsoku w:val="0"/>
                  <w:overflowPunct w:val="0"/>
                  <w:autoSpaceDE w:val="0"/>
                  <w:autoSpaceDN w:val="0"/>
                  <w:adjustRightInd w:val="0"/>
                  <w:snapToGrid w:val="0"/>
                  <w:jc w:val="center"/>
                </w:pPr>
                <w:r>
                  <w:rPr>
                    <w:rFonts w:hint="eastAsia"/>
                  </w:rPr>
                  <w:t>公司股票简况</w:t>
                </w:r>
              </w:p>
            </w:tc>
          </w:sdtContent>
        </w:sdt>
      </w:tr>
      <w:tr w:rsidR="00577D08" w14:paraId="6072DA35" w14:textId="77777777">
        <w:trPr>
          <w:trHeight w:val="293"/>
        </w:trPr>
        <w:sdt>
          <w:sdtPr>
            <w:tag w:val="_PLD_8c7d8e96d5f4491aa9e7c3c601503603"/>
            <w:id w:val="-902300620"/>
          </w:sdtPr>
          <w:sdtContent>
            <w:tc>
              <w:tcPr>
                <w:tcW w:w="1778" w:type="dxa"/>
                <w:tcBorders>
                  <w:top w:val="single" w:sz="4" w:space="0" w:color="auto"/>
                  <w:bottom w:val="single" w:sz="4" w:space="0" w:color="auto"/>
                  <w:right w:val="single" w:sz="4" w:space="0" w:color="auto"/>
                </w:tcBorders>
                <w:vAlign w:val="center"/>
              </w:tcPr>
              <w:p w14:paraId="3042B76A" w14:textId="77777777" w:rsidR="00577D08" w:rsidRDefault="00330FC0">
                <w:pPr>
                  <w:kinsoku w:val="0"/>
                  <w:overflowPunct w:val="0"/>
                  <w:autoSpaceDE w:val="0"/>
                  <w:autoSpaceDN w:val="0"/>
                  <w:adjustRightInd w:val="0"/>
                  <w:snapToGrid w:val="0"/>
                  <w:jc w:val="center"/>
                </w:pPr>
                <w:r>
                  <w:rPr>
                    <w:rFonts w:hint="eastAsia"/>
                  </w:rPr>
                  <w:t>股票种类</w:t>
                </w:r>
              </w:p>
            </w:tc>
          </w:sdtContent>
        </w:sdt>
        <w:sdt>
          <w:sdtPr>
            <w:tag w:val="_PLD_b56a72f5279041b38925f5228f2089f6"/>
            <w:id w:val="-912932963"/>
          </w:sdtPr>
          <w:sdtContent>
            <w:tc>
              <w:tcPr>
                <w:tcW w:w="1778" w:type="dxa"/>
                <w:tcBorders>
                  <w:top w:val="single" w:sz="4" w:space="0" w:color="auto"/>
                  <w:left w:val="single" w:sz="4" w:space="0" w:color="auto"/>
                  <w:bottom w:val="single" w:sz="4" w:space="0" w:color="auto"/>
                  <w:right w:val="single" w:sz="4" w:space="0" w:color="auto"/>
                </w:tcBorders>
                <w:vAlign w:val="center"/>
              </w:tcPr>
              <w:p w14:paraId="0A831D20" w14:textId="77777777" w:rsidR="00577D08" w:rsidRDefault="00330FC0">
                <w:pPr>
                  <w:kinsoku w:val="0"/>
                  <w:overflowPunct w:val="0"/>
                  <w:autoSpaceDE w:val="0"/>
                  <w:autoSpaceDN w:val="0"/>
                  <w:adjustRightInd w:val="0"/>
                  <w:snapToGrid w:val="0"/>
                  <w:jc w:val="center"/>
                </w:pPr>
                <w:r>
                  <w:rPr>
                    <w:rFonts w:hint="eastAsia"/>
                  </w:rPr>
                  <w:t>股票上市交易所</w:t>
                </w:r>
              </w:p>
            </w:tc>
          </w:sdtContent>
        </w:sdt>
        <w:sdt>
          <w:sdtPr>
            <w:tag w:val="_PLD_6dd4e584e21c4367b3dfe6f7f5c64696"/>
            <w:id w:val="1270287176"/>
          </w:sdtPr>
          <w:sdtContent>
            <w:tc>
              <w:tcPr>
                <w:tcW w:w="1778" w:type="dxa"/>
                <w:tcBorders>
                  <w:top w:val="single" w:sz="4" w:space="0" w:color="auto"/>
                  <w:left w:val="single" w:sz="4" w:space="0" w:color="auto"/>
                  <w:bottom w:val="single" w:sz="4" w:space="0" w:color="auto"/>
                  <w:right w:val="single" w:sz="4" w:space="0" w:color="auto"/>
                </w:tcBorders>
                <w:vAlign w:val="center"/>
              </w:tcPr>
              <w:p w14:paraId="63011044" w14:textId="77777777" w:rsidR="00577D08" w:rsidRDefault="00330FC0">
                <w:pPr>
                  <w:kinsoku w:val="0"/>
                  <w:overflowPunct w:val="0"/>
                  <w:autoSpaceDE w:val="0"/>
                  <w:autoSpaceDN w:val="0"/>
                  <w:adjustRightInd w:val="0"/>
                  <w:snapToGrid w:val="0"/>
                  <w:jc w:val="center"/>
                </w:pPr>
                <w:r>
                  <w:rPr>
                    <w:rFonts w:hint="eastAsia"/>
                  </w:rPr>
                  <w:t>股票简称</w:t>
                </w:r>
              </w:p>
            </w:tc>
          </w:sdtContent>
        </w:sdt>
        <w:sdt>
          <w:sdtPr>
            <w:tag w:val="_PLD_e6f819a9bdc4409c94aa103da8c19dc3"/>
            <w:id w:val="242311972"/>
          </w:sdtPr>
          <w:sdtContent>
            <w:tc>
              <w:tcPr>
                <w:tcW w:w="1778" w:type="dxa"/>
                <w:tcBorders>
                  <w:top w:val="single" w:sz="4" w:space="0" w:color="auto"/>
                  <w:left w:val="single" w:sz="4" w:space="0" w:color="auto"/>
                  <w:bottom w:val="single" w:sz="4" w:space="0" w:color="auto"/>
                  <w:right w:val="single" w:sz="4" w:space="0" w:color="auto"/>
                </w:tcBorders>
                <w:vAlign w:val="center"/>
              </w:tcPr>
              <w:p w14:paraId="3AD9F105" w14:textId="77777777" w:rsidR="00577D08" w:rsidRDefault="00330FC0">
                <w:pPr>
                  <w:kinsoku w:val="0"/>
                  <w:overflowPunct w:val="0"/>
                  <w:autoSpaceDE w:val="0"/>
                  <w:autoSpaceDN w:val="0"/>
                  <w:adjustRightInd w:val="0"/>
                  <w:snapToGrid w:val="0"/>
                  <w:jc w:val="center"/>
                </w:pPr>
                <w:r>
                  <w:rPr>
                    <w:rFonts w:hint="eastAsia"/>
                  </w:rPr>
                  <w:t>股票代码</w:t>
                </w:r>
              </w:p>
            </w:tc>
          </w:sdtContent>
        </w:sdt>
        <w:sdt>
          <w:sdtPr>
            <w:tag w:val="_PLD_ca5cfb3ed3b74ffa856f651b379dc207"/>
            <w:id w:val="-1049144852"/>
          </w:sdtPr>
          <w:sdtContent>
            <w:tc>
              <w:tcPr>
                <w:tcW w:w="1781" w:type="dxa"/>
                <w:tcBorders>
                  <w:top w:val="single" w:sz="4" w:space="0" w:color="auto"/>
                  <w:left w:val="single" w:sz="4" w:space="0" w:color="auto"/>
                  <w:bottom w:val="single" w:sz="4" w:space="0" w:color="auto"/>
                </w:tcBorders>
                <w:vAlign w:val="center"/>
              </w:tcPr>
              <w:p w14:paraId="5600315F" w14:textId="77777777" w:rsidR="00577D08" w:rsidRDefault="00330FC0">
                <w:pPr>
                  <w:kinsoku w:val="0"/>
                  <w:overflowPunct w:val="0"/>
                  <w:autoSpaceDE w:val="0"/>
                  <w:autoSpaceDN w:val="0"/>
                  <w:adjustRightInd w:val="0"/>
                  <w:snapToGrid w:val="0"/>
                  <w:jc w:val="center"/>
                </w:pPr>
                <w:r>
                  <w:rPr>
                    <w:rFonts w:hint="eastAsia"/>
                  </w:rPr>
                  <w:t>变更前股票简称</w:t>
                </w:r>
              </w:p>
            </w:tc>
          </w:sdtContent>
        </w:sdt>
      </w:tr>
      <w:tr w:rsidR="00577D08" w14:paraId="1DA2E045" w14:textId="77777777">
        <w:trPr>
          <w:trHeight w:val="293"/>
        </w:trPr>
        <w:tc>
          <w:tcPr>
            <w:tcW w:w="1778" w:type="dxa"/>
            <w:tcBorders>
              <w:top w:val="single" w:sz="4" w:space="0" w:color="auto"/>
              <w:bottom w:val="single" w:sz="4" w:space="0" w:color="auto"/>
              <w:right w:val="single" w:sz="4" w:space="0" w:color="auto"/>
            </w:tcBorders>
          </w:tcPr>
          <w:p w14:paraId="312A1525" w14:textId="77777777" w:rsidR="00577D08" w:rsidRDefault="00330FC0">
            <w:pPr>
              <w:kinsoku w:val="0"/>
              <w:overflowPunct w:val="0"/>
              <w:autoSpaceDE w:val="0"/>
              <w:autoSpaceDN w:val="0"/>
              <w:adjustRightInd w:val="0"/>
              <w:snapToGrid w:val="0"/>
              <w:jc w:val="center"/>
            </w:pPr>
            <w:r>
              <w:rPr>
                <w:rFonts w:hint="eastAsia"/>
              </w:rPr>
              <w:t>人民币普通股</w:t>
            </w:r>
          </w:p>
        </w:tc>
        <w:tc>
          <w:tcPr>
            <w:tcW w:w="1778" w:type="dxa"/>
            <w:tcBorders>
              <w:top w:val="single" w:sz="4" w:space="0" w:color="auto"/>
              <w:left w:val="single" w:sz="4" w:space="0" w:color="auto"/>
              <w:bottom w:val="single" w:sz="4" w:space="0" w:color="auto"/>
              <w:right w:val="single" w:sz="4" w:space="0" w:color="auto"/>
            </w:tcBorders>
          </w:tcPr>
          <w:p w14:paraId="367A09E1" w14:textId="77777777" w:rsidR="00577D08" w:rsidRDefault="00330FC0">
            <w:pPr>
              <w:kinsoku w:val="0"/>
              <w:overflowPunct w:val="0"/>
              <w:autoSpaceDE w:val="0"/>
              <w:autoSpaceDN w:val="0"/>
              <w:adjustRightInd w:val="0"/>
              <w:snapToGrid w:val="0"/>
              <w:jc w:val="center"/>
            </w:pPr>
            <w:r>
              <w:rPr>
                <w:rFonts w:hint="eastAsia"/>
              </w:rPr>
              <w:t>上海证券交易所</w:t>
            </w:r>
          </w:p>
        </w:tc>
        <w:tc>
          <w:tcPr>
            <w:tcW w:w="1778" w:type="dxa"/>
            <w:tcBorders>
              <w:top w:val="single" w:sz="4" w:space="0" w:color="auto"/>
              <w:left w:val="single" w:sz="4" w:space="0" w:color="auto"/>
              <w:bottom w:val="single" w:sz="4" w:space="0" w:color="auto"/>
              <w:right w:val="single" w:sz="4" w:space="0" w:color="auto"/>
            </w:tcBorders>
          </w:tcPr>
          <w:p w14:paraId="02D9C3A0" w14:textId="77777777" w:rsidR="00577D08" w:rsidRDefault="00330FC0">
            <w:pPr>
              <w:kinsoku w:val="0"/>
              <w:overflowPunct w:val="0"/>
              <w:autoSpaceDE w:val="0"/>
              <w:autoSpaceDN w:val="0"/>
              <w:adjustRightInd w:val="0"/>
              <w:snapToGrid w:val="0"/>
              <w:jc w:val="center"/>
            </w:pPr>
            <w:r>
              <w:rPr>
                <w:rFonts w:hint="eastAsia"/>
              </w:rPr>
              <w:t>望变电气</w:t>
            </w:r>
          </w:p>
        </w:tc>
        <w:tc>
          <w:tcPr>
            <w:tcW w:w="1778" w:type="dxa"/>
            <w:tcBorders>
              <w:top w:val="single" w:sz="4" w:space="0" w:color="auto"/>
              <w:left w:val="single" w:sz="4" w:space="0" w:color="auto"/>
              <w:bottom w:val="single" w:sz="4" w:space="0" w:color="auto"/>
              <w:right w:val="single" w:sz="4" w:space="0" w:color="auto"/>
            </w:tcBorders>
          </w:tcPr>
          <w:p w14:paraId="77327E27" w14:textId="77777777" w:rsidR="00577D08" w:rsidRDefault="00330FC0">
            <w:pPr>
              <w:kinsoku w:val="0"/>
              <w:overflowPunct w:val="0"/>
              <w:autoSpaceDE w:val="0"/>
              <w:autoSpaceDN w:val="0"/>
              <w:adjustRightInd w:val="0"/>
              <w:snapToGrid w:val="0"/>
              <w:jc w:val="center"/>
            </w:pPr>
            <w:r>
              <w:rPr>
                <w:rFonts w:hint="eastAsia"/>
              </w:rPr>
              <w:t>603191</w:t>
            </w:r>
          </w:p>
        </w:tc>
        <w:tc>
          <w:tcPr>
            <w:tcW w:w="1781" w:type="dxa"/>
            <w:tcBorders>
              <w:top w:val="single" w:sz="4" w:space="0" w:color="auto"/>
              <w:left w:val="single" w:sz="4" w:space="0" w:color="auto"/>
              <w:bottom w:val="single" w:sz="4" w:space="0" w:color="auto"/>
            </w:tcBorders>
          </w:tcPr>
          <w:p w14:paraId="671EA4BD" w14:textId="77777777" w:rsidR="00577D08" w:rsidRDefault="00330FC0">
            <w:pPr>
              <w:kinsoku w:val="0"/>
              <w:overflowPunct w:val="0"/>
              <w:autoSpaceDE w:val="0"/>
              <w:autoSpaceDN w:val="0"/>
              <w:adjustRightInd w:val="0"/>
              <w:snapToGrid w:val="0"/>
              <w:jc w:val="center"/>
            </w:pPr>
            <w:r>
              <w:rPr>
                <w:rFonts w:hint="eastAsia"/>
              </w:rPr>
              <w:t>无</w:t>
            </w:r>
          </w:p>
        </w:tc>
      </w:tr>
    </w:tbl>
    <w:p w14:paraId="0C828957" w14:textId="77777777" w:rsidR="00577D08" w:rsidRDefault="00577D08">
      <w:pPr>
        <w:jc w:val="center"/>
        <w:rPr>
          <w:color w:val="0070C0"/>
        </w:rPr>
      </w:pPr>
    </w:p>
    <w:p w14:paraId="06DB9305" w14:textId="77777777" w:rsidR="00577D08" w:rsidRDefault="00330FC0">
      <w:pPr>
        <w:pStyle w:val="2"/>
        <w:numPr>
          <w:ilvl w:val="1"/>
          <w:numId w:val="4"/>
        </w:numPr>
        <w:ind w:left="498" w:hangingChars="236" w:hanging="498"/>
      </w:pPr>
      <w:r>
        <w:t>其他</w:t>
      </w:r>
      <w:r>
        <w:rPr>
          <w:rFonts w:hint="eastAsia"/>
        </w:rPr>
        <w:t>相</w:t>
      </w:r>
      <w:r>
        <w:t>关资料</w:t>
      </w:r>
    </w:p>
    <w:tbl>
      <w:tblPr>
        <w:tblStyle w:val="aff2"/>
        <w:tblW w:w="0" w:type="auto"/>
        <w:tblLayout w:type="fixed"/>
        <w:tblLook w:val="04A0" w:firstRow="1" w:lastRow="0" w:firstColumn="1" w:lastColumn="0" w:noHBand="0" w:noVBand="1"/>
      </w:tblPr>
      <w:tblGrid>
        <w:gridCol w:w="2991"/>
        <w:gridCol w:w="1793"/>
        <w:gridCol w:w="4262"/>
      </w:tblGrid>
      <w:tr w:rsidR="00577D08" w14:paraId="29FE163D" w14:textId="77777777">
        <w:trPr>
          <w:trHeight w:val="132"/>
        </w:trPr>
        <w:sdt>
          <w:sdtPr>
            <w:tag w:val="_PLD_e6bf57c678134e2ab9f21f313ee3de3c"/>
            <w:id w:val="291633203"/>
          </w:sdtPr>
          <w:sdtContent>
            <w:tc>
              <w:tcPr>
                <w:tcW w:w="2991" w:type="dxa"/>
                <w:vMerge w:val="restart"/>
                <w:vAlign w:val="center"/>
              </w:tcPr>
              <w:p w14:paraId="30A3D413" w14:textId="77777777" w:rsidR="00577D08" w:rsidRDefault="00330FC0">
                <w:r>
                  <w:rPr>
                    <w:rFonts w:hint="eastAsia"/>
                  </w:rPr>
                  <w:t>公司聘请的会计师事务所（境内）</w:t>
                </w:r>
              </w:p>
            </w:tc>
          </w:sdtContent>
        </w:sdt>
        <w:sdt>
          <w:sdtPr>
            <w:tag w:val="_PLD_8ca47cc04c324c599365d04f46dbfb0f"/>
            <w:id w:val="967477168"/>
          </w:sdtPr>
          <w:sdtContent>
            <w:tc>
              <w:tcPr>
                <w:tcW w:w="1793" w:type="dxa"/>
                <w:vAlign w:val="center"/>
              </w:tcPr>
              <w:p w14:paraId="180BABA8" w14:textId="77777777" w:rsidR="00577D08" w:rsidRDefault="00330FC0">
                <w:r>
                  <w:rPr>
                    <w:rFonts w:hint="eastAsia"/>
                  </w:rPr>
                  <w:t>名称</w:t>
                </w:r>
              </w:p>
            </w:tc>
          </w:sdtContent>
        </w:sdt>
        <w:sdt>
          <w:sdtPr>
            <w:rPr>
              <w:rFonts w:hint="eastAsia"/>
            </w:rPr>
            <w:alias w:val="公司聘请的境内会计师事务所明细-名称"/>
            <w:tag w:val="_GBC_5e101497eaf44ba79cb610647f4aa3d5"/>
            <w:id w:val="-1152290422"/>
          </w:sdtPr>
          <w:sdtContent>
            <w:tc>
              <w:tcPr>
                <w:tcW w:w="4262" w:type="dxa"/>
                <w:vAlign w:val="center"/>
              </w:tcPr>
              <w:p w14:paraId="12C4FBD7" w14:textId="77777777" w:rsidR="00577D08" w:rsidRDefault="00330FC0">
                <w:r>
                  <w:rPr>
                    <w:rFonts w:hint="eastAsia"/>
                  </w:rPr>
                  <w:t>天健会计师事务所（特殊普通合伙）</w:t>
                </w:r>
              </w:p>
            </w:tc>
          </w:sdtContent>
        </w:sdt>
      </w:tr>
      <w:tr w:rsidR="00577D08" w14:paraId="3A2929F1" w14:textId="77777777">
        <w:trPr>
          <w:trHeight w:val="90"/>
        </w:trPr>
        <w:tc>
          <w:tcPr>
            <w:tcW w:w="2991" w:type="dxa"/>
            <w:vMerge/>
            <w:vAlign w:val="center"/>
          </w:tcPr>
          <w:p w14:paraId="13A7DF4E" w14:textId="77777777" w:rsidR="00577D08" w:rsidRDefault="00577D08"/>
        </w:tc>
        <w:tc>
          <w:tcPr>
            <w:tcW w:w="1793" w:type="dxa"/>
            <w:vAlign w:val="center"/>
          </w:tcPr>
          <w:p w14:paraId="2A2E6F35" w14:textId="77777777" w:rsidR="00577D08" w:rsidRDefault="00330FC0">
            <w:r>
              <w:rPr>
                <w:rFonts w:hint="eastAsia"/>
              </w:rPr>
              <w:t>办公地址</w:t>
            </w:r>
          </w:p>
        </w:tc>
        <w:tc>
          <w:tcPr>
            <w:tcW w:w="4262" w:type="dxa"/>
          </w:tcPr>
          <w:p w14:paraId="526CFCC0" w14:textId="77777777" w:rsidR="00577D08" w:rsidRDefault="00330FC0">
            <w:r>
              <w:rPr>
                <w:rFonts w:hint="eastAsia"/>
              </w:rPr>
              <w:t>浙江省杭州市西湖区灵隐街道西溪路</w:t>
            </w:r>
            <w:r>
              <w:rPr>
                <w:rFonts w:hint="eastAsia"/>
              </w:rPr>
              <w:t>128</w:t>
            </w:r>
            <w:r>
              <w:rPr>
                <w:rFonts w:hint="eastAsia"/>
              </w:rPr>
              <w:t>号</w:t>
            </w:r>
          </w:p>
        </w:tc>
      </w:tr>
      <w:tr w:rsidR="00577D08" w14:paraId="010823DD" w14:textId="77777777">
        <w:trPr>
          <w:trHeight w:val="210"/>
        </w:trPr>
        <w:tc>
          <w:tcPr>
            <w:tcW w:w="2991" w:type="dxa"/>
            <w:vMerge/>
            <w:vAlign w:val="center"/>
          </w:tcPr>
          <w:p w14:paraId="583AD45F" w14:textId="77777777" w:rsidR="00577D08" w:rsidRDefault="00577D08"/>
        </w:tc>
        <w:tc>
          <w:tcPr>
            <w:tcW w:w="1793" w:type="dxa"/>
            <w:vAlign w:val="center"/>
          </w:tcPr>
          <w:p w14:paraId="63F227D6" w14:textId="77777777" w:rsidR="00577D08" w:rsidRDefault="00330FC0">
            <w:r>
              <w:rPr>
                <w:rFonts w:hint="eastAsia"/>
              </w:rPr>
              <w:t>签字会计师姓名</w:t>
            </w:r>
          </w:p>
        </w:tc>
        <w:tc>
          <w:tcPr>
            <w:tcW w:w="4262" w:type="dxa"/>
          </w:tcPr>
          <w:p w14:paraId="5BEF2916" w14:textId="77777777" w:rsidR="00577D08" w:rsidRDefault="00330FC0">
            <w:r>
              <w:rPr>
                <w:rFonts w:hint="eastAsia"/>
              </w:rPr>
              <w:t>黄巧梅、李小燕</w:t>
            </w:r>
          </w:p>
        </w:tc>
      </w:tr>
    </w:tbl>
    <w:p w14:paraId="305473DB" w14:textId="77777777" w:rsidR="00577D08" w:rsidRDefault="00330FC0">
      <w:pPr>
        <w:pStyle w:val="2"/>
        <w:numPr>
          <w:ilvl w:val="1"/>
          <w:numId w:val="4"/>
        </w:numPr>
        <w:ind w:left="498" w:hangingChars="236" w:hanging="498"/>
      </w:pPr>
      <w:bookmarkStart w:id="28" w:name="_Toc342056397"/>
      <w:bookmarkStart w:id="29" w:name="_Toc342565889"/>
      <w:r>
        <w:rPr>
          <w:rFonts w:hint="eastAsia"/>
        </w:rPr>
        <w:t>近三年主要会计数据和财务指标</w:t>
      </w:r>
      <w:bookmarkEnd w:id="28"/>
      <w:bookmarkEnd w:id="29"/>
    </w:p>
    <w:p w14:paraId="32ED7699" w14:textId="77777777" w:rsidR="00577D08" w:rsidRDefault="00330FC0">
      <w:pPr>
        <w:pStyle w:val="3"/>
        <w:numPr>
          <w:ilvl w:val="1"/>
          <w:numId w:val="5"/>
        </w:numPr>
      </w:pPr>
      <w:r>
        <w:rPr>
          <w:rFonts w:hint="eastAsia"/>
        </w:rPr>
        <w:t>主要会计数据</w:t>
      </w:r>
    </w:p>
    <w:p w14:paraId="5AEB88FC" w14:textId="77777777" w:rsidR="00577D08" w:rsidRDefault="00330FC0">
      <w:pPr>
        <w:jc w:val="right"/>
      </w:pPr>
      <w:r>
        <w:rPr>
          <w:rFonts w:hint="eastAsia"/>
        </w:rPr>
        <w:t>单位：</w:t>
      </w:r>
      <w:sdt>
        <w:sdtPr>
          <w:rPr>
            <w:rFonts w:hint="eastAsia"/>
          </w:rPr>
          <w:alias w:val="单位：报告期末公司前三年主要会计数据和财务指标"/>
          <w:tag w:val="_GBC_831bf622af014dd988d7abf34a230ded"/>
          <w:id w:val="3057545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w:t>
      </w:r>
      <w:r>
        <w:rPr>
          <w:rFonts w:hint="eastAsia"/>
        </w:rPr>
        <w:t>币种：</w:t>
      </w:r>
      <w:sdt>
        <w:sdtPr>
          <w:rPr>
            <w:rFonts w:hint="eastAsia"/>
          </w:rPr>
          <w:alias w:val="币种：报告期末公司前三年主要会计数据和财务指标"/>
          <w:tag w:val="_GBC_966177366f0d4256ae6aac54dd779761"/>
          <w:id w:val="13357234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9047" w:type="dxa"/>
        <w:tblLayout w:type="fixed"/>
        <w:tblLook w:val="04A0" w:firstRow="1" w:lastRow="0" w:firstColumn="1" w:lastColumn="0" w:noHBand="0" w:noVBand="1"/>
      </w:tblPr>
      <w:tblGrid>
        <w:gridCol w:w="3272"/>
        <w:gridCol w:w="1453"/>
        <w:gridCol w:w="1442"/>
        <w:gridCol w:w="1440"/>
        <w:gridCol w:w="1440"/>
      </w:tblGrid>
      <w:tr w:rsidR="00577D08" w14:paraId="126780DD" w14:textId="77777777">
        <w:trPr>
          <w:trHeight w:val="596"/>
        </w:trPr>
        <w:sdt>
          <w:sdtPr>
            <w:tag w:val="_PLD_11b4c598f0e64f3480d144156bedd8c8"/>
            <w:id w:val="-2049746686"/>
          </w:sdtPr>
          <w:sdtContent>
            <w:tc>
              <w:tcPr>
                <w:tcW w:w="3272" w:type="dxa"/>
                <w:vAlign w:val="center"/>
              </w:tcPr>
              <w:p w14:paraId="18F312FD" w14:textId="77777777" w:rsidR="00577D08" w:rsidRDefault="00330FC0">
                <w:pPr>
                  <w:kinsoku w:val="0"/>
                  <w:overflowPunct w:val="0"/>
                  <w:autoSpaceDE w:val="0"/>
                  <w:autoSpaceDN w:val="0"/>
                  <w:adjustRightInd w:val="0"/>
                  <w:snapToGrid w:val="0"/>
                  <w:jc w:val="center"/>
                </w:pPr>
                <w:r>
                  <w:rPr>
                    <w:rFonts w:hint="eastAsia"/>
                  </w:rPr>
                  <w:t>主要会计数据</w:t>
                </w:r>
              </w:p>
            </w:tc>
          </w:sdtContent>
        </w:sdt>
        <w:sdt>
          <w:sdtPr>
            <w:tag w:val="_PLD_b13b04da4c2a41028c11512814762a3d"/>
            <w:id w:val="-29027118"/>
          </w:sdtPr>
          <w:sdtContent>
            <w:tc>
              <w:tcPr>
                <w:tcW w:w="1453" w:type="dxa"/>
                <w:vAlign w:val="center"/>
              </w:tcPr>
              <w:p w14:paraId="402C3134" w14:textId="77777777" w:rsidR="00577D08" w:rsidRDefault="00330FC0">
                <w:pPr>
                  <w:kinsoku w:val="0"/>
                  <w:overflowPunct w:val="0"/>
                  <w:autoSpaceDE w:val="0"/>
                  <w:autoSpaceDN w:val="0"/>
                  <w:adjustRightInd w:val="0"/>
                  <w:snapToGrid w:val="0"/>
                  <w:jc w:val="center"/>
                </w:pPr>
                <w:r>
                  <w:rPr>
                    <w:rFonts w:hint="eastAsia"/>
                  </w:rPr>
                  <w:t>2025</w:t>
                </w:r>
                <w:r>
                  <w:rPr>
                    <w:rFonts w:hint="eastAsia"/>
                  </w:rPr>
                  <w:t>年</w:t>
                </w:r>
              </w:p>
            </w:tc>
          </w:sdtContent>
        </w:sdt>
        <w:sdt>
          <w:sdtPr>
            <w:tag w:val="_PLD_0269ed04fa784ad3a61b37ff6ea4e755"/>
            <w:id w:val="416594571"/>
          </w:sdtPr>
          <w:sdtContent>
            <w:tc>
              <w:tcPr>
                <w:tcW w:w="1442" w:type="dxa"/>
                <w:vAlign w:val="center"/>
              </w:tcPr>
              <w:p w14:paraId="7A6861B1" w14:textId="77777777" w:rsidR="00577D08" w:rsidRDefault="00330FC0">
                <w:pPr>
                  <w:kinsoku w:val="0"/>
                  <w:overflowPunct w:val="0"/>
                  <w:autoSpaceDE w:val="0"/>
                  <w:autoSpaceDN w:val="0"/>
                  <w:adjustRightInd w:val="0"/>
                  <w:snapToGrid w:val="0"/>
                  <w:jc w:val="center"/>
                </w:pPr>
                <w:r>
                  <w:rPr>
                    <w:rFonts w:hint="eastAsia"/>
                  </w:rPr>
                  <w:t>2024</w:t>
                </w:r>
                <w:r>
                  <w:rPr>
                    <w:rFonts w:hint="eastAsia"/>
                  </w:rPr>
                  <w:t>年</w:t>
                </w:r>
              </w:p>
            </w:tc>
          </w:sdtContent>
        </w:sdt>
        <w:sdt>
          <w:sdtPr>
            <w:tag w:val="_PLD_04887d69202349c58f450c785cfaef93"/>
            <w:id w:val="-639505130"/>
          </w:sdtPr>
          <w:sdtContent>
            <w:tc>
              <w:tcPr>
                <w:tcW w:w="1440" w:type="dxa"/>
                <w:vAlign w:val="center"/>
              </w:tcPr>
              <w:p w14:paraId="1178C049" w14:textId="77777777" w:rsidR="00577D08" w:rsidRDefault="00330FC0">
                <w:pPr>
                  <w:kinsoku w:val="0"/>
                  <w:overflowPunct w:val="0"/>
                  <w:autoSpaceDE w:val="0"/>
                  <w:autoSpaceDN w:val="0"/>
                  <w:adjustRightInd w:val="0"/>
                  <w:snapToGrid w:val="0"/>
                  <w:jc w:val="center"/>
                </w:pPr>
                <w:r>
                  <w:rPr>
                    <w:rFonts w:hint="eastAsia"/>
                  </w:rPr>
                  <w:t>本期比上年同期增减</w:t>
                </w:r>
                <w:r>
                  <w:t>(%)</w:t>
                </w:r>
              </w:p>
            </w:tc>
          </w:sdtContent>
        </w:sdt>
        <w:sdt>
          <w:sdtPr>
            <w:tag w:val="_PLD_cf8d3caaf1bc4b2eb15a4b6e1b823368"/>
            <w:id w:val="-463502922"/>
          </w:sdtPr>
          <w:sdtContent>
            <w:tc>
              <w:tcPr>
                <w:tcW w:w="1440" w:type="dxa"/>
                <w:vAlign w:val="center"/>
              </w:tcPr>
              <w:p w14:paraId="60756318" w14:textId="77777777" w:rsidR="00577D08" w:rsidRDefault="00330FC0">
                <w:pPr>
                  <w:kinsoku w:val="0"/>
                  <w:overflowPunct w:val="0"/>
                  <w:autoSpaceDE w:val="0"/>
                  <w:autoSpaceDN w:val="0"/>
                  <w:adjustRightInd w:val="0"/>
                  <w:snapToGrid w:val="0"/>
                  <w:jc w:val="center"/>
                </w:pPr>
                <w:r>
                  <w:rPr>
                    <w:rFonts w:hint="eastAsia"/>
                  </w:rPr>
                  <w:t>2023</w:t>
                </w:r>
                <w:r>
                  <w:rPr>
                    <w:rFonts w:hint="eastAsia"/>
                  </w:rPr>
                  <w:t>年</w:t>
                </w:r>
              </w:p>
            </w:tc>
          </w:sdtContent>
        </w:sdt>
      </w:tr>
      <w:tr w:rsidR="00577D08" w14:paraId="4F30F73F" w14:textId="77777777">
        <w:trPr>
          <w:trHeight w:val="285"/>
        </w:trPr>
        <w:tc>
          <w:tcPr>
            <w:tcW w:w="3272" w:type="dxa"/>
            <w:vAlign w:val="center"/>
          </w:tcPr>
          <w:p w14:paraId="27C75C67" w14:textId="77777777" w:rsidR="00577D08" w:rsidRDefault="00330FC0">
            <w:pPr>
              <w:kinsoku w:val="0"/>
              <w:overflowPunct w:val="0"/>
              <w:autoSpaceDE w:val="0"/>
              <w:autoSpaceDN w:val="0"/>
              <w:adjustRightInd w:val="0"/>
              <w:snapToGrid w:val="0"/>
            </w:pPr>
            <w:r>
              <w:rPr>
                <w:rFonts w:hint="eastAsia"/>
              </w:rPr>
              <w:t>营业收入</w:t>
            </w:r>
          </w:p>
        </w:tc>
        <w:tc>
          <w:tcPr>
            <w:tcW w:w="1453" w:type="dxa"/>
            <w:vAlign w:val="center"/>
          </w:tcPr>
          <w:p w14:paraId="2630A526" w14:textId="77777777" w:rsidR="00577D08" w:rsidRDefault="00330FC0">
            <w:pPr>
              <w:kinsoku w:val="0"/>
              <w:overflowPunct w:val="0"/>
              <w:autoSpaceDE w:val="0"/>
              <w:autoSpaceDN w:val="0"/>
              <w:adjustRightInd w:val="0"/>
              <w:snapToGrid w:val="0"/>
              <w:jc w:val="right"/>
            </w:pPr>
            <w:r>
              <w:t xml:space="preserve"> 391,700.83 </w:t>
            </w:r>
          </w:p>
        </w:tc>
        <w:tc>
          <w:tcPr>
            <w:tcW w:w="1442" w:type="dxa"/>
            <w:vAlign w:val="center"/>
          </w:tcPr>
          <w:p w14:paraId="333C7274" w14:textId="77777777" w:rsidR="00577D08" w:rsidRDefault="00330FC0">
            <w:pPr>
              <w:kinsoku w:val="0"/>
              <w:overflowPunct w:val="0"/>
              <w:autoSpaceDE w:val="0"/>
              <w:autoSpaceDN w:val="0"/>
              <w:adjustRightInd w:val="0"/>
              <w:snapToGrid w:val="0"/>
              <w:jc w:val="right"/>
              <w:rPr>
                <w:bCs/>
              </w:rPr>
            </w:pPr>
            <w:r>
              <w:t xml:space="preserve"> 335,157.00 </w:t>
            </w:r>
          </w:p>
        </w:tc>
        <w:tc>
          <w:tcPr>
            <w:tcW w:w="1440" w:type="dxa"/>
            <w:vAlign w:val="center"/>
          </w:tcPr>
          <w:p w14:paraId="30FFA934" w14:textId="77777777" w:rsidR="00577D08" w:rsidRDefault="00330FC0">
            <w:pPr>
              <w:kinsoku w:val="0"/>
              <w:overflowPunct w:val="0"/>
              <w:autoSpaceDE w:val="0"/>
              <w:autoSpaceDN w:val="0"/>
              <w:adjustRightInd w:val="0"/>
              <w:snapToGrid w:val="0"/>
              <w:jc w:val="right"/>
            </w:pPr>
            <w:r>
              <w:t xml:space="preserve"> 16.87 </w:t>
            </w:r>
          </w:p>
        </w:tc>
        <w:tc>
          <w:tcPr>
            <w:tcW w:w="1440" w:type="dxa"/>
            <w:vAlign w:val="center"/>
          </w:tcPr>
          <w:p w14:paraId="5B0AFA4B" w14:textId="77777777" w:rsidR="00577D08" w:rsidRDefault="00330FC0">
            <w:pPr>
              <w:kinsoku w:val="0"/>
              <w:overflowPunct w:val="0"/>
              <w:autoSpaceDE w:val="0"/>
              <w:autoSpaceDN w:val="0"/>
              <w:adjustRightInd w:val="0"/>
              <w:snapToGrid w:val="0"/>
              <w:jc w:val="right"/>
            </w:pPr>
            <w:r>
              <w:t xml:space="preserve"> 271,778.88 </w:t>
            </w:r>
          </w:p>
        </w:tc>
      </w:tr>
      <w:tr w:rsidR="00577D08" w14:paraId="23BB8897" w14:textId="77777777">
        <w:trPr>
          <w:trHeight w:val="285"/>
        </w:trPr>
        <w:tc>
          <w:tcPr>
            <w:tcW w:w="3272" w:type="dxa"/>
            <w:vAlign w:val="center"/>
          </w:tcPr>
          <w:p w14:paraId="248A0A39" w14:textId="77777777" w:rsidR="00577D08" w:rsidRDefault="00330FC0">
            <w:pPr>
              <w:kinsoku w:val="0"/>
              <w:overflowPunct w:val="0"/>
              <w:autoSpaceDE w:val="0"/>
              <w:autoSpaceDN w:val="0"/>
              <w:adjustRightInd w:val="0"/>
              <w:snapToGrid w:val="0"/>
            </w:pPr>
            <w:r>
              <w:rPr>
                <w:rFonts w:hint="eastAsia"/>
              </w:rPr>
              <w:t>利润总额</w:t>
            </w:r>
          </w:p>
        </w:tc>
        <w:tc>
          <w:tcPr>
            <w:tcW w:w="1453" w:type="dxa"/>
            <w:vAlign w:val="center"/>
          </w:tcPr>
          <w:p w14:paraId="5EB6FA7B" w14:textId="77777777" w:rsidR="00577D08" w:rsidRDefault="00330FC0">
            <w:pPr>
              <w:kinsoku w:val="0"/>
              <w:overflowPunct w:val="0"/>
              <w:autoSpaceDE w:val="0"/>
              <w:autoSpaceDN w:val="0"/>
              <w:adjustRightInd w:val="0"/>
              <w:snapToGrid w:val="0"/>
              <w:jc w:val="right"/>
            </w:pPr>
            <w:r>
              <w:t xml:space="preserve"> 7,939.40 </w:t>
            </w:r>
          </w:p>
        </w:tc>
        <w:tc>
          <w:tcPr>
            <w:tcW w:w="1442" w:type="dxa"/>
            <w:vAlign w:val="center"/>
          </w:tcPr>
          <w:p w14:paraId="2CB42F5B" w14:textId="77777777" w:rsidR="00577D08" w:rsidRDefault="00330FC0">
            <w:pPr>
              <w:kinsoku w:val="0"/>
              <w:overflowPunct w:val="0"/>
              <w:autoSpaceDE w:val="0"/>
              <w:autoSpaceDN w:val="0"/>
              <w:adjustRightInd w:val="0"/>
              <w:snapToGrid w:val="0"/>
              <w:jc w:val="right"/>
              <w:rPr>
                <w:bCs/>
              </w:rPr>
            </w:pPr>
            <w:r>
              <w:t xml:space="preserve"> 8,746.45 </w:t>
            </w:r>
          </w:p>
        </w:tc>
        <w:tc>
          <w:tcPr>
            <w:tcW w:w="1440" w:type="dxa"/>
            <w:vAlign w:val="center"/>
          </w:tcPr>
          <w:p w14:paraId="17897467" w14:textId="77777777" w:rsidR="00577D08" w:rsidRDefault="00330FC0">
            <w:pPr>
              <w:kinsoku w:val="0"/>
              <w:overflowPunct w:val="0"/>
              <w:autoSpaceDE w:val="0"/>
              <w:autoSpaceDN w:val="0"/>
              <w:adjustRightInd w:val="0"/>
              <w:snapToGrid w:val="0"/>
              <w:jc w:val="right"/>
            </w:pPr>
            <w:r>
              <w:t xml:space="preserve"> -9.23 </w:t>
            </w:r>
          </w:p>
        </w:tc>
        <w:tc>
          <w:tcPr>
            <w:tcW w:w="1440" w:type="dxa"/>
            <w:vAlign w:val="center"/>
          </w:tcPr>
          <w:p w14:paraId="0F434BB1" w14:textId="77777777" w:rsidR="00577D08" w:rsidRDefault="00330FC0">
            <w:pPr>
              <w:kinsoku w:val="0"/>
              <w:overflowPunct w:val="0"/>
              <w:autoSpaceDE w:val="0"/>
              <w:autoSpaceDN w:val="0"/>
              <w:adjustRightInd w:val="0"/>
              <w:snapToGrid w:val="0"/>
              <w:jc w:val="right"/>
            </w:pPr>
            <w:r>
              <w:t xml:space="preserve"> 27,342.69 </w:t>
            </w:r>
          </w:p>
        </w:tc>
      </w:tr>
      <w:tr w:rsidR="00577D08" w14:paraId="40C0E445" w14:textId="77777777">
        <w:trPr>
          <w:trHeight w:val="285"/>
        </w:trPr>
        <w:tc>
          <w:tcPr>
            <w:tcW w:w="3272" w:type="dxa"/>
            <w:vAlign w:val="center"/>
          </w:tcPr>
          <w:p w14:paraId="6C73C0AD" w14:textId="77777777" w:rsidR="00577D08" w:rsidRDefault="00330FC0">
            <w:pPr>
              <w:kinsoku w:val="0"/>
              <w:overflowPunct w:val="0"/>
              <w:autoSpaceDE w:val="0"/>
              <w:autoSpaceDN w:val="0"/>
              <w:adjustRightInd w:val="0"/>
              <w:snapToGrid w:val="0"/>
            </w:pPr>
            <w:r>
              <w:rPr>
                <w:rFonts w:hint="eastAsia"/>
              </w:rPr>
              <w:t>归属于上市公司股东的净利润</w:t>
            </w:r>
          </w:p>
        </w:tc>
        <w:tc>
          <w:tcPr>
            <w:tcW w:w="1453" w:type="dxa"/>
            <w:vAlign w:val="center"/>
          </w:tcPr>
          <w:p w14:paraId="2FB3930D" w14:textId="77777777" w:rsidR="00577D08" w:rsidRDefault="00330FC0">
            <w:pPr>
              <w:kinsoku w:val="0"/>
              <w:overflowPunct w:val="0"/>
              <w:autoSpaceDE w:val="0"/>
              <w:autoSpaceDN w:val="0"/>
              <w:adjustRightInd w:val="0"/>
              <w:snapToGrid w:val="0"/>
              <w:jc w:val="right"/>
            </w:pPr>
            <w:r>
              <w:t xml:space="preserve"> 6,924.32 </w:t>
            </w:r>
          </w:p>
        </w:tc>
        <w:tc>
          <w:tcPr>
            <w:tcW w:w="1442" w:type="dxa"/>
            <w:vAlign w:val="center"/>
          </w:tcPr>
          <w:p w14:paraId="171D2A46" w14:textId="77777777" w:rsidR="00577D08" w:rsidRDefault="00330FC0">
            <w:pPr>
              <w:kinsoku w:val="0"/>
              <w:overflowPunct w:val="0"/>
              <w:autoSpaceDE w:val="0"/>
              <w:autoSpaceDN w:val="0"/>
              <w:adjustRightInd w:val="0"/>
              <w:snapToGrid w:val="0"/>
              <w:jc w:val="right"/>
              <w:rPr>
                <w:bCs/>
              </w:rPr>
            </w:pPr>
            <w:r>
              <w:t xml:space="preserve"> 6,516.65 </w:t>
            </w:r>
          </w:p>
        </w:tc>
        <w:tc>
          <w:tcPr>
            <w:tcW w:w="1440" w:type="dxa"/>
            <w:vAlign w:val="center"/>
          </w:tcPr>
          <w:p w14:paraId="54EB7D05" w14:textId="77777777" w:rsidR="00577D08" w:rsidRDefault="00330FC0">
            <w:pPr>
              <w:kinsoku w:val="0"/>
              <w:overflowPunct w:val="0"/>
              <w:autoSpaceDE w:val="0"/>
              <w:autoSpaceDN w:val="0"/>
              <w:adjustRightInd w:val="0"/>
              <w:snapToGrid w:val="0"/>
              <w:jc w:val="right"/>
            </w:pPr>
            <w:r>
              <w:t xml:space="preserve"> 6.26 </w:t>
            </w:r>
          </w:p>
        </w:tc>
        <w:tc>
          <w:tcPr>
            <w:tcW w:w="1440" w:type="dxa"/>
            <w:vAlign w:val="center"/>
          </w:tcPr>
          <w:p w14:paraId="69280E7E" w14:textId="77777777" w:rsidR="00577D08" w:rsidRDefault="00330FC0">
            <w:pPr>
              <w:kinsoku w:val="0"/>
              <w:overflowPunct w:val="0"/>
              <w:autoSpaceDE w:val="0"/>
              <w:autoSpaceDN w:val="0"/>
              <w:adjustRightInd w:val="0"/>
              <w:snapToGrid w:val="0"/>
              <w:jc w:val="right"/>
            </w:pPr>
            <w:r>
              <w:t xml:space="preserve"> 23,458.67 </w:t>
            </w:r>
          </w:p>
        </w:tc>
      </w:tr>
      <w:tr w:rsidR="00577D08" w14:paraId="62B6F709" w14:textId="77777777">
        <w:trPr>
          <w:trHeight w:val="285"/>
        </w:trPr>
        <w:tc>
          <w:tcPr>
            <w:tcW w:w="3272" w:type="dxa"/>
            <w:vAlign w:val="center"/>
          </w:tcPr>
          <w:p w14:paraId="43020581" w14:textId="77777777" w:rsidR="00577D08" w:rsidRDefault="00330FC0">
            <w:pPr>
              <w:kinsoku w:val="0"/>
              <w:overflowPunct w:val="0"/>
              <w:autoSpaceDE w:val="0"/>
              <w:autoSpaceDN w:val="0"/>
              <w:adjustRightInd w:val="0"/>
              <w:snapToGrid w:val="0"/>
            </w:pPr>
            <w:bookmarkStart w:id="30" w:name="OLE_LINK80"/>
            <w:r>
              <w:rPr>
                <w:rFonts w:hint="eastAsia"/>
              </w:rPr>
              <w:t>归属于上市公司股东的扣除非经常性损益的净利润</w:t>
            </w:r>
            <w:bookmarkEnd w:id="30"/>
          </w:p>
        </w:tc>
        <w:tc>
          <w:tcPr>
            <w:tcW w:w="1453" w:type="dxa"/>
            <w:vAlign w:val="center"/>
          </w:tcPr>
          <w:p w14:paraId="3F9A08EB" w14:textId="77777777" w:rsidR="00577D08" w:rsidRDefault="00330FC0">
            <w:pPr>
              <w:kinsoku w:val="0"/>
              <w:overflowPunct w:val="0"/>
              <w:autoSpaceDE w:val="0"/>
              <w:autoSpaceDN w:val="0"/>
              <w:adjustRightInd w:val="0"/>
              <w:snapToGrid w:val="0"/>
              <w:jc w:val="right"/>
            </w:pPr>
            <w:r>
              <w:t xml:space="preserve"> 6,479.4</w:t>
            </w:r>
            <w:r>
              <w:rPr>
                <w:rFonts w:hint="eastAsia"/>
              </w:rPr>
              <w:t>7</w:t>
            </w:r>
            <w:r>
              <w:t xml:space="preserve"> </w:t>
            </w:r>
          </w:p>
        </w:tc>
        <w:tc>
          <w:tcPr>
            <w:tcW w:w="1442" w:type="dxa"/>
            <w:vAlign w:val="center"/>
          </w:tcPr>
          <w:p w14:paraId="1354FE29" w14:textId="77777777" w:rsidR="00577D08" w:rsidRDefault="00330FC0">
            <w:pPr>
              <w:kinsoku w:val="0"/>
              <w:overflowPunct w:val="0"/>
              <w:autoSpaceDE w:val="0"/>
              <w:autoSpaceDN w:val="0"/>
              <w:adjustRightInd w:val="0"/>
              <w:snapToGrid w:val="0"/>
              <w:jc w:val="right"/>
              <w:rPr>
                <w:bCs/>
              </w:rPr>
            </w:pPr>
            <w:r>
              <w:t xml:space="preserve"> 3,612.17 </w:t>
            </w:r>
          </w:p>
        </w:tc>
        <w:tc>
          <w:tcPr>
            <w:tcW w:w="1440" w:type="dxa"/>
            <w:vAlign w:val="center"/>
          </w:tcPr>
          <w:p w14:paraId="3EA715C1" w14:textId="77777777" w:rsidR="00577D08" w:rsidRDefault="00330FC0">
            <w:pPr>
              <w:kinsoku w:val="0"/>
              <w:overflowPunct w:val="0"/>
              <w:autoSpaceDE w:val="0"/>
              <w:autoSpaceDN w:val="0"/>
              <w:adjustRightInd w:val="0"/>
              <w:snapToGrid w:val="0"/>
              <w:jc w:val="right"/>
            </w:pPr>
            <w:r>
              <w:t xml:space="preserve"> 79.38 </w:t>
            </w:r>
          </w:p>
        </w:tc>
        <w:tc>
          <w:tcPr>
            <w:tcW w:w="1440" w:type="dxa"/>
            <w:vAlign w:val="center"/>
          </w:tcPr>
          <w:p w14:paraId="2AFA630F" w14:textId="77777777" w:rsidR="00577D08" w:rsidRDefault="00330FC0">
            <w:pPr>
              <w:kinsoku w:val="0"/>
              <w:overflowPunct w:val="0"/>
              <w:autoSpaceDE w:val="0"/>
              <w:autoSpaceDN w:val="0"/>
              <w:adjustRightInd w:val="0"/>
              <w:snapToGrid w:val="0"/>
              <w:jc w:val="right"/>
            </w:pPr>
            <w:r>
              <w:t xml:space="preserve"> 22,512.62 </w:t>
            </w:r>
          </w:p>
        </w:tc>
      </w:tr>
      <w:tr w:rsidR="00577D08" w14:paraId="6357354F" w14:textId="77777777">
        <w:trPr>
          <w:trHeight w:val="285"/>
        </w:trPr>
        <w:tc>
          <w:tcPr>
            <w:tcW w:w="3272" w:type="dxa"/>
            <w:vAlign w:val="center"/>
          </w:tcPr>
          <w:p w14:paraId="20300424" w14:textId="77777777" w:rsidR="00577D08" w:rsidRDefault="00330FC0">
            <w:pPr>
              <w:kinsoku w:val="0"/>
              <w:overflowPunct w:val="0"/>
              <w:autoSpaceDE w:val="0"/>
              <w:autoSpaceDN w:val="0"/>
              <w:adjustRightInd w:val="0"/>
              <w:snapToGrid w:val="0"/>
              <w:rPr>
                <w:highlight w:val="magenta"/>
              </w:rPr>
            </w:pPr>
            <w:r>
              <w:rPr>
                <w:rFonts w:hint="eastAsia"/>
              </w:rPr>
              <w:t>经营活动产生的现金流量净额</w:t>
            </w:r>
          </w:p>
        </w:tc>
        <w:tc>
          <w:tcPr>
            <w:tcW w:w="1453" w:type="dxa"/>
            <w:vAlign w:val="center"/>
          </w:tcPr>
          <w:p w14:paraId="6D1B93D2" w14:textId="77777777" w:rsidR="00577D08" w:rsidRDefault="00330FC0">
            <w:pPr>
              <w:kinsoku w:val="0"/>
              <w:overflowPunct w:val="0"/>
              <w:autoSpaceDE w:val="0"/>
              <w:autoSpaceDN w:val="0"/>
              <w:adjustRightInd w:val="0"/>
              <w:snapToGrid w:val="0"/>
              <w:jc w:val="right"/>
            </w:pPr>
            <w:r>
              <w:t xml:space="preserve"> 22,982.85 </w:t>
            </w:r>
          </w:p>
        </w:tc>
        <w:tc>
          <w:tcPr>
            <w:tcW w:w="1442" w:type="dxa"/>
            <w:vAlign w:val="center"/>
          </w:tcPr>
          <w:p w14:paraId="5602C8B6" w14:textId="77777777" w:rsidR="00577D08" w:rsidRDefault="00330FC0">
            <w:pPr>
              <w:kinsoku w:val="0"/>
              <w:overflowPunct w:val="0"/>
              <w:autoSpaceDE w:val="0"/>
              <w:autoSpaceDN w:val="0"/>
              <w:adjustRightInd w:val="0"/>
              <w:snapToGrid w:val="0"/>
              <w:jc w:val="right"/>
            </w:pPr>
            <w:r>
              <w:t xml:space="preserve"> 2,065.85 </w:t>
            </w:r>
          </w:p>
        </w:tc>
        <w:tc>
          <w:tcPr>
            <w:tcW w:w="1440" w:type="dxa"/>
            <w:vAlign w:val="center"/>
          </w:tcPr>
          <w:p w14:paraId="43DADDD6" w14:textId="77777777" w:rsidR="00577D08" w:rsidRDefault="00330FC0">
            <w:pPr>
              <w:kinsoku w:val="0"/>
              <w:overflowPunct w:val="0"/>
              <w:autoSpaceDE w:val="0"/>
              <w:autoSpaceDN w:val="0"/>
              <w:adjustRightInd w:val="0"/>
              <w:snapToGrid w:val="0"/>
              <w:jc w:val="right"/>
            </w:pPr>
            <w:r>
              <w:t xml:space="preserve"> 1,012.51 </w:t>
            </w:r>
          </w:p>
        </w:tc>
        <w:tc>
          <w:tcPr>
            <w:tcW w:w="1440" w:type="dxa"/>
            <w:vAlign w:val="center"/>
          </w:tcPr>
          <w:p w14:paraId="3E7D2DEA" w14:textId="77777777" w:rsidR="00577D08" w:rsidRDefault="00330FC0">
            <w:pPr>
              <w:kinsoku w:val="0"/>
              <w:overflowPunct w:val="0"/>
              <w:autoSpaceDE w:val="0"/>
              <w:autoSpaceDN w:val="0"/>
              <w:adjustRightInd w:val="0"/>
              <w:snapToGrid w:val="0"/>
              <w:jc w:val="right"/>
            </w:pPr>
            <w:r>
              <w:t xml:space="preserve"> 29,186.40 </w:t>
            </w:r>
          </w:p>
        </w:tc>
      </w:tr>
      <w:tr w:rsidR="00577D08" w14:paraId="2C7C5A79" w14:textId="77777777">
        <w:trPr>
          <w:trHeight w:val="533"/>
        </w:trPr>
        <w:tc>
          <w:tcPr>
            <w:tcW w:w="3272" w:type="dxa"/>
            <w:vAlign w:val="center"/>
          </w:tcPr>
          <w:p w14:paraId="23A50698" w14:textId="77777777" w:rsidR="00577D08" w:rsidRDefault="00577D08">
            <w:pPr>
              <w:kinsoku w:val="0"/>
              <w:overflowPunct w:val="0"/>
              <w:autoSpaceDE w:val="0"/>
              <w:autoSpaceDN w:val="0"/>
              <w:adjustRightInd w:val="0"/>
              <w:snapToGrid w:val="0"/>
            </w:pPr>
          </w:p>
        </w:tc>
        <w:sdt>
          <w:sdtPr>
            <w:tag w:val="_PLD_8b9fbdc9e2634c6292801d605b122b71"/>
            <w:id w:val="1896696761"/>
          </w:sdtPr>
          <w:sdtContent>
            <w:tc>
              <w:tcPr>
                <w:tcW w:w="1453" w:type="dxa"/>
                <w:vAlign w:val="center"/>
              </w:tcPr>
              <w:p w14:paraId="0CFAC878" w14:textId="77777777" w:rsidR="00577D08" w:rsidRDefault="00330FC0">
                <w:pPr>
                  <w:kinsoku w:val="0"/>
                  <w:overflowPunct w:val="0"/>
                  <w:autoSpaceDE w:val="0"/>
                  <w:autoSpaceDN w:val="0"/>
                  <w:adjustRightInd w:val="0"/>
                  <w:snapToGrid w:val="0"/>
                  <w:jc w:val="center"/>
                </w:pPr>
                <w:r>
                  <w:rPr>
                    <w:rFonts w:hint="eastAsia"/>
                  </w:rPr>
                  <w:t>2025</w:t>
                </w:r>
                <w:r>
                  <w:rPr>
                    <w:rFonts w:hint="eastAsia"/>
                  </w:rPr>
                  <w:t>年</w:t>
                </w:r>
                <w:r>
                  <w:t>末</w:t>
                </w:r>
              </w:p>
            </w:tc>
          </w:sdtContent>
        </w:sdt>
        <w:sdt>
          <w:sdtPr>
            <w:tag w:val="_PLD_81e66f862753453685ceebbc3f216adb"/>
            <w:id w:val="1383830020"/>
          </w:sdtPr>
          <w:sdtContent>
            <w:tc>
              <w:tcPr>
                <w:tcW w:w="1442" w:type="dxa"/>
                <w:vAlign w:val="center"/>
              </w:tcPr>
              <w:p w14:paraId="0BE94F81" w14:textId="77777777" w:rsidR="00577D08" w:rsidRDefault="00330FC0">
                <w:pPr>
                  <w:kinsoku w:val="0"/>
                  <w:overflowPunct w:val="0"/>
                  <w:autoSpaceDE w:val="0"/>
                  <w:autoSpaceDN w:val="0"/>
                  <w:adjustRightInd w:val="0"/>
                  <w:snapToGrid w:val="0"/>
                  <w:jc w:val="center"/>
                </w:pPr>
                <w:r>
                  <w:rPr>
                    <w:rFonts w:hint="eastAsia"/>
                  </w:rPr>
                  <w:t>2024</w:t>
                </w:r>
                <w:r>
                  <w:rPr>
                    <w:rFonts w:hint="eastAsia"/>
                  </w:rPr>
                  <w:t>年</w:t>
                </w:r>
                <w:r>
                  <w:t>末</w:t>
                </w:r>
              </w:p>
            </w:tc>
          </w:sdtContent>
        </w:sdt>
        <w:sdt>
          <w:sdtPr>
            <w:tag w:val="_PLD_eccdaa2d1ee940be88fdba6d8a4ef55d"/>
            <w:id w:val="271442393"/>
          </w:sdtPr>
          <w:sdtContent>
            <w:tc>
              <w:tcPr>
                <w:tcW w:w="1440" w:type="dxa"/>
                <w:vAlign w:val="center"/>
              </w:tcPr>
              <w:p w14:paraId="109BCC47" w14:textId="77777777" w:rsidR="00577D08" w:rsidRDefault="00330FC0">
                <w:pPr>
                  <w:kinsoku w:val="0"/>
                  <w:overflowPunct w:val="0"/>
                  <w:autoSpaceDE w:val="0"/>
                  <w:autoSpaceDN w:val="0"/>
                  <w:adjustRightInd w:val="0"/>
                  <w:snapToGrid w:val="0"/>
                  <w:jc w:val="center"/>
                </w:pPr>
                <w:r>
                  <w:t>本期末比上年同期末增减（</w:t>
                </w:r>
                <w:r>
                  <w:rPr>
                    <w:rFonts w:hint="eastAsia"/>
                  </w:rPr>
                  <w:t>%</w:t>
                </w:r>
                <w:r>
                  <w:t>）</w:t>
                </w:r>
              </w:p>
            </w:tc>
          </w:sdtContent>
        </w:sdt>
        <w:sdt>
          <w:sdtPr>
            <w:tag w:val="_PLD_3af4b93afaec4509befbcf4b19db9883"/>
            <w:id w:val="-1439444657"/>
          </w:sdtPr>
          <w:sdtContent>
            <w:tc>
              <w:tcPr>
                <w:tcW w:w="1440" w:type="dxa"/>
                <w:vAlign w:val="center"/>
              </w:tcPr>
              <w:p w14:paraId="43F86D0D" w14:textId="77777777" w:rsidR="00577D08" w:rsidRDefault="00330FC0">
                <w:pPr>
                  <w:kinsoku w:val="0"/>
                  <w:overflowPunct w:val="0"/>
                  <w:autoSpaceDE w:val="0"/>
                  <w:autoSpaceDN w:val="0"/>
                  <w:adjustRightInd w:val="0"/>
                  <w:snapToGrid w:val="0"/>
                  <w:jc w:val="center"/>
                </w:pPr>
                <w:r>
                  <w:rPr>
                    <w:rFonts w:hint="eastAsia"/>
                  </w:rPr>
                  <w:t>2023</w:t>
                </w:r>
                <w:r>
                  <w:rPr>
                    <w:rFonts w:hint="eastAsia"/>
                  </w:rPr>
                  <w:t>年末</w:t>
                </w:r>
              </w:p>
            </w:tc>
          </w:sdtContent>
        </w:sdt>
      </w:tr>
      <w:tr w:rsidR="00577D08" w14:paraId="7251BC51" w14:textId="77777777">
        <w:trPr>
          <w:trHeight w:val="285"/>
        </w:trPr>
        <w:tc>
          <w:tcPr>
            <w:tcW w:w="3272" w:type="dxa"/>
            <w:vAlign w:val="center"/>
          </w:tcPr>
          <w:p w14:paraId="39A7AA20" w14:textId="77777777" w:rsidR="00577D08" w:rsidRDefault="00330FC0">
            <w:pPr>
              <w:kinsoku w:val="0"/>
              <w:overflowPunct w:val="0"/>
              <w:autoSpaceDE w:val="0"/>
              <w:autoSpaceDN w:val="0"/>
              <w:adjustRightInd w:val="0"/>
              <w:snapToGrid w:val="0"/>
            </w:pPr>
            <w:r>
              <w:rPr>
                <w:rFonts w:hint="eastAsia"/>
              </w:rPr>
              <w:t>归属于上市公司股东的净资产</w:t>
            </w:r>
          </w:p>
        </w:tc>
        <w:tc>
          <w:tcPr>
            <w:tcW w:w="1453" w:type="dxa"/>
            <w:vAlign w:val="center"/>
          </w:tcPr>
          <w:p w14:paraId="7036631E" w14:textId="77777777" w:rsidR="00577D08" w:rsidRDefault="00330FC0">
            <w:pPr>
              <w:kinsoku w:val="0"/>
              <w:overflowPunct w:val="0"/>
              <w:autoSpaceDE w:val="0"/>
              <w:autoSpaceDN w:val="0"/>
              <w:adjustRightInd w:val="0"/>
              <w:snapToGrid w:val="0"/>
              <w:jc w:val="right"/>
            </w:pPr>
            <w:r>
              <w:t xml:space="preserve"> 249,464.17 </w:t>
            </w:r>
          </w:p>
        </w:tc>
        <w:tc>
          <w:tcPr>
            <w:tcW w:w="1442" w:type="dxa"/>
            <w:vAlign w:val="center"/>
          </w:tcPr>
          <w:p w14:paraId="71855967" w14:textId="77777777" w:rsidR="00577D08" w:rsidRDefault="00330FC0">
            <w:pPr>
              <w:kinsoku w:val="0"/>
              <w:overflowPunct w:val="0"/>
              <w:autoSpaceDE w:val="0"/>
              <w:autoSpaceDN w:val="0"/>
              <w:adjustRightInd w:val="0"/>
              <w:snapToGrid w:val="0"/>
              <w:jc w:val="right"/>
              <w:rPr>
                <w:bCs/>
              </w:rPr>
            </w:pPr>
            <w:r>
              <w:t xml:space="preserve"> 241,324.33 </w:t>
            </w:r>
          </w:p>
        </w:tc>
        <w:tc>
          <w:tcPr>
            <w:tcW w:w="1440" w:type="dxa"/>
            <w:vAlign w:val="center"/>
          </w:tcPr>
          <w:p w14:paraId="23C3A6A7" w14:textId="77777777" w:rsidR="00577D08" w:rsidRDefault="00330FC0">
            <w:pPr>
              <w:kinsoku w:val="0"/>
              <w:overflowPunct w:val="0"/>
              <w:autoSpaceDE w:val="0"/>
              <w:autoSpaceDN w:val="0"/>
              <w:adjustRightInd w:val="0"/>
              <w:snapToGrid w:val="0"/>
              <w:jc w:val="right"/>
            </w:pPr>
            <w:r>
              <w:t xml:space="preserve"> 3.37 </w:t>
            </w:r>
          </w:p>
        </w:tc>
        <w:tc>
          <w:tcPr>
            <w:tcW w:w="1440" w:type="dxa"/>
            <w:vAlign w:val="center"/>
          </w:tcPr>
          <w:p w14:paraId="23DD0D3E" w14:textId="77777777" w:rsidR="00577D08" w:rsidRDefault="00330FC0">
            <w:pPr>
              <w:kinsoku w:val="0"/>
              <w:overflowPunct w:val="0"/>
              <w:autoSpaceDE w:val="0"/>
              <w:autoSpaceDN w:val="0"/>
              <w:adjustRightInd w:val="0"/>
              <w:snapToGrid w:val="0"/>
              <w:jc w:val="right"/>
            </w:pPr>
            <w:r>
              <w:t xml:space="preserve"> 239,080.85 </w:t>
            </w:r>
          </w:p>
        </w:tc>
      </w:tr>
      <w:tr w:rsidR="00577D08" w14:paraId="76E009BA" w14:textId="77777777">
        <w:trPr>
          <w:trHeight w:val="58"/>
        </w:trPr>
        <w:tc>
          <w:tcPr>
            <w:tcW w:w="3272" w:type="dxa"/>
            <w:vAlign w:val="center"/>
          </w:tcPr>
          <w:p w14:paraId="44B2637D" w14:textId="77777777" w:rsidR="00577D08" w:rsidRDefault="00330FC0">
            <w:pPr>
              <w:kinsoku w:val="0"/>
              <w:overflowPunct w:val="0"/>
              <w:autoSpaceDE w:val="0"/>
              <w:autoSpaceDN w:val="0"/>
              <w:adjustRightInd w:val="0"/>
              <w:snapToGrid w:val="0"/>
            </w:pPr>
            <w:r>
              <w:rPr>
                <w:rFonts w:hint="eastAsia"/>
              </w:rPr>
              <w:t>总资产</w:t>
            </w:r>
          </w:p>
        </w:tc>
        <w:tc>
          <w:tcPr>
            <w:tcW w:w="1453" w:type="dxa"/>
            <w:vAlign w:val="center"/>
          </w:tcPr>
          <w:p w14:paraId="0A9F9A30" w14:textId="77777777" w:rsidR="00577D08" w:rsidRDefault="00330FC0">
            <w:pPr>
              <w:kinsoku w:val="0"/>
              <w:overflowPunct w:val="0"/>
              <w:autoSpaceDE w:val="0"/>
              <w:autoSpaceDN w:val="0"/>
              <w:adjustRightInd w:val="0"/>
              <w:snapToGrid w:val="0"/>
              <w:jc w:val="right"/>
            </w:pPr>
            <w:r>
              <w:t xml:space="preserve"> 725,838.74 </w:t>
            </w:r>
          </w:p>
        </w:tc>
        <w:tc>
          <w:tcPr>
            <w:tcW w:w="1442" w:type="dxa"/>
            <w:vAlign w:val="center"/>
          </w:tcPr>
          <w:p w14:paraId="27EAECDE" w14:textId="77777777" w:rsidR="00577D08" w:rsidRDefault="00330FC0">
            <w:pPr>
              <w:kinsoku w:val="0"/>
              <w:overflowPunct w:val="0"/>
              <w:autoSpaceDE w:val="0"/>
              <w:autoSpaceDN w:val="0"/>
              <w:adjustRightInd w:val="0"/>
              <w:snapToGrid w:val="0"/>
              <w:jc w:val="right"/>
              <w:rPr>
                <w:bCs/>
              </w:rPr>
            </w:pPr>
            <w:r>
              <w:t xml:space="preserve"> 653,194.89 </w:t>
            </w:r>
          </w:p>
        </w:tc>
        <w:tc>
          <w:tcPr>
            <w:tcW w:w="1440" w:type="dxa"/>
            <w:vAlign w:val="center"/>
          </w:tcPr>
          <w:p w14:paraId="7A8DDAC9" w14:textId="77777777" w:rsidR="00577D08" w:rsidRDefault="00330FC0">
            <w:pPr>
              <w:kinsoku w:val="0"/>
              <w:overflowPunct w:val="0"/>
              <w:autoSpaceDE w:val="0"/>
              <w:autoSpaceDN w:val="0"/>
              <w:adjustRightInd w:val="0"/>
              <w:snapToGrid w:val="0"/>
              <w:jc w:val="right"/>
            </w:pPr>
            <w:r>
              <w:t xml:space="preserve"> 11.12 </w:t>
            </w:r>
          </w:p>
        </w:tc>
        <w:tc>
          <w:tcPr>
            <w:tcW w:w="1440" w:type="dxa"/>
            <w:vAlign w:val="center"/>
          </w:tcPr>
          <w:p w14:paraId="2F0F3E91" w14:textId="77777777" w:rsidR="00577D08" w:rsidRDefault="00330FC0">
            <w:pPr>
              <w:kinsoku w:val="0"/>
              <w:overflowPunct w:val="0"/>
              <w:autoSpaceDE w:val="0"/>
              <w:autoSpaceDN w:val="0"/>
              <w:adjustRightInd w:val="0"/>
              <w:snapToGrid w:val="0"/>
              <w:jc w:val="right"/>
            </w:pPr>
            <w:r>
              <w:t xml:space="preserve"> 487,524.19 </w:t>
            </w:r>
          </w:p>
        </w:tc>
      </w:tr>
    </w:tbl>
    <w:p w14:paraId="0BE22899" w14:textId="77777777" w:rsidR="00577D08" w:rsidRDefault="00330FC0">
      <w:pPr>
        <w:pStyle w:val="3"/>
        <w:numPr>
          <w:ilvl w:val="1"/>
          <w:numId w:val="5"/>
        </w:numPr>
        <w:rPr>
          <w:rFonts w:ascii="宋体" w:hAnsi="宋体" w:hint="eastAsia"/>
          <w:szCs w:val="21"/>
        </w:rPr>
      </w:pPr>
      <w:bookmarkStart w:id="31" w:name="_Hlk61879994"/>
      <w:bookmarkStart w:id="32" w:name="_Hlk61879976"/>
      <w:bookmarkStart w:id="33" w:name="_Hlk61879983"/>
      <w:bookmarkEnd w:id="31"/>
      <w:bookmarkEnd w:id="32"/>
      <w:bookmarkEnd w:id="33"/>
      <w:r>
        <w:t>主要财务指标</w:t>
      </w:r>
    </w:p>
    <w:tbl>
      <w:tblPr>
        <w:tblStyle w:val="aff2"/>
        <w:tblW w:w="9047" w:type="dxa"/>
        <w:tblLayout w:type="fixed"/>
        <w:tblLook w:val="04A0" w:firstRow="1" w:lastRow="0" w:firstColumn="1" w:lastColumn="0" w:noHBand="0" w:noVBand="1"/>
      </w:tblPr>
      <w:tblGrid>
        <w:gridCol w:w="3194"/>
        <w:gridCol w:w="1453"/>
        <w:gridCol w:w="1324"/>
        <w:gridCol w:w="1538"/>
        <w:gridCol w:w="1538"/>
      </w:tblGrid>
      <w:tr w:rsidR="00577D08" w14:paraId="122EEDAE" w14:textId="77777777">
        <w:sdt>
          <w:sdtPr>
            <w:tag w:val="_PLD_a5c59cd3e5544374a4bd7ceda5f62092"/>
            <w:id w:val="699439530"/>
          </w:sdtPr>
          <w:sdtEndPr>
            <w:rPr>
              <w:szCs w:val="20"/>
            </w:rPr>
          </w:sdtEndPr>
          <w:sdtContent>
            <w:tc>
              <w:tcPr>
                <w:tcW w:w="3194" w:type="dxa"/>
                <w:vAlign w:val="center"/>
              </w:tcPr>
              <w:p w14:paraId="7E3C2B27" w14:textId="77777777" w:rsidR="00577D08" w:rsidRDefault="00330FC0">
                <w:pPr>
                  <w:kinsoku w:val="0"/>
                  <w:overflowPunct w:val="0"/>
                  <w:autoSpaceDE w:val="0"/>
                  <w:autoSpaceDN w:val="0"/>
                  <w:adjustRightInd w:val="0"/>
                  <w:snapToGrid w:val="0"/>
                  <w:jc w:val="center"/>
                </w:pPr>
                <w:r>
                  <w:t>主要财务指标</w:t>
                </w:r>
              </w:p>
            </w:tc>
          </w:sdtContent>
        </w:sdt>
        <w:sdt>
          <w:sdtPr>
            <w:tag w:val="_PLD_1a1e4f34f77949538a9c656b241499b6"/>
            <w:id w:val="1555051990"/>
          </w:sdtPr>
          <w:sdtContent>
            <w:tc>
              <w:tcPr>
                <w:tcW w:w="1453" w:type="dxa"/>
                <w:vAlign w:val="center"/>
              </w:tcPr>
              <w:p w14:paraId="6550727F" w14:textId="77777777" w:rsidR="00577D08" w:rsidRDefault="00330FC0">
                <w:pPr>
                  <w:kinsoku w:val="0"/>
                  <w:overflowPunct w:val="0"/>
                  <w:autoSpaceDE w:val="0"/>
                  <w:autoSpaceDN w:val="0"/>
                  <w:adjustRightInd w:val="0"/>
                  <w:snapToGrid w:val="0"/>
                  <w:jc w:val="center"/>
                </w:pPr>
                <w:r>
                  <w:rPr>
                    <w:rFonts w:hint="eastAsia"/>
                  </w:rPr>
                  <w:t>2025</w:t>
                </w:r>
                <w:r>
                  <w:rPr>
                    <w:rFonts w:hint="eastAsia"/>
                  </w:rPr>
                  <w:t>年</w:t>
                </w:r>
              </w:p>
            </w:tc>
          </w:sdtContent>
        </w:sdt>
        <w:sdt>
          <w:sdtPr>
            <w:tag w:val="_PLD_9310148e9c2c4e968f8a8cf7147fc9a7"/>
            <w:id w:val="-1629776524"/>
          </w:sdtPr>
          <w:sdtContent>
            <w:tc>
              <w:tcPr>
                <w:tcW w:w="1324" w:type="dxa"/>
                <w:vAlign w:val="center"/>
              </w:tcPr>
              <w:p w14:paraId="5A4571BD" w14:textId="77777777" w:rsidR="00577D08" w:rsidRDefault="00330FC0">
                <w:pPr>
                  <w:kinsoku w:val="0"/>
                  <w:overflowPunct w:val="0"/>
                  <w:autoSpaceDE w:val="0"/>
                  <w:autoSpaceDN w:val="0"/>
                  <w:adjustRightInd w:val="0"/>
                  <w:snapToGrid w:val="0"/>
                  <w:jc w:val="center"/>
                </w:pPr>
                <w:r>
                  <w:rPr>
                    <w:rFonts w:hint="eastAsia"/>
                  </w:rPr>
                  <w:t>2024</w:t>
                </w:r>
                <w:r>
                  <w:rPr>
                    <w:rFonts w:hint="eastAsia"/>
                  </w:rPr>
                  <w:t>年</w:t>
                </w:r>
              </w:p>
            </w:tc>
          </w:sdtContent>
        </w:sdt>
        <w:sdt>
          <w:sdtPr>
            <w:tag w:val="_PLD_5901f5518cb6434888ae838febb8af68"/>
            <w:id w:val="-413779075"/>
          </w:sdtPr>
          <w:sdtContent>
            <w:tc>
              <w:tcPr>
                <w:tcW w:w="1538" w:type="dxa"/>
                <w:vAlign w:val="center"/>
              </w:tcPr>
              <w:p w14:paraId="35294650" w14:textId="77777777" w:rsidR="00577D08" w:rsidRDefault="00330FC0">
                <w:pPr>
                  <w:kinsoku w:val="0"/>
                  <w:overflowPunct w:val="0"/>
                  <w:autoSpaceDE w:val="0"/>
                  <w:autoSpaceDN w:val="0"/>
                  <w:adjustRightInd w:val="0"/>
                  <w:snapToGrid w:val="0"/>
                  <w:jc w:val="center"/>
                </w:pPr>
                <w:r>
                  <w:t>本期比上年同期增减</w:t>
                </w:r>
                <w:r>
                  <w:t>(%)</w:t>
                </w:r>
              </w:p>
            </w:tc>
          </w:sdtContent>
        </w:sdt>
        <w:sdt>
          <w:sdtPr>
            <w:tag w:val="_PLD_437266ed462e4dd1873b86621495169c"/>
            <w:id w:val="1780133278"/>
          </w:sdtPr>
          <w:sdtContent>
            <w:tc>
              <w:tcPr>
                <w:tcW w:w="1538" w:type="dxa"/>
                <w:vAlign w:val="center"/>
              </w:tcPr>
              <w:p w14:paraId="0B7B3F10" w14:textId="77777777" w:rsidR="00577D08" w:rsidRDefault="00330FC0">
                <w:pPr>
                  <w:kinsoku w:val="0"/>
                  <w:overflowPunct w:val="0"/>
                  <w:autoSpaceDE w:val="0"/>
                  <w:autoSpaceDN w:val="0"/>
                  <w:adjustRightInd w:val="0"/>
                  <w:snapToGrid w:val="0"/>
                  <w:jc w:val="center"/>
                </w:pPr>
                <w:r>
                  <w:rPr>
                    <w:rFonts w:hint="eastAsia"/>
                  </w:rPr>
                  <w:t>2023</w:t>
                </w:r>
                <w:r>
                  <w:rPr>
                    <w:rFonts w:hint="eastAsia"/>
                  </w:rPr>
                  <w:t>年</w:t>
                </w:r>
              </w:p>
            </w:tc>
          </w:sdtContent>
        </w:sdt>
      </w:tr>
      <w:tr w:rsidR="00577D08" w14:paraId="574FD73E" w14:textId="77777777">
        <w:tc>
          <w:tcPr>
            <w:tcW w:w="3194" w:type="dxa"/>
            <w:vAlign w:val="center"/>
          </w:tcPr>
          <w:p w14:paraId="2D60EDC6" w14:textId="77777777" w:rsidR="00577D08" w:rsidRDefault="00330FC0">
            <w:pPr>
              <w:kinsoku w:val="0"/>
              <w:overflowPunct w:val="0"/>
              <w:autoSpaceDE w:val="0"/>
              <w:autoSpaceDN w:val="0"/>
              <w:adjustRightInd w:val="0"/>
              <w:snapToGrid w:val="0"/>
            </w:pPr>
            <w:r>
              <w:t>基本每股收益（元／股）</w:t>
            </w:r>
          </w:p>
        </w:tc>
        <w:tc>
          <w:tcPr>
            <w:tcW w:w="1453" w:type="dxa"/>
            <w:vAlign w:val="center"/>
          </w:tcPr>
          <w:p w14:paraId="7A8E9C4B" w14:textId="77777777" w:rsidR="00577D08" w:rsidRDefault="00330FC0">
            <w:pPr>
              <w:kinsoku w:val="0"/>
              <w:overflowPunct w:val="0"/>
              <w:autoSpaceDE w:val="0"/>
              <w:autoSpaceDN w:val="0"/>
              <w:adjustRightInd w:val="0"/>
              <w:snapToGrid w:val="0"/>
              <w:jc w:val="right"/>
            </w:pPr>
            <w:r>
              <w:t>0.21</w:t>
            </w:r>
          </w:p>
        </w:tc>
        <w:tc>
          <w:tcPr>
            <w:tcW w:w="1324" w:type="dxa"/>
            <w:vAlign w:val="center"/>
          </w:tcPr>
          <w:p w14:paraId="4C0EE181" w14:textId="77777777" w:rsidR="00577D08" w:rsidRDefault="00330FC0">
            <w:pPr>
              <w:kinsoku w:val="0"/>
              <w:overflowPunct w:val="0"/>
              <w:autoSpaceDE w:val="0"/>
              <w:autoSpaceDN w:val="0"/>
              <w:adjustRightInd w:val="0"/>
              <w:snapToGrid w:val="0"/>
              <w:jc w:val="right"/>
            </w:pPr>
            <w:r>
              <w:t xml:space="preserve"> 0.20 </w:t>
            </w:r>
          </w:p>
        </w:tc>
        <w:tc>
          <w:tcPr>
            <w:tcW w:w="1538" w:type="dxa"/>
            <w:vAlign w:val="center"/>
          </w:tcPr>
          <w:p w14:paraId="71EE003B" w14:textId="77777777" w:rsidR="00577D08" w:rsidRDefault="00330FC0">
            <w:pPr>
              <w:kinsoku w:val="0"/>
              <w:overflowPunct w:val="0"/>
              <w:autoSpaceDE w:val="0"/>
              <w:autoSpaceDN w:val="0"/>
              <w:adjustRightInd w:val="0"/>
              <w:snapToGrid w:val="0"/>
              <w:jc w:val="right"/>
            </w:pPr>
            <w:r>
              <w:t xml:space="preserve"> 5.00 </w:t>
            </w:r>
          </w:p>
        </w:tc>
        <w:tc>
          <w:tcPr>
            <w:tcW w:w="1538" w:type="dxa"/>
            <w:vAlign w:val="center"/>
          </w:tcPr>
          <w:p w14:paraId="528BC6A0" w14:textId="77777777" w:rsidR="00577D08" w:rsidRDefault="00330FC0">
            <w:pPr>
              <w:kinsoku w:val="0"/>
              <w:overflowPunct w:val="0"/>
              <w:autoSpaceDE w:val="0"/>
              <w:autoSpaceDN w:val="0"/>
              <w:adjustRightInd w:val="0"/>
              <w:snapToGrid w:val="0"/>
              <w:jc w:val="right"/>
            </w:pPr>
            <w:r>
              <w:t xml:space="preserve"> 0.70 </w:t>
            </w:r>
          </w:p>
        </w:tc>
      </w:tr>
      <w:tr w:rsidR="00577D08" w14:paraId="2490B51B" w14:textId="77777777">
        <w:tc>
          <w:tcPr>
            <w:tcW w:w="3194" w:type="dxa"/>
            <w:vAlign w:val="center"/>
          </w:tcPr>
          <w:p w14:paraId="2D014DAD" w14:textId="77777777" w:rsidR="00577D08" w:rsidRDefault="00330FC0">
            <w:pPr>
              <w:kinsoku w:val="0"/>
              <w:overflowPunct w:val="0"/>
              <w:autoSpaceDE w:val="0"/>
              <w:autoSpaceDN w:val="0"/>
              <w:adjustRightInd w:val="0"/>
              <w:snapToGrid w:val="0"/>
            </w:pPr>
            <w:r>
              <w:t>稀释每股收益（元／股）</w:t>
            </w:r>
          </w:p>
        </w:tc>
        <w:tc>
          <w:tcPr>
            <w:tcW w:w="1453" w:type="dxa"/>
            <w:vAlign w:val="center"/>
          </w:tcPr>
          <w:p w14:paraId="260DABC2" w14:textId="77777777" w:rsidR="00577D08" w:rsidRDefault="00330FC0">
            <w:pPr>
              <w:kinsoku w:val="0"/>
              <w:overflowPunct w:val="0"/>
              <w:autoSpaceDE w:val="0"/>
              <w:autoSpaceDN w:val="0"/>
              <w:adjustRightInd w:val="0"/>
              <w:snapToGrid w:val="0"/>
              <w:jc w:val="right"/>
            </w:pPr>
            <w:r>
              <w:t>0.21</w:t>
            </w:r>
          </w:p>
        </w:tc>
        <w:tc>
          <w:tcPr>
            <w:tcW w:w="1324" w:type="dxa"/>
            <w:vAlign w:val="center"/>
          </w:tcPr>
          <w:p w14:paraId="7582F702" w14:textId="77777777" w:rsidR="00577D08" w:rsidRDefault="00330FC0">
            <w:pPr>
              <w:kinsoku w:val="0"/>
              <w:overflowPunct w:val="0"/>
              <w:autoSpaceDE w:val="0"/>
              <w:autoSpaceDN w:val="0"/>
              <w:adjustRightInd w:val="0"/>
              <w:snapToGrid w:val="0"/>
              <w:jc w:val="right"/>
            </w:pPr>
            <w:r>
              <w:t xml:space="preserve"> 0.20 </w:t>
            </w:r>
          </w:p>
        </w:tc>
        <w:tc>
          <w:tcPr>
            <w:tcW w:w="1538" w:type="dxa"/>
            <w:vAlign w:val="center"/>
          </w:tcPr>
          <w:p w14:paraId="3C4AF725" w14:textId="77777777" w:rsidR="00577D08" w:rsidRDefault="00330FC0">
            <w:pPr>
              <w:kinsoku w:val="0"/>
              <w:overflowPunct w:val="0"/>
              <w:autoSpaceDE w:val="0"/>
              <w:autoSpaceDN w:val="0"/>
              <w:adjustRightInd w:val="0"/>
              <w:snapToGrid w:val="0"/>
              <w:jc w:val="right"/>
            </w:pPr>
            <w:r>
              <w:t xml:space="preserve"> 5.00 </w:t>
            </w:r>
          </w:p>
        </w:tc>
        <w:tc>
          <w:tcPr>
            <w:tcW w:w="1538" w:type="dxa"/>
            <w:vAlign w:val="center"/>
          </w:tcPr>
          <w:p w14:paraId="22F8242E" w14:textId="77777777" w:rsidR="00577D08" w:rsidRDefault="00330FC0">
            <w:pPr>
              <w:kinsoku w:val="0"/>
              <w:overflowPunct w:val="0"/>
              <w:autoSpaceDE w:val="0"/>
              <w:autoSpaceDN w:val="0"/>
              <w:adjustRightInd w:val="0"/>
              <w:snapToGrid w:val="0"/>
              <w:jc w:val="right"/>
            </w:pPr>
            <w:r>
              <w:t xml:space="preserve"> 0.70 </w:t>
            </w:r>
          </w:p>
        </w:tc>
      </w:tr>
      <w:tr w:rsidR="00577D08" w14:paraId="35702B50" w14:textId="77777777">
        <w:tc>
          <w:tcPr>
            <w:tcW w:w="3194" w:type="dxa"/>
            <w:vAlign w:val="center"/>
          </w:tcPr>
          <w:p w14:paraId="5E808FB8" w14:textId="77777777" w:rsidR="00577D08" w:rsidRDefault="00330FC0">
            <w:pPr>
              <w:kinsoku w:val="0"/>
              <w:overflowPunct w:val="0"/>
              <w:autoSpaceDE w:val="0"/>
              <w:autoSpaceDN w:val="0"/>
              <w:adjustRightInd w:val="0"/>
              <w:snapToGrid w:val="0"/>
            </w:pPr>
            <w:r>
              <w:t>扣除非经常性损益后的基本每股收益（元／股）</w:t>
            </w:r>
          </w:p>
        </w:tc>
        <w:tc>
          <w:tcPr>
            <w:tcW w:w="1453" w:type="dxa"/>
            <w:vAlign w:val="center"/>
          </w:tcPr>
          <w:p w14:paraId="0516678E" w14:textId="77777777" w:rsidR="00577D08" w:rsidRDefault="00330FC0">
            <w:pPr>
              <w:kinsoku w:val="0"/>
              <w:overflowPunct w:val="0"/>
              <w:autoSpaceDE w:val="0"/>
              <w:autoSpaceDN w:val="0"/>
              <w:adjustRightInd w:val="0"/>
              <w:snapToGrid w:val="0"/>
              <w:jc w:val="right"/>
            </w:pPr>
            <w:r>
              <w:t xml:space="preserve"> 0.19 </w:t>
            </w:r>
          </w:p>
        </w:tc>
        <w:tc>
          <w:tcPr>
            <w:tcW w:w="1324" w:type="dxa"/>
            <w:vAlign w:val="center"/>
          </w:tcPr>
          <w:p w14:paraId="478F60AB" w14:textId="77777777" w:rsidR="00577D08" w:rsidRDefault="00330FC0">
            <w:pPr>
              <w:kinsoku w:val="0"/>
              <w:overflowPunct w:val="0"/>
              <w:autoSpaceDE w:val="0"/>
              <w:autoSpaceDN w:val="0"/>
              <w:adjustRightInd w:val="0"/>
              <w:snapToGrid w:val="0"/>
              <w:jc w:val="right"/>
            </w:pPr>
            <w:r>
              <w:t>0.11</w:t>
            </w:r>
          </w:p>
        </w:tc>
        <w:tc>
          <w:tcPr>
            <w:tcW w:w="1538" w:type="dxa"/>
            <w:vAlign w:val="center"/>
          </w:tcPr>
          <w:p w14:paraId="627C4ECB" w14:textId="77777777" w:rsidR="00577D08" w:rsidRDefault="00330FC0">
            <w:pPr>
              <w:kinsoku w:val="0"/>
              <w:overflowPunct w:val="0"/>
              <w:autoSpaceDE w:val="0"/>
              <w:autoSpaceDN w:val="0"/>
              <w:adjustRightInd w:val="0"/>
              <w:snapToGrid w:val="0"/>
              <w:jc w:val="right"/>
            </w:pPr>
            <w:r>
              <w:t xml:space="preserve"> 72.73 </w:t>
            </w:r>
          </w:p>
        </w:tc>
        <w:tc>
          <w:tcPr>
            <w:tcW w:w="1538" w:type="dxa"/>
            <w:vAlign w:val="center"/>
          </w:tcPr>
          <w:p w14:paraId="55E7B74F" w14:textId="77777777" w:rsidR="00577D08" w:rsidRDefault="00330FC0">
            <w:pPr>
              <w:kinsoku w:val="0"/>
              <w:overflowPunct w:val="0"/>
              <w:autoSpaceDE w:val="0"/>
              <w:autoSpaceDN w:val="0"/>
              <w:adjustRightInd w:val="0"/>
              <w:snapToGrid w:val="0"/>
              <w:jc w:val="right"/>
            </w:pPr>
            <w:r>
              <w:t xml:space="preserve"> 0.68 </w:t>
            </w:r>
          </w:p>
        </w:tc>
      </w:tr>
      <w:tr w:rsidR="00577D08" w14:paraId="1AE19227" w14:textId="77777777">
        <w:tc>
          <w:tcPr>
            <w:tcW w:w="3194" w:type="dxa"/>
            <w:vAlign w:val="center"/>
          </w:tcPr>
          <w:p w14:paraId="2B3A7F32" w14:textId="77777777" w:rsidR="00577D08" w:rsidRDefault="00330FC0">
            <w:pPr>
              <w:kinsoku w:val="0"/>
              <w:overflowPunct w:val="0"/>
              <w:autoSpaceDE w:val="0"/>
              <w:autoSpaceDN w:val="0"/>
              <w:adjustRightInd w:val="0"/>
              <w:snapToGrid w:val="0"/>
            </w:pPr>
            <w:r>
              <w:t>加权平均净资产收益率（</w:t>
            </w:r>
            <w:r>
              <w:t>%</w:t>
            </w:r>
            <w:r>
              <w:t>）</w:t>
            </w:r>
          </w:p>
        </w:tc>
        <w:tc>
          <w:tcPr>
            <w:tcW w:w="1453" w:type="dxa"/>
            <w:vAlign w:val="center"/>
          </w:tcPr>
          <w:p w14:paraId="7E2E608D" w14:textId="77777777" w:rsidR="00577D08" w:rsidRDefault="00330FC0">
            <w:pPr>
              <w:kinsoku w:val="0"/>
              <w:overflowPunct w:val="0"/>
              <w:autoSpaceDE w:val="0"/>
              <w:autoSpaceDN w:val="0"/>
              <w:adjustRightInd w:val="0"/>
              <w:snapToGrid w:val="0"/>
              <w:jc w:val="right"/>
            </w:pPr>
            <w:r>
              <w:t>2.83</w:t>
            </w:r>
          </w:p>
        </w:tc>
        <w:tc>
          <w:tcPr>
            <w:tcW w:w="1324" w:type="dxa"/>
            <w:vAlign w:val="center"/>
          </w:tcPr>
          <w:p w14:paraId="543AF4B0" w14:textId="77777777" w:rsidR="00577D08" w:rsidRDefault="00330FC0">
            <w:pPr>
              <w:kinsoku w:val="0"/>
              <w:overflowPunct w:val="0"/>
              <w:autoSpaceDE w:val="0"/>
              <w:autoSpaceDN w:val="0"/>
              <w:adjustRightInd w:val="0"/>
              <w:snapToGrid w:val="0"/>
              <w:jc w:val="right"/>
            </w:pPr>
            <w:r>
              <w:t>2.72</w:t>
            </w:r>
          </w:p>
        </w:tc>
        <w:tc>
          <w:tcPr>
            <w:tcW w:w="1538" w:type="dxa"/>
            <w:vAlign w:val="center"/>
          </w:tcPr>
          <w:p w14:paraId="74C9DA54" w14:textId="77777777" w:rsidR="00577D08" w:rsidRDefault="00330FC0">
            <w:pPr>
              <w:kinsoku w:val="0"/>
              <w:overflowPunct w:val="0"/>
              <w:autoSpaceDE w:val="0"/>
              <w:autoSpaceDN w:val="0"/>
              <w:adjustRightInd w:val="0"/>
              <w:snapToGrid w:val="0"/>
              <w:jc w:val="left"/>
            </w:pPr>
            <w:r>
              <w:rPr>
                <w:rFonts w:hint="eastAsia"/>
              </w:rPr>
              <w:t>增加</w:t>
            </w:r>
            <w:r>
              <w:rPr>
                <w:rFonts w:hint="eastAsia"/>
              </w:rPr>
              <w:t>0.11</w:t>
            </w:r>
            <w:r>
              <w:rPr>
                <w:rFonts w:hint="eastAsia"/>
              </w:rPr>
              <w:t>个百分点</w:t>
            </w:r>
          </w:p>
        </w:tc>
        <w:tc>
          <w:tcPr>
            <w:tcW w:w="1538" w:type="dxa"/>
            <w:vAlign w:val="center"/>
          </w:tcPr>
          <w:p w14:paraId="7EC9B2E9" w14:textId="77777777" w:rsidR="00577D08" w:rsidRDefault="00330FC0">
            <w:pPr>
              <w:kinsoku w:val="0"/>
              <w:overflowPunct w:val="0"/>
              <w:autoSpaceDE w:val="0"/>
              <w:autoSpaceDN w:val="0"/>
              <w:adjustRightInd w:val="0"/>
              <w:snapToGrid w:val="0"/>
              <w:jc w:val="right"/>
            </w:pPr>
            <w:r>
              <w:t xml:space="preserve"> 10.02 </w:t>
            </w:r>
          </w:p>
        </w:tc>
      </w:tr>
      <w:tr w:rsidR="00577D08" w14:paraId="4F031EC8" w14:textId="77777777">
        <w:tc>
          <w:tcPr>
            <w:tcW w:w="3194" w:type="dxa"/>
            <w:vAlign w:val="center"/>
          </w:tcPr>
          <w:p w14:paraId="5AB09F3C" w14:textId="77777777" w:rsidR="00577D08" w:rsidRDefault="00330FC0">
            <w:pPr>
              <w:kinsoku w:val="0"/>
              <w:overflowPunct w:val="0"/>
              <w:autoSpaceDE w:val="0"/>
              <w:autoSpaceDN w:val="0"/>
              <w:adjustRightInd w:val="0"/>
              <w:snapToGrid w:val="0"/>
            </w:pPr>
            <w:r>
              <w:t>扣除非经常性损益后的加权平均净资产收益率（</w:t>
            </w:r>
            <w:r>
              <w:t>%</w:t>
            </w:r>
            <w:r>
              <w:t>）</w:t>
            </w:r>
          </w:p>
        </w:tc>
        <w:tc>
          <w:tcPr>
            <w:tcW w:w="1453" w:type="dxa"/>
            <w:vAlign w:val="center"/>
          </w:tcPr>
          <w:p w14:paraId="44D99C0F" w14:textId="77777777" w:rsidR="00577D08" w:rsidRDefault="00330FC0">
            <w:pPr>
              <w:kinsoku w:val="0"/>
              <w:overflowPunct w:val="0"/>
              <w:autoSpaceDE w:val="0"/>
              <w:autoSpaceDN w:val="0"/>
              <w:adjustRightInd w:val="0"/>
              <w:snapToGrid w:val="0"/>
              <w:jc w:val="right"/>
            </w:pPr>
            <w:r>
              <w:t>2.64</w:t>
            </w:r>
          </w:p>
        </w:tc>
        <w:tc>
          <w:tcPr>
            <w:tcW w:w="1324" w:type="dxa"/>
            <w:vAlign w:val="center"/>
          </w:tcPr>
          <w:p w14:paraId="6B44CE6D" w14:textId="77777777" w:rsidR="00577D08" w:rsidRDefault="00330FC0">
            <w:pPr>
              <w:kinsoku w:val="0"/>
              <w:overflowPunct w:val="0"/>
              <w:autoSpaceDE w:val="0"/>
              <w:autoSpaceDN w:val="0"/>
              <w:adjustRightInd w:val="0"/>
              <w:snapToGrid w:val="0"/>
              <w:jc w:val="right"/>
            </w:pPr>
            <w:r>
              <w:t>1.51</w:t>
            </w:r>
          </w:p>
        </w:tc>
        <w:tc>
          <w:tcPr>
            <w:tcW w:w="1538" w:type="dxa"/>
            <w:vAlign w:val="center"/>
          </w:tcPr>
          <w:p w14:paraId="49B029C7" w14:textId="77777777" w:rsidR="00577D08" w:rsidRDefault="00330FC0">
            <w:pPr>
              <w:kinsoku w:val="0"/>
              <w:overflowPunct w:val="0"/>
              <w:autoSpaceDE w:val="0"/>
              <w:autoSpaceDN w:val="0"/>
              <w:adjustRightInd w:val="0"/>
              <w:snapToGrid w:val="0"/>
              <w:jc w:val="left"/>
            </w:pPr>
            <w:r>
              <w:rPr>
                <w:rFonts w:hint="eastAsia"/>
              </w:rPr>
              <w:t>增加</w:t>
            </w:r>
            <w:r>
              <w:rPr>
                <w:rFonts w:hint="eastAsia"/>
              </w:rPr>
              <w:t>1.13</w:t>
            </w:r>
            <w:r>
              <w:rPr>
                <w:rFonts w:hint="eastAsia"/>
              </w:rPr>
              <w:t>个百分点</w:t>
            </w:r>
          </w:p>
        </w:tc>
        <w:tc>
          <w:tcPr>
            <w:tcW w:w="1538" w:type="dxa"/>
            <w:vAlign w:val="center"/>
          </w:tcPr>
          <w:p w14:paraId="063F8CA4" w14:textId="77777777" w:rsidR="00577D08" w:rsidRDefault="00330FC0">
            <w:pPr>
              <w:kinsoku w:val="0"/>
              <w:overflowPunct w:val="0"/>
              <w:autoSpaceDE w:val="0"/>
              <w:autoSpaceDN w:val="0"/>
              <w:adjustRightInd w:val="0"/>
              <w:snapToGrid w:val="0"/>
              <w:jc w:val="right"/>
            </w:pPr>
            <w:r>
              <w:t xml:space="preserve"> 9.62 </w:t>
            </w:r>
          </w:p>
        </w:tc>
      </w:tr>
    </w:tbl>
    <w:p w14:paraId="45C0C921" w14:textId="77777777" w:rsidR="00577D08" w:rsidRDefault="00330FC0">
      <w:bookmarkStart w:id="34" w:name="_Hlk25325424"/>
      <w:bookmarkEnd w:id="34"/>
      <w:r>
        <w:rPr>
          <w:rFonts w:hint="eastAsia"/>
        </w:rPr>
        <w:t>报告期末公司前三年主要会计数据和财务指标的说明</w:t>
      </w:r>
    </w:p>
    <w:sdt>
      <w:sdtPr>
        <w:alias w:val="是否适用：报告期末公司前三年主要会计数据和财务指标的说明[双击切换]"/>
        <w:tag w:val="_GBC_d855ab48af34454bb263a03266267a43"/>
        <w:id w:val="-692152983"/>
        <w:placeholder>
          <w:docPart w:val="GBC22222222222222222222222222222"/>
        </w:placeholder>
      </w:sdtPr>
      <w:sdtContent>
        <w:p w14:paraId="0FF0D51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报告期末公司前三年主要会计数据和财务指标的说明"/>
        <w:tag w:val="_GBC_3f6a388b622d4cda9ea66de381322aa3"/>
        <w:id w:val="1080176522"/>
        <w:placeholder>
          <w:docPart w:val="GBC22222222222222222222222222222"/>
        </w:placeholder>
      </w:sdtPr>
      <w:sdtEndPr>
        <w:rPr>
          <w:rFonts w:hint="eastAsia"/>
        </w:rPr>
      </w:sdtEndPr>
      <w:sdtContent>
        <w:p w14:paraId="252BFF51" w14:textId="77777777" w:rsidR="00577D08" w:rsidRDefault="00330FC0">
          <w:pPr>
            <w:spacing w:line="360" w:lineRule="exact"/>
            <w:ind w:firstLineChars="200" w:firstLine="420"/>
          </w:pPr>
          <w:r>
            <w:rPr>
              <w:rFonts w:hint="eastAsia"/>
            </w:rPr>
            <w:t xml:space="preserve">1. </w:t>
          </w:r>
          <w:r>
            <w:rPr>
              <w:rFonts w:hint="eastAsia"/>
            </w:rPr>
            <w:t>营业收入同比主要变动说明：</w:t>
          </w:r>
        </w:p>
        <w:p w14:paraId="23EE9B19" w14:textId="77777777" w:rsidR="00577D08" w:rsidRDefault="00330FC0">
          <w:pPr>
            <w:spacing w:line="360" w:lineRule="exact"/>
            <w:ind w:firstLineChars="200" w:firstLine="420"/>
          </w:pPr>
          <w:r>
            <w:rPr>
              <w:rFonts w:hint="eastAsia"/>
            </w:rPr>
            <w:t>（</w:t>
          </w:r>
          <w:r>
            <w:rPr>
              <w:rFonts w:hint="eastAsia"/>
            </w:rPr>
            <w:t>1</w:t>
          </w:r>
          <w:r>
            <w:rPr>
              <w:rFonts w:hint="eastAsia"/>
            </w:rPr>
            <w:t>）报告期实现营业收入</w:t>
          </w:r>
          <w:r>
            <w:rPr>
              <w:rFonts w:hint="eastAsia"/>
            </w:rPr>
            <w:t>391,701</w:t>
          </w:r>
          <w:r>
            <w:rPr>
              <w:rFonts w:hint="eastAsia"/>
            </w:rPr>
            <w:t>万元，同比增加</w:t>
          </w:r>
          <w:r>
            <w:rPr>
              <w:rFonts w:hint="eastAsia"/>
            </w:rPr>
            <w:t>56,544</w:t>
          </w:r>
          <w:r>
            <w:rPr>
              <w:rFonts w:hint="eastAsia"/>
            </w:rPr>
            <w:t>万元，增长</w:t>
          </w:r>
          <w:r>
            <w:rPr>
              <w:rFonts w:hint="eastAsia"/>
            </w:rPr>
            <w:t>16.87%</w:t>
          </w:r>
          <w:r>
            <w:rPr>
              <w:rFonts w:hint="eastAsia"/>
            </w:rPr>
            <w:t>。主营业务收入</w:t>
          </w:r>
          <w:r>
            <w:rPr>
              <w:rFonts w:hint="eastAsia"/>
            </w:rPr>
            <w:t>378,907</w:t>
          </w:r>
          <w:r>
            <w:rPr>
              <w:rFonts w:hint="eastAsia"/>
            </w:rPr>
            <w:t>万元，其中输配电及控制设备业务收入</w:t>
          </w:r>
          <w:r>
            <w:rPr>
              <w:rFonts w:hint="eastAsia"/>
            </w:rPr>
            <w:t>251,083</w:t>
          </w:r>
          <w:r>
            <w:rPr>
              <w:rFonts w:hint="eastAsia"/>
            </w:rPr>
            <w:t>万元，同比增加</w:t>
          </w:r>
          <w:r>
            <w:rPr>
              <w:rFonts w:hint="eastAsia"/>
            </w:rPr>
            <w:t>57,788</w:t>
          </w:r>
          <w:r>
            <w:rPr>
              <w:rFonts w:hint="eastAsia"/>
            </w:rPr>
            <w:t>万元，增长</w:t>
          </w:r>
          <w:r>
            <w:rPr>
              <w:rFonts w:hint="eastAsia"/>
            </w:rPr>
            <w:t>29.90%</w:t>
          </w:r>
          <w:r>
            <w:rPr>
              <w:rFonts w:hint="eastAsia"/>
            </w:rPr>
            <w:t>；取向硅钢业务收入</w:t>
          </w:r>
          <w:r>
            <w:rPr>
              <w:rFonts w:hint="eastAsia"/>
            </w:rPr>
            <w:t>127,824</w:t>
          </w:r>
          <w:r>
            <w:rPr>
              <w:rFonts w:hint="eastAsia"/>
            </w:rPr>
            <w:t>万元，同比减少</w:t>
          </w:r>
          <w:r>
            <w:rPr>
              <w:rFonts w:hint="eastAsia"/>
            </w:rPr>
            <w:t>5,634</w:t>
          </w:r>
          <w:r>
            <w:rPr>
              <w:rFonts w:hint="eastAsia"/>
            </w:rPr>
            <w:t>万元，减少</w:t>
          </w:r>
          <w:r>
            <w:rPr>
              <w:rFonts w:hint="eastAsia"/>
            </w:rPr>
            <w:t>4.22%</w:t>
          </w:r>
          <w:r>
            <w:rPr>
              <w:rFonts w:hint="eastAsia"/>
            </w:rPr>
            <w:t>。</w:t>
          </w:r>
        </w:p>
        <w:p w14:paraId="13C0CB4D" w14:textId="77777777" w:rsidR="00577D08" w:rsidRDefault="00330FC0">
          <w:pPr>
            <w:spacing w:line="360" w:lineRule="exact"/>
            <w:ind w:firstLineChars="200" w:firstLine="420"/>
          </w:pPr>
          <w:r>
            <w:rPr>
              <w:rFonts w:hint="eastAsia"/>
            </w:rPr>
            <w:t>（</w:t>
          </w:r>
          <w:r>
            <w:rPr>
              <w:rFonts w:hint="eastAsia"/>
            </w:rPr>
            <w:t>2</w:t>
          </w:r>
          <w:r>
            <w:rPr>
              <w:rFonts w:hint="eastAsia"/>
            </w:rPr>
            <w:t>）输配电及控制设备业务：增长主要系</w:t>
          </w:r>
          <w:r>
            <w:rPr>
              <w:rFonts w:hint="eastAsia"/>
            </w:rPr>
            <w:t>110kV</w:t>
          </w:r>
          <w:r>
            <w:rPr>
              <w:rFonts w:hint="eastAsia"/>
            </w:rPr>
            <w:t>和</w:t>
          </w:r>
          <w:r>
            <w:rPr>
              <w:rFonts w:hint="eastAsia"/>
            </w:rPr>
            <w:t>220kV</w:t>
          </w:r>
          <w:r>
            <w:rPr>
              <w:rFonts w:hint="eastAsia"/>
            </w:rPr>
            <w:t>油浸式变压器、牵引变压器等产品的销售贡献，共带来</w:t>
          </w:r>
          <w:r>
            <w:rPr>
              <w:rFonts w:hint="eastAsia"/>
            </w:rPr>
            <w:t>47,050</w:t>
          </w:r>
          <w:r>
            <w:rPr>
              <w:rFonts w:hint="eastAsia"/>
            </w:rPr>
            <w:t>万元的营业收入增长。以下为各电压等级营业收入占电力变压器营业收入比例及营业收入变动情况：</w:t>
          </w:r>
        </w:p>
        <w:tbl>
          <w:tblPr>
            <w:tblStyle w:val="aff2"/>
            <w:tblW w:w="5000" w:type="pct"/>
            <w:tblLook w:val="04A0" w:firstRow="1" w:lastRow="0" w:firstColumn="1" w:lastColumn="0" w:noHBand="0" w:noVBand="1"/>
          </w:tblPr>
          <w:tblGrid>
            <w:gridCol w:w="2205"/>
            <w:gridCol w:w="2206"/>
            <w:gridCol w:w="2206"/>
            <w:gridCol w:w="2206"/>
          </w:tblGrid>
          <w:tr w:rsidR="00577D08" w14:paraId="5714243A" w14:textId="77777777">
            <w:trPr>
              <w:trHeight w:val="397"/>
            </w:trPr>
            <w:tc>
              <w:tcPr>
                <w:tcW w:w="1250" w:type="pct"/>
                <w:vAlign w:val="center"/>
              </w:tcPr>
              <w:p w14:paraId="66440BCF" w14:textId="77777777" w:rsidR="00577D08" w:rsidRDefault="00330FC0">
                <w:pPr>
                  <w:jc w:val="center"/>
                </w:pPr>
                <w:r>
                  <w:rPr>
                    <w:rFonts w:hint="eastAsia"/>
                  </w:rPr>
                  <w:t>电压等级</w:t>
                </w:r>
              </w:p>
            </w:tc>
            <w:tc>
              <w:tcPr>
                <w:tcW w:w="1250" w:type="pct"/>
                <w:vAlign w:val="center"/>
              </w:tcPr>
              <w:p w14:paraId="5B85DEF0" w14:textId="77777777" w:rsidR="00577D08" w:rsidRDefault="00330FC0">
                <w:pPr>
                  <w:jc w:val="center"/>
                </w:pPr>
                <w:r>
                  <w:rPr>
                    <w:rFonts w:hint="eastAsia"/>
                  </w:rPr>
                  <w:t>2025</w:t>
                </w:r>
                <w:r>
                  <w:rPr>
                    <w:rFonts w:hint="eastAsia"/>
                  </w:rPr>
                  <w:t>年结构占比</w:t>
                </w:r>
              </w:p>
            </w:tc>
            <w:tc>
              <w:tcPr>
                <w:tcW w:w="1250" w:type="pct"/>
                <w:vAlign w:val="center"/>
              </w:tcPr>
              <w:p w14:paraId="39C675C1" w14:textId="77777777" w:rsidR="00577D08" w:rsidRDefault="00330FC0">
                <w:pPr>
                  <w:jc w:val="center"/>
                </w:pPr>
                <w:r>
                  <w:rPr>
                    <w:rFonts w:hint="eastAsia"/>
                  </w:rPr>
                  <w:t>2024</w:t>
                </w:r>
                <w:r>
                  <w:rPr>
                    <w:rFonts w:hint="eastAsia"/>
                  </w:rPr>
                  <w:t>年结构占比</w:t>
                </w:r>
              </w:p>
            </w:tc>
            <w:tc>
              <w:tcPr>
                <w:tcW w:w="1250" w:type="pct"/>
                <w:vAlign w:val="center"/>
              </w:tcPr>
              <w:p w14:paraId="0DA03B6B" w14:textId="77777777" w:rsidR="00577D08" w:rsidRDefault="00330FC0">
                <w:pPr>
                  <w:jc w:val="center"/>
                </w:pPr>
                <w:r>
                  <w:rPr>
                    <w:rFonts w:hint="eastAsia"/>
                  </w:rPr>
                  <w:t>收入变动幅度</w:t>
                </w:r>
              </w:p>
            </w:tc>
          </w:tr>
          <w:tr w:rsidR="00577D08" w14:paraId="7C689E49" w14:textId="77777777">
            <w:trPr>
              <w:trHeight w:val="397"/>
            </w:trPr>
            <w:tc>
              <w:tcPr>
                <w:tcW w:w="1250" w:type="pct"/>
                <w:vAlign w:val="center"/>
              </w:tcPr>
              <w:p w14:paraId="3ABEB34A" w14:textId="77777777" w:rsidR="00577D08" w:rsidRDefault="00330FC0">
                <w:r>
                  <w:t xml:space="preserve"> 110</w:t>
                </w:r>
                <w:r>
                  <w:rPr>
                    <w:rFonts w:hint="eastAsia"/>
                  </w:rPr>
                  <w:t>k</w:t>
                </w:r>
                <w:r>
                  <w:t xml:space="preserve">V </w:t>
                </w:r>
              </w:p>
            </w:tc>
            <w:tc>
              <w:tcPr>
                <w:tcW w:w="1250" w:type="pct"/>
                <w:vAlign w:val="center"/>
              </w:tcPr>
              <w:p w14:paraId="40F0FF24" w14:textId="77777777" w:rsidR="00577D08" w:rsidRDefault="00330FC0">
                <w:pPr>
                  <w:jc w:val="right"/>
                </w:pPr>
                <w:r>
                  <w:t>25.71%</w:t>
                </w:r>
              </w:p>
            </w:tc>
            <w:tc>
              <w:tcPr>
                <w:tcW w:w="1250" w:type="pct"/>
                <w:vAlign w:val="center"/>
              </w:tcPr>
              <w:p w14:paraId="7878D913" w14:textId="77777777" w:rsidR="00577D08" w:rsidRDefault="00330FC0">
                <w:pPr>
                  <w:jc w:val="right"/>
                </w:pPr>
                <w:r>
                  <w:t>19.64%</w:t>
                </w:r>
              </w:p>
            </w:tc>
            <w:tc>
              <w:tcPr>
                <w:tcW w:w="1250" w:type="pct"/>
                <w:vAlign w:val="center"/>
              </w:tcPr>
              <w:p w14:paraId="4F2C954E" w14:textId="77777777" w:rsidR="00577D08" w:rsidRDefault="00330FC0">
                <w:pPr>
                  <w:jc w:val="right"/>
                </w:pPr>
                <w:r>
                  <w:t>67.60%</w:t>
                </w:r>
              </w:p>
            </w:tc>
          </w:tr>
          <w:tr w:rsidR="00577D08" w14:paraId="0F71262A" w14:textId="77777777">
            <w:trPr>
              <w:trHeight w:val="397"/>
            </w:trPr>
            <w:tc>
              <w:tcPr>
                <w:tcW w:w="1250" w:type="pct"/>
                <w:vAlign w:val="center"/>
              </w:tcPr>
              <w:p w14:paraId="548D4543" w14:textId="77777777" w:rsidR="00577D08" w:rsidRDefault="00330FC0">
                <w:r>
                  <w:t xml:space="preserve"> 220</w:t>
                </w:r>
                <w:r>
                  <w:rPr>
                    <w:rFonts w:hint="eastAsia"/>
                  </w:rPr>
                  <w:t>k</w:t>
                </w:r>
                <w:r>
                  <w:t xml:space="preserve">V </w:t>
                </w:r>
              </w:p>
            </w:tc>
            <w:tc>
              <w:tcPr>
                <w:tcW w:w="1250" w:type="pct"/>
                <w:vAlign w:val="center"/>
              </w:tcPr>
              <w:p w14:paraId="4AA70729" w14:textId="77777777" w:rsidR="00577D08" w:rsidRDefault="00330FC0">
                <w:pPr>
                  <w:jc w:val="right"/>
                </w:pPr>
                <w:r>
                  <w:t>34.30%</w:t>
                </w:r>
              </w:p>
            </w:tc>
            <w:tc>
              <w:tcPr>
                <w:tcW w:w="1250" w:type="pct"/>
                <w:vAlign w:val="center"/>
              </w:tcPr>
              <w:p w14:paraId="04CA9859" w14:textId="77777777" w:rsidR="00577D08" w:rsidRDefault="00330FC0">
                <w:pPr>
                  <w:jc w:val="right"/>
                </w:pPr>
                <w:r>
                  <w:t>24.41%</w:t>
                </w:r>
              </w:p>
            </w:tc>
            <w:tc>
              <w:tcPr>
                <w:tcW w:w="1250" w:type="pct"/>
                <w:vAlign w:val="center"/>
              </w:tcPr>
              <w:p w14:paraId="6B4349BF" w14:textId="77777777" w:rsidR="00577D08" w:rsidRDefault="00330FC0">
                <w:pPr>
                  <w:jc w:val="right"/>
                </w:pPr>
                <w:r>
                  <w:t>79.85%</w:t>
                </w:r>
              </w:p>
            </w:tc>
          </w:tr>
          <w:tr w:rsidR="00577D08" w14:paraId="6971AE21" w14:textId="77777777">
            <w:trPr>
              <w:trHeight w:val="397"/>
            </w:trPr>
            <w:tc>
              <w:tcPr>
                <w:tcW w:w="1250" w:type="pct"/>
                <w:vAlign w:val="center"/>
              </w:tcPr>
              <w:p w14:paraId="02D1E3D1" w14:textId="77777777" w:rsidR="00577D08" w:rsidRDefault="00330FC0">
                <w:r>
                  <w:rPr>
                    <w:rFonts w:hint="eastAsia"/>
                  </w:rPr>
                  <w:t>其他等级</w:t>
                </w:r>
              </w:p>
            </w:tc>
            <w:tc>
              <w:tcPr>
                <w:tcW w:w="1250" w:type="pct"/>
                <w:vAlign w:val="center"/>
              </w:tcPr>
              <w:p w14:paraId="491D7223" w14:textId="77777777" w:rsidR="00577D08" w:rsidRDefault="00330FC0">
                <w:pPr>
                  <w:jc w:val="right"/>
                </w:pPr>
                <w:r>
                  <w:rPr>
                    <w:rFonts w:hint="eastAsia"/>
                  </w:rPr>
                  <w:t>39.99%</w:t>
                </w:r>
              </w:p>
            </w:tc>
            <w:tc>
              <w:tcPr>
                <w:tcW w:w="1250" w:type="pct"/>
                <w:vAlign w:val="center"/>
              </w:tcPr>
              <w:p w14:paraId="09B07ED0" w14:textId="77777777" w:rsidR="00577D08" w:rsidRDefault="00330FC0">
                <w:pPr>
                  <w:jc w:val="right"/>
                </w:pPr>
                <w:r>
                  <w:rPr>
                    <w:rFonts w:hint="eastAsia"/>
                  </w:rPr>
                  <w:t>55.95%</w:t>
                </w:r>
              </w:p>
            </w:tc>
            <w:tc>
              <w:tcPr>
                <w:tcW w:w="1250" w:type="pct"/>
                <w:vAlign w:val="center"/>
              </w:tcPr>
              <w:p w14:paraId="52FDB0BA" w14:textId="77777777" w:rsidR="00577D08" w:rsidRDefault="00330FC0">
                <w:pPr>
                  <w:jc w:val="right"/>
                </w:pPr>
                <w:r>
                  <w:rPr>
                    <w:rFonts w:hint="eastAsia"/>
                  </w:rPr>
                  <w:t>-8.51%</w:t>
                </w:r>
              </w:p>
            </w:tc>
          </w:tr>
        </w:tbl>
        <w:p w14:paraId="49320AAB" w14:textId="77777777" w:rsidR="00577D08" w:rsidRDefault="00330FC0">
          <w:pPr>
            <w:spacing w:line="360" w:lineRule="exact"/>
            <w:ind w:firstLineChars="200" w:firstLine="420"/>
          </w:pPr>
          <w:r>
            <w:rPr>
              <w:rFonts w:hint="eastAsia"/>
            </w:rPr>
            <w:t>（</w:t>
          </w:r>
          <w:r>
            <w:rPr>
              <w:rFonts w:hint="eastAsia"/>
            </w:rPr>
            <w:t>3</w:t>
          </w:r>
          <w:r>
            <w:rPr>
              <w:rFonts w:hint="eastAsia"/>
            </w:rPr>
            <w:t>）取向硅钢业务：减少主要系单位销售价格下滑，对外平均销售价格下降</w:t>
          </w:r>
          <w:r>
            <w:rPr>
              <w:rFonts w:hint="eastAsia"/>
            </w:rPr>
            <w:t>299</w:t>
          </w:r>
          <w:r>
            <w:rPr>
              <w:rFonts w:hint="eastAsia"/>
            </w:rPr>
            <w:t>元</w:t>
          </w:r>
          <w:r>
            <w:rPr>
              <w:rFonts w:hint="eastAsia"/>
            </w:rPr>
            <w:t>/</w:t>
          </w:r>
          <w:r>
            <w:rPr>
              <w:rFonts w:hint="eastAsia"/>
            </w:rPr>
            <w:t>吨，影响收入下降</w:t>
          </w:r>
          <w:r>
            <w:rPr>
              <w:rFonts w:hint="eastAsia"/>
            </w:rPr>
            <w:t>4,483</w:t>
          </w:r>
          <w:r>
            <w:rPr>
              <w:rFonts w:hint="eastAsia"/>
            </w:rPr>
            <w:t>万元。</w:t>
          </w:r>
        </w:p>
        <w:p w14:paraId="1FD0246E" w14:textId="77777777" w:rsidR="00577D08" w:rsidRDefault="00330FC0">
          <w:pPr>
            <w:spacing w:line="360" w:lineRule="exact"/>
            <w:ind w:firstLineChars="200" w:firstLine="420"/>
          </w:pPr>
          <w:r>
            <w:rPr>
              <w:rFonts w:hint="eastAsia"/>
            </w:rPr>
            <w:t xml:space="preserve">2. </w:t>
          </w:r>
          <w:r>
            <w:rPr>
              <w:rFonts w:hint="eastAsia"/>
            </w:rPr>
            <w:t>归属于上市公司股东的净利润主要变动说明：</w:t>
          </w:r>
        </w:p>
        <w:p w14:paraId="0F124F6E" w14:textId="77777777" w:rsidR="00577D08" w:rsidRDefault="00330FC0">
          <w:pPr>
            <w:spacing w:line="360" w:lineRule="exact"/>
            <w:ind w:firstLineChars="200" w:firstLine="420"/>
          </w:pPr>
          <w:r>
            <w:rPr>
              <w:rFonts w:hint="eastAsia"/>
            </w:rPr>
            <w:lastRenderedPageBreak/>
            <w:t>归属于上市公司股东的净利润</w:t>
          </w:r>
          <w:r>
            <w:rPr>
              <w:rFonts w:hint="eastAsia"/>
            </w:rPr>
            <w:t>6,924</w:t>
          </w:r>
          <w:r>
            <w:rPr>
              <w:rFonts w:hint="eastAsia"/>
            </w:rPr>
            <w:t>万元，同比增长</w:t>
          </w:r>
          <w:r>
            <w:rPr>
              <w:rFonts w:hint="eastAsia"/>
            </w:rPr>
            <w:t>6.26%</w:t>
          </w:r>
          <w:r>
            <w:rPr>
              <w:rFonts w:hint="eastAsia"/>
            </w:rPr>
            <w:t>，归属于上市公司股东的扣除非经常性损益的净利润</w:t>
          </w:r>
          <w:r>
            <w:t>6,479</w:t>
          </w:r>
          <w:r>
            <w:rPr>
              <w:rFonts w:hint="eastAsia"/>
            </w:rPr>
            <w:t>万元，同比增长</w:t>
          </w:r>
          <w:r>
            <w:t>79.38</w:t>
          </w:r>
          <w:r>
            <w:rPr>
              <w:rFonts w:hint="eastAsia"/>
            </w:rPr>
            <w:t>%</w:t>
          </w:r>
          <w:r>
            <w:rPr>
              <w:rFonts w:hint="eastAsia"/>
            </w:rPr>
            <w:t>。</w:t>
          </w:r>
          <w:bookmarkStart w:id="35" w:name="OLE_LINK31"/>
          <w:r>
            <w:rPr>
              <w:rFonts w:hint="eastAsia"/>
            </w:rPr>
            <w:t>主要系本期营业收入的增加及毛利率的提升带动毛利额增加</w:t>
          </w:r>
          <w:r>
            <w:rPr>
              <w:rFonts w:hint="eastAsia"/>
            </w:rPr>
            <w:t>7,920</w:t>
          </w:r>
          <w:r>
            <w:rPr>
              <w:rFonts w:hint="eastAsia"/>
            </w:rPr>
            <w:t>万元。</w:t>
          </w:r>
        </w:p>
      </w:sdtContent>
    </w:sdt>
    <w:bookmarkEnd w:id="35"/>
    <w:p w14:paraId="4C7DDCAB" w14:textId="77777777" w:rsidR="00577D08" w:rsidRDefault="00330FC0">
      <w:pPr>
        <w:pStyle w:val="2"/>
        <w:numPr>
          <w:ilvl w:val="1"/>
          <w:numId w:val="4"/>
        </w:numPr>
        <w:ind w:left="498" w:hangingChars="236" w:hanging="498"/>
      </w:pPr>
      <w:r>
        <w:rPr>
          <w:rFonts w:hint="eastAsia"/>
        </w:rPr>
        <w:t>境内外会计准则下会计数据差异</w:t>
      </w:r>
    </w:p>
    <w:p w14:paraId="13875E52" w14:textId="77777777" w:rsidR="00577D08" w:rsidRDefault="00330FC0">
      <w:pPr>
        <w:pStyle w:val="3"/>
        <w:numPr>
          <w:ilvl w:val="0"/>
          <w:numId w:val="6"/>
        </w:numPr>
        <w:ind w:left="0" w:firstLine="0"/>
        <w:rPr>
          <w:szCs w:val="21"/>
        </w:rPr>
      </w:pPr>
      <w:r>
        <w:rPr>
          <w:rFonts w:hint="eastAsia"/>
          <w:szCs w:val="21"/>
        </w:rPr>
        <w:t>同时按照国际会计准则与按中国会计准则披露的财务报告中净利润和归属于上市公司股东的净资产差异情况</w:t>
      </w:r>
    </w:p>
    <w:sdt>
      <w:sdtPr>
        <w:alias w:val="是否适用：同时按照国际会计准则与按中国会计准则披露的财务报告中净利润和净资产差异情况[双击切换]"/>
        <w:tag w:val="_GBC_bb9cf96a724c468d909aca01e1066e6b"/>
        <w:id w:val="436806175"/>
        <w:placeholder>
          <w:docPart w:val="GBC22222222222222222222222222222"/>
        </w:placeholder>
      </w:sdtPr>
      <w:sdtContent>
        <w:p w14:paraId="4B3A2D3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1E6082E" w14:textId="77777777" w:rsidR="00577D08" w:rsidRDefault="00330FC0">
      <w:pPr>
        <w:pStyle w:val="3"/>
        <w:numPr>
          <w:ilvl w:val="0"/>
          <w:numId w:val="6"/>
        </w:numPr>
        <w:ind w:left="0" w:firstLine="0"/>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2110034296"/>
        <w:placeholder>
          <w:docPart w:val="GBC22222222222222222222222222222"/>
        </w:placeholder>
      </w:sdtPr>
      <w:sdtContent>
        <w:p w14:paraId="40D474B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18EB6E6" w14:textId="77777777" w:rsidR="00577D08" w:rsidRDefault="00330FC0">
      <w:pPr>
        <w:pStyle w:val="3"/>
        <w:numPr>
          <w:ilvl w:val="0"/>
          <w:numId w:val="6"/>
        </w:numPr>
        <w:ind w:left="369" w:hangingChars="175" w:hanging="369"/>
      </w:pPr>
      <w:r>
        <w:t>境内外会计准则差异的说明：</w:t>
      </w:r>
    </w:p>
    <w:sdt>
      <w:sdtPr>
        <w:alias w:val="是否适用：境内外会计准则差异的说明[双击切换]"/>
        <w:tag w:val="_GBC_fb9a5edc484f49ab948423fc0bade519"/>
        <w:id w:val="144332933"/>
        <w:placeholder>
          <w:docPart w:val="GBC22222222222222222222222222222"/>
        </w:placeholder>
      </w:sdtPr>
      <w:sdtContent>
        <w:p w14:paraId="4B0B594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D6D4D85" w14:textId="77777777" w:rsidR="00577D08" w:rsidRDefault="00330FC0">
      <w:pPr>
        <w:pStyle w:val="2"/>
        <w:numPr>
          <w:ilvl w:val="1"/>
          <w:numId w:val="4"/>
        </w:numPr>
        <w:ind w:left="498" w:hangingChars="236" w:hanging="498"/>
      </w:pPr>
      <w:r>
        <w:rPr>
          <w:rFonts w:asciiTheme="minorEastAsia" w:eastAsiaTheme="minorEastAsia" w:hAnsiTheme="minorEastAsia" w:hint="eastAsia"/>
        </w:rPr>
        <w:t>2025年分季度主要财务数据</w:t>
      </w:r>
    </w:p>
    <w:p w14:paraId="35438E6E" w14:textId="77777777" w:rsidR="00577D08" w:rsidRDefault="00330FC0">
      <w:pPr>
        <w:jc w:val="right"/>
      </w:pPr>
      <w:r>
        <w:rPr>
          <w:rFonts w:hint="eastAsia"/>
        </w:rPr>
        <w:t>单位：</w:t>
      </w:r>
      <w:sdt>
        <w:sdtPr>
          <w:rPr>
            <w:rFonts w:hint="eastAsia"/>
          </w:rPr>
          <w:alias w:val="单位：分季度主要财务数据"/>
          <w:tag w:val="_GBC_c7bf8a69799342519e2da375e77f8d89"/>
          <w:id w:val="13998676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w:t>
      </w:r>
      <w:r>
        <w:rPr>
          <w:rFonts w:hint="eastAsia"/>
        </w:rPr>
        <w:t>币种：</w:t>
      </w:r>
      <w:sdt>
        <w:sdtPr>
          <w:rPr>
            <w:rFonts w:hint="eastAsia"/>
          </w:rPr>
          <w:alias w:val="币种：分季度主要财务数据"/>
          <w:tag w:val="_GBC_e825fbcd15674ffd86165e4ed7dcbbaf"/>
          <w:id w:val="-4892520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2"/>
        <w:gridCol w:w="1558"/>
        <w:gridCol w:w="1558"/>
        <w:gridCol w:w="1683"/>
      </w:tblGrid>
      <w:tr w:rsidR="00577D08" w14:paraId="1DD0DB3E" w14:textId="77777777">
        <w:tc>
          <w:tcPr>
            <w:tcW w:w="2405" w:type="dxa"/>
            <w:vAlign w:val="center"/>
          </w:tcPr>
          <w:p w14:paraId="7BBBE4C1" w14:textId="77777777" w:rsidR="00577D08" w:rsidRDefault="00577D08">
            <w:pPr>
              <w:widowControl w:val="0"/>
              <w:jc w:val="center"/>
            </w:pPr>
          </w:p>
        </w:tc>
        <w:sdt>
          <w:sdtPr>
            <w:tag w:val="_PLD_2d7ae3b1c4bd43a98e284f10d0bdc51f"/>
            <w:id w:val="-1019462700"/>
          </w:sdtPr>
          <w:sdtContent>
            <w:tc>
              <w:tcPr>
                <w:tcW w:w="1842" w:type="dxa"/>
                <w:vAlign w:val="center"/>
              </w:tcPr>
              <w:p w14:paraId="7243B54C" w14:textId="77777777" w:rsidR="00577D08" w:rsidRDefault="00330FC0">
                <w:pPr>
                  <w:widowControl w:val="0"/>
                  <w:jc w:val="center"/>
                </w:pPr>
                <w:r>
                  <w:rPr>
                    <w:rFonts w:hint="eastAsia"/>
                  </w:rPr>
                  <w:t>第一季度</w:t>
                </w:r>
              </w:p>
              <w:p w14:paraId="2A8F281C" w14:textId="77777777" w:rsidR="00577D08" w:rsidRDefault="00330FC0">
                <w:pPr>
                  <w:widowControl w:val="0"/>
                  <w:jc w:val="center"/>
                </w:pPr>
                <w:r>
                  <w:rPr>
                    <w:rFonts w:hint="eastAsia"/>
                  </w:rPr>
                  <w:t>（</w:t>
                </w:r>
                <w:r>
                  <w:rPr>
                    <w:rFonts w:hint="eastAsia"/>
                  </w:rPr>
                  <w:t>1-3</w:t>
                </w:r>
                <w:r>
                  <w:rPr>
                    <w:rFonts w:hint="eastAsia"/>
                  </w:rPr>
                  <w:t>月份）</w:t>
                </w:r>
              </w:p>
            </w:tc>
          </w:sdtContent>
        </w:sdt>
        <w:sdt>
          <w:sdtPr>
            <w:tag w:val="_PLD_07258d0e3e7e4393960c3400b24cda70"/>
            <w:id w:val="-2057382864"/>
          </w:sdtPr>
          <w:sdtContent>
            <w:tc>
              <w:tcPr>
                <w:tcW w:w="1558" w:type="dxa"/>
                <w:vAlign w:val="center"/>
              </w:tcPr>
              <w:p w14:paraId="51028B9E" w14:textId="77777777" w:rsidR="00577D08" w:rsidRDefault="00330FC0">
                <w:pPr>
                  <w:widowControl w:val="0"/>
                  <w:jc w:val="center"/>
                </w:pPr>
                <w:r>
                  <w:rPr>
                    <w:rFonts w:hint="eastAsia"/>
                  </w:rPr>
                  <w:t>第二季度</w:t>
                </w:r>
              </w:p>
              <w:p w14:paraId="69B3173E" w14:textId="77777777" w:rsidR="00577D08" w:rsidRDefault="00330FC0">
                <w:pPr>
                  <w:widowControl w:val="0"/>
                  <w:jc w:val="center"/>
                </w:pPr>
                <w:r>
                  <w:rPr>
                    <w:rFonts w:hint="eastAsia"/>
                  </w:rPr>
                  <w:t>（</w:t>
                </w:r>
                <w:r>
                  <w:rPr>
                    <w:rFonts w:hint="eastAsia"/>
                  </w:rPr>
                  <w:t>4-6</w:t>
                </w:r>
                <w:r>
                  <w:rPr>
                    <w:rFonts w:hint="eastAsia"/>
                  </w:rPr>
                  <w:t>月份）</w:t>
                </w:r>
              </w:p>
            </w:tc>
          </w:sdtContent>
        </w:sdt>
        <w:sdt>
          <w:sdtPr>
            <w:tag w:val="_PLD_f34790307d174eceaa953001c5186096"/>
            <w:id w:val="-1389943393"/>
          </w:sdtPr>
          <w:sdtContent>
            <w:tc>
              <w:tcPr>
                <w:tcW w:w="1558" w:type="dxa"/>
                <w:vAlign w:val="center"/>
              </w:tcPr>
              <w:p w14:paraId="168FA67A" w14:textId="77777777" w:rsidR="00577D08" w:rsidRDefault="00330FC0">
                <w:pPr>
                  <w:widowControl w:val="0"/>
                  <w:jc w:val="center"/>
                </w:pPr>
                <w:r>
                  <w:rPr>
                    <w:rFonts w:hint="eastAsia"/>
                  </w:rPr>
                  <w:t>第三季度</w:t>
                </w:r>
              </w:p>
              <w:p w14:paraId="1FF260F4" w14:textId="77777777" w:rsidR="00577D08" w:rsidRDefault="00330FC0">
                <w:pPr>
                  <w:widowControl w:val="0"/>
                  <w:jc w:val="center"/>
                </w:pPr>
                <w:r>
                  <w:rPr>
                    <w:rFonts w:hint="eastAsia"/>
                  </w:rPr>
                  <w:t>（</w:t>
                </w:r>
                <w:r>
                  <w:rPr>
                    <w:rFonts w:hint="eastAsia"/>
                  </w:rPr>
                  <w:t>7-9</w:t>
                </w:r>
                <w:r>
                  <w:rPr>
                    <w:rFonts w:hint="eastAsia"/>
                  </w:rPr>
                  <w:t>月份）</w:t>
                </w:r>
              </w:p>
            </w:tc>
          </w:sdtContent>
        </w:sdt>
        <w:sdt>
          <w:sdtPr>
            <w:tag w:val="_PLD_18cc80c8863d4859a79676f49ef83412"/>
            <w:id w:val="-1669171893"/>
          </w:sdtPr>
          <w:sdtContent>
            <w:tc>
              <w:tcPr>
                <w:tcW w:w="1683" w:type="dxa"/>
                <w:vAlign w:val="center"/>
              </w:tcPr>
              <w:p w14:paraId="307E20D2" w14:textId="77777777" w:rsidR="00577D08" w:rsidRDefault="00330FC0">
                <w:pPr>
                  <w:widowControl w:val="0"/>
                  <w:jc w:val="center"/>
                </w:pPr>
                <w:r>
                  <w:rPr>
                    <w:rFonts w:hint="eastAsia"/>
                  </w:rPr>
                  <w:t>第四季度</w:t>
                </w:r>
              </w:p>
              <w:p w14:paraId="71BDEA42" w14:textId="77777777" w:rsidR="00577D08" w:rsidRDefault="00330FC0">
                <w:pPr>
                  <w:widowControl w:val="0"/>
                  <w:jc w:val="center"/>
                </w:pPr>
                <w:r>
                  <w:rPr>
                    <w:rFonts w:hint="eastAsia"/>
                  </w:rPr>
                  <w:t>（</w:t>
                </w:r>
                <w:r>
                  <w:rPr>
                    <w:rFonts w:hint="eastAsia"/>
                  </w:rPr>
                  <w:t>10-12</w:t>
                </w:r>
                <w:r>
                  <w:rPr>
                    <w:rFonts w:hint="eastAsia"/>
                  </w:rPr>
                  <w:t>月份）</w:t>
                </w:r>
              </w:p>
            </w:tc>
          </w:sdtContent>
        </w:sdt>
      </w:tr>
      <w:tr w:rsidR="00577D08" w14:paraId="24B58F2C" w14:textId="77777777">
        <w:tc>
          <w:tcPr>
            <w:tcW w:w="2405" w:type="dxa"/>
            <w:vAlign w:val="center"/>
          </w:tcPr>
          <w:p w14:paraId="70779756" w14:textId="77777777" w:rsidR="00577D08" w:rsidRDefault="00330FC0">
            <w:pPr>
              <w:widowControl w:val="0"/>
              <w:jc w:val="both"/>
            </w:pPr>
            <w:r>
              <w:rPr>
                <w:rFonts w:hint="eastAsia"/>
              </w:rPr>
              <w:t>营业收入</w:t>
            </w:r>
          </w:p>
        </w:tc>
        <w:tc>
          <w:tcPr>
            <w:tcW w:w="1842" w:type="dxa"/>
            <w:vAlign w:val="center"/>
          </w:tcPr>
          <w:p w14:paraId="36F5B8D3" w14:textId="77777777" w:rsidR="00577D08" w:rsidRDefault="00330FC0">
            <w:pPr>
              <w:widowControl w:val="0"/>
              <w:jc w:val="right"/>
            </w:pPr>
            <w:r>
              <w:t xml:space="preserve"> 78,647.05 </w:t>
            </w:r>
          </w:p>
        </w:tc>
        <w:tc>
          <w:tcPr>
            <w:tcW w:w="1558" w:type="dxa"/>
            <w:vAlign w:val="center"/>
          </w:tcPr>
          <w:p w14:paraId="0BC056CA" w14:textId="77777777" w:rsidR="00577D08" w:rsidRDefault="00330FC0">
            <w:pPr>
              <w:widowControl w:val="0"/>
              <w:jc w:val="right"/>
            </w:pPr>
            <w:r>
              <w:t xml:space="preserve"> 104,951.26 </w:t>
            </w:r>
          </w:p>
        </w:tc>
        <w:tc>
          <w:tcPr>
            <w:tcW w:w="1558" w:type="dxa"/>
            <w:vAlign w:val="center"/>
          </w:tcPr>
          <w:p w14:paraId="6CCE3894" w14:textId="77777777" w:rsidR="00577D08" w:rsidRDefault="00330FC0">
            <w:pPr>
              <w:widowControl w:val="0"/>
              <w:jc w:val="right"/>
            </w:pPr>
            <w:r>
              <w:t xml:space="preserve"> 89,213.69 </w:t>
            </w:r>
          </w:p>
        </w:tc>
        <w:tc>
          <w:tcPr>
            <w:tcW w:w="1683" w:type="dxa"/>
            <w:vAlign w:val="center"/>
          </w:tcPr>
          <w:p w14:paraId="3E5D849F" w14:textId="77777777" w:rsidR="00577D08" w:rsidRDefault="00330FC0">
            <w:pPr>
              <w:widowControl w:val="0"/>
              <w:jc w:val="right"/>
            </w:pPr>
            <w:r>
              <w:t xml:space="preserve"> 118,888.83 </w:t>
            </w:r>
          </w:p>
        </w:tc>
      </w:tr>
      <w:tr w:rsidR="00577D08" w14:paraId="3BEE4A4A" w14:textId="77777777">
        <w:tc>
          <w:tcPr>
            <w:tcW w:w="2405" w:type="dxa"/>
            <w:vAlign w:val="center"/>
          </w:tcPr>
          <w:p w14:paraId="6442426E" w14:textId="77777777" w:rsidR="00577D08" w:rsidRDefault="00330FC0">
            <w:pPr>
              <w:widowControl w:val="0"/>
              <w:jc w:val="both"/>
            </w:pPr>
            <w:r>
              <w:rPr>
                <w:rFonts w:hint="eastAsia"/>
              </w:rPr>
              <w:t>归属于上市公司股东的净利润</w:t>
            </w:r>
          </w:p>
        </w:tc>
        <w:tc>
          <w:tcPr>
            <w:tcW w:w="1842" w:type="dxa"/>
            <w:vAlign w:val="center"/>
          </w:tcPr>
          <w:p w14:paraId="5CFB5FAF" w14:textId="77777777" w:rsidR="00577D08" w:rsidRDefault="00330FC0">
            <w:pPr>
              <w:widowControl w:val="0"/>
              <w:jc w:val="right"/>
            </w:pPr>
            <w:r>
              <w:t xml:space="preserve"> 1,449.58 </w:t>
            </w:r>
          </w:p>
        </w:tc>
        <w:tc>
          <w:tcPr>
            <w:tcW w:w="1558" w:type="dxa"/>
            <w:vAlign w:val="center"/>
          </w:tcPr>
          <w:p w14:paraId="3292A1BB" w14:textId="77777777" w:rsidR="00577D08" w:rsidRDefault="00330FC0">
            <w:pPr>
              <w:widowControl w:val="0"/>
              <w:jc w:val="right"/>
            </w:pPr>
            <w:r>
              <w:t xml:space="preserve"> 4,013.64 </w:t>
            </w:r>
          </w:p>
        </w:tc>
        <w:tc>
          <w:tcPr>
            <w:tcW w:w="1558" w:type="dxa"/>
            <w:vAlign w:val="center"/>
          </w:tcPr>
          <w:p w14:paraId="3E533EA7" w14:textId="77777777" w:rsidR="00577D08" w:rsidRDefault="00330FC0">
            <w:pPr>
              <w:widowControl w:val="0"/>
              <w:jc w:val="right"/>
            </w:pPr>
            <w:r>
              <w:t xml:space="preserve"> 2,629.99 </w:t>
            </w:r>
          </w:p>
        </w:tc>
        <w:tc>
          <w:tcPr>
            <w:tcW w:w="1683" w:type="dxa"/>
            <w:vAlign w:val="center"/>
          </w:tcPr>
          <w:p w14:paraId="1A975D98" w14:textId="77777777" w:rsidR="00577D08" w:rsidRDefault="00330FC0">
            <w:pPr>
              <w:widowControl w:val="0"/>
              <w:jc w:val="right"/>
            </w:pPr>
            <w:r>
              <w:t xml:space="preserve"> -1,168.89 </w:t>
            </w:r>
          </w:p>
        </w:tc>
      </w:tr>
      <w:tr w:rsidR="00577D08" w14:paraId="6FB73217" w14:textId="77777777">
        <w:tc>
          <w:tcPr>
            <w:tcW w:w="2405" w:type="dxa"/>
            <w:vAlign w:val="center"/>
          </w:tcPr>
          <w:p w14:paraId="3FA4C9F5" w14:textId="77777777" w:rsidR="00577D08" w:rsidRDefault="00330FC0">
            <w:pPr>
              <w:widowControl w:val="0"/>
              <w:jc w:val="both"/>
            </w:pPr>
            <w:r>
              <w:rPr>
                <w:rFonts w:hint="eastAsia"/>
              </w:rPr>
              <w:t>归属于上市公司股东的扣除非经常性损益后的净利润</w:t>
            </w:r>
          </w:p>
        </w:tc>
        <w:tc>
          <w:tcPr>
            <w:tcW w:w="1842" w:type="dxa"/>
            <w:vAlign w:val="center"/>
          </w:tcPr>
          <w:p w14:paraId="2FE48403" w14:textId="77777777" w:rsidR="00577D08" w:rsidRDefault="00330FC0">
            <w:pPr>
              <w:widowControl w:val="0"/>
              <w:jc w:val="right"/>
            </w:pPr>
            <w:r>
              <w:t xml:space="preserve"> 1,063.97 </w:t>
            </w:r>
          </w:p>
        </w:tc>
        <w:tc>
          <w:tcPr>
            <w:tcW w:w="1558" w:type="dxa"/>
            <w:vAlign w:val="center"/>
          </w:tcPr>
          <w:p w14:paraId="6CA92FEB" w14:textId="77777777" w:rsidR="00577D08" w:rsidRDefault="00330FC0">
            <w:pPr>
              <w:widowControl w:val="0"/>
              <w:jc w:val="right"/>
            </w:pPr>
            <w:r>
              <w:t xml:space="preserve"> 3,857.59 </w:t>
            </w:r>
          </w:p>
        </w:tc>
        <w:tc>
          <w:tcPr>
            <w:tcW w:w="1558" w:type="dxa"/>
            <w:vAlign w:val="center"/>
          </w:tcPr>
          <w:p w14:paraId="31A0397E" w14:textId="77777777" w:rsidR="00577D08" w:rsidRDefault="00330FC0">
            <w:pPr>
              <w:widowControl w:val="0"/>
              <w:jc w:val="right"/>
            </w:pPr>
            <w:r>
              <w:t xml:space="preserve"> 2,696.65 </w:t>
            </w:r>
          </w:p>
        </w:tc>
        <w:tc>
          <w:tcPr>
            <w:tcW w:w="1683" w:type="dxa"/>
            <w:vAlign w:val="center"/>
          </w:tcPr>
          <w:p w14:paraId="6ACA58A2" w14:textId="77777777" w:rsidR="00577D08" w:rsidRDefault="00330FC0">
            <w:pPr>
              <w:widowControl w:val="0"/>
              <w:jc w:val="right"/>
            </w:pPr>
            <w:r>
              <w:t xml:space="preserve"> -1,138.7</w:t>
            </w:r>
            <w:r>
              <w:rPr>
                <w:rFonts w:hint="eastAsia"/>
              </w:rPr>
              <w:t>4</w:t>
            </w:r>
            <w:r>
              <w:t xml:space="preserve"> </w:t>
            </w:r>
          </w:p>
        </w:tc>
      </w:tr>
      <w:tr w:rsidR="00577D08" w14:paraId="4CA3F2F2" w14:textId="77777777">
        <w:tc>
          <w:tcPr>
            <w:tcW w:w="2405" w:type="dxa"/>
            <w:vAlign w:val="center"/>
          </w:tcPr>
          <w:p w14:paraId="62098447" w14:textId="77777777" w:rsidR="00577D08" w:rsidRDefault="00330FC0">
            <w:pPr>
              <w:widowControl w:val="0"/>
              <w:jc w:val="both"/>
            </w:pPr>
            <w:r>
              <w:rPr>
                <w:rFonts w:hint="eastAsia"/>
              </w:rPr>
              <w:t>经营活动产生的现金流量净额</w:t>
            </w:r>
          </w:p>
        </w:tc>
        <w:tc>
          <w:tcPr>
            <w:tcW w:w="1842" w:type="dxa"/>
            <w:vAlign w:val="center"/>
          </w:tcPr>
          <w:p w14:paraId="2224959A" w14:textId="77777777" w:rsidR="00577D08" w:rsidRDefault="00330FC0">
            <w:pPr>
              <w:widowControl w:val="0"/>
              <w:jc w:val="right"/>
            </w:pPr>
            <w:r>
              <w:t xml:space="preserve"> 7,799.29 </w:t>
            </w:r>
          </w:p>
        </w:tc>
        <w:tc>
          <w:tcPr>
            <w:tcW w:w="1558" w:type="dxa"/>
            <w:vAlign w:val="center"/>
          </w:tcPr>
          <w:p w14:paraId="708BE772" w14:textId="77777777" w:rsidR="00577D08" w:rsidRDefault="00330FC0">
            <w:pPr>
              <w:widowControl w:val="0"/>
              <w:jc w:val="right"/>
            </w:pPr>
            <w:r>
              <w:t xml:space="preserve"> -5,816.17 </w:t>
            </w:r>
          </w:p>
        </w:tc>
        <w:tc>
          <w:tcPr>
            <w:tcW w:w="1558" w:type="dxa"/>
            <w:vAlign w:val="center"/>
          </w:tcPr>
          <w:p w14:paraId="423AEA96" w14:textId="77777777" w:rsidR="00577D08" w:rsidRDefault="00330FC0">
            <w:pPr>
              <w:widowControl w:val="0"/>
              <w:jc w:val="right"/>
            </w:pPr>
            <w:r>
              <w:t xml:space="preserve"> 14,591.52 </w:t>
            </w:r>
          </w:p>
        </w:tc>
        <w:tc>
          <w:tcPr>
            <w:tcW w:w="1683" w:type="dxa"/>
            <w:vAlign w:val="center"/>
          </w:tcPr>
          <w:p w14:paraId="6946652A" w14:textId="77777777" w:rsidR="00577D08" w:rsidRDefault="00330FC0">
            <w:pPr>
              <w:widowControl w:val="0"/>
              <w:jc w:val="right"/>
            </w:pPr>
            <w:r>
              <w:t xml:space="preserve"> 6,408.21 </w:t>
            </w:r>
          </w:p>
        </w:tc>
      </w:tr>
    </w:tbl>
    <w:p w14:paraId="48ABFCF7" w14:textId="77777777" w:rsidR="00577D08" w:rsidRDefault="00330FC0">
      <w:pPr>
        <w:rPr>
          <w:rFonts w:ascii="Calibri" w:hAnsi="Calibri"/>
          <w:bCs/>
          <w:kern w:val="2"/>
          <w:szCs w:val="32"/>
        </w:rPr>
      </w:pPr>
      <w:r>
        <w:rPr>
          <w:rFonts w:ascii="Calibri" w:hAnsi="Calibri" w:hint="eastAsia"/>
          <w:bCs/>
          <w:kern w:val="2"/>
          <w:szCs w:val="32"/>
        </w:rPr>
        <w:t>季度数据与已披露定期报告数据差异说明</w:t>
      </w:r>
    </w:p>
    <w:sdt>
      <w:sdtPr>
        <w:alias w:val="是否适用：季度数据与已披露定期报告数据差异说明[双击切换]"/>
        <w:tag w:val="_GBC_90abe51569fb4ccda7eaf6149fe8f3a9"/>
        <w:id w:val="222727684"/>
        <w:placeholder>
          <w:docPart w:val="GBC22222222222222222222222222222"/>
        </w:placeholder>
      </w:sdtPr>
      <w:sdtContent>
        <w:p w14:paraId="09145B6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D039027" w14:textId="77777777" w:rsidR="00577D08" w:rsidRDefault="00330FC0">
      <w:pPr>
        <w:pStyle w:val="2"/>
        <w:numPr>
          <w:ilvl w:val="1"/>
          <w:numId w:val="4"/>
        </w:numPr>
        <w:ind w:left="498" w:hangingChars="236" w:hanging="498"/>
      </w:pPr>
      <w:bookmarkStart w:id="36" w:name="_Hlk152579713"/>
      <w:bookmarkStart w:id="37" w:name="_Hlk24640273"/>
      <w:r>
        <w:rPr>
          <w:rFonts w:hint="eastAsia"/>
        </w:rPr>
        <w:t>非经常性损益项目和金额</w:t>
      </w:r>
    </w:p>
    <w:sdt>
      <w:sdtPr>
        <w:alias w:val="是否适用：扣除非经常性损益项目和金额[双击切换]"/>
        <w:tag w:val="_GBC_d311c3479a4945ceb1266734910915b6"/>
        <w:id w:val="-28339013"/>
        <w:placeholder>
          <w:docPart w:val="GBC22222222222222222222222222222"/>
        </w:placeholder>
      </w:sdtPr>
      <w:sdtContent>
        <w:p w14:paraId="3CBE0D2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20C2521" w14:textId="6C893F8C" w:rsidR="00577D08" w:rsidRDefault="00330FC0">
      <w:pPr>
        <w:jc w:val="right"/>
      </w:pPr>
      <w:r>
        <w:rPr>
          <w:rFonts w:hint="eastAsia"/>
        </w:rPr>
        <w:t>单位：</w:t>
      </w:r>
      <w:sdt>
        <w:sdtPr>
          <w:rPr>
            <w:rFonts w:hint="eastAsia"/>
          </w:rPr>
          <w:alias w:val="单位：扣除非经常性损益项目和金额"/>
          <w:tag w:val="_GBC_120471c8e4434d7bbf8c91141121ab39"/>
          <w:id w:val="723720975"/>
          <w:placeholder>
            <w:docPart w:val="GBC22222222222222222222222222222"/>
          </w:placeholder>
          <w:dataBinding w:prefixMappings="xmlns:clcid-ci-ar='clcid-ci-ar'" w:xpath="/*/clcid-ci-ar:DanWeiKouChuFeiJingChangXingSunYiXiangMuHeJinE[not(@periodRef)]" w:storeItemID="{89EBAB94-44A0-46A2-B712-30D997D04A6D}"/>
          <w:comboBox w:lastValue="万元 ">
            <w:listItem w:displayText="元" w:value="1"/>
            <w:listItem w:displayText="千元" w:value="1000"/>
            <w:listItem w:displayText="万元" w:value="10000"/>
            <w:listItem w:displayText="百万元" w:value="1000000"/>
            <w:listItem w:displayText="亿元" w:value="100000000"/>
          </w:comboBox>
        </w:sdtPr>
        <w:sdtContent>
          <w:r w:rsidR="00CC5C32">
            <w:rPr>
              <w:rFonts w:hint="eastAsia"/>
            </w:rPr>
            <w:t>万元</w:t>
          </w:r>
          <w:r w:rsidR="00CC5C32">
            <w:rPr>
              <w:rFonts w:hint="eastAsia"/>
            </w:rPr>
            <w:t xml:space="preserve"> </w:t>
          </w:r>
        </w:sdtContent>
      </w:sdt>
      <w:r>
        <w:rPr>
          <w:rFonts w:hint="eastAsia"/>
        </w:rPr>
        <w:t xml:space="preserve">  </w:t>
      </w:r>
      <w:r>
        <w:rPr>
          <w:rFonts w:hint="eastAsia"/>
        </w:rPr>
        <w:t>币种：</w:t>
      </w:r>
      <w:sdt>
        <w:sdtPr>
          <w:rPr>
            <w:rFonts w:hint="eastAsia"/>
          </w:rPr>
          <w:alias w:val="币种：扣除非经常性损益项目和金额"/>
          <w:tag w:val="_GBC_8d756f42e06c4610a2149f35e1d51a62"/>
          <w:id w:val="1322311356"/>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3608"/>
        <w:gridCol w:w="1319"/>
        <w:gridCol w:w="1507"/>
        <w:gridCol w:w="1315"/>
        <w:gridCol w:w="1297"/>
      </w:tblGrid>
      <w:tr w:rsidR="00577D08" w14:paraId="7B477AFB" w14:textId="77777777">
        <w:sdt>
          <w:sdtPr>
            <w:tag w:val="_PLD_451a5b1d22614c45b1fbba1d8acc3cbb"/>
            <w:id w:val="1537620459"/>
          </w:sdtPr>
          <w:sdtContent>
            <w:tc>
              <w:tcPr>
                <w:tcW w:w="3608" w:type="dxa"/>
                <w:vAlign w:val="center"/>
              </w:tcPr>
              <w:p w14:paraId="06F93C28" w14:textId="77777777" w:rsidR="00577D08" w:rsidRDefault="00330FC0">
                <w:pPr>
                  <w:pStyle w:val="aff9"/>
                  <w:ind w:firstLineChars="0" w:firstLine="0"/>
                  <w:jc w:val="center"/>
                  <w:rPr>
                    <w:rFonts w:ascii="宋体" w:hAnsi="宋体" w:hint="eastAsia"/>
                    <w:szCs w:val="21"/>
                  </w:rPr>
                </w:pPr>
                <w:r>
                  <w:rPr>
                    <w:rFonts w:ascii="宋体" w:hAnsi="宋体" w:hint="eastAsia"/>
                    <w:szCs w:val="21"/>
                  </w:rPr>
                  <w:t>非经常性损益项目</w:t>
                </w:r>
              </w:p>
            </w:tc>
          </w:sdtContent>
        </w:sdt>
        <w:sdt>
          <w:sdtPr>
            <w:tag w:val="_PLD_75a853b22038430db055de446a19d683"/>
            <w:id w:val="1101839098"/>
          </w:sdtPr>
          <w:sdtContent>
            <w:tc>
              <w:tcPr>
                <w:tcW w:w="1319" w:type="dxa"/>
                <w:vAlign w:val="center"/>
              </w:tcPr>
              <w:p w14:paraId="228583DB" w14:textId="77777777" w:rsidR="00577D08" w:rsidRDefault="00330FC0">
                <w:pPr>
                  <w:pStyle w:val="aff9"/>
                  <w:ind w:firstLineChars="0" w:firstLine="0"/>
                  <w:jc w:val="center"/>
                  <w:rPr>
                    <w:rFonts w:ascii="宋体" w:hAnsi="宋体" w:hint="eastAsia"/>
                    <w:szCs w:val="21"/>
                  </w:rPr>
                </w:pPr>
                <w:r>
                  <w:rPr>
                    <w:rFonts w:ascii="宋体" w:hAnsi="宋体" w:hint="eastAsia"/>
                    <w:szCs w:val="21"/>
                  </w:rPr>
                  <w:t>2025年金额</w:t>
                </w:r>
              </w:p>
            </w:tc>
          </w:sdtContent>
        </w:sdt>
        <w:sdt>
          <w:sdtPr>
            <w:tag w:val="_PLD_c571f80c57314d5cbbb4106b26568a8c"/>
            <w:id w:val="-2146104539"/>
          </w:sdtPr>
          <w:sdtContent>
            <w:tc>
              <w:tcPr>
                <w:tcW w:w="1507" w:type="dxa"/>
                <w:vAlign w:val="center"/>
              </w:tcPr>
              <w:p w14:paraId="77201A4F" w14:textId="77777777" w:rsidR="00577D08" w:rsidRDefault="00330FC0">
                <w:pPr>
                  <w:pStyle w:val="aff9"/>
                  <w:ind w:firstLineChars="0" w:firstLine="0"/>
                  <w:jc w:val="center"/>
                  <w:rPr>
                    <w:rFonts w:ascii="宋体" w:hAnsi="宋体" w:hint="eastAsia"/>
                    <w:szCs w:val="21"/>
                  </w:rPr>
                </w:pPr>
                <w:r>
                  <w:rPr>
                    <w:rFonts w:ascii="宋体" w:hAnsi="宋体" w:hint="eastAsia"/>
                    <w:szCs w:val="21"/>
                  </w:rPr>
                  <w:t>附注（如适用）</w:t>
                </w:r>
              </w:p>
            </w:tc>
          </w:sdtContent>
        </w:sdt>
        <w:sdt>
          <w:sdtPr>
            <w:tag w:val="_PLD_7178520950424696adfe1eb7e010035c"/>
            <w:id w:val="-572583569"/>
          </w:sdtPr>
          <w:sdtContent>
            <w:tc>
              <w:tcPr>
                <w:tcW w:w="1315" w:type="dxa"/>
                <w:vAlign w:val="center"/>
              </w:tcPr>
              <w:p w14:paraId="259E39EB" w14:textId="77777777" w:rsidR="00577D08" w:rsidRDefault="00330FC0">
                <w:pPr>
                  <w:pStyle w:val="aff9"/>
                  <w:ind w:firstLineChars="0" w:firstLine="0"/>
                  <w:jc w:val="center"/>
                  <w:rPr>
                    <w:rFonts w:ascii="宋体" w:hAnsi="宋体" w:hint="eastAsia"/>
                    <w:szCs w:val="21"/>
                  </w:rPr>
                </w:pPr>
                <w:r>
                  <w:rPr>
                    <w:rFonts w:ascii="宋体" w:hAnsi="宋体" w:hint="eastAsia"/>
                    <w:szCs w:val="21"/>
                  </w:rPr>
                  <w:t>2024年金额</w:t>
                </w:r>
              </w:p>
            </w:tc>
          </w:sdtContent>
        </w:sdt>
        <w:sdt>
          <w:sdtPr>
            <w:tag w:val="_PLD_870e9453ef9d4928968c60216a29f211"/>
            <w:id w:val="209385653"/>
          </w:sdtPr>
          <w:sdtContent>
            <w:tc>
              <w:tcPr>
                <w:tcW w:w="1297" w:type="dxa"/>
                <w:vAlign w:val="center"/>
              </w:tcPr>
              <w:p w14:paraId="4220B188" w14:textId="77777777" w:rsidR="00577D08" w:rsidRDefault="00330FC0">
                <w:pPr>
                  <w:pStyle w:val="aff9"/>
                  <w:ind w:firstLineChars="0" w:firstLine="0"/>
                  <w:jc w:val="center"/>
                  <w:rPr>
                    <w:rFonts w:ascii="宋体" w:hAnsi="宋体" w:hint="eastAsia"/>
                    <w:szCs w:val="21"/>
                  </w:rPr>
                </w:pPr>
                <w:r>
                  <w:rPr>
                    <w:rFonts w:ascii="宋体" w:hAnsi="宋体" w:hint="eastAsia"/>
                    <w:szCs w:val="21"/>
                  </w:rPr>
                  <w:t>2023年金额</w:t>
                </w:r>
              </w:p>
            </w:tc>
          </w:sdtContent>
        </w:sdt>
      </w:tr>
      <w:tr w:rsidR="00577D08" w14:paraId="57C352FB" w14:textId="77777777">
        <w:tc>
          <w:tcPr>
            <w:tcW w:w="3608" w:type="dxa"/>
            <w:vAlign w:val="center"/>
          </w:tcPr>
          <w:p w14:paraId="0045E174" w14:textId="77777777" w:rsidR="00577D08" w:rsidRDefault="00330FC0">
            <w:pPr>
              <w:pStyle w:val="aff9"/>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1319" w:type="dxa"/>
            <w:vAlign w:val="center"/>
          </w:tcPr>
          <w:p w14:paraId="13E6D2C5" w14:textId="77777777" w:rsidR="00577D08" w:rsidRDefault="00330FC0">
            <w:pPr>
              <w:jc w:val="right"/>
            </w:pPr>
            <w:r>
              <w:t xml:space="preserve"> -41.15 </w:t>
            </w:r>
          </w:p>
        </w:tc>
        <w:tc>
          <w:tcPr>
            <w:tcW w:w="1507" w:type="dxa"/>
            <w:vAlign w:val="center"/>
          </w:tcPr>
          <w:p w14:paraId="193088D1" w14:textId="77777777" w:rsidR="00577D08" w:rsidRDefault="00577D08">
            <w:pPr>
              <w:jc w:val="right"/>
            </w:pPr>
          </w:p>
        </w:tc>
        <w:tc>
          <w:tcPr>
            <w:tcW w:w="1315" w:type="dxa"/>
            <w:vAlign w:val="center"/>
          </w:tcPr>
          <w:p w14:paraId="75FD7313" w14:textId="77777777" w:rsidR="00577D08" w:rsidRDefault="00330FC0">
            <w:pPr>
              <w:jc w:val="right"/>
            </w:pPr>
            <w:r>
              <w:t xml:space="preserve"> -308.63 </w:t>
            </w:r>
          </w:p>
        </w:tc>
        <w:tc>
          <w:tcPr>
            <w:tcW w:w="1297" w:type="dxa"/>
            <w:vAlign w:val="center"/>
          </w:tcPr>
          <w:p w14:paraId="1734984C" w14:textId="77777777" w:rsidR="00577D08" w:rsidRDefault="00330FC0">
            <w:pPr>
              <w:jc w:val="right"/>
            </w:pPr>
            <w:r>
              <w:t xml:space="preserve"> -75.74 </w:t>
            </w:r>
          </w:p>
        </w:tc>
      </w:tr>
      <w:tr w:rsidR="00577D08" w14:paraId="1018F9A2" w14:textId="77777777">
        <w:tc>
          <w:tcPr>
            <w:tcW w:w="3608" w:type="dxa"/>
            <w:vAlign w:val="center"/>
          </w:tcPr>
          <w:p w14:paraId="7B5349F0" w14:textId="77777777" w:rsidR="00577D08" w:rsidRDefault="00330FC0">
            <w:pPr>
              <w:pStyle w:val="aff9"/>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1319" w:type="dxa"/>
            <w:vAlign w:val="center"/>
          </w:tcPr>
          <w:p w14:paraId="45486576" w14:textId="77777777" w:rsidR="00577D08" w:rsidRDefault="00330FC0">
            <w:pPr>
              <w:jc w:val="right"/>
            </w:pPr>
            <w:r>
              <w:t xml:space="preserve"> 1,544.70 </w:t>
            </w:r>
          </w:p>
        </w:tc>
        <w:tc>
          <w:tcPr>
            <w:tcW w:w="1507" w:type="dxa"/>
            <w:vAlign w:val="center"/>
          </w:tcPr>
          <w:p w14:paraId="056941A7" w14:textId="77777777" w:rsidR="00577D08" w:rsidRDefault="00577D08">
            <w:pPr>
              <w:jc w:val="right"/>
            </w:pPr>
          </w:p>
        </w:tc>
        <w:tc>
          <w:tcPr>
            <w:tcW w:w="1315" w:type="dxa"/>
            <w:vAlign w:val="center"/>
          </w:tcPr>
          <w:p w14:paraId="320858B8" w14:textId="77777777" w:rsidR="00577D08" w:rsidRDefault="00330FC0">
            <w:pPr>
              <w:jc w:val="right"/>
            </w:pPr>
            <w:r>
              <w:t xml:space="preserve"> 5,703.81 </w:t>
            </w:r>
          </w:p>
        </w:tc>
        <w:tc>
          <w:tcPr>
            <w:tcW w:w="1297" w:type="dxa"/>
            <w:vAlign w:val="center"/>
          </w:tcPr>
          <w:p w14:paraId="05405567" w14:textId="77777777" w:rsidR="00577D08" w:rsidRDefault="00330FC0">
            <w:pPr>
              <w:jc w:val="right"/>
            </w:pPr>
            <w:r>
              <w:t xml:space="preserve"> 1,169.12 </w:t>
            </w:r>
          </w:p>
        </w:tc>
      </w:tr>
      <w:tr w:rsidR="00577D08" w14:paraId="354CA473" w14:textId="77777777">
        <w:tc>
          <w:tcPr>
            <w:tcW w:w="3608" w:type="dxa"/>
            <w:vAlign w:val="center"/>
          </w:tcPr>
          <w:p w14:paraId="292D6B95" w14:textId="77777777" w:rsidR="00577D08" w:rsidRDefault="00330FC0">
            <w:pPr>
              <w:pStyle w:val="aff9"/>
              <w:ind w:firstLineChars="0" w:firstLine="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319" w:type="dxa"/>
            <w:vAlign w:val="center"/>
          </w:tcPr>
          <w:p w14:paraId="4E8501A7" w14:textId="77777777" w:rsidR="00577D08" w:rsidRDefault="00330FC0">
            <w:pPr>
              <w:jc w:val="right"/>
            </w:pPr>
            <w:r>
              <w:t xml:space="preserve"> 118.75 </w:t>
            </w:r>
          </w:p>
        </w:tc>
        <w:tc>
          <w:tcPr>
            <w:tcW w:w="1507" w:type="dxa"/>
            <w:vAlign w:val="center"/>
          </w:tcPr>
          <w:p w14:paraId="5F9D4B4B" w14:textId="77777777" w:rsidR="00577D08" w:rsidRDefault="00577D08">
            <w:pPr>
              <w:jc w:val="right"/>
            </w:pPr>
          </w:p>
        </w:tc>
        <w:tc>
          <w:tcPr>
            <w:tcW w:w="1315" w:type="dxa"/>
            <w:vAlign w:val="center"/>
          </w:tcPr>
          <w:p w14:paraId="305E5E1B" w14:textId="77777777" w:rsidR="00577D08" w:rsidRDefault="00330FC0">
            <w:pPr>
              <w:jc w:val="right"/>
            </w:pPr>
            <w:r>
              <w:t xml:space="preserve"> 97.93 </w:t>
            </w:r>
          </w:p>
        </w:tc>
        <w:tc>
          <w:tcPr>
            <w:tcW w:w="1297" w:type="dxa"/>
            <w:vAlign w:val="center"/>
          </w:tcPr>
          <w:p w14:paraId="2F4CEDD4" w14:textId="77777777" w:rsidR="00577D08" w:rsidRDefault="00330FC0">
            <w:pPr>
              <w:jc w:val="right"/>
            </w:pPr>
            <w:r>
              <w:t xml:space="preserve"> 8.04 </w:t>
            </w:r>
          </w:p>
        </w:tc>
      </w:tr>
      <w:tr w:rsidR="00577D08" w14:paraId="387B84A1" w14:textId="77777777">
        <w:tc>
          <w:tcPr>
            <w:tcW w:w="3608" w:type="dxa"/>
            <w:vAlign w:val="center"/>
          </w:tcPr>
          <w:p w14:paraId="584D9FBA" w14:textId="77777777" w:rsidR="00577D08" w:rsidRDefault="00330FC0">
            <w:pPr>
              <w:pStyle w:val="aff9"/>
              <w:ind w:firstLineChars="0" w:firstLine="0"/>
              <w:jc w:val="left"/>
              <w:rPr>
                <w:szCs w:val="21"/>
              </w:rPr>
            </w:pPr>
            <w:r>
              <w:rPr>
                <w:szCs w:val="21"/>
              </w:rPr>
              <w:t>计入当期损益的对非金融企业收取的资金占用费</w:t>
            </w:r>
          </w:p>
        </w:tc>
        <w:tc>
          <w:tcPr>
            <w:tcW w:w="1319" w:type="dxa"/>
            <w:vAlign w:val="center"/>
          </w:tcPr>
          <w:p w14:paraId="34F57524" w14:textId="77777777" w:rsidR="00577D08" w:rsidRDefault="00577D08">
            <w:pPr>
              <w:jc w:val="right"/>
            </w:pPr>
          </w:p>
        </w:tc>
        <w:tc>
          <w:tcPr>
            <w:tcW w:w="1507" w:type="dxa"/>
            <w:vAlign w:val="center"/>
          </w:tcPr>
          <w:p w14:paraId="479BC65C" w14:textId="77777777" w:rsidR="00577D08" w:rsidRDefault="00577D08">
            <w:pPr>
              <w:jc w:val="right"/>
            </w:pPr>
          </w:p>
        </w:tc>
        <w:tc>
          <w:tcPr>
            <w:tcW w:w="1315" w:type="dxa"/>
            <w:vAlign w:val="center"/>
          </w:tcPr>
          <w:p w14:paraId="3E15A0EC" w14:textId="77777777" w:rsidR="00577D08" w:rsidRDefault="00577D08">
            <w:pPr>
              <w:jc w:val="right"/>
            </w:pPr>
          </w:p>
        </w:tc>
        <w:tc>
          <w:tcPr>
            <w:tcW w:w="1297" w:type="dxa"/>
            <w:vAlign w:val="center"/>
          </w:tcPr>
          <w:p w14:paraId="5ECB4DFB" w14:textId="77777777" w:rsidR="00577D08" w:rsidRDefault="00577D08">
            <w:pPr>
              <w:jc w:val="right"/>
            </w:pPr>
          </w:p>
        </w:tc>
      </w:tr>
      <w:tr w:rsidR="00577D08" w14:paraId="1B94AD33" w14:textId="77777777">
        <w:tc>
          <w:tcPr>
            <w:tcW w:w="3608" w:type="dxa"/>
            <w:vAlign w:val="center"/>
          </w:tcPr>
          <w:p w14:paraId="759BE449" w14:textId="77777777" w:rsidR="00577D08" w:rsidRDefault="00330FC0">
            <w:pPr>
              <w:pStyle w:val="aff9"/>
              <w:ind w:firstLineChars="0" w:firstLine="0"/>
              <w:jc w:val="left"/>
              <w:rPr>
                <w:szCs w:val="21"/>
              </w:rPr>
            </w:pPr>
            <w:r>
              <w:rPr>
                <w:szCs w:val="21"/>
              </w:rPr>
              <w:lastRenderedPageBreak/>
              <w:t>委托他人投资或管理资产的损益</w:t>
            </w:r>
          </w:p>
        </w:tc>
        <w:tc>
          <w:tcPr>
            <w:tcW w:w="1319" w:type="dxa"/>
            <w:vAlign w:val="center"/>
          </w:tcPr>
          <w:p w14:paraId="7891AF84" w14:textId="77777777" w:rsidR="00577D08" w:rsidRDefault="00577D08">
            <w:pPr>
              <w:jc w:val="right"/>
            </w:pPr>
          </w:p>
        </w:tc>
        <w:tc>
          <w:tcPr>
            <w:tcW w:w="1507" w:type="dxa"/>
            <w:vAlign w:val="center"/>
          </w:tcPr>
          <w:p w14:paraId="0807437B" w14:textId="77777777" w:rsidR="00577D08" w:rsidRDefault="00577D08">
            <w:pPr>
              <w:jc w:val="right"/>
            </w:pPr>
          </w:p>
        </w:tc>
        <w:tc>
          <w:tcPr>
            <w:tcW w:w="1315" w:type="dxa"/>
            <w:vAlign w:val="center"/>
          </w:tcPr>
          <w:p w14:paraId="19B48826" w14:textId="77777777" w:rsidR="00577D08" w:rsidRDefault="00577D08">
            <w:pPr>
              <w:jc w:val="right"/>
            </w:pPr>
          </w:p>
        </w:tc>
        <w:tc>
          <w:tcPr>
            <w:tcW w:w="1297" w:type="dxa"/>
            <w:vAlign w:val="center"/>
          </w:tcPr>
          <w:p w14:paraId="3DD7D1B4" w14:textId="77777777" w:rsidR="00577D08" w:rsidRDefault="00577D08">
            <w:pPr>
              <w:jc w:val="right"/>
            </w:pPr>
          </w:p>
        </w:tc>
      </w:tr>
      <w:tr w:rsidR="00577D08" w14:paraId="5A26EA8E" w14:textId="77777777">
        <w:tc>
          <w:tcPr>
            <w:tcW w:w="3608" w:type="dxa"/>
            <w:vAlign w:val="center"/>
          </w:tcPr>
          <w:p w14:paraId="31C549F5" w14:textId="77777777" w:rsidR="00577D08" w:rsidRDefault="00330FC0">
            <w:pPr>
              <w:pStyle w:val="aff9"/>
              <w:ind w:firstLineChars="0" w:firstLine="0"/>
              <w:jc w:val="left"/>
              <w:rPr>
                <w:szCs w:val="21"/>
              </w:rPr>
            </w:pPr>
            <w:r>
              <w:rPr>
                <w:szCs w:val="21"/>
              </w:rPr>
              <w:t>对外委托贷款取得的损益</w:t>
            </w:r>
          </w:p>
        </w:tc>
        <w:tc>
          <w:tcPr>
            <w:tcW w:w="1319" w:type="dxa"/>
            <w:vAlign w:val="center"/>
          </w:tcPr>
          <w:p w14:paraId="78B2F9F7" w14:textId="77777777" w:rsidR="00577D08" w:rsidRDefault="00577D08">
            <w:pPr>
              <w:jc w:val="right"/>
            </w:pPr>
          </w:p>
        </w:tc>
        <w:tc>
          <w:tcPr>
            <w:tcW w:w="1507" w:type="dxa"/>
            <w:vAlign w:val="center"/>
          </w:tcPr>
          <w:p w14:paraId="052C8141" w14:textId="77777777" w:rsidR="00577D08" w:rsidRDefault="00577D08">
            <w:pPr>
              <w:jc w:val="right"/>
            </w:pPr>
          </w:p>
        </w:tc>
        <w:tc>
          <w:tcPr>
            <w:tcW w:w="1315" w:type="dxa"/>
            <w:vAlign w:val="center"/>
          </w:tcPr>
          <w:p w14:paraId="17674C4B" w14:textId="77777777" w:rsidR="00577D08" w:rsidRDefault="00577D08">
            <w:pPr>
              <w:jc w:val="right"/>
            </w:pPr>
          </w:p>
        </w:tc>
        <w:tc>
          <w:tcPr>
            <w:tcW w:w="1297" w:type="dxa"/>
            <w:vAlign w:val="center"/>
          </w:tcPr>
          <w:p w14:paraId="70E69D21" w14:textId="77777777" w:rsidR="00577D08" w:rsidRDefault="00577D08">
            <w:pPr>
              <w:jc w:val="right"/>
            </w:pPr>
          </w:p>
        </w:tc>
      </w:tr>
      <w:tr w:rsidR="00577D08" w14:paraId="3E9BC064" w14:textId="77777777">
        <w:tc>
          <w:tcPr>
            <w:tcW w:w="3608" w:type="dxa"/>
            <w:vAlign w:val="center"/>
          </w:tcPr>
          <w:p w14:paraId="22013543" w14:textId="77777777" w:rsidR="00577D08" w:rsidRDefault="00330FC0">
            <w:pPr>
              <w:pStyle w:val="aff9"/>
              <w:ind w:firstLineChars="0" w:firstLine="0"/>
              <w:jc w:val="left"/>
              <w:rPr>
                <w:szCs w:val="21"/>
              </w:rPr>
            </w:pPr>
            <w:r>
              <w:rPr>
                <w:szCs w:val="21"/>
              </w:rPr>
              <w:t>因不可抗力因</w:t>
            </w:r>
            <w:r>
              <w:rPr>
                <w:rFonts w:hint="eastAsia"/>
                <w:szCs w:val="21"/>
              </w:rPr>
              <w:t>素，如遭受自然灾害而产生的各项资产损失</w:t>
            </w:r>
          </w:p>
        </w:tc>
        <w:tc>
          <w:tcPr>
            <w:tcW w:w="1319" w:type="dxa"/>
            <w:vAlign w:val="center"/>
          </w:tcPr>
          <w:p w14:paraId="2364FF7E" w14:textId="77777777" w:rsidR="00577D08" w:rsidRDefault="00577D08">
            <w:pPr>
              <w:jc w:val="right"/>
            </w:pPr>
          </w:p>
        </w:tc>
        <w:tc>
          <w:tcPr>
            <w:tcW w:w="1507" w:type="dxa"/>
            <w:vAlign w:val="center"/>
          </w:tcPr>
          <w:p w14:paraId="74AA486E" w14:textId="77777777" w:rsidR="00577D08" w:rsidRDefault="00577D08">
            <w:pPr>
              <w:jc w:val="right"/>
            </w:pPr>
          </w:p>
        </w:tc>
        <w:tc>
          <w:tcPr>
            <w:tcW w:w="1315" w:type="dxa"/>
            <w:vAlign w:val="center"/>
          </w:tcPr>
          <w:p w14:paraId="43A9A4FD" w14:textId="77777777" w:rsidR="00577D08" w:rsidRDefault="00577D08">
            <w:pPr>
              <w:jc w:val="right"/>
            </w:pPr>
          </w:p>
        </w:tc>
        <w:tc>
          <w:tcPr>
            <w:tcW w:w="1297" w:type="dxa"/>
            <w:vAlign w:val="center"/>
          </w:tcPr>
          <w:p w14:paraId="5E2B4FA8" w14:textId="77777777" w:rsidR="00577D08" w:rsidRDefault="00577D08">
            <w:pPr>
              <w:jc w:val="right"/>
            </w:pPr>
          </w:p>
        </w:tc>
      </w:tr>
      <w:tr w:rsidR="00577D08" w14:paraId="573EF639" w14:textId="77777777">
        <w:tc>
          <w:tcPr>
            <w:tcW w:w="3608" w:type="dxa"/>
            <w:vAlign w:val="center"/>
          </w:tcPr>
          <w:p w14:paraId="7830866E" w14:textId="77777777" w:rsidR="00577D08" w:rsidRDefault="00330FC0">
            <w:pPr>
              <w:pStyle w:val="aff9"/>
              <w:ind w:firstLineChars="0" w:firstLine="0"/>
              <w:jc w:val="left"/>
            </w:pPr>
            <w:r>
              <w:rPr>
                <w:rFonts w:hint="eastAsia"/>
              </w:rPr>
              <w:t>单独进行减值测试的应收款项减值准备转回</w:t>
            </w:r>
          </w:p>
        </w:tc>
        <w:tc>
          <w:tcPr>
            <w:tcW w:w="1319" w:type="dxa"/>
            <w:vAlign w:val="center"/>
          </w:tcPr>
          <w:p w14:paraId="78A21C73" w14:textId="77777777" w:rsidR="00577D08" w:rsidRDefault="00330FC0">
            <w:pPr>
              <w:jc w:val="right"/>
            </w:pPr>
            <w:r>
              <w:t xml:space="preserve"> 52.23 </w:t>
            </w:r>
          </w:p>
        </w:tc>
        <w:tc>
          <w:tcPr>
            <w:tcW w:w="1507" w:type="dxa"/>
            <w:vAlign w:val="center"/>
          </w:tcPr>
          <w:p w14:paraId="7E2A5698" w14:textId="77777777" w:rsidR="00577D08" w:rsidRDefault="00577D08">
            <w:pPr>
              <w:jc w:val="right"/>
            </w:pPr>
          </w:p>
        </w:tc>
        <w:tc>
          <w:tcPr>
            <w:tcW w:w="1315" w:type="dxa"/>
            <w:vAlign w:val="center"/>
          </w:tcPr>
          <w:p w14:paraId="3948F7EF" w14:textId="77777777" w:rsidR="00577D08" w:rsidRDefault="00330FC0">
            <w:pPr>
              <w:jc w:val="right"/>
            </w:pPr>
            <w:r>
              <w:t xml:space="preserve"> 90.16 </w:t>
            </w:r>
          </w:p>
        </w:tc>
        <w:tc>
          <w:tcPr>
            <w:tcW w:w="1297" w:type="dxa"/>
            <w:vAlign w:val="center"/>
          </w:tcPr>
          <w:p w14:paraId="3F5C6943" w14:textId="77777777" w:rsidR="00577D08" w:rsidRDefault="00330FC0">
            <w:pPr>
              <w:jc w:val="right"/>
            </w:pPr>
            <w:r>
              <w:t xml:space="preserve"> 304.35 </w:t>
            </w:r>
          </w:p>
        </w:tc>
      </w:tr>
      <w:tr w:rsidR="00577D08" w14:paraId="31D466A9" w14:textId="77777777">
        <w:tc>
          <w:tcPr>
            <w:tcW w:w="3608" w:type="dxa"/>
            <w:vAlign w:val="center"/>
          </w:tcPr>
          <w:p w14:paraId="2578BC1B" w14:textId="77777777" w:rsidR="00577D08" w:rsidRDefault="00330FC0">
            <w:pPr>
              <w:pStyle w:val="aff9"/>
              <w:ind w:firstLineChars="0" w:firstLine="0"/>
              <w:jc w:val="left"/>
              <w:rPr>
                <w:szCs w:val="21"/>
              </w:rPr>
            </w:pPr>
            <w:r>
              <w:rPr>
                <w:szCs w:val="21"/>
              </w:rPr>
              <w:t>企业取得子公司、联营企业及合营企业的投资成本小于取得投资时应享有被投资单位可辨认净资产公允价值产生的收益</w:t>
            </w:r>
          </w:p>
        </w:tc>
        <w:tc>
          <w:tcPr>
            <w:tcW w:w="1319" w:type="dxa"/>
            <w:vAlign w:val="center"/>
          </w:tcPr>
          <w:p w14:paraId="23D511A8" w14:textId="77777777" w:rsidR="00577D08" w:rsidRDefault="00577D08">
            <w:pPr>
              <w:jc w:val="right"/>
            </w:pPr>
          </w:p>
        </w:tc>
        <w:tc>
          <w:tcPr>
            <w:tcW w:w="1507" w:type="dxa"/>
            <w:vAlign w:val="center"/>
          </w:tcPr>
          <w:p w14:paraId="40131633" w14:textId="77777777" w:rsidR="00577D08" w:rsidRDefault="00577D08">
            <w:pPr>
              <w:jc w:val="right"/>
            </w:pPr>
          </w:p>
        </w:tc>
        <w:tc>
          <w:tcPr>
            <w:tcW w:w="1315" w:type="dxa"/>
            <w:vAlign w:val="center"/>
          </w:tcPr>
          <w:p w14:paraId="374776E6" w14:textId="77777777" w:rsidR="00577D08" w:rsidRDefault="00577D08">
            <w:pPr>
              <w:jc w:val="right"/>
            </w:pPr>
          </w:p>
        </w:tc>
        <w:tc>
          <w:tcPr>
            <w:tcW w:w="1297" w:type="dxa"/>
            <w:vAlign w:val="center"/>
          </w:tcPr>
          <w:p w14:paraId="4BA91D43" w14:textId="77777777" w:rsidR="00577D08" w:rsidRDefault="00577D08">
            <w:pPr>
              <w:jc w:val="right"/>
            </w:pPr>
          </w:p>
        </w:tc>
      </w:tr>
      <w:tr w:rsidR="00577D08" w14:paraId="2F1FC44D" w14:textId="77777777">
        <w:tc>
          <w:tcPr>
            <w:tcW w:w="3608" w:type="dxa"/>
            <w:vAlign w:val="center"/>
          </w:tcPr>
          <w:p w14:paraId="3C733AA2" w14:textId="77777777" w:rsidR="00577D08" w:rsidRDefault="00330FC0">
            <w:pPr>
              <w:pStyle w:val="aff9"/>
              <w:ind w:firstLineChars="0" w:firstLine="0"/>
              <w:jc w:val="left"/>
              <w:rPr>
                <w:szCs w:val="21"/>
              </w:rPr>
            </w:pPr>
            <w:r>
              <w:rPr>
                <w:szCs w:val="21"/>
              </w:rPr>
              <w:t>同一控制下企业合并产生的子公司期初至合并日的当期净损益</w:t>
            </w:r>
          </w:p>
        </w:tc>
        <w:tc>
          <w:tcPr>
            <w:tcW w:w="1319" w:type="dxa"/>
            <w:vAlign w:val="center"/>
          </w:tcPr>
          <w:p w14:paraId="2B9D3F81" w14:textId="77777777" w:rsidR="00577D08" w:rsidRDefault="00577D08">
            <w:pPr>
              <w:jc w:val="right"/>
            </w:pPr>
          </w:p>
        </w:tc>
        <w:tc>
          <w:tcPr>
            <w:tcW w:w="1507" w:type="dxa"/>
            <w:vAlign w:val="center"/>
          </w:tcPr>
          <w:p w14:paraId="4A9A0BDC" w14:textId="77777777" w:rsidR="00577D08" w:rsidRDefault="00577D08">
            <w:pPr>
              <w:jc w:val="right"/>
            </w:pPr>
          </w:p>
        </w:tc>
        <w:tc>
          <w:tcPr>
            <w:tcW w:w="1315" w:type="dxa"/>
            <w:vAlign w:val="center"/>
          </w:tcPr>
          <w:p w14:paraId="12C5C227" w14:textId="77777777" w:rsidR="00577D08" w:rsidRDefault="00577D08">
            <w:pPr>
              <w:jc w:val="right"/>
            </w:pPr>
          </w:p>
        </w:tc>
        <w:tc>
          <w:tcPr>
            <w:tcW w:w="1297" w:type="dxa"/>
            <w:vAlign w:val="center"/>
          </w:tcPr>
          <w:p w14:paraId="47B613BB" w14:textId="77777777" w:rsidR="00577D08" w:rsidRDefault="00577D08">
            <w:pPr>
              <w:jc w:val="right"/>
            </w:pPr>
          </w:p>
        </w:tc>
      </w:tr>
      <w:tr w:rsidR="00577D08" w14:paraId="469F8C7C" w14:textId="77777777">
        <w:tc>
          <w:tcPr>
            <w:tcW w:w="3608" w:type="dxa"/>
            <w:vAlign w:val="center"/>
          </w:tcPr>
          <w:p w14:paraId="70BA8FDE" w14:textId="77777777" w:rsidR="00577D08" w:rsidRDefault="00330FC0">
            <w:pPr>
              <w:pStyle w:val="aff9"/>
              <w:ind w:firstLineChars="0" w:firstLine="0"/>
              <w:jc w:val="left"/>
              <w:rPr>
                <w:szCs w:val="21"/>
              </w:rPr>
            </w:pPr>
            <w:r>
              <w:rPr>
                <w:szCs w:val="21"/>
              </w:rPr>
              <w:t>非货币性资产交换损益</w:t>
            </w:r>
          </w:p>
        </w:tc>
        <w:tc>
          <w:tcPr>
            <w:tcW w:w="1319" w:type="dxa"/>
            <w:vAlign w:val="center"/>
          </w:tcPr>
          <w:p w14:paraId="402E25F1" w14:textId="77777777" w:rsidR="00577D08" w:rsidRDefault="00577D08">
            <w:pPr>
              <w:jc w:val="right"/>
            </w:pPr>
          </w:p>
        </w:tc>
        <w:tc>
          <w:tcPr>
            <w:tcW w:w="1507" w:type="dxa"/>
            <w:vAlign w:val="center"/>
          </w:tcPr>
          <w:p w14:paraId="457276C7" w14:textId="77777777" w:rsidR="00577D08" w:rsidRDefault="00577D08">
            <w:pPr>
              <w:jc w:val="right"/>
            </w:pPr>
          </w:p>
        </w:tc>
        <w:tc>
          <w:tcPr>
            <w:tcW w:w="1315" w:type="dxa"/>
            <w:vAlign w:val="center"/>
          </w:tcPr>
          <w:p w14:paraId="53437D2B" w14:textId="77777777" w:rsidR="00577D08" w:rsidRDefault="00577D08">
            <w:pPr>
              <w:jc w:val="right"/>
            </w:pPr>
          </w:p>
        </w:tc>
        <w:tc>
          <w:tcPr>
            <w:tcW w:w="1297" w:type="dxa"/>
            <w:vAlign w:val="center"/>
          </w:tcPr>
          <w:p w14:paraId="5F25C265" w14:textId="77777777" w:rsidR="00577D08" w:rsidRDefault="00577D08">
            <w:pPr>
              <w:jc w:val="right"/>
            </w:pPr>
          </w:p>
        </w:tc>
      </w:tr>
      <w:tr w:rsidR="00577D08" w14:paraId="7BB4A92F" w14:textId="77777777">
        <w:tc>
          <w:tcPr>
            <w:tcW w:w="3608" w:type="dxa"/>
            <w:vAlign w:val="center"/>
          </w:tcPr>
          <w:p w14:paraId="71DD4B2F" w14:textId="77777777" w:rsidR="00577D08" w:rsidRDefault="00330FC0">
            <w:pPr>
              <w:pStyle w:val="aff9"/>
              <w:ind w:firstLineChars="0" w:firstLine="0"/>
              <w:jc w:val="left"/>
              <w:rPr>
                <w:szCs w:val="21"/>
              </w:rPr>
            </w:pPr>
            <w:r>
              <w:rPr>
                <w:szCs w:val="21"/>
              </w:rPr>
              <w:t>债务重组损益</w:t>
            </w:r>
          </w:p>
        </w:tc>
        <w:tc>
          <w:tcPr>
            <w:tcW w:w="1319" w:type="dxa"/>
            <w:vAlign w:val="center"/>
          </w:tcPr>
          <w:p w14:paraId="519A379E" w14:textId="77777777" w:rsidR="00577D08" w:rsidRDefault="00577D08">
            <w:pPr>
              <w:jc w:val="right"/>
            </w:pPr>
          </w:p>
        </w:tc>
        <w:tc>
          <w:tcPr>
            <w:tcW w:w="1507" w:type="dxa"/>
            <w:vAlign w:val="center"/>
          </w:tcPr>
          <w:p w14:paraId="245497D2" w14:textId="77777777" w:rsidR="00577D08" w:rsidRDefault="00577D08">
            <w:pPr>
              <w:jc w:val="right"/>
            </w:pPr>
          </w:p>
        </w:tc>
        <w:tc>
          <w:tcPr>
            <w:tcW w:w="1315" w:type="dxa"/>
            <w:vAlign w:val="center"/>
          </w:tcPr>
          <w:p w14:paraId="5C510A96" w14:textId="77777777" w:rsidR="00577D08" w:rsidRDefault="00577D08">
            <w:pPr>
              <w:jc w:val="right"/>
            </w:pPr>
          </w:p>
        </w:tc>
        <w:tc>
          <w:tcPr>
            <w:tcW w:w="1297" w:type="dxa"/>
            <w:vAlign w:val="center"/>
          </w:tcPr>
          <w:p w14:paraId="2C0FF848" w14:textId="77777777" w:rsidR="00577D08" w:rsidRDefault="00577D08">
            <w:pPr>
              <w:jc w:val="right"/>
            </w:pPr>
          </w:p>
        </w:tc>
      </w:tr>
      <w:tr w:rsidR="00577D08" w14:paraId="51FC04BF" w14:textId="77777777">
        <w:tc>
          <w:tcPr>
            <w:tcW w:w="3608" w:type="dxa"/>
            <w:vAlign w:val="center"/>
          </w:tcPr>
          <w:p w14:paraId="5CCB77C5" w14:textId="77777777" w:rsidR="00577D08" w:rsidRDefault="00330FC0">
            <w:pPr>
              <w:pStyle w:val="aff9"/>
              <w:ind w:firstLineChars="0" w:firstLine="0"/>
              <w:jc w:val="left"/>
              <w:rPr>
                <w:szCs w:val="21"/>
              </w:rPr>
            </w:pPr>
            <w:r>
              <w:rPr>
                <w:szCs w:val="21"/>
              </w:rPr>
              <w:t>企业</w:t>
            </w:r>
            <w:r>
              <w:rPr>
                <w:rFonts w:hint="eastAsia"/>
                <w:szCs w:val="21"/>
              </w:rPr>
              <w:t>因相关经营活动不再持续而发生的一次性费用，如安置职工的支出等</w:t>
            </w:r>
          </w:p>
        </w:tc>
        <w:tc>
          <w:tcPr>
            <w:tcW w:w="1319" w:type="dxa"/>
            <w:vAlign w:val="center"/>
          </w:tcPr>
          <w:p w14:paraId="04BE989C" w14:textId="77777777" w:rsidR="00577D08" w:rsidRDefault="00577D08">
            <w:pPr>
              <w:jc w:val="right"/>
            </w:pPr>
          </w:p>
        </w:tc>
        <w:tc>
          <w:tcPr>
            <w:tcW w:w="1507" w:type="dxa"/>
            <w:vAlign w:val="center"/>
          </w:tcPr>
          <w:p w14:paraId="1EF15C8F" w14:textId="77777777" w:rsidR="00577D08" w:rsidRDefault="00577D08">
            <w:pPr>
              <w:jc w:val="right"/>
            </w:pPr>
          </w:p>
        </w:tc>
        <w:tc>
          <w:tcPr>
            <w:tcW w:w="1315" w:type="dxa"/>
            <w:vAlign w:val="center"/>
          </w:tcPr>
          <w:p w14:paraId="2C78A328" w14:textId="77777777" w:rsidR="00577D08" w:rsidRDefault="00577D08">
            <w:pPr>
              <w:jc w:val="right"/>
            </w:pPr>
          </w:p>
        </w:tc>
        <w:tc>
          <w:tcPr>
            <w:tcW w:w="1297" w:type="dxa"/>
            <w:vAlign w:val="center"/>
          </w:tcPr>
          <w:p w14:paraId="2B17FAC4" w14:textId="77777777" w:rsidR="00577D08" w:rsidRDefault="00577D08">
            <w:pPr>
              <w:jc w:val="right"/>
            </w:pPr>
          </w:p>
        </w:tc>
      </w:tr>
      <w:tr w:rsidR="00577D08" w14:paraId="1450FF59" w14:textId="77777777">
        <w:tc>
          <w:tcPr>
            <w:tcW w:w="3608" w:type="dxa"/>
            <w:vAlign w:val="center"/>
          </w:tcPr>
          <w:p w14:paraId="4C4F0188" w14:textId="77777777" w:rsidR="00577D08" w:rsidRDefault="00330FC0">
            <w:pPr>
              <w:pStyle w:val="aff9"/>
              <w:ind w:firstLineChars="0" w:firstLine="0"/>
              <w:jc w:val="left"/>
              <w:rPr>
                <w:szCs w:val="21"/>
              </w:rPr>
            </w:pPr>
            <w:r>
              <w:rPr>
                <w:szCs w:val="21"/>
              </w:rPr>
              <w:t>因税收、会计等法律、法规</w:t>
            </w:r>
            <w:r>
              <w:rPr>
                <w:rFonts w:hint="eastAsia"/>
                <w:szCs w:val="21"/>
              </w:rPr>
              <w:t>的调整对当期损益产生的一次性影响</w:t>
            </w:r>
          </w:p>
        </w:tc>
        <w:tc>
          <w:tcPr>
            <w:tcW w:w="1319" w:type="dxa"/>
            <w:vAlign w:val="center"/>
          </w:tcPr>
          <w:p w14:paraId="0DFA98B3" w14:textId="77777777" w:rsidR="00577D08" w:rsidRDefault="00577D08">
            <w:pPr>
              <w:jc w:val="right"/>
            </w:pPr>
          </w:p>
        </w:tc>
        <w:tc>
          <w:tcPr>
            <w:tcW w:w="1507" w:type="dxa"/>
            <w:vAlign w:val="center"/>
          </w:tcPr>
          <w:p w14:paraId="61C0B9C8" w14:textId="77777777" w:rsidR="00577D08" w:rsidRDefault="00577D08">
            <w:pPr>
              <w:jc w:val="right"/>
            </w:pPr>
          </w:p>
        </w:tc>
        <w:tc>
          <w:tcPr>
            <w:tcW w:w="1315" w:type="dxa"/>
            <w:vAlign w:val="center"/>
          </w:tcPr>
          <w:p w14:paraId="39A414AF" w14:textId="77777777" w:rsidR="00577D08" w:rsidRDefault="00577D08">
            <w:pPr>
              <w:jc w:val="right"/>
            </w:pPr>
          </w:p>
        </w:tc>
        <w:tc>
          <w:tcPr>
            <w:tcW w:w="1297" w:type="dxa"/>
            <w:vAlign w:val="center"/>
          </w:tcPr>
          <w:p w14:paraId="66BA4E0C" w14:textId="77777777" w:rsidR="00577D08" w:rsidRDefault="00577D08">
            <w:pPr>
              <w:jc w:val="right"/>
            </w:pPr>
          </w:p>
        </w:tc>
      </w:tr>
      <w:tr w:rsidR="00577D08" w14:paraId="0EFC9C26" w14:textId="77777777">
        <w:tc>
          <w:tcPr>
            <w:tcW w:w="3608" w:type="dxa"/>
            <w:vAlign w:val="center"/>
          </w:tcPr>
          <w:p w14:paraId="0260BCC6" w14:textId="77777777" w:rsidR="00577D08" w:rsidRDefault="00330FC0">
            <w:pPr>
              <w:pStyle w:val="aff9"/>
              <w:ind w:firstLineChars="0" w:firstLine="0"/>
              <w:jc w:val="left"/>
            </w:pPr>
            <w:r>
              <w:t>因取消、修改股权激励计划一次性确认的股份支付费用</w:t>
            </w:r>
          </w:p>
        </w:tc>
        <w:tc>
          <w:tcPr>
            <w:tcW w:w="1319" w:type="dxa"/>
            <w:vAlign w:val="center"/>
          </w:tcPr>
          <w:p w14:paraId="54369753" w14:textId="77777777" w:rsidR="00577D08" w:rsidRDefault="00330FC0">
            <w:pPr>
              <w:jc w:val="right"/>
            </w:pPr>
            <w:r>
              <w:t xml:space="preserve"> -686.08 </w:t>
            </w:r>
          </w:p>
        </w:tc>
        <w:tc>
          <w:tcPr>
            <w:tcW w:w="1507" w:type="dxa"/>
            <w:vAlign w:val="center"/>
          </w:tcPr>
          <w:p w14:paraId="4D58291D" w14:textId="77777777" w:rsidR="00577D08" w:rsidRDefault="00577D08">
            <w:pPr>
              <w:jc w:val="right"/>
            </w:pPr>
          </w:p>
        </w:tc>
        <w:tc>
          <w:tcPr>
            <w:tcW w:w="1315" w:type="dxa"/>
            <w:vAlign w:val="center"/>
          </w:tcPr>
          <w:p w14:paraId="4A2E25D6" w14:textId="77777777" w:rsidR="00577D08" w:rsidRDefault="00577D08">
            <w:pPr>
              <w:jc w:val="right"/>
            </w:pPr>
          </w:p>
        </w:tc>
        <w:tc>
          <w:tcPr>
            <w:tcW w:w="1297" w:type="dxa"/>
            <w:vAlign w:val="center"/>
          </w:tcPr>
          <w:p w14:paraId="676E5696" w14:textId="77777777" w:rsidR="00577D08" w:rsidRDefault="00577D08">
            <w:pPr>
              <w:jc w:val="right"/>
            </w:pPr>
          </w:p>
        </w:tc>
      </w:tr>
      <w:tr w:rsidR="00577D08" w14:paraId="1729B6C8" w14:textId="77777777">
        <w:tc>
          <w:tcPr>
            <w:tcW w:w="3608" w:type="dxa"/>
            <w:vAlign w:val="center"/>
          </w:tcPr>
          <w:p w14:paraId="0BFF279D" w14:textId="77777777" w:rsidR="00577D08" w:rsidRDefault="00330FC0">
            <w:pPr>
              <w:pStyle w:val="aff9"/>
              <w:ind w:firstLineChars="0" w:firstLine="0"/>
              <w:jc w:val="left"/>
            </w:pPr>
            <w:r>
              <w:t>对于现金结算的股份支付，在可行权日之后，应付职工薪酬的公允价值变动产生的损益</w:t>
            </w:r>
          </w:p>
        </w:tc>
        <w:tc>
          <w:tcPr>
            <w:tcW w:w="1319" w:type="dxa"/>
            <w:vAlign w:val="center"/>
          </w:tcPr>
          <w:p w14:paraId="569F624A" w14:textId="77777777" w:rsidR="00577D08" w:rsidRDefault="00577D08">
            <w:pPr>
              <w:jc w:val="right"/>
            </w:pPr>
          </w:p>
        </w:tc>
        <w:tc>
          <w:tcPr>
            <w:tcW w:w="1507" w:type="dxa"/>
            <w:vAlign w:val="center"/>
          </w:tcPr>
          <w:p w14:paraId="3B8A89D3" w14:textId="77777777" w:rsidR="00577D08" w:rsidRDefault="00577D08">
            <w:pPr>
              <w:jc w:val="right"/>
            </w:pPr>
          </w:p>
        </w:tc>
        <w:tc>
          <w:tcPr>
            <w:tcW w:w="1315" w:type="dxa"/>
            <w:vAlign w:val="center"/>
          </w:tcPr>
          <w:p w14:paraId="4CD62E6E" w14:textId="77777777" w:rsidR="00577D08" w:rsidRDefault="00577D08">
            <w:pPr>
              <w:jc w:val="right"/>
            </w:pPr>
          </w:p>
        </w:tc>
        <w:tc>
          <w:tcPr>
            <w:tcW w:w="1297" w:type="dxa"/>
            <w:vAlign w:val="center"/>
          </w:tcPr>
          <w:p w14:paraId="4FC01670" w14:textId="77777777" w:rsidR="00577D08" w:rsidRDefault="00577D08">
            <w:pPr>
              <w:jc w:val="right"/>
            </w:pPr>
          </w:p>
        </w:tc>
      </w:tr>
      <w:tr w:rsidR="00577D08" w14:paraId="06875362" w14:textId="77777777">
        <w:tc>
          <w:tcPr>
            <w:tcW w:w="3608" w:type="dxa"/>
            <w:vAlign w:val="center"/>
          </w:tcPr>
          <w:p w14:paraId="3655E64E" w14:textId="77777777" w:rsidR="00577D08" w:rsidRDefault="00330FC0">
            <w:pPr>
              <w:pStyle w:val="aff9"/>
              <w:ind w:firstLineChars="0" w:firstLine="0"/>
              <w:jc w:val="left"/>
              <w:rPr>
                <w:szCs w:val="21"/>
              </w:rPr>
            </w:pPr>
            <w:r>
              <w:rPr>
                <w:szCs w:val="21"/>
              </w:rPr>
              <w:t>采用公允价值模式进行后续计量的投资性房地产公允价值变动产生的损益</w:t>
            </w:r>
          </w:p>
        </w:tc>
        <w:tc>
          <w:tcPr>
            <w:tcW w:w="1319" w:type="dxa"/>
            <w:vAlign w:val="center"/>
          </w:tcPr>
          <w:p w14:paraId="18711B66" w14:textId="77777777" w:rsidR="00577D08" w:rsidRDefault="00577D08">
            <w:pPr>
              <w:jc w:val="right"/>
            </w:pPr>
          </w:p>
        </w:tc>
        <w:tc>
          <w:tcPr>
            <w:tcW w:w="1507" w:type="dxa"/>
            <w:vAlign w:val="center"/>
          </w:tcPr>
          <w:p w14:paraId="4634E275" w14:textId="77777777" w:rsidR="00577D08" w:rsidRDefault="00577D08">
            <w:pPr>
              <w:jc w:val="right"/>
            </w:pPr>
          </w:p>
        </w:tc>
        <w:tc>
          <w:tcPr>
            <w:tcW w:w="1315" w:type="dxa"/>
            <w:vAlign w:val="center"/>
          </w:tcPr>
          <w:p w14:paraId="75E08A80" w14:textId="77777777" w:rsidR="00577D08" w:rsidRDefault="00577D08">
            <w:pPr>
              <w:jc w:val="right"/>
            </w:pPr>
          </w:p>
        </w:tc>
        <w:tc>
          <w:tcPr>
            <w:tcW w:w="1297" w:type="dxa"/>
            <w:vAlign w:val="center"/>
          </w:tcPr>
          <w:p w14:paraId="422E5533" w14:textId="77777777" w:rsidR="00577D08" w:rsidRDefault="00577D08">
            <w:pPr>
              <w:jc w:val="right"/>
            </w:pPr>
          </w:p>
        </w:tc>
      </w:tr>
      <w:tr w:rsidR="00577D08" w14:paraId="53659FB6" w14:textId="77777777">
        <w:tc>
          <w:tcPr>
            <w:tcW w:w="3608" w:type="dxa"/>
            <w:vAlign w:val="center"/>
          </w:tcPr>
          <w:p w14:paraId="10967F84" w14:textId="77777777" w:rsidR="00577D08" w:rsidRDefault="00330FC0">
            <w:pPr>
              <w:pStyle w:val="aff9"/>
              <w:ind w:firstLineChars="0" w:firstLine="0"/>
              <w:jc w:val="left"/>
              <w:rPr>
                <w:szCs w:val="21"/>
              </w:rPr>
            </w:pPr>
            <w:r>
              <w:rPr>
                <w:rFonts w:hint="eastAsia"/>
                <w:szCs w:val="21"/>
              </w:rPr>
              <w:t>交易价格显失公允的交易产生的收益</w:t>
            </w:r>
          </w:p>
        </w:tc>
        <w:tc>
          <w:tcPr>
            <w:tcW w:w="1319" w:type="dxa"/>
            <w:vAlign w:val="center"/>
          </w:tcPr>
          <w:p w14:paraId="78A6A52B" w14:textId="77777777" w:rsidR="00577D08" w:rsidRDefault="00577D08">
            <w:pPr>
              <w:jc w:val="right"/>
            </w:pPr>
          </w:p>
        </w:tc>
        <w:tc>
          <w:tcPr>
            <w:tcW w:w="1507" w:type="dxa"/>
            <w:vAlign w:val="center"/>
          </w:tcPr>
          <w:p w14:paraId="2C1B67FF" w14:textId="77777777" w:rsidR="00577D08" w:rsidRDefault="00577D08">
            <w:pPr>
              <w:jc w:val="right"/>
            </w:pPr>
          </w:p>
        </w:tc>
        <w:tc>
          <w:tcPr>
            <w:tcW w:w="1315" w:type="dxa"/>
            <w:vAlign w:val="center"/>
          </w:tcPr>
          <w:p w14:paraId="32716167" w14:textId="77777777" w:rsidR="00577D08" w:rsidRDefault="00577D08">
            <w:pPr>
              <w:jc w:val="right"/>
            </w:pPr>
          </w:p>
        </w:tc>
        <w:tc>
          <w:tcPr>
            <w:tcW w:w="1297" w:type="dxa"/>
            <w:vAlign w:val="center"/>
          </w:tcPr>
          <w:p w14:paraId="42B275FF" w14:textId="77777777" w:rsidR="00577D08" w:rsidRDefault="00577D08">
            <w:pPr>
              <w:jc w:val="right"/>
            </w:pPr>
          </w:p>
        </w:tc>
      </w:tr>
      <w:tr w:rsidR="00577D08" w14:paraId="00064AB7" w14:textId="77777777">
        <w:tc>
          <w:tcPr>
            <w:tcW w:w="3608" w:type="dxa"/>
            <w:vAlign w:val="center"/>
          </w:tcPr>
          <w:p w14:paraId="7CACEE6B" w14:textId="77777777" w:rsidR="00577D08" w:rsidRDefault="00330FC0">
            <w:pPr>
              <w:pStyle w:val="aff9"/>
              <w:ind w:firstLineChars="0" w:firstLine="0"/>
              <w:jc w:val="left"/>
              <w:rPr>
                <w:szCs w:val="21"/>
              </w:rPr>
            </w:pPr>
            <w:r>
              <w:rPr>
                <w:szCs w:val="21"/>
              </w:rPr>
              <w:t>与公司正常经营业务无关的或有事项产生的损益</w:t>
            </w:r>
          </w:p>
        </w:tc>
        <w:tc>
          <w:tcPr>
            <w:tcW w:w="1319" w:type="dxa"/>
            <w:vAlign w:val="center"/>
          </w:tcPr>
          <w:p w14:paraId="11436EE4" w14:textId="77777777" w:rsidR="00577D08" w:rsidRDefault="00577D08">
            <w:pPr>
              <w:jc w:val="right"/>
            </w:pPr>
          </w:p>
        </w:tc>
        <w:tc>
          <w:tcPr>
            <w:tcW w:w="1507" w:type="dxa"/>
            <w:vAlign w:val="center"/>
          </w:tcPr>
          <w:p w14:paraId="6301E995" w14:textId="77777777" w:rsidR="00577D08" w:rsidRDefault="00577D08">
            <w:pPr>
              <w:jc w:val="right"/>
            </w:pPr>
          </w:p>
        </w:tc>
        <w:tc>
          <w:tcPr>
            <w:tcW w:w="1315" w:type="dxa"/>
            <w:vAlign w:val="center"/>
          </w:tcPr>
          <w:p w14:paraId="5B6AE147" w14:textId="77777777" w:rsidR="00577D08" w:rsidRDefault="00577D08">
            <w:pPr>
              <w:jc w:val="right"/>
            </w:pPr>
          </w:p>
        </w:tc>
        <w:tc>
          <w:tcPr>
            <w:tcW w:w="1297" w:type="dxa"/>
            <w:vAlign w:val="center"/>
          </w:tcPr>
          <w:p w14:paraId="2E514D11" w14:textId="77777777" w:rsidR="00577D08" w:rsidRDefault="00577D08">
            <w:pPr>
              <w:jc w:val="right"/>
            </w:pPr>
          </w:p>
        </w:tc>
      </w:tr>
      <w:tr w:rsidR="00577D08" w14:paraId="7944A442" w14:textId="77777777">
        <w:tc>
          <w:tcPr>
            <w:tcW w:w="3608" w:type="dxa"/>
            <w:vAlign w:val="center"/>
          </w:tcPr>
          <w:p w14:paraId="0C6CF12D" w14:textId="77777777" w:rsidR="00577D08" w:rsidRDefault="00330FC0">
            <w:pPr>
              <w:pStyle w:val="aff9"/>
              <w:ind w:firstLineChars="0" w:firstLine="0"/>
              <w:jc w:val="left"/>
              <w:rPr>
                <w:szCs w:val="21"/>
              </w:rPr>
            </w:pPr>
            <w:r>
              <w:rPr>
                <w:szCs w:val="21"/>
              </w:rPr>
              <w:t>受托经营取得的托管费收入</w:t>
            </w:r>
          </w:p>
        </w:tc>
        <w:tc>
          <w:tcPr>
            <w:tcW w:w="1319" w:type="dxa"/>
            <w:vAlign w:val="center"/>
          </w:tcPr>
          <w:p w14:paraId="4A6D02A5" w14:textId="77777777" w:rsidR="00577D08" w:rsidRDefault="00577D08">
            <w:pPr>
              <w:jc w:val="right"/>
            </w:pPr>
          </w:p>
        </w:tc>
        <w:tc>
          <w:tcPr>
            <w:tcW w:w="1507" w:type="dxa"/>
            <w:vAlign w:val="center"/>
          </w:tcPr>
          <w:p w14:paraId="530B5D62" w14:textId="77777777" w:rsidR="00577D08" w:rsidRDefault="00577D08">
            <w:pPr>
              <w:jc w:val="right"/>
            </w:pPr>
          </w:p>
        </w:tc>
        <w:tc>
          <w:tcPr>
            <w:tcW w:w="1315" w:type="dxa"/>
            <w:vAlign w:val="center"/>
          </w:tcPr>
          <w:p w14:paraId="760A6060" w14:textId="77777777" w:rsidR="00577D08" w:rsidRDefault="00577D08">
            <w:pPr>
              <w:jc w:val="right"/>
            </w:pPr>
          </w:p>
        </w:tc>
        <w:tc>
          <w:tcPr>
            <w:tcW w:w="1297" w:type="dxa"/>
            <w:vAlign w:val="center"/>
          </w:tcPr>
          <w:p w14:paraId="072032AC" w14:textId="77777777" w:rsidR="00577D08" w:rsidRDefault="00577D08">
            <w:pPr>
              <w:jc w:val="right"/>
            </w:pPr>
          </w:p>
        </w:tc>
      </w:tr>
      <w:tr w:rsidR="00577D08" w14:paraId="79219A9F" w14:textId="77777777">
        <w:tc>
          <w:tcPr>
            <w:tcW w:w="3608" w:type="dxa"/>
            <w:vAlign w:val="center"/>
          </w:tcPr>
          <w:p w14:paraId="595E6585" w14:textId="77777777" w:rsidR="00577D08" w:rsidRDefault="00330FC0">
            <w:pPr>
              <w:pStyle w:val="aff9"/>
              <w:ind w:firstLineChars="0" w:firstLine="0"/>
              <w:jc w:val="left"/>
              <w:rPr>
                <w:szCs w:val="21"/>
              </w:rPr>
            </w:pPr>
            <w:r>
              <w:rPr>
                <w:szCs w:val="21"/>
              </w:rPr>
              <w:t>除上述各项之外的其他营业外收入和支出</w:t>
            </w:r>
          </w:p>
        </w:tc>
        <w:tc>
          <w:tcPr>
            <w:tcW w:w="1319" w:type="dxa"/>
            <w:vAlign w:val="center"/>
          </w:tcPr>
          <w:p w14:paraId="15698EBD" w14:textId="77777777" w:rsidR="00577D08" w:rsidRDefault="00330FC0">
            <w:pPr>
              <w:jc w:val="right"/>
            </w:pPr>
            <w:r>
              <w:t xml:space="preserve"> -375.25 </w:t>
            </w:r>
          </w:p>
        </w:tc>
        <w:tc>
          <w:tcPr>
            <w:tcW w:w="1507" w:type="dxa"/>
            <w:vAlign w:val="center"/>
          </w:tcPr>
          <w:p w14:paraId="0D959FF6" w14:textId="77777777" w:rsidR="00577D08" w:rsidRDefault="00577D08">
            <w:pPr>
              <w:jc w:val="right"/>
            </w:pPr>
          </w:p>
        </w:tc>
        <w:tc>
          <w:tcPr>
            <w:tcW w:w="1315" w:type="dxa"/>
            <w:vAlign w:val="center"/>
          </w:tcPr>
          <w:p w14:paraId="402655CB" w14:textId="77777777" w:rsidR="00577D08" w:rsidRDefault="00330FC0">
            <w:pPr>
              <w:jc w:val="right"/>
            </w:pPr>
            <w:r>
              <w:t xml:space="preserve"> -1,991.65 </w:t>
            </w:r>
          </w:p>
        </w:tc>
        <w:tc>
          <w:tcPr>
            <w:tcW w:w="1297" w:type="dxa"/>
            <w:vAlign w:val="center"/>
          </w:tcPr>
          <w:p w14:paraId="19B613C8" w14:textId="77777777" w:rsidR="00577D08" w:rsidRDefault="00330FC0">
            <w:pPr>
              <w:jc w:val="right"/>
            </w:pPr>
            <w:r>
              <w:t xml:space="preserve"> -278.03 </w:t>
            </w:r>
          </w:p>
        </w:tc>
      </w:tr>
      <w:tr w:rsidR="00577D08" w14:paraId="71ACC4BF" w14:textId="77777777">
        <w:tc>
          <w:tcPr>
            <w:tcW w:w="3608" w:type="dxa"/>
            <w:vAlign w:val="center"/>
          </w:tcPr>
          <w:p w14:paraId="1935C418" w14:textId="77777777" w:rsidR="00577D08" w:rsidRDefault="00330FC0">
            <w:pPr>
              <w:pStyle w:val="aff9"/>
              <w:ind w:firstLineChars="0" w:firstLine="0"/>
              <w:jc w:val="left"/>
              <w:rPr>
                <w:szCs w:val="21"/>
              </w:rPr>
            </w:pPr>
            <w:r>
              <w:rPr>
                <w:szCs w:val="21"/>
              </w:rPr>
              <w:t>其他符合非经常性损益定义的损益项目</w:t>
            </w:r>
          </w:p>
        </w:tc>
        <w:tc>
          <w:tcPr>
            <w:tcW w:w="1319" w:type="dxa"/>
            <w:vAlign w:val="center"/>
          </w:tcPr>
          <w:p w14:paraId="3EB089C9" w14:textId="77777777" w:rsidR="00577D08" w:rsidRDefault="00330FC0">
            <w:pPr>
              <w:jc w:val="right"/>
            </w:pPr>
            <w:r>
              <w:t xml:space="preserve">   </w:t>
            </w:r>
          </w:p>
        </w:tc>
        <w:tc>
          <w:tcPr>
            <w:tcW w:w="1507" w:type="dxa"/>
            <w:vAlign w:val="center"/>
          </w:tcPr>
          <w:p w14:paraId="15A2BF49" w14:textId="77777777" w:rsidR="00577D08" w:rsidRDefault="00577D08">
            <w:pPr>
              <w:jc w:val="right"/>
            </w:pPr>
          </w:p>
        </w:tc>
        <w:tc>
          <w:tcPr>
            <w:tcW w:w="1315" w:type="dxa"/>
            <w:vAlign w:val="center"/>
          </w:tcPr>
          <w:p w14:paraId="1F911024" w14:textId="77777777" w:rsidR="00577D08" w:rsidRDefault="00577D08">
            <w:pPr>
              <w:jc w:val="right"/>
            </w:pPr>
          </w:p>
        </w:tc>
        <w:tc>
          <w:tcPr>
            <w:tcW w:w="1297" w:type="dxa"/>
            <w:vAlign w:val="center"/>
          </w:tcPr>
          <w:p w14:paraId="1B24E689" w14:textId="77777777" w:rsidR="00577D08" w:rsidRDefault="00330FC0">
            <w:pPr>
              <w:jc w:val="right"/>
            </w:pPr>
            <w:r>
              <w:t xml:space="preserve"> 9.00 </w:t>
            </w:r>
          </w:p>
        </w:tc>
      </w:tr>
      <w:tr w:rsidR="00577D08" w14:paraId="1F5584DF" w14:textId="77777777">
        <w:tc>
          <w:tcPr>
            <w:tcW w:w="3608" w:type="dxa"/>
            <w:vAlign w:val="center"/>
          </w:tcPr>
          <w:p w14:paraId="0C04CF52" w14:textId="77777777" w:rsidR="00577D08" w:rsidRDefault="00330FC0">
            <w:pPr>
              <w:pStyle w:val="aff9"/>
              <w:ind w:firstLineChars="0" w:firstLine="0"/>
              <w:jc w:val="left"/>
              <w:rPr>
                <w:szCs w:val="21"/>
              </w:rPr>
            </w:pPr>
            <w:r>
              <w:rPr>
                <w:rFonts w:hint="eastAsia"/>
              </w:rPr>
              <w:t>减：</w:t>
            </w:r>
            <w:r>
              <w:rPr>
                <w:szCs w:val="21"/>
              </w:rPr>
              <w:t>所得税影响额</w:t>
            </w:r>
          </w:p>
        </w:tc>
        <w:tc>
          <w:tcPr>
            <w:tcW w:w="1319" w:type="dxa"/>
            <w:vAlign w:val="center"/>
          </w:tcPr>
          <w:p w14:paraId="2F92410D" w14:textId="77777777" w:rsidR="00577D08" w:rsidRDefault="00330FC0">
            <w:pPr>
              <w:jc w:val="right"/>
            </w:pPr>
            <w:r>
              <w:t xml:space="preserve"> 90.42 </w:t>
            </w:r>
          </w:p>
        </w:tc>
        <w:tc>
          <w:tcPr>
            <w:tcW w:w="1507" w:type="dxa"/>
            <w:vAlign w:val="center"/>
          </w:tcPr>
          <w:p w14:paraId="18D65569" w14:textId="77777777" w:rsidR="00577D08" w:rsidRDefault="00577D08">
            <w:pPr>
              <w:jc w:val="right"/>
            </w:pPr>
          </w:p>
        </w:tc>
        <w:tc>
          <w:tcPr>
            <w:tcW w:w="1315" w:type="dxa"/>
            <w:vAlign w:val="center"/>
          </w:tcPr>
          <w:p w14:paraId="71974DC5" w14:textId="77777777" w:rsidR="00577D08" w:rsidRDefault="00330FC0">
            <w:pPr>
              <w:jc w:val="right"/>
            </w:pPr>
            <w:r>
              <w:t xml:space="preserve"> 532.88 </w:t>
            </w:r>
          </w:p>
        </w:tc>
        <w:tc>
          <w:tcPr>
            <w:tcW w:w="1297" w:type="dxa"/>
            <w:vAlign w:val="center"/>
          </w:tcPr>
          <w:p w14:paraId="548F7A59" w14:textId="77777777" w:rsidR="00577D08" w:rsidRDefault="00330FC0">
            <w:pPr>
              <w:jc w:val="right"/>
            </w:pPr>
            <w:r>
              <w:t xml:space="preserve"> 165.65 </w:t>
            </w:r>
          </w:p>
        </w:tc>
      </w:tr>
      <w:tr w:rsidR="00577D08" w14:paraId="34B7841B" w14:textId="77777777">
        <w:tc>
          <w:tcPr>
            <w:tcW w:w="3608" w:type="dxa"/>
            <w:vAlign w:val="center"/>
          </w:tcPr>
          <w:p w14:paraId="2ED71F00" w14:textId="77777777" w:rsidR="00577D08" w:rsidRDefault="00330FC0">
            <w:pPr>
              <w:pStyle w:val="aff9"/>
              <w:jc w:val="left"/>
              <w:rPr>
                <w:szCs w:val="21"/>
              </w:rPr>
            </w:pPr>
            <w:r>
              <w:rPr>
                <w:szCs w:val="21"/>
              </w:rPr>
              <w:t>少数股东权益影响额</w:t>
            </w:r>
            <w:r>
              <w:rPr>
                <w:rFonts w:hint="eastAsia"/>
                <w:szCs w:val="21"/>
              </w:rPr>
              <w:t>（税后）</w:t>
            </w:r>
          </w:p>
        </w:tc>
        <w:tc>
          <w:tcPr>
            <w:tcW w:w="1319" w:type="dxa"/>
            <w:vAlign w:val="center"/>
          </w:tcPr>
          <w:p w14:paraId="0DCD217D" w14:textId="77777777" w:rsidR="00577D08" w:rsidRDefault="00330FC0">
            <w:pPr>
              <w:jc w:val="right"/>
            </w:pPr>
            <w:r>
              <w:t xml:space="preserve"> 77.92 </w:t>
            </w:r>
          </w:p>
        </w:tc>
        <w:tc>
          <w:tcPr>
            <w:tcW w:w="1507" w:type="dxa"/>
            <w:vAlign w:val="center"/>
          </w:tcPr>
          <w:p w14:paraId="118A6DC3" w14:textId="77777777" w:rsidR="00577D08" w:rsidRDefault="00577D08">
            <w:pPr>
              <w:jc w:val="right"/>
            </w:pPr>
          </w:p>
        </w:tc>
        <w:tc>
          <w:tcPr>
            <w:tcW w:w="1315" w:type="dxa"/>
            <w:vAlign w:val="center"/>
          </w:tcPr>
          <w:p w14:paraId="06A191E8" w14:textId="77777777" w:rsidR="00577D08" w:rsidRDefault="00330FC0">
            <w:pPr>
              <w:jc w:val="right"/>
            </w:pPr>
            <w:r>
              <w:t xml:space="preserve"> 154.26 </w:t>
            </w:r>
          </w:p>
        </w:tc>
        <w:tc>
          <w:tcPr>
            <w:tcW w:w="1297" w:type="dxa"/>
            <w:vAlign w:val="center"/>
          </w:tcPr>
          <w:p w14:paraId="7F67305E" w14:textId="77777777" w:rsidR="00577D08" w:rsidRDefault="00330FC0">
            <w:pPr>
              <w:jc w:val="right"/>
            </w:pPr>
            <w:r>
              <w:t xml:space="preserve"> 25.03 </w:t>
            </w:r>
          </w:p>
        </w:tc>
      </w:tr>
      <w:tr w:rsidR="00577D08" w14:paraId="4FA2054F" w14:textId="77777777">
        <w:tc>
          <w:tcPr>
            <w:tcW w:w="3608" w:type="dxa"/>
            <w:vAlign w:val="center"/>
          </w:tcPr>
          <w:p w14:paraId="7F53C051" w14:textId="77777777" w:rsidR="00577D08" w:rsidRDefault="00330FC0">
            <w:pPr>
              <w:pStyle w:val="aff9"/>
              <w:ind w:firstLineChars="0" w:firstLine="0"/>
              <w:jc w:val="center"/>
              <w:rPr>
                <w:szCs w:val="21"/>
              </w:rPr>
            </w:pPr>
            <w:r>
              <w:rPr>
                <w:szCs w:val="21"/>
              </w:rPr>
              <w:t>合计</w:t>
            </w:r>
          </w:p>
        </w:tc>
        <w:tc>
          <w:tcPr>
            <w:tcW w:w="1319" w:type="dxa"/>
            <w:vAlign w:val="center"/>
          </w:tcPr>
          <w:p w14:paraId="4B05F2B0" w14:textId="77777777" w:rsidR="00577D08" w:rsidRDefault="00330FC0">
            <w:pPr>
              <w:jc w:val="right"/>
            </w:pPr>
            <w:r>
              <w:t xml:space="preserve"> 444.86 </w:t>
            </w:r>
          </w:p>
        </w:tc>
        <w:tc>
          <w:tcPr>
            <w:tcW w:w="1507" w:type="dxa"/>
            <w:vAlign w:val="center"/>
          </w:tcPr>
          <w:p w14:paraId="3E3C2F2B" w14:textId="77777777" w:rsidR="00577D08" w:rsidRDefault="00577D08">
            <w:pPr>
              <w:jc w:val="right"/>
            </w:pPr>
          </w:p>
        </w:tc>
        <w:tc>
          <w:tcPr>
            <w:tcW w:w="1315" w:type="dxa"/>
            <w:vAlign w:val="center"/>
          </w:tcPr>
          <w:p w14:paraId="25EA474F" w14:textId="77777777" w:rsidR="00577D08" w:rsidRDefault="00330FC0">
            <w:pPr>
              <w:jc w:val="right"/>
            </w:pPr>
            <w:r>
              <w:t xml:space="preserve"> 2,904.48 </w:t>
            </w:r>
          </w:p>
        </w:tc>
        <w:tc>
          <w:tcPr>
            <w:tcW w:w="1297" w:type="dxa"/>
            <w:vAlign w:val="center"/>
          </w:tcPr>
          <w:p w14:paraId="27BE6E81" w14:textId="77777777" w:rsidR="00577D08" w:rsidRDefault="00330FC0">
            <w:pPr>
              <w:jc w:val="right"/>
            </w:pPr>
            <w:r>
              <w:t xml:space="preserve"> 946.05 </w:t>
            </w:r>
          </w:p>
        </w:tc>
      </w:tr>
    </w:tbl>
    <w:p w14:paraId="15B27541" w14:textId="77777777" w:rsidR="00577D08" w:rsidRDefault="00330FC0">
      <w:pPr>
        <w:pStyle w:val="af"/>
        <w:adjustRightInd w:val="0"/>
        <w:snapToGrid w:val="0"/>
        <w:spacing w:line="200" w:lineRule="atLeast"/>
        <w:rPr>
          <w:rFonts w:hAnsi="宋体" w:hint="eastAsia"/>
          <w:kern w:val="0"/>
        </w:rPr>
      </w:pPr>
      <w:bookmarkStart w:id="38" w:name="_Hlk41379873"/>
      <w:bookmarkStart w:id="39" w:name="_Hlk89096484"/>
      <w:bookmarkEnd w:id="36"/>
      <w:bookmarkEnd w:id="37"/>
      <w:r>
        <w:rPr>
          <w:rFonts w:hAnsi="宋体" w:cs="宋体" w:hint="eastAsia"/>
          <w:kern w:val="0"/>
        </w:rPr>
        <w:t>对公司</w:t>
      </w:r>
      <w:r>
        <w:rPr>
          <w:rFonts w:hint="eastAsia"/>
        </w:rPr>
        <w:t>将《公开发行证券的公司信息披露解释性公告第</w:t>
      </w:r>
      <w:r>
        <w:t>1</w:t>
      </w:r>
      <w:r>
        <w:t>号</w:t>
      </w:r>
      <w:r>
        <w:t>——</w:t>
      </w:r>
      <w:r>
        <w:t>非经常性损益》未列举的项目认定为非经常性损益项目且金额重大的，以及将《公开发行证券的公司信息披露解释性公告第</w:t>
      </w:r>
      <w:r>
        <w:t>1</w:t>
      </w:r>
      <w:r>
        <w:t>号</w:t>
      </w:r>
      <w:r>
        <w:t>——</w:t>
      </w:r>
      <w:r>
        <w:t>非经常性损益》中列举的非经常性损益项目界定为经常性损益的项目，</w:t>
      </w:r>
      <w:r>
        <w:rPr>
          <w:rFonts w:hAnsi="宋体" w:cs="宋体"/>
          <w:kern w:val="0"/>
        </w:rPr>
        <w:t>应说明原因。</w:t>
      </w:r>
    </w:p>
    <w:sdt>
      <w:sdtPr>
        <w:alias w:val="是否适用：将非经常性损益项目界定为经常性损益项目[双击切换]"/>
        <w:tag w:val="_GBC_a4930715ddcb47d484e7fbd516fb3ac1"/>
        <w:id w:val="-1524233076"/>
        <w:placeholder>
          <w:docPart w:val="GBC22222222222222222222222222222"/>
        </w:placeholder>
      </w:sdtPr>
      <w:sdtContent>
        <w:p w14:paraId="7A48F20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B794E28" w14:textId="77777777" w:rsidR="00577D08" w:rsidRDefault="00330FC0">
      <w:pPr>
        <w:pStyle w:val="2"/>
        <w:numPr>
          <w:ilvl w:val="1"/>
          <w:numId w:val="4"/>
        </w:numPr>
        <w:ind w:left="498" w:hangingChars="236" w:hanging="498"/>
        <w:rPr>
          <w:rFonts w:ascii="宋体" w:hAnsi="宋体" w:cs="宋体" w:hint="eastAsia"/>
          <w:kern w:val="0"/>
          <w:szCs w:val="24"/>
        </w:rPr>
      </w:pPr>
      <w:bookmarkStart w:id="40" w:name="_Hlk89957177"/>
      <w:bookmarkStart w:id="41" w:name="_Hlk188284396"/>
      <w:bookmarkStart w:id="42" w:name="_Hlk190177857"/>
      <w:bookmarkStart w:id="43" w:name="_Hlk189833556"/>
      <w:bookmarkEnd w:id="38"/>
      <w:bookmarkEnd w:id="39"/>
      <w:bookmarkEnd w:id="40"/>
      <w:bookmarkEnd w:id="41"/>
      <w:bookmarkEnd w:id="42"/>
      <w:r>
        <w:rPr>
          <w:rFonts w:ascii="宋体" w:hAnsi="宋体" w:cs="宋体" w:hint="eastAsia"/>
          <w:kern w:val="0"/>
          <w:szCs w:val="24"/>
        </w:rPr>
        <w:t>存在股权激励、员工持股计划的公司可选择披露扣除股份支付影响后的净利润</w:t>
      </w:r>
    </w:p>
    <w:sdt>
      <w:sdtPr>
        <w:rPr>
          <w:rFonts w:hint="eastAsia"/>
        </w:rPr>
        <w:alias w:val="是否适用：扣除股份支付影响后的净利润[双击切换]"/>
        <w:tag w:val="_GBC_71c3b526e4394d84a9836f3f981280a3"/>
        <w:id w:val="-1017077226"/>
        <w:lock w:val="contentLocked"/>
        <w:placeholder>
          <w:docPart w:val="GBC22222222222222222222222222222"/>
        </w:placeholder>
      </w:sdtPr>
      <w:sdtContent>
        <w:p w14:paraId="57B8321E" w14:textId="77777777" w:rsidR="00577D08" w:rsidRDefault="00330FC0">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50677DB7" w14:textId="77777777" w:rsidR="00577D08" w:rsidRDefault="00330FC0">
      <w:pPr>
        <w:jc w:val="right"/>
      </w:pPr>
      <w:r>
        <w:rPr>
          <w:rFonts w:hint="eastAsia"/>
        </w:rPr>
        <w:t>单位：</w:t>
      </w:r>
      <w:sdt>
        <w:sdtPr>
          <w:rPr>
            <w:rFonts w:hint="eastAsia"/>
          </w:rPr>
          <w:alias w:val="单位：扣除股份支付影响后的净利润"/>
          <w:tag w:val="_GBC_3174bde2760d418eab27b03a9498f6fb"/>
          <w:id w:val="196361626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w:t>
      </w:r>
      <w:r>
        <w:rPr>
          <w:rFonts w:hint="eastAsia"/>
        </w:rPr>
        <w:t>币种：</w:t>
      </w:r>
      <w:sdt>
        <w:sdtPr>
          <w:rPr>
            <w:rFonts w:hint="eastAsia"/>
          </w:rPr>
          <w:alias w:val="币种：扣除股份支付影响后的净利润"/>
          <w:tag w:val="_GBC_b676284d428c44338dd285f176f20a0a"/>
          <w:id w:val="-13480202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2"/>
        <w:gridCol w:w="1759"/>
        <w:gridCol w:w="1851"/>
        <w:gridCol w:w="1665"/>
        <w:gridCol w:w="1742"/>
      </w:tblGrid>
      <w:tr w:rsidR="00577D08" w14:paraId="71EB125A" w14:textId="77777777">
        <w:trPr>
          <w:trHeight w:val="596"/>
        </w:trPr>
        <w:sdt>
          <w:sdtPr>
            <w:tag w:val="_PLD_df6fc8c201144ecaa0e1d09bc94ecf38"/>
            <w:id w:val="1417977687"/>
          </w:sdtPr>
          <w:sdtContent>
            <w:tc>
              <w:tcPr>
                <w:tcW w:w="2032" w:type="dxa"/>
                <w:vAlign w:val="center"/>
              </w:tcPr>
              <w:p w14:paraId="2D4EC700" w14:textId="77777777" w:rsidR="00577D08" w:rsidRDefault="00330FC0">
                <w:pPr>
                  <w:kinsoku w:val="0"/>
                  <w:overflowPunct w:val="0"/>
                  <w:autoSpaceDE w:val="0"/>
                  <w:autoSpaceDN w:val="0"/>
                  <w:adjustRightInd w:val="0"/>
                  <w:snapToGrid w:val="0"/>
                  <w:jc w:val="center"/>
                </w:pPr>
                <w:r>
                  <w:rPr>
                    <w:rFonts w:hint="eastAsia"/>
                  </w:rPr>
                  <w:t>主要会计数据</w:t>
                </w:r>
              </w:p>
            </w:tc>
          </w:sdtContent>
        </w:sdt>
        <w:sdt>
          <w:sdtPr>
            <w:tag w:val="_PLD_342c3123685343028c205682492c27b4"/>
            <w:id w:val="733440906"/>
          </w:sdtPr>
          <w:sdtContent>
            <w:tc>
              <w:tcPr>
                <w:tcW w:w="1759" w:type="dxa"/>
                <w:vAlign w:val="center"/>
              </w:tcPr>
              <w:p w14:paraId="42350598" w14:textId="77777777" w:rsidR="00577D08" w:rsidRDefault="00330FC0">
                <w:pPr>
                  <w:kinsoku w:val="0"/>
                  <w:overflowPunct w:val="0"/>
                  <w:autoSpaceDE w:val="0"/>
                  <w:autoSpaceDN w:val="0"/>
                  <w:adjustRightInd w:val="0"/>
                  <w:snapToGrid w:val="0"/>
                  <w:jc w:val="center"/>
                </w:pPr>
                <w:r>
                  <w:rPr>
                    <w:rFonts w:hint="eastAsia"/>
                  </w:rPr>
                  <w:t>2025</w:t>
                </w:r>
                <w:r>
                  <w:rPr>
                    <w:rFonts w:hint="eastAsia"/>
                  </w:rPr>
                  <w:t>年</w:t>
                </w:r>
              </w:p>
            </w:tc>
          </w:sdtContent>
        </w:sdt>
        <w:sdt>
          <w:sdtPr>
            <w:tag w:val="_PLD_8c67aa40487040a899d27ea30e0a8fd9"/>
            <w:id w:val="-640341993"/>
          </w:sdtPr>
          <w:sdtContent>
            <w:tc>
              <w:tcPr>
                <w:tcW w:w="1851" w:type="dxa"/>
                <w:vAlign w:val="center"/>
              </w:tcPr>
              <w:p w14:paraId="072473B6" w14:textId="77777777" w:rsidR="00577D08" w:rsidRDefault="00330FC0">
                <w:pPr>
                  <w:kinsoku w:val="0"/>
                  <w:overflowPunct w:val="0"/>
                  <w:autoSpaceDE w:val="0"/>
                  <w:autoSpaceDN w:val="0"/>
                  <w:adjustRightInd w:val="0"/>
                  <w:snapToGrid w:val="0"/>
                  <w:jc w:val="center"/>
                </w:pPr>
                <w:r>
                  <w:rPr>
                    <w:rFonts w:hint="eastAsia"/>
                  </w:rPr>
                  <w:t>2024</w:t>
                </w:r>
                <w:r>
                  <w:rPr>
                    <w:rFonts w:hint="eastAsia"/>
                  </w:rPr>
                  <w:t>年</w:t>
                </w:r>
              </w:p>
            </w:tc>
          </w:sdtContent>
        </w:sdt>
        <w:sdt>
          <w:sdtPr>
            <w:tag w:val="_PLD_59036ba019c843d7898e0645c609a90f"/>
            <w:id w:val="1045185703"/>
          </w:sdtPr>
          <w:sdtContent>
            <w:tc>
              <w:tcPr>
                <w:tcW w:w="1665" w:type="dxa"/>
                <w:vAlign w:val="center"/>
              </w:tcPr>
              <w:p w14:paraId="1C77B847" w14:textId="77777777" w:rsidR="00577D08" w:rsidRDefault="00330FC0">
                <w:pPr>
                  <w:kinsoku w:val="0"/>
                  <w:overflowPunct w:val="0"/>
                  <w:autoSpaceDE w:val="0"/>
                  <w:autoSpaceDN w:val="0"/>
                  <w:adjustRightInd w:val="0"/>
                  <w:snapToGrid w:val="0"/>
                  <w:jc w:val="center"/>
                </w:pPr>
                <w:r>
                  <w:rPr>
                    <w:rFonts w:hint="eastAsia"/>
                  </w:rPr>
                  <w:t>本期比上年同期增减</w:t>
                </w:r>
                <w:r>
                  <w:t>(%)</w:t>
                </w:r>
              </w:p>
            </w:tc>
          </w:sdtContent>
        </w:sdt>
        <w:sdt>
          <w:sdtPr>
            <w:tag w:val="_PLD_dc7b9b81d74848b78875a05b7a4b7a4c"/>
            <w:id w:val="299425366"/>
          </w:sdtPr>
          <w:sdtContent>
            <w:tc>
              <w:tcPr>
                <w:tcW w:w="1742" w:type="dxa"/>
                <w:vAlign w:val="center"/>
              </w:tcPr>
              <w:p w14:paraId="37E5473F" w14:textId="77777777" w:rsidR="00577D08" w:rsidRDefault="00330FC0">
                <w:pPr>
                  <w:kinsoku w:val="0"/>
                  <w:overflowPunct w:val="0"/>
                  <w:autoSpaceDE w:val="0"/>
                  <w:autoSpaceDN w:val="0"/>
                  <w:adjustRightInd w:val="0"/>
                  <w:snapToGrid w:val="0"/>
                  <w:jc w:val="center"/>
                </w:pPr>
                <w:r>
                  <w:rPr>
                    <w:rFonts w:hint="eastAsia"/>
                  </w:rPr>
                  <w:t>2023</w:t>
                </w:r>
                <w:r>
                  <w:rPr>
                    <w:rFonts w:hint="eastAsia"/>
                  </w:rPr>
                  <w:t>年</w:t>
                </w:r>
              </w:p>
            </w:tc>
          </w:sdtContent>
        </w:sdt>
      </w:tr>
      <w:tr w:rsidR="00577D08" w14:paraId="330C57FB" w14:textId="77777777">
        <w:trPr>
          <w:trHeight w:val="285"/>
        </w:trPr>
        <w:tc>
          <w:tcPr>
            <w:tcW w:w="2032" w:type="dxa"/>
            <w:vAlign w:val="center"/>
          </w:tcPr>
          <w:p w14:paraId="622BF80F" w14:textId="77777777" w:rsidR="00577D08" w:rsidRDefault="00330FC0">
            <w:pPr>
              <w:kinsoku w:val="0"/>
              <w:overflowPunct w:val="0"/>
              <w:autoSpaceDE w:val="0"/>
              <w:autoSpaceDN w:val="0"/>
              <w:adjustRightInd w:val="0"/>
              <w:snapToGrid w:val="0"/>
            </w:pPr>
            <w:r>
              <w:rPr>
                <w:rFonts w:hint="eastAsia"/>
              </w:rPr>
              <w:t>扣除股份支付影响后的净利润</w:t>
            </w:r>
          </w:p>
        </w:tc>
        <w:tc>
          <w:tcPr>
            <w:tcW w:w="1759" w:type="dxa"/>
            <w:vAlign w:val="center"/>
          </w:tcPr>
          <w:p w14:paraId="4BD850E8" w14:textId="77777777" w:rsidR="00577D08" w:rsidRDefault="00330FC0">
            <w:pPr>
              <w:widowControl w:val="0"/>
              <w:jc w:val="right"/>
            </w:pPr>
            <w:r>
              <w:t xml:space="preserve"> 7,281.85 </w:t>
            </w:r>
          </w:p>
        </w:tc>
        <w:tc>
          <w:tcPr>
            <w:tcW w:w="1851" w:type="dxa"/>
            <w:vAlign w:val="center"/>
          </w:tcPr>
          <w:p w14:paraId="44A4BEFB" w14:textId="77777777" w:rsidR="00577D08" w:rsidRDefault="00330FC0">
            <w:pPr>
              <w:widowControl w:val="0"/>
              <w:jc w:val="right"/>
            </w:pPr>
            <w:r>
              <w:t xml:space="preserve"> 6,906.54 </w:t>
            </w:r>
          </w:p>
        </w:tc>
        <w:tc>
          <w:tcPr>
            <w:tcW w:w="1665" w:type="dxa"/>
            <w:vAlign w:val="center"/>
          </w:tcPr>
          <w:p w14:paraId="7F3F6FD5" w14:textId="77777777" w:rsidR="00577D08" w:rsidRDefault="00330FC0">
            <w:pPr>
              <w:widowControl w:val="0"/>
              <w:jc w:val="right"/>
            </w:pPr>
            <w:r>
              <w:t xml:space="preserve"> 5.43 </w:t>
            </w:r>
          </w:p>
        </w:tc>
        <w:tc>
          <w:tcPr>
            <w:tcW w:w="1742" w:type="dxa"/>
            <w:vAlign w:val="center"/>
          </w:tcPr>
          <w:p w14:paraId="3FB2379D" w14:textId="77777777" w:rsidR="00577D08" w:rsidRDefault="00330FC0">
            <w:pPr>
              <w:widowControl w:val="0"/>
              <w:jc w:val="right"/>
            </w:pPr>
            <w:r>
              <w:t xml:space="preserve"> 23,201.81 </w:t>
            </w:r>
          </w:p>
        </w:tc>
      </w:tr>
    </w:tbl>
    <w:p w14:paraId="7B97F8C5" w14:textId="77777777" w:rsidR="00577D08" w:rsidRDefault="00330FC0">
      <w:pPr>
        <w:pStyle w:val="2"/>
        <w:numPr>
          <w:ilvl w:val="1"/>
          <w:numId w:val="4"/>
        </w:numPr>
        <w:ind w:left="498" w:hangingChars="236" w:hanging="498"/>
      </w:pPr>
      <w:bookmarkStart w:id="44" w:name="_Hlk191559048"/>
      <w:bookmarkStart w:id="45" w:name="_Hlk191559067"/>
      <w:bookmarkStart w:id="46" w:name="_Hlk191559014"/>
      <w:bookmarkEnd w:id="43"/>
      <w:bookmarkEnd w:id="44"/>
      <w:bookmarkEnd w:id="45"/>
      <w:bookmarkEnd w:id="46"/>
      <w:r>
        <w:rPr>
          <w:rFonts w:hint="eastAsia"/>
        </w:rPr>
        <w:lastRenderedPageBreak/>
        <w:t>采用公允价值计量的项目</w:t>
      </w:r>
    </w:p>
    <w:sdt>
      <w:sdtPr>
        <w:alias w:val="是否适用：采用公允价值计量的项目[双击切换]"/>
        <w:tag w:val="_GBC_e89d76d7486246e0ac1d3db15e4df008"/>
        <w:id w:val="-486855603"/>
        <w:placeholder>
          <w:docPart w:val="GBC22222222222222222222222222222"/>
        </w:placeholder>
      </w:sdtPr>
      <w:sdtContent>
        <w:p w14:paraId="102F8D7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B51BC82" w14:textId="77777777" w:rsidR="00577D08" w:rsidRDefault="00330FC0">
      <w:pPr>
        <w:wordWrap w:val="0"/>
        <w:jc w:val="right"/>
        <w:rPr>
          <w:rFonts w:asciiTheme="minorEastAsia" w:eastAsiaTheme="minorEastAsia" w:hAnsiTheme="minorEastAsia" w:hint="eastAsia"/>
        </w:rPr>
      </w:pPr>
      <w:r>
        <w:rPr>
          <w:rFonts w:asciiTheme="minorEastAsia" w:eastAsiaTheme="minorEastAsia" w:hAnsiTheme="minorEastAsia" w:hint="eastAsia"/>
        </w:rPr>
        <w:t>单位：</w:t>
      </w:r>
      <w:sdt>
        <w:sdtPr>
          <w:rPr>
            <w:rFonts w:asciiTheme="minorEastAsia" w:eastAsiaTheme="minorEastAsia" w:hAnsiTheme="minorEastAsia" w:hint="eastAsia"/>
          </w:rPr>
          <w:alias w:val="单位：采用公允价值计量的项目"/>
          <w:tag w:val="_GBC_3db790decc6f48c79df9bb825ea34c80"/>
          <w:id w:val="-7303862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Theme="minorEastAsia" w:eastAsiaTheme="minorEastAsia" w:hAnsiTheme="minorEastAsia" w:hint="eastAsia"/>
            </w:rPr>
            <w:t>万元</w:t>
          </w:r>
        </w:sdtContent>
      </w:sdt>
      <w:r>
        <w:rPr>
          <w:rFonts w:asciiTheme="minorEastAsia" w:eastAsiaTheme="minorEastAsia" w:hAnsiTheme="minorEastAsia" w:hint="eastAsia"/>
        </w:rPr>
        <w:t xml:space="preserve">  币种：</w:t>
      </w:r>
      <w:sdt>
        <w:sdtPr>
          <w:rPr>
            <w:rFonts w:asciiTheme="minorEastAsia" w:eastAsiaTheme="minorEastAsia" w:hAnsiTheme="minorEastAsia" w:hint="eastAsia"/>
          </w:rPr>
          <w:alias w:val="币种：采用公允价值计量的项目"/>
          <w:tag w:val="_GBC_6f16a5f9084343f1b7cf46e770d31080"/>
          <w:id w:val="16544078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Theme="minorEastAsia" w:eastAsiaTheme="minorEastAsia" w:hAnsiTheme="minorEastAsia" w:hint="eastAsia"/>
            </w:rPr>
            <w:t>人民币</w:t>
          </w:r>
        </w:sdtContent>
      </w:sdt>
    </w:p>
    <w:tbl>
      <w:tblPr>
        <w:tblStyle w:val="aff2"/>
        <w:tblW w:w="0" w:type="auto"/>
        <w:tblLayout w:type="fixed"/>
        <w:tblLook w:val="04A0" w:firstRow="1" w:lastRow="0" w:firstColumn="1" w:lastColumn="0" w:noHBand="0" w:noVBand="1"/>
      </w:tblPr>
      <w:tblGrid>
        <w:gridCol w:w="1949"/>
        <w:gridCol w:w="1701"/>
        <w:gridCol w:w="1710"/>
        <w:gridCol w:w="1695"/>
        <w:gridCol w:w="1992"/>
      </w:tblGrid>
      <w:tr w:rsidR="00577D08" w14:paraId="5EC6486E" w14:textId="77777777">
        <w:trPr>
          <w:trHeight w:val="165"/>
        </w:trPr>
        <w:sdt>
          <w:sdtPr>
            <w:tag w:val="_PLD_7afb41bb6f11412490d2cf97e6a8af4a"/>
            <w:id w:val="-1787800824"/>
          </w:sdtPr>
          <w:sdtContent>
            <w:tc>
              <w:tcPr>
                <w:tcW w:w="1949" w:type="dxa"/>
                <w:vAlign w:val="center"/>
              </w:tcPr>
              <w:p w14:paraId="59B99141"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项目名称</w:t>
                </w:r>
              </w:p>
            </w:tc>
          </w:sdtContent>
        </w:sdt>
        <w:sdt>
          <w:sdtPr>
            <w:tag w:val="_PLD_da0df6228e264965b54ebbf01610457e"/>
            <w:id w:val="-1284421151"/>
          </w:sdtPr>
          <w:sdtContent>
            <w:tc>
              <w:tcPr>
                <w:tcW w:w="1701" w:type="dxa"/>
                <w:vAlign w:val="center"/>
              </w:tcPr>
              <w:p w14:paraId="3F065623"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期初余额</w:t>
                </w:r>
              </w:p>
            </w:tc>
          </w:sdtContent>
        </w:sdt>
        <w:sdt>
          <w:sdtPr>
            <w:tag w:val="_PLD_32f24a9a3da24799945b9be672e1778c"/>
            <w:id w:val="-2120669553"/>
          </w:sdtPr>
          <w:sdtContent>
            <w:tc>
              <w:tcPr>
                <w:tcW w:w="1710" w:type="dxa"/>
                <w:vAlign w:val="center"/>
              </w:tcPr>
              <w:p w14:paraId="7123494A"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期末余额</w:t>
                </w:r>
              </w:p>
            </w:tc>
          </w:sdtContent>
        </w:sdt>
        <w:sdt>
          <w:sdtPr>
            <w:tag w:val="_PLD_e96c7ea54e9845adafdee1a3e4d1777a"/>
            <w:id w:val="2049489616"/>
          </w:sdtPr>
          <w:sdtContent>
            <w:tc>
              <w:tcPr>
                <w:tcW w:w="1695" w:type="dxa"/>
                <w:vAlign w:val="center"/>
              </w:tcPr>
              <w:p w14:paraId="71BF8E25"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当期变动</w:t>
                </w:r>
              </w:p>
            </w:tc>
          </w:sdtContent>
        </w:sdt>
        <w:sdt>
          <w:sdtPr>
            <w:tag w:val="_PLD_1472a884c9f543dba7a82865e73f1536"/>
            <w:id w:val="718327741"/>
          </w:sdtPr>
          <w:sdtContent>
            <w:tc>
              <w:tcPr>
                <w:tcW w:w="1992" w:type="dxa"/>
                <w:vAlign w:val="center"/>
              </w:tcPr>
              <w:p w14:paraId="5CBD21CB"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对当期利润的影响金额</w:t>
                </w:r>
              </w:p>
            </w:tc>
          </w:sdtContent>
        </w:sdt>
      </w:tr>
      <w:tr w:rsidR="00577D08" w14:paraId="26DC04F6" w14:textId="77777777">
        <w:trPr>
          <w:trHeight w:val="180"/>
        </w:trPr>
        <w:tc>
          <w:tcPr>
            <w:tcW w:w="1949" w:type="dxa"/>
          </w:tcPr>
          <w:p w14:paraId="77D57C13" w14:textId="77777777" w:rsidR="00577D08" w:rsidRDefault="00330FC0">
            <w:pPr>
              <w:rPr>
                <w:rFonts w:asciiTheme="minorEastAsia" w:eastAsiaTheme="minorEastAsia" w:hAnsiTheme="minorEastAsia" w:hint="eastAsia"/>
              </w:rPr>
            </w:pPr>
            <w:r>
              <w:rPr>
                <w:rFonts w:hint="eastAsia"/>
              </w:rPr>
              <w:t>交易性金融资产</w:t>
            </w:r>
          </w:p>
        </w:tc>
        <w:tc>
          <w:tcPr>
            <w:tcW w:w="1701" w:type="dxa"/>
          </w:tcPr>
          <w:p w14:paraId="5405D61E" w14:textId="77777777" w:rsidR="00577D08" w:rsidRDefault="00330FC0">
            <w:pPr>
              <w:jc w:val="right"/>
              <w:rPr>
                <w:rFonts w:asciiTheme="minorEastAsia" w:eastAsiaTheme="minorEastAsia" w:hAnsiTheme="minorEastAsia" w:hint="eastAsia"/>
              </w:rPr>
            </w:pPr>
            <w:r>
              <w:t xml:space="preserve"> 2,505.88 </w:t>
            </w:r>
          </w:p>
        </w:tc>
        <w:tc>
          <w:tcPr>
            <w:tcW w:w="1710" w:type="dxa"/>
          </w:tcPr>
          <w:p w14:paraId="7EF4286B" w14:textId="77777777" w:rsidR="00577D08" w:rsidRDefault="00330FC0">
            <w:pPr>
              <w:jc w:val="right"/>
              <w:rPr>
                <w:rFonts w:asciiTheme="minorEastAsia" w:eastAsiaTheme="minorEastAsia" w:hAnsiTheme="minorEastAsia" w:hint="eastAsia"/>
              </w:rPr>
            </w:pPr>
            <w:r>
              <w:t xml:space="preserve">   </w:t>
            </w:r>
          </w:p>
        </w:tc>
        <w:tc>
          <w:tcPr>
            <w:tcW w:w="1695" w:type="dxa"/>
          </w:tcPr>
          <w:p w14:paraId="77BF83CF" w14:textId="77777777" w:rsidR="00577D08" w:rsidRDefault="00330FC0">
            <w:pPr>
              <w:jc w:val="right"/>
              <w:rPr>
                <w:rFonts w:asciiTheme="minorEastAsia" w:eastAsiaTheme="minorEastAsia" w:hAnsiTheme="minorEastAsia" w:hint="eastAsia"/>
              </w:rPr>
            </w:pPr>
            <w:r>
              <w:t xml:space="preserve"> -2,505.88 </w:t>
            </w:r>
          </w:p>
        </w:tc>
        <w:tc>
          <w:tcPr>
            <w:tcW w:w="1992" w:type="dxa"/>
          </w:tcPr>
          <w:p w14:paraId="09308E9E" w14:textId="77777777" w:rsidR="00577D08" w:rsidRDefault="00330FC0">
            <w:pPr>
              <w:jc w:val="right"/>
              <w:rPr>
                <w:rFonts w:asciiTheme="minorEastAsia" w:eastAsiaTheme="minorEastAsia" w:hAnsiTheme="minorEastAsia" w:hint="eastAsia"/>
              </w:rPr>
            </w:pPr>
            <w:r>
              <w:t xml:space="preserve"> 7.09 </w:t>
            </w:r>
          </w:p>
        </w:tc>
      </w:tr>
      <w:tr w:rsidR="00577D08" w14:paraId="55814128" w14:textId="77777777">
        <w:trPr>
          <w:trHeight w:val="180"/>
        </w:trPr>
        <w:tc>
          <w:tcPr>
            <w:tcW w:w="1949" w:type="dxa"/>
          </w:tcPr>
          <w:p w14:paraId="61B728BB" w14:textId="77777777" w:rsidR="00577D08" w:rsidRDefault="00330FC0">
            <w:pPr>
              <w:rPr>
                <w:rFonts w:asciiTheme="minorEastAsia" w:eastAsiaTheme="minorEastAsia" w:hAnsiTheme="minorEastAsia" w:hint="eastAsia"/>
              </w:rPr>
            </w:pPr>
            <w:r>
              <w:rPr>
                <w:rFonts w:hint="eastAsia"/>
              </w:rPr>
              <w:t>应收款项融资</w:t>
            </w:r>
          </w:p>
        </w:tc>
        <w:tc>
          <w:tcPr>
            <w:tcW w:w="1701" w:type="dxa"/>
          </w:tcPr>
          <w:p w14:paraId="4AA28631" w14:textId="77777777" w:rsidR="00577D08" w:rsidRDefault="00330FC0">
            <w:pPr>
              <w:jc w:val="right"/>
              <w:rPr>
                <w:rFonts w:asciiTheme="minorEastAsia" w:eastAsiaTheme="minorEastAsia" w:hAnsiTheme="minorEastAsia" w:hint="eastAsia"/>
              </w:rPr>
            </w:pPr>
            <w:r>
              <w:t xml:space="preserve"> 1,499.52 </w:t>
            </w:r>
          </w:p>
        </w:tc>
        <w:tc>
          <w:tcPr>
            <w:tcW w:w="1710" w:type="dxa"/>
          </w:tcPr>
          <w:p w14:paraId="5802F418" w14:textId="77777777" w:rsidR="00577D08" w:rsidRDefault="00330FC0">
            <w:pPr>
              <w:jc w:val="right"/>
              <w:rPr>
                <w:rFonts w:asciiTheme="minorEastAsia" w:eastAsiaTheme="minorEastAsia" w:hAnsiTheme="minorEastAsia" w:hint="eastAsia"/>
              </w:rPr>
            </w:pPr>
            <w:r>
              <w:t xml:space="preserve"> 3,743.35 </w:t>
            </w:r>
          </w:p>
        </w:tc>
        <w:tc>
          <w:tcPr>
            <w:tcW w:w="1695" w:type="dxa"/>
          </w:tcPr>
          <w:p w14:paraId="045B24F3" w14:textId="77777777" w:rsidR="00577D08" w:rsidRDefault="00330FC0">
            <w:pPr>
              <w:jc w:val="right"/>
              <w:rPr>
                <w:rFonts w:asciiTheme="minorEastAsia" w:eastAsiaTheme="minorEastAsia" w:hAnsiTheme="minorEastAsia" w:hint="eastAsia"/>
              </w:rPr>
            </w:pPr>
            <w:r>
              <w:t xml:space="preserve"> 2,243.84 </w:t>
            </w:r>
          </w:p>
        </w:tc>
        <w:tc>
          <w:tcPr>
            <w:tcW w:w="1992" w:type="dxa"/>
          </w:tcPr>
          <w:p w14:paraId="37A524CB" w14:textId="77777777" w:rsidR="00577D08" w:rsidRDefault="00330FC0">
            <w:pPr>
              <w:jc w:val="right"/>
              <w:rPr>
                <w:rFonts w:asciiTheme="minorEastAsia" w:eastAsiaTheme="minorEastAsia" w:hAnsiTheme="minorEastAsia" w:hint="eastAsia"/>
              </w:rPr>
            </w:pPr>
            <w:r>
              <w:t xml:space="preserve"> -29.51 </w:t>
            </w:r>
          </w:p>
        </w:tc>
      </w:tr>
      <w:tr w:rsidR="00577D08" w14:paraId="74BFF58A" w14:textId="77777777">
        <w:trPr>
          <w:trHeight w:val="180"/>
        </w:trPr>
        <w:tc>
          <w:tcPr>
            <w:tcW w:w="1949" w:type="dxa"/>
          </w:tcPr>
          <w:p w14:paraId="5AAD8B53" w14:textId="77777777" w:rsidR="00577D08" w:rsidRDefault="00330FC0">
            <w:pPr>
              <w:rPr>
                <w:rFonts w:asciiTheme="minorEastAsia" w:eastAsiaTheme="minorEastAsia" w:hAnsiTheme="minorEastAsia" w:hint="eastAsia"/>
              </w:rPr>
            </w:pPr>
            <w:r>
              <w:rPr>
                <w:rFonts w:hint="eastAsia"/>
              </w:rPr>
              <w:t>其他权益工具投资</w:t>
            </w:r>
          </w:p>
        </w:tc>
        <w:tc>
          <w:tcPr>
            <w:tcW w:w="1701" w:type="dxa"/>
          </w:tcPr>
          <w:p w14:paraId="4EC6C94A" w14:textId="77777777" w:rsidR="00577D08" w:rsidRDefault="00330FC0">
            <w:pPr>
              <w:jc w:val="right"/>
              <w:rPr>
                <w:rFonts w:asciiTheme="minorEastAsia" w:eastAsiaTheme="minorEastAsia" w:hAnsiTheme="minorEastAsia" w:hint="eastAsia"/>
              </w:rPr>
            </w:pPr>
            <w:r>
              <w:t xml:space="preserve"> 1,620.77 </w:t>
            </w:r>
          </w:p>
        </w:tc>
        <w:tc>
          <w:tcPr>
            <w:tcW w:w="1710" w:type="dxa"/>
          </w:tcPr>
          <w:p w14:paraId="3B25096E" w14:textId="77777777" w:rsidR="00577D08" w:rsidRDefault="00330FC0">
            <w:pPr>
              <w:jc w:val="right"/>
              <w:rPr>
                <w:rFonts w:asciiTheme="minorEastAsia" w:eastAsiaTheme="minorEastAsia" w:hAnsiTheme="minorEastAsia" w:hint="eastAsia"/>
              </w:rPr>
            </w:pPr>
            <w:r>
              <w:t xml:space="preserve"> 1,512.30 </w:t>
            </w:r>
          </w:p>
        </w:tc>
        <w:tc>
          <w:tcPr>
            <w:tcW w:w="1695" w:type="dxa"/>
          </w:tcPr>
          <w:p w14:paraId="16E789DE" w14:textId="77777777" w:rsidR="00577D08" w:rsidRDefault="00330FC0">
            <w:pPr>
              <w:jc w:val="right"/>
              <w:rPr>
                <w:rFonts w:asciiTheme="minorEastAsia" w:eastAsiaTheme="minorEastAsia" w:hAnsiTheme="minorEastAsia" w:hint="eastAsia"/>
              </w:rPr>
            </w:pPr>
            <w:r>
              <w:t xml:space="preserve"> -108.47 </w:t>
            </w:r>
          </w:p>
        </w:tc>
        <w:tc>
          <w:tcPr>
            <w:tcW w:w="1992" w:type="dxa"/>
          </w:tcPr>
          <w:p w14:paraId="4BA0D95F" w14:textId="77777777" w:rsidR="00577D08" w:rsidRDefault="00330FC0">
            <w:pPr>
              <w:jc w:val="right"/>
              <w:rPr>
                <w:rFonts w:asciiTheme="minorEastAsia" w:eastAsiaTheme="minorEastAsia" w:hAnsiTheme="minorEastAsia" w:hint="eastAsia"/>
              </w:rPr>
            </w:pPr>
            <w:r>
              <w:t xml:space="preserve"> 111.66 </w:t>
            </w:r>
          </w:p>
        </w:tc>
      </w:tr>
      <w:tr w:rsidR="00577D08" w14:paraId="2E44EFB7" w14:textId="77777777">
        <w:trPr>
          <w:trHeight w:val="117"/>
        </w:trPr>
        <w:tc>
          <w:tcPr>
            <w:tcW w:w="1949" w:type="dxa"/>
            <w:tcBorders>
              <w:bottom w:val="single" w:sz="4" w:space="0" w:color="auto"/>
            </w:tcBorders>
            <w:vAlign w:val="center"/>
          </w:tcPr>
          <w:p w14:paraId="033B9BC8"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合计</w:t>
            </w:r>
          </w:p>
        </w:tc>
        <w:tc>
          <w:tcPr>
            <w:tcW w:w="1701" w:type="dxa"/>
          </w:tcPr>
          <w:p w14:paraId="20D409D2" w14:textId="77777777" w:rsidR="00577D08" w:rsidRDefault="00330FC0">
            <w:pPr>
              <w:jc w:val="right"/>
              <w:rPr>
                <w:rFonts w:asciiTheme="minorEastAsia" w:eastAsiaTheme="minorEastAsia" w:hAnsiTheme="minorEastAsia" w:hint="eastAsia"/>
              </w:rPr>
            </w:pPr>
            <w:r>
              <w:t xml:space="preserve"> 5,626.17 </w:t>
            </w:r>
          </w:p>
        </w:tc>
        <w:tc>
          <w:tcPr>
            <w:tcW w:w="1710" w:type="dxa"/>
          </w:tcPr>
          <w:p w14:paraId="01897FAF" w14:textId="77777777" w:rsidR="00577D08" w:rsidRDefault="00330FC0">
            <w:pPr>
              <w:jc w:val="right"/>
              <w:rPr>
                <w:rFonts w:asciiTheme="minorEastAsia" w:eastAsiaTheme="minorEastAsia" w:hAnsiTheme="minorEastAsia" w:hint="eastAsia"/>
              </w:rPr>
            </w:pPr>
            <w:r>
              <w:t xml:space="preserve"> 5,255.65 </w:t>
            </w:r>
          </w:p>
        </w:tc>
        <w:tc>
          <w:tcPr>
            <w:tcW w:w="1695" w:type="dxa"/>
          </w:tcPr>
          <w:p w14:paraId="12F3FE25" w14:textId="77777777" w:rsidR="00577D08" w:rsidRDefault="00330FC0">
            <w:pPr>
              <w:jc w:val="right"/>
              <w:rPr>
                <w:rFonts w:asciiTheme="minorEastAsia" w:eastAsiaTheme="minorEastAsia" w:hAnsiTheme="minorEastAsia" w:hint="eastAsia"/>
              </w:rPr>
            </w:pPr>
            <w:r>
              <w:t xml:space="preserve"> -370.51 </w:t>
            </w:r>
          </w:p>
        </w:tc>
        <w:tc>
          <w:tcPr>
            <w:tcW w:w="1992" w:type="dxa"/>
          </w:tcPr>
          <w:p w14:paraId="3569934E" w14:textId="77777777" w:rsidR="00577D08" w:rsidRDefault="00330FC0">
            <w:pPr>
              <w:jc w:val="right"/>
              <w:rPr>
                <w:rFonts w:asciiTheme="minorEastAsia" w:eastAsiaTheme="minorEastAsia" w:hAnsiTheme="minorEastAsia" w:hint="eastAsia"/>
              </w:rPr>
            </w:pPr>
            <w:r>
              <w:t xml:space="preserve"> 89.24 </w:t>
            </w:r>
          </w:p>
        </w:tc>
      </w:tr>
    </w:tbl>
    <w:p w14:paraId="25AD0F81" w14:textId="77777777" w:rsidR="00577D08" w:rsidRDefault="00330FC0">
      <w:pPr>
        <w:spacing w:line="360" w:lineRule="exact"/>
        <w:jc w:val="both"/>
      </w:pPr>
      <w:bookmarkStart w:id="47" w:name="OLE_LINK81"/>
      <w:r>
        <w:rPr>
          <w:rFonts w:hint="eastAsia"/>
        </w:rPr>
        <w:t>说明：其他权益工具主要系云变电气持有的交通银行原始股。本期收到分红</w:t>
      </w:r>
      <w:r>
        <w:rPr>
          <w:rFonts w:hint="eastAsia"/>
        </w:rPr>
        <w:t>111.66</w:t>
      </w:r>
      <w:r>
        <w:rPr>
          <w:rFonts w:hint="eastAsia"/>
        </w:rPr>
        <w:t>万元，计入投资收益；公允价值变动</w:t>
      </w:r>
      <w:r>
        <w:rPr>
          <w:rFonts w:hint="eastAsia"/>
        </w:rPr>
        <w:t>108.47</w:t>
      </w:r>
      <w:r>
        <w:rPr>
          <w:rFonts w:hint="eastAsia"/>
        </w:rPr>
        <w:t>万元，计入其他综合收益。</w:t>
      </w:r>
    </w:p>
    <w:bookmarkEnd w:id="47"/>
    <w:p w14:paraId="7B38A166" w14:textId="77777777" w:rsidR="00577D08" w:rsidRDefault="00330FC0">
      <w:pPr>
        <w:pStyle w:val="2"/>
        <w:numPr>
          <w:ilvl w:val="1"/>
          <w:numId w:val="4"/>
        </w:numPr>
        <w:ind w:left="498" w:hangingChars="236" w:hanging="498"/>
      </w:pPr>
      <w:r>
        <w:rPr>
          <w:rFonts w:hint="eastAsia"/>
        </w:rPr>
        <w:t>其他</w:t>
      </w:r>
    </w:p>
    <w:sdt>
      <w:sdtPr>
        <w:alias w:val="是否适用：公司简介和主要财务指标其他说明[双击切换]"/>
        <w:tag w:val="_GBC_ac20c9ad49eb470dba71a763f930572f"/>
        <w:id w:val="-410694436"/>
        <w:placeholder>
          <w:docPart w:val="GBC22222222222222222222222222222"/>
        </w:placeholder>
      </w:sdtPr>
      <w:sdtContent>
        <w:p w14:paraId="4694C89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DFBFCA" w14:textId="77777777" w:rsidR="00577D08" w:rsidRDefault="00577D08"/>
    <w:p w14:paraId="26CD830C" w14:textId="77777777" w:rsidR="00577D08" w:rsidRDefault="00330FC0">
      <w:pPr>
        <w:pStyle w:val="1"/>
        <w:numPr>
          <w:ilvl w:val="0"/>
          <w:numId w:val="2"/>
        </w:numPr>
      </w:pPr>
      <w:bookmarkStart w:id="48" w:name="_Toc191024258"/>
      <w:r>
        <w:rPr>
          <w:rFonts w:hint="eastAsia"/>
        </w:rPr>
        <w:t>管理层讨论与分析</w:t>
      </w:r>
    </w:p>
    <w:bookmarkEnd w:id="48"/>
    <w:p w14:paraId="352934F5" w14:textId="77777777" w:rsidR="00577D08" w:rsidRDefault="00330FC0">
      <w:pPr>
        <w:pStyle w:val="2"/>
        <w:numPr>
          <w:ilvl w:val="0"/>
          <w:numId w:val="7"/>
        </w:numPr>
        <w:ind w:left="369" w:hangingChars="175" w:hanging="369"/>
      </w:pPr>
      <w:r>
        <w:t>报告期内公司从事的业务情况</w:t>
      </w:r>
    </w:p>
    <w:bookmarkStart w:id="49" w:name="OLE_LINK82" w:displacedByCustomXml="next"/>
    <w:bookmarkStart w:id="50" w:name="OLE_LINK62" w:displacedByCustomXml="next"/>
    <w:bookmarkStart w:id="51" w:name="OLE_LINK63" w:displacedByCustomXml="next"/>
    <w:sdt>
      <w:sdtPr>
        <w:alias w:val="报告期内公司从事的业务情况 "/>
        <w:tag w:val="_GBC_5c2ed6623d994f569eb07915af842807"/>
        <w:id w:val="-1397506813"/>
        <w:placeholder>
          <w:docPart w:val="GBC22222222222222222222222222222"/>
        </w:placeholder>
      </w:sdtPr>
      <w:sdtContent>
        <w:p w14:paraId="08E16D6E" w14:textId="77777777" w:rsidR="00577D08" w:rsidRDefault="00330FC0">
          <w:pPr>
            <w:spacing w:line="360" w:lineRule="exact"/>
            <w:ind w:firstLineChars="200" w:firstLine="420"/>
            <w:jc w:val="both"/>
          </w:pPr>
          <w:r>
            <w:rPr>
              <w:rFonts w:hint="eastAsia"/>
            </w:rPr>
            <w:t>报告期内，公司聚焦三大业务板块：以电力变压器为主的输配电及控制设备业务、以取向硅钢为主的取向硅钢业务，以及以重卡超充站为主的电动汽车充电业务。公司坚持“创新驱动、产业升级、全球拓展”的全球化发展战略，依托技术壁垒、产业协同及国际化布局，已发展成为西南地区电力设备龙头企业、民营取向硅钢行业前列企业，以及重卡超充站领域的新兴力量。</w:t>
          </w:r>
        </w:p>
        <w:p w14:paraId="4B2FC0F2" w14:textId="77777777" w:rsidR="00577D08" w:rsidRDefault="00330FC0">
          <w:pPr>
            <w:spacing w:line="360" w:lineRule="exact"/>
            <w:ind w:firstLineChars="200" w:firstLine="420"/>
            <w:jc w:val="both"/>
          </w:pPr>
          <w:r>
            <w:rPr>
              <w:rFonts w:hint="eastAsia"/>
            </w:rPr>
            <w:t>2025</w:t>
          </w:r>
          <w:r>
            <w:rPr>
              <w:rFonts w:ascii="宋体" w:hAnsi="宋体" w:hint="eastAsia"/>
            </w:rPr>
            <w:t>年，作为深耕电力行业</w:t>
          </w:r>
          <w:r>
            <w:t>32</w:t>
          </w:r>
          <w:r>
            <w:rPr>
              <w:rFonts w:ascii="宋体" w:hAnsi="宋体" w:hint="eastAsia"/>
            </w:rPr>
            <w:t>年的变压器领先企业，望变电气更在华为的技术支持下，</w:t>
          </w:r>
          <w:r>
            <w:rPr>
              <w:rFonts w:ascii="宋体" w:hAnsi="宋体"/>
            </w:rPr>
            <w:t>基于华为充电液冷主机</w:t>
          </w:r>
          <w:r>
            <w:rPr>
              <w:rFonts w:ascii="宋体" w:hAnsi="宋体" w:hint="eastAsia"/>
            </w:rPr>
            <w:t>，推出针对新能源重卡的超充设备，发布兆瓦级</w:t>
          </w:r>
          <w:r>
            <w:t>“</w:t>
          </w:r>
          <w:r>
            <w:rPr>
              <w:rFonts w:ascii="宋体" w:hAnsi="宋体" w:hint="eastAsia"/>
            </w:rPr>
            <w:t>智能变充一体</w:t>
          </w:r>
          <w:r>
            <w:t>”</w:t>
          </w:r>
          <w:r>
            <w:rPr>
              <w:rFonts w:ascii="宋体" w:hAnsi="宋体" w:hint="eastAsia"/>
            </w:rPr>
            <w:t>设备，并采用全栈预制化模块架构，通过工厂预制、现场吊装的</w:t>
          </w:r>
          <w:r>
            <w:t>“</w:t>
          </w:r>
          <w:r>
            <w:rPr>
              <w:rFonts w:ascii="宋体" w:hAnsi="宋体" w:hint="eastAsia"/>
            </w:rPr>
            <w:t>积木式</w:t>
          </w:r>
          <w:r>
            <w:t>”</w:t>
          </w:r>
          <w:r>
            <w:rPr>
              <w:rFonts w:ascii="宋体" w:hAnsi="宋体" w:hint="eastAsia"/>
            </w:rPr>
            <w:t>安装</w:t>
          </w:r>
          <w:r>
            <w:rPr>
              <w:rFonts w:hint="eastAsia"/>
            </w:rPr>
            <w:t>,</w:t>
          </w:r>
          <w:r>
            <w:rPr>
              <w:rFonts w:ascii="宋体" w:hAnsi="宋体" w:hint="eastAsia"/>
            </w:rPr>
            <w:t>极大便利了充电站的建设</w:t>
          </w:r>
          <w:r>
            <w:rPr>
              <w:rFonts w:ascii="宋体" w:hAnsi="宋体"/>
            </w:rPr>
            <w:t>。</w:t>
          </w:r>
        </w:p>
        <w:p w14:paraId="0209CF4C" w14:textId="77777777" w:rsidR="00577D08" w:rsidRDefault="00330FC0">
          <w:pPr>
            <w:spacing w:line="360" w:lineRule="exact"/>
            <w:ind w:firstLineChars="200" w:firstLine="420"/>
            <w:jc w:val="both"/>
          </w:pPr>
          <w:r>
            <w:rPr>
              <w:rFonts w:ascii="宋体" w:hAnsi="宋体"/>
            </w:rPr>
            <w:t>依托华为全液冷超充解决方</w:t>
          </w:r>
          <w:r>
            <w:rPr>
              <w:rFonts w:ascii="宋体" w:hAnsi="宋体" w:hint="eastAsia"/>
            </w:rPr>
            <w:t>案，公司精准锚定电动重卡超充细分市场，计划总投资不超过</w:t>
          </w:r>
          <w:r>
            <w:rPr>
              <w:rFonts w:hint="eastAsia"/>
            </w:rPr>
            <w:t>5.415</w:t>
          </w:r>
          <w:r>
            <w:rPr>
              <w:rFonts w:ascii="宋体" w:hAnsi="宋体" w:hint="eastAsia"/>
            </w:rPr>
            <w:t>亿元建设兆瓦级智能超充网络，计划在云南、重庆等地布局近</w:t>
          </w:r>
          <w:r>
            <w:rPr>
              <w:rFonts w:hint="eastAsia"/>
            </w:rPr>
            <w:t>100</w:t>
          </w:r>
          <w:r>
            <w:rPr>
              <w:rFonts w:ascii="宋体" w:hAnsi="宋体" w:hint="eastAsia"/>
            </w:rPr>
            <w:t>座电动重卡超充站，重点覆盖物流枢纽、港口、矿区、钢厂等高频使用场景。</w:t>
          </w:r>
        </w:p>
        <w:bookmarkEnd w:id="51"/>
        <w:bookmarkEnd w:id="50"/>
        <w:bookmarkEnd w:id="49"/>
        <w:p w14:paraId="4D623FBF" w14:textId="77777777" w:rsidR="00577D08" w:rsidRDefault="00330FC0">
          <w:pPr>
            <w:spacing w:line="360" w:lineRule="exact"/>
            <w:ind w:firstLineChars="200" w:firstLine="422"/>
            <w:jc w:val="both"/>
            <w:outlineLvl w:val="2"/>
            <w:rPr>
              <w:b/>
            </w:rPr>
          </w:pPr>
          <w:r>
            <w:rPr>
              <w:rFonts w:hint="eastAsia"/>
              <w:b/>
            </w:rPr>
            <w:t>（一）主要产品</w:t>
          </w:r>
        </w:p>
        <w:p w14:paraId="4D345183" w14:textId="77777777" w:rsidR="00577D08" w:rsidRDefault="00330FC0">
          <w:pPr>
            <w:spacing w:line="360" w:lineRule="exact"/>
            <w:ind w:firstLineChars="200" w:firstLine="422"/>
            <w:jc w:val="both"/>
            <w:outlineLvl w:val="3"/>
            <w:rPr>
              <w:b/>
            </w:rPr>
          </w:pPr>
          <w:r>
            <w:rPr>
              <w:rFonts w:hint="eastAsia"/>
              <w:b/>
            </w:rPr>
            <w:t>1</w:t>
          </w:r>
          <w:r>
            <w:rPr>
              <w:rFonts w:hint="eastAsia"/>
              <w:b/>
            </w:rPr>
            <w:t>、输配电及控制设备业务</w:t>
          </w:r>
        </w:p>
        <w:p w14:paraId="6B27F83D" w14:textId="77777777" w:rsidR="00577D08" w:rsidRDefault="00330FC0">
          <w:pPr>
            <w:spacing w:line="360" w:lineRule="exact"/>
            <w:ind w:firstLineChars="200" w:firstLine="420"/>
            <w:jc w:val="both"/>
            <w:outlineLvl w:val="3"/>
            <w:rPr>
              <w:b/>
            </w:rPr>
          </w:pPr>
          <w:r>
            <w:rPr>
              <w:rFonts w:hint="eastAsia"/>
            </w:rPr>
            <w:t>输配电及控制设备主要包括电力变压器、箱式变电站、变充一体机、成套电气设备及铁芯相关产品，产品广泛应用于电力、农业、工业、商业及居民用电、基础设施建设等传统领域，并逐步拓展至新能源光伏、风电、充电设施、储能、轨道交通、数据中心及新型基础设施等新兴领域。</w:t>
          </w:r>
          <w:r>
            <w:rPr>
              <w:rFonts w:hint="eastAsia"/>
              <w:b/>
            </w:rPr>
            <w:t>2</w:t>
          </w:r>
          <w:r>
            <w:rPr>
              <w:rFonts w:hint="eastAsia"/>
              <w:b/>
            </w:rPr>
            <w:t>、取向硅钢业务</w:t>
          </w:r>
        </w:p>
        <w:p w14:paraId="776B1A58" w14:textId="77777777" w:rsidR="00577D08" w:rsidRDefault="00330FC0">
          <w:pPr>
            <w:spacing w:line="360" w:lineRule="exact"/>
            <w:ind w:firstLineChars="200" w:firstLine="420"/>
            <w:jc w:val="both"/>
            <w:outlineLvl w:val="3"/>
          </w:pPr>
          <w:r>
            <w:rPr>
              <w:rFonts w:hint="eastAsia"/>
            </w:rPr>
            <w:t>取向硅钢主要包含一般取向硅钢（</w:t>
          </w:r>
          <w:r>
            <w:rPr>
              <w:rFonts w:hint="eastAsia"/>
            </w:rPr>
            <w:t>CGO</w:t>
          </w:r>
          <w:r>
            <w:rPr>
              <w:rFonts w:hint="eastAsia"/>
            </w:rPr>
            <w:t>）和高磁感取向硅钢（</w:t>
          </w:r>
          <w:r>
            <w:rPr>
              <w:rFonts w:hint="eastAsia"/>
            </w:rPr>
            <w:t>HiB</w:t>
          </w:r>
          <w:r>
            <w:rPr>
              <w:rFonts w:hint="eastAsia"/>
            </w:rPr>
            <w:t>），主要用于电力变压器（铁心）的制造，并可拓展应用于大型电机（如水电、风电等）领域。客户群体包括国内外主流电力变压器及电机制造企业，客户结构较为稳定</w:t>
          </w:r>
        </w:p>
        <w:p w14:paraId="62DE883E" w14:textId="77777777" w:rsidR="00577D08" w:rsidRDefault="00330FC0">
          <w:pPr>
            <w:spacing w:line="360" w:lineRule="exact"/>
            <w:ind w:firstLineChars="200" w:firstLine="422"/>
            <w:jc w:val="both"/>
            <w:outlineLvl w:val="3"/>
            <w:rPr>
              <w:b/>
            </w:rPr>
          </w:pPr>
          <w:r>
            <w:rPr>
              <w:rFonts w:hint="eastAsia"/>
              <w:b/>
            </w:rPr>
            <w:t>3</w:t>
          </w:r>
          <w:r>
            <w:rPr>
              <w:rFonts w:hint="eastAsia"/>
              <w:b/>
            </w:rPr>
            <w:t>、电动汽车充电业务</w:t>
          </w:r>
        </w:p>
        <w:p w14:paraId="0E1DB07B" w14:textId="77777777" w:rsidR="00577D08" w:rsidRDefault="00330FC0">
          <w:bookmarkStart w:id="52" w:name="OLE_LINK86"/>
          <w:bookmarkStart w:id="53" w:name="OLE_LINK83"/>
          <w:r>
            <w:br w:type="page"/>
          </w:r>
        </w:p>
        <w:bookmarkEnd w:id="52"/>
        <w:bookmarkEnd w:id="53"/>
        <w:p w14:paraId="24081F20" w14:textId="77777777" w:rsidR="00577D08" w:rsidRDefault="00330FC0">
          <w:pPr>
            <w:spacing w:line="360" w:lineRule="exact"/>
            <w:ind w:firstLineChars="200" w:firstLine="420"/>
            <w:jc w:val="both"/>
          </w:pPr>
          <w:r>
            <w:rPr>
              <w:rFonts w:hint="eastAsia"/>
            </w:rPr>
            <w:lastRenderedPageBreak/>
            <w:t>电动汽车充电业务板块聚焦重卡超充细分赛道，通过构建“核心设备自产</w:t>
          </w:r>
          <w:r>
            <w:rPr>
              <w:rFonts w:hint="eastAsia"/>
            </w:rPr>
            <w:t>+</w:t>
          </w:r>
          <w:r>
            <w:rPr>
              <w:rFonts w:hint="eastAsia"/>
            </w:rPr>
            <w:t>场站投建运营</w:t>
          </w:r>
          <w:r>
            <w:rPr>
              <w:rFonts w:hint="eastAsia"/>
            </w:rPr>
            <w:t>+</w:t>
          </w:r>
          <w:r>
            <w:rPr>
              <w:rFonts w:hint="eastAsia"/>
            </w:rPr>
            <w:t>产业链生态协同”的商业模式，致力于成为新能源商用车领域具有竞争力的绿色能源综合服务商。</w:t>
          </w:r>
        </w:p>
        <w:p w14:paraId="669ECA31" w14:textId="77777777" w:rsidR="00577D08" w:rsidRDefault="00330FC0">
          <w:pPr>
            <w:spacing w:line="360" w:lineRule="exact"/>
            <w:ind w:firstLineChars="200" w:firstLine="420"/>
            <w:jc w:val="both"/>
          </w:pPr>
          <w:r>
            <w:rPr>
              <w:rFonts w:hint="eastAsia"/>
            </w:rPr>
            <w:t>公司正逐步探索“设备</w:t>
          </w:r>
          <w:r>
            <w:rPr>
              <w:rFonts w:hint="eastAsia"/>
            </w:rPr>
            <w:t>+</w:t>
          </w:r>
          <w:r>
            <w:rPr>
              <w:rFonts w:hint="eastAsia"/>
            </w:rPr>
            <w:t>运营”一体化发展路径，提升业务的持续运营能力与商业化水平。</w:t>
          </w:r>
        </w:p>
        <w:p w14:paraId="74BFA326" w14:textId="77777777" w:rsidR="00577D08" w:rsidRDefault="00330FC0">
          <w:pPr>
            <w:spacing w:line="360" w:lineRule="exact"/>
            <w:ind w:firstLineChars="200" w:firstLine="420"/>
            <w:jc w:val="both"/>
          </w:pPr>
          <w:r>
            <w:rPr>
              <w:rFonts w:hint="eastAsia"/>
            </w:rPr>
            <w:t>公司主要产品在产业链内覆盖情况如下：</w:t>
          </w:r>
        </w:p>
        <w:p w14:paraId="76E2D17A" w14:textId="77777777" w:rsidR="00577D08" w:rsidRDefault="00330FC0">
          <w:r>
            <w:rPr>
              <w:noProof/>
            </w:rPr>
            <w:drawing>
              <wp:inline distT="0" distB="0" distL="0" distR="0" wp14:anchorId="3CA36E34" wp14:editId="64C78DFD">
                <wp:extent cx="5616575" cy="2484120"/>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616575" cy="2484120"/>
                        </a:xfrm>
                        <a:prstGeom prst="rect">
                          <a:avLst/>
                        </a:prstGeom>
                        <a:noFill/>
                      </pic:spPr>
                    </pic:pic>
                  </a:graphicData>
                </a:graphic>
              </wp:inline>
            </w:drawing>
          </w:r>
        </w:p>
        <w:p w14:paraId="768B2C14" w14:textId="77777777" w:rsidR="00577D08" w:rsidRDefault="00330FC0">
          <w:r>
            <w:rPr>
              <w:rFonts w:hint="eastAsia"/>
            </w:rPr>
            <w:t>注：上图红色虚线框内为公司主要产品覆盖情况。</w:t>
          </w:r>
        </w:p>
        <w:p w14:paraId="5426F7B8" w14:textId="77777777" w:rsidR="00577D08" w:rsidRDefault="00577D08">
          <w:pPr>
            <w:ind w:firstLineChars="200" w:firstLine="420"/>
          </w:pPr>
        </w:p>
        <w:p w14:paraId="75FA42CE" w14:textId="77777777" w:rsidR="00577D08" w:rsidRDefault="00330FC0">
          <w:pPr>
            <w:ind w:firstLineChars="200" w:firstLine="420"/>
          </w:pPr>
          <w:r>
            <w:rPr>
              <w:rFonts w:hint="eastAsia"/>
            </w:rPr>
            <w:t>公司的主要产品基本情况如下：</w:t>
          </w:r>
        </w:p>
        <w:p w14:paraId="1CE1C76F" w14:textId="77777777" w:rsidR="00577D08" w:rsidRDefault="00330FC0">
          <w:r>
            <w:rPr>
              <w:noProof/>
            </w:rPr>
            <w:drawing>
              <wp:inline distT="0" distB="0" distL="0" distR="0" wp14:anchorId="569F1F97" wp14:editId="318BC749">
                <wp:extent cx="5608955" cy="2862580"/>
                <wp:effectExtent l="0" t="0" r="0" b="0"/>
                <wp:docPr id="5" name="图片 5" descr="C:\Users\W\AppData\Local\Temp\ksohtml264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W\AppData\Local\Temp\ksohtml2648\wps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608955" cy="2862580"/>
                        </a:xfrm>
                        <a:prstGeom prst="rect">
                          <a:avLst/>
                        </a:prstGeom>
                        <a:noFill/>
                        <a:ln>
                          <a:noFill/>
                        </a:ln>
                      </pic:spPr>
                    </pic:pic>
                  </a:graphicData>
                </a:graphic>
              </wp:inline>
            </w:drawing>
          </w:r>
        </w:p>
        <w:p w14:paraId="1CACA4B3" w14:textId="77777777" w:rsidR="00577D08" w:rsidRDefault="00330FC0">
          <w:r>
            <w:rPr>
              <w:noProof/>
            </w:rPr>
            <w:lastRenderedPageBreak/>
            <w:drawing>
              <wp:inline distT="0" distB="0" distL="0" distR="0" wp14:anchorId="5A6916C8" wp14:editId="0C9BD9A4">
                <wp:extent cx="5608955" cy="2862580"/>
                <wp:effectExtent l="0" t="0" r="0" b="0"/>
                <wp:docPr id="3" name="图片 3" descr="C:\Users\W\AppData\Local\Temp\ksohtml264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AppData\Local\Temp\ksohtml2648\wps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608955" cy="2862580"/>
                        </a:xfrm>
                        <a:prstGeom prst="rect">
                          <a:avLst/>
                        </a:prstGeom>
                        <a:noFill/>
                        <a:ln>
                          <a:noFill/>
                        </a:ln>
                      </pic:spPr>
                    </pic:pic>
                  </a:graphicData>
                </a:graphic>
              </wp:inline>
            </w:drawing>
          </w:r>
        </w:p>
        <w:p w14:paraId="2637236C" w14:textId="77777777" w:rsidR="00577D08" w:rsidRDefault="00330FC0">
          <w:r>
            <w:t xml:space="preserve"> </w:t>
          </w:r>
        </w:p>
        <w:p w14:paraId="2C56A926" w14:textId="77777777" w:rsidR="00577D08" w:rsidRDefault="00330FC0">
          <w:r>
            <w:rPr>
              <w:noProof/>
            </w:rPr>
            <w:drawing>
              <wp:inline distT="0" distB="0" distL="0" distR="0" wp14:anchorId="51F91A08" wp14:editId="5C687A40">
                <wp:extent cx="5608955" cy="3011805"/>
                <wp:effectExtent l="0" t="0" r="0" b="0"/>
                <wp:docPr id="6" name="图片 6" descr="C:\Users\W\AppData\Local\Temp\ksohtml264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W\AppData\Local\Temp\ksohtml2648\wps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608955" cy="3011805"/>
                        </a:xfrm>
                        <a:prstGeom prst="rect">
                          <a:avLst/>
                        </a:prstGeom>
                        <a:noFill/>
                        <a:ln>
                          <a:noFill/>
                        </a:ln>
                      </pic:spPr>
                    </pic:pic>
                  </a:graphicData>
                </a:graphic>
              </wp:inline>
            </w:drawing>
          </w:r>
        </w:p>
        <w:p w14:paraId="13A3D227" w14:textId="77777777" w:rsidR="00577D08" w:rsidRDefault="00330FC0">
          <w:pPr>
            <w:spacing w:line="360" w:lineRule="exact"/>
            <w:ind w:firstLineChars="200" w:firstLine="422"/>
            <w:jc w:val="both"/>
            <w:outlineLvl w:val="2"/>
            <w:rPr>
              <w:b/>
            </w:rPr>
          </w:pPr>
          <w:r>
            <w:rPr>
              <w:rFonts w:hint="eastAsia"/>
              <w:b/>
            </w:rPr>
            <w:t>（二）经营模式</w:t>
          </w:r>
        </w:p>
        <w:p w14:paraId="0EC1D041" w14:textId="77777777" w:rsidR="00577D08" w:rsidRDefault="00330FC0">
          <w:pPr>
            <w:spacing w:line="360" w:lineRule="exact"/>
            <w:ind w:firstLineChars="200" w:firstLine="422"/>
            <w:jc w:val="both"/>
            <w:outlineLvl w:val="3"/>
            <w:rPr>
              <w:b/>
            </w:rPr>
          </w:pPr>
          <w:r>
            <w:rPr>
              <w:rFonts w:hint="eastAsia"/>
              <w:b/>
            </w:rPr>
            <w:t>1</w:t>
          </w:r>
          <w:r>
            <w:rPr>
              <w:rFonts w:hint="eastAsia"/>
              <w:b/>
            </w:rPr>
            <w:t>、业务架构</w:t>
          </w:r>
        </w:p>
        <w:p w14:paraId="3C5EF5ED" w14:textId="77777777" w:rsidR="00577D08" w:rsidRDefault="00330FC0">
          <w:pPr>
            <w:spacing w:line="360" w:lineRule="exact"/>
            <w:ind w:firstLineChars="200" w:firstLine="420"/>
            <w:jc w:val="both"/>
          </w:pPr>
          <w:r>
            <w:rPr>
              <w:rFonts w:hint="eastAsia"/>
            </w:rPr>
            <w:t>聚焦三大业务板块：以电力变压器为主的输配电及控制设备业务、以取向硅钢为主的电工钢业务、以重卡超充站为主的电动汽车充电业务，形成“材料—装备—服务—运营”的产业链布局。</w:t>
          </w:r>
        </w:p>
        <w:p w14:paraId="220D544D" w14:textId="77777777" w:rsidR="00577D08" w:rsidRDefault="00330FC0">
          <w:pPr>
            <w:spacing w:line="360" w:lineRule="exact"/>
            <w:ind w:firstLineChars="200" w:firstLine="422"/>
            <w:jc w:val="both"/>
            <w:outlineLvl w:val="3"/>
            <w:rPr>
              <w:b/>
            </w:rPr>
          </w:pPr>
          <w:r>
            <w:rPr>
              <w:rFonts w:hint="eastAsia"/>
              <w:b/>
            </w:rPr>
            <w:t>2</w:t>
          </w:r>
          <w:r>
            <w:rPr>
              <w:rFonts w:hint="eastAsia"/>
              <w:b/>
            </w:rPr>
            <w:t>、经营模式</w:t>
          </w:r>
        </w:p>
        <w:p w14:paraId="7467C139" w14:textId="77777777" w:rsidR="00577D08" w:rsidRDefault="00330FC0">
          <w:pPr>
            <w:spacing w:line="360" w:lineRule="exact"/>
            <w:ind w:firstLineChars="200" w:firstLine="420"/>
            <w:jc w:val="both"/>
          </w:pPr>
          <w:r>
            <w:rPr>
              <w:rFonts w:hint="eastAsia"/>
            </w:rPr>
            <w:t>采购模式：根据订单需求及市场行情制定采购计划，建立供应商管理体系保障原材料稳定供应。</w:t>
          </w:r>
        </w:p>
        <w:p w14:paraId="4B6C8AD6" w14:textId="77777777" w:rsidR="00577D08" w:rsidRDefault="00330FC0">
          <w:pPr>
            <w:spacing w:line="360" w:lineRule="exact"/>
            <w:ind w:firstLineChars="200" w:firstLine="420"/>
            <w:jc w:val="both"/>
          </w:pPr>
          <w:r>
            <w:rPr>
              <w:rFonts w:hint="eastAsia"/>
            </w:rPr>
            <w:t>取向硅钢：实行连续化生产，确保满产满销；输配电及控制设备：采取“以销定产</w:t>
          </w:r>
          <w:r>
            <w:rPr>
              <w:rFonts w:hint="eastAsia"/>
            </w:rPr>
            <w:t>+</w:t>
          </w:r>
          <w:r>
            <w:rPr>
              <w:rFonts w:hint="eastAsia"/>
            </w:rPr>
            <w:t>适度备货”的生产模式，灵活响应市场需求；充电业务：采用项目定制化建设模式，建成投运后主要通过充电服务费实现持续运营收益。</w:t>
          </w:r>
        </w:p>
        <w:p w14:paraId="1E171992" w14:textId="77777777" w:rsidR="00577D08" w:rsidRDefault="00330FC0">
          <w:pPr>
            <w:spacing w:line="360" w:lineRule="exact"/>
            <w:ind w:firstLineChars="200" w:firstLine="420"/>
            <w:jc w:val="both"/>
            <w:rPr>
              <w:b/>
            </w:rPr>
          </w:pPr>
          <w:bookmarkStart w:id="54" w:name="OLE_LINK65"/>
          <w:bookmarkStart w:id="55" w:name="OLE_LINK64"/>
          <w:r>
            <w:rPr>
              <w:rFonts w:hint="eastAsia"/>
            </w:rPr>
            <w:t>销售模式：取向硅钢以直销为主，服务下游变压器厂商；输配电及控制设备以招投标、竞争性谈判为主的模式获取客户；电动汽车</w:t>
          </w:r>
          <w:r>
            <w:rPr>
              <w:rFonts w:ascii="Segoe UI" w:hAnsi="Segoe UI" w:cs="Segoe UI"/>
              <w:color w:val="0F1115"/>
              <w:shd w:val="clear" w:color="auto" w:fill="FFFFFF"/>
            </w:rPr>
            <w:t>充电业务：通过</w:t>
          </w:r>
          <w:r>
            <w:rPr>
              <w:rStyle w:val="aff3"/>
              <w:rFonts w:ascii="Segoe UI" w:hAnsi="Segoe UI" w:cs="Segoe UI"/>
              <w:b w:val="0"/>
              <w:color w:val="0F1115"/>
              <w:shd w:val="clear" w:color="auto" w:fill="FFFFFF"/>
            </w:rPr>
            <w:t>收取充电服务费</w:t>
          </w:r>
          <w:r>
            <w:rPr>
              <w:rFonts w:ascii="Segoe UI" w:hAnsi="Segoe UI" w:cs="Segoe UI"/>
              <w:color w:val="0F1115"/>
              <w:shd w:val="clear" w:color="auto" w:fill="FFFFFF"/>
            </w:rPr>
            <w:t>实现销售</w:t>
          </w:r>
          <w:r>
            <w:rPr>
              <w:rFonts w:ascii="Segoe UI" w:hAnsi="Segoe UI" w:cs="Segoe UI" w:hint="eastAsia"/>
              <w:color w:val="0F1115"/>
              <w:shd w:val="clear" w:color="auto" w:fill="FFFFFF"/>
            </w:rPr>
            <w:t>。</w:t>
          </w:r>
        </w:p>
        <w:bookmarkEnd w:id="54"/>
        <w:bookmarkEnd w:id="55"/>
        <w:p w14:paraId="773CCA1B" w14:textId="77777777" w:rsidR="00577D08" w:rsidRDefault="00330FC0">
          <w:pPr>
            <w:spacing w:line="360" w:lineRule="exact"/>
            <w:ind w:firstLineChars="200" w:firstLine="422"/>
            <w:jc w:val="both"/>
            <w:outlineLvl w:val="3"/>
            <w:rPr>
              <w:b/>
            </w:rPr>
          </w:pPr>
          <w:r>
            <w:rPr>
              <w:rFonts w:hint="eastAsia"/>
              <w:b/>
            </w:rPr>
            <w:lastRenderedPageBreak/>
            <w:t>3</w:t>
          </w:r>
          <w:r>
            <w:rPr>
              <w:rFonts w:hint="eastAsia"/>
              <w:b/>
            </w:rPr>
            <w:t>、核心优势</w:t>
          </w:r>
        </w:p>
        <w:p w14:paraId="7222665E" w14:textId="77777777" w:rsidR="00577D08" w:rsidRDefault="00330FC0">
          <w:pPr>
            <w:spacing w:line="360" w:lineRule="exact"/>
            <w:ind w:firstLineChars="200" w:firstLine="420"/>
            <w:jc w:val="both"/>
          </w:pPr>
          <w:r>
            <w:rPr>
              <w:rFonts w:hint="eastAsia"/>
            </w:rPr>
            <w:t>依托取向硅钢全产业链优势，实现原材料自给与输配电及控制设备产业协同，降低综合成本，提升产品竞争力。</w:t>
          </w:r>
        </w:p>
        <w:p w14:paraId="2CBE0808" w14:textId="77777777" w:rsidR="00577D08" w:rsidRDefault="00330FC0">
          <w:pPr>
            <w:spacing w:line="360" w:lineRule="exact"/>
            <w:ind w:firstLineChars="200" w:firstLine="420"/>
            <w:jc w:val="both"/>
          </w:pPr>
          <w:r>
            <w:rPr>
              <w:rFonts w:hint="eastAsia"/>
            </w:rPr>
            <w:t>报告期内，公司的主营业务增加电动汽车充电业务，经营模式未发生重大变化。</w:t>
          </w:r>
        </w:p>
      </w:sdtContent>
    </w:sdt>
    <w:p w14:paraId="1146D355" w14:textId="77777777" w:rsidR="00577D08" w:rsidRDefault="00330FC0">
      <w:pPr>
        <w:spacing w:line="360" w:lineRule="exact"/>
        <w:rPr>
          <w:rFonts w:ascii="Calibri" w:hAnsi="Calibri"/>
          <w:bCs/>
          <w:kern w:val="2"/>
        </w:rPr>
      </w:pPr>
      <w:bookmarkStart w:id="56" w:name="_Hlk188285089"/>
      <w:r>
        <w:rPr>
          <w:rFonts w:ascii="Calibri" w:hAnsi="Calibri" w:hint="eastAsia"/>
          <w:bCs/>
          <w:kern w:val="2"/>
        </w:rPr>
        <w:t>报告期内公司新增重要非主营业务的说明</w:t>
      </w:r>
    </w:p>
    <w:p w14:paraId="65260EBC" w14:textId="77777777" w:rsidR="00577D08" w:rsidRDefault="00577D08">
      <w:pPr>
        <w:rPr>
          <w:rFonts w:ascii="Calibri" w:hAnsi="Calibri"/>
          <w:bCs/>
          <w:kern w:val="2"/>
        </w:rPr>
      </w:pPr>
    </w:p>
    <w:sdt>
      <w:sdtPr>
        <w:rPr>
          <w:rFonts w:hint="eastAsia"/>
        </w:rPr>
        <w:alias w:val="是否适用：报告期内公司新增重要非主营业务的说明[双击切换]"/>
        <w:tag w:val="_GBC_1c91810887d14c3fad60346b43671230"/>
        <w:id w:val="2002933974"/>
        <w:placeholder>
          <w:docPart w:val="GBC22222222222222222222222222222"/>
        </w:placeholder>
      </w:sdtPr>
      <w:sdtContent>
        <w:p w14:paraId="00103E9B" w14:textId="77777777" w:rsidR="00577D08" w:rsidRDefault="00330FC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56"/>
    <w:p w14:paraId="0A3E80E7" w14:textId="77777777" w:rsidR="00577D08" w:rsidRDefault="00330FC0">
      <w:pPr>
        <w:pStyle w:val="2"/>
        <w:numPr>
          <w:ilvl w:val="0"/>
          <w:numId w:val="7"/>
        </w:numPr>
        <w:ind w:left="369" w:hangingChars="175" w:hanging="369"/>
      </w:pPr>
      <w:r>
        <w:t>报告期内公司所处行业情况</w:t>
      </w:r>
    </w:p>
    <w:sdt>
      <w:sdtPr>
        <w:rPr>
          <w:rFonts w:hint="eastAsia"/>
        </w:rPr>
        <w:alias w:val="报告期内公司所处行业情况 "/>
        <w:tag w:val="_GBC_62343dd2540e4e58bef438888246bd32"/>
        <w:id w:val="-1735546067"/>
        <w:placeholder>
          <w:docPart w:val="GBC22222222222222222222222222222"/>
        </w:placeholder>
      </w:sdtPr>
      <w:sdtContent>
        <w:p w14:paraId="1AE3C110" w14:textId="77777777" w:rsidR="00577D08" w:rsidRDefault="00330FC0">
          <w:pPr>
            <w:spacing w:line="360" w:lineRule="exact"/>
            <w:ind w:firstLineChars="200" w:firstLine="420"/>
            <w:jc w:val="both"/>
            <w:outlineLvl w:val="2"/>
            <w:rPr>
              <w:b/>
            </w:rPr>
          </w:pPr>
          <w:r>
            <w:rPr>
              <w:rFonts w:hint="eastAsia"/>
              <w:b/>
            </w:rPr>
            <w:t>（一）输配电及控制设备行业</w:t>
          </w:r>
        </w:p>
        <w:p w14:paraId="2E724B37" w14:textId="77777777" w:rsidR="00577D08" w:rsidRDefault="00330FC0">
          <w:pPr>
            <w:spacing w:line="360" w:lineRule="exact"/>
            <w:ind w:firstLineChars="200" w:firstLine="422"/>
            <w:jc w:val="both"/>
            <w:outlineLvl w:val="3"/>
            <w:rPr>
              <w:b/>
            </w:rPr>
          </w:pPr>
          <w:r>
            <w:rPr>
              <w:rFonts w:hint="eastAsia"/>
              <w:b/>
            </w:rPr>
            <w:t>1</w:t>
          </w:r>
          <w:r>
            <w:rPr>
              <w:rFonts w:hint="eastAsia"/>
              <w:b/>
            </w:rPr>
            <w:t>、行业基本情况和特点</w:t>
          </w:r>
        </w:p>
        <w:p w14:paraId="71BC3A6B" w14:textId="77777777" w:rsidR="00577D08" w:rsidRDefault="00330FC0">
          <w:pPr>
            <w:spacing w:line="360" w:lineRule="exact"/>
            <w:ind w:firstLineChars="200" w:firstLine="420"/>
            <w:jc w:val="both"/>
          </w:pPr>
          <w:r>
            <w:rPr>
              <w:rFonts w:hint="eastAsia"/>
            </w:rPr>
            <w:t>公司输配电及其控制设备是我国经济发展的战略性、基础性产业之一。主要产品广泛应用于输配电网、新能源（含风能、光伏、储能等）、高端装备、新型基建、高效节能等领域。</w:t>
          </w:r>
        </w:p>
        <w:p w14:paraId="5D1A18F9" w14:textId="77777777" w:rsidR="00577D08" w:rsidRDefault="00330FC0">
          <w:pPr>
            <w:spacing w:line="360" w:lineRule="exact"/>
            <w:ind w:firstLineChars="200" w:firstLine="420"/>
            <w:jc w:val="both"/>
          </w:pPr>
          <w:r>
            <w:rPr>
              <w:rFonts w:hint="eastAsia"/>
            </w:rPr>
            <w:t>能源结构转型与新能源技术突破正推动电力设备市场进入高速增长周期。在光伏、风电等可</w:t>
          </w:r>
          <w:r>
            <w:rPr>
              <w:rFonts w:hint="eastAsia"/>
            </w:rPr>
            <w:t xml:space="preserve"> </w:t>
          </w:r>
          <w:r>
            <w:rPr>
              <w:rFonts w:hint="eastAsia"/>
            </w:rPr>
            <w:t>再生能源装机量持续攀升的驱动下，全球能源体系加速向低碳化演进。制造业智能化转型推动产</w:t>
          </w:r>
          <w:r>
            <w:rPr>
              <w:rFonts w:hint="eastAsia"/>
            </w:rPr>
            <w:t xml:space="preserve"> </w:t>
          </w:r>
          <w:r>
            <w:rPr>
              <w:rFonts w:hint="eastAsia"/>
            </w:rPr>
            <w:t>线电气化率显著提升，工业互联网对供电质量提出更高要求。与此同时，人工智能、云计算等数字技术基础设施的快速发展，催生高密度算力设备的规模化部署，形成支撑用电需求增长的新动</w:t>
          </w:r>
          <w:r>
            <w:rPr>
              <w:rFonts w:hint="eastAsia"/>
            </w:rPr>
            <w:t xml:space="preserve"> </w:t>
          </w:r>
          <w:r>
            <w:rPr>
              <w:rFonts w:hint="eastAsia"/>
            </w:rPr>
            <w:t>能。另外，全球电网正面临新能源渗透率持续攀升、并网特性与负荷结构深刻变化、源荷时空分布失衡加剧，以及区域性基础设施老化加剧等多重挑战，这些压力驱动电网系统加速向智能柔性</w:t>
          </w:r>
          <w:r>
            <w:rPr>
              <w:rFonts w:hint="eastAsia"/>
            </w:rPr>
            <w:t xml:space="preserve"> </w:t>
          </w:r>
          <w:r>
            <w:rPr>
              <w:rFonts w:hint="eastAsia"/>
            </w:rPr>
            <w:t>化升级、多能协同优化、跨国电力互联等方向演进，也进而催生电力设备全产业链的增量市场空间。</w:t>
          </w:r>
        </w:p>
        <w:p w14:paraId="4D3CFD45" w14:textId="77777777" w:rsidR="00577D08" w:rsidRDefault="00330FC0">
          <w:pPr>
            <w:spacing w:line="360" w:lineRule="exact"/>
            <w:ind w:firstLineChars="200" w:firstLine="420"/>
            <w:jc w:val="both"/>
          </w:pPr>
          <w:r>
            <w:rPr>
              <w:rFonts w:hint="eastAsia"/>
            </w:rPr>
            <w:t>发电端的装机增量进一步促进了电力设备的需求上升。根据国家能源局和中电联数据，截至</w:t>
          </w:r>
          <w:r>
            <w:rPr>
              <w:rFonts w:hint="eastAsia"/>
            </w:rPr>
            <w:t>2025</w:t>
          </w:r>
          <w:r>
            <w:rPr>
              <w:rFonts w:hint="eastAsia"/>
            </w:rPr>
            <w:t>年底，全国全口径发电装机容量</w:t>
          </w:r>
          <w:r>
            <w:rPr>
              <w:rFonts w:hint="eastAsia"/>
            </w:rPr>
            <w:t>38.9</w:t>
          </w:r>
          <w:r>
            <w:rPr>
              <w:rFonts w:hint="eastAsia"/>
            </w:rPr>
            <w:t>亿千瓦，同比增长</w:t>
          </w:r>
          <w:r>
            <w:rPr>
              <w:rFonts w:hint="eastAsia"/>
            </w:rPr>
            <w:t>16.1%</w:t>
          </w:r>
          <w:r>
            <w:rPr>
              <w:rFonts w:hint="eastAsia"/>
            </w:rPr>
            <w:t>，较“十三五”末增加</w:t>
          </w:r>
          <w:r>
            <w:rPr>
              <w:rFonts w:hint="eastAsia"/>
            </w:rPr>
            <w:t>16.9</w:t>
          </w:r>
          <w:r>
            <w:rPr>
              <w:rFonts w:hint="eastAsia"/>
            </w:rPr>
            <w:t>亿千瓦，年均增长</w:t>
          </w:r>
          <w:r>
            <w:rPr>
              <w:rFonts w:hint="eastAsia"/>
            </w:rPr>
            <w:t>12.0%</w:t>
          </w:r>
          <w:r>
            <w:rPr>
              <w:rFonts w:hint="eastAsia"/>
            </w:rPr>
            <w:t>。其中，非化石能源发电装机容量</w:t>
          </w:r>
          <w:r>
            <w:rPr>
              <w:rFonts w:hint="eastAsia"/>
            </w:rPr>
            <w:t>24.0</w:t>
          </w:r>
          <w:r>
            <w:rPr>
              <w:rFonts w:hint="eastAsia"/>
            </w:rPr>
            <w:t>亿千瓦，同比增长</w:t>
          </w:r>
          <w:r>
            <w:rPr>
              <w:rFonts w:hint="eastAsia"/>
            </w:rPr>
            <w:t>23.0%</w:t>
          </w:r>
          <w:r>
            <w:rPr>
              <w:rFonts w:hint="eastAsia"/>
            </w:rPr>
            <w:t>，占总装机容量比重超六成。</w:t>
          </w:r>
          <w:r>
            <w:rPr>
              <w:rFonts w:hint="eastAsia"/>
            </w:rPr>
            <w:t>2025</w:t>
          </w:r>
          <w:r>
            <w:rPr>
              <w:rFonts w:hint="eastAsia"/>
            </w:rPr>
            <w:t>年，风电和太阳能发电全年合计新增装机</w:t>
          </w:r>
          <w:r>
            <w:rPr>
              <w:rFonts w:hint="eastAsia"/>
            </w:rPr>
            <w:t>4.4</w:t>
          </w:r>
          <w:r>
            <w:rPr>
              <w:rFonts w:hint="eastAsia"/>
            </w:rPr>
            <w:t>亿千瓦，占新增发电装机总容量的比重超过八成；全口径新能源（风、光、生物质）新增发电量占全社会新增用电量的</w:t>
          </w:r>
          <w:r>
            <w:rPr>
              <w:rFonts w:hint="eastAsia"/>
            </w:rPr>
            <w:t>97.1%</w:t>
          </w:r>
          <w:r>
            <w:rPr>
              <w:rFonts w:hint="eastAsia"/>
            </w:rPr>
            <w:t>，已成为新增用电量的主体。</w:t>
          </w:r>
          <w:r>
            <w:rPr>
              <w:rFonts w:hint="eastAsia"/>
            </w:rPr>
            <w:t>2025</w:t>
          </w:r>
          <w:r>
            <w:rPr>
              <w:rFonts w:hint="eastAsia"/>
            </w:rPr>
            <w:t>年，全国电网工程建设完成投资</w:t>
          </w:r>
          <w:r>
            <w:rPr>
              <w:rFonts w:hint="eastAsia"/>
            </w:rPr>
            <w:t>6,395</w:t>
          </w:r>
          <w:r>
            <w:rPr>
              <w:rFonts w:hint="eastAsia"/>
            </w:rPr>
            <w:t>亿元，同比增长</w:t>
          </w:r>
          <w:r>
            <w:rPr>
              <w:rFonts w:hint="eastAsia"/>
            </w:rPr>
            <w:t>5.1%</w:t>
          </w:r>
          <w:r>
            <w:rPr>
              <w:rFonts w:hint="eastAsia"/>
            </w:rPr>
            <w:t>。近年来，风光大基地建设推动特高压直流输电通道工程投资快速增长，</w:t>
          </w:r>
          <w:r>
            <w:rPr>
              <w:rFonts w:hint="eastAsia"/>
            </w:rPr>
            <w:t>2025</w:t>
          </w:r>
          <w:r>
            <w:rPr>
              <w:rFonts w:hint="eastAsia"/>
            </w:rPr>
            <w:t>年直流工程投资同比增长</w:t>
          </w:r>
          <w:r>
            <w:rPr>
              <w:rFonts w:hint="eastAsia"/>
            </w:rPr>
            <w:t>25.7%</w:t>
          </w:r>
          <w:r>
            <w:rPr>
              <w:rFonts w:hint="eastAsia"/>
            </w:rPr>
            <w:t>；交流工程投资同比增长</w:t>
          </w:r>
          <w:r>
            <w:rPr>
              <w:rFonts w:hint="eastAsia"/>
            </w:rPr>
            <w:t>4.7%</w:t>
          </w:r>
          <w:r>
            <w:rPr>
              <w:rFonts w:hint="eastAsia"/>
            </w:rPr>
            <w:t>。</w:t>
          </w:r>
          <w:r>
            <w:rPr>
              <w:rFonts w:hint="eastAsia"/>
            </w:rPr>
            <w:t>2025</w:t>
          </w:r>
          <w:r>
            <w:rPr>
              <w:rFonts w:hint="eastAsia"/>
            </w:rPr>
            <w:t>年，全国新增</w:t>
          </w:r>
          <w:r>
            <w:rPr>
              <w:rFonts w:hint="eastAsia"/>
            </w:rPr>
            <w:t>220</w:t>
          </w:r>
          <w:r>
            <w:rPr>
              <w:rFonts w:hint="eastAsia"/>
            </w:rPr>
            <w:t>千伏及以上变电设备容量（交流）</w:t>
          </w:r>
          <w:r>
            <w:rPr>
              <w:rFonts w:hint="eastAsia"/>
            </w:rPr>
            <w:t>32043</w:t>
          </w:r>
          <w:r>
            <w:rPr>
              <w:rFonts w:hint="eastAsia"/>
            </w:rPr>
            <w:t>万千伏安，同比少投产</w:t>
          </w:r>
          <w:r>
            <w:rPr>
              <w:rFonts w:hint="eastAsia"/>
            </w:rPr>
            <w:t>1519</w:t>
          </w:r>
          <w:r>
            <w:rPr>
              <w:rFonts w:hint="eastAsia"/>
            </w:rPr>
            <w:t>万千伏安；新增</w:t>
          </w:r>
          <w:r>
            <w:rPr>
              <w:rFonts w:hint="eastAsia"/>
            </w:rPr>
            <w:t>220</w:t>
          </w:r>
          <w:r>
            <w:rPr>
              <w:rFonts w:hint="eastAsia"/>
            </w:rPr>
            <w:t>千伏及以上输电线路长度</w:t>
          </w:r>
          <w:r>
            <w:rPr>
              <w:rFonts w:hint="eastAsia"/>
            </w:rPr>
            <w:t>47,529</w:t>
          </w:r>
          <w:r>
            <w:rPr>
              <w:rFonts w:hint="eastAsia"/>
            </w:rPr>
            <w:t>千米，同比多投产</w:t>
          </w:r>
          <w:r>
            <w:rPr>
              <w:rFonts w:hint="eastAsia"/>
            </w:rPr>
            <w:t>13</w:t>
          </w:r>
          <w:r>
            <w:t>,</w:t>
          </w:r>
          <w:r>
            <w:rPr>
              <w:rFonts w:hint="eastAsia"/>
            </w:rPr>
            <w:t>814</w:t>
          </w:r>
          <w:r>
            <w:rPr>
              <w:rFonts w:hint="eastAsia"/>
            </w:rPr>
            <w:t>千米。交直流输电通道的建设打通区域电力输送动脉，资源配置能力进一步提高。</w:t>
          </w:r>
        </w:p>
        <w:p w14:paraId="37CD20BA" w14:textId="77777777" w:rsidR="00577D08" w:rsidRDefault="00330FC0">
          <w:pPr>
            <w:spacing w:line="360" w:lineRule="exact"/>
            <w:ind w:firstLineChars="200" w:firstLine="420"/>
            <w:jc w:val="both"/>
          </w:pPr>
          <w:r>
            <w:rPr>
              <w:rFonts w:hint="eastAsia"/>
            </w:rPr>
            <w:t>用电端的需求持续增长同时带动电力设备的市场需求增长。根据中电联发布的《</w:t>
          </w:r>
          <w:r>
            <w:rPr>
              <w:rFonts w:hint="eastAsia"/>
            </w:rPr>
            <w:t>2025-2026</w:t>
          </w:r>
          <w:r>
            <w:rPr>
              <w:rFonts w:hint="eastAsia"/>
            </w:rPr>
            <w:t>年度全国电力供需形势分析预测报告》（以下简称“报告”）指出，</w:t>
          </w:r>
          <w:r>
            <w:rPr>
              <w:rFonts w:hint="eastAsia"/>
            </w:rPr>
            <w:t>2025</w:t>
          </w:r>
          <w:r>
            <w:rPr>
              <w:rFonts w:hint="eastAsia"/>
            </w:rPr>
            <w:t>年，我国全社会用电量规模首次突破</w:t>
          </w:r>
          <w:r>
            <w:rPr>
              <w:rFonts w:hint="eastAsia"/>
            </w:rPr>
            <w:t>10</w:t>
          </w:r>
          <w:r>
            <w:rPr>
              <w:rFonts w:hint="eastAsia"/>
            </w:rPr>
            <w:t>万亿千瓦时，达</w:t>
          </w:r>
          <w:r>
            <w:rPr>
              <w:rFonts w:hint="eastAsia"/>
            </w:rPr>
            <w:t>10.37</w:t>
          </w:r>
          <w:r>
            <w:rPr>
              <w:rFonts w:hint="eastAsia"/>
            </w:rPr>
            <w:t>万亿千瓦时，同比增长</w:t>
          </w:r>
          <w:r>
            <w:rPr>
              <w:rFonts w:hint="eastAsia"/>
            </w:rPr>
            <w:t>5.0%</w:t>
          </w:r>
          <w:r>
            <w:rPr>
              <w:rFonts w:hint="eastAsia"/>
            </w:rPr>
            <w:t>，稳居全球电力消费第一大国地位。“十四五”期间，全社会用电量年均增长</w:t>
          </w:r>
          <w:r>
            <w:rPr>
              <w:rFonts w:hint="eastAsia"/>
            </w:rPr>
            <w:t>6.6%</w:t>
          </w:r>
          <w:r>
            <w:rPr>
              <w:rFonts w:hint="eastAsia"/>
            </w:rPr>
            <w:t>，比“十三五”年均增速提高</w:t>
          </w:r>
          <w:r>
            <w:rPr>
              <w:rFonts w:hint="eastAsia"/>
            </w:rPr>
            <w:t>0.9</w:t>
          </w:r>
          <w:r>
            <w:rPr>
              <w:rFonts w:hint="eastAsia"/>
            </w:rPr>
            <w:t>个百分点。报告预测，</w:t>
          </w:r>
          <w:r>
            <w:rPr>
              <w:rFonts w:hint="eastAsia"/>
            </w:rPr>
            <w:t>2026</w:t>
          </w:r>
          <w:r>
            <w:rPr>
              <w:rFonts w:hint="eastAsia"/>
            </w:rPr>
            <w:t>年我国宏观经济将继续保持平稳增长，拉动电力消费需求平稳较快增长。综合判断，预计</w:t>
          </w:r>
          <w:r>
            <w:rPr>
              <w:rFonts w:hint="eastAsia"/>
            </w:rPr>
            <w:t>2026</w:t>
          </w:r>
          <w:r>
            <w:rPr>
              <w:rFonts w:hint="eastAsia"/>
            </w:rPr>
            <w:t>年全国全社会用电量</w:t>
          </w:r>
          <w:r>
            <w:rPr>
              <w:rFonts w:hint="eastAsia"/>
            </w:rPr>
            <w:t>10.9 -11</w:t>
          </w:r>
          <w:r>
            <w:rPr>
              <w:rFonts w:hint="eastAsia"/>
            </w:rPr>
            <w:t>万亿千瓦时，同比增长</w:t>
          </w:r>
          <w:r>
            <w:rPr>
              <w:rFonts w:hint="eastAsia"/>
            </w:rPr>
            <w:t>5%</w:t>
          </w:r>
          <w:r>
            <w:rPr>
              <w:rFonts w:hint="eastAsia"/>
            </w:rPr>
            <w:t>—</w:t>
          </w:r>
          <w:r>
            <w:rPr>
              <w:rFonts w:hint="eastAsia"/>
            </w:rPr>
            <w:t>6%</w:t>
          </w:r>
          <w:r>
            <w:rPr>
              <w:rFonts w:hint="eastAsia"/>
            </w:rPr>
            <w:t>；预计全年统调最高用电负荷在</w:t>
          </w:r>
          <w:r>
            <w:rPr>
              <w:rFonts w:hint="eastAsia"/>
            </w:rPr>
            <w:t>15.7</w:t>
          </w:r>
          <w:r>
            <w:rPr>
              <w:rFonts w:hint="eastAsia"/>
            </w:rPr>
            <w:t>亿千—</w:t>
          </w:r>
          <w:r>
            <w:rPr>
              <w:rFonts w:hint="eastAsia"/>
            </w:rPr>
            <w:t>16.3</w:t>
          </w:r>
          <w:r>
            <w:rPr>
              <w:rFonts w:hint="eastAsia"/>
            </w:rPr>
            <w:t>亿千瓦。预计</w:t>
          </w:r>
          <w:r>
            <w:rPr>
              <w:rFonts w:hint="eastAsia"/>
            </w:rPr>
            <w:t>2026</w:t>
          </w:r>
          <w:r>
            <w:rPr>
              <w:rFonts w:hint="eastAsia"/>
            </w:rPr>
            <w:t>年全年新增发电装机有望超过</w:t>
          </w:r>
          <w:r>
            <w:rPr>
              <w:rFonts w:hint="eastAsia"/>
            </w:rPr>
            <w:t>4</w:t>
          </w:r>
          <w:r>
            <w:rPr>
              <w:rFonts w:hint="eastAsia"/>
            </w:rPr>
            <w:t>亿千瓦，其中，</w:t>
          </w:r>
          <w:r>
            <w:rPr>
              <w:rFonts w:hint="eastAsia"/>
            </w:rPr>
            <w:lastRenderedPageBreak/>
            <w:t>新增新能源发电装机有望超过</w:t>
          </w:r>
          <w:r>
            <w:rPr>
              <w:rFonts w:hint="eastAsia"/>
            </w:rPr>
            <w:t>3</w:t>
          </w:r>
          <w:r>
            <w:rPr>
              <w:rFonts w:hint="eastAsia"/>
            </w:rPr>
            <w:t>亿千瓦。预计</w:t>
          </w:r>
          <w:r>
            <w:rPr>
              <w:rFonts w:hint="eastAsia"/>
            </w:rPr>
            <w:t>2026</w:t>
          </w:r>
          <w:r>
            <w:rPr>
              <w:rFonts w:hint="eastAsia"/>
            </w:rPr>
            <w:t>年太阳能发电装机规模将首次超过煤电装机规模，年底风电和太阳能发电合计装机规模达到总发电装机的一半。</w:t>
          </w:r>
        </w:p>
        <w:p w14:paraId="536D3F2F" w14:textId="77777777" w:rsidR="00577D08" w:rsidRDefault="00330FC0">
          <w:pPr>
            <w:spacing w:line="360" w:lineRule="exact"/>
            <w:ind w:firstLineChars="200" w:firstLine="420"/>
            <w:jc w:val="both"/>
          </w:pPr>
          <w:r>
            <w:rPr>
              <w:rFonts w:hint="eastAsia"/>
            </w:rPr>
            <w:t>2024</w:t>
          </w:r>
          <w:r>
            <w:rPr>
              <w:rFonts w:hint="eastAsia"/>
            </w:rPr>
            <w:t>年</w:t>
          </w:r>
          <w:r>
            <w:rPr>
              <w:rFonts w:hint="eastAsia"/>
            </w:rPr>
            <w:t>7</w:t>
          </w:r>
          <w:r>
            <w:rPr>
              <w:rFonts w:hint="eastAsia"/>
            </w:rPr>
            <w:t>月，国家发展改革委、国家能源局印发《加快构建新型电力系统行动方案（</w:t>
          </w:r>
          <w:r>
            <w:rPr>
              <w:rFonts w:hint="eastAsia"/>
            </w:rPr>
            <w:t>2024</w:t>
          </w:r>
          <w:r>
            <w:rPr>
              <w:rFonts w:hint="eastAsia"/>
            </w:rPr>
            <w:t>—</w:t>
          </w:r>
          <w:r>
            <w:rPr>
              <w:rFonts w:hint="eastAsia"/>
            </w:rPr>
            <w:t>2027</w:t>
          </w:r>
          <w:r>
            <w:rPr>
              <w:rFonts w:hint="eastAsia"/>
            </w:rPr>
            <w:t>年）》，明确提出在电网末端和大电网未覆盖地区建设一批智能微电网项目，并开展</w:t>
          </w:r>
          <w:r>
            <w:rPr>
              <w:rFonts w:hint="eastAsia"/>
            </w:rPr>
            <w:t>"</w:t>
          </w:r>
          <w:r>
            <w:rPr>
              <w:rFonts w:hint="eastAsia"/>
            </w:rPr>
            <w:t>算力与电力协同</w:t>
          </w:r>
          <w:r>
            <w:rPr>
              <w:rFonts w:hint="eastAsia"/>
            </w:rPr>
            <w:t>"</w:t>
          </w:r>
          <w:r>
            <w:rPr>
              <w:rFonts w:hint="eastAsia"/>
            </w:rPr>
            <w:t>作为首批试点方向；</w:t>
          </w:r>
          <w:r>
            <w:rPr>
              <w:rFonts w:hint="eastAsia"/>
            </w:rPr>
            <w:t>2024</w:t>
          </w:r>
          <w:r>
            <w:rPr>
              <w:rFonts w:hint="eastAsia"/>
            </w:rPr>
            <w:t>年</w:t>
          </w:r>
          <w:r>
            <w:rPr>
              <w:rFonts w:hint="eastAsia"/>
            </w:rPr>
            <w:t>8</w:t>
          </w:r>
          <w:r>
            <w:rPr>
              <w:rFonts w:hint="eastAsia"/>
            </w:rPr>
            <w:t>月，国家发展改革委、国家能源局联合印发的《能源重点领域大规模设备更新实施方案》，方案特别强调</w:t>
          </w:r>
          <w:r>
            <w:rPr>
              <w:rFonts w:hint="eastAsia"/>
            </w:rPr>
            <w:t>"</w:t>
          </w:r>
          <w:r>
            <w:rPr>
              <w:rFonts w:hint="eastAsia"/>
            </w:rPr>
            <w:t>推进输配电设备更新和技术改造</w:t>
          </w:r>
          <w:r>
            <w:rPr>
              <w:rFonts w:hint="eastAsia"/>
            </w:rPr>
            <w:t>"</w:t>
          </w:r>
          <w:r>
            <w:rPr>
              <w:rFonts w:hint="eastAsia"/>
            </w:rPr>
            <w:t>，鼓励开展老旧变电站和输电线路整体改造，加快更新运行年限较长、不满足运行要求的变压器、高压开关等设备。同时，要求适度超前建设配电网，提升配电网承载力，以满足分布式新能源和电动汽车充电基础设施发展；</w:t>
          </w:r>
          <w:r>
            <w:rPr>
              <w:rFonts w:hint="eastAsia"/>
            </w:rPr>
            <w:t>2024</w:t>
          </w:r>
          <w:r>
            <w:rPr>
              <w:rFonts w:hint="eastAsia"/>
            </w:rPr>
            <w:t>年</w:t>
          </w:r>
          <w:r>
            <w:rPr>
              <w:rFonts w:hint="eastAsia"/>
            </w:rPr>
            <w:t>8</w:t>
          </w:r>
          <w:r>
            <w:rPr>
              <w:rFonts w:hint="eastAsia"/>
            </w:rPr>
            <w:t>月正式向社会公布《关于加快经济社会发展全面绿色转型的意见》，意见强调加快构建新型电力系统；</w:t>
          </w:r>
          <w:r>
            <w:rPr>
              <w:rFonts w:hint="eastAsia"/>
            </w:rPr>
            <w:t>2025</w:t>
          </w:r>
          <w:r>
            <w:rPr>
              <w:rFonts w:hint="eastAsia"/>
            </w:rPr>
            <w:t>年</w:t>
          </w:r>
          <w:r>
            <w:rPr>
              <w:rFonts w:hint="eastAsia"/>
            </w:rPr>
            <w:t>9</w:t>
          </w:r>
          <w:r>
            <w:rPr>
              <w:rFonts w:hint="eastAsia"/>
            </w:rPr>
            <w:t>月，工业和信息化部联合市场监管总局、国家能源局印发的《电力装备行业稳增长工作方案（</w:t>
          </w:r>
          <w:r>
            <w:rPr>
              <w:rFonts w:hint="eastAsia"/>
            </w:rPr>
            <w:t>2025</w:t>
          </w:r>
          <w:r>
            <w:rPr>
              <w:rFonts w:hint="eastAsia"/>
            </w:rPr>
            <w:t>—</w:t>
          </w:r>
          <w:r>
            <w:rPr>
              <w:rFonts w:hint="eastAsia"/>
            </w:rPr>
            <w:t>2026</w:t>
          </w:r>
          <w:r>
            <w:rPr>
              <w:rFonts w:hint="eastAsia"/>
            </w:rPr>
            <w:t>年）》为未来两年设定了明确的增长底线，方案提出到</w:t>
          </w:r>
          <w:r>
            <w:rPr>
              <w:rFonts w:hint="eastAsia"/>
            </w:rPr>
            <w:t>2026</w:t>
          </w:r>
          <w:r>
            <w:rPr>
              <w:rFonts w:hint="eastAsia"/>
            </w:rPr>
            <w:t>年，传统电力装备年均营收增速保持</w:t>
          </w:r>
          <w:r>
            <w:rPr>
              <w:rFonts w:hint="eastAsia"/>
            </w:rPr>
            <w:t>6%</w:t>
          </w:r>
          <w:r>
            <w:rPr>
              <w:rFonts w:hint="eastAsia"/>
            </w:rPr>
            <w:t>左右，龙头企业年均营收增速达到</w:t>
          </w:r>
          <w:r>
            <w:rPr>
              <w:rFonts w:hint="eastAsia"/>
            </w:rPr>
            <w:t>10%</w:t>
          </w:r>
          <w:r>
            <w:rPr>
              <w:rFonts w:hint="eastAsia"/>
            </w:rPr>
            <w:t>左右；</w:t>
          </w:r>
          <w:r>
            <w:rPr>
              <w:rFonts w:hint="eastAsia"/>
            </w:rPr>
            <w:t>2025</w:t>
          </w:r>
          <w:r>
            <w:rPr>
              <w:rFonts w:hint="eastAsia"/>
            </w:rPr>
            <w:t>年</w:t>
          </w:r>
          <w:r>
            <w:rPr>
              <w:rFonts w:hint="eastAsia"/>
            </w:rPr>
            <w:t>10</w:t>
          </w:r>
          <w:r>
            <w:rPr>
              <w:rFonts w:hint="eastAsia"/>
            </w:rPr>
            <w:t>月，《中共中央关于制定国民经济和社会发展第十五个五年规划的建议》将“全面提升电力系统互补互济和安全韧性水平，科学布局抽水蓄能，大力发展新型储能，加快智能电网和微电网建设”作为我国加快建设新型能源体系的一项重要发展目标。</w:t>
          </w:r>
        </w:p>
        <w:p w14:paraId="211DD015" w14:textId="77777777" w:rsidR="00577D08" w:rsidRDefault="00330FC0">
          <w:pPr>
            <w:spacing w:line="360" w:lineRule="exact"/>
            <w:ind w:firstLineChars="200" w:firstLine="420"/>
            <w:jc w:val="both"/>
          </w:pPr>
          <w:r>
            <w:rPr>
              <w:rFonts w:hint="eastAsia"/>
            </w:rPr>
            <w:t>近年来，国家能源局密集发布政策，推动配电环节新模式发展，输配电及控制设备领域需求持续向好。</w:t>
          </w:r>
        </w:p>
        <w:p w14:paraId="0FC47F96" w14:textId="77777777" w:rsidR="00577D08" w:rsidRDefault="00330FC0">
          <w:pPr>
            <w:spacing w:line="360" w:lineRule="exact"/>
            <w:ind w:firstLineChars="200" w:firstLine="422"/>
            <w:jc w:val="both"/>
            <w:outlineLvl w:val="3"/>
            <w:rPr>
              <w:b/>
            </w:rPr>
          </w:pPr>
          <w:r>
            <w:rPr>
              <w:rFonts w:hint="eastAsia"/>
              <w:b/>
            </w:rPr>
            <w:t>2</w:t>
          </w:r>
          <w:r>
            <w:rPr>
              <w:rFonts w:hint="eastAsia"/>
              <w:b/>
            </w:rPr>
            <w:t>、主要技术门槛</w:t>
          </w:r>
        </w:p>
        <w:p w14:paraId="005F5BB0" w14:textId="77777777" w:rsidR="00577D08" w:rsidRDefault="00330FC0">
          <w:pPr>
            <w:spacing w:line="360" w:lineRule="exact"/>
            <w:ind w:firstLineChars="200" w:firstLine="420"/>
            <w:jc w:val="both"/>
          </w:pPr>
          <w:r>
            <w:rPr>
              <w:rFonts w:hint="eastAsia"/>
            </w:rPr>
            <w:t>输配电及控制设备行业是电气自动化、微机继电保护技术、计算机网络与控制技术、通信技术、电磁兼容技术、软件开发技术、测量与控制、机械制造、高压绝缘、微电子技术、传感技术和数字处理技术等多种学科交叉的行业，企业需要有多年研发经验和运行经验的积累，以及深厚的技术储备。近年来，随着产品逐步向智能化、数字化、信息化、集成化、高效节能化的方向发展，智能电网技术标准体系的发布以及生产企业迈向数字化转型升级，都对行业内企业技术储备提出了更高的要求，需要企业大力投入研发，团队不断创新，致力于新技术与新产品的持续发展，</w:t>
          </w:r>
          <w:r>
            <w:rPr>
              <w:rFonts w:hint="eastAsia"/>
            </w:rPr>
            <w:t xml:space="preserve"> </w:t>
          </w:r>
          <w:r>
            <w:rPr>
              <w:rFonts w:hint="eastAsia"/>
            </w:rPr>
            <w:t>以满足下游应用的新需求。</w:t>
          </w:r>
        </w:p>
        <w:p w14:paraId="654D1945" w14:textId="77777777" w:rsidR="00577D08" w:rsidRDefault="00330FC0">
          <w:pPr>
            <w:spacing w:line="360" w:lineRule="exact"/>
            <w:ind w:firstLineChars="200" w:firstLine="420"/>
            <w:jc w:val="both"/>
          </w:pPr>
          <w:r>
            <w:rPr>
              <w:rFonts w:hint="eastAsia"/>
            </w:rPr>
            <w:t>公司产品广泛服务于多个关键行业领域，涵盖新能源（风能、光伏、储能）、新基建（含数据中心）、工业企业电气配套、高端装备、传统发电及输配电等领域。通过深厚的技术积累与创新能力，公司致力于为上述领域提供高性能、高可靠性的电力变压器及其配套控制设备一体化解决方案，满足客户多样化的需求，助力行业高质量发展。</w:t>
          </w:r>
        </w:p>
        <w:p w14:paraId="59CF5DF5" w14:textId="77777777" w:rsidR="00577D08" w:rsidRDefault="00330FC0">
          <w:pPr>
            <w:spacing w:line="360" w:lineRule="exact"/>
            <w:ind w:firstLineChars="200" w:firstLine="422"/>
            <w:jc w:val="both"/>
            <w:outlineLvl w:val="3"/>
            <w:rPr>
              <w:b/>
            </w:rPr>
          </w:pPr>
          <w:r>
            <w:rPr>
              <w:rFonts w:hint="eastAsia"/>
              <w:b/>
            </w:rPr>
            <w:t>3</w:t>
          </w:r>
          <w:r>
            <w:rPr>
              <w:rFonts w:hint="eastAsia"/>
              <w:b/>
            </w:rPr>
            <w:t>、行业地位</w:t>
          </w:r>
        </w:p>
        <w:p w14:paraId="03546BD4" w14:textId="77777777" w:rsidR="00577D08" w:rsidRDefault="00330FC0">
          <w:pPr>
            <w:spacing w:line="360" w:lineRule="exact"/>
            <w:ind w:firstLineChars="200" w:firstLine="420"/>
            <w:jc w:val="both"/>
          </w:pPr>
          <w:r>
            <w:rPr>
              <w:rFonts w:hint="eastAsia"/>
            </w:rPr>
            <w:t>公司通过战略性并购云变电气，实现输配电及控制设备业务的全面升级与跨越式发展。</w:t>
          </w:r>
        </w:p>
        <w:p w14:paraId="58B9661A" w14:textId="77777777" w:rsidR="00577D08" w:rsidRDefault="00330FC0">
          <w:pPr>
            <w:spacing w:line="360" w:lineRule="exact"/>
            <w:ind w:firstLineChars="200" w:firstLine="422"/>
            <w:jc w:val="both"/>
            <w:outlineLvl w:val="4"/>
            <w:rPr>
              <w:b/>
            </w:rPr>
          </w:pPr>
          <w:bookmarkStart w:id="57" w:name="OLE_LINK68"/>
          <w:bookmarkStart w:id="58" w:name="OLE_LINK69"/>
          <w:r>
            <w:rPr>
              <w:rFonts w:hint="eastAsia"/>
              <w:b/>
            </w:rPr>
            <w:t>（</w:t>
          </w:r>
          <w:r>
            <w:rPr>
              <w:rFonts w:hint="eastAsia"/>
              <w:b/>
            </w:rPr>
            <w:t>1</w:t>
          </w:r>
          <w:r>
            <w:rPr>
              <w:rFonts w:hint="eastAsia"/>
              <w:b/>
            </w:rPr>
            <w:t>）产业链一体化优势突出，稳居行业前列</w:t>
          </w:r>
        </w:p>
        <w:p w14:paraId="5B8ED53A" w14:textId="77777777" w:rsidR="00577D08" w:rsidRDefault="00330FC0">
          <w:pPr>
            <w:spacing w:line="360" w:lineRule="exact"/>
            <w:ind w:firstLineChars="200" w:firstLine="420"/>
            <w:jc w:val="both"/>
            <w:outlineLvl w:val="4"/>
          </w:pPr>
          <w:r>
            <w:rPr>
              <w:rFonts w:hint="eastAsia"/>
            </w:rPr>
            <w:t>公司输配电及控制设备业务稳居行业前列。凭借“材料—装备—服务—运营”的产业链协同优势，公司是国内唯一实现“取向硅钢—变压器核心材料—电力变压器—成套电气设备”全产业链布局输配电企业之一。</w:t>
          </w:r>
        </w:p>
        <w:bookmarkEnd w:id="57"/>
        <w:bookmarkEnd w:id="58"/>
        <w:p w14:paraId="1197047D" w14:textId="77777777" w:rsidR="00577D08" w:rsidRDefault="00330FC0">
          <w:pPr>
            <w:spacing w:line="360" w:lineRule="exact"/>
            <w:ind w:firstLineChars="200" w:firstLine="422"/>
            <w:jc w:val="both"/>
            <w:outlineLvl w:val="4"/>
            <w:rPr>
              <w:b/>
            </w:rPr>
          </w:pPr>
          <w:r>
            <w:rPr>
              <w:rFonts w:hint="eastAsia"/>
              <w:b/>
            </w:rPr>
            <w:t>（</w:t>
          </w:r>
          <w:r>
            <w:rPr>
              <w:rFonts w:hint="eastAsia"/>
              <w:b/>
            </w:rPr>
            <w:t>2</w:t>
          </w:r>
          <w:r>
            <w:rPr>
              <w:rFonts w:hint="eastAsia"/>
              <w:b/>
            </w:rPr>
            <w:t>）细分领域龙头地位</w:t>
          </w:r>
        </w:p>
        <w:p w14:paraId="6993F0E5" w14:textId="77777777" w:rsidR="00577D08" w:rsidRDefault="00330FC0">
          <w:pPr>
            <w:spacing w:line="360" w:lineRule="exact"/>
            <w:ind w:firstLineChars="200" w:firstLine="420"/>
            <w:jc w:val="both"/>
          </w:pPr>
          <w:r>
            <w:rPr>
              <w:rFonts w:hint="eastAsia"/>
            </w:rPr>
            <w:lastRenderedPageBreak/>
            <w:t>在铁路牵引变压器领域，公司控股子公司云变电气作为我国电气化铁路牵引变压器领域的技术标杆，凭借近</w:t>
          </w:r>
          <w:r>
            <w:rPr>
              <w:rFonts w:hint="eastAsia"/>
            </w:rPr>
            <w:t>90</w:t>
          </w:r>
          <w:r>
            <w:rPr>
              <w:rFonts w:hint="eastAsia"/>
            </w:rPr>
            <w:t>年专业积淀，持续引领行业创新发展，产品市场份额居全国首位。公司成功主导京张、京雄等国家重点高铁项目，在铁路牵引变压器细分市场保持</w:t>
          </w:r>
          <w:r>
            <w:rPr>
              <w:rFonts w:hint="eastAsia"/>
            </w:rPr>
            <w:t>30%</w:t>
          </w:r>
          <w:r>
            <w:rPr>
              <w:rFonts w:hint="eastAsia"/>
            </w:rPr>
            <w:t>以上的领先市场份额。</w:t>
          </w:r>
        </w:p>
        <w:p w14:paraId="6B8D77F3" w14:textId="77777777" w:rsidR="00577D08" w:rsidRDefault="00330FC0">
          <w:pPr>
            <w:spacing w:line="360" w:lineRule="exact"/>
            <w:ind w:firstLineChars="200" w:firstLine="422"/>
            <w:jc w:val="both"/>
            <w:outlineLvl w:val="4"/>
            <w:rPr>
              <w:b/>
            </w:rPr>
          </w:pPr>
          <w:r>
            <w:rPr>
              <w:rFonts w:hint="eastAsia"/>
              <w:b/>
            </w:rPr>
            <w:t>（</w:t>
          </w:r>
          <w:r>
            <w:rPr>
              <w:rFonts w:hint="eastAsia"/>
              <w:b/>
            </w:rPr>
            <w:t>3</w:t>
          </w:r>
          <w:r>
            <w:rPr>
              <w:rFonts w:hint="eastAsia"/>
              <w:b/>
            </w:rPr>
            <w:t>）技术与制造能力跃升</w:t>
          </w:r>
        </w:p>
        <w:p w14:paraId="2D3FA1A9" w14:textId="77777777" w:rsidR="00577D08" w:rsidRDefault="00330FC0">
          <w:pPr>
            <w:spacing w:line="360" w:lineRule="exact"/>
            <w:ind w:firstLineChars="200" w:firstLine="420"/>
            <w:jc w:val="both"/>
          </w:pPr>
          <w:r>
            <w:rPr>
              <w:rFonts w:hint="eastAsia"/>
            </w:rPr>
            <w:t>公司电力变压器电压等级从</w:t>
          </w:r>
          <w:r>
            <w:rPr>
              <w:rFonts w:hint="eastAsia"/>
            </w:rPr>
            <w:t>110kV</w:t>
          </w:r>
          <w:r>
            <w:rPr>
              <w:rFonts w:hint="eastAsia"/>
            </w:rPr>
            <w:t>跃升至</w:t>
          </w:r>
          <w:r>
            <w:rPr>
              <w:rFonts w:hint="eastAsia"/>
            </w:rPr>
            <w:t>500kV</w:t>
          </w:r>
          <w:r>
            <w:rPr>
              <w:rFonts w:hint="eastAsia"/>
            </w:rPr>
            <w:t>，实现供应能力向</w:t>
          </w:r>
          <w:r>
            <w:rPr>
              <w:rFonts w:hint="eastAsia"/>
            </w:rPr>
            <w:t>"</w:t>
          </w:r>
          <w:r>
            <w:rPr>
              <w:rFonts w:hint="eastAsia"/>
            </w:rPr>
            <w:t>上</w:t>
          </w:r>
          <w:r>
            <w:rPr>
              <w:rFonts w:hint="eastAsia"/>
            </w:rPr>
            <w:t>"</w:t>
          </w:r>
          <w:r>
            <w:rPr>
              <w:rFonts w:hint="eastAsia"/>
            </w:rPr>
            <w:t>跃升。</w:t>
          </w:r>
          <w:r>
            <w:rPr>
              <w:rFonts w:hint="eastAsia"/>
            </w:rPr>
            <w:t>2025</w:t>
          </w:r>
          <w:r>
            <w:rPr>
              <w:rFonts w:hint="eastAsia"/>
            </w:rPr>
            <w:t>年，公司自主研发的</w:t>
          </w:r>
          <w:r>
            <w:rPr>
              <w:rFonts w:hint="eastAsia"/>
            </w:rPr>
            <w:t>OSFPSZ18-250000/220</w:t>
          </w:r>
          <w:r>
            <w:rPr>
              <w:rFonts w:hint="eastAsia"/>
            </w:rPr>
            <w:t>自耦电力变压器成功通过荷兰</w:t>
          </w:r>
          <w:r>
            <w:rPr>
              <w:rFonts w:hint="eastAsia"/>
            </w:rPr>
            <w:t>KEMA</w:t>
          </w:r>
          <w:r>
            <w:rPr>
              <w:rFonts w:hint="eastAsia"/>
            </w:rPr>
            <w:t>实验室全套认证测试，获得欧洲高端电力设备市场准入资格，正式跻身全球高端电力设备供应商行列。</w:t>
          </w:r>
        </w:p>
        <w:p w14:paraId="7D2997F3" w14:textId="77777777" w:rsidR="00577D08" w:rsidRDefault="00330FC0">
          <w:pPr>
            <w:spacing w:line="360" w:lineRule="exact"/>
            <w:ind w:firstLineChars="200" w:firstLine="422"/>
            <w:jc w:val="both"/>
            <w:outlineLvl w:val="4"/>
            <w:rPr>
              <w:b/>
            </w:rPr>
          </w:pPr>
          <w:r>
            <w:rPr>
              <w:rFonts w:hint="eastAsia"/>
              <w:b/>
            </w:rPr>
            <w:t>（</w:t>
          </w:r>
          <w:r>
            <w:rPr>
              <w:rFonts w:hint="eastAsia"/>
              <w:b/>
            </w:rPr>
            <w:t>4</w:t>
          </w:r>
          <w:r>
            <w:rPr>
              <w:rFonts w:hint="eastAsia"/>
              <w:b/>
            </w:rPr>
            <w:t>）区域与战略布局</w:t>
          </w:r>
        </w:p>
        <w:p w14:paraId="3FB73106" w14:textId="77777777" w:rsidR="00577D08" w:rsidRDefault="00330FC0">
          <w:pPr>
            <w:spacing w:line="360" w:lineRule="exact"/>
            <w:ind w:firstLineChars="200" w:firstLine="420"/>
            <w:jc w:val="both"/>
          </w:pPr>
          <w:r>
            <w:rPr>
              <w:rFonts w:hint="eastAsia"/>
            </w:rPr>
            <w:t>公司已构建</w:t>
          </w:r>
          <w:r>
            <w:rPr>
              <w:rFonts w:hint="eastAsia"/>
            </w:rPr>
            <w:t>"</w:t>
          </w:r>
          <w:r>
            <w:rPr>
              <w:rFonts w:hint="eastAsia"/>
            </w:rPr>
            <w:t>立足西南、辐射全国、布局全球</w:t>
          </w:r>
          <w:r>
            <w:rPr>
              <w:rFonts w:hint="eastAsia"/>
            </w:rPr>
            <w:t>"</w:t>
          </w:r>
          <w:r>
            <w:rPr>
              <w:rFonts w:hint="eastAsia"/>
            </w:rPr>
            <w:t>的战略发展格局。作为中国西南地区领先的输配电设备制造商及全球铁路牵引变压器领域的核心供应商，公司与国家电网、中国电建等国内外核心客户建立了长期稳定的战略合作关系。同时，公司积极推动国际化进程，核心产品成功进入国际重大基建项目供应链，完成中国交建马来西亚东海岸铁路项目牵引变压器交付，履约中海油相关油气行业项目实现公司产品运用领域的新突破。</w:t>
          </w:r>
        </w:p>
        <w:p w14:paraId="71E094CF" w14:textId="77777777" w:rsidR="00577D08" w:rsidRDefault="00330FC0">
          <w:pPr>
            <w:spacing w:line="360" w:lineRule="exact"/>
            <w:ind w:firstLineChars="200" w:firstLine="422"/>
            <w:jc w:val="both"/>
            <w:outlineLvl w:val="4"/>
            <w:rPr>
              <w:b/>
            </w:rPr>
          </w:pPr>
          <w:r>
            <w:rPr>
              <w:rFonts w:hint="eastAsia"/>
              <w:b/>
            </w:rPr>
            <w:t>（</w:t>
          </w:r>
          <w:r>
            <w:rPr>
              <w:rFonts w:hint="eastAsia"/>
              <w:b/>
            </w:rPr>
            <w:t>5</w:t>
          </w:r>
          <w:r>
            <w:rPr>
              <w:rFonts w:hint="eastAsia"/>
              <w:b/>
            </w:rPr>
            <w:t>）技术创新实力</w:t>
          </w:r>
        </w:p>
        <w:p w14:paraId="4FB9BD0A" w14:textId="77777777" w:rsidR="00577D08" w:rsidRDefault="00330FC0">
          <w:pPr>
            <w:spacing w:line="360" w:lineRule="exact"/>
            <w:ind w:firstLineChars="200" w:firstLine="420"/>
            <w:jc w:val="both"/>
          </w:pPr>
          <w:r>
            <w:rPr>
              <w:rFonts w:hint="eastAsia"/>
            </w:rPr>
            <w:t>2025</w:t>
          </w:r>
          <w:r>
            <w:rPr>
              <w:rFonts w:hint="eastAsia"/>
            </w:rPr>
            <w:t>年，公司成功获批</w:t>
          </w:r>
          <w:r>
            <w:rPr>
              <w:rFonts w:hint="eastAsia"/>
            </w:rPr>
            <w:t>"</w:t>
          </w:r>
          <w:r>
            <w:rPr>
              <w:rFonts w:hint="eastAsia"/>
            </w:rPr>
            <w:t>国家企业技术中心</w:t>
          </w:r>
          <w:r>
            <w:rPr>
              <w:rFonts w:hint="eastAsia"/>
            </w:rPr>
            <w:t>"</w:t>
          </w:r>
          <w:r>
            <w:rPr>
              <w:rFonts w:hint="eastAsia"/>
            </w:rPr>
            <w:t>，跻身国家技术创新体系</w:t>
          </w:r>
          <w:r>
            <w:rPr>
              <w:rFonts w:hint="eastAsia"/>
            </w:rPr>
            <w:t>"</w:t>
          </w:r>
          <w:r>
            <w:rPr>
              <w:rFonts w:hint="eastAsia"/>
            </w:rPr>
            <w:t>第一梯队</w:t>
          </w:r>
          <w:r>
            <w:rPr>
              <w:rFonts w:hint="eastAsia"/>
            </w:rPr>
            <w:t>"</w:t>
          </w:r>
          <w:r>
            <w:rPr>
              <w:rFonts w:hint="eastAsia"/>
            </w:rPr>
            <w:t>。公司累计获专利授权</w:t>
          </w:r>
          <w:r>
            <w:rPr>
              <w:rFonts w:hint="eastAsia"/>
            </w:rPr>
            <w:t>300</w:t>
          </w:r>
          <w:r>
            <w:rPr>
              <w:rFonts w:hint="eastAsia"/>
            </w:rPr>
            <w:t>余项。高原特种变压器产品技术优势显著，成功应用于海拔</w:t>
          </w:r>
          <w:r>
            <w:rPr>
              <w:rFonts w:hint="eastAsia"/>
            </w:rPr>
            <w:t>5</w:t>
          </w:r>
          <w:r>
            <w:t>,</w:t>
          </w:r>
          <w:r>
            <w:rPr>
              <w:rFonts w:hint="eastAsia"/>
            </w:rPr>
            <w:t>100</w:t>
          </w:r>
          <w:r>
            <w:rPr>
              <w:rFonts w:hint="eastAsia"/>
            </w:rPr>
            <w:t>米的西藏措美哲古风电场等重大项目，关键性能指标较行业平均水平提升</w:t>
          </w:r>
          <w:r>
            <w:rPr>
              <w:rFonts w:hint="eastAsia"/>
            </w:rPr>
            <w:t>15%</w:t>
          </w:r>
          <w:r>
            <w:rPr>
              <w:rFonts w:hint="eastAsia"/>
            </w:rPr>
            <w:t>～</w:t>
          </w:r>
          <w:r>
            <w:rPr>
              <w:rFonts w:hint="eastAsia"/>
            </w:rPr>
            <w:t>20%</w:t>
          </w:r>
          <w:r>
            <w:rPr>
              <w:rFonts w:hint="eastAsia"/>
            </w:rPr>
            <w:t>。</w:t>
          </w:r>
        </w:p>
        <w:p w14:paraId="2395FB95" w14:textId="77777777" w:rsidR="00577D08" w:rsidRDefault="00330FC0">
          <w:pPr>
            <w:spacing w:line="360" w:lineRule="exact"/>
            <w:ind w:firstLineChars="200" w:firstLine="420"/>
            <w:jc w:val="both"/>
          </w:pPr>
          <w:r>
            <w:rPr>
              <w:rFonts w:hint="eastAsia"/>
            </w:rPr>
            <w:t>在国家持续加大铁路与电力基础设施投资、加速新型电力系统建设的背景下，公司将持续巩固区域及细分领域龙头地位，打造具有全球影响力的电力装备品牌。</w:t>
          </w:r>
        </w:p>
        <w:p w14:paraId="4BE13987" w14:textId="77777777" w:rsidR="00577D08" w:rsidRDefault="00330FC0">
          <w:pPr>
            <w:spacing w:line="360" w:lineRule="exact"/>
            <w:ind w:firstLineChars="200" w:firstLine="422"/>
            <w:jc w:val="both"/>
            <w:outlineLvl w:val="2"/>
            <w:rPr>
              <w:b/>
            </w:rPr>
          </w:pPr>
          <w:r>
            <w:rPr>
              <w:rFonts w:hint="eastAsia"/>
              <w:b/>
            </w:rPr>
            <w:t>（二）取向硅钢业务行业情况</w:t>
          </w:r>
        </w:p>
        <w:p w14:paraId="1A68C4F0" w14:textId="77777777" w:rsidR="00577D08" w:rsidRDefault="00330FC0">
          <w:pPr>
            <w:spacing w:line="360" w:lineRule="exact"/>
            <w:ind w:firstLineChars="200" w:firstLine="422"/>
            <w:jc w:val="both"/>
            <w:outlineLvl w:val="3"/>
            <w:rPr>
              <w:b/>
            </w:rPr>
          </w:pPr>
          <w:r>
            <w:rPr>
              <w:rFonts w:hint="eastAsia"/>
              <w:b/>
            </w:rPr>
            <w:t>1</w:t>
          </w:r>
          <w:r>
            <w:rPr>
              <w:rFonts w:hint="eastAsia"/>
              <w:b/>
            </w:rPr>
            <w:t>、行业基本情况和特点</w:t>
          </w:r>
        </w:p>
        <w:p w14:paraId="4057FD4F" w14:textId="77777777" w:rsidR="00577D08" w:rsidRDefault="00330FC0">
          <w:pPr>
            <w:spacing w:line="360" w:lineRule="exact"/>
            <w:ind w:firstLineChars="200" w:firstLine="420"/>
            <w:jc w:val="both"/>
          </w:pPr>
          <w:r>
            <w:rPr>
              <w:rFonts w:hint="eastAsia"/>
            </w:rPr>
            <w:t>电工钢是中国式现代化建设、高质量发展及人民生活不可缺少的重要原材料，是电力行业的“芯片”，取向硅钢又是电工钢金字塔尖的产品，被誉为钢铁工业“皇冠上的明珠”，特别是高等级取向硅钢更是电力传输中必备的尖端功能材料，是各类电力变压器产品的关键原材料，主要用于电力变压器（铁心）的制造，还可应用于大型电机（水电、风电、火电）铁心等领域。</w:t>
          </w:r>
        </w:p>
        <w:p w14:paraId="0A9D9C8A" w14:textId="77777777" w:rsidR="00577D08" w:rsidRDefault="00330FC0">
          <w:pPr>
            <w:spacing w:line="360" w:lineRule="exact"/>
            <w:ind w:firstLineChars="200" w:firstLine="420"/>
            <w:jc w:val="both"/>
          </w:pPr>
          <w:r>
            <w:rPr>
              <w:rFonts w:hint="eastAsia"/>
            </w:rPr>
            <w:t>高牌号取向硅钢市场需求将持续攀升。在国家政策和各类标准的带动下，近年来取向硅钢，特别是高牌号取向硅钢发展呈现新趋势，从历年取向硅钢价格走势看，价格涨跌基本形成了</w:t>
          </w:r>
          <w:r>
            <w:rPr>
              <w:rFonts w:hint="eastAsia"/>
            </w:rPr>
            <w:t>3</w:t>
          </w:r>
          <w:r>
            <w:rPr>
              <w:rFonts w:hint="eastAsia"/>
            </w:rPr>
            <w:t>至</w:t>
          </w:r>
          <w:r>
            <w:rPr>
              <w:rFonts w:hint="eastAsia"/>
            </w:rPr>
            <w:t>5</w:t>
          </w:r>
          <w:r>
            <w:rPr>
              <w:rFonts w:hint="eastAsia"/>
            </w:rPr>
            <w:t>年一次波动的规律，随着电力变压器能效升级的推进，预计未来一般取向硅钢的市场需求会继续减少，高磁感取向硅钢需求增加，取向硅钢价格在经历市场调整后将趋向稳定。</w:t>
          </w:r>
        </w:p>
        <w:p w14:paraId="5B8B0FA1" w14:textId="77777777" w:rsidR="00577D08" w:rsidRDefault="00330FC0">
          <w:pPr>
            <w:spacing w:line="360" w:lineRule="exact"/>
            <w:ind w:firstLineChars="200" w:firstLine="420"/>
            <w:jc w:val="both"/>
          </w:pPr>
          <w:r>
            <w:rPr>
              <w:rFonts w:hint="eastAsia"/>
            </w:rPr>
            <w:t>新兴市场需求日益增多刺激供大于求的情况。随着新能源汽车、高能效电力变压器及工业电机、抽水蓄能大型发电机等市场处于增量通道，硅钢整体表观需求呈现增长态势，其中也存在高等级的结构性机会。然而，随着资本市场及行业投资人的关注增加，高于需求增速的产能增速正在形成，这一方面导致整个行业供需态势正在向结构性过剩演变，一方面也是为进入新赛道的中国硅钢高质量发展注入新的潜能和动能。近年来，新能源汽车、特高压工程、高铁及轨道交通、智能家电、光伏发电、风电、数据中心等新兴领域对电工钢的需求也日益增多。</w:t>
          </w:r>
        </w:p>
        <w:p w14:paraId="00E387DB" w14:textId="77777777" w:rsidR="00577D08" w:rsidRDefault="00330FC0">
          <w:pPr>
            <w:spacing w:line="360" w:lineRule="exact"/>
            <w:ind w:firstLineChars="200" w:firstLine="420"/>
            <w:jc w:val="both"/>
          </w:pPr>
          <w:r>
            <w:rPr>
              <w:rFonts w:hint="eastAsia"/>
            </w:rPr>
            <w:t>根据中国金属学会电工分会统计数据，</w:t>
          </w:r>
          <w:bookmarkStart w:id="59" w:name="OLE_LINK111"/>
          <w:r>
            <w:rPr>
              <w:rFonts w:hint="eastAsia"/>
            </w:rPr>
            <w:t>2025</w:t>
          </w:r>
          <w:r>
            <w:rPr>
              <w:rFonts w:hint="eastAsia"/>
            </w:rPr>
            <w:t>年我国取向硅钢总产量为</w:t>
          </w:r>
          <w:r>
            <w:rPr>
              <w:rFonts w:hint="eastAsia"/>
            </w:rPr>
            <w:t>337</w:t>
          </w:r>
          <w:r>
            <w:rPr>
              <w:rFonts w:hint="eastAsia"/>
            </w:rPr>
            <w:t>万吨，较</w:t>
          </w:r>
          <w:r>
            <w:rPr>
              <w:rFonts w:hint="eastAsia"/>
            </w:rPr>
            <w:t>2024</w:t>
          </w:r>
          <w:r>
            <w:rPr>
              <w:rFonts w:hint="eastAsia"/>
            </w:rPr>
            <w:t>年增幅</w:t>
          </w:r>
          <w:r>
            <w:rPr>
              <w:rFonts w:hint="eastAsia"/>
            </w:rPr>
            <w:t>14.3%</w:t>
          </w:r>
          <w:r>
            <w:rPr>
              <w:rFonts w:hint="eastAsia"/>
            </w:rPr>
            <w:t>（</w:t>
          </w:r>
          <w:r>
            <w:rPr>
              <w:rFonts w:hint="eastAsia"/>
            </w:rPr>
            <w:t>2024</w:t>
          </w:r>
          <w:r>
            <w:rPr>
              <w:rFonts w:hint="eastAsia"/>
            </w:rPr>
            <w:t>年较</w:t>
          </w:r>
          <w:r>
            <w:rPr>
              <w:rFonts w:hint="eastAsia"/>
            </w:rPr>
            <w:t>2023</w:t>
          </w:r>
          <w:r>
            <w:rPr>
              <w:rFonts w:hint="eastAsia"/>
            </w:rPr>
            <w:t>年增长</w:t>
          </w:r>
          <w:r>
            <w:rPr>
              <w:rFonts w:hint="eastAsia"/>
            </w:rPr>
            <w:t>12%</w:t>
          </w:r>
          <w:r>
            <w:rPr>
              <w:rFonts w:hint="eastAsia"/>
            </w:rPr>
            <w:t>）</w:t>
          </w:r>
          <w:bookmarkEnd w:id="59"/>
          <w:r>
            <w:rPr>
              <w:rFonts w:hint="eastAsia"/>
            </w:rPr>
            <w:t>，其中民营企业产量为</w:t>
          </w:r>
          <w:r>
            <w:rPr>
              <w:rFonts w:hint="eastAsia"/>
            </w:rPr>
            <w:t>169</w:t>
          </w:r>
          <w:r>
            <w:rPr>
              <w:rFonts w:hint="eastAsia"/>
            </w:rPr>
            <w:t>万吨，占比过半。全国产能为</w:t>
          </w:r>
          <w:r>
            <w:rPr>
              <w:rFonts w:hint="eastAsia"/>
            </w:rPr>
            <w:t>402</w:t>
          </w:r>
          <w:r>
            <w:rPr>
              <w:rFonts w:hint="eastAsia"/>
            </w:rPr>
            <w:t>万吨，较</w:t>
          </w:r>
          <w:r>
            <w:rPr>
              <w:rFonts w:hint="eastAsia"/>
            </w:rPr>
            <w:t>2024</w:t>
          </w:r>
          <w:r>
            <w:rPr>
              <w:rFonts w:hint="eastAsia"/>
            </w:rPr>
            <w:t>年增加</w:t>
          </w:r>
          <w:r>
            <w:rPr>
              <w:rFonts w:hint="eastAsia"/>
            </w:rPr>
            <w:t>64</w:t>
          </w:r>
          <w:r>
            <w:rPr>
              <w:rFonts w:hint="eastAsia"/>
            </w:rPr>
            <w:t>万吨，增速平稳（</w:t>
          </w:r>
          <w:r>
            <w:rPr>
              <w:rFonts w:hint="eastAsia"/>
            </w:rPr>
            <w:t>2024</w:t>
          </w:r>
          <w:r>
            <w:rPr>
              <w:rFonts w:hint="eastAsia"/>
            </w:rPr>
            <w:t>年较</w:t>
          </w:r>
          <w:r>
            <w:rPr>
              <w:rFonts w:hint="eastAsia"/>
            </w:rPr>
            <w:t>2023</w:t>
          </w:r>
          <w:r>
            <w:rPr>
              <w:rFonts w:hint="eastAsia"/>
            </w:rPr>
            <w:t>年增长</w:t>
          </w:r>
          <w:r>
            <w:rPr>
              <w:rFonts w:hint="eastAsia"/>
            </w:rPr>
            <w:t>64</w:t>
          </w:r>
          <w:r>
            <w:rPr>
              <w:rFonts w:hint="eastAsia"/>
            </w:rPr>
            <w:t>万吨）。</w:t>
          </w:r>
          <w:r>
            <w:rPr>
              <w:rFonts w:hint="eastAsia"/>
            </w:rPr>
            <w:t xml:space="preserve"> </w:t>
          </w:r>
        </w:p>
        <w:p w14:paraId="33DF9368" w14:textId="77777777" w:rsidR="00577D08" w:rsidRDefault="00330FC0">
          <w:pPr>
            <w:spacing w:line="360" w:lineRule="exact"/>
            <w:ind w:firstLineChars="200" w:firstLine="422"/>
            <w:jc w:val="both"/>
            <w:outlineLvl w:val="3"/>
            <w:rPr>
              <w:b/>
            </w:rPr>
          </w:pPr>
          <w:r>
            <w:rPr>
              <w:rFonts w:hint="eastAsia"/>
              <w:b/>
            </w:rPr>
            <w:lastRenderedPageBreak/>
            <w:t>2</w:t>
          </w:r>
          <w:r>
            <w:rPr>
              <w:rFonts w:hint="eastAsia"/>
              <w:b/>
            </w:rPr>
            <w:t>、主要技术门槛</w:t>
          </w:r>
        </w:p>
        <w:p w14:paraId="2326D520" w14:textId="77777777" w:rsidR="00577D08" w:rsidRDefault="00330FC0">
          <w:pPr>
            <w:spacing w:line="360" w:lineRule="exact"/>
            <w:ind w:firstLineChars="200" w:firstLine="420"/>
            <w:jc w:val="both"/>
          </w:pPr>
          <w:r>
            <w:rPr>
              <w:rFonts w:hint="eastAsia"/>
            </w:rPr>
            <w:t>建国初期，我国取向硅钢主要依赖于向日本、美国、德国等国际厂商采购，</w:t>
          </w:r>
          <w:r>
            <w:rPr>
              <w:rFonts w:hint="eastAsia"/>
            </w:rPr>
            <w:t>1974</w:t>
          </w:r>
          <w:r>
            <w:rPr>
              <w:rFonts w:hint="eastAsia"/>
            </w:rPr>
            <w:t>年武汉钢铁（集团）有限公司自日本引进了全套一般取向硅钢装备和技术，并于</w:t>
          </w:r>
          <w:r>
            <w:rPr>
              <w:rFonts w:hint="eastAsia"/>
            </w:rPr>
            <w:t>1978</w:t>
          </w:r>
          <w:r>
            <w:rPr>
              <w:rFonts w:hint="eastAsia"/>
            </w:rPr>
            <w:t>年建成投产。</w:t>
          </w:r>
          <w:r>
            <w:rPr>
              <w:rFonts w:hint="eastAsia"/>
            </w:rPr>
            <w:t>1995</w:t>
          </w:r>
          <w:r>
            <w:rPr>
              <w:rFonts w:hint="eastAsia"/>
            </w:rPr>
            <w:t>年，武汉钢铁（集团）有限公司自日本引进了高磁感取向硅钢生产设备和技术。</w:t>
          </w:r>
          <w:r>
            <w:rPr>
              <w:rFonts w:hint="eastAsia"/>
            </w:rPr>
            <w:t>2007</w:t>
          </w:r>
          <w:r>
            <w:rPr>
              <w:rFonts w:hint="eastAsia"/>
            </w:rPr>
            <w:t>年底，我国仅有武汉钢铁（集团）有限公司可以生产取向硅钢，国内需求一半以上依赖进口。随着国内电网大规模建设，电力变压器需求相应以较大幅度增长，取向硅钢整体供不应求的局面较大程度抑制了电力变压器及铁心制造行业的市场化发展。</w:t>
          </w:r>
          <w:r>
            <w:rPr>
              <w:rFonts w:hint="eastAsia"/>
            </w:rPr>
            <w:t>2007</w:t>
          </w:r>
          <w:r>
            <w:rPr>
              <w:rFonts w:hint="eastAsia"/>
            </w:rPr>
            <w:t>年以后，武汉钢铁（集团）有限公司逐步进行产能扩张，宝钢集团有限公司、首钢集团有限公司等厂商纷纷投资建设取向硅钢生产线，我国取向硅钢产能大幅提高。</w:t>
          </w:r>
        </w:p>
        <w:p w14:paraId="23CAF186" w14:textId="77777777" w:rsidR="00577D08" w:rsidRDefault="00330FC0">
          <w:pPr>
            <w:spacing w:line="360" w:lineRule="exact"/>
            <w:ind w:firstLineChars="200" w:firstLine="420"/>
            <w:jc w:val="both"/>
          </w:pPr>
          <w:r>
            <w:rPr>
              <w:rFonts w:hint="eastAsia"/>
            </w:rPr>
            <w:t>目前我国已生产出多规格、多牌号、更低铁损、更高磁感的取向硅钢，满足了国家电力工业高质量发展和电力变压器能效升级的需要，在我国特高压电网建设中，高磁感取向硅钢发挥了重要的作用。在这期间，我国经历了从依赖进口高磁感取向硅钢到基本使用国产高磁感取向硅钢的巨变。</w:t>
          </w:r>
        </w:p>
        <w:p w14:paraId="3BA0690D" w14:textId="77777777" w:rsidR="00577D08" w:rsidRDefault="00330FC0">
          <w:pPr>
            <w:spacing w:line="360" w:lineRule="exact"/>
            <w:ind w:firstLineChars="200" w:firstLine="420"/>
            <w:jc w:val="both"/>
          </w:pPr>
          <w:r>
            <w:rPr>
              <w:rFonts w:hint="eastAsia"/>
            </w:rPr>
            <w:t>取向硅钢，尤其是高磁感取向硅钢，因工艺窗口参数控制技术壁垒较高，国内能够生产高磁感取向硅钢的企业较少，行业内企业主要集中在大型的国有钢铁企业和较少数的民营企业。</w:t>
          </w:r>
        </w:p>
        <w:p w14:paraId="13EADEDF" w14:textId="77777777" w:rsidR="00577D08" w:rsidRDefault="00330FC0">
          <w:pPr>
            <w:spacing w:line="360" w:lineRule="exact"/>
            <w:ind w:firstLineChars="200" w:firstLine="422"/>
            <w:jc w:val="both"/>
            <w:outlineLvl w:val="3"/>
            <w:rPr>
              <w:b/>
            </w:rPr>
          </w:pPr>
          <w:r>
            <w:rPr>
              <w:rFonts w:hint="eastAsia"/>
              <w:b/>
            </w:rPr>
            <w:t>3</w:t>
          </w:r>
          <w:r>
            <w:rPr>
              <w:rFonts w:hint="eastAsia"/>
              <w:b/>
            </w:rPr>
            <w:t>、行业地位</w:t>
          </w:r>
        </w:p>
        <w:p w14:paraId="3474C337" w14:textId="77777777" w:rsidR="00577D08" w:rsidRDefault="00330FC0">
          <w:pPr>
            <w:spacing w:line="360" w:lineRule="exact"/>
            <w:ind w:firstLineChars="200" w:firstLine="420"/>
            <w:jc w:val="both"/>
          </w:pPr>
          <w:r>
            <w:rPr>
              <w:rFonts w:hint="eastAsia"/>
            </w:rPr>
            <w:t>公司取向硅钢业务保持强劲发展态势，通过持续技术创新与产能升级，巩固并提升了在行业中的领先地位。</w:t>
          </w:r>
        </w:p>
        <w:p w14:paraId="7E71E347" w14:textId="77777777" w:rsidR="00577D08" w:rsidRDefault="00330FC0">
          <w:pPr>
            <w:spacing w:line="360" w:lineRule="exact"/>
            <w:ind w:firstLineChars="200" w:firstLine="422"/>
            <w:jc w:val="both"/>
            <w:outlineLvl w:val="4"/>
            <w:rPr>
              <w:b/>
            </w:rPr>
          </w:pPr>
          <w:r>
            <w:rPr>
              <w:rFonts w:hint="eastAsia"/>
              <w:b/>
            </w:rPr>
            <w:t>（</w:t>
          </w:r>
          <w:r>
            <w:rPr>
              <w:rFonts w:hint="eastAsia"/>
              <w:b/>
            </w:rPr>
            <w:t>1</w:t>
          </w:r>
          <w:r>
            <w:rPr>
              <w:rFonts w:hint="eastAsia"/>
              <w:b/>
            </w:rPr>
            <w:t>）产能规模位居全国前列</w:t>
          </w:r>
        </w:p>
        <w:p w14:paraId="722913E0" w14:textId="77777777" w:rsidR="00577D08" w:rsidRDefault="00330FC0">
          <w:pPr>
            <w:spacing w:line="360" w:lineRule="exact"/>
            <w:ind w:firstLineChars="200" w:firstLine="420"/>
            <w:jc w:val="both"/>
          </w:pPr>
          <w:r>
            <w:rPr>
              <w:rFonts w:hint="eastAsia"/>
            </w:rPr>
            <w:t>公司取向硅钢总产能</w:t>
          </w:r>
          <w:r>
            <w:rPr>
              <w:rFonts w:hint="eastAsia"/>
            </w:rPr>
            <w:t>18</w:t>
          </w:r>
          <w:r>
            <w:rPr>
              <w:rFonts w:hint="eastAsia"/>
            </w:rPr>
            <w:t>万吨，其中高牌号取向硅钢产能为</w:t>
          </w:r>
          <w:r>
            <w:rPr>
              <w:rFonts w:hint="eastAsia"/>
            </w:rPr>
            <w:t>13</w:t>
          </w:r>
          <w:r>
            <w:rPr>
              <w:rFonts w:hint="eastAsia"/>
            </w:rPr>
            <w:t>万吨。根据行业数据，公司取向硅钢产能规模居行业前列。</w:t>
          </w:r>
        </w:p>
        <w:p w14:paraId="2CEC6699" w14:textId="77777777" w:rsidR="00577D08" w:rsidRDefault="00330FC0">
          <w:pPr>
            <w:spacing w:line="360" w:lineRule="exact"/>
            <w:ind w:firstLineChars="200" w:firstLine="422"/>
            <w:jc w:val="both"/>
            <w:outlineLvl w:val="4"/>
            <w:rPr>
              <w:b/>
            </w:rPr>
          </w:pPr>
          <w:r>
            <w:rPr>
              <w:rFonts w:hint="eastAsia"/>
              <w:b/>
            </w:rPr>
            <w:t>（</w:t>
          </w:r>
          <w:r>
            <w:rPr>
              <w:rFonts w:hint="eastAsia"/>
              <w:b/>
            </w:rPr>
            <w:t>2</w:t>
          </w:r>
          <w:r>
            <w:rPr>
              <w:rFonts w:hint="eastAsia"/>
              <w:b/>
            </w:rPr>
            <w:t>）产品结构持续高端化</w:t>
          </w:r>
        </w:p>
        <w:p w14:paraId="0428B68E" w14:textId="77777777" w:rsidR="00577D08" w:rsidRDefault="00330FC0">
          <w:pPr>
            <w:spacing w:line="360" w:lineRule="exact"/>
            <w:ind w:firstLineChars="200" w:firstLine="420"/>
            <w:jc w:val="both"/>
            <w:outlineLvl w:val="4"/>
          </w:pPr>
          <w:r>
            <w:rPr>
              <w:rFonts w:hint="eastAsia"/>
            </w:rPr>
            <w:t>公司持续推进高端化战略，产品结构不断优化，高牌号产品占比持续提升。同时，公司成功攻克</w:t>
          </w:r>
          <w:r>
            <w:rPr>
              <w:rFonts w:hint="eastAsia"/>
            </w:rPr>
            <w:t>075</w:t>
          </w:r>
          <w:r>
            <w:rPr>
              <w:rFonts w:hint="eastAsia"/>
            </w:rPr>
            <w:t>牌号高磁感取向硅钢技术壁垒，成为行业内少数掌握该核心技术的企业之一。</w:t>
          </w:r>
        </w:p>
        <w:p w14:paraId="28F01731" w14:textId="77777777" w:rsidR="00577D08" w:rsidRDefault="00330FC0">
          <w:pPr>
            <w:spacing w:line="360" w:lineRule="exact"/>
            <w:ind w:firstLineChars="200" w:firstLine="422"/>
            <w:jc w:val="both"/>
            <w:outlineLvl w:val="4"/>
            <w:rPr>
              <w:b/>
            </w:rPr>
          </w:pPr>
          <w:r>
            <w:rPr>
              <w:rFonts w:hint="eastAsia"/>
              <w:b/>
            </w:rPr>
            <w:t>（</w:t>
          </w:r>
          <w:r>
            <w:rPr>
              <w:rFonts w:hint="eastAsia"/>
              <w:b/>
            </w:rPr>
            <w:t>3</w:t>
          </w:r>
          <w:r>
            <w:rPr>
              <w:rFonts w:hint="eastAsia"/>
              <w:b/>
            </w:rPr>
            <w:t>）技术创新实力显著提升</w:t>
          </w:r>
        </w:p>
        <w:p w14:paraId="1DB66FB8" w14:textId="77777777" w:rsidR="00577D08" w:rsidRDefault="00330FC0">
          <w:pPr>
            <w:spacing w:line="360" w:lineRule="exact"/>
            <w:ind w:firstLineChars="200" w:firstLine="420"/>
            <w:jc w:val="both"/>
          </w:pPr>
          <w:r>
            <w:rPr>
              <w:rFonts w:hint="eastAsia"/>
            </w:rPr>
            <w:t>公司科技创新成果持续增加：</w:t>
          </w:r>
          <w:r>
            <w:rPr>
              <w:rFonts w:hint="eastAsia"/>
            </w:rPr>
            <w:t>2</w:t>
          </w:r>
          <w:r>
            <w:t>025</w:t>
          </w:r>
          <w:r>
            <w:rPr>
              <w:rFonts w:hint="eastAsia"/>
            </w:rPr>
            <w:t>年全年申请专利</w:t>
          </w:r>
          <w:r>
            <w:rPr>
              <w:rFonts w:hint="eastAsia"/>
            </w:rPr>
            <w:t>73</w:t>
          </w:r>
          <w:r>
            <w:rPr>
              <w:rFonts w:hint="eastAsia"/>
            </w:rPr>
            <w:t>项，获得授权</w:t>
          </w:r>
          <w:r>
            <w:rPr>
              <w:rFonts w:hint="eastAsia"/>
            </w:rPr>
            <w:t>42</w:t>
          </w:r>
          <w:r>
            <w:rPr>
              <w:rFonts w:hint="eastAsia"/>
            </w:rPr>
            <w:t>项；与中国钢研科技集团连铸技术国家工程研究中心、重庆大学、重庆理工大学、重庆交通大学、重庆邮电大学、重庆科技大学、中南大学、武汉科技大学、中国科学院物理所、松山湖材料实验室等高校及机构联合开展实验室，共建研发平台；参与两项国际标准制定，掌握行业话语权。公司成功获批国家企业技术中心及国家级博士后科研工作站，科研实力再上新台阶。</w:t>
          </w:r>
        </w:p>
        <w:p w14:paraId="7AE8B32B" w14:textId="77777777" w:rsidR="00577D08" w:rsidRDefault="00330FC0">
          <w:pPr>
            <w:spacing w:line="360" w:lineRule="exact"/>
            <w:ind w:firstLineChars="200" w:firstLine="422"/>
            <w:jc w:val="both"/>
            <w:outlineLvl w:val="4"/>
            <w:rPr>
              <w:b/>
            </w:rPr>
          </w:pPr>
          <w:r>
            <w:rPr>
              <w:rFonts w:hint="eastAsia"/>
              <w:b/>
            </w:rPr>
            <w:t>（</w:t>
          </w:r>
          <w:r>
            <w:rPr>
              <w:rFonts w:hint="eastAsia"/>
              <w:b/>
            </w:rPr>
            <w:t>4</w:t>
          </w:r>
          <w:r>
            <w:rPr>
              <w:rFonts w:hint="eastAsia"/>
              <w:b/>
            </w:rPr>
            <w:t>）国际化布局持续深化</w:t>
          </w:r>
        </w:p>
        <w:p w14:paraId="4C2E63D8" w14:textId="77777777" w:rsidR="00577D08" w:rsidRDefault="00330FC0">
          <w:pPr>
            <w:spacing w:line="360" w:lineRule="exact"/>
            <w:ind w:firstLineChars="200" w:firstLine="420"/>
            <w:jc w:val="both"/>
          </w:pPr>
          <w:r>
            <w:rPr>
              <w:rFonts w:hint="eastAsia"/>
            </w:rPr>
            <w:t>公司取向硅钢产品远销东南亚、中东、欧美等地区，客户主要涉及印度、沙特、土耳其、墨西哥、新加坡、南非、泰国、加拿大等国家。公司与伊藤忠丸红钢铁、浦项国际贸易、美达王等国际知名企业建立稳定的战略合作关系，国际化业务持续深化。</w:t>
          </w:r>
        </w:p>
        <w:p w14:paraId="2AB92C9D" w14:textId="77777777" w:rsidR="00577D08" w:rsidRDefault="00330FC0">
          <w:pPr>
            <w:spacing w:line="360" w:lineRule="exact"/>
            <w:ind w:firstLineChars="200" w:firstLine="422"/>
            <w:jc w:val="both"/>
            <w:outlineLvl w:val="4"/>
            <w:rPr>
              <w:b/>
            </w:rPr>
          </w:pPr>
          <w:r>
            <w:rPr>
              <w:rFonts w:hint="eastAsia"/>
              <w:b/>
            </w:rPr>
            <w:t>（</w:t>
          </w:r>
          <w:r>
            <w:rPr>
              <w:rFonts w:hint="eastAsia"/>
              <w:b/>
            </w:rPr>
            <w:t>5</w:t>
          </w:r>
          <w:r>
            <w:rPr>
              <w:rFonts w:hint="eastAsia"/>
              <w:b/>
            </w:rPr>
            <w:t>）产业链协同优势凸显</w:t>
          </w:r>
        </w:p>
        <w:p w14:paraId="1CF14007" w14:textId="77777777" w:rsidR="00577D08" w:rsidRDefault="00330FC0">
          <w:pPr>
            <w:spacing w:line="360" w:lineRule="exact"/>
            <w:ind w:firstLineChars="200" w:firstLine="420"/>
            <w:jc w:val="both"/>
          </w:pPr>
          <w:r>
            <w:rPr>
              <w:rFonts w:hint="eastAsia"/>
            </w:rPr>
            <w:t>公司构建起从取向硅钢—硅钢铁心—电力变压器—箱式变电站</w:t>
          </w:r>
          <w:r>
            <w:rPr>
              <w:rFonts w:hint="eastAsia"/>
            </w:rPr>
            <w:t>/</w:t>
          </w:r>
          <w:r>
            <w:rPr>
              <w:rFonts w:hint="eastAsia"/>
            </w:rPr>
            <w:t>成套电气设备—检修运维安装服务</w:t>
          </w:r>
          <w:r>
            <w:rPr>
              <w:rFonts w:hint="eastAsia"/>
            </w:rPr>
            <w:t>-</w:t>
          </w:r>
          <w:r>
            <w:rPr>
              <w:rFonts w:hint="eastAsia"/>
            </w:rPr>
            <w:t>电动汽车充电业务的一体化产业链，成为国内少数实现取向硅钢原材料自给与输配电及控制设备产业协同的企业之一。</w:t>
          </w:r>
        </w:p>
        <w:p w14:paraId="6E3220D6" w14:textId="77777777" w:rsidR="00577D08" w:rsidRDefault="00330FC0">
          <w:pPr>
            <w:spacing w:line="360" w:lineRule="exact"/>
            <w:ind w:firstLineChars="200" w:firstLine="422"/>
            <w:jc w:val="both"/>
            <w:outlineLvl w:val="2"/>
            <w:rPr>
              <w:b/>
            </w:rPr>
          </w:pPr>
          <w:r>
            <w:rPr>
              <w:rFonts w:hint="eastAsia"/>
              <w:b/>
            </w:rPr>
            <w:lastRenderedPageBreak/>
            <w:t>（三）电动汽车充电业务行业情况</w:t>
          </w:r>
        </w:p>
        <w:p w14:paraId="142298D9" w14:textId="77777777" w:rsidR="00577D08" w:rsidRDefault="00330FC0">
          <w:pPr>
            <w:spacing w:line="360" w:lineRule="exact"/>
            <w:ind w:firstLineChars="200" w:firstLine="422"/>
            <w:jc w:val="both"/>
            <w:outlineLvl w:val="3"/>
            <w:rPr>
              <w:b/>
            </w:rPr>
          </w:pPr>
          <w:r>
            <w:rPr>
              <w:rFonts w:hint="eastAsia"/>
              <w:b/>
            </w:rPr>
            <w:t>1</w:t>
          </w:r>
          <w:r>
            <w:rPr>
              <w:rFonts w:hint="eastAsia"/>
              <w:b/>
            </w:rPr>
            <w:t>、行业基本情况和特点</w:t>
          </w:r>
        </w:p>
        <w:p w14:paraId="0E4E6DEA" w14:textId="77777777" w:rsidR="00577D08" w:rsidRDefault="00330FC0">
          <w:pPr>
            <w:spacing w:line="360" w:lineRule="exact"/>
            <w:ind w:firstLineChars="200" w:firstLine="420"/>
            <w:jc w:val="both"/>
          </w:pPr>
          <w:r>
            <w:rPr>
              <w:rFonts w:hint="eastAsia"/>
            </w:rPr>
            <w:t>电动汽车及充电基础设施行业，是国家大力支持发展的行业。</w:t>
          </w:r>
          <w:r>
            <w:rPr>
              <w:rFonts w:hint="eastAsia"/>
            </w:rPr>
            <w:t xml:space="preserve">2023 </w:t>
          </w:r>
          <w:r>
            <w:rPr>
              <w:rFonts w:hint="eastAsia"/>
            </w:rPr>
            <w:t>年</w:t>
          </w:r>
          <w:r>
            <w:rPr>
              <w:rFonts w:hint="eastAsia"/>
            </w:rPr>
            <w:t>12</w:t>
          </w:r>
          <w:r>
            <w:rPr>
              <w:rFonts w:hint="eastAsia"/>
            </w:rPr>
            <w:t>月，国家发展改革委、国家能源局、工信部和市场监管总局联合印发《国家发展改革委等部门关于加强新能源汽车与电网融合互动的实施意见》，明确提出到</w:t>
          </w:r>
          <w:r>
            <w:rPr>
              <w:rFonts w:hint="eastAsia"/>
            </w:rPr>
            <w:t>2030</w:t>
          </w:r>
          <w:r>
            <w:rPr>
              <w:rFonts w:hint="eastAsia"/>
            </w:rPr>
            <w:t>年，我国车网互动技术标准体系基本建成，车网互动实现规模化应用，智能有序充电全面推广，新能源汽车成为电化学储能体系的重要组成部分，力争为电力系统提供千万千瓦级的双向灵活性调节能力；</w:t>
          </w:r>
          <w:r>
            <w:rPr>
              <w:rFonts w:hint="eastAsia"/>
            </w:rPr>
            <w:t>2024</w:t>
          </w:r>
          <w:r>
            <w:rPr>
              <w:rFonts w:hint="eastAsia"/>
            </w:rPr>
            <w:t>年</w:t>
          </w:r>
          <w:r>
            <w:rPr>
              <w:rFonts w:hint="eastAsia"/>
            </w:rPr>
            <w:t>7</w:t>
          </w:r>
          <w:r>
            <w:rPr>
              <w:rFonts w:hint="eastAsia"/>
            </w:rPr>
            <w:t>月，中共中央、国务院发布《关于加快经济社会发展全面绿色转型的意见》，提出要大力推广新能源汽车，推动城市公共服务车辆电动化替代。到</w:t>
          </w:r>
          <w:r>
            <w:rPr>
              <w:rFonts w:hint="eastAsia"/>
            </w:rPr>
            <w:t>2035</w:t>
          </w:r>
          <w:r>
            <w:rPr>
              <w:rFonts w:hint="eastAsia"/>
            </w:rPr>
            <w:t>年，新能源汽车成为新销售车辆的主流。</w:t>
          </w:r>
          <w:r>
            <w:rPr>
              <w:rFonts w:hint="eastAsia"/>
            </w:rPr>
            <w:t>2024</w:t>
          </w:r>
          <w:r>
            <w:rPr>
              <w:rFonts w:hint="eastAsia"/>
            </w:rPr>
            <w:t>年</w:t>
          </w:r>
          <w:r>
            <w:rPr>
              <w:rFonts w:hint="eastAsia"/>
            </w:rPr>
            <w:t>8</w:t>
          </w:r>
          <w:r>
            <w:rPr>
              <w:rFonts w:hint="eastAsia"/>
            </w:rPr>
            <w:t>月，国家发展改革委办公厅等部门发布《关于推动车网互动规模化应用试点工作的通知》，全面推广新能源汽车有序充电，扩大双向充放电（</w:t>
          </w:r>
          <w:r>
            <w:rPr>
              <w:rFonts w:hint="eastAsia"/>
            </w:rPr>
            <w:t>V2G</w:t>
          </w:r>
          <w:r>
            <w:rPr>
              <w:rFonts w:hint="eastAsia"/>
            </w:rPr>
            <w:t>）项目规模，丰富车网互动应用场景，力争以市场化机制引导车网互动规模化发展；</w:t>
          </w:r>
          <w:r>
            <w:rPr>
              <w:rFonts w:hint="eastAsia"/>
            </w:rPr>
            <w:t>2024</w:t>
          </w:r>
          <w:r>
            <w:rPr>
              <w:rFonts w:hint="eastAsia"/>
            </w:rPr>
            <w:t>年</w:t>
          </w:r>
          <w:r>
            <w:rPr>
              <w:rFonts w:hint="eastAsia"/>
            </w:rPr>
            <w:t>11</w:t>
          </w:r>
          <w:r>
            <w:rPr>
              <w:rFonts w:hint="eastAsia"/>
            </w:rPr>
            <w:t>月，国家能源局发布了《关于支持电力领域新型经营主体创新发展的指导意见》。</w:t>
          </w:r>
        </w:p>
        <w:p w14:paraId="71DB5C82" w14:textId="77777777" w:rsidR="00577D08" w:rsidRDefault="00330FC0">
          <w:pPr>
            <w:spacing w:line="360" w:lineRule="exact"/>
            <w:ind w:firstLineChars="200" w:firstLine="420"/>
            <w:jc w:val="both"/>
          </w:pPr>
          <w:r>
            <w:rPr>
              <w:rFonts w:hint="eastAsia"/>
            </w:rPr>
            <w:t>自</w:t>
          </w:r>
          <w:r>
            <w:rPr>
              <w:rFonts w:hint="eastAsia"/>
            </w:rPr>
            <w:t>2009</w:t>
          </w:r>
          <w:r>
            <w:rPr>
              <w:rFonts w:hint="eastAsia"/>
            </w:rPr>
            <w:t>年我国启动“十城千辆节能与新能源汽车示范推广应用工程”以来，我国政府不断加大力度促进新能源重卡的普及。众多补贴和扶持方案陆续出台下，电动重卡行业快速发展。政策不仅包括直接的补贴和税费减免，还有路权、产业规划等系统性的支持。</w:t>
          </w:r>
          <w:r>
            <w:rPr>
              <w:rFonts w:hint="eastAsia"/>
            </w:rPr>
            <w:t>2023</w:t>
          </w:r>
          <w:r>
            <w:rPr>
              <w:rFonts w:hint="eastAsia"/>
            </w:rPr>
            <w:t>年，工信部联合七部门发布了《关于组织开展公共领域车辆全面电动化先行区试点工作的通知》，标志着全国范围内公共领域车辆全面电动化试点工作的启动。该试点工作特别强调提高包括城市物流配送在内的新能源汽车使用比例，目标达到</w:t>
          </w:r>
          <w:r>
            <w:rPr>
              <w:rFonts w:hint="eastAsia"/>
            </w:rPr>
            <w:t>80%</w:t>
          </w:r>
          <w:r>
            <w:rPr>
              <w:rFonts w:hint="eastAsia"/>
            </w:rPr>
            <w:t>。这一政策转变清楚地表明，国家政策将继续为新能源物流车的发展提供坚实的支持，推动商用车市场的电动化渗透率持续提升。</w:t>
          </w:r>
        </w:p>
        <w:p w14:paraId="0778D167" w14:textId="77777777" w:rsidR="00577D08" w:rsidRDefault="00330FC0">
          <w:pPr>
            <w:spacing w:line="360" w:lineRule="exact"/>
            <w:ind w:firstLineChars="200" w:firstLine="420"/>
            <w:jc w:val="both"/>
          </w:pPr>
          <w:r>
            <w:rPr>
              <w:rFonts w:hint="eastAsia"/>
            </w:rPr>
            <w:t>随着电动汽车的迅速普及以及电动重卡的广泛应用，充电基础设施的建设投入也持续加大，近年来，云南、重庆等地均发布一系列规划政策鼓励新能源汽车超充站设施建设。</w:t>
          </w:r>
          <w:r>
            <w:rPr>
              <w:rFonts w:hint="eastAsia"/>
            </w:rPr>
            <w:t>2025</w:t>
          </w:r>
          <w:r>
            <w:rPr>
              <w:rFonts w:hint="eastAsia"/>
            </w:rPr>
            <w:t>年</w:t>
          </w:r>
          <w:r>
            <w:rPr>
              <w:rFonts w:hint="eastAsia"/>
            </w:rPr>
            <w:t>7</w:t>
          </w:r>
          <w:r>
            <w:rPr>
              <w:rFonts w:hint="eastAsia"/>
            </w:rPr>
            <w:t>月，《云南省公路重卡充换电基础设施布局规划（</w:t>
          </w:r>
          <w:r>
            <w:rPr>
              <w:rFonts w:hint="eastAsia"/>
            </w:rPr>
            <w:t>2026</w:t>
          </w:r>
          <w:r>
            <w:rPr>
              <w:rFonts w:hint="eastAsia"/>
            </w:rPr>
            <w:t>—</w:t>
          </w:r>
          <w:r>
            <w:rPr>
              <w:rFonts w:hint="eastAsia"/>
            </w:rPr>
            <w:t>2030</w:t>
          </w:r>
          <w:r>
            <w:rPr>
              <w:rFonts w:hint="eastAsia"/>
            </w:rPr>
            <w:t>年）》（征求意见稿）提出到</w:t>
          </w:r>
          <w:r>
            <w:rPr>
              <w:rFonts w:hint="eastAsia"/>
            </w:rPr>
            <w:t>2030</w:t>
          </w:r>
          <w:r>
            <w:rPr>
              <w:rFonts w:hint="eastAsia"/>
            </w:rPr>
            <w:t>年，计划在主要货运干线、重点口岸、昆明、曲靖、玉溪等主要工业园区内部及周边交通要道、云南省主要矿产资源集中区域以及公路运输与铁路、水路、航空运输等多式联运的衔接区域，建成充换电站</w:t>
          </w:r>
          <w:r>
            <w:rPr>
              <w:rFonts w:hint="eastAsia"/>
            </w:rPr>
            <w:t>570</w:t>
          </w:r>
          <w:r>
            <w:rPr>
              <w:rFonts w:hint="eastAsia"/>
            </w:rPr>
            <w:t>座。重庆市经信委亦于</w:t>
          </w:r>
          <w:r>
            <w:rPr>
              <w:rFonts w:hint="eastAsia"/>
            </w:rPr>
            <w:t>2025</w:t>
          </w:r>
          <w:r>
            <w:rPr>
              <w:rFonts w:hint="eastAsia"/>
            </w:rPr>
            <w:t>年</w:t>
          </w:r>
          <w:r>
            <w:rPr>
              <w:rFonts w:hint="eastAsia"/>
            </w:rPr>
            <w:t>7</w:t>
          </w:r>
          <w:r>
            <w:rPr>
              <w:rFonts w:hint="eastAsia"/>
            </w:rPr>
            <w:t>月发布公开征求对《重庆市智能网联新能源汽车产业链“渝链智擎”行动计划（</w:t>
          </w:r>
          <w:r>
            <w:rPr>
              <w:rFonts w:hint="eastAsia"/>
            </w:rPr>
            <w:t>2025-2027</w:t>
          </w:r>
          <w:r>
            <w:rPr>
              <w:rFonts w:hint="eastAsia"/>
            </w:rPr>
            <w:t>）》的意见，文件指出进一步规范充换电基础设施“投建运退”等重点环节。进一步加密中心城区和主城新区超充站布局，鼓励两个地区对满足条件的公共快充站进行改造升级。有序推进电动重型货车超充站建设。加速双向充放电基础设施建设。建立健全车网互动市场交易机制，打造一批双向充放电示范项目，加速公共充电站智能有序充电功能应用。到</w:t>
          </w:r>
          <w:r>
            <w:rPr>
              <w:rFonts w:hint="eastAsia"/>
            </w:rPr>
            <w:t>2027</w:t>
          </w:r>
          <w:r>
            <w:rPr>
              <w:rFonts w:hint="eastAsia"/>
            </w:rPr>
            <w:t>年，力争全市建成投用超充站</w:t>
          </w:r>
          <w:r>
            <w:rPr>
              <w:rFonts w:hint="eastAsia"/>
            </w:rPr>
            <w:t>2000</w:t>
          </w:r>
          <w:r>
            <w:rPr>
              <w:rFonts w:hint="eastAsia"/>
            </w:rPr>
            <w:t>座以上。</w:t>
          </w:r>
        </w:p>
        <w:p w14:paraId="41061EBB" w14:textId="77777777" w:rsidR="00577D08" w:rsidRDefault="00330FC0">
          <w:pPr>
            <w:spacing w:line="360" w:lineRule="exact"/>
            <w:ind w:firstLineChars="200" w:firstLine="420"/>
            <w:jc w:val="both"/>
          </w:pPr>
          <w:r>
            <w:rPr>
              <w:rFonts w:hint="eastAsia"/>
            </w:rPr>
            <w:t>电动重卡普及推动电动汽车超充站行业将迎来巨大发展空间。</w:t>
          </w:r>
        </w:p>
        <w:p w14:paraId="22D5BC42" w14:textId="77777777" w:rsidR="00577D08" w:rsidRDefault="00330FC0">
          <w:pPr>
            <w:spacing w:line="360" w:lineRule="exact"/>
            <w:ind w:firstLineChars="200" w:firstLine="422"/>
            <w:jc w:val="both"/>
            <w:outlineLvl w:val="3"/>
            <w:rPr>
              <w:b/>
            </w:rPr>
          </w:pPr>
          <w:r>
            <w:rPr>
              <w:rFonts w:hint="eastAsia"/>
              <w:b/>
            </w:rPr>
            <w:t>2</w:t>
          </w:r>
          <w:r>
            <w:rPr>
              <w:rFonts w:hint="eastAsia"/>
              <w:b/>
            </w:rPr>
            <w:t>、主要技术门槛</w:t>
          </w:r>
        </w:p>
        <w:p w14:paraId="7CA3FF06" w14:textId="77777777" w:rsidR="00577D08" w:rsidRDefault="00330FC0">
          <w:pPr>
            <w:spacing w:line="360" w:lineRule="exact"/>
            <w:ind w:firstLineChars="200" w:firstLine="420"/>
            <w:jc w:val="both"/>
          </w:pPr>
          <w:r>
            <w:rPr>
              <w:rFonts w:hint="eastAsia"/>
            </w:rPr>
            <w:t>新能源汽车充电业务正处于从“够用”向“快充”升级的关键期，而重卡充电由于其兆瓦级功率需求，技术门槛呈现指数级提升。当前行业的核心矛盾在于“充电效率”与“电网</w:t>
          </w:r>
          <w:r>
            <w:rPr>
              <w:rFonts w:hint="eastAsia"/>
            </w:rPr>
            <w:t>/</w:t>
          </w:r>
          <w:r>
            <w:rPr>
              <w:rFonts w:hint="eastAsia"/>
            </w:rPr>
            <w:t>设备承载力”之间的平衡。随着</w:t>
          </w:r>
          <w:r>
            <w:rPr>
              <w:rFonts w:hint="eastAsia"/>
            </w:rPr>
            <w:t>800V</w:t>
          </w:r>
          <w:r>
            <w:rPr>
              <w:rFonts w:hint="eastAsia"/>
            </w:rPr>
            <w:t>高压车型普及，通用门槛主要集中在大功率散热技术，即要实现</w:t>
          </w:r>
          <w:r>
            <w:rPr>
              <w:rFonts w:hint="eastAsia"/>
            </w:rPr>
            <w:t>250kW</w:t>
          </w:r>
          <w:r>
            <w:rPr>
              <w:rFonts w:hint="eastAsia"/>
            </w:rPr>
            <w:t>以上的超充，传统风冷枪线难以承受</w:t>
          </w:r>
          <w:r>
            <w:rPr>
              <w:rFonts w:hint="eastAsia"/>
            </w:rPr>
            <w:t>400-600A</w:t>
          </w:r>
          <w:r>
            <w:rPr>
              <w:rFonts w:hint="eastAsia"/>
            </w:rPr>
            <w:t>的大电流，必须采用液冷技术。液冷终端通过循环冷却液带走热量，使枪线更轻便且能满足长时间高功率输出，但目前成本较高，尚未大规模普及。</w:t>
          </w:r>
        </w:p>
        <w:p w14:paraId="3A7B7B39" w14:textId="77777777" w:rsidR="00577D08" w:rsidRDefault="00330FC0">
          <w:pPr>
            <w:spacing w:line="360" w:lineRule="exact"/>
            <w:ind w:firstLineChars="200" w:firstLine="420"/>
            <w:jc w:val="both"/>
          </w:pPr>
          <w:r>
            <w:rPr>
              <w:rFonts w:hint="eastAsia"/>
            </w:rPr>
            <w:lastRenderedPageBreak/>
            <w:t>另外大规模快充对电网造成冲击，需要充电模块具备</w:t>
          </w:r>
          <w:r>
            <w:rPr>
              <w:rFonts w:hint="eastAsia"/>
            </w:rPr>
            <w:t>V2G</w:t>
          </w:r>
          <w:r>
            <w:rPr>
              <w:rFonts w:hint="eastAsia"/>
            </w:rPr>
            <w:t>（车网互动）或储充一体化功能以实现削峰填谷。此外，中国汽车工业协会正在推进《车桩融合大功率充电安全预警技术指南》，要求设备具备高精度绝缘检测和热失控预警能力。</w:t>
          </w:r>
        </w:p>
        <w:p w14:paraId="2E32FEDE" w14:textId="77777777" w:rsidR="00577D08" w:rsidRDefault="00330FC0">
          <w:pPr>
            <w:spacing w:line="360" w:lineRule="exact"/>
            <w:ind w:firstLineChars="200" w:firstLine="422"/>
            <w:jc w:val="both"/>
            <w:outlineLvl w:val="3"/>
            <w:rPr>
              <w:b/>
            </w:rPr>
          </w:pPr>
          <w:r>
            <w:rPr>
              <w:rFonts w:hint="eastAsia"/>
              <w:b/>
            </w:rPr>
            <w:t>3</w:t>
          </w:r>
          <w:r>
            <w:rPr>
              <w:rFonts w:hint="eastAsia"/>
              <w:b/>
            </w:rPr>
            <w:t>、行业地位</w:t>
          </w:r>
        </w:p>
        <w:p w14:paraId="75685739" w14:textId="77777777" w:rsidR="00577D08" w:rsidRDefault="00330FC0">
          <w:pPr>
            <w:spacing w:line="360" w:lineRule="exact"/>
            <w:ind w:firstLineChars="200" w:firstLine="420"/>
            <w:jc w:val="both"/>
          </w:pPr>
          <w:r>
            <w:rPr>
              <w:rFonts w:hint="eastAsia"/>
            </w:rPr>
            <w:t>公司电动汽车充电业务依托输配电设备深厚技术积淀与取向硅钢全产业链优势，通过兆瓦级智能变充一体设备及预制舱变电站等原创性技术创新，在重卡超充细分赛道确立差异化竞争优势，成为行业领先的兆瓦级超充基础设施整体解决方案提供商。</w:t>
          </w:r>
        </w:p>
        <w:p w14:paraId="3EE717F9" w14:textId="77777777" w:rsidR="00577D08" w:rsidRDefault="00330FC0">
          <w:pPr>
            <w:spacing w:line="360" w:lineRule="exact"/>
            <w:ind w:firstLine="540"/>
            <w:jc w:val="both"/>
          </w:pPr>
          <w:r>
            <w:rPr>
              <w:rFonts w:ascii="宋体" w:hAnsi="宋体" w:hint="eastAsia"/>
            </w:rPr>
            <w:t>公司加入华为牵头打造的超充联盟</w:t>
          </w:r>
          <w:r>
            <w:t>2.0</w:t>
          </w:r>
          <w:r>
            <w:rPr>
              <w:rFonts w:ascii="宋体" w:hAnsi="宋体" w:hint="eastAsia"/>
            </w:rPr>
            <w:t>，通过整合产业链资源，构建</w:t>
          </w:r>
          <w:r>
            <w:t>“</w:t>
          </w:r>
          <w:r>
            <w:rPr>
              <w:rFonts w:ascii="宋体" w:hAnsi="宋体" w:hint="eastAsia"/>
            </w:rPr>
            <w:t>技术</w:t>
          </w:r>
          <w:r>
            <w:t>-</w:t>
          </w:r>
          <w:r>
            <w:rPr>
              <w:rFonts w:ascii="宋体" w:hAnsi="宋体" w:hint="eastAsia"/>
            </w:rPr>
            <w:t>产品</w:t>
          </w:r>
          <w:r>
            <w:t>-</w:t>
          </w:r>
          <w:r>
            <w:rPr>
              <w:rFonts w:ascii="宋体" w:hAnsi="宋体" w:hint="eastAsia"/>
            </w:rPr>
            <w:t>网络</w:t>
          </w:r>
          <w:r>
            <w:t>”</w:t>
          </w:r>
          <w:r>
            <w:rPr>
              <w:rFonts w:ascii="宋体" w:hAnsi="宋体" w:hint="eastAsia"/>
            </w:rPr>
            <w:t>协同生态，推动兆瓦超充从技术方案走向规模化应用</w:t>
          </w:r>
          <w:r>
            <w:rPr>
              <w:rFonts w:ascii="宋体" w:hAnsi="宋体"/>
            </w:rPr>
            <w:t>。</w:t>
          </w:r>
        </w:p>
        <w:p w14:paraId="428F8572" w14:textId="77777777" w:rsidR="00577D08" w:rsidRDefault="00330FC0">
          <w:pPr>
            <w:spacing w:line="360" w:lineRule="exact"/>
            <w:ind w:firstLineChars="200" w:firstLine="420"/>
            <w:jc w:val="both"/>
          </w:pPr>
          <w:r>
            <w:rPr>
              <w:rFonts w:ascii="宋体" w:hAnsi="宋体" w:hint="eastAsia"/>
            </w:rPr>
            <w:t>目前，超充联盟</w:t>
          </w:r>
          <w:r>
            <w:t>2.0</w:t>
          </w:r>
          <w:r>
            <w:rPr>
              <w:rFonts w:ascii="宋体" w:hAnsi="宋体" w:hint="eastAsia"/>
            </w:rPr>
            <w:t>已形成强大的产业聚合效应。联盟成员涵盖北奔重汽、东风商用车、徐工汽车等超</w:t>
          </w:r>
          <w:r>
            <w:t>10</w:t>
          </w:r>
          <w:r>
            <w:rPr>
              <w:rFonts w:ascii="宋体" w:hAnsi="宋体" w:hint="eastAsia"/>
            </w:rPr>
            <w:t>家主流重卡车企，计划年底前推出</w:t>
          </w:r>
          <w:r>
            <w:t>59</w:t>
          </w:r>
          <w:r>
            <w:rPr>
              <w:rFonts w:ascii="宋体" w:hAnsi="宋体" w:hint="eastAsia"/>
            </w:rPr>
            <w:t>款兆瓦超充重卡，其中</w:t>
          </w:r>
          <w:r>
            <w:t>22</w:t>
          </w:r>
          <w:r>
            <w:rPr>
              <w:rFonts w:ascii="宋体" w:hAnsi="宋体" w:hint="eastAsia"/>
            </w:rPr>
            <w:t>款已实现交付，覆盖港口集疏运、矿山运输、干线物流等高频作业场</w:t>
          </w:r>
          <w:r>
            <w:rPr>
              <w:rFonts w:ascii="宋体" w:hAnsi="宋体"/>
            </w:rPr>
            <w:t>景</w:t>
          </w:r>
          <w:r>
            <w:rPr>
              <w:rFonts w:ascii="宋体" w:hAnsi="宋体" w:hint="eastAsia"/>
            </w:rPr>
            <w:t>。</w:t>
          </w:r>
        </w:p>
        <w:p w14:paraId="16FF4607" w14:textId="77777777" w:rsidR="00577D08" w:rsidRDefault="00330FC0" w:rsidP="0023742B">
          <w:pPr>
            <w:spacing w:line="360" w:lineRule="exact"/>
            <w:ind w:firstLineChars="200" w:firstLine="422"/>
            <w:jc w:val="both"/>
            <w:outlineLvl w:val="4"/>
            <w:rPr>
              <w:b/>
            </w:rPr>
          </w:pPr>
          <w:r>
            <w:rPr>
              <w:rFonts w:hint="eastAsia"/>
              <w:b/>
            </w:rPr>
            <w:t>（</w:t>
          </w:r>
          <w:r>
            <w:rPr>
              <w:rFonts w:hint="eastAsia"/>
              <w:b/>
            </w:rPr>
            <w:t>1</w:t>
          </w:r>
          <w:r>
            <w:rPr>
              <w:rFonts w:hint="eastAsia"/>
              <w:b/>
            </w:rPr>
            <w:t>）技术创新引领，变充一体，破解建站难题</w:t>
          </w:r>
        </w:p>
        <w:p w14:paraId="5A2E2553" w14:textId="77777777" w:rsidR="00577D08" w:rsidRDefault="00330FC0">
          <w:pPr>
            <w:spacing w:line="360" w:lineRule="exact"/>
            <w:ind w:firstLineChars="200" w:firstLine="420"/>
            <w:jc w:val="both"/>
          </w:pPr>
          <w:r>
            <w:rPr>
              <w:rFonts w:hint="eastAsia"/>
            </w:rPr>
            <w:t>公司自主研发的兆瓦级智能变充一体机，实现“变电站</w:t>
          </w:r>
          <w:r>
            <w:rPr>
              <w:rFonts w:hint="eastAsia"/>
            </w:rPr>
            <w:t>+</w:t>
          </w:r>
          <w:r>
            <w:rPr>
              <w:rFonts w:hint="eastAsia"/>
            </w:rPr>
            <w:t>充电堆”深度融合与预制化集成，让建站“不再难”。产品预制化交付较传统建站模式缩短工期</w:t>
          </w:r>
          <w:r>
            <w:rPr>
              <w:rFonts w:hint="eastAsia"/>
            </w:rPr>
            <w:t>80%</w:t>
          </w:r>
          <w:r>
            <w:rPr>
              <w:rFonts w:hint="eastAsia"/>
            </w:rPr>
            <w:t>以上；低成本部署，综合投资成本降低</w:t>
          </w:r>
          <w:r>
            <w:rPr>
              <w:rFonts w:hint="eastAsia"/>
            </w:rPr>
            <w:t>15%</w:t>
          </w:r>
          <w:r>
            <w:rPr>
              <w:rFonts w:hint="eastAsia"/>
            </w:rPr>
            <w:t>—</w:t>
          </w:r>
          <w:r>
            <w:rPr>
              <w:rFonts w:hint="eastAsia"/>
            </w:rPr>
            <w:t>20%</w:t>
          </w:r>
          <w:r>
            <w:rPr>
              <w:rFonts w:hint="eastAsia"/>
            </w:rPr>
            <w:t>；整机集成设计支持灵活迁移，可根据运力需求快速调整站点布局，适配重卡运输线路动态变化。</w:t>
          </w:r>
        </w:p>
        <w:p w14:paraId="375AD67E" w14:textId="77777777" w:rsidR="00577D08" w:rsidRDefault="00330FC0">
          <w:pPr>
            <w:spacing w:line="360" w:lineRule="exact"/>
            <w:ind w:firstLineChars="200" w:firstLine="420"/>
            <w:jc w:val="both"/>
          </w:pPr>
          <w:r>
            <w:rPr>
              <w:rFonts w:hint="eastAsia"/>
            </w:rPr>
            <w:t>技术参数领先：兆瓦级功率，适配未来需求</w:t>
          </w:r>
        </w:p>
        <w:p w14:paraId="32E3647C" w14:textId="77777777" w:rsidR="00577D08" w:rsidRDefault="00330FC0">
          <w:pPr>
            <w:spacing w:line="360" w:lineRule="exact"/>
            <w:ind w:firstLineChars="200" w:firstLine="420"/>
            <w:jc w:val="both"/>
          </w:pPr>
          <w:r>
            <w:rPr>
              <w:rFonts w:hint="eastAsia"/>
            </w:rPr>
            <w:t>产品直接接入</w:t>
          </w:r>
          <w:r>
            <w:rPr>
              <w:rFonts w:hint="eastAsia"/>
            </w:rPr>
            <w:t>10kV</w:t>
          </w:r>
          <w:r>
            <w:rPr>
              <w:rFonts w:hint="eastAsia"/>
            </w:rPr>
            <w:t>配电网，支持</w:t>
          </w:r>
          <w:r>
            <w:rPr>
              <w:rFonts w:hint="eastAsia"/>
            </w:rPr>
            <w:t>200</w:t>
          </w:r>
          <w:r>
            <w:rPr>
              <w:rFonts w:hint="eastAsia"/>
            </w:rPr>
            <w:t>–</w:t>
          </w:r>
          <w:r>
            <w:rPr>
              <w:rFonts w:hint="eastAsia"/>
            </w:rPr>
            <w:t>1000V</w:t>
          </w:r>
          <w:r>
            <w:rPr>
              <w:rFonts w:hint="eastAsia"/>
            </w:rPr>
            <w:t>宽电压输出，全面适配当前及未来“千伏”平台超充需求。</w:t>
          </w:r>
        </w:p>
        <w:p w14:paraId="5892B22D" w14:textId="77777777" w:rsidR="00577D08" w:rsidRDefault="00330FC0">
          <w:pPr>
            <w:spacing w:line="360" w:lineRule="exact"/>
            <w:ind w:firstLineChars="200" w:firstLine="422"/>
            <w:jc w:val="both"/>
            <w:outlineLvl w:val="4"/>
            <w:rPr>
              <w:b/>
            </w:rPr>
          </w:pPr>
          <w:r>
            <w:rPr>
              <w:rFonts w:hint="eastAsia"/>
              <w:b/>
            </w:rPr>
            <w:t>（</w:t>
          </w:r>
          <w:r>
            <w:rPr>
              <w:rFonts w:hint="eastAsia"/>
              <w:b/>
            </w:rPr>
            <w:t>2</w:t>
          </w:r>
          <w:r>
            <w:rPr>
              <w:rFonts w:hint="eastAsia"/>
              <w:b/>
            </w:rPr>
            <w:t>）变充团队联袂研发，一体化产品“遥遥领先”</w:t>
          </w:r>
        </w:p>
        <w:p w14:paraId="0ECA4CFB" w14:textId="77777777" w:rsidR="00577D08" w:rsidRDefault="00330FC0">
          <w:pPr>
            <w:spacing w:line="360" w:lineRule="exact"/>
            <w:ind w:firstLineChars="200" w:firstLine="420"/>
            <w:jc w:val="both"/>
          </w:pPr>
          <w:r>
            <w:rPr>
              <w:rFonts w:hint="eastAsia"/>
            </w:rPr>
            <w:t>依托公司深耕输配电领域数十年的技术积淀，“变”</w:t>
          </w:r>
          <w:r>
            <w:rPr>
              <w:rFonts w:hint="eastAsia"/>
            </w:rPr>
            <w:t>+</w:t>
          </w:r>
          <w:r>
            <w:rPr>
              <w:rFonts w:hint="eastAsia"/>
            </w:rPr>
            <w:t>“充”团队联袂研发，实现从取向硅钢、变压器到充电设备的全产业链自主研发与生产。自产高效节能变压器与充电堆技术的深度融合，不仅保障核心部件品质与匹配度，更通过材料端成本优势，构建竞争对手难以复制的技术壁垒。一体化产品在功率密度、电能转换效率、建站周期等关键指标上，全方位“遥遥领先”行业同类产品。</w:t>
          </w:r>
        </w:p>
        <w:p w14:paraId="01F7EA7E" w14:textId="77777777" w:rsidR="00577D08" w:rsidRDefault="00330FC0">
          <w:pPr>
            <w:spacing w:line="360" w:lineRule="exact"/>
            <w:ind w:firstLineChars="200" w:firstLine="422"/>
            <w:jc w:val="both"/>
            <w:outlineLvl w:val="4"/>
            <w:rPr>
              <w:b/>
            </w:rPr>
          </w:pPr>
          <w:r>
            <w:rPr>
              <w:rFonts w:hint="eastAsia"/>
              <w:b/>
            </w:rPr>
            <w:t>（</w:t>
          </w:r>
          <w:r>
            <w:rPr>
              <w:rFonts w:hint="eastAsia"/>
              <w:b/>
            </w:rPr>
            <w:t>3</w:t>
          </w:r>
          <w:r>
            <w:rPr>
              <w:rFonts w:hint="eastAsia"/>
              <w:b/>
            </w:rPr>
            <w:t>）战略布局与生态合作</w:t>
          </w:r>
        </w:p>
        <w:p w14:paraId="1EEB84D2" w14:textId="77777777" w:rsidR="00577D08" w:rsidRDefault="00330FC0">
          <w:pPr>
            <w:spacing w:line="360" w:lineRule="exact"/>
            <w:ind w:firstLineChars="200" w:firstLine="420"/>
            <w:jc w:val="both"/>
          </w:pPr>
          <w:r>
            <w:rPr>
              <w:rFonts w:hint="eastAsia"/>
            </w:rPr>
            <w:t>公司精准锚定电动重卡超充细分市场，计划总投资不超过</w:t>
          </w:r>
          <w:r>
            <w:rPr>
              <w:rFonts w:hint="eastAsia"/>
            </w:rPr>
            <w:t>5.415</w:t>
          </w:r>
          <w:r>
            <w:rPr>
              <w:rFonts w:hint="eastAsia"/>
            </w:rPr>
            <w:t>亿元建设兆瓦级智能超充网络，在云南、重庆等地布局近</w:t>
          </w:r>
          <w:r>
            <w:rPr>
              <w:rFonts w:hint="eastAsia"/>
            </w:rPr>
            <w:t>100</w:t>
          </w:r>
          <w:r>
            <w:rPr>
              <w:rFonts w:hint="eastAsia"/>
            </w:rPr>
            <w:t>座电动重卡超充站，重点覆盖物流枢纽、港口、矿区、钢厂等高频使用场景。报告期内，公司与重卡超充产业链合作伙伴达成多项战略合作，实现“车—桩—运—场景”一体化超充重卡新生态的商业闭环。</w:t>
          </w:r>
        </w:p>
        <w:p w14:paraId="4C5323BD" w14:textId="77777777" w:rsidR="00577D08" w:rsidRDefault="00330FC0">
          <w:pPr>
            <w:spacing w:line="360" w:lineRule="exact"/>
            <w:ind w:firstLineChars="200" w:firstLine="422"/>
            <w:jc w:val="both"/>
            <w:outlineLvl w:val="4"/>
            <w:rPr>
              <w:b/>
            </w:rPr>
          </w:pPr>
          <w:r>
            <w:rPr>
              <w:rFonts w:hint="eastAsia"/>
              <w:b/>
            </w:rPr>
            <w:t>（</w:t>
          </w:r>
          <w:r>
            <w:rPr>
              <w:rFonts w:hint="eastAsia"/>
              <w:b/>
            </w:rPr>
            <w:t>4</w:t>
          </w:r>
          <w:r>
            <w:rPr>
              <w:rFonts w:hint="eastAsia"/>
              <w:b/>
            </w:rPr>
            <w:t>）技术平台支撑</w:t>
          </w:r>
        </w:p>
        <w:p w14:paraId="2C8EE406" w14:textId="77777777" w:rsidR="00577D08" w:rsidRDefault="00330FC0">
          <w:pPr>
            <w:spacing w:line="360" w:lineRule="exact"/>
            <w:ind w:firstLineChars="200" w:firstLine="420"/>
            <w:jc w:val="both"/>
          </w:pPr>
          <w:r>
            <w:rPr>
              <w:rFonts w:hint="eastAsia"/>
            </w:rPr>
            <w:t>公司获批国家级企业技术中心，汇聚以中国科学院汪卫华院士为首的研发团队，在电工材料、新能源装备、智能电网等领域具备深厚技术积累，为充电业务持续创新提供了坚实保障。</w:t>
          </w:r>
        </w:p>
        <w:p w14:paraId="00CE9645" w14:textId="77777777" w:rsidR="00577D08" w:rsidRDefault="00330FC0">
          <w:pPr>
            <w:spacing w:line="360" w:lineRule="exact"/>
            <w:ind w:firstLineChars="200" w:firstLine="420"/>
            <w:jc w:val="both"/>
          </w:pPr>
          <w:r>
            <w:rPr>
              <w:rFonts w:hint="eastAsia"/>
            </w:rPr>
            <w:t>公司电动汽车充电业务作为战略性新兴板块，依托输配电设备领域深厚技术积淀，实现从设备制造商向新能源基础设施运营商的战略延伸，在重卡超充细分赛道快速确立先发优势。</w:t>
          </w:r>
        </w:p>
      </w:sdtContent>
    </w:sdt>
    <w:p w14:paraId="1067919D" w14:textId="77777777" w:rsidR="00577D08" w:rsidRDefault="00330FC0">
      <w:pPr>
        <w:pStyle w:val="2"/>
        <w:numPr>
          <w:ilvl w:val="0"/>
          <w:numId w:val="7"/>
        </w:numPr>
        <w:ind w:left="369" w:hangingChars="175" w:hanging="369"/>
      </w:pPr>
      <w:bookmarkStart w:id="60" w:name="OLE_LINK51"/>
      <w:r>
        <w:rPr>
          <w:rFonts w:hint="eastAsia"/>
        </w:rPr>
        <w:lastRenderedPageBreak/>
        <w:t>经营情况</w:t>
      </w:r>
      <w:r>
        <w:t>讨论与分析</w:t>
      </w:r>
    </w:p>
    <w:bookmarkStart w:id="61" w:name="OLE_LINK110" w:displacedByCustomXml="next"/>
    <w:bookmarkEnd w:id="61" w:displacedByCustomXml="next"/>
    <w:bookmarkStart w:id="62" w:name="OLE_LINK109" w:displacedByCustomXml="next"/>
    <w:bookmarkEnd w:id="62" w:displacedByCustomXml="next"/>
    <w:bookmarkStart w:id="63" w:name="OLE_LINK24" w:displacedByCustomXml="next"/>
    <w:bookmarkStart w:id="64" w:name="OLE_LINK22" w:displacedByCustomXml="next"/>
    <w:bookmarkStart w:id="65" w:name="OLE_LINK100" w:displacedByCustomXml="next"/>
    <w:bookmarkStart w:id="66" w:name="OLE_LINK101" w:displacedByCustomXml="next"/>
    <w:sdt>
      <w:sdtPr>
        <w:rPr>
          <w:rFonts w:asciiTheme="minorEastAsia" w:eastAsiaTheme="minorEastAsia" w:hAnsiTheme="minorEastAsia" w:hint="eastAsia"/>
        </w:rPr>
        <w:alias w:val="管理层讨论与分析"/>
        <w:tag w:val="_GBC_75862f3cb18e486fb20eb44dbcc462a9"/>
        <w:id w:val="953370499"/>
        <w:placeholder>
          <w:docPart w:val="GBC22222222222222222222222222222"/>
        </w:placeholder>
      </w:sdtPr>
      <w:sdtContent>
        <w:p w14:paraId="7049DE85" w14:textId="77777777" w:rsidR="00577D08" w:rsidRDefault="00330FC0">
          <w:pPr>
            <w:spacing w:line="360" w:lineRule="exact"/>
            <w:ind w:firstLineChars="200" w:firstLine="420"/>
            <w:rPr>
              <w:rFonts w:ascii="宋体" w:hAnsi="宋体" w:hint="eastAsia"/>
            </w:rPr>
          </w:pPr>
          <w:r>
            <w:rPr>
              <w:rFonts w:ascii="宋体" w:hAnsi="宋体" w:hint="eastAsia"/>
            </w:rPr>
            <w:t>2025年，是公司三十而立的启航之年。面对复杂多变的市场环境与行业深度调整，公司全体员工凝心聚力、攻坚克难，始终保持战略定力，精准把握新型电力系统建设带来的历史性机遇；公司紧紧围绕“新质生产力培育”与“全球价值链跃升”两大战略主线，系统谋划、精准发力，全面构建高质量发展新格局。巩固变压器和硅钢主业的同时，积极进取，拥抱新能源和新科技，成功携手华为，成为华为重卡兆瓦超充生态核心伙伴，立志推动让望变成为中国新能源物流的基石。</w:t>
          </w:r>
        </w:p>
        <w:p w14:paraId="5CEA7948" w14:textId="77777777" w:rsidR="00577D08" w:rsidRDefault="00330FC0">
          <w:pPr>
            <w:spacing w:line="360" w:lineRule="exact"/>
            <w:ind w:firstLineChars="200" w:firstLine="420"/>
            <w:jc w:val="both"/>
          </w:pPr>
          <w:r>
            <w:rPr>
              <w:rFonts w:hint="eastAsia"/>
            </w:rPr>
            <w:t>报告期内，公司以新获批的“国家企业技术中心”为创新引擎，加速核心技术攻关与成果转化，推动全产业链协同优势持续巩固，核心竞争力显著增强。全年经营稳中有进，核心盈利质量明显提升，高端化转型与全球化布局取得实质性突破，为迈向“能源电力全产业链综合服务商”的战略目标奠定了坚实基础。</w:t>
          </w:r>
        </w:p>
        <w:p w14:paraId="2A3BA30A"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（一）经营业绩稳健增长，核心盈利质量显著提升</w:t>
          </w:r>
        </w:p>
        <w:p w14:paraId="4CEA6EFA"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报告期内，公司核心财务指标持续优化，高质量发展基础进一步夯实。全年实现营业收入</w:t>
          </w:r>
          <w:r>
            <w:rPr>
              <w:rFonts w:ascii="宋体" w:hAnsi="宋体"/>
              <w:bCs/>
              <w:kern w:val="2"/>
              <w:szCs w:val="22"/>
            </w:rPr>
            <w:t>391,70</w:t>
          </w:r>
          <w:r>
            <w:rPr>
              <w:rFonts w:ascii="宋体" w:hAnsi="宋体" w:hint="eastAsia"/>
              <w:bCs/>
              <w:kern w:val="2"/>
              <w:szCs w:val="22"/>
            </w:rPr>
            <w:t>1万元，同比增长16.87%；归属于上市公司股东的净利润</w:t>
          </w:r>
          <w:r>
            <w:rPr>
              <w:rFonts w:ascii="宋体" w:hAnsi="宋体"/>
              <w:bCs/>
              <w:kern w:val="2"/>
              <w:szCs w:val="22"/>
            </w:rPr>
            <w:t>6,924</w:t>
          </w:r>
          <w:r>
            <w:rPr>
              <w:rFonts w:ascii="宋体" w:hAnsi="宋体" w:hint="eastAsia"/>
              <w:bCs/>
              <w:kern w:val="2"/>
              <w:szCs w:val="22"/>
            </w:rPr>
            <w:t>万元，同比增长</w:t>
          </w:r>
          <w:r>
            <w:rPr>
              <w:rFonts w:ascii="宋体" w:hAnsi="宋体"/>
              <w:bCs/>
              <w:kern w:val="2"/>
              <w:szCs w:val="22"/>
            </w:rPr>
            <w:t>6.26</w:t>
          </w:r>
          <w:r>
            <w:rPr>
              <w:rFonts w:ascii="宋体" w:hAnsi="宋体" w:hint="eastAsia"/>
              <w:bCs/>
              <w:kern w:val="2"/>
              <w:szCs w:val="22"/>
            </w:rPr>
            <w:t>%；</w:t>
          </w:r>
          <w:bookmarkStart w:id="67" w:name="OLE_LINK32"/>
          <w:r>
            <w:rPr>
              <w:rFonts w:ascii="宋体" w:hAnsi="宋体" w:hint="eastAsia"/>
              <w:bCs/>
              <w:kern w:val="2"/>
              <w:szCs w:val="22"/>
            </w:rPr>
            <w:t>归属于上市公司股东的扣除非经常性损益的净利润</w:t>
          </w:r>
          <w:bookmarkEnd w:id="67"/>
          <w:r>
            <w:rPr>
              <w:rFonts w:ascii="宋体" w:hAnsi="宋体"/>
              <w:bCs/>
              <w:kern w:val="2"/>
              <w:szCs w:val="22"/>
            </w:rPr>
            <w:t>6,479</w:t>
          </w:r>
          <w:r>
            <w:rPr>
              <w:rFonts w:ascii="宋体" w:hAnsi="宋体" w:hint="eastAsia"/>
              <w:bCs/>
              <w:kern w:val="2"/>
              <w:szCs w:val="22"/>
            </w:rPr>
            <w:t>万元，同比增长</w:t>
          </w:r>
          <w:r>
            <w:rPr>
              <w:rFonts w:ascii="宋体" w:hAnsi="宋体"/>
              <w:bCs/>
              <w:kern w:val="2"/>
              <w:szCs w:val="22"/>
            </w:rPr>
            <w:t>79.38</w:t>
          </w:r>
          <w:r>
            <w:rPr>
              <w:rFonts w:ascii="宋体" w:hAnsi="宋体" w:hint="eastAsia"/>
              <w:bCs/>
              <w:kern w:val="2"/>
              <w:szCs w:val="22"/>
            </w:rPr>
            <w:t>%，核心业务盈利能力显著增强。</w:t>
          </w:r>
        </w:p>
        <w:p w14:paraId="58B05D70" w14:textId="77777777" w:rsidR="00577D08" w:rsidRDefault="00330FC0">
          <w:pPr>
            <w:jc w:val="right"/>
          </w:pPr>
          <w:bookmarkStart w:id="68" w:name="OLE_LINK26"/>
          <w:r>
            <w:rPr>
              <w:rFonts w:hint="eastAsia"/>
            </w:rPr>
            <w:t>单位：万元</w:t>
          </w:r>
          <w:r>
            <w:rPr>
              <w:rFonts w:hint="eastAsia"/>
            </w:rPr>
            <w:t xml:space="preserve"> </w:t>
          </w:r>
          <w:r>
            <w:rPr>
              <w:rFonts w:hint="eastAsia"/>
            </w:rPr>
            <w:t>币种：人民币</w:t>
          </w:r>
        </w:p>
        <w:tbl>
          <w:tblPr>
            <w:tblStyle w:val="23"/>
            <w:tblW w:w="5000" w:type="pct"/>
            <w:jc w:val="center"/>
            <w:tblLook w:val="04A0" w:firstRow="1" w:lastRow="0" w:firstColumn="1" w:lastColumn="0" w:noHBand="0" w:noVBand="1"/>
          </w:tblPr>
          <w:tblGrid>
            <w:gridCol w:w="2946"/>
            <w:gridCol w:w="1955"/>
            <w:gridCol w:w="1957"/>
            <w:gridCol w:w="1965"/>
          </w:tblGrid>
          <w:tr w:rsidR="00577D08" w14:paraId="57782B34" w14:textId="77777777">
            <w:trPr>
              <w:trHeight w:val="397"/>
              <w:jc w:val="center"/>
            </w:trPr>
            <w:tc>
              <w:tcPr>
                <w:tcW w:w="1412" w:type="pct"/>
                <w:tcBorders>
                  <w:top w:val="single" w:sz="4" w:space="0" w:color="auto"/>
                  <w:left w:val="single" w:sz="4" w:space="0" w:color="auto"/>
                  <w:bottom w:val="single" w:sz="4" w:space="0" w:color="auto"/>
                  <w:right w:val="single" w:sz="4" w:space="0" w:color="auto"/>
                </w:tcBorders>
                <w:vAlign w:val="center"/>
              </w:tcPr>
              <w:bookmarkEnd w:id="68"/>
              <w:p w14:paraId="00FD6BC1" w14:textId="77777777" w:rsidR="00577D08" w:rsidRDefault="00330FC0">
                <w:pPr>
                  <w:jc w:val="center"/>
                </w:pPr>
                <w:r>
                  <w:rPr>
                    <w:rFonts w:ascii="宋体" w:hAnsi="宋体" w:hint="eastAsia"/>
                  </w:rPr>
                  <w:t>项目</w:t>
                </w:r>
              </w:p>
            </w:tc>
            <w:tc>
              <w:tcPr>
                <w:tcW w:w="1194" w:type="pct"/>
                <w:tcBorders>
                  <w:top w:val="single" w:sz="4" w:space="0" w:color="auto"/>
                  <w:left w:val="single" w:sz="4" w:space="0" w:color="auto"/>
                  <w:bottom w:val="single" w:sz="4" w:space="0" w:color="auto"/>
                  <w:right w:val="single" w:sz="4" w:space="0" w:color="auto"/>
                </w:tcBorders>
                <w:vAlign w:val="center"/>
              </w:tcPr>
              <w:p w14:paraId="151B8B54" w14:textId="77777777" w:rsidR="00577D08" w:rsidRDefault="00330FC0">
                <w:pPr>
                  <w:jc w:val="center"/>
                </w:pPr>
                <w:r>
                  <w:rPr>
                    <w:rFonts w:hint="eastAsia"/>
                  </w:rPr>
                  <w:t>2025</w:t>
                </w:r>
                <w:r>
                  <w:rPr>
                    <w:rFonts w:ascii="宋体" w:hAnsi="宋体" w:hint="eastAsia"/>
                  </w:rPr>
                  <w:t>年</w:t>
                </w:r>
              </w:p>
            </w:tc>
            <w:tc>
              <w:tcPr>
                <w:tcW w:w="1195" w:type="pct"/>
                <w:tcBorders>
                  <w:top w:val="single" w:sz="4" w:space="0" w:color="auto"/>
                  <w:left w:val="single" w:sz="4" w:space="0" w:color="auto"/>
                  <w:bottom w:val="single" w:sz="4" w:space="0" w:color="auto"/>
                  <w:right w:val="single" w:sz="4" w:space="0" w:color="auto"/>
                </w:tcBorders>
                <w:vAlign w:val="center"/>
              </w:tcPr>
              <w:p w14:paraId="5CBCE28B" w14:textId="77777777" w:rsidR="00577D08" w:rsidRDefault="00330FC0">
                <w:pPr>
                  <w:jc w:val="center"/>
                </w:pPr>
                <w:r>
                  <w:rPr>
                    <w:rFonts w:hint="eastAsia"/>
                  </w:rPr>
                  <w:t>2024</w:t>
                </w:r>
                <w:r>
                  <w:rPr>
                    <w:rFonts w:ascii="宋体" w:hAnsi="宋体" w:hint="eastAsia"/>
                  </w:rPr>
                  <w:t>年</w:t>
                </w:r>
              </w:p>
            </w:tc>
            <w:tc>
              <w:tcPr>
                <w:tcW w:w="1199" w:type="pct"/>
                <w:tcBorders>
                  <w:top w:val="single" w:sz="4" w:space="0" w:color="auto"/>
                  <w:left w:val="single" w:sz="4" w:space="0" w:color="auto"/>
                  <w:bottom w:val="single" w:sz="4" w:space="0" w:color="auto"/>
                  <w:right w:val="single" w:sz="4" w:space="0" w:color="auto"/>
                </w:tcBorders>
                <w:vAlign w:val="center"/>
              </w:tcPr>
              <w:p w14:paraId="554BC958" w14:textId="77777777" w:rsidR="00577D08" w:rsidRDefault="00330FC0">
                <w:pPr>
                  <w:jc w:val="center"/>
                </w:pPr>
                <w:r>
                  <w:rPr>
                    <w:rFonts w:ascii="宋体" w:hAnsi="宋体" w:hint="eastAsia"/>
                  </w:rPr>
                  <w:t>同比增减</w:t>
                </w:r>
                <w:r>
                  <w:rPr>
                    <w:rFonts w:ascii="宋体" w:hAnsi="宋体" w:cs="宋体" w:hint="eastAsia"/>
                  </w:rPr>
                  <w:t>（%）</w:t>
                </w:r>
              </w:p>
            </w:tc>
          </w:tr>
          <w:tr w:rsidR="00577D08" w14:paraId="517B9C0D" w14:textId="77777777">
            <w:trPr>
              <w:trHeight w:val="397"/>
              <w:jc w:val="center"/>
            </w:trPr>
            <w:tc>
              <w:tcPr>
                <w:tcW w:w="1412" w:type="pct"/>
                <w:tcBorders>
                  <w:top w:val="single" w:sz="4" w:space="0" w:color="auto"/>
                  <w:left w:val="single" w:sz="4" w:space="0" w:color="auto"/>
                  <w:bottom w:val="single" w:sz="4" w:space="0" w:color="auto"/>
                  <w:right w:val="single" w:sz="4" w:space="0" w:color="auto"/>
                </w:tcBorders>
                <w:vAlign w:val="center"/>
              </w:tcPr>
              <w:p w14:paraId="381E5BDB" w14:textId="77777777" w:rsidR="00577D08" w:rsidRDefault="00330FC0">
                <w:r>
                  <w:rPr>
                    <w:rFonts w:ascii="宋体" w:hAnsi="宋体" w:hint="eastAsia"/>
                  </w:rPr>
                  <w:t>营业收入</w:t>
                </w:r>
              </w:p>
            </w:tc>
            <w:tc>
              <w:tcPr>
                <w:tcW w:w="1194" w:type="pct"/>
                <w:tcBorders>
                  <w:top w:val="single" w:sz="4" w:space="0" w:color="auto"/>
                  <w:left w:val="single" w:sz="4" w:space="0" w:color="auto"/>
                  <w:bottom w:val="single" w:sz="4" w:space="0" w:color="auto"/>
                  <w:right w:val="single" w:sz="4" w:space="0" w:color="auto"/>
                </w:tcBorders>
                <w:vAlign w:val="center"/>
              </w:tcPr>
              <w:p w14:paraId="7FB6C4F5" w14:textId="77777777" w:rsidR="00577D08" w:rsidRDefault="00330FC0">
                <w:pPr>
                  <w:jc w:val="right"/>
                  <w:rPr>
                    <w:rFonts w:eastAsiaTheme="minorEastAsia"/>
                  </w:rPr>
                </w:pPr>
                <w:r>
                  <w:t xml:space="preserve"> 391,70</w:t>
                </w:r>
                <w:r>
                  <w:rPr>
                    <w:rFonts w:eastAsiaTheme="minorEastAsia" w:hint="eastAsia"/>
                  </w:rPr>
                  <w:t>1</w:t>
                </w:r>
              </w:p>
            </w:tc>
            <w:tc>
              <w:tcPr>
                <w:tcW w:w="1195" w:type="pct"/>
                <w:tcBorders>
                  <w:top w:val="single" w:sz="4" w:space="0" w:color="auto"/>
                  <w:left w:val="single" w:sz="4" w:space="0" w:color="auto"/>
                  <w:bottom w:val="single" w:sz="4" w:space="0" w:color="auto"/>
                  <w:right w:val="single" w:sz="4" w:space="0" w:color="auto"/>
                </w:tcBorders>
                <w:vAlign w:val="center"/>
              </w:tcPr>
              <w:p w14:paraId="21AEFA7E" w14:textId="77777777" w:rsidR="00577D08" w:rsidRDefault="00330FC0">
                <w:pPr>
                  <w:jc w:val="right"/>
                </w:pPr>
                <w:r>
                  <w:t xml:space="preserve"> 335,157 </w:t>
                </w:r>
              </w:p>
            </w:tc>
            <w:tc>
              <w:tcPr>
                <w:tcW w:w="1199" w:type="pct"/>
                <w:tcBorders>
                  <w:top w:val="single" w:sz="4" w:space="0" w:color="auto"/>
                  <w:left w:val="single" w:sz="4" w:space="0" w:color="auto"/>
                  <w:bottom w:val="single" w:sz="4" w:space="0" w:color="auto"/>
                  <w:right w:val="single" w:sz="4" w:space="0" w:color="auto"/>
                </w:tcBorders>
                <w:vAlign w:val="center"/>
              </w:tcPr>
              <w:p w14:paraId="50CC879E" w14:textId="77777777" w:rsidR="00577D08" w:rsidRDefault="00330FC0">
                <w:pPr>
                  <w:jc w:val="right"/>
                </w:pPr>
                <w:r>
                  <w:t>16.87</w:t>
                </w:r>
              </w:p>
            </w:tc>
          </w:tr>
          <w:tr w:rsidR="00577D08" w14:paraId="7AF16038" w14:textId="77777777">
            <w:trPr>
              <w:trHeight w:val="397"/>
              <w:jc w:val="center"/>
            </w:trPr>
            <w:tc>
              <w:tcPr>
                <w:tcW w:w="1412" w:type="pct"/>
                <w:tcBorders>
                  <w:top w:val="single" w:sz="4" w:space="0" w:color="auto"/>
                  <w:left w:val="single" w:sz="4" w:space="0" w:color="auto"/>
                  <w:bottom w:val="single" w:sz="4" w:space="0" w:color="auto"/>
                  <w:right w:val="single" w:sz="4" w:space="0" w:color="auto"/>
                </w:tcBorders>
                <w:vAlign w:val="center"/>
              </w:tcPr>
              <w:p w14:paraId="0E1E8EE5" w14:textId="77777777" w:rsidR="00577D08" w:rsidRDefault="00330FC0">
                <w:r>
                  <w:rPr>
                    <w:rFonts w:ascii="宋体" w:hAnsi="宋体" w:hint="eastAsia"/>
                  </w:rPr>
                  <w:t>归属于上市公司股东的净利润</w:t>
                </w:r>
              </w:p>
            </w:tc>
            <w:tc>
              <w:tcPr>
                <w:tcW w:w="1194" w:type="pct"/>
                <w:tcBorders>
                  <w:top w:val="single" w:sz="4" w:space="0" w:color="auto"/>
                  <w:left w:val="single" w:sz="4" w:space="0" w:color="auto"/>
                  <w:bottom w:val="single" w:sz="4" w:space="0" w:color="auto"/>
                  <w:right w:val="single" w:sz="4" w:space="0" w:color="auto"/>
                </w:tcBorders>
                <w:vAlign w:val="center"/>
              </w:tcPr>
              <w:p w14:paraId="455C9772" w14:textId="77777777" w:rsidR="00577D08" w:rsidRDefault="00330FC0">
                <w:pPr>
                  <w:jc w:val="right"/>
                </w:pPr>
                <w:r>
                  <w:t xml:space="preserve"> 6,924 </w:t>
                </w:r>
              </w:p>
            </w:tc>
            <w:tc>
              <w:tcPr>
                <w:tcW w:w="1195" w:type="pct"/>
                <w:tcBorders>
                  <w:top w:val="single" w:sz="4" w:space="0" w:color="auto"/>
                  <w:left w:val="single" w:sz="4" w:space="0" w:color="auto"/>
                  <w:bottom w:val="single" w:sz="4" w:space="0" w:color="auto"/>
                  <w:right w:val="single" w:sz="4" w:space="0" w:color="auto"/>
                </w:tcBorders>
                <w:vAlign w:val="center"/>
              </w:tcPr>
              <w:p w14:paraId="0C2AC95C" w14:textId="77777777" w:rsidR="00577D08" w:rsidRDefault="00330FC0">
                <w:pPr>
                  <w:jc w:val="right"/>
                  <w:rPr>
                    <w:rFonts w:eastAsiaTheme="minorEastAsia"/>
                  </w:rPr>
                </w:pPr>
                <w:r>
                  <w:t xml:space="preserve"> 6,51</w:t>
                </w:r>
                <w:r>
                  <w:rPr>
                    <w:rFonts w:eastAsiaTheme="minorEastAsia" w:hint="eastAsia"/>
                  </w:rPr>
                  <w:t>7</w:t>
                </w:r>
              </w:p>
            </w:tc>
            <w:tc>
              <w:tcPr>
                <w:tcW w:w="1199" w:type="pct"/>
                <w:tcBorders>
                  <w:top w:val="single" w:sz="4" w:space="0" w:color="auto"/>
                  <w:left w:val="single" w:sz="4" w:space="0" w:color="auto"/>
                  <w:bottom w:val="single" w:sz="4" w:space="0" w:color="auto"/>
                  <w:right w:val="single" w:sz="4" w:space="0" w:color="auto"/>
                </w:tcBorders>
                <w:vAlign w:val="center"/>
              </w:tcPr>
              <w:p w14:paraId="607B72D6" w14:textId="77777777" w:rsidR="00577D08" w:rsidRDefault="00330FC0">
                <w:pPr>
                  <w:jc w:val="right"/>
                </w:pPr>
                <w:r>
                  <w:rPr>
                    <w:rFonts w:hint="eastAsia"/>
                  </w:rPr>
                  <w:t>6.26</w:t>
                </w:r>
              </w:p>
            </w:tc>
          </w:tr>
          <w:tr w:rsidR="00577D08" w14:paraId="12A67868" w14:textId="77777777">
            <w:trPr>
              <w:trHeight w:val="397"/>
              <w:jc w:val="center"/>
            </w:trPr>
            <w:tc>
              <w:tcPr>
                <w:tcW w:w="1412" w:type="pct"/>
                <w:tcBorders>
                  <w:top w:val="single" w:sz="4" w:space="0" w:color="auto"/>
                  <w:left w:val="single" w:sz="4" w:space="0" w:color="auto"/>
                  <w:bottom w:val="single" w:sz="4" w:space="0" w:color="auto"/>
                  <w:right w:val="single" w:sz="4" w:space="0" w:color="auto"/>
                </w:tcBorders>
                <w:vAlign w:val="center"/>
              </w:tcPr>
              <w:p w14:paraId="19053470" w14:textId="77777777" w:rsidR="00577D08" w:rsidRDefault="00330FC0">
                <w:pPr>
                  <w:rPr>
                    <w:rFonts w:eastAsiaTheme="minorEastAsia"/>
                  </w:rPr>
                </w:pPr>
                <w:r>
                  <w:rPr>
                    <w:rFonts w:eastAsiaTheme="minorEastAsia" w:hint="eastAsia"/>
                  </w:rPr>
                  <w:t>归属于上市公司股东的扣除非经常性损益的净利润</w:t>
                </w:r>
              </w:p>
            </w:tc>
            <w:tc>
              <w:tcPr>
                <w:tcW w:w="1194" w:type="pct"/>
                <w:tcBorders>
                  <w:top w:val="single" w:sz="4" w:space="0" w:color="auto"/>
                  <w:left w:val="single" w:sz="4" w:space="0" w:color="auto"/>
                  <w:bottom w:val="single" w:sz="4" w:space="0" w:color="auto"/>
                  <w:right w:val="single" w:sz="4" w:space="0" w:color="auto"/>
                </w:tcBorders>
                <w:vAlign w:val="center"/>
              </w:tcPr>
              <w:p w14:paraId="77B97C55" w14:textId="77777777" w:rsidR="00577D08" w:rsidRDefault="00330FC0">
                <w:pPr>
                  <w:jc w:val="right"/>
                </w:pPr>
                <w:r>
                  <w:t xml:space="preserve"> 6,479 </w:t>
                </w:r>
              </w:p>
            </w:tc>
            <w:tc>
              <w:tcPr>
                <w:tcW w:w="1195" w:type="pct"/>
                <w:tcBorders>
                  <w:top w:val="single" w:sz="4" w:space="0" w:color="auto"/>
                  <w:left w:val="single" w:sz="4" w:space="0" w:color="auto"/>
                  <w:bottom w:val="single" w:sz="4" w:space="0" w:color="auto"/>
                  <w:right w:val="single" w:sz="4" w:space="0" w:color="auto"/>
                </w:tcBorders>
                <w:vAlign w:val="center"/>
              </w:tcPr>
              <w:p w14:paraId="21E3CC4E" w14:textId="77777777" w:rsidR="00577D08" w:rsidRDefault="00330FC0">
                <w:pPr>
                  <w:jc w:val="right"/>
                </w:pPr>
                <w:r>
                  <w:t xml:space="preserve"> 3,612 </w:t>
                </w:r>
              </w:p>
            </w:tc>
            <w:tc>
              <w:tcPr>
                <w:tcW w:w="1199" w:type="pct"/>
                <w:tcBorders>
                  <w:top w:val="single" w:sz="4" w:space="0" w:color="auto"/>
                  <w:left w:val="single" w:sz="4" w:space="0" w:color="auto"/>
                  <w:bottom w:val="single" w:sz="4" w:space="0" w:color="auto"/>
                  <w:right w:val="single" w:sz="4" w:space="0" w:color="auto"/>
                </w:tcBorders>
                <w:vAlign w:val="center"/>
              </w:tcPr>
              <w:p w14:paraId="3B2196E4" w14:textId="77777777" w:rsidR="00577D08" w:rsidRDefault="00330FC0">
                <w:pPr>
                  <w:jc w:val="right"/>
                </w:pPr>
                <w:r>
                  <w:t xml:space="preserve"> 79.38 </w:t>
                </w:r>
              </w:p>
            </w:tc>
          </w:tr>
        </w:tbl>
        <w:p w14:paraId="1765DD83"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2025年，公司营业收入保持稳健增长，盈利水平较上年同期明显提升，规模效益持续显现。伴随三大业务板块协同发力与产业链优势的深度释放，公司整体盈利能力与抗风险能力同步增强，为后续战略投入与可持续发展提供了坚实的财务保障。</w:t>
          </w:r>
        </w:p>
        <w:p w14:paraId="39EFB91E"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（二）各业务板块经营分析</w:t>
          </w:r>
        </w:p>
        <w:p w14:paraId="3C9D7529" w14:textId="77777777" w:rsidR="00577D08" w:rsidRDefault="00330FC0">
          <w:pPr>
            <w:spacing w:line="360" w:lineRule="exact"/>
            <w:ind w:firstLineChars="200" w:firstLine="422"/>
            <w:jc w:val="both"/>
            <w:outlineLvl w:val="3"/>
            <w:rPr>
              <w:rFonts w:ascii="宋体" w:hAnsi="宋体" w:hint="eastAsia"/>
              <w:b/>
              <w:bCs/>
              <w:kern w:val="2"/>
              <w:szCs w:val="22"/>
            </w:rPr>
          </w:pPr>
          <w:bookmarkStart w:id="69" w:name="OLE_LINK35"/>
          <w:r>
            <w:rPr>
              <w:rFonts w:ascii="宋体" w:hAnsi="宋体" w:hint="eastAsia"/>
              <w:b/>
              <w:bCs/>
              <w:kern w:val="2"/>
              <w:szCs w:val="22"/>
            </w:rPr>
            <w:t xml:space="preserve">1、输配电及控制设备业务 </w:t>
          </w:r>
        </w:p>
        <w:p w14:paraId="7FA487BF" w14:textId="77777777" w:rsidR="00577D08" w:rsidRDefault="00330FC0">
          <w:pPr>
            <w:spacing w:line="360" w:lineRule="exact"/>
            <w:ind w:firstLineChars="200" w:firstLine="422"/>
            <w:jc w:val="both"/>
            <w:rPr>
              <w:rFonts w:ascii="宋体" w:hAnsi="宋体" w:hint="eastAsia"/>
              <w:b/>
              <w:bCs/>
              <w:kern w:val="2"/>
              <w:szCs w:val="22"/>
            </w:rPr>
          </w:pPr>
          <w:bookmarkStart w:id="70" w:name="OLE_LINK34"/>
          <w:r>
            <w:rPr>
              <w:rFonts w:ascii="宋体" w:hAnsi="宋体" w:hint="eastAsia"/>
              <w:b/>
              <w:bCs/>
              <w:kern w:val="2"/>
              <w:szCs w:val="22"/>
            </w:rPr>
            <w:t>（1）行业需求驱动增长</w:t>
          </w:r>
        </w:p>
        <w:p w14:paraId="65F8B321"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2025年，电网投资保持高位运行，特高压工程建设与配电网升级改造同步推进，行业景气度持续提升。公司输配电及控制设备业务紧抓市场机遇，报告期实现营业收入</w:t>
          </w:r>
          <w:r>
            <w:rPr>
              <w:rFonts w:ascii="宋体" w:hAnsi="宋体"/>
              <w:bCs/>
              <w:kern w:val="2"/>
              <w:szCs w:val="22"/>
            </w:rPr>
            <w:t>251,083</w:t>
          </w:r>
          <w:r>
            <w:rPr>
              <w:rFonts w:ascii="宋体" w:hAnsi="宋体" w:hint="eastAsia"/>
              <w:bCs/>
              <w:kern w:val="2"/>
              <w:szCs w:val="22"/>
            </w:rPr>
            <w:t>万元，同比增长29.90%。其中，电力变压器产销量分别同比增长45.08%和35.15%，箱式变电站产销量分别同比增长22.26%和88.60%，充分受益于电网扩容与新能源并网需求；成套电气设备产销量同比有所下降，主要系公司主动优化产品结构、聚焦高端产品所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276"/>
            <w:gridCol w:w="1701"/>
            <w:gridCol w:w="1740"/>
          </w:tblGrid>
          <w:tr w:rsidR="00577D08" w14:paraId="568A862E" w14:textId="77777777">
            <w:trPr>
              <w:trHeight w:val="397"/>
            </w:trPr>
            <w:tc>
              <w:tcPr>
                <w:tcW w:w="1555" w:type="dxa"/>
                <w:tcBorders>
                  <w:top w:val="single" w:sz="4" w:space="0" w:color="auto"/>
                  <w:left w:val="single" w:sz="4" w:space="0" w:color="auto"/>
                  <w:bottom w:val="single" w:sz="4" w:space="0" w:color="auto"/>
                  <w:right w:val="single" w:sz="4" w:space="0" w:color="auto"/>
                </w:tcBorders>
                <w:vAlign w:val="center"/>
              </w:tcPr>
              <w:bookmarkEnd w:id="70"/>
              <w:p w14:paraId="10FCE5DD" w14:textId="77777777" w:rsidR="00577D08" w:rsidRDefault="00330FC0">
                <w:pPr>
                  <w:pStyle w:val="-1"/>
                  <w:jc w:val="center"/>
                </w:pPr>
                <w:r>
                  <w:rPr>
                    <w:rFonts w:ascii="宋体" w:hAnsi="宋体" w:hint="eastAsia"/>
                  </w:rPr>
                  <w:t>主要产品</w:t>
                </w:r>
              </w:p>
            </w:tc>
            <w:tc>
              <w:tcPr>
                <w:tcW w:w="1275" w:type="dxa"/>
                <w:tcBorders>
                  <w:top w:val="single" w:sz="4" w:space="0" w:color="auto"/>
                  <w:left w:val="nil"/>
                  <w:bottom w:val="single" w:sz="4" w:space="0" w:color="auto"/>
                  <w:right w:val="single" w:sz="4" w:space="0" w:color="auto"/>
                </w:tcBorders>
                <w:vAlign w:val="center"/>
              </w:tcPr>
              <w:p w14:paraId="510AFFD7" w14:textId="77777777" w:rsidR="00577D08" w:rsidRDefault="00330FC0">
                <w:pPr>
                  <w:pStyle w:val="-1"/>
                  <w:jc w:val="center"/>
                </w:pPr>
                <w:r>
                  <w:rPr>
                    <w:rFonts w:ascii="宋体" w:hAnsi="宋体" w:hint="eastAsia"/>
                  </w:rPr>
                  <w:t>单位</w:t>
                </w:r>
              </w:p>
            </w:tc>
            <w:tc>
              <w:tcPr>
                <w:tcW w:w="1276" w:type="dxa"/>
                <w:tcBorders>
                  <w:top w:val="single" w:sz="4" w:space="0" w:color="auto"/>
                  <w:left w:val="nil"/>
                  <w:bottom w:val="single" w:sz="4" w:space="0" w:color="auto"/>
                  <w:right w:val="single" w:sz="4" w:space="0" w:color="auto"/>
                </w:tcBorders>
                <w:vAlign w:val="center"/>
              </w:tcPr>
              <w:p w14:paraId="2E05A98F" w14:textId="77777777" w:rsidR="00577D08" w:rsidRDefault="00330FC0">
                <w:pPr>
                  <w:pStyle w:val="-1"/>
                  <w:jc w:val="center"/>
                </w:pPr>
                <w:r>
                  <w:rPr>
                    <w:rFonts w:ascii="宋体" w:hAnsi="宋体" w:hint="eastAsia"/>
                  </w:rPr>
                  <w:t>生产量</w:t>
                </w:r>
              </w:p>
            </w:tc>
            <w:tc>
              <w:tcPr>
                <w:tcW w:w="1276" w:type="dxa"/>
                <w:tcBorders>
                  <w:top w:val="single" w:sz="4" w:space="0" w:color="auto"/>
                  <w:left w:val="nil"/>
                  <w:bottom w:val="single" w:sz="4" w:space="0" w:color="auto"/>
                  <w:right w:val="single" w:sz="4" w:space="0" w:color="auto"/>
                </w:tcBorders>
                <w:vAlign w:val="center"/>
              </w:tcPr>
              <w:p w14:paraId="2A468D3F" w14:textId="77777777" w:rsidR="00577D08" w:rsidRDefault="00330FC0">
                <w:pPr>
                  <w:pStyle w:val="-1"/>
                  <w:jc w:val="center"/>
                </w:pPr>
                <w:r>
                  <w:rPr>
                    <w:rFonts w:ascii="宋体" w:hAnsi="宋体" w:hint="eastAsia"/>
                  </w:rPr>
                  <w:t>销售量</w:t>
                </w:r>
              </w:p>
            </w:tc>
            <w:tc>
              <w:tcPr>
                <w:tcW w:w="1701" w:type="dxa"/>
                <w:tcBorders>
                  <w:top w:val="single" w:sz="4" w:space="0" w:color="auto"/>
                  <w:left w:val="nil"/>
                  <w:bottom w:val="single" w:sz="4" w:space="0" w:color="auto"/>
                  <w:right w:val="single" w:sz="4" w:space="0" w:color="auto"/>
                </w:tcBorders>
                <w:vAlign w:val="center"/>
              </w:tcPr>
              <w:p w14:paraId="6FA56980" w14:textId="77777777" w:rsidR="00577D08" w:rsidRDefault="00330FC0">
                <w:pPr>
                  <w:pStyle w:val="-1"/>
                  <w:jc w:val="center"/>
                </w:pPr>
                <w:r>
                  <w:rPr>
                    <w:rFonts w:ascii="宋体" w:hAnsi="宋体" w:hint="eastAsia"/>
                  </w:rPr>
                  <w:t>生产量比上年增减（</w:t>
                </w:r>
                <w:r>
                  <w:t>%</w:t>
                </w:r>
                <w:r>
                  <w:rPr>
                    <w:rFonts w:ascii="宋体" w:hAnsi="宋体" w:hint="eastAsia"/>
                  </w:rPr>
                  <w:t>）</w:t>
                </w:r>
              </w:p>
            </w:tc>
            <w:tc>
              <w:tcPr>
                <w:tcW w:w="1740" w:type="dxa"/>
                <w:tcBorders>
                  <w:top w:val="single" w:sz="4" w:space="0" w:color="auto"/>
                  <w:left w:val="nil"/>
                  <w:bottom w:val="single" w:sz="4" w:space="0" w:color="auto"/>
                  <w:right w:val="single" w:sz="4" w:space="0" w:color="auto"/>
                </w:tcBorders>
                <w:vAlign w:val="center"/>
              </w:tcPr>
              <w:p w14:paraId="37CD3582" w14:textId="77777777" w:rsidR="00577D08" w:rsidRDefault="00330FC0">
                <w:pPr>
                  <w:pStyle w:val="-1"/>
                  <w:jc w:val="center"/>
                </w:pPr>
                <w:r>
                  <w:rPr>
                    <w:rFonts w:ascii="宋体" w:hAnsi="宋体" w:hint="eastAsia"/>
                  </w:rPr>
                  <w:t>销售量比上年增减（</w:t>
                </w:r>
                <w:r>
                  <w:t>%</w:t>
                </w:r>
                <w:r>
                  <w:rPr>
                    <w:rFonts w:ascii="宋体" w:hAnsi="宋体" w:hint="eastAsia"/>
                  </w:rPr>
                  <w:t>）</w:t>
                </w:r>
              </w:p>
            </w:tc>
          </w:tr>
          <w:tr w:rsidR="00577D08" w14:paraId="502847D8" w14:textId="77777777">
            <w:trPr>
              <w:trHeight w:val="397"/>
            </w:trPr>
            <w:tc>
              <w:tcPr>
                <w:tcW w:w="1555" w:type="dxa"/>
                <w:tcBorders>
                  <w:top w:val="single" w:sz="4" w:space="0" w:color="auto"/>
                  <w:left w:val="single" w:sz="4" w:space="0" w:color="auto"/>
                  <w:bottom w:val="single" w:sz="4" w:space="0" w:color="auto"/>
                  <w:right w:val="single" w:sz="4" w:space="0" w:color="auto"/>
                </w:tcBorders>
                <w:vAlign w:val="center"/>
              </w:tcPr>
              <w:p w14:paraId="1B4A7744" w14:textId="77777777" w:rsidR="00577D08" w:rsidRDefault="00330FC0">
                <w:pPr>
                  <w:pStyle w:val="-1"/>
                  <w:jc w:val="both"/>
                </w:pPr>
                <w:r>
                  <w:rPr>
                    <w:rFonts w:ascii="宋体" w:hAnsi="宋体" w:hint="eastAsia"/>
                  </w:rPr>
                  <w:t>电力变压器</w:t>
                </w:r>
              </w:p>
            </w:tc>
            <w:tc>
              <w:tcPr>
                <w:tcW w:w="1275" w:type="dxa"/>
                <w:tcBorders>
                  <w:top w:val="single" w:sz="4" w:space="0" w:color="auto"/>
                  <w:left w:val="nil"/>
                  <w:bottom w:val="single" w:sz="4" w:space="0" w:color="auto"/>
                  <w:right w:val="single" w:sz="4" w:space="0" w:color="auto"/>
                </w:tcBorders>
                <w:vAlign w:val="center"/>
              </w:tcPr>
              <w:p w14:paraId="12CE3C67" w14:textId="77777777" w:rsidR="00577D08" w:rsidRDefault="00330FC0">
                <w:pPr>
                  <w:pStyle w:val="-1"/>
                  <w:jc w:val="center"/>
                </w:pPr>
                <w:r>
                  <w:rPr>
                    <w:rFonts w:ascii="宋体" w:hAnsi="宋体" w:hint="eastAsia"/>
                  </w:rPr>
                  <w:t>万</w:t>
                </w:r>
                <w:r>
                  <w:t>kVA</w:t>
                </w:r>
              </w:p>
            </w:tc>
            <w:tc>
              <w:tcPr>
                <w:tcW w:w="1276" w:type="dxa"/>
                <w:tcBorders>
                  <w:top w:val="single" w:sz="4" w:space="0" w:color="auto"/>
                  <w:left w:val="nil"/>
                  <w:bottom w:val="single" w:sz="4" w:space="0" w:color="auto"/>
                  <w:right w:val="single" w:sz="4" w:space="0" w:color="auto"/>
                </w:tcBorders>
                <w:vAlign w:val="center"/>
              </w:tcPr>
              <w:p w14:paraId="0CF006F3" w14:textId="77777777" w:rsidR="00577D08" w:rsidRDefault="00330FC0">
                <w:pPr>
                  <w:pStyle w:val="-1"/>
                  <w:jc w:val="right"/>
                </w:pPr>
                <w:r>
                  <w:t>4,8</w:t>
                </w:r>
                <w:r>
                  <w:rPr>
                    <w:rFonts w:hint="eastAsia"/>
                  </w:rPr>
                  <w:t>10</w:t>
                </w:r>
              </w:p>
            </w:tc>
            <w:tc>
              <w:tcPr>
                <w:tcW w:w="1276" w:type="dxa"/>
                <w:tcBorders>
                  <w:top w:val="single" w:sz="4" w:space="0" w:color="auto"/>
                  <w:left w:val="nil"/>
                  <w:bottom w:val="single" w:sz="4" w:space="0" w:color="auto"/>
                  <w:right w:val="single" w:sz="4" w:space="0" w:color="auto"/>
                </w:tcBorders>
                <w:vAlign w:val="center"/>
              </w:tcPr>
              <w:p w14:paraId="6F474F59" w14:textId="77777777" w:rsidR="00577D08" w:rsidRDefault="00330FC0">
                <w:pPr>
                  <w:pStyle w:val="-1"/>
                  <w:jc w:val="right"/>
                </w:pPr>
                <w:r>
                  <w:t>4,</w:t>
                </w:r>
                <w:r>
                  <w:rPr>
                    <w:rFonts w:hint="eastAsia"/>
                  </w:rPr>
                  <w:t>536</w:t>
                </w:r>
              </w:p>
            </w:tc>
            <w:tc>
              <w:tcPr>
                <w:tcW w:w="1701" w:type="dxa"/>
                <w:tcBorders>
                  <w:top w:val="single" w:sz="4" w:space="0" w:color="auto"/>
                  <w:left w:val="nil"/>
                  <w:bottom w:val="single" w:sz="4" w:space="0" w:color="auto"/>
                  <w:right w:val="single" w:sz="4" w:space="0" w:color="auto"/>
                </w:tcBorders>
                <w:vAlign w:val="center"/>
              </w:tcPr>
              <w:p w14:paraId="1DBBF694" w14:textId="77777777" w:rsidR="00577D08" w:rsidRDefault="00330FC0">
                <w:pPr>
                  <w:pStyle w:val="-1"/>
                  <w:jc w:val="right"/>
                </w:pPr>
                <w:r>
                  <w:rPr>
                    <w:rFonts w:hint="eastAsia"/>
                  </w:rPr>
                  <w:t>45.08</w:t>
                </w:r>
              </w:p>
            </w:tc>
            <w:tc>
              <w:tcPr>
                <w:tcW w:w="1740" w:type="dxa"/>
                <w:tcBorders>
                  <w:top w:val="single" w:sz="4" w:space="0" w:color="auto"/>
                  <w:left w:val="nil"/>
                  <w:bottom w:val="single" w:sz="4" w:space="0" w:color="auto"/>
                  <w:right w:val="single" w:sz="4" w:space="0" w:color="auto"/>
                </w:tcBorders>
                <w:vAlign w:val="center"/>
              </w:tcPr>
              <w:p w14:paraId="4EEF5F4F" w14:textId="77777777" w:rsidR="00577D08" w:rsidRDefault="00330FC0">
                <w:pPr>
                  <w:pStyle w:val="-1"/>
                  <w:jc w:val="right"/>
                </w:pPr>
                <w:r>
                  <w:rPr>
                    <w:rFonts w:hint="eastAsia"/>
                  </w:rPr>
                  <w:t>35.15</w:t>
                </w:r>
              </w:p>
            </w:tc>
          </w:tr>
          <w:tr w:rsidR="00577D08" w14:paraId="29BC0BE4" w14:textId="77777777">
            <w:trPr>
              <w:trHeight w:val="397"/>
            </w:trPr>
            <w:tc>
              <w:tcPr>
                <w:tcW w:w="1555" w:type="dxa"/>
                <w:tcBorders>
                  <w:top w:val="single" w:sz="4" w:space="0" w:color="auto"/>
                  <w:left w:val="single" w:sz="4" w:space="0" w:color="auto"/>
                  <w:bottom w:val="single" w:sz="4" w:space="0" w:color="auto"/>
                  <w:right w:val="single" w:sz="4" w:space="0" w:color="auto"/>
                </w:tcBorders>
                <w:vAlign w:val="center"/>
              </w:tcPr>
              <w:p w14:paraId="345903C2" w14:textId="77777777" w:rsidR="00577D08" w:rsidRDefault="00330FC0">
                <w:pPr>
                  <w:pStyle w:val="-1"/>
                  <w:jc w:val="both"/>
                </w:pPr>
                <w:r>
                  <w:rPr>
                    <w:rFonts w:ascii="宋体" w:hAnsi="宋体" w:hint="eastAsia"/>
                  </w:rPr>
                  <w:t>箱式变电站</w:t>
                </w:r>
              </w:p>
            </w:tc>
            <w:tc>
              <w:tcPr>
                <w:tcW w:w="1275" w:type="dxa"/>
                <w:tcBorders>
                  <w:top w:val="single" w:sz="4" w:space="0" w:color="auto"/>
                  <w:left w:val="nil"/>
                  <w:bottom w:val="single" w:sz="4" w:space="0" w:color="auto"/>
                  <w:right w:val="single" w:sz="4" w:space="0" w:color="auto"/>
                </w:tcBorders>
                <w:vAlign w:val="center"/>
              </w:tcPr>
              <w:p w14:paraId="55F1FE98" w14:textId="77777777" w:rsidR="00577D08" w:rsidRDefault="00330FC0">
                <w:pPr>
                  <w:pStyle w:val="-1"/>
                  <w:jc w:val="center"/>
                </w:pPr>
                <w:r>
                  <w:rPr>
                    <w:rFonts w:ascii="宋体" w:hAnsi="宋体" w:hint="eastAsia"/>
                  </w:rPr>
                  <w:t>万</w:t>
                </w:r>
                <w:r>
                  <w:t>kVA</w:t>
                </w:r>
              </w:p>
            </w:tc>
            <w:tc>
              <w:tcPr>
                <w:tcW w:w="1276" w:type="dxa"/>
                <w:tcBorders>
                  <w:top w:val="single" w:sz="4" w:space="0" w:color="auto"/>
                  <w:left w:val="nil"/>
                  <w:bottom w:val="single" w:sz="4" w:space="0" w:color="auto"/>
                  <w:right w:val="single" w:sz="4" w:space="0" w:color="auto"/>
                </w:tcBorders>
                <w:vAlign w:val="center"/>
              </w:tcPr>
              <w:p w14:paraId="3FC0F43F" w14:textId="77777777" w:rsidR="00577D08" w:rsidRDefault="00330FC0">
                <w:pPr>
                  <w:pStyle w:val="-1"/>
                  <w:jc w:val="right"/>
                </w:pPr>
                <w:r>
                  <w:t>361</w:t>
                </w:r>
              </w:p>
            </w:tc>
            <w:tc>
              <w:tcPr>
                <w:tcW w:w="1276" w:type="dxa"/>
                <w:tcBorders>
                  <w:top w:val="single" w:sz="4" w:space="0" w:color="auto"/>
                  <w:left w:val="nil"/>
                  <w:bottom w:val="single" w:sz="4" w:space="0" w:color="auto"/>
                  <w:right w:val="single" w:sz="4" w:space="0" w:color="auto"/>
                </w:tcBorders>
                <w:vAlign w:val="center"/>
              </w:tcPr>
              <w:p w14:paraId="6866E55C" w14:textId="77777777" w:rsidR="00577D08" w:rsidRDefault="00330FC0">
                <w:pPr>
                  <w:pStyle w:val="-1"/>
                  <w:jc w:val="right"/>
                </w:pPr>
                <w:r>
                  <w:t>395</w:t>
                </w:r>
              </w:p>
            </w:tc>
            <w:tc>
              <w:tcPr>
                <w:tcW w:w="1701" w:type="dxa"/>
                <w:tcBorders>
                  <w:top w:val="single" w:sz="4" w:space="0" w:color="auto"/>
                  <w:left w:val="nil"/>
                  <w:bottom w:val="single" w:sz="4" w:space="0" w:color="auto"/>
                  <w:right w:val="single" w:sz="4" w:space="0" w:color="auto"/>
                </w:tcBorders>
                <w:vAlign w:val="center"/>
              </w:tcPr>
              <w:p w14:paraId="4E79D768" w14:textId="77777777" w:rsidR="00577D08" w:rsidRDefault="00330FC0">
                <w:pPr>
                  <w:pStyle w:val="-1"/>
                  <w:jc w:val="right"/>
                </w:pPr>
                <w:r>
                  <w:t>22.</w:t>
                </w:r>
                <w:r>
                  <w:rPr>
                    <w:rFonts w:hint="eastAsia"/>
                  </w:rPr>
                  <w:t>26</w:t>
                </w:r>
              </w:p>
            </w:tc>
            <w:tc>
              <w:tcPr>
                <w:tcW w:w="1740" w:type="dxa"/>
                <w:tcBorders>
                  <w:top w:val="single" w:sz="4" w:space="0" w:color="auto"/>
                  <w:left w:val="nil"/>
                  <w:bottom w:val="single" w:sz="4" w:space="0" w:color="auto"/>
                  <w:right w:val="single" w:sz="4" w:space="0" w:color="auto"/>
                </w:tcBorders>
                <w:vAlign w:val="center"/>
              </w:tcPr>
              <w:p w14:paraId="33499A95" w14:textId="77777777" w:rsidR="00577D08" w:rsidRDefault="00330FC0">
                <w:pPr>
                  <w:pStyle w:val="-1"/>
                  <w:jc w:val="right"/>
                </w:pPr>
                <w:r>
                  <w:rPr>
                    <w:rFonts w:hint="eastAsia"/>
                  </w:rPr>
                  <w:t>88.60</w:t>
                </w:r>
              </w:p>
            </w:tc>
          </w:tr>
          <w:tr w:rsidR="00577D08" w14:paraId="73D34D5B" w14:textId="77777777">
            <w:trPr>
              <w:trHeight w:val="397"/>
            </w:trPr>
            <w:tc>
              <w:tcPr>
                <w:tcW w:w="1555" w:type="dxa"/>
                <w:tcBorders>
                  <w:top w:val="single" w:sz="4" w:space="0" w:color="auto"/>
                  <w:left w:val="single" w:sz="4" w:space="0" w:color="auto"/>
                  <w:bottom w:val="single" w:sz="4" w:space="0" w:color="auto"/>
                  <w:right w:val="single" w:sz="4" w:space="0" w:color="auto"/>
                </w:tcBorders>
                <w:vAlign w:val="center"/>
              </w:tcPr>
              <w:p w14:paraId="2E20E16D" w14:textId="77777777" w:rsidR="00577D08" w:rsidRDefault="00330FC0">
                <w:pPr>
                  <w:pStyle w:val="-1"/>
                  <w:jc w:val="both"/>
                </w:pPr>
                <w:r>
                  <w:rPr>
                    <w:rFonts w:ascii="宋体" w:hAnsi="宋体" w:hint="eastAsia"/>
                  </w:rPr>
                  <w:t>成套电气设备</w:t>
                </w:r>
              </w:p>
            </w:tc>
            <w:tc>
              <w:tcPr>
                <w:tcW w:w="1275" w:type="dxa"/>
                <w:tcBorders>
                  <w:top w:val="single" w:sz="4" w:space="0" w:color="auto"/>
                  <w:left w:val="nil"/>
                  <w:bottom w:val="single" w:sz="4" w:space="0" w:color="auto"/>
                  <w:right w:val="single" w:sz="4" w:space="0" w:color="auto"/>
                </w:tcBorders>
                <w:vAlign w:val="center"/>
              </w:tcPr>
              <w:p w14:paraId="3E74E3E5" w14:textId="77777777" w:rsidR="00577D08" w:rsidRDefault="00330FC0">
                <w:pPr>
                  <w:pStyle w:val="-1"/>
                  <w:jc w:val="center"/>
                </w:pPr>
                <w:r>
                  <w:rPr>
                    <w:rFonts w:ascii="宋体" w:hAnsi="宋体" w:hint="eastAsia"/>
                  </w:rPr>
                  <w:t>台</w:t>
                </w:r>
              </w:p>
            </w:tc>
            <w:tc>
              <w:tcPr>
                <w:tcW w:w="1276" w:type="dxa"/>
                <w:tcBorders>
                  <w:top w:val="single" w:sz="4" w:space="0" w:color="auto"/>
                  <w:left w:val="nil"/>
                  <w:bottom w:val="single" w:sz="4" w:space="0" w:color="auto"/>
                  <w:right w:val="single" w:sz="4" w:space="0" w:color="auto"/>
                </w:tcBorders>
                <w:vAlign w:val="center"/>
              </w:tcPr>
              <w:p w14:paraId="2557A51B" w14:textId="77777777" w:rsidR="00577D08" w:rsidRDefault="00330FC0">
                <w:pPr>
                  <w:pStyle w:val="-1"/>
                  <w:jc w:val="right"/>
                </w:pPr>
                <w:r>
                  <w:t>6,543</w:t>
                </w:r>
              </w:p>
            </w:tc>
            <w:tc>
              <w:tcPr>
                <w:tcW w:w="1276" w:type="dxa"/>
                <w:tcBorders>
                  <w:top w:val="single" w:sz="4" w:space="0" w:color="auto"/>
                  <w:left w:val="nil"/>
                  <w:bottom w:val="single" w:sz="4" w:space="0" w:color="auto"/>
                  <w:right w:val="single" w:sz="4" w:space="0" w:color="auto"/>
                </w:tcBorders>
                <w:vAlign w:val="center"/>
              </w:tcPr>
              <w:p w14:paraId="2E65B947" w14:textId="77777777" w:rsidR="00577D08" w:rsidRDefault="00330FC0">
                <w:pPr>
                  <w:pStyle w:val="-1"/>
                  <w:jc w:val="right"/>
                </w:pPr>
                <w:r>
                  <w:t>6,</w:t>
                </w:r>
                <w:r>
                  <w:rPr>
                    <w:rFonts w:hint="eastAsia"/>
                  </w:rPr>
                  <w:t>509</w:t>
                </w:r>
              </w:p>
            </w:tc>
            <w:tc>
              <w:tcPr>
                <w:tcW w:w="1701" w:type="dxa"/>
                <w:tcBorders>
                  <w:top w:val="single" w:sz="4" w:space="0" w:color="auto"/>
                  <w:left w:val="nil"/>
                  <w:bottom w:val="single" w:sz="4" w:space="0" w:color="auto"/>
                  <w:right w:val="single" w:sz="4" w:space="0" w:color="auto"/>
                </w:tcBorders>
                <w:vAlign w:val="center"/>
              </w:tcPr>
              <w:p w14:paraId="0F81A2AD" w14:textId="77777777" w:rsidR="00577D08" w:rsidRDefault="00330FC0">
                <w:pPr>
                  <w:pStyle w:val="-1"/>
                  <w:jc w:val="right"/>
                </w:pPr>
                <w:r>
                  <w:rPr>
                    <w:rFonts w:hint="eastAsia"/>
                  </w:rPr>
                  <w:t>-7.68</w:t>
                </w:r>
              </w:p>
            </w:tc>
            <w:tc>
              <w:tcPr>
                <w:tcW w:w="1740" w:type="dxa"/>
                <w:tcBorders>
                  <w:top w:val="single" w:sz="4" w:space="0" w:color="auto"/>
                  <w:left w:val="nil"/>
                  <w:bottom w:val="single" w:sz="4" w:space="0" w:color="auto"/>
                  <w:right w:val="single" w:sz="4" w:space="0" w:color="auto"/>
                </w:tcBorders>
                <w:vAlign w:val="center"/>
              </w:tcPr>
              <w:p w14:paraId="7B4A7E11" w14:textId="77777777" w:rsidR="00577D08" w:rsidRDefault="00330FC0">
                <w:pPr>
                  <w:pStyle w:val="-1"/>
                  <w:jc w:val="right"/>
                </w:pPr>
                <w:r>
                  <w:t>-1</w:t>
                </w:r>
                <w:r>
                  <w:rPr>
                    <w:rFonts w:hint="eastAsia"/>
                  </w:rPr>
                  <w:t>4.84</w:t>
                </w:r>
              </w:p>
            </w:tc>
          </w:tr>
        </w:tbl>
        <w:p w14:paraId="0C4B8D94" w14:textId="77777777" w:rsidR="00577D08" w:rsidRDefault="00330FC0">
          <w:pPr>
            <w:spacing w:line="360" w:lineRule="exact"/>
            <w:ind w:firstLineChars="200" w:firstLine="422"/>
            <w:jc w:val="both"/>
            <w:rPr>
              <w:rFonts w:ascii="宋体" w:hAnsi="宋体" w:hint="eastAsia"/>
              <w:b/>
            </w:rPr>
          </w:pPr>
          <w:r>
            <w:rPr>
              <w:rFonts w:ascii="宋体" w:hAnsi="宋体" w:hint="eastAsia"/>
              <w:b/>
            </w:rPr>
            <w:lastRenderedPageBreak/>
            <w:t>（2）高端化转型成效显著</w:t>
          </w:r>
        </w:p>
        <w:p w14:paraId="4983216F"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公司持续推进高端化战略，高电压等级产品实现快速增长。2025年，公司110kV及以上变压器产品实现营业收入110,297万元，同比增长74.39%，占同类型业务收入比重从上年同期的44.05%提升至60.01%，提升15.96个百分点。高附加值、高技术壁垒的高电压等级产品已成为拉动输配电业务增长的核心引擎，显著优化了公司产品结构，提升了公司在产业链中的价值定位与议价能力。</w:t>
          </w:r>
          <w:bookmarkStart w:id="71" w:name="OLE_LINK37"/>
        </w:p>
        <w:p w14:paraId="46A681C8"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以下为110kV及以上电力变压器营业收入占电力变压器营业收入比例及变动情况：</w:t>
          </w:r>
        </w:p>
        <w:tbl>
          <w:tblPr>
            <w:tblStyle w:val="aff2"/>
            <w:tblW w:w="5000" w:type="pct"/>
            <w:tblLook w:val="04A0" w:firstRow="1" w:lastRow="0" w:firstColumn="1" w:lastColumn="0" w:noHBand="0" w:noVBand="1"/>
          </w:tblPr>
          <w:tblGrid>
            <w:gridCol w:w="2205"/>
            <w:gridCol w:w="2206"/>
            <w:gridCol w:w="2206"/>
            <w:gridCol w:w="2206"/>
          </w:tblGrid>
          <w:tr w:rsidR="00577D08" w14:paraId="10F3E701" w14:textId="77777777">
            <w:trPr>
              <w:trHeight w:val="397"/>
            </w:trPr>
            <w:tc>
              <w:tcPr>
                <w:tcW w:w="1250" w:type="pct"/>
                <w:vAlign w:val="center"/>
              </w:tcPr>
              <w:bookmarkEnd w:id="71"/>
              <w:p w14:paraId="7CCDA30E" w14:textId="77777777" w:rsidR="00577D08" w:rsidRDefault="00330FC0">
                <w:pPr>
                  <w:jc w:val="center"/>
                </w:pPr>
                <w:r>
                  <w:rPr>
                    <w:rFonts w:hint="eastAsia"/>
                  </w:rPr>
                  <w:t>电力变压器电压等级</w:t>
                </w:r>
              </w:p>
            </w:tc>
            <w:tc>
              <w:tcPr>
                <w:tcW w:w="1250" w:type="pct"/>
                <w:vAlign w:val="center"/>
              </w:tcPr>
              <w:p w14:paraId="77F54246" w14:textId="77777777" w:rsidR="00577D08" w:rsidRDefault="00330FC0">
                <w:pPr>
                  <w:jc w:val="center"/>
                </w:pPr>
                <w:r>
                  <w:rPr>
                    <w:rFonts w:hint="eastAsia"/>
                  </w:rPr>
                  <w:t>2025</w:t>
                </w:r>
                <w:r>
                  <w:rPr>
                    <w:rFonts w:hint="eastAsia"/>
                  </w:rPr>
                  <w:t>年结构占比</w:t>
                </w:r>
              </w:p>
            </w:tc>
            <w:tc>
              <w:tcPr>
                <w:tcW w:w="1250" w:type="pct"/>
                <w:vAlign w:val="center"/>
              </w:tcPr>
              <w:p w14:paraId="16FC70BE" w14:textId="77777777" w:rsidR="00577D08" w:rsidRDefault="00330FC0">
                <w:pPr>
                  <w:jc w:val="center"/>
                </w:pPr>
                <w:r>
                  <w:rPr>
                    <w:rFonts w:hint="eastAsia"/>
                  </w:rPr>
                  <w:t>2024</w:t>
                </w:r>
                <w:r>
                  <w:rPr>
                    <w:rFonts w:hint="eastAsia"/>
                  </w:rPr>
                  <w:t>年结构占比</w:t>
                </w:r>
              </w:p>
            </w:tc>
            <w:tc>
              <w:tcPr>
                <w:tcW w:w="1250" w:type="pct"/>
                <w:vAlign w:val="center"/>
              </w:tcPr>
              <w:p w14:paraId="6D7DDF7E" w14:textId="77777777" w:rsidR="00577D08" w:rsidRDefault="00330FC0">
                <w:pPr>
                  <w:jc w:val="center"/>
                </w:pPr>
                <w:r>
                  <w:rPr>
                    <w:rFonts w:hint="eastAsia"/>
                  </w:rPr>
                  <w:t>收入变动幅度</w:t>
                </w:r>
              </w:p>
            </w:tc>
          </w:tr>
          <w:tr w:rsidR="00577D08" w14:paraId="53D21971" w14:textId="77777777">
            <w:trPr>
              <w:trHeight w:val="397"/>
            </w:trPr>
            <w:tc>
              <w:tcPr>
                <w:tcW w:w="1250" w:type="pct"/>
                <w:vAlign w:val="center"/>
              </w:tcPr>
              <w:p w14:paraId="77F1B926" w14:textId="77777777" w:rsidR="00577D08" w:rsidRDefault="00330FC0">
                <w:r>
                  <w:t xml:space="preserve"> 110</w:t>
                </w:r>
                <w:r>
                  <w:rPr>
                    <w:rFonts w:hint="eastAsia"/>
                  </w:rPr>
                  <w:t>k</w:t>
                </w:r>
                <w:r>
                  <w:t xml:space="preserve">V </w:t>
                </w:r>
              </w:p>
            </w:tc>
            <w:tc>
              <w:tcPr>
                <w:tcW w:w="1250" w:type="pct"/>
                <w:vAlign w:val="center"/>
              </w:tcPr>
              <w:p w14:paraId="0F58D1F5" w14:textId="77777777" w:rsidR="00577D08" w:rsidRDefault="00330FC0">
                <w:pPr>
                  <w:jc w:val="right"/>
                </w:pPr>
                <w:r>
                  <w:t>25.71%</w:t>
                </w:r>
              </w:p>
            </w:tc>
            <w:tc>
              <w:tcPr>
                <w:tcW w:w="1250" w:type="pct"/>
                <w:vAlign w:val="center"/>
              </w:tcPr>
              <w:p w14:paraId="5D7B4DE3" w14:textId="77777777" w:rsidR="00577D08" w:rsidRDefault="00330FC0">
                <w:pPr>
                  <w:jc w:val="right"/>
                </w:pPr>
                <w:r>
                  <w:t>19.64%</w:t>
                </w:r>
              </w:p>
            </w:tc>
            <w:tc>
              <w:tcPr>
                <w:tcW w:w="1250" w:type="pct"/>
                <w:vAlign w:val="center"/>
              </w:tcPr>
              <w:p w14:paraId="5E67EBE8" w14:textId="77777777" w:rsidR="00577D08" w:rsidRDefault="00330FC0">
                <w:pPr>
                  <w:jc w:val="right"/>
                </w:pPr>
                <w:r>
                  <w:t>67.60%</w:t>
                </w:r>
              </w:p>
            </w:tc>
          </w:tr>
          <w:tr w:rsidR="00577D08" w14:paraId="7DBC9927" w14:textId="77777777">
            <w:trPr>
              <w:trHeight w:val="397"/>
            </w:trPr>
            <w:tc>
              <w:tcPr>
                <w:tcW w:w="1250" w:type="pct"/>
                <w:vAlign w:val="center"/>
              </w:tcPr>
              <w:p w14:paraId="3E26EF0C" w14:textId="77777777" w:rsidR="00577D08" w:rsidRDefault="00330FC0">
                <w:r>
                  <w:t xml:space="preserve"> 220</w:t>
                </w:r>
                <w:r>
                  <w:rPr>
                    <w:rFonts w:hint="eastAsia"/>
                  </w:rPr>
                  <w:t>k</w:t>
                </w:r>
                <w:r>
                  <w:t xml:space="preserve">V </w:t>
                </w:r>
              </w:p>
            </w:tc>
            <w:tc>
              <w:tcPr>
                <w:tcW w:w="1250" w:type="pct"/>
                <w:vAlign w:val="center"/>
              </w:tcPr>
              <w:p w14:paraId="76AD87E2" w14:textId="77777777" w:rsidR="00577D08" w:rsidRDefault="00330FC0">
                <w:pPr>
                  <w:jc w:val="right"/>
                </w:pPr>
                <w:r>
                  <w:t>34.30%</w:t>
                </w:r>
              </w:p>
            </w:tc>
            <w:tc>
              <w:tcPr>
                <w:tcW w:w="1250" w:type="pct"/>
                <w:vAlign w:val="center"/>
              </w:tcPr>
              <w:p w14:paraId="7A42D1D9" w14:textId="77777777" w:rsidR="00577D08" w:rsidRDefault="00330FC0">
                <w:pPr>
                  <w:jc w:val="right"/>
                </w:pPr>
                <w:r>
                  <w:t>24.41%</w:t>
                </w:r>
              </w:p>
            </w:tc>
            <w:tc>
              <w:tcPr>
                <w:tcW w:w="1250" w:type="pct"/>
                <w:vAlign w:val="center"/>
              </w:tcPr>
              <w:p w14:paraId="70796FA2" w14:textId="77777777" w:rsidR="00577D08" w:rsidRDefault="00330FC0">
                <w:pPr>
                  <w:jc w:val="right"/>
                </w:pPr>
                <w:r>
                  <w:t>79.85%</w:t>
                </w:r>
              </w:p>
            </w:tc>
          </w:tr>
        </w:tbl>
        <w:p w14:paraId="474C5E62" w14:textId="77777777" w:rsidR="00577D08" w:rsidRDefault="00330FC0">
          <w:pPr>
            <w:spacing w:line="360" w:lineRule="exact"/>
            <w:ind w:firstLineChars="200" w:firstLine="422"/>
            <w:jc w:val="both"/>
            <w:outlineLvl w:val="3"/>
            <w:rPr>
              <w:rFonts w:ascii="宋体" w:hAnsi="宋体" w:hint="eastAsia"/>
              <w:b/>
              <w:bCs/>
              <w:kern w:val="2"/>
              <w:szCs w:val="22"/>
            </w:rPr>
          </w:pPr>
          <w:bookmarkStart w:id="72" w:name="OLE_LINK38"/>
          <w:bookmarkEnd w:id="69"/>
          <w:r>
            <w:rPr>
              <w:rFonts w:ascii="宋体" w:hAnsi="宋体" w:hint="eastAsia"/>
              <w:b/>
              <w:bCs/>
              <w:kern w:val="2"/>
              <w:szCs w:val="22"/>
            </w:rPr>
            <w:t>2、</w:t>
          </w:r>
          <w:bookmarkStart w:id="73" w:name="OLE_LINK39"/>
          <w:r>
            <w:rPr>
              <w:rFonts w:ascii="宋体" w:hAnsi="宋体" w:hint="eastAsia"/>
              <w:b/>
              <w:bCs/>
              <w:kern w:val="2"/>
              <w:szCs w:val="22"/>
            </w:rPr>
            <w:t>取向硅钢业务</w:t>
          </w:r>
        </w:p>
        <w:p w14:paraId="57CDC11F" w14:textId="77777777" w:rsidR="00577D08" w:rsidRDefault="00330FC0">
          <w:pPr>
            <w:spacing w:line="360" w:lineRule="exact"/>
            <w:ind w:firstLineChars="200" w:firstLine="422"/>
            <w:jc w:val="both"/>
            <w:rPr>
              <w:rFonts w:ascii="宋体" w:hAnsi="宋体" w:hint="eastAsia"/>
              <w:b/>
              <w:bCs/>
              <w:kern w:val="2"/>
              <w:szCs w:val="22"/>
            </w:rPr>
          </w:pPr>
          <w:bookmarkStart w:id="74" w:name="OLE_LINK40"/>
          <w:r>
            <w:rPr>
              <w:rFonts w:ascii="宋体" w:hAnsi="宋体" w:hint="eastAsia"/>
              <w:b/>
              <w:bCs/>
              <w:kern w:val="2"/>
              <w:szCs w:val="22"/>
            </w:rPr>
            <w:t>（1）产能规模位居前列，产销运营保持稳健</w:t>
          </w:r>
        </w:p>
        <w:p w14:paraId="0B76B535"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报告期内，公司取向硅钢业务保持强劲发展态势。总产能达18万吨，其中高牌号取向硅钢产能13万吨，产能规模稳居行业前列。受益于下游能效升级需求持续释放及公司在高端产品领域的前瞻布局，公司产能利用率达到103.71%，产销率为95.77%，基本实现满产满销。</w:t>
          </w:r>
        </w:p>
        <w:p w14:paraId="641257CB" w14:textId="77777777" w:rsidR="00577D08" w:rsidRDefault="00330FC0">
          <w:pPr>
            <w:spacing w:line="360" w:lineRule="exact"/>
            <w:ind w:firstLineChars="200" w:firstLine="422"/>
            <w:jc w:val="both"/>
            <w:rPr>
              <w:rFonts w:ascii="宋体" w:hAnsi="宋体" w:hint="eastAsia"/>
              <w:b/>
              <w:bCs/>
              <w:kern w:val="2"/>
              <w:szCs w:val="22"/>
            </w:rPr>
          </w:pPr>
          <w:bookmarkStart w:id="75" w:name="OLE_LINK108"/>
          <w:bookmarkStart w:id="76" w:name="OLE_LINK107"/>
          <w:r>
            <w:rPr>
              <w:rFonts w:ascii="宋体" w:hAnsi="宋体" w:hint="eastAsia"/>
              <w:b/>
              <w:bCs/>
              <w:kern w:val="2"/>
              <w:szCs w:val="22"/>
            </w:rPr>
            <w:t>（2）产品结构持续优化，技术实力稳步提升</w:t>
          </w:r>
        </w:p>
        <w:p w14:paraId="2EBEE0A9" w14:textId="77777777" w:rsidR="00577D08" w:rsidRDefault="00330FC0">
          <w:pPr>
            <w:spacing w:line="360" w:lineRule="exact"/>
            <w:ind w:firstLineChars="200" w:firstLine="420"/>
            <w:rPr>
              <w:rFonts w:ascii="宋体" w:hAnsi="宋体" w:hint="eastAsia"/>
              <w:bCs/>
              <w:kern w:val="2"/>
              <w:szCs w:val="22"/>
            </w:rPr>
          </w:pPr>
          <w:r>
            <w:rPr>
              <w:rFonts w:ascii="宋体" w:hAnsi="宋体" w:hint="eastAsia"/>
              <w:bCs/>
              <w:kern w:val="2"/>
              <w:szCs w:val="22"/>
            </w:rPr>
            <w:t xml:space="preserve">公司持续推进高端化战略，产品结构不断优化，高牌号产品占比持续提升。与此同时，公司成功攻克075牌号高磁感取向硅钢技术壁垒，成为行业内少数掌握该核心技术的企业之一，显著缩短了与行业头部企业的技术差距，进一步增强了取向硅钢领域的核心竞争力。 </w:t>
          </w:r>
        </w:p>
        <w:p w14:paraId="6BBD8C08" w14:textId="77777777" w:rsidR="00577D08" w:rsidRDefault="00330FC0">
          <w:pPr>
            <w:spacing w:line="360" w:lineRule="exact"/>
            <w:ind w:firstLineChars="200" w:firstLine="422"/>
            <w:jc w:val="both"/>
            <w:outlineLvl w:val="3"/>
            <w:rPr>
              <w:rFonts w:ascii="宋体" w:hAnsi="宋体" w:hint="eastAsia"/>
              <w:b/>
              <w:bCs/>
              <w:kern w:val="2"/>
              <w:szCs w:val="22"/>
            </w:rPr>
          </w:pPr>
          <w:bookmarkStart w:id="77" w:name="OLE_LINK41"/>
          <w:bookmarkEnd w:id="72"/>
          <w:bookmarkEnd w:id="73"/>
          <w:bookmarkEnd w:id="74"/>
          <w:bookmarkEnd w:id="75"/>
          <w:bookmarkEnd w:id="76"/>
          <w:r>
            <w:rPr>
              <w:rFonts w:ascii="宋体" w:hAnsi="宋体" w:hint="eastAsia"/>
              <w:b/>
              <w:bCs/>
              <w:kern w:val="2"/>
              <w:szCs w:val="22"/>
            </w:rPr>
            <w:t xml:space="preserve">3、电动汽车充电业务 </w:t>
          </w:r>
        </w:p>
        <w:p w14:paraId="61B20A89"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（1）战略性新兴产业布局，重卡超充形成先发优势</w:t>
          </w:r>
        </w:p>
        <w:p w14:paraId="064B1EE3"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报告期内，为提升产业链协同发展能力、加快发展新质生产力，公司投资建设“</w:t>
          </w:r>
          <w:bookmarkStart w:id="78" w:name="OLE_LINK33"/>
          <w:r>
            <w:rPr>
              <w:rFonts w:ascii="宋体" w:hAnsi="宋体" w:hint="eastAsia"/>
              <w:bCs/>
              <w:kern w:val="2"/>
              <w:szCs w:val="22"/>
            </w:rPr>
            <w:t>兆瓦级智能超充网络建设项目</w:t>
          </w:r>
          <w:bookmarkEnd w:id="78"/>
          <w:r>
            <w:rPr>
              <w:rFonts w:ascii="宋体" w:hAnsi="宋体" w:hint="eastAsia"/>
              <w:bCs/>
              <w:kern w:val="2"/>
              <w:szCs w:val="22"/>
            </w:rPr>
            <w:t>”。项目总投资额预计不超过5.4亿元，由全资子公司望来充（重庆）科技有限责任公司实施，规划在云南、重庆及国内其他地区建设近100座电动重卡超充站，服务于快速增长的新能源重卡充电市场。本项目是公司“延链补链强链”战略的关键，标志着公司业务从传统输配电装备制造向新能源充电基础设施投资、建设与运营领域的战略性延伸。</w:t>
          </w:r>
        </w:p>
        <w:p w14:paraId="0AEC9A46"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（2）技术引领行业发展，产业合作稳步推进</w:t>
          </w:r>
        </w:p>
        <w:p w14:paraId="31E71E90"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公司研发的智能变充一体机，实现“变电站+充电堆”深度融合与预制化集成，让建站“不再难”。产品具备三大核心优势：预制化交付，工厂预制、整机出厂，最快3天上线运营，较传统建站模式缩短工期80%以上；低成本部署，省去独立箱变及高压土建，设备占地减少20%，综合投资成本降低15%—20%；易移动复用，整机集成设计支持灵活迁移，适配重卡运输线路动态变化。</w:t>
          </w:r>
        </w:p>
        <w:p w14:paraId="0A8C3775"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报告期内，公司与重卡超充产业链伙伴达成多项战略合作，实现“车—桩—运—场景”一体化超充重卡新生态的商业闭环。截至目前，首个重卡超充站已</w:t>
          </w:r>
          <w:bookmarkStart w:id="79" w:name="OLE_LINK73"/>
          <w:r>
            <w:rPr>
              <w:rFonts w:ascii="宋体" w:hAnsi="宋体" w:hint="eastAsia"/>
              <w:bCs/>
              <w:kern w:val="2"/>
              <w:szCs w:val="22"/>
            </w:rPr>
            <w:t>正式投运</w:t>
          </w:r>
          <w:bookmarkEnd w:id="79"/>
          <w:r>
            <w:rPr>
              <w:rFonts w:ascii="宋体" w:hAnsi="宋体" w:hint="eastAsia"/>
              <w:bCs/>
              <w:kern w:val="2"/>
              <w:szCs w:val="22"/>
            </w:rPr>
            <w:t>，充电速度达到“15分钟级”，智能变充一体机与公司现有箱式变电站及成套电气设备形成深度产业协同。</w:t>
          </w:r>
        </w:p>
        <w:bookmarkEnd w:id="77"/>
        <w:p w14:paraId="40383F5F"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（三）市场拓展与全球化布局</w:t>
          </w:r>
        </w:p>
        <w:p w14:paraId="48E3FE5F" w14:textId="77777777" w:rsidR="00577D08" w:rsidRDefault="00330FC0">
          <w:pPr>
            <w:spacing w:line="360" w:lineRule="exact"/>
            <w:ind w:firstLineChars="200" w:firstLine="422"/>
            <w:jc w:val="both"/>
            <w:outlineLvl w:val="3"/>
            <w:rPr>
              <w:rFonts w:ascii="宋体" w:hAnsi="宋体" w:hint="eastAsia"/>
              <w:b/>
              <w:bCs/>
              <w:kern w:val="2"/>
              <w:szCs w:val="22"/>
            </w:rPr>
          </w:pPr>
          <w:bookmarkStart w:id="80" w:name="OLE_LINK74"/>
          <w:bookmarkStart w:id="81" w:name="OLE_LINK75"/>
          <w:r>
            <w:rPr>
              <w:rFonts w:ascii="宋体" w:hAnsi="宋体" w:hint="eastAsia"/>
              <w:b/>
              <w:bCs/>
              <w:kern w:val="2"/>
              <w:szCs w:val="22"/>
            </w:rPr>
            <w:t>1、输配电及控制设备业务</w:t>
          </w:r>
        </w:p>
        <w:p w14:paraId="6DA25AB3"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（1）“一带一路”市场稳步拓展，海外订单实现较快增长</w:t>
          </w:r>
        </w:p>
        <w:p w14:paraId="087E7D37"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lastRenderedPageBreak/>
            <w:t>报告期内，公司输配电及控制设备领域海外订单1.1亿元，同比增长28.7</w:t>
          </w:r>
          <w:r>
            <w:rPr>
              <w:rFonts w:ascii="宋体" w:hAnsi="宋体"/>
              <w:bCs/>
              <w:kern w:val="2"/>
              <w:szCs w:val="22"/>
            </w:rPr>
            <w:t>1</w:t>
          </w:r>
          <w:r>
            <w:rPr>
              <w:rFonts w:ascii="宋体" w:hAnsi="宋体" w:hint="eastAsia"/>
              <w:bCs/>
              <w:kern w:val="2"/>
              <w:szCs w:val="22"/>
            </w:rPr>
            <w:t>%。公司大力开发“一带一路”沿线客户，在老挝、柬埔寨、尼泊尔、巴基斯坦、罗马尼亚、乌兹别克斯坦、尼日利亚、津巴布韦等市场取得当地准入资格或合格供应商资格。报告期内完成中国交建马来西亚东海岸铁路项目牵引变压器入厂验收，进一步提升在“一带一路”市场的客户认可度与品牌知名度。</w:t>
          </w:r>
        </w:p>
        <w:p w14:paraId="779667F1"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（2）高端市场准入取得突破，全球化布局基础夯实</w:t>
          </w:r>
        </w:p>
        <w:p w14:paraId="601E74E5"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依托自主研发的OSFPSZ18-250000/220自耦电力变压器获得的荷兰KEMA实验室全套认证测试，公司输配电产品成功打入欧洲高端电力设备市场，获得美国、阿曼和南美洲数据中心终端客户认可，显著提升海外高端市场影响力，为全球化布局奠定坚实基础。</w:t>
          </w:r>
        </w:p>
        <w:p w14:paraId="0B776836"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（3）客户结构加速战略转型，央国企合作持续深化</w:t>
          </w:r>
        </w:p>
        <w:p w14:paraId="7EE58C1F"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报告期内，公司主动调整客户结构，业务重心从传统中小型客户需求转向国南网、中电建、中铁建等大型央国企。公司深度融入国家电网、南方电网供应链体系，高电压等级产品中标额大幅提升，同时成功配套中电建新能源大基地及中铁建海外铁路等重点项目，显著降低对地产客户的依赖，构建了更加稳健的高质量客户矩阵。</w:t>
          </w:r>
        </w:p>
        <w:p w14:paraId="473D7D6B" w14:textId="77777777" w:rsidR="00577D08" w:rsidRDefault="00330FC0">
          <w:pPr>
            <w:spacing w:line="360" w:lineRule="exact"/>
            <w:ind w:firstLineChars="200" w:firstLine="422"/>
            <w:jc w:val="both"/>
            <w:outlineLvl w:val="3"/>
            <w:rPr>
              <w:rFonts w:ascii="宋体" w:hAnsi="宋体" w:hint="eastAsia"/>
              <w:b/>
              <w:bCs/>
              <w:kern w:val="2"/>
              <w:szCs w:val="22"/>
            </w:rPr>
          </w:pPr>
          <w:bookmarkStart w:id="82" w:name="OLE_LINK42"/>
          <w:bookmarkEnd w:id="80"/>
          <w:bookmarkEnd w:id="81"/>
          <w:r>
            <w:rPr>
              <w:rFonts w:ascii="宋体" w:hAnsi="宋体" w:hint="eastAsia"/>
              <w:b/>
              <w:bCs/>
              <w:kern w:val="2"/>
              <w:szCs w:val="22"/>
            </w:rPr>
            <w:t>2、取向硅钢业务</w:t>
          </w:r>
        </w:p>
        <w:p w14:paraId="1D014AF7"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（1）市场覆盖持续拓宽，重点区域项目稳步推进</w:t>
          </w:r>
        </w:p>
        <w:p w14:paraId="55A59815"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取向硅钢海外布局持续深化。在稳定新加坡、韩国、土耳其、加拿大、哥伦比亚、墨西哥、泰国、俄罗斯等国家常规业务的同时，针对中亚、欧洲、非洲、南亚、东南亚及西亚18个国家共计23个项目进行密切跟踪。</w:t>
          </w:r>
        </w:p>
        <w:p w14:paraId="4CC839DD" w14:textId="77777777" w:rsidR="00577D08" w:rsidRDefault="00330FC0">
          <w:pPr>
            <w:spacing w:line="360" w:lineRule="exact"/>
            <w:ind w:firstLineChars="200" w:firstLine="422"/>
            <w:jc w:val="both"/>
            <w:rPr>
              <w:rFonts w:ascii="宋体" w:hAnsi="宋体" w:hint="eastAsia"/>
              <w:b/>
              <w:bCs/>
              <w:kern w:val="2"/>
              <w:szCs w:val="22"/>
            </w:rPr>
          </w:pPr>
          <w:bookmarkStart w:id="83" w:name="OLE_LINK70"/>
          <w:bookmarkStart w:id="84" w:name="OLE_LINK71"/>
          <w:r>
            <w:rPr>
              <w:rFonts w:ascii="宋体" w:hAnsi="宋体" w:hint="eastAsia"/>
              <w:b/>
              <w:bCs/>
              <w:kern w:val="2"/>
              <w:szCs w:val="22"/>
            </w:rPr>
            <w:t>（2）线上渠道布局完善，有效支撑海外业务拓展</w:t>
          </w:r>
        </w:p>
        <w:p w14:paraId="3860C421"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公司建立Google（英文站）、Yandex（俄语站）独立宣传网站，注册Facebook、Ins、Twitter、Tiktok等海外社交媒体平台，有效保障海外业务顺利推进。</w:t>
          </w:r>
        </w:p>
        <w:bookmarkEnd w:id="82"/>
        <w:bookmarkEnd w:id="83"/>
        <w:bookmarkEnd w:id="84"/>
        <w:p w14:paraId="7350EE97"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（四）研发创新与技术突破</w:t>
          </w:r>
        </w:p>
        <w:p w14:paraId="02DE1770" w14:textId="77777777" w:rsidR="00577D08" w:rsidRDefault="00330FC0">
          <w:pPr>
            <w:spacing w:line="360" w:lineRule="exact"/>
            <w:ind w:firstLineChars="200" w:firstLine="420"/>
            <w:jc w:val="both"/>
            <w:rPr>
              <w:rFonts w:ascii="宋体" w:hAnsi="宋体" w:hint="eastAsia"/>
              <w:bCs/>
              <w:kern w:val="2"/>
              <w:szCs w:val="22"/>
            </w:rPr>
          </w:pPr>
          <w:bookmarkStart w:id="85" w:name="OLE_LINK43"/>
          <w:r>
            <w:rPr>
              <w:rFonts w:ascii="宋体" w:hAnsi="宋体" w:hint="eastAsia"/>
              <w:bCs/>
              <w:kern w:val="2"/>
              <w:szCs w:val="22"/>
            </w:rPr>
            <w:t>报告期内，公司坚持创新驱动战略，全年研发投入3.06亿元，占营业收入比重达7.82%；全年申请专利73项，获得授权42项，成功获批“国家企业技术中心”及“国家级博士后科研工作站”，为企业持续创新提供了坚实平台支撑。</w:t>
          </w:r>
        </w:p>
        <w:p w14:paraId="1D35CB7A" w14:textId="77777777" w:rsidR="00577D08" w:rsidRDefault="00330FC0">
          <w:pPr>
            <w:spacing w:line="360" w:lineRule="exact"/>
            <w:ind w:firstLineChars="200" w:firstLine="422"/>
            <w:jc w:val="both"/>
            <w:rPr>
              <w:rFonts w:ascii="宋体" w:hAnsi="宋体" w:hint="eastAsia"/>
              <w:b/>
              <w:bCs/>
              <w:kern w:val="2"/>
              <w:szCs w:val="22"/>
            </w:rPr>
          </w:pPr>
          <w:bookmarkStart w:id="86" w:name="OLE_LINK48"/>
          <w:r>
            <w:rPr>
              <w:rFonts w:ascii="宋体" w:hAnsi="宋体" w:hint="eastAsia"/>
              <w:b/>
              <w:bCs/>
              <w:kern w:val="2"/>
              <w:szCs w:val="22"/>
            </w:rPr>
            <w:t>1、电力变压器领域</w:t>
          </w:r>
        </w:p>
        <w:p w14:paraId="33CBCC1C"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（1）110kV天然酯绝缘油变压器</w:t>
          </w:r>
        </w:p>
        <w:p w14:paraId="2C620EE9"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成功研制国内最大容量110kV天然酯绝缘油变压器，突破高电压等级天然酯绝缘油应用的关键技术瓶颈。通过优化绝缘结构设计与介质匹配，系统解决天然酯黏度大、冷却性能差异化等技术难题，实现环保材料与高电压等级电气性能的协同适配，为绿色电力装备发展提供技术支撑。</w:t>
          </w:r>
        </w:p>
        <w:p w14:paraId="48E2D816"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（2）220kV三相一体自耦变压器</w:t>
          </w:r>
        </w:p>
        <w:p w14:paraId="41889CDB"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成功研发首台220kV三相一体自耦变压器，应用于乌兹别克斯坦国内最大电站。产品通过沈阳变压器研究院与荷兰KEMA国际国内双认证，攻克三相一体结构在高压大容量条件下的绝缘匹配与电磁耦合关键技术，形成可固化的高电压等级自耦变压器设计与制造技术路径，显著提升海外大型电站项目自主装备配套能力。</w:t>
          </w:r>
        </w:p>
        <w:p w14:paraId="30F667BC"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（3）220kV组合式变压器与低压双分裂变压器</w:t>
          </w:r>
        </w:p>
        <w:p w14:paraId="77F65988"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lastRenderedPageBreak/>
            <w:t>成功研发公司史上最大容量220kV组合式电力变压器及220kV低压双分裂变压器。通过优化组合式结构布局与双分裂绕组电磁特性，显著提升系统在复杂工况下的运行灵活性与故障隔离能力，进一步强化为新能源项目提供高适配性、高可靠性变压器解决方案的综合技术实力。</w:t>
          </w:r>
        </w:p>
        <w:p w14:paraId="40D5A620" w14:textId="77777777" w:rsidR="00577D08" w:rsidRDefault="00330FC0">
          <w:pPr>
            <w:spacing w:line="360" w:lineRule="exact"/>
            <w:ind w:firstLineChars="200" w:firstLine="422"/>
            <w:jc w:val="both"/>
            <w:rPr>
              <w:rFonts w:ascii="宋体" w:hAnsi="宋体" w:hint="eastAsia"/>
              <w:b/>
              <w:kern w:val="2"/>
              <w:szCs w:val="22"/>
            </w:rPr>
          </w:pPr>
          <w:r>
            <w:rPr>
              <w:rFonts w:ascii="宋体" w:hAnsi="宋体" w:hint="eastAsia"/>
              <w:b/>
              <w:kern w:val="2"/>
              <w:szCs w:val="22"/>
            </w:rPr>
            <w:t>（4）基于高频磁性材料与先进结构设计的固态变压器关键技术研究</w:t>
          </w:r>
        </w:p>
        <w:p w14:paraId="5F52ECDE"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开展了固态变压器关键材料Fe基非晶/纳米晶制备技术与应用研究，掌握了FeSiBCuNb纳米晶的制备工艺，所制得的产品性能与市售产品一致，并在高频场景得到应用；开展了固态变压器拓扑结构设计与多物理场仿真研究，目前该项工作正在有序推进。</w:t>
          </w:r>
        </w:p>
        <w:bookmarkEnd w:id="86"/>
        <w:p w14:paraId="0B55F949"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2、</w:t>
          </w:r>
          <w:bookmarkStart w:id="87" w:name="OLE_LINK50"/>
          <w:r>
            <w:rPr>
              <w:rFonts w:ascii="宋体" w:hAnsi="宋体" w:hint="eastAsia"/>
              <w:b/>
              <w:bCs/>
              <w:kern w:val="2"/>
              <w:szCs w:val="22"/>
            </w:rPr>
            <w:t>智能成套领域</w:t>
          </w:r>
          <w:bookmarkEnd w:id="87"/>
        </w:p>
        <w:p w14:paraId="7C4929ED" w14:textId="77777777" w:rsidR="00577D08" w:rsidRDefault="00330FC0">
          <w:pPr>
            <w:spacing w:line="360" w:lineRule="exact"/>
            <w:ind w:firstLineChars="200" w:firstLine="422"/>
            <w:jc w:val="both"/>
            <w:rPr>
              <w:rFonts w:ascii="宋体" w:hAnsi="宋体" w:hint="eastAsia"/>
              <w:b/>
              <w:bCs/>
              <w:kern w:val="2"/>
              <w:szCs w:val="22"/>
            </w:rPr>
          </w:pPr>
          <w:bookmarkStart w:id="88" w:name="OLE_LINK49"/>
          <w:r>
            <w:rPr>
              <w:rFonts w:ascii="宋体" w:hAnsi="宋体" w:hint="eastAsia"/>
              <w:b/>
              <w:bCs/>
              <w:kern w:val="2"/>
              <w:szCs w:val="22"/>
            </w:rPr>
            <w:t>（1）新能源重卡超充桩与智能变充一体机</w:t>
          </w:r>
        </w:p>
        <w:p w14:paraId="1DDA6315"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成功研制新能源重卡超充桩及智能变充一体机，在商用车大功率充电技术领域取得重要阶段性成果。通过突破大功率充电模块热管理、多枪动态功率分配及智能控制策略等关键技术，实现高功率密度与高安全性的协同优化，形成面向新能源重卡场景的集成化、智能化充电解决方案，为商用车电动化转型提供高效可靠的技术支撑。</w:t>
          </w:r>
        </w:p>
        <w:p w14:paraId="5E17EB61" w14:textId="77777777" w:rsidR="00577D08" w:rsidRDefault="00330FC0">
          <w:pPr>
            <w:spacing w:line="360" w:lineRule="exact"/>
            <w:ind w:firstLineChars="200" w:firstLine="422"/>
            <w:jc w:val="both"/>
            <w:rPr>
              <w:rFonts w:ascii="宋体" w:hAnsi="宋体" w:hint="eastAsia"/>
              <w:b/>
              <w:bCs/>
              <w:kern w:val="2"/>
              <w:szCs w:val="22"/>
            </w:rPr>
          </w:pPr>
          <w:bookmarkStart w:id="89" w:name="OLE_LINK29"/>
          <w:bookmarkStart w:id="90" w:name="OLE_LINK30"/>
          <w:r>
            <w:rPr>
              <w:rFonts w:ascii="宋体" w:hAnsi="宋体" w:hint="eastAsia"/>
              <w:b/>
              <w:bCs/>
              <w:kern w:val="2"/>
              <w:szCs w:val="22"/>
            </w:rPr>
            <w:t>（2）新一代环保气体绝缘金属封闭开关设备（C-GIS）</w:t>
          </w:r>
        </w:p>
        <w:p w14:paraId="56ADBE68"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成功推出新一代环保气体绝缘金属封闭开关设备（</w:t>
          </w:r>
          <w:r>
            <w:rPr>
              <w:rFonts w:ascii="宋体" w:hAnsi="宋体"/>
              <w:bCs/>
              <w:kern w:val="2"/>
              <w:szCs w:val="22"/>
            </w:rPr>
            <w:t>C-GIS</w:t>
          </w:r>
          <w:r>
            <w:rPr>
              <w:rFonts w:ascii="宋体" w:hAnsi="宋体" w:hint="eastAsia"/>
              <w:bCs/>
              <w:kern w:val="2"/>
              <w:szCs w:val="22"/>
            </w:rPr>
            <w:t>），采用环保绝缘介质替代传统</w:t>
          </w:r>
          <w:r>
            <w:rPr>
              <w:rFonts w:ascii="宋体" w:hAnsi="宋体"/>
              <w:bCs/>
              <w:kern w:val="2"/>
              <w:szCs w:val="22"/>
            </w:rPr>
            <w:t>SF</w:t>
          </w:r>
          <w:r>
            <w:rPr>
              <w:rFonts w:ascii="Cambria Math" w:hAnsi="Cambria Math" w:cs="Cambria Math"/>
              <w:bCs/>
              <w:kern w:val="2"/>
              <w:szCs w:val="22"/>
            </w:rPr>
            <w:t>₆</w:t>
          </w:r>
          <w:r>
            <w:rPr>
              <w:rFonts w:ascii="宋体" w:hAnsi="宋体" w:hint="eastAsia"/>
              <w:bCs/>
              <w:kern w:val="2"/>
              <w:szCs w:val="22"/>
            </w:rPr>
            <w:t>，在保持高可靠性与小型化优势的同时，实现温室气体零排放，满足绿色电力装备发展趋势，巩固在</w:t>
          </w:r>
          <w:r>
            <w:rPr>
              <w:rFonts w:ascii="宋体" w:hAnsi="宋体"/>
              <w:bCs/>
              <w:kern w:val="2"/>
              <w:szCs w:val="22"/>
            </w:rPr>
            <w:t>40.5kV</w:t>
          </w:r>
          <w:r>
            <w:rPr>
              <w:rFonts w:ascii="宋体" w:hAnsi="宋体" w:hint="eastAsia"/>
              <w:bCs/>
              <w:kern w:val="2"/>
              <w:szCs w:val="22"/>
            </w:rPr>
            <w:t>电压等级开关设备领域的技术领先地位。</w:t>
          </w:r>
        </w:p>
        <w:bookmarkEnd w:id="88"/>
        <w:bookmarkEnd w:id="89"/>
        <w:bookmarkEnd w:id="90"/>
        <w:p w14:paraId="626E7146" w14:textId="77777777" w:rsidR="00577D08" w:rsidRDefault="00330FC0">
          <w:pPr>
            <w:spacing w:line="360" w:lineRule="exact"/>
            <w:ind w:firstLineChars="200" w:firstLine="422"/>
            <w:jc w:val="both"/>
            <w:rPr>
              <w:rFonts w:ascii="宋体" w:hAnsi="宋体" w:hint="eastAsia"/>
              <w:b/>
              <w:bCs/>
              <w:kern w:val="2"/>
              <w:szCs w:val="22"/>
            </w:rPr>
          </w:pPr>
          <w:r>
            <w:rPr>
              <w:rFonts w:ascii="宋体" w:hAnsi="宋体" w:hint="eastAsia"/>
              <w:b/>
              <w:bCs/>
              <w:kern w:val="2"/>
              <w:szCs w:val="22"/>
            </w:rPr>
            <w:t>3、取向硅钢领域</w:t>
          </w:r>
          <w:bookmarkStart w:id="91" w:name="OLE_LINK45"/>
        </w:p>
        <w:p w14:paraId="41FC6DEF"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聚焦高硅薄带取向硅钢（C20QH075）的研发，系统开展成分设计、薄带轧制工艺与磁性能协同调控研究，攻克高硅材料脆性大、加工难度高等关键技术难题。通过优化组织织构与磁畴结构，实现铁损与磁感性能的协同提升，形成可固化的高硅薄带材料制备与工艺控制技术路径，显著提升产品在高端变压器领域的应用适配性，进一步巩固行业技术领先地位。</w:t>
          </w:r>
        </w:p>
        <w:bookmarkEnd w:id="91"/>
        <w:p w14:paraId="0C124C0F"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基于高精度仿真的取向硅钢叠铁芯变压器性能优化与先进设计研究，构建高精度仿真模型，实现材料利用率与电磁性能的协同优化，达成铁心损耗的显著降低，形成可固化的叠铁心高精度仿真与先进设计技术路径，为变压器产品性能提升与设计体系升级提供核心技术支撑。</w:t>
          </w:r>
        </w:p>
        <w:p w14:paraId="34FC93F2"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2025年公司技术创新成果显著，标志着公司已具备国际一流的高端电力装备研发能力，为公司战略转型提供了坚实支撑。</w:t>
          </w:r>
        </w:p>
        <w:bookmarkEnd w:id="85"/>
        <w:p w14:paraId="58C4831A"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（五）智能制造与运营效能提升</w:t>
          </w:r>
        </w:p>
        <w:p w14:paraId="05E674A2"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2025年，公司生产端全面推进智能制造转型，有效提升产品一致性与良品率；技术端引入工艺优化模型，显著提升加工精度、降低材料损耗；运营端加速打通信息壁垒，核心板块率先实现MES与ERP系统贯通，生产计划与库存状态实时同步，订单交付周期明显缩短；供应链管理系统实现全流程线上闭环，供应商协同效率显著提升，原材料价格预警机制精准赋能采购决策。</w:t>
          </w:r>
        </w:p>
        <w:p w14:paraId="75152BD0"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通过“智能驱动、数据贯通、产业协同”的多维发力，公司整体产能释放能力与运营能力得到稳定提升。智能技术应用提升了制造精度与产品稳定性，系统互联互通让生产与库存管理更高效透明，供应链整合则增强了响应速度与决策准确性。技术与管理的双重创新，使整体运营效率和产能释放能力获得系统性提升。</w:t>
          </w:r>
        </w:p>
        <w:p w14:paraId="483EB6E9"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（六）公司治理与内控管理</w:t>
          </w:r>
        </w:p>
        <w:p w14:paraId="28FBD54C"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lastRenderedPageBreak/>
            <w:t>治理架构持续优化。报告期内，公司调整治理结构、优化组织架构，扎实推进人才与团队建设。国家博士后科研工作站获批落地，集团培训中心有效运行，通过技能培训与实战锻炼，强化技术与生产团队支撑能力，提升部门协同效能。</w:t>
          </w:r>
        </w:p>
        <w:p w14:paraId="6032977A"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质量管理再上新台阶。建立月度评审闭环机制，提升质量管理效率。集团新材料事业部荣获重庆市“制造业皇冠上的明珠”荣誉称号，云变电气荣获“云南省制造业单项冠军企业”称号。</w:t>
          </w:r>
        </w:p>
        <w:p w14:paraId="0FEA1F7B"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采购与供应链管理成效显著。降本增效与风险管控双向发力，引进行业前十优质供应商16家，降本效果明显。</w:t>
          </w:r>
        </w:p>
        <w:p w14:paraId="23C66456" w14:textId="77777777" w:rsidR="00577D08" w:rsidRDefault="00330FC0">
          <w:pPr>
            <w:spacing w:line="360" w:lineRule="exact"/>
            <w:ind w:firstLineChars="200" w:firstLine="420"/>
            <w:jc w:val="both"/>
            <w:rPr>
              <w:rFonts w:ascii="宋体" w:hAnsi="宋体" w:hint="eastAsia"/>
              <w:bCs/>
              <w:kern w:val="2"/>
              <w:szCs w:val="22"/>
            </w:rPr>
          </w:pPr>
          <w:r>
            <w:rPr>
              <w:rFonts w:ascii="宋体" w:hAnsi="宋体" w:hint="eastAsia"/>
              <w:bCs/>
              <w:kern w:val="2"/>
              <w:szCs w:val="22"/>
            </w:rPr>
            <w:t>法务审计与安全环保筑牢防线。全年无工亡事故，各类事故发生率同比下降40%，隐患整改率100%，连续4年获评重庆市环境信用评价诚信企业。</w:t>
          </w:r>
        </w:p>
        <w:p w14:paraId="0D0408FE"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宋体" w:hAnsi="宋体" w:hint="eastAsia"/>
              <w:bCs/>
              <w:kern w:val="2"/>
              <w:szCs w:val="22"/>
            </w:rPr>
            <w:t>报告期内，公司通过优化治理架构与人才梯队，夯实了组织根基。数字化与质量管理的深度融合提升了运营效率，核心业务凭借专业实力荣获权威认可，有效保障了生产安全与绿色发展，为高质量增长提供了坚实保障。</w:t>
          </w:r>
        </w:p>
      </w:sdtContent>
    </w:sdt>
    <w:bookmarkEnd w:id="60"/>
    <w:bookmarkEnd w:id="64"/>
    <w:bookmarkEnd w:id="63"/>
    <w:p w14:paraId="6ED9B244" w14:textId="77777777" w:rsidR="00577D08" w:rsidRDefault="00330FC0">
      <w:pPr>
        <w:pStyle w:val="2"/>
        <w:numPr>
          <w:ilvl w:val="0"/>
          <w:numId w:val="7"/>
        </w:numPr>
        <w:ind w:left="369" w:hangingChars="175" w:hanging="369"/>
      </w:pPr>
      <w:r>
        <w:rPr>
          <w:rFonts w:hint="eastAsia"/>
        </w:rPr>
        <w:t>报告期内核心竞争力分析</w:t>
      </w:r>
    </w:p>
    <w:sdt>
      <w:sdtPr>
        <w:alias w:val="是否适用：报告期内核心竞争力分析[双击切换]"/>
        <w:tag w:val="_GBC_a03591f0f7444c9b8f5c55d6f75c3136"/>
        <w:id w:val="-1276712518"/>
        <w:placeholder>
          <w:docPart w:val="GBC22222222222222222222222222222"/>
        </w:placeholder>
      </w:sdtPr>
      <w:sdtContent>
        <w:p w14:paraId="3098CB2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核心竞争力分析"/>
        <w:tag w:val="_GBC_956a57b53cd74344a32f2309bcc5f344"/>
        <w:id w:val="-468981421"/>
        <w:placeholder>
          <w:docPart w:val="GBC22222222222222222222222222222"/>
        </w:placeholder>
      </w:sdtPr>
      <w:sdtContent>
        <w:p w14:paraId="70B7232F" w14:textId="77777777" w:rsidR="00577D08" w:rsidRDefault="00330FC0">
          <w:pPr>
            <w:spacing w:line="360" w:lineRule="exact"/>
            <w:ind w:firstLineChars="200" w:firstLine="420"/>
            <w:jc w:val="both"/>
          </w:pPr>
          <w:r>
            <w:rPr>
              <w:rFonts w:hint="eastAsia"/>
            </w:rPr>
            <w:t>报告期内，公司紧扣“双碳”战略与新型电力系统建设机遇，坚持“技术引领</w:t>
          </w:r>
          <w:r>
            <w:rPr>
              <w:rFonts w:hint="eastAsia"/>
            </w:rPr>
            <w:t>+</w:t>
          </w:r>
          <w:r>
            <w:rPr>
              <w:rFonts w:hint="eastAsia"/>
            </w:rPr>
            <w:t>产业链协同”双轮驱动，通过上游材料端的技术突破、中游制造端的能级跃升、下游应用端的场景延伸，持续巩固全产业链协同优势。</w:t>
          </w:r>
          <w:r>
            <w:rPr>
              <w:rFonts w:hint="eastAsia"/>
            </w:rPr>
            <w:t>2025</w:t>
          </w:r>
          <w:r>
            <w:rPr>
              <w:rFonts w:hint="eastAsia"/>
            </w:rPr>
            <w:t>年，随着八万吨高端磁性材料项目稳产增效、云变电气整合效应释放及兆瓦级智能超充网络的落地，公司核心竞争力进一步凸显。具体体现如下：</w:t>
          </w:r>
        </w:p>
        <w:p w14:paraId="3CCDB7DD"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（一）全产业链垂直整合优势，构筑高效协同的产业基础</w:t>
          </w:r>
        </w:p>
        <w:p w14:paraId="3B136171" w14:textId="77777777" w:rsidR="00577D08" w:rsidRDefault="00330FC0">
          <w:pPr>
            <w:spacing w:line="360" w:lineRule="exact"/>
            <w:ind w:firstLineChars="200" w:firstLine="420"/>
            <w:jc w:val="both"/>
          </w:pPr>
          <w:r>
            <w:rPr>
              <w:rFonts w:hint="eastAsia"/>
            </w:rPr>
            <w:t>公司作为国内唯一实现</w:t>
          </w:r>
          <w:bookmarkStart w:id="92" w:name="OLE_LINK88"/>
          <w:bookmarkStart w:id="93" w:name="OLE_LINK89"/>
          <w:r>
            <w:rPr>
              <w:rFonts w:hint="eastAsia"/>
            </w:rPr>
            <w:t>“取向硅钢—变压器核心材料—电力变压器—成套电气设备”</w:t>
          </w:r>
          <w:bookmarkEnd w:id="92"/>
          <w:bookmarkEnd w:id="93"/>
          <w:r>
            <w:rPr>
              <w:rFonts w:hint="eastAsia"/>
            </w:rPr>
            <w:t>全产业链布局的国家级高新技术企业，依托</w:t>
          </w:r>
          <w:r>
            <w:rPr>
              <w:rFonts w:hint="eastAsia"/>
            </w:rPr>
            <w:t>2017</w:t>
          </w:r>
          <w:r>
            <w:rPr>
              <w:rFonts w:hint="eastAsia"/>
            </w:rPr>
            <w:t>年建成投产的西南地区首条取向硅钢生产线，填补了区域产业空白，实现了上游关键材料的自主可控。</w:t>
          </w:r>
        </w:p>
        <w:p w14:paraId="718E02D1" w14:textId="77777777" w:rsidR="00577D08" w:rsidRDefault="00330FC0">
          <w:pPr>
            <w:spacing w:line="360" w:lineRule="exact"/>
            <w:ind w:firstLineChars="200" w:firstLine="420"/>
            <w:jc w:val="both"/>
          </w:pPr>
          <w:r>
            <w:rPr>
              <w:rFonts w:hint="eastAsia"/>
            </w:rPr>
            <w:t>报告期内，公司充分发挥产业链双向赋能机制，将下游变压器在新能源、轨道交通等应用场景的能效需求精准反馈至上游硅钢研发环节，推动高牌号产品产出结构持续优化。八万吨高端磁性材料项目全年保持满产满销，</w:t>
          </w:r>
          <w:r>
            <w:rPr>
              <w:rFonts w:hint="eastAsia"/>
            </w:rPr>
            <w:t>085</w:t>
          </w:r>
          <w:r>
            <w:rPr>
              <w:rFonts w:hint="eastAsia"/>
            </w:rPr>
            <w:t>及以上高牌号产出占比稳步提升，成功攻克</w:t>
          </w:r>
          <w:r>
            <w:rPr>
              <w:rFonts w:hint="eastAsia"/>
            </w:rPr>
            <w:t>075</w:t>
          </w:r>
          <w:r>
            <w:rPr>
              <w:rFonts w:hint="eastAsia"/>
            </w:rPr>
            <w:t>牌号高磁感取向硅钢技术壁垒，核心性能指标达到国内先进水平。年内成功为云变电气及核心战略客户批量供应自产高性能取向硅钢，形成了“以材补器、以器促材”的良性内循环优势，有效保障了高端变压器原材料的供应稳定性，显著降低对外部采购的依赖及市场价格波动风险。</w:t>
          </w:r>
        </w:p>
        <w:p w14:paraId="700EF2CD"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（二）高端装备制造能级跃升，夯实技术领先优势</w:t>
          </w:r>
        </w:p>
        <w:p w14:paraId="08858B73" w14:textId="77777777" w:rsidR="00577D08" w:rsidRDefault="00330FC0">
          <w:pPr>
            <w:spacing w:line="360" w:lineRule="exact"/>
            <w:ind w:firstLineChars="200" w:firstLine="420"/>
            <w:jc w:val="both"/>
          </w:pPr>
          <w:r>
            <w:rPr>
              <w:rFonts w:hint="eastAsia"/>
            </w:rPr>
            <w:t>公司通过控股云变电气，实现高压领域资质的战略性突破，成为国内少数具备</w:t>
          </w:r>
          <w:r>
            <w:rPr>
              <w:rFonts w:hint="eastAsia"/>
            </w:rPr>
            <w:t>500kV</w:t>
          </w:r>
          <w:r>
            <w:rPr>
              <w:rFonts w:hint="eastAsia"/>
            </w:rPr>
            <w:t>级电力变压器生产资质的民营企业，成功切入高压输变电及特高压配套核心市场。</w:t>
          </w:r>
        </w:p>
        <w:p w14:paraId="064380B0" w14:textId="77777777" w:rsidR="00577D08" w:rsidRDefault="00330FC0">
          <w:pPr>
            <w:spacing w:line="360" w:lineRule="exact"/>
            <w:ind w:firstLineChars="200" w:firstLine="422"/>
            <w:jc w:val="both"/>
            <w:outlineLvl w:val="3"/>
            <w:rPr>
              <w:rFonts w:ascii="宋体" w:hAnsi="宋体" w:hint="eastAsia"/>
              <w:b/>
              <w:bCs/>
              <w:kern w:val="2"/>
              <w:szCs w:val="22"/>
            </w:rPr>
          </w:pPr>
          <w:r>
            <w:rPr>
              <w:rFonts w:ascii="宋体" w:hAnsi="宋体" w:hint="eastAsia"/>
              <w:b/>
              <w:bCs/>
              <w:kern w:val="2"/>
              <w:szCs w:val="22"/>
            </w:rPr>
            <w:t>1、轨道交通牵引变压器领域</w:t>
          </w:r>
        </w:p>
        <w:p w14:paraId="66ACA578" w14:textId="77777777" w:rsidR="00577D08" w:rsidRDefault="00330FC0">
          <w:pPr>
            <w:spacing w:line="360" w:lineRule="exact"/>
            <w:ind w:firstLineChars="200" w:firstLine="420"/>
            <w:jc w:val="both"/>
          </w:pPr>
          <w:r>
            <w:rPr>
              <w:rFonts w:hint="eastAsia"/>
            </w:rPr>
            <w:t>凭借云变电气近</w:t>
          </w:r>
          <w:r>
            <w:rPr>
              <w:rFonts w:hint="eastAsia"/>
            </w:rPr>
            <w:t>90</w:t>
          </w:r>
          <w:r>
            <w:rPr>
              <w:rFonts w:hint="eastAsia"/>
            </w:rPr>
            <w:t>年的专业积淀与持续创新，常年保持细分市场领先份额，产品作为“中国高铁”核心装备之一，成功应用于京雄、京张等国家重点高铁项目，彰显技术标杆地位与技术自主可控实力。</w:t>
          </w:r>
        </w:p>
        <w:p w14:paraId="0854DC04" w14:textId="77777777" w:rsidR="00577D08" w:rsidRDefault="00330FC0">
          <w:pPr>
            <w:spacing w:line="360" w:lineRule="exact"/>
            <w:ind w:firstLineChars="200" w:firstLine="422"/>
            <w:jc w:val="both"/>
            <w:outlineLvl w:val="3"/>
            <w:rPr>
              <w:rFonts w:ascii="宋体" w:hAnsi="宋体" w:hint="eastAsia"/>
              <w:b/>
              <w:bCs/>
              <w:kern w:val="2"/>
              <w:szCs w:val="22"/>
            </w:rPr>
          </w:pPr>
          <w:r>
            <w:rPr>
              <w:rFonts w:ascii="宋体" w:hAnsi="宋体" w:hint="eastAsia"/>
              <w:b/>
              <w:bCs/>
              <w:kern w:val="2"/>
              <w:szCs w:val="22"/>
            </w:rPr>
            <w:t>2、高原特种变压器领域</w:t>
          </w:r>
        </w:p>
        <w:p w14:paraId="3A893CC0" w14:textId="77777777" w:rsidR="00577D08" w:rsidRDefault="00330FC0">
          <w:pPr>
            <w:spacing w:line="360" w:lineRule="exact"/>
            <w:ind w:firstLineChars="200" w:firstLine="420"/>
            <w:jc w:val="both"/>
          </w:pPr>
          <w:r>
            <w:rPr>
              <w:rFonts w:hint="eastAsia"/>
            </w:rPr>
            <w:t>产品成功应用于海拔</w:t>
          </w:r>
          <w:r>
            <w:rPr>
              <w:rFonts w:hint="eastAsia"/>
            </w:rPr>
            <w:t>5,100</w:t>
          </w:r>
          <w:r>
            <w:rPr>
              <w:rFonts w:hint="eastAsia"/>
            </w:rPr>
            <w:t>米的西藏措美哲古风电场，关键性能指标（如局放水平、温升控制）高于行业平均水平。依托高原本土化制造基地、专业化服务团队及成熟的属地化运维体系，</w:t>
          </w:r>
          <w:r>
            <w:rPr>
              <w:rFonts w:hint="eastAsia"/>
            </w:rPr>
            <w:lastRenderedPageBreak/>
            <w:t>公司深度服务国家“西电东送”战略，在雅下水电开发项目中持续履约供应电力设备，并全程参与西藏地区城网改造一至三期建设任务，进一步巩固了在高海拔、复杂地理环境下的市场话语权与快速响应能力。</w:t>
          </w:r>
        </w:p>
        <w:p w14:paraId="3DEC6D8A" w14:textId="77777777" w:rsidR="00577D08" w:rsidRDefault="00330FC0">
          <w:pPr>
            <w:spacing w:line="360" w:lineRule="exact"/>
            <w:ind w:firstLineChars="200" w:firstLine="422"/>
            <w:jc w:val="both"/>
            <w:outlineLvl w:val="3"/>
            <w:rPr>
              <w:rFonts w:ascii="宋体" w:hAnsi="宋体" w:hint="eastAsia"/>
              <w:b/>
              <w:bCs/>
              <w:kern w:val="2"/>
              <w:szCs w:val="22"/>
            </w:rPr>
          </w:pPr>
          <w:r>
            <w:rPr>
              <w:rFonts w:ascii="宋体" w:hAnsi="宋体" w:hint="eastAsia"/>
              <w:b/>
              <w:bCs/>
              <w:kern w:val="2"/>
              <w:szCs w:val="22"/>
            </w:rPr>
            <w:t>3、技术创新平台支撑</w:t>
          </w:r>
        </w:p>
        <w:p w14:paraId="32330E2A" w14:textId="77777777" w:rsidR="00577D08" w:rsidRDefault="00330FC0">
          <w:pPr>
            <w:spacing w:line="360" w:lineRule="exact"/>
            <w:ind w:firstLineChars="200" w:firstLine="420"/>
            <w:jc w:val="both"/>
          </w:pPr>
          <w:r>
            <w:rPr>
              <w:rFonts w:hint="eastAsia"/>
            </w:rPr>
            <w:t>报告期内，公司成功获批“国家企业技术中心”及“国家级博士后科研工作站”，跻身国家技术创新体系“第一梯队”。全年研发投入</w:t>
          </w:r>
          <w:r>
            <w:rPr>
              <w:rFonts w:hint="eastAsia"/>
            </w:rPr>
            <w:t>3.06</w:t>
          </w:r>
          <w:r>
            <w:rPr>
              <w:rFonts w:hint="eastAsia"/>
            </w:rPr>
            <w:t>亿元，占营业收入比重</w:t>
          </w:r>
          <w:r>
            <w:rPr>
              <w:rFonts w:hint="eastAsia"/>
            </w:rPr>
            <w:t>7.82%</w:t>
          </w:r>
          <w:r>
            <w:rPr>
              <w:rFonts w:hint="eastAsia"/>
            </w:rPr>
            <w:t>，累计获专利授权</w:t>
          </w:r>
          <w:r>
            <w:rPr>
              <w:rFonts w:hint="eastAsia"/>
            </w:rPr>
            <w:t>300</w:t>
          </w:r>
          <w:r>
            <w:rPr>
              <w:rFonts w:hint="eastAsia"/>
            </w:rPr>
            <w:t>余项，主导参与国家标准制定</w:t>
          </w:r>
          <w:r>
            <w:rPr>
              <w:rFonts w:hint="eastAsia"/>
            </w:rPr>
            <w:t>10</w:t>
          </w:r>
          <w:r>
            <w:rPr>
              <w:rFonts w:hint="eastAsia"/>
            </w:rPr>
            <w:t>余项，为高端装备持续升级提供了坚实的创新平台支撑。</w:t>
          </w:r>
        </w:p>
        <w:p w14:paraId="6BB34296"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（三）产品结构高端化与一站式解决方案能力，深度绑定客户价值</w:t>
          </w:r>
        </w:p>
        <w:p w14:paraId="570E72D2" w14:textId="77777777" w:rsidR="00577D08" w:rsidRDefault="00330FC0">
          <w:pPr>
            <w:spacing w:line="360" w:lineRule="exact"/>
            <w:ind w:firstLineChars="200" w:firstLine="420"/>
            <w:jc w:val="both"/>
          </w:pPr>
          <w:r>
            <w:rPr>
              <w:rFonts w:hint="eastAsia"/>
            </w:rPr>
            <w:t>报告期内，公司持续推进高端化战略，高电压等级产品实现快速增长。</w:t>
          </w:r>
          <w:r>
            <w:rPr>
              <w:rFonts w:hint="eastAsia"/>
            </w:rPr>
            <w:t>110kV</w:t>
          </w:r>
          <w:r>
            <w:rPr>
              <w:rFonts w:hint="eastAsia"/>
            </w:rPr>
            <w:t>及以上变压器产品实现营业收入</w:t>
          </w:r>
          <w:r>
            <w:rPr>
              <w:rFonts w:hint="eastAsia"/>
            </w:rPr>
            <w:t>110,297</w:t>
          </w:r>
          <w:r>
            <w:rPr>
              <w:rFonts w:hint="eastAsia"/>
            </w:rPr>
            <w:t>万元，同比增长</w:t>
          </w:r>
          <w:r>
            <w:rPr>
              <w:rFonts w:hint="eastAsia"/>
            </w:rPr>
            <w:t>74.39%</w:t>
          </w:r>
          <w:r>
            <w:rPr>
              <w:rFonts w:hint="eastAsia"/>
            </w:rPr>
            <w:t>，占同类型业务收入比重从</w:t>
          </w:r>
          <w:r>
            <w:rPr>
              <w:rFonts w:hint="eastAsia"/>
            </w:rPr>
            <w:t>44.05%</w:t>
          </w:r>
          <w:r>
            <w:rPr>
              <w:rFonts w:hint="eastAsia"/>
            </w:rPr>
            <w:t>提升至</w:t>
          </w:r>
          <w:r>
            <w:rPr>
              <w:rFonts w:hint="eastAsia"/>
            </w:rPr>
            <w:t>60.01%</w:t>
          </w:r>
          <w:r>
            <w:rPr>
              <w:rFonts w:hint="eastAsia"/>
            </w:rPr>
            <w:t>，提升</w:t>
          </w:r>
          <w:r>
            <w:rPr>
              <w:rFonts w:hint="eastAsia"/>
            </w:rPr>
            <w:t>15.96</w:t>
          </w:r>
          <w:r>
            <w:rPr>
              <w:rFonts w:hint="eastAsia"/>
            </w:rPr>
            <w:t>个百分点。高附加值、高技术壁垒的高电压等级产品已成为拉动输配电业务增长的核心引擎。</w:t>
          </w:r>
        </w:p>
        <w:p w14:paraId="6057C5B8" w14:textId="77777777" w:rsidR="00577D08" w:rsidRDefault="00330FC0">
          <w:pPr>
            <w:spacing w:line="360" w:lineRule="exact"/>
            <w:ind w:firstLineChars="200" w:firstLine="422"/>
            <w:jc w:val="both"/>
            <w:outlineLvl w:val="3"/>
            <w:rPr>
              <w:rFonts w:ascii="宋体" w:hAnsi="宋体" w:hint="eastAsia"/>
              <w:b/>
              <w:bCs/>
              <w:kern w:val="2"/>
              <w:szCs w:val="22"/>
            </w:rPr>
          </w:pPr>
          <w:r>
            <w:rPr>
              <w:rFonts w:ascii="宋体" w:hAnsi="宋体" w:hint="eastAsia"/>
              <w:b/>
              <w:bCs/>
              <w:kern w:val="2"/>
              <w:szCs w:val="22"/>
            </w:rPr>
            <w:t>1、技术创新成果丰硕</w:t>
          </w:r>
        </w:p>
        <w:p w14:paraId="2248FF1C" w14:textId="77777777" w:rsidR="00577D08" w:rsidRDefault="00330FC0">
          <w:pPr>
            <w:spacing w:line="360" w:lineRule="exact"/>
            <w:ind w:firstLineChars="200" w:firstLine="420"/>
            <w:jc w:val="both"/>
          </w:pPr>
          <w:r>
            <w:rPr>
              <w:rFonts w:hint="eastAsia"/>
            </w:rPr>
            <w:t>自主研发的</w:t>
          </w:r>
          <w:r>
            <w:rPr>
              <w:rFonts w:hint="eastAsia"/>
            </w:rPr>
            <w:t>OSFPSZ18-250000/220</w:t>
          </w:r>
          <w:r>
            <w:rPr>
              <w:rFonts w:hint="eastAsia"/>
            </w:rPr>
            <w:t>自耦电力变压器成功通过荷兰</w:t>
          </w:r>
          <w:r>
            <w:rPr>
              <w:rFonts w:hint="eastAsia"/>
            </w:rPr>
            <w:t>KEMA</w:t>
          </w:r>
          <w:r>
            <w:rPr>
              <w:rFonts w:hint="eastAsia"/>
            </w:rPr>
            <w:t>实验室全套认证测试，获得欧洲高端电力设备市场准入资格，正式跻身全球高端电力设备供应商行列。成功研制国内最大容量</w:t>
          </w:r>
          <w:r>
            <w:rPr>
              <w:rFonts w:hint="eastAsia"/>
            </w:rPr>
            <w:t>110kV</w:t>
          </w:r>
          <w:r>
            <w:rPr>
              <w:rFonts w:hint="eastAsia"/>
            </w:rPr>
            <w:t>天然酯绝缘油变压器、首台</w:t>
          </w:r>
          <w:r>
            <w:rPr>
              <w:rFonts w:hint="eastAsia"/>
            </w:rPr>
            <w:t>220kV</w:t>
          </w:r>
          <w:r>
            <w:rPr>
              <w:rFonts w:hint="eastAsia"/>
            </w:rPr>
            <w:t>三相一体自耦变压器等高端产品；成功研制智能变充一体机和新能源重卡超充桩，实现“变电站</w:t>
          </w:r>
          <w:r>
            <w:rPr>
              <w:rFonts w:hint="eastAsia"/>
            </w:rPr>
            <w:t>+</w:t>
          </w:r>
          <w:r>
            <w:rPr>
              <w:rFonts w:hint="eastAsia"/>
            </w:rPr>
            <w:t>充电堆”深度融合与预制化集成，在商用车大功率充电技术领域取得重要突破；成功推出新一代环保气体绝缘金属封闭开关设备（</w:t>
          </w:r>
          <w:r>
            <w:rPr>
              <w:rFonts w:hint="eastAsia"/>
            </w:rPr>
            <w:t>C-GIS</w:t>
          </w:r>
          <w:r>
            <w:rPr>
              <w:rFonts w:hint="eastAsia"/>
            </w:rPr>
            <w:t>），实现温室气体零排放；成功攻克高硅薄带取向硅钢（</w:t>
          </w:r>
          <w:r>
            <w:rPr>
              <w:rFonts w:hint="eastAsia"/>
            </w:rPr>
            <w:t>C20QH075</w:t>
          </w:r>
          <w:r>
            <w:rPr>
              <w:rFonts w:hint="eastAsia"/>
            </w:rPr>
            <w:t>）技术壁垒。</w:t>
          </w:r>
        </w:p>
        <w:p w14:paraId="656F91C9" w14:textId="77777777" w:rsidR="00577D08" w:rsidRDefault="00330FC0">
          <w:pPr>
            <w:spacing w:line="360" w:lineRule="exact"/>
            <w:ind w:firstLineChars="200" w:firstLine="422"/>
            <w:jc w:val="both"/>
            <w:outlineLvl w:val="3"/>
            <w:rPr>
              <w:rFonts w:ascii="宋体" w:hAnsi="宋体" w:hint="eastAsia"/>
              <w:b/>
              <w:bCs/>
              <w:kern w:val="2"/>
              <w:szCs w:val="22"/>
            </w:rPr>
          </w:pPr>
          <w:r>
            <w:rPr>
              <w:rFonts w:ascii="宋体" w:hAnsi="宋体" w:hint="eastAsia"/>
              <w:b/>
              <w:bCs/>
              <w:kern w:val="2"/>
              <w:szCs w:val="22"/>
            </w:rPr>
            <w:t>2、一站式解决方案能力</w:t>
          </w:r>
        </w:p>
        <w:p w14:paraId="0438CA34" w14:textId="77777777" w:rsidR="00577D08" w:rsidRDefault="00330FC0">
          <w:pPr>
            <w:spacing w:line="360" w:lineRule="exact"/>
            <w:ind w:firstLineChars="200" w:firstLine="420"/>
            <w:jc w:val="both"/>
          </w:pPr>
          <w:r>
            <w:rPr>
              <w:rFonts w:hint="eastAsia"/>
            </w:rPr>
            <w:t>公司依托纵向一体化的产业链优势，构建了覆盖基础材料（高磁感取向硅钢）、核心部件（低铁损铁芯）、终端设备（</w:t>
          </w:r>
          <w:r>
            <w:rPr>
              <w:rFonts w:hint="eastAsia"/>
            </w:rPr>
            <w:t>500kV</w:t>
          </w:r>
          <w:r>
            <w:rPr>
              <w:rFonts w:hint="eastAsia"/>
            </w:rPr>
            <w:t>级变压器、牵引变压器、新能源变压器）及系统集成（智能箱式变电站、成套电气设备）的全产品矩阵。报告期内，通过“材料—装备—服务—运营”组合投标模式，有效提升了在国家电网、南方电网及重点能源央企招标项目中的中标率，并与核心客户建立了深度协同创新机制。公司紧跟国家能源转型步伐，输配电及控制设备在风电、光伏及储能等新能源领域订单实现快速增长，成功为中国能建、国家电投等能源巨头提供核心装备。公司致力于从单一设备供应商向“全生命周期服务商”迈进，通过提供从材料选型、设备定制到智能运维的全链条服务，帮助客户显著降低综合采购成本与后期运维压力。</w:t>
          </w:r>
        </w:p>
        <w:p w14:paraId="11B1DBE0"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（四）国际化布局与新能源战略延伸，开拓全球增长新空间</w:t>
          </w:r>
        </w:p>
        <w:p w14:paraId="6F4CCF94" w14:textId="77777777" w:rsidR="00577D08" w:rsidRDefault="00330FC0">
          <w:pPr>
            <w:spacing w:line="360" w:lineRule="exact"/>
            <w:ind w:firstLineChars="200" w:firstLine="420"/>
            <w:jc w:val="both"/>
          </w:pPr>
          <w:r>
            <w:rPr>
              <w:rFonts w:hint="eastAsia"/>
            </w:rPr>
            <w:t>公司构建“立足西南、辐射全国、布局全球”的战略发展格局，同步开辟新能源充电基础设施新增长曲线。</w:t>
          </w:r>
        </w:p>
        <w:p w14:paraId="70C44B3C" w14:textId="77777777" w:rsidR="00577D08" w:rsidRDefault="00330FC0">
          <w:pPr>
            <w:spacing w:line="360" w:lineRule="exact"/>
            <w:ind w:firstLineChars="200" w:firstLine="422"/>
            <w:jc w:val="both"/>
            <w:outlineLvl w:val="3"/>
            <w:rPr>
              <w:rFonts w:ascii="宋体" w:hAnsi="宋体" w:hint="eastAsia"/>
              <w:b/>
              <w:bCs/>
              <w:kern w:val="2"/>
              <w:szCs w:val="22"/>
            </w:rPr>
          </w:pPr>
          <w:r>
            <w:rPr>
              <w:rFonts w:ascii="宋体" w:hAnsi="宋体" w:hint="eastAsia"/>
              <w:b/>
              <w:bCs/>
              <w:kern w:val="2"/>
              <w:szCs w:val="22"/>
            </w:rPr>
            <w:t>1、输配电及控制设备领域国际化</w:t>
          </w:r>
        </w:p>
        <w:p w14:paraId="35874159" w14:textId="77777777" w:rsidR="00577D08" w:rsidRDefault="00330FC0">
          <w:pPr>
            <w:spacing w:line="360" w:lineRule="exact"/>
            <w:ind w:firstLineChars="200" w:firstLine="420"/>
            <w:jc w:val="both"/>
          </w:pPr>
          <w:r>
            <w:rPr>
              <w:rFonts w:hint="eastAsia"/>
            </w:rPr>
            <w:t>依托</w:t>
          </w:r>
          <w:r>
            <w:rPr>
              <w:rFonts w:hint="eastAsia"/>
            </w:rPr>
            <w:t>KEMA</w:t>
          </w:r>
          <w:r>
            <w:rPr>
              <w:rFonts w:hint="eastAsia"/>
            </w:rPr>
            <w:t>认证，公司输配电产品成功打入欧洲高端电力设备市场，获得美国、阿曼和南美洲数据中心终端客户认可。核心产品成功进入国际重大基建项目供应链，完成中国交建马来西亚东海岸铁路项目牵引变压器供货。</w:t>
          </w:r>
        </w:p>
        <w:p w14:paraId="20E2B340" w14:textId="77777777" w:rsidR="00577D08" w:rsidRDefault="00330FC0">
          <w:pPr>
            <w:spacing w:line="360" w:lineRule="exact"/>
            <w:ind w:firstLineChars="200" w:firstLine="422"/>
            <w:jc w:val="both"/>
            <w:outlineLvl w:val="3"/>
            <w:rPr>
              <w:rFonts w:ascii="宋体" w:hAnsi="宋体" w:hint="eastAsia"/>
              <w:b/>
              <w:bCs/>
              <w:kern w:val="2"/>
              <w:szCs w:val="22"/>
            </w:rPr>
          </w:pPr>
          <w:r>
            <w:rPr>
              <w:rFonts w:ascii="宋体" w:hAnsi="宋体" w:hint="eastAsia"/>
              <w:b/>
              <w:bCs/>
              <w:kern w:val="2"/>
              <w:szCs w:val="22"/>
            </w:rPr>
            <w:t>2、取向硅钢国际化</w:t>
          </w:r>
        </w:p>
        <w:p w14:paraId="34034F67" w14:textId="77777777" w:rsidR="00577D08" w:rsidRDefault="00330FC0">
          <w:pPr>
            <w:spacing w:line="360" w:lineRule="exact"/>
            <w:ind w:firstLineChars="200" w:firstLine="420"/>
            <w:jc w:val="both"/>
          </w:pPr>
          <w:r>
            <w:rPr>
              <w:rFonts w:hint="eastAsia"/>
            </w:rPr>
            <w:t>产品远销东南亚、中东、欧美等地区，与伊藤忠丸红钢铁、浦项国际贸易、美达王等国际知名企业建立稳定战略合作关系。针对中亚、欧洲、非洲、南亚等</w:t>
          </w:r>
          <w:r>
            <w:rPr>
              <w:rFonts w:hint="eastAsia"/>
            </w:rPr>
            <w:t>18</w:t>
          </w:r>
          <w:r>
            <w:rPr>
              <w:rFonts w:hint="eastAsia"/>
            </w:rPr>
            <w:t>个国家共计</w:t>
          </w:r>
          <w:r>
            <w:rPr>
              <w:rFonts w:hint="eastAsia"/>
            </w:rPr>
            <w:t>23</w:t>
          </w:r>
          <w:r>
            <w:rPr>
              <w:rFonts w:hint="eastAsia"/>
            </w:rPr>
            <w:t>个项目进行密</w:t>
          </w:r>
          <w:r>
            <w:rPr>
              <w:rFonts w:hint="eastAsia"/>
            </w:rPr>
            <w:lastRenderedPageBreak/>
            <w:t>切跟踪，建立</w:t>
          </w:r>
          <w:r>
            <w:rPr>
              <w:rFonts w:hint="eastAsia"/>
            </w:rPr>
            <w:t>Google</w:t>
          </w:r>
          <w:r>
            <w:rPr>
              <w:rFonts w:hint="eastAsia"/>
            </w:rPr>
            <w:t>（英文站）、</w:t>
          </w:r>
          <w:r>
            <w:rPr>
              <w:rFonts w:hint="eastAsia"/>
            </w:rPr>
            <w:t>Yandex</w:t>
          </w:r>
          <w:r>
            <w:rPr>
              <w:rFonts w:hint="eastAsia"/>
            </w:rPr>
            <w:t>（俄语站）独立宣传网站及海外社交媒体平台，持续深化全球布局。</w:t>
          </w:r>
        </w:p>
        <w:p w14:paraId="7E0A023F" w14:textId="77777777" w:rsidR="00577D08" w:rsidRDefault="00330FC0">
          <w:pPr>
            <w:spacing w:line="360" w:lineRule="exact"/>
            <w:ind w:firstLineChars="200" w:firstLine="422"/>
            <w:jc w:val="both"/>
            <w:outlineLvl w:val="3"/>
            <w:rPr>
              <w:rFonts w:ascii="宋体" w:hAnsi="宋体" w:hint="eastAsia"/>
              <w:b/>
              <w:kern w:val="2"/>
              <w:szCs w:val="22"/>
            </w:rPr>
          </w:pPr>
          <w:r>
            <w:rPr>
              <w:rFonts w:ascii="宋体" w:hAnsi="宋体" w:hint="eastAsia"/>
              <w:b/>
              <w:kern w:val="2"/>
              <w:szCs w:val="22"/>
            </w:rPr>
            <w:t>3、新能源充电基础设施战略性布局</w:t>
          </w:r>
        </w:p>
        <w:p w14:paraId="6105374D" w14:textId="54C2F5CD" w:rsidR="00577D08" w:rsidRDefault="00330FC0">
          <w:pPr>
            <w:spacing w:line="360" w:lineRule="exact"/>
            <w:ind w:firstLineChars="200" w:firstLine="420"/>
            <w:jc w:val="both"/>
          </w:pPr>
          <w:r>
            <w:rPr>
              <w:rFonts w:hint="eastAsia"/>
            </w:rPr>
            <w:t>报告期内，公司为提升产业链协同发展能力、加快发展新质生产力，投资建设“兆瓦级智能超充网络建设项目”，项目总投资额预计不超过</w:t>
          </w:r>
          <w:r>
            <w:rPr>
              <w:rFonts w:hint="eastAsia"/>
            </w:rPr>
            <w:t>5.4</w:t>
          </w:r>
          <w:r>
            <w:rPr>
              <w:rFonts w:hint="eastAsia"/>
            </w:rPr>
            <w:t>亿元，规划在云南、重庆等西部重要物流枢纽及工业重镇建设近</w:t>
          </w:r>
          <w:r>
            <w:rPr>
              <w:rFonts w:hint="eastAsia"/>
            </w:rPr>
            <w:t>100</w:t>
          </w:r>
          <w:r>
            <w:rPr>
              <w:rFonts w:hint="eastAsia"/>
            </w:rPr>
            <w:t>座电动重卡超充站，标志着公司业务从传统输配电装备制造向新能源充电基础设施投资、建设与运营领域的战略性延伸。截至目前，标杆站“望来充重卡超充</w:t>
          </w:r>
          <w:r>
            <w:rPr>
              <w:rFonts w:hint="eastAsia"/>
            </w:rPr>
            <w:t>1</w:t>
          </w:r>
          <w:r>
            <w:rPr>
              <w:rFonts w:hint="eastAsia"/>
            </w:rPr>
            <w:t>号站”已建成投用，充电速度达到“</w:t>
          </w:r>
          <w:r>
            <w:rPr>
              <w:rFonts w:hint="eastAsia"/>
            </w:rPr>
            <w:t>15</w:t>
          </w:r>
          <w:r>
            <w:rPr>
              <w:rFonts w:hint="eastAsia"/>
            </w:rPr>
            <w:t>分钟级”。此举不仅是公司“延链补链强链”战略的具体实践，更实现了与现有箱式变电站、大容量成套电气设备产品的深度产业协同，成功打通了“源</w:t>
          </w:r>
          <w:r>
            <w:rPr>
              <w:rFonts w:hint="eastAsia"/>
            </w:rPr>
            <w:t>-</w:t>
          </w:r>
          <w:r>
            <w:rPr>
              <w:rFonts w:hint="eastAsia"/>
            </w:rPr>
            <w:t>网</w:t>
          </w:r>
          <w:r>
            <w:rPr>
              <w:rFonts w:hint="eastAsia"/>
            </w:rPr>
            <w:t>-</w:t>
          </w:r>
          <w:r>
            <w:rPr>
              <w:rFonts w:hint="eastAsia"/>
            </w:rPr>
            <w:t>荷</w:t>
          </w:r>
          <w:r>
            <w:rPr>
              <w:rFonts w:hint="eastAsia"/>
            </w:rPr>
            <w:t>-</w:t>
          </w:r>
          <w:r>
            <w:rPr>
              <w:rFonts w:hint="eastAsia"/>
            </w:rPr>
            <w:t>储”与“充</w:t>
          </w:r>
          <w:r>
            <w:rPr>
              <w:rFonts w:hint="eastAsia"/>
            </w:rPr>
            <w:t>-</w:t>
          </w:r>
          <w:r>
            <w:rPr>
              <w:rFonts w:hint="eastAsia"/>
            </w:rPr>
            <w:t>换</w:t>
          </w:r>
          <w:r>
            <w:rPr>
              <w:rFonts w:hint="eastAsia"/>
            </w:rPr>
            <w:t>-</w:t>
          </w:r>
          <w:r>
            <w:rPr>
              <w:rFonts w:hint="eastAsia"/>
            </w:rPr>
            <w:t>运”的关键应用环节。通过布局新能源重卡补能网络，公司开辟了稳定的充电服务收益与数据增值服务新赛道，进一步强化了在新型电力系统及绿色交通基础设施领域的综合竞争力。</w:t>
          </w:r>
        </w:p>
        <w:p w14:paraId="20276E19" w14:textId="77777777" w:rsidR="00577D08" w:rsidRDefault="00330FC0">
          <w:pPr>
            <w:spacing w:line="360" w:lineRule="exact"/>
            <w:ind w:firstLineChars="200" w:firstLine="422"/>
            <w:jc w:val="both"/>
            <w:outlineLvl w:val="2"/>
            <w:rPr>
              <w:rFonts w:ascii="宋体" w:hAnsi="宋体" w:hint="eastAsia"/>
              <w:b/>
              <w:bCs/>
              <w:kern w:val="2"/>
              <w:szCs w:val="22"/>
            </w:rPr>
          </w:pPr>
          <w:r>
            <w:rPr>
              <w:rFonts w:ascii="宋体" w:hAnsi="宋体" w:hint="eastAsia"/>
              <w:b/>
              <w:bCs/>
              <w:kern w:val="2"/>
              <w:szCs w:val="22"/>
            </w:rPr>
            <w:t>（五）人才团队与治理优势，夯实高质量发展根基</w:t>
          </w:r>
        </w:p>
        <w:p w14:paraId="23B788DB" w14:textId="77777777" w:rsidR="00577D08" w:rsidRDefault="00330FC0">
          <w:pPr>
            <w:spacing w:line="360" w:lineRule="exact"/>
            <w:ind w:firstLineChars="200" w:firstLine="420"/>
            <w:jc w:val="both"/>
          </w:pPr>
          <w:r>
            <w:rPr>
              <w:rFonts w:hint="eastAsia"/>
            </w:rPr>
            <w:t>公司拥有以中国科学院汪卫华院士为首的</w:t>
          </w:r>
          <w:r>
            <w:rPr>
              <w:rFonts w:hint="eastAsia"/>
            </w:rPr>
            <w:t>16</w:t>
          </w:r>
          <w:r>
            <w:t>1</w:t>
          </w:r>
          <w:r>
            <w:rPr>
              <w:rFonts w:hint="eastAsia"/>
            </w:rPr>
            <w:t>人研发团队，在电工材料、新能源装备、智能电网等领域具备深厚技术积累。实施“青苗计划”，每年选拔</w:t>
          </w:r>
          <w:r>
            <w:rPr>
              <w:rFonts w:hint="eastAsia"/>
            </w:rPr>
            <w:t>60</w:t>
          </w:r>
          <w:r>
            <w:rPr>
              <w:rFonts w:hint="eastAsia"/>
            </w:rPr>
            <w:t>名青年骨干赴国内外研修学习，形成“老中青”相结合的人才梯队。与重庆大学、武汉科技大学等</w:t>
          </w:r>
          <w:r>
            <w:rPr>
              <w:rFonts w:hint="eastAsia"/>
            </w:rPr>
            <w:t>8</w:t>
          </w:r>
          <w:r>
            <w:rPr>
              <w:rFonts w:hint="eastAsia"/>
            </w:rPr>
            <w:t>所高校强强联合，共建研发平台。</w:t>
          </w:r>
        </w:p>
        <w:p w14:paraId="5309EFE1" w14:textId="77777777" w:rsidR="00577D08" w:rsidRDefault="00330FC0">
          <w:pPr>
            <w:spacing w:line="360" w:lineRule="exact"/>
            <w:ind w:firstLineChars="200" w:firstLine="420"/>
            <w:jc w:val="both"/>
          </w:pPr>
          <w:r>
            <w:rPr>
              <w:rFonts w:hint="eastAsia"/>
            </w:rPr>
            <w:t>报告期内，公司持续优化治理架构与内控体系，数字化与质量管理深度融合，有效保障了生产安全与绿色发展。集团新材料事业部荣获重庆市“制造业皇冠上的明珠”荣誉称号，云变电气荣获“云南省制造业单项冠军企业”称号，为高质量增长提供了坚实保障。</w:t>
          </w:r>
        </w:p>
      </w:sdtContent>
    </w:sdt>
    <w:bookmarkEnd w:id="66"/>
    <w:bookmarkEnd w:id="65"/>
    <w:p w14:paraId="3F447F07" w14:textId="77777777" w:rsidR="00577D08" w:rsidRDefault="00330FC0">
      <w:pPr>
        <w:pStyle w:val="2"/>
        <w:numPr>
          <w:ilvl w:val="0"/>
          <w:numId w:val="7"/>
        </w:numPr>
        <w:ind w:left="369" w:hangingChars="175" w:hanging="369"/>
      </w:pPr>
      <w:r>
        <w:rPr>
          <w:rFonts w:hint="eastAsia"/>
        </w:rPr>
        <w:t>报告期内主要经营情况</w:t>
      </w:r>
    </w:p>
    <w:sdt>
      <w:sdtPr>
        <w:rPr>
          <w:rFonts w:hint="eastAsia"/>
        </w:rPr>
        <w:alias w:val="报告期内主要经营情况"/>
        <w:tag w:val="_GBC_655a1c6ffd2a454085e53e5538e3b2ef"/>
        <w:id w:val="-2141336460"/>
        <w:placeholder>
          <w:docPart w:val="GBC22222222222222222222222222222"/>
        </w:placeholder>
      </w:sdtPr>
      <w:sdtContent>
        <w:p w14:paraId="41CA05C9" w14:textId="77777777" w:rsidR="00577D08" w:rsidRDefault="00330FC0">
          <w:r>
            <w:t>具体详见以下情况：</w:t>
          </w:r>
        </w:p>
      </w:sdtContent>
    </w:sdt>
    <w:p w14:paraId="7E4CCC7A" w14:textId="77777777" w:rsidR="00577D08" w:rsidRDefault="00330FC0">
      <w:pPr>
        <w:pStyle w:val="3"/>
        <w:numPr>
          <w:ilvl w:val="0"/>
          <w:numId w:val="8"/>
        </w:numPr>
        <w:ind w:left="0" w:firstLine="0"/>
        <w:rPr>
          <w:szCs w:val="21"/>
        </w:rPr>
      </w:pPr>
      <w:bookmarkStart w:id="94" w:name="_Toc342559738"/>
      <w:bookmarkStart w:id="95" w:name="_Toc342565895"/>
      <w:r>
        <w:rPr>
          <w:rFonts w:hint="eastAsia"/>
          <w:szCs w:val="21"/>
        </w:rPr>
        <w:t>主营业务分析</w:t>
      </w:r>
      <w:bookmarkEnd w:id="94"/>
      <w:bookmarkEnd w:id="95"/>
    </w:p>
    <w:p w14:paraId="634D6A11" w14:textId="77777777" w:rsidR="00577D08" w:rsidRDefault="00330FC0">
      <w:pPr>
        <w:pStyle w:val="4"/>
        <w:numPr>
          <w:ilvl w:val="0"/>
          <w:numId w:val="9"/>
        </w:numPr>
        <w:rPr>
          <w:rFonts w:hint="eastAsia"/>
        </w:rPr>
      </w:pPr>
      <w:r>
        <w:t>利润表及现金流量表相关科目变动分析表</w:t>
      </w:r>
    </w:p>
    <w:p w14:paraId="2BEAF0DC" w14:textId="77777777" w:rsidR="00577D08" w:rsidRDefault="00330FC0">
      <w:pPr>
        <w:pStyle w:val="aff9"/>
        <w:ind w:left="360" w:firstLineChars="0" w:firstLine="0"/>
        <w:jc w:val="right"/>
        <w:rPr>
          <w:rFonts w:ascii="宋体" w:hAnsi="宋体" w:hint="eastAsia"/>
        </w:rPr>
      </w:pPr>
      <w:bookmarkStart w:id="96" w:name="_Hlk89098131"/>
      <w:bookmarkStart w:id="97" w:name="_Hlk10208083"/>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a5fffb3a862348719225255f65c5850b"/>
          <w:id w:val="-718288840"/>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万元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dcf9e4b2ba546cd926a1de5fc18f92f"/>
          <w:id w:val="2045090187"/>
          <w:placeholder>
            <w:docPart w:val="EFD3FF3855CE4AFD8CD1EB64DC1EC18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ff2"/>
        <w:tblW w:w="9048" w:type="dxa"/>
        <w:tblLayout w:type="fixed"/>
        <w:tblLook w:val="04A0" w:firstRow="1" w:lastRow="0" w:firstColumn="1" w:lastColumn="0" w:noHBand="0" w:noVBand="1"/>
      </w:tblPr>
      <w:tblGrid>
        <w:gridCol w:w="3089"/>
        <w:gridCol w:w="2128"/>
        <w:gridCol w:w="1987"/>
        <w:gridCol w:w="1844"/>
      </w:tblGrid>
      <w:tr w:rsidR="00577D08" w14:paraId="0C58F190" w14:textId="77777777">
        <w:bookmarkStart w:id="98" w:name="_Hlk10208057" w:displacedByCustomXml="next"/>
        <w:sdt>
          <w:sdtPr>
            <w:tag w:val="_PLD_e184eafc8be3478d9fc8a544274385f7"/>
            <w:id w:val="-873308541"/>
          </w:sdtPr>
          <w:sdtContent>
            <w:tc>
              <w:tcPr>
                <w:tcW w:w="3089" w:type="dxa"/>
                <w:vAlign w:val="center"/>
              </w:tcPr>
              <w:p w14:paraId="6F26E3DD" w14:textId="77777777" w:rsidR="00577D08" w:rsidRDefault="00330FC0">
                <w:pPr>
                  <w:pStyle w:val="aff9"/>
                  <w:ind w:firstLineChars="0" w:firstLine="0"/>
                  <w:jc w:val="center"/>
                  <w:rPr>
                    <w:rFonts w:ascii="宋体" w:hAnsi="宋体" w:hint="eastAsia"/>
                    <w:szCs w:val="21"/>
                  </w:rPr>
                </w:pPr>
                <w:r>
                  <w:rPr>
                    <w:rFonts w:ascii="宋体" w:hAnsi="宋体" w:hint="eastAsia"/>
                    <w:szCs w:val="21"/>
                  </w:rPr>
                  <w:t>科目</w:t>
                </w:r>
              </w:p>
            </w:tc>
          </w:sdtContent>
        </w:sdt>
        <w:sdt>
          <w:sdtPr>
            <w:tag w:val="_PLD_c49cd176da60479fbcfeedd35cc9f509"/>
            <w:id w:val="324176465"/>
          </w:sdtPr>
          <w:sdtContent>
            <w:tc>
              <w:tcPr>
                <w:tcW w:w="2128" w:type="dxa"/>
                <w:vAlign w:val="center"/>
              </w:tcPr>
              <w:p w14:paraId="42007B1D" w14:textId="77777777" w:rsidR="00577D08" w:rsidRDefault="00330FC0">
                <w:pPr>
                  <w:pStyle w:val="aff9"/>
                  <w:ind w:firstLineChars="0" w:firstLine="0"/>
                  <w:jc w:val="center"/>
                  <w:rPr>
                    <w:rFonts w:ascii="宋体" w:hAnsi="宋体" w:hint="eastAsia"/>
                    <w:szCs w:val="21"/>
                  </w:rPr>
                </w:pPr>
                <w:r>
                  <w:rPr>
                    <w:rFonts w:ascii="宋体" w:hAnsi="宋体" w:hint="eastAsia"/>
                    <w:szCs w:val="21"/>
                  </w:rPr>
                  <w:t>本期数</w:t>
                </w:r>
              </w:p>
            </w:tc>
          </w:sdtContent>
        </w:sdt>
        <w:sdt>
          <w:sdtPr>
            <w:tag w:val="_PLD_0b6df7534554463db9f304bbe9b6a71e"/>
            <w:id w:val="-1871289283"/>
          </w:sdtPr>
          <w:sdtContent>
            <w:tc>
              <w:tcPr>
                <w:tcW w:w="1987" w:type="dxa"/>
                <w:vAlign w:val="center"/>
              </w:tcPr>
              <w:p w14:paraId="277FDBAE" w14:textId="77777777" w:rsidR="00577D08" w:rsidRDefault="00330FC0">
                <w:pPr>
                  <w:pStyle w:val="aff9"/>
                  <w:ind w:firstLineChars="0" w:firstLine="0"/>
                  <w:jc w:val="center"/>
                  <w:rPr>
                    <w:rFonts w:ascii="宋体" w:hAnsi="宋体" w:hint="eastAsia"/>
                    <w:szCs w:val="21"/>
                  </w:rPr>
                </w:pPr>
                <w:r>
                  <w:rPr>
                    <w:rFonts w:ascii="宋体" w:hAnsi="宋体" w:hint="eastAsia"/>
                    <w:szCs w:val="21"/>
                  </w:rPr>
                  <w:t>上年同期数</w:t>
                </w:r>
              </w:p>
            </w:tc>
          </w:sdtContent>
        </w:sdt>
        <w:sdt>
          <w:sdtPr>
            <w:tag w:val="_PLD_a903eeff1728490ba821c9389249303c"/>
            <w:id w:val="-895048285"/>
          </w:sdtPr>
          <w:sdtContent>
            <w:tc>
              <w:tcPr>
                <w:tcW w:w="1844" w:type="dxa"/>
                <w:vAlign w:val="center"/>
              </w:tcPr>
              <w:p w14:paraId="6F1B7B60" w14:textId="77777777" w:rsidR="00577D08" w:rsidRDefault="00330FC0">
                <w:pPr>
                  <w:pStyle w:val="aff9"/>
                  <w:ind w:firstLineChars="0" w:firstLine="0"/>
                  <w:jc w:val="center"/>
                  <w:rPr>
                    <w:rFonts w:ascii="宋体" w:hAnsi="宋体" w:hint="eastAsia"/>
                    <w:szCs w:val="21"/>
                  </w:rPr>
                </w:pPr>
                <w:r>
                  <w:rPr>
                    <w:rFonts w:ascii="宋体" w:hAnsi="宋体" w:hint="eastAsia"/>
                    <w:szCs w:val="21"/>
                  </w:rPr>
                  <w:t>变动比例（%）</w:t>
                </w:r>
              </w:p>
            </w:tc>
          </w:sdtContent>
        </w:sdt>
      </w:tr>
      <w:tr w:rsidR="00577D08" w14:paraId="5BF3CB7E" w14:textId="77777777">
        <w:tc>
          <w:tcPr>
            <w:tcW w:w="3089" w:type="dxa"/>
            <w:vAlign w:val="center"/>
          </w:tcPr>
          <w:p w14:paraId="4B37D324" w14:textId="77777777" w:rsidR="00577D08" w:rsidRDefault="00330FC0">
            <w:pPr>
              <w:pStyle w:val="aff9"/>
              <w:ind w:firstLineChars="0" w:firstLine="0"/>
              <w:rPr>
                <w:rFonts w:ascii="宋体" w:hAnsi="宋体" w:hint="eastAsia"/>
                <w:szCs w:val="21"/>
              </w:rPr>
            </w:pPr>
            <w:r>
              <w:rPr>
                <w:rFonts w:ascii="宋体" w:hAnsi="宋体" w:hint="eastAsia"/>
                <w:szCs w:val="21"/>
              </w:rPr>
              <w:t>营业收入</w:t>
            </w:r>
          </w:p>
        </w:tc>
        <w:tc>
          <w:tcPr>
            <w:tcW w:w="2128" w:type="dxa"/>
            <w:vAlign w:val="center"/>
          </w:tcPr>
          <w:p w14:paraId="37ABDDE7" w14:textId="77777777" w:rsidR="00577D08" w:rsidRDefault="00330FC0">
            <w:pPr>
              <w:jc w:val="right"/>
            </w:pPr>
            <w:r>
              <w:t xml:space="preserve"> 391,700.83 </w:t>
            </w:r>
          </w:p>
        </w:tc>
        <w:tc>
          <w:tcPr>
            <w:tcW w:w="1987" w:type="dxa"/>
            <w:vAlign w:val="center"/>
          </w:tcPr>
          <w:p w14:paraId="576CA7E1" w14:textId="77777777" w:rsidR="00577D08" w:rsidRDefault="00330FC0">
            <w:pPr>
              <w:jc w:val="right"/>
            </w:pPr>
            <w:r>
              <w:t xml:space="preserve"> 335,157.00 </w:t>
            </w:r>
          </w:p>
        </w:tc>
        <w:tc>
          <w:tcPr>
            <w:tcW w:w="1844" w:type="dxa"/>
            <w:vAlign w:val="center"/>
          </w:tcPr>
          <w:p w14:paraId="7E714F15" w14:textId="77777777" w:rsidR="00577D08" w:rsidRDefault="00330FC0">
            <w:pPr>
              <w:jc w:val="right"/>
            </w:pPr>
            <w:r>
              <w:t xml:space="preserve"> 16.87 </w:t>
            </w:r>
          </w:p>
        </w:tc>
      </w:tr>
      <w:tr w:rsidR="00577D08" w14:paraId="36A4705F" w14:textId="77777777">
        <w:tc>
          <w:tcPr>
            <w:tcW w:w="3089" w:type="dxa"/>
            <w:vAlign w:val="center"/>
          </w:tcPr>
          <w:p w14:paraId="32D28C26" w14:textId="77777777" w:rsidR="00577D08" w:rsidRDefault="00330FC0">
            <w:pPr>
              <w:pStyle w:val="aff9"/>
              <w:ind w:firstLineChars="0" w:firstLine="0"/>
              <w:rPr>
                <w:rFonts w:ascii="宋体" w:hAnsi="宋体" w:hint="eastAsia"/>
                <w:szCs w:val="21"/>
              </w:rPr>
            </w:pPr>
            <w:r>
              <w:rPr>
                <w:rFonts w:ascii="宋体" w:hAnsi="宋体"/>
                <w:szCs w:val="21"/>
              </w:rPr>
              <w:t>营业成本</w:t>
            </w:r>
          </w:p>
        </w:tc>
        <w:tc>
          <w:tcPr>
            <w:tcW w:w="2128" w:type="dxa"/>
            <w:vAlign w:val="center"/>
          </w:tcPr>
          <w:p w14:paraId="52574C72" w14:textId="77777777" w:rsidR="00577D08" w:rsidRDefault="00330FC0">
            <w:pPr>
              <w:jc w:val="right"/>
            </w:pPr>
            <w:r>
              <w:t xml:space="preserve"> 347,018.96 </w:t>
            </w:r>
          </w:p>
        </w:tc>
        <w:tc>
          <w:tcPr>
            <w:tcW w:w="1987" w:type="dxa"/>
            <w:vAlign w:val="center"/>
          </w:tcPr>
          <w:p w14:paraId="7A1C858E" w14:textId="77777777" w:rsidR="00577D08" w:rsidRDefault="00330FC0">
            <w:pPr>
              <w:jc w:val="right"/>
            </w:pPr>
            <w:r>
              <w:t xml:space="preserve"> 298,395.19 </w:t>
            </w:r>
          </w:p>
        </w:tc>
        <w:tc>
          <w:tcPr>
            <w:tcW w:w="1844" w:type="dxa"/>
            <w:vAlign w:val="center"/>
          </w:tcPr>
          <w:p w14:paraId="333C981D" w14:textId="77777777" w:rsidR="00577D08" w:rsidRDefault="00330FC0">
            <w:pPr>
              <w:jc w:val="right"/>
            </w:pPr>
            <w:r>
              <w:t xml:space="preserve"> 16.30 </w:t>
            </w:r>
          </w:p>
        </w:tc>
      </w:tr>
      <w:tr w:rsidR="00577D08" w14:paraId="7EE5D864" w14:textId="77777777">
        <w:tc>
          <w:tcPr>
            <w:tcW w:w="3089" w:type="dxa"/>
            <w:vAlign w:val="center"/>
          </w:tcPr>
          <w:p w14:paraId="5D77AC33" w14:textId="77777777" w:rsidR="00577D08" w:rsidRDefault="00330FC0">
            <w:pPr>
              <w:pStyle w:val="aff9"/>
              <w:ind w:firstLineChars="0" w:firstLine="0"/>
              <w:rPr>
                <w:rFonts w:ascii="宋体" w:hAnsi="宋体" w:hint="eastAsia"/>
                <w:szCs w:val="21"/>
              </w:rPr>
            </w:pPr>
            <w:r>
              <w:rPr>
                <w:rFonts w:ascii="宋体" w:hAnsi="宋体"/>
                <w:szCs w:val="21"/>
              </w:rPr>
              <w:t>销售费用</w:t>
            </w:r>
          </w:p>
        </w:tc>
        <w:tc>
          <w:tcPr>
            <w:tcW w:w="2128" w:type="dxa"/>
            <w:vAlign w:val="center"/>
          </w:tcPr>
          <w:p w14:paraId="53160980" w14:textId="77777777" w:rsidR="00577D08" w:rsidRDefault="00330FC0">
            <w:pPr>
              <w:jc w:val="right"/>
            </w:pPr>
            <w:r>
              <w:t xml:space="preserve"> 11,406.51 </w:t>
            </w:r>
          </w:p>
        </w:tc>
        <w:tc>
          <w:tcPr>
            <w:tcW w:w="1987" w:type="dxa"/>
            <w:vAlign w:val="center"/>
          </w:tcPr>
          <w:p w14:paraId="0F775FB3" w14:textId="77777777" w:rsidR="00577D08" w:rsidRDefault="00330FC0">
            <w:pPr>
              <w:jc w:val="right"/>
            </w:pPr>
            <w:r>
              <w:t xml:space="preserve"> 11,629.03 </w:t>
            </w:r>
          </w:p>
        </w:tc>
        <w:tc>
          <w:tcPr>
            <w:tcW w:w="1844" w:type="dxa"/>
            <w:vAlign w:val="center"/>
          </w:tcPr>
          <w:p w14:paraId="719F1497" w14:textId="77777777" w:rsidR="00577D08" w:rsidRDefault="00330FC0">
            <w:pPr>
              <w:jc w:val="right"/>
            </w:pPr>
            <w:r>
              <w:t xml:space="preserve"> -1.91 </w:t>
            </w:r>
          </w:p>
        </w:tc>
      </w:tr>
      <w:tr w:rsidR="00577D08" w14:paraId="70A5DBA4" w14:textId="77777777">
        <w:tc>
          <w:tcPr>
            <w:tcW w:w="3089" w:type="dxa"/>
            <w:vAlign w:val="center"/>
          </w:tcPr>
          <w:p w14:paraId="52AB7820" w14:textId="77777777" w:rsidR="00577D08" w:rsidRDefault="00330FC0">
            <w:pPr>
              <w:pStyle w:val="aff9"/>
              <w:ind w:firstLineChars="0" w:firstLine="0"/>
              <w:rPr>
                <w:rFonts w:ascii="宋体" w:hAnsi="宋体" w:hint="eastAsia"/>
                <w:szCs w:val="21"/>
              </w:rPr>
            </w:pPr>
            <w:r>
              <w:rPr>
                <w:rFonts w:ascii="宋体" w:hAnsi="宋体"/>
                <w:szCs w:val="21"/>
              </w:rPr>
              <w:t>管理费用</w:t>
            </w:r>
          </w:p>
        </w:tc>
        <w:tc>
          <w:tcPr>
            <w:tcW w:w="2128" w:type="dxa"/>
            <w:vAlign w:val="center"/>
          </w:tcPr>
          <w:p w14:paraId="172C50F3" w14:textId="77777777" w:rsidR="00577D08" w:rsidRDefault="00330FC0">
            <w:pPr>
              <w:jc w:val="right"/>
            </w:pPr>
            <w:r>
              <w:t xml:space="preserve"> 13,342.37 </w:t>
            </w:r>
          </w:p>
        </w:tc>
        <w:tc>
          <w:tcPr>
            <w:tcW w:w="1987" w:type="dxa"/>
            <w:vAlign w:val="center"/>
          </w:tcPr>
          <w:p w14:paraId="1A2A2E48" w14:textId="77777777" w:rsidR="00577D08" w:rsidRDefault="00330FC0">
            <w:pPr>
              <w:jc w:val="right"/>
            </w:pPr>
            <w:r>
              <w:t xml:space="preserve"> 11,627.91 </w:t>
            </w:r>
          </w:p>
        </w:tc>
        <w:tc>
          <w:tcPr>
            <w:tcW w:w="1844" w:type="dxa"/>
            <w:vAlign w:val="center"/>
          </w:tcPr>
          <w:p w14:paraId="5F3E35E1" w14:textId="77777777" w:rsidR="00577D08" w:rsidRDefault="00330FC0">
            <w:pPr>
              <w:jc w:val="right"/>
            </w:pPr>
            <w:r>
              <w:t xml:space="preserve"> 14.74 </w:t>
            </w:r>
          </w:p>
        </w:tc>
      </w:tr>
      <w:tr w:rsidR="00577D08" w14:paraId="5DBE87E7" w14:textId="77777777">
        <w:tc>
          <w:tcPr>
            <w:tcW w:w="3089" w:type="dxa"/>
            <w:vAlign w:val="center"/>
          </w:tcPr>
          <w:p w14:paraId="25E819CA" w14:textId="77777777" w:rsidR="00577D08" w:rsidRDefault="00330FC0">
            <w:pPr>
              <w:pStyle w:val="aff9"/>
              <w:ind w:firstLineChars="0" w:firstLine="0"/>
              <w:rPr>
                <w:rFonts w:ascii="宋体" w:hAnsi="宋体" w:hint="eastAsia"/>
                <w:szCs w:val="21"/>
              </w:rPr>
            </w:pPr>
            <w:r>
              <w:rPr>
                <w:rFonts w:ascii="宋体" w:hAnsi="宋体"/>
                <w:szCs w:val="21"/>
              </w:rPr>
              <w:t>财务费用</w:t>
            </w:r>
          </w:p>
        </w:tc>
        <w:tc>
          <w:tcPr>
            <w:tcW w:w="2128" w:type="dxa"/>
            <w:vAlign w:val="center"/>
          </w:tcPr>
          <w:p w14:paraId="543233EC" w14:textId="77777777" w:rsidR="00577D08" w:rsidRDefault="00330FC0">
            <w:pPr>
              <w:jc w:val="right"/>
            </w:pPr>
            <w:r>
              <w:t xml:space="preserve"> 2,182.65 </w:t>
            </w:r>
          </w:p>
        </w:tc>
        <w:tc>
          <w:tcPr>
            <w:tcW w:w="1987" w:type="dxa"/>
            <w:vAlign w:val="center"/>
          </w:tcPr>
          <w:p w14:paraId="24FEC0E6" w14:textId="77777777" w:rsidR="00577D08" w:rsidRDefault="00330FC0">
            <w:pPr>
              <w:jc w:val="right"/>
            </w:pPr>
            <w:r>
              <w:t xml:space="preserve"> 812.92 </w:t>
            </w:r>
          </w:p>
        </w:tc>
        <w:tc>
          <w:tcPr>
            <w:tcW w:w="1844" w:type="dxa"/>
            <w:vAlign w:val="center"/>
          </w:tcPr>
          <w:p w14:paraId="5C3AFB10" w14:textId="77777777" w:rsidR="00577D08" w:rsidRDefault="00330FC0">
            <w:pPr>
              <w:jc w:val="right"/>
            </w:pPr>
            <w:r>
              <w:t xml:space="preserve"> 168.50 </w:t>
            </w:r>
          </w:p>
        </w:tc>
      </w:tr>
      <w:tr w:rsidR="00577D08" w14:paraId="4797F0DD" w14:textId="77777777">
        <w:tc>
          <w:tcPr>
            <w:tcW w:w="3089" w:type="dxa"/>
            <w:vAlign w:val="center"/>
          </w:tcPr>
          <w:p w14:paraId="717082C1" w14:textId="77777777" w:rsidR="00577D08" w:rsidRDefault="00330FC0">
            <w:pPr>
              <w:pStyle w:val="aff9"/>
              <w:ind w:firstLineChars="0" w:firstLine="0"/>
              <w:rPr>
                <w:rFonts w:ascii="宋体" w:hAnsi="宋体" w:hint="eastAsia"/>
                <w:szCs w:val="21"/>
              </w:rPr>
            </w:pPr>
            <w:r>
              <w:rPr>
                <w:rFonts w:ascii="宋体" w:hAnsi="宋体" w:hint="eastAsia"/>
                <w:szCs w:val="21"/>
              </w:rPr>
              <w:t>研发费用</w:t>
            </w:r>
          </w:p>
        </w:tc>
        <w:tc>
          <w:tcPr>
            <w:tcW w:w="2128" w:type="dxa"/>
            <w:vAlign w:val="center"/>
          </w:tcPr>
          <w:p w14:paraId="04551E27" w14:textId="77777777" w:rsidR="00577D08" w:rsidRDefault="00330FC0">
            <w:pPr>
              <w:jc w:val="right"/>
            </w:pPr>
            <w:r>
              <w:t xml:space="preserve"> 4,575.42 </w:t>
            </w:r>
          </w:p>
        </w:tc>
        <w:tc>
          <w:tcPr>
            <w:tcW w:w="1987" w:type="dxa"/>
            <w:vAlign w:val="center"/>
          </w:tcPr>
          <w:p w14:paraId="50727158" w14:textId="77777777" w:rsidR="00577D08" w:rsidRDefault="00330FC0">
            <w:pPr>
              <w:jc w:val="right"/>
            </w:pPr>
            <w:r>
              <w:t xml:space="preserve"> 4,472.49 </w:t>
            </w:r>
          </w:p>
        </w:tc>
        <w:tc>
          <w:tcPr>
            <w:tcW w:w="1844" w:type="dxa"/>
            <w:vAlign w:val="center"/>
          </w:tcPr>
          <w:p w14:paraId="51731921" w14:textId="77777777" w:rsidR="00577D08" w:rsidRDefault="00330FC0">
            <w:pPr>
              <w:jc w:val="right"/>
            </w:pPr>
            <w:r>
              <w:t xml:space="preserve"> 2.30 </w:t>
            </w:r>
          </w:p>
        </w:tc>
      </w:tr>
      <w:tr w:rsidR="00577D08" w14:paraId="57A6B73F" w14:textId="77777777">
        <w:tc>
          <w:tcPr>
            <w:tcW w:w="3089" w:type="dxa"/>
            <w:vAlign w:val="center"/>
          </w:tcPr>
          <w:p w14:paraId="2B001B03" w14:textId="77777777" w:rsidR="00577D08" w:rsidRDefault="00330FC0">
            <w:pPr>
              <w:pStyle w:val="aff9"/>
              <w:ind w:firstLineChars="0" w:firstLine="0"/>
              <w:rPr>
                <w:rFonts w:ascii="宋体" w:hAnsi="宋体" w:hint="eastAsia"/>
                <w:szCs w:val="21"/>
              </w:rPr>
            </w:pPr>
            <w:r>
              <w:rPr>
                <w:rFonts w:ascii="宋体" w:hAnsi="宋体"/>
                <w:szCs w:val="21"/>
              </w:rPr>
              <w:t>经营活动产生的现金流量净额</w:t>
            </w:r>
          </w:p>
        </w:tc>
        <w:tc>
          <w:tcPr>
            <w:tcW w:w="2128" w:type="dxa"/>
            <w:vAlign w:val="center"/>
          </w:tcPr>
          <w:p w14:paraId="3E191BEE" w14:textId="77777777" w:rsidR="00577D08" w:rsidRDefault="00330FC0">
            <w:pPr>
              <w:jc w:val="right"/>
            </w:pPr>
            <w:r>
              <w:t xml:space="preserve"> 22,982.85 </w:t>
            </w:r>
          </w:p>
        </w:tc>
        <w:tc>
          <w:tcPr>
            <w:tcW w:w="1987" w:type="dxa"/>
            <w:vAlign w:val="center"/>
          </w:tcPr>
          <w:p w14:paraId="64514B22" w14:textId="77777777" w:rsidR="00577D08" w:rsidRDefault="00330FC0">
            <w:pPr>
              <w:jc w:val="right"/>
            </w:pPr>
            <w:r>
              <w:t xml:space="preserve"> 2,065.85 </w:t>
            </w:r>
          </w:p>
        </w:tc>
        <w:tc>
          <w:tcPr>
            <w:tcW w:w="1844" w:type="dxa"/>
            <w:vAlign w:val="center"/>
          </w:tcPr>
          <w:p w14:paraId="1DBC30BE" w14:textId="77777777" w:rsidR="00577D08" w:rsidRDefault="00330FC0">
            <w:pPr>
              <w:jc w:val="right"/>
            </w:pPr>
            <w:r>
              <w:t xml:space="preserve"> 1,012.51 </w:t>
            </w:r>
          </w:p>
        </w:tc>
      </w:tr>
      <w:tr w:rsidR="00577D08" w14:paraId="3324251B" w14:textId="77777777">
        <w:tc>
          <w:tcPr>
            <w:tcW w:w="3089" w:type="dxa"/>
            <w:vAlign w:val="center"/>
          </w:tcPr>
          <w:p w14:paraId="31D0DE01" w14:textId="77777777" w:rsidR="00577D08" w:rsidRDefault="00330FC0">
            <w:pPr>
              <w:pStyle w:val="aff9"/>
              <w:ind w:firstLineChars="0" w:firstLine="0"/>
              <w:rPr>
                <w:rFonts w:ascii="宋体" w:hAnsi="宋体" w:hint="eastAsia"/>
                <w:szCs w:val="21"/>
              </w:rPr>
            </w:pPr>
            <w:r>
              <w:rPr>
                <w:rFonts w:ascii="宋体" w:hAnsi="宋体"/>
                <w:szCs w:val="21"/>
              </w:rPr>
              <w:t>投资活动产生的现金流量净额</w:t>
            </w:r>
          </w:p>
        </w:tc>
        <w:tc>
          <w:tcPr>
            <w:tcW w:w="2128" w:type="dxa"/>
            <w:vAlign w:val="center"/>
          </w:tcPr>
          <w:p w14:paraId="34E19857" w14:textId="77777777" w:rsidR="00577D08" w:rsidRDefault="00330FC0">
            <w:pPr>
              <w:jc w:val="right"/>
            </w:pPr>
            <w:r>
              <w:t xml:space="preserve"> -14,037.27 </w:t>
            </w:r>
          </w:p>
        </w:tc>
        <w:tc>
          <w:tcPr>
            <w:tcW w:w="1987" w:type="dxa"/>
            <w:vAlign w:val="center"/>
          </w:tcPr>
          <w:p w14:paraId="4D9E227D" w14:textId="77777777" w:rsidR="00577D08" w:rsidRDefault="00330FC0">
            <w:pPr>
              <w:jc w:val="right"/>
            </w:pPr>
            <w:r>
              <w:t xml:space="preserve"> -64,438.16 </w:t>
            </w:r>
          </w:p>
        </w:tc>
        <w:tc>
          <w:tcPr>
            <w:tcW w:w="1844" w:type="dxa"/>
            <w:vAlign w:val="center"/>
          </w:tcPr>
          <w:p w14:paraId="469DE9EE" w14:textId="77777777" w:rsidR="00577D08" w:rsidRDefault="00330FC0">
            <w:pPr>
              <w:jc w:val="right"/>
            </w:pPr>
            <w:r>
              <w:t xml:space="preserve"> 78.22 </w:t>
            </w:r>
          </w:p>
        </w:tc>
      </w:tr>
      <w:tr w:rsidR="00577D08" w14:paraId="0D221A88" w14:textId="77777777">
        <w:tc>
          <w:tcPr>
            <w:tcW w:w="3089" w:type="dxa"/>
            <w:vAlign w:val="center"/>
          </w:tcPr>
          <w:p w14:paraId="0CB047E4" w14:textId="77777777" w:rsidR="00577D08" w:rsidRDefault="00330FC0">
            <w:pPr>
              <w:pStyle w:val="aff9"/>
              <w:ind w:firstLineChars="0" w:firstLine="0"/>
              <w:rPr>
                <w:rFonts w:ascii="宋体" w:hAnsi="宋体" w:hint="eastAsia"/>
                <w:szCs w:val="21"/>
              </w:rPr>
            </w:pPr>
            <w:r>
              <w:rPr>
                <w:rFonts w:ascii="宋体" w:hAnsi="宋体"/>
                <w:szCs w:val="21"/>
              </w:rPr>
              <w:t>筹资活动产生的现金流量净额</w:t>
            </w:r>
          </w:p>
        </w:tc>
        <w:tc>
          <w:tcPr>
            <w:tcW w:w="2128" w:type="dxa"/>
            <w:vAlign w:val="center"/>
          </w:tcPr>
          <w:p w14:paraId="61C2A974" w14:textId="77777777" w:rsidR="00577D08" w:rsidRDefault="00330FC0">
            <w:pPr>
              <w:jc w:val="right"/>
            </w:pPr>
            <w:r>
              <w:t xml:space="preserve"> 12,009.56 </w:t>
            </w:r>
          </w:p>
        </w:tc>
        <w:tc>
          <w:tcPr>
            <w:tcW w:w="1987" w:type="dxa"/>
            <w:vAlign w:val="center"/>
          </w:tcPr>
          <w:p w14:paraId="03EBA6C1" w14:textId="77777777" w:rsidR="00577D08" w:rsidRDefault="00330FC0">
            <w:pPr>
              <w:jc w:val="right"/>
            </w:pPr>
            <w:r>
              <w:t xml:space="preserve"> 39,305.35 </w:t>
            </w:r>
          </w:p>
        </w:tc>
        <w:tc>
          <w:tcPr>
            <w:tcW w:w="1844" w:type="dxa"/>
            <w:vAlign w:val="center"/>
          </w:tcPr>
          <w:p w14:paraId="0268E4E7" w14:textId="77777777" w:rsidR="00577D08" w:rsidRDefault="00330FC0">
            <w:pPr>
              <w:jc w:val="right"/>
            </w:pPr>
            <w:r>
              <w:t xml:space="preserve"> -69.45 </w:t>
            </w:r>
          </w:p>
        </w:tc>
      </w:tr>
    </w:tbl>
    <w:bookmarkEnd w:id="98"/>
    <w:p w14:paraId="7060981D" w14:textId="77777777" w:rsidR="00577D08" w:rsidRDefault="00330FC0">
      <w:pPr>
        <w:pStyle w:val="aff9"/>
        <w:spacing w:line="360" w:lineRule="exact"/>
        <w:ind w:firstLineChars="0" w:firstLine="0"/>
        <w:rPr>
          <w:rFonts w:ascii="宋体" w:hAnsi="宋体" w:hint="eastAsia"/>
        </w:rPr>
      </w:pPr>
      <w:r>
        <w:rPr>
          <w:rFonts w:ascii="宋体" w:hAnsi="宋体" w:hint="eastAsia"/>
        </w:rPr>
        <w:t>营业收入变动原因说明：</w:t>
      </w:r>
      <w:sdt>
        <w:sdtPr>
          <w:rPr>
            <w:rFonts w:ascii="宋体" w:hAnsi="宋体"/>
            <w:szCs w:val="21"/>
          </w:rPr>
          <w:alias w:val="营业收入变动原因说明"/>
          <w:tag w:val="_GBC_02f544181db247728469e929886776a1"/>
          <w:id w:val="-1077666418"/>
          <w:placeholder>
            <w:docPart w:val="EFD3FF3855CE4AFD8CD1EB64DC1EC186"/>
          </w:placeholder>
        </w:sdtPr>
        <w:sdtContent>
          <w:r>
            <w:rPr>
              <w:rFonts w:ascii="宋体" w:hAnsi="宋体" w:hint="eastAsia"/>
              <w:szCs w:val="21"/>
            </w:rPr>
            <w:t>报告期实现营业收入391,701万元，同比增加56,544万元，增长16.87%。主营业务收入378,907万元，其中输配电及控制设备业务收入251,083万元，同比增加57,788万元，增长29.90%；取向硅钢业务收入127,824万元，同比减少5,634万元，减少4.22%。（1）输配电及控制设备业务增长主要系110kV及以上电力变压器产品营业收入同比增加47,050万元。（2）取向硅钢业务下降主要系单位销售价格下滑，取向硅钢平均销售价格下降299元/吨，影响</w:t>
          </w:r>
          <w:r>
            <w:rPr>
              <w:rFonts w:ascii="宋体" w:hAnsi="宋体" w:hint="eastAsia"/>
              <w:szCs w:val="21"/>
            </w:rPr>
            <w:lastRenderedPageBreak/>
            <w:t>收入下降4,483万元。</w:t>
          </w:r>
        </w:sdtContent>
      </w:sdt>
    </w:p>
    <w:p w14:paraId="44B89706" w14:textId="77777777" w:rsidR="00577D08" w:rsidRDefault="00330FC0">
      <w:pPr>
        <w:pStyle w:val="aff9"/>
        <w:spacing w:line="360" w:lineRule="exact"/>
        <w:ind w:firstLineChars="0" w:firstLine="0"/>
        <w:rPr>
          <w:rFonts w:ascii="宋体" w:hAnsi="宋体" w:hint="eastAsia"/>
        </w:rPr>
      </w:pPr>
      <w:r>
        <w:rPr>
          <w:rFonts w:ascii="宋体" w:hAnsi="宋体" w:hint="eastAsia"/>
        </w:rPr>
        <w:t>营业成本变动原因说明：</w:t>
      </w:r>
      <w:sdt>
        <w:sdtPr>
          <w:rPr>
            <w:rFonts w:ascii="宋体" w:hAnsi="宋体" w:hint="eastAsia"/>
          </w:rPr>
          <w:alias w:val="营业成本变动原因说明"/>
          <w:tag w:val="_GBC_cc56ae4655044c7092acfc9c59da077d"/>
          <w:id w:val="468709363"/>
          <w:placeholder>
            <w:docPart w:val="EFD3FF3855CE4AFD8CD1EB64DC1EC186"/>
          </w:placeholder>
        </w:sdtPr>
        <w:sdtContent>
          <w:r>
            <w:rPr>
              <w:rFonts w:ascii="宋体" w:hAnsi="宋体" w:hint="eastAsia"/>
            </w:rPr>
            <w:t>报告期营业成本347,019万元，同比增加48,624万元，增长16.30%。主营业务成本</w:t>
          </w:r>
          <w:r>
            <w:rPr>
              <w:rFonts w:ascii="宋体" w:hAnsi="宋体"/>
            </w:rPr>
            <w:t>334,968</w:t>
          </w:r>
          <w:r>
            <w:rPr>
              <w:rFonts w:ascii="宋体" w:hAnsi="宋体" w:hint="eastAsia"/>
            </w:rPr>
            <w:t>万元，其中输配电及控制设备业务营业成本</w:t>
          </w:r>
          <w:r>
            <w:rPr>
              <w:rFonts w:ascii="宋体" w:hAnsi="宋体"/>
            </w:rPr>
            <w:t>217,88</w:t>
          </w:r>
          <w:r>
            <w:rPr>
              <w:rFonts w:ascii="宋体" w:hAnsi="宋体" w:hint="eastAsia"/>
            </w:rPr>
            <w:t>6万元，同比增加</w:t>
          </w:r>
          <w:r>
            <w:rPr>
              <w:rFonts w:ascii="宋体" w:hAnsi="宋体"/>
            </w:rPr>
            <w:t>52,58</w:t>
          </w:r>
          <w:r>
            <w:rPr>
              <w:rFonts w:ascii="宋体" w:hAnsi="宋体" w:hint="eastAsia"/>
            </w:rPr>
            <w:t>7万元，增长31.81%；取向硅钢业务营业成本117,083万元，同比减少8,183万元，下降6.53%。（1）输配电及控制设备业务增长主要系110kV及以上电力变压器产品的营业收入增加47,050万元同步带来营业成本增加41,735万元。（2）取向硅钢业务单位销售成本下降带来总营业成本减少7,102万元，销售量的减少带来总营业成本减少1,081万元共同影响所致。</w:t>
          </w:r>
        </w:sdtContent>
      </w:sdt>
    </w:p>
    <w:p w14:paraId="78868D87" w14:textId="77777777" w:rsidR="00577D08" w:rsidRDefault="00330FC0">
      <w:pPr>
        <w:pStyle w:val="aff9"/>
        <w:spacing w:line="360" w:lineRule="exact"/>
        <w:ind w:firstLineChars="0" w:firstLine="0"/>
        <w:jc w:val="left"/>
        <w:rPr>
          <w:rFonts w:ascii="宋体" w:hAnsi="宋体" w:hint="eastAsia"/>
        </w:rPr>
      </w:pPr>
      <w:r>
        <w:rPr>
          <w:rFonts w:ascii="宋体" w:hAnsi="宋体" w:hint="eastAsia"/>
        </w:rPr>
        <w:t>财务费用变动原因说明：</w:t>
      </w:r>
      <w:sdt>
        <w:sdtPr>
          <w:rPr>
            <w:rFonts w:ascii="宋体" w:hAnsi="宋体" w:hint="eastAsia"/>
          </w:rPr>
          <w:alias w:val="财务费用变动原因说明"/>
          <w:tag w:val="_GBC_ae0e447440184dbb94565c35b97d07a6"/>
          <w:id w:val="-2047980418"/>
          <w:placeholder>
            <w:docPart w:val="EFD3FF3855CE4AFD8CD1EB64DC1EC186"/>
          </w:placeholder>
        </w:sdtPr>
        <w:sdtContent>
          <w:r>
            <w:rPr>
              <w:rFonts w:ascii="宋体" w:hAnsi="宋体" w:hint="eastAsia"/>
            </w:rPr>
            <w:t>报告期财务费用</w:t>
          </w:r>
          <w:r>
            <w:rPr>
              <w:rFonts w:ascii="宋体" w:hAnsi="宋体"/>
            </w:rPr>
            <w:t>2,18</w:t>
          </w:r>
          <w:r>
            <w:rPr>
              <w:rFonts w:ascii="宋体" w:hAnsi="宋体" w:hint="eastAsia"/>
            </w:rPr>
            <w:t>3万元，同比增加1,370万元，主要系公司适度扩大中长期融资规模，新增流动资金、并购及项目专项贷款，利息支出同比增加895万元；同时，本期汇率市场波动，外币业务汇兑净收益同比减少441万元，两项因素共同导致财务费用同比增加。</w:t>
          </w:r>
        </w:sdtContent>
      </w:sdt>
    </w:p>
    <w:p w14:paraId="5CF077C4" w14:textId="77777777" w:rsidR="00577D08" w:rsidRDefault="00330FC0">
      <w:pPr>
        <w:pStyle w:val="aff9"/>
        <w:spacing w:line="360" w:lineRule="exact"/>
        <w:ind w:firstLineChars="0" w:firstLine="0"/>
        <w:rPr>
          <w:rFonts w:ascii="宋体" w:hAnsi="宋体" w:hint="eastAsia"/>
        </w:rPr>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5968661d4f024738ae5c039168b68a45"/>
          <w:id w:val="966390467"/>
          <w:placeholder>
            <w:docPart w:val="EFD3FF3855CE4AFD8CD1EB64DC1EC186"/>
          </w:placeholder>
        </w:sdtPr>
        <w:sdtContent>
          <w:r>
            <w:rPr>
              <w:rFonts w:ascii="宋体" w:hAnsi="宋体" w:hint="eastAsia"/>
              <w:szCs w:val="21"/>
            </w:rPr>
            <w:t>报告期经营活动产生的现金流量净流入22,983万元，同比增加20,917万元，主要系公司营业收入规模增长及回款质量提升，销售商品、提供劳务收到的现金同比增加</w:t>
          </w:r>
          <w:r>
            <w:rPr>
              <w:rFonts w:ascii="宋体" w:hAnsi="宋体"/>
              <w:szCs w:val="21"/>
            </w:rPr>
            <w:t>31,758</w:t>
          </w:r>
          <w:r>
            <w:rPr>
              <w:rFonts w:ascii="宋体" w:hAnsi="宋体" w:hint="eastAsia"/>
              <w:szCs w:val="21"/>
            </w:rPr>
            <w:t>万元所致。</w:t>
          </w:r>
        </w:sdtContent>
      </w:sdt>
    </w:p>
    <w:p w14:paraId="102F80A2" w14:textId="77777777" w:rsidR="00577D08" w:rsidRDefault="00330FC0">
      <w:pPr>
        <w:pStyle w:val="aff9"/>
        <w:spacing w:line="360" w:lineRule="exact"/>
        <w:ind w:firstLineChars="0" w:firstLine="0"/>
        <w:rPr>
          <w:rFonts w:ascii="宋体" w:hAnsi="宋体" w:hint="eastAsia"/>
        </w:rPr>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08880b3f89054510a8ebc03403516e54"/>
          <w:id w:val="-1978978590"/>
          <w:placeholder>
            <w:docPart w:val="EFD3FF3855CE4AFD8CD1EB64DC1EC186"/>
          </w:placeholder>
        </w:sdtPr>
        <w:sdtContent>
          <w:r>
            <w:rPr>
              <w:rFonts w:ascii="宋体" w:hAnsi="宋体" w:hint="eastAsia"/>
              <w:szCs w:val="21"/>
            </w:rPr>
            <w:t>报告期投资活动产生的现金流量净流出14,037万元，同比减少50,401万元，主要系上年收购云变电气控股权导致投资活动现金流出43,095万元，本年无该投资事项导致本期投资活动现金净流出大幅减少。</w:t>
          </w:r>
        </w:sdtContent>
      </w:sdt>
    </w:p>
    <w:p w14:paraId="096685F2" w14:textId="77777777" w:rsidR="00577D08" w:rsidRDefault="00330FC0">
      <w:pPr>
        <w:pStyle w:val="aff9"/>
        <w:spacing w:line="360" w:lineRule="exact"/>
        <w:ind w:firstLineChars="0" w:firstLine="0"/>
        <w:jc w:val="left"/>
        <w:rPr>
          <w:rFonts w:ascii="宋体" w:hAnsi="宋体" w:hint="eastAsia"/>
        </w:rPr>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69e60bcce703432885fa32dfc7a0a266"/>
          <w:id w:val="-567347862"/>
          <w:placeholder>
            <w:docPart w:val="EFD3FF3855CE4AFD8CD1EB64DC1EC186"/>
          </w:placeholder>
        </w:sdtPr>
        <w:sdtContent>
          <w:r>
            <w:rPr>
              <w:rFonts w:ascii="宋体" w:hAnsi="宋体" w:hint="eastAsia"/>
              <w:szCs w:val="21"/>
            </w:rPr>
            <w:t>报告期筹资活动产生的现金流量为净流入12,010万元，同比减少27,296万元，主要系公司本期借款净流出增加15</w:t>
          </w:r>
          <w:r>
            <w:rPr>
              <w:rFonts w:ascii="宋体" w:hAnsi="宋体"/>
              <w:szCs w:val="21"/>
            </w:rPr>
            <w:t>,</w:t>
          </w:r>
          <w:r>
            <w:rPr>
              <w:rFonts w:ascii="宋体" w:hAnsi="宋体" w:hint="eastAsia"/>
              <w:szCs w:val="21"/>
            </w:rPr>
            <w:t>602万元，收购云变电气少数股东股权支付12,041万元共同影响所致。</w:t>
          </w:r>
        </w:sdtContent>
      </w:sdt>
    </w:p>
    <w:p w14:paraId="3D2D4624" w14:textId="77777777" w:rsidR="00577D08" w:rsidRDefault="00330FC0">
      <w:pPr>
        <w:spacing w:line="360" w:lineRule="exact"/>
      </w:pPr>
      <w:bookmarkStart w:id="99" w:name="_Hlk89098827"/>
      <w:bookmarkEnd w:id="96"/>
      <w:bookmarkEnd w:id="97"/>
      <w:r>
        <w:rPr>
          <w:rFonts w:hint="eastAsia"/>
        </w:rPr>
        <w:t>本期</w:t>
      </w:r>
      <w:r>
        <w:t>公司</w:t>
      </w:r>
      <w:r>
        <w:rPr>
          <w:rFonts w:hint="eastAsia"/>
        </w:rPr>
        <w:t>业务类型、</w:t>
      </w:r>
      <w:r>
        <w:t>利润构成或利润来源发生重大变动的详细说明</w:t>
      </w:r>
    </w:p>
    <w:sdt>
      <w:sdtPr>
        <w:alias w:val="是否适用：公司利润构成或利润来源发生重大变动的详细说明[双击切换]"/>
        <w:tag w:val="_GBC_f76226f4a75345f0b64ffa67d16a3159"/>
        <w:id w:val="62222234"/>
        <w:placeholder>
          <w:docPart w:val="EFD3FF3855CE4AFD8CD1EB64DC1EC186"/>
        </w:placeholder>
      </w:sdtPr>
      <w:sdtContent>
        <w:p w14:paraId="0CE8B9E2" w14:textId="77777777" w:rsidR="00577D08" w:rsidRDefault="00330FC0">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99"/>
    <w:p w14:paraId="572FCEAB" w14:textId="77777777" w:rsidR="00577D08" w:rsidRDefault="00330FC0">
      <w:pPr>
        <w:pStyle w:val="4"/>
        <w:numPr>
          <w:ilvl w:val="0"/>
          <w:numId w:val="9"/>
        </w:numPr>
        <w:rPr>
          <w:rFonts w:hint="eastAsia"/>
        </w:rPr>
      </w:pPr>
      <w:r>
        <w:rPr>
          <w:rFonts w:hint="eastAsia"/>
        </w:rPr>
        <w:t>收入和成本分析</w:t>
      </w:r>
    </w:p>
    <w:sdt>
      <w:sdtPr>
        <w:alias w:val="是否适用：收入和成本分析[双击切换]"/>
        <w:tag w:val="_GBC_c1a771ff956341da84dd26322335800f"/>
        <w:id w:val="472798219"/>
        <w:placeholder>
          <w:docPart w:val="EFD3FF3855CE4AFD8CD1EB64DC1EC186"/>
        </w:placeholder>
      </w:sdtPr>
      <w:sdtContent>
        <w:p w14:paraId="60185F7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收入和成本分析情况说明"/>
        <w:tag w:val="_GBC_131edb1aaeab4cb388abf65651cf901e"/>
        <w:id w:val="-2137944017"/>
        <w:placeholder>
          <w:docPart w:val="EFD3FF3855CE4AFD8CD1EB64DC1EC186"/>
        </w:placeholder>
      </w:sdtPr>
      <w:sdtContent>
        <w:p w14:paraId="22136745" w14:textId="77777777" w:rsidR="00577D08" w:rsidRDefault="00330FC0">
          <w:pPr>
            <w:tabs>
              <w:tab w:val="left" w:pos="851"/>
            </w:tabs>
          </w:pPr>
          <w:r>
            <w:rPr>
              <w:rFonts w:hint="eastAsia"/>
            </w:rPr>
            <w:t>具体情况如下：</w:t>
          </w:r>
        </w:p>
      </w:sdtContent>
    </w:sdt>
    <w:p w14:paraId="5D6D9263" w14:textId="77777777" w:rsidR="00577D08" w:rsidRDefault="00330FC0">
      <w:pPr>
        <w:pStyle w:val="5"/>
        <w:numPr>
          <w:ilvl w:val="0"/>
          <w:numId w:val="10"/>
        </w:numPr>
        <w:tabs>
          <w:tab w:val="left" w:pos="567"/>
        </w:tabs>
        <w:ind w:leftChars="0"/>
      </w:pPr>
      <w:bookmarkStart w:id="100" w:name="_Toc342565904"/>
      <w:bookmarkStart w:id="101" w:name="_Toc342559756"/>
      <w:bookmarkStart w:id="102" w:name="_Toc340829716"/>
      <w:bookmarkStart w:id="103" w:name="_Hlk89876312"/>
      <w:r>
        <w:t>主营业务</w:t>
      </w:r>
      <w:r>
        <w:rPr>
          <w:rFonts w:hint="eastAsia"/>
        </w:rPr>
        <w:t>分</w:t>
      </w:r>
      <w:r>
        <w:t>行业</w:t>
      </w:r>
      <w:r>
        <w:rPr>
          <w:rFonts w:hint="eastAsia"/>
        </w:rPr>
        <w:t>、分</w:t>
      </w:r>
      <w:r>
        <w:t>产品</w:t>
      </w:r>
      <w:r>
        <w:rPr>
          <w:rFonts w:hint="eastAsia"/>
        </w:rPr>
        <w:t>、分地区、分销售模式情况</w:t>
      </w:r>
      <w:bookmarkEnd w:id="100"/>
      <w:bookmarkEnd w:id="101"/>
      <w:bookmarkEnd w:id="102"/>
    </w:p>
    <w:p w14:paraId="4F95D560" w14:textId="77777777" w:rsidR="00577D08" w:rsidRDefault="00330FC0">
      <w:pPr>
        <w:jc w:val="right"/>
      </w:pPr>
      <w:r>
        <w:rPr>
          <w:rFonts w:hint="eastAsia"/>
        </w:rPr>
        <w:t>单位：</w:t>
      </w:r>
      <w:sdt>
        <w:sdtPr>
          <w:alias w:val="单位：主营业务分行业、分产品情况表"/>
          <w:tag w:val="_GBC_f77c8e6b92b44adf9014b95a44af704b"/>
          <w:id w:val="-1479841813"/>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t>万元</w:t>
          </w:r>
        </w:sdtContent>
      </w:sdt>
      <w:r>
        <w:rPr>
          <w:rFonts w:hint="eastAsia"/>
        </w:rPr>
        <w:t xml:space="preserve"> </w:t>
      </w:r>
      <w:r>
        <w:rPr>
          <w:rFonts w:hint="eastAsia"/>
        </w:rPr>
        <w:t>币种：</w:t>
      </w:r>
      <w:sdt>
        <w:sdtPr>
          <w:alias w:val="币种：主营业务分行业、分产品情况表"/>
          <w:tag w:val="_GBC_3341f58078504155bf0c18cadb3b7f9d"/>
          <w:id w:val="138005625"/>
          <w:placeholder>
            <w:docPart w:val="EFD3FF3855CE4AFD8CD1EB64DC1EC18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Style w:val="aff2"/>
        <w:tblW w:w="9049" w:type="dxa"/>
        <w:tblLayout w:type="fixed"/>
        <w:tblLook w:val="04A0" w:firstRow="1" w:lastRow="0" w:firstColumn="1" w:lastColumn="0" w:noHBand="0" w:noVBand="1"/>
      </w:tblPr>
      <w:tblGrid>
        <w:gridCol w:w="1239"/>
        <w:gridCol w:w="1391"/>
        <w:gridCol w:w="1480"/>
        <w:gridCol w:w="1236"/>
        <w:gridCol w:w="1236"/>
        <w:gridCol w:w="1236"/>
        <w:gridCol w:w="1231"/>
      </w:tblGrid>
      <w:tr w:rsidR="00577D08" w14:paraId="087ABD62" w14:textId="77777777">
        <w:sdt>
          <w:sdtPr>
            <w:tag w:val="_PLD_b5033a4d190942bd99650d59a8d741f9"/>
            <w:id w:val="-1508433385"/>
          </w:sdtPr>
          <w:sdtContent>
            <w:tc>
              <w:tcPr>
                <w:tcW w:w="9049" w:type="dxa"/>
                <w:gridSpan w:val="7"/>
                <w:vAlign w:val="center"/>
              </w:tcPr>
              <w:p w14:paraId="4227B5EB" w14:textId="77777777" w:rsidR="00577D08" w:rsidRDefault="00330FC0">
                <w:pPr>
                  <w:jc w:val="center"/>
                </w:pPr>
                <w:r>
                  <w:rPr>
                    <w:rFonts w:hint="eastAsia"/>
                  </w:rPr>
                  <w:t>主营业务分行业情况</w:t>
                </w:r>
              </w:p>
            </w:tc>
          </w:sdtContent>
        </w:sdt>
      </w:tr>
      <w:tr w:rsidR="00577D08" w14:paraId="0E8AFC98" w14:textId="77777777">
        <w:sdt>
          <w:sdtPr>
            <w:tag w:val="_PLD_ab888f46a9d64f09b94dccfab854ad45"/>
            <w:id w:val="340215401"/>
          </w:sdtPr>
          <w:sdtContent>
            <w:tc>
              <w:tcPr>
                <w:tcW w:w="1239" w:type="dxa"/>
                <w:vAlign w:val="center"/>
              </w:tcPr>
              <w:p w14:paraId="67C0173D" w14:textId="77777777" w:rsidR="00577D08" w:rsidRDefault="00330FC0">
                <w:pPr>
                  <w:jc w:val="center"/>
                </w:pPr>
                <w:r>
                  <w:t>分行业</w:t>
                </w:r>
              </w:p>
            </w:tc>
          </w:sdtContent>
        </w:sdt>
        <w:sdt>
          <w:sdtPr>
            <w:tag w:val="_PLD_7fe8bd490c23482eac6c726b40c3125c"/>
            <w:id w:val="2040930525"/>
          </w:sdtPr>
          <w:sdtContent>
            <w:tc>
              <w:tcPr>
                <w:tcW w:w="1391" w:type="dxa"/>
                <w:vAlign w:val="center"/>
              </w:tcPr>
              <w:p w14:paraId="4F4879AB" w14:textId="77777777" w:rsidR="00577D08" w:rsidRDefault="00330FC0">
                <w:pPr>
                  <w:jc w:val="center"/>
                </w:pPr>
                <w:r>
                  <w:t>营业收入</w:t>
                </w:r>
              </w:p>
            </w:tc>
          </w:sdtContent>
        </w:sdt>
        <w:sdt>
          <w:sdtPr>
            <w:tag w:val="_PLD_43ea5bcd646542838f56af8b6a2863cb"/>
            <w:id w:val="360408621"/>
          </w:sdtPr>
          <w:sdtContent>
            <w:tc>
              <w:tcPr>
                <w:tcW w:w="1480" w:type="dxa"/>
                <w:vAlign w:val="center"/>
              </w:tcPr>
              <w:p w14:paraId="2A706E4A" w14:textId="77777777" w:rsidR="00577D08" w:rsidRDefault="00330FC0">
                <w:pPr>
                  <w:jc w:val="center"/>
                </w:pPr>
                <w:r>
                  <w:t>营业成本</w:t>
                </w:r>
              </w:p>
            </w:tc>
          </w:sdtContent>
        </w:sdt>
        <w:sdt>
          <w:sdtPr>
            <w:tag w:val="_PLD_2beea8e29ca14ce68ca930225f6b78ba"/>
            <w:id w:val="933162263"/>
          </w:sdtPr>
          <w:sdtContent>
            <w:tc>
              <w:tcPr>
                <w:tcW w:w="1236" w:type="dxa"/>
                <w:vAlign w:val="center"/>
              </w:tcPr>
              <w:p w14:paraId="3643C634" w14:textId="77777777" w:rsidR="00577D08" w:rsidRDefault="00330FC0">
                <w:pPr>
                  <w:jc w:val="center"/>
                </w:pPr>
                <w:r>
                  <w:rPr>
                    <w:rFonts w:hint="eastAsia"/>
                  </w:rPr>
                  <w:t>毛利率</w:t>
                </w:r>
                <w:r>
                  <w:t>（</w:t>
                </w:r>
                <w:r>
                  <w:rPr>
                    <w:rFonts w:hint="eastAsia"/>
                  </w:rPr>
                  <w:t>%</w:t>
                </w:r>
                <w:r>
                  <w:t>）</w:t>
                </w:r>
              </w:p>
            </w:tc>
          </w:sdtContent>
        </w:sdt>
        <w:sdt>
          <w:sdtPr>
            <w:tag w:val="_PLD_f9dadced328346f0b76bc97b709dc071"/>
            <w:id w:val="107171449"/>
          </w:sdtPr>
          <w:sdtContent>
            <w:tc>
              <w:tcPr>
                <w:tcW w:w="1236" w:type="dxa"/>
                <w:vAlign w:val="center"/>
              </w:tcPr>
              <w:p w14:paraId="61179101" w14:textId="77777777" w:rsidR="00577D08" w:rsidRDefault="00330FC0">
                <w:pPr>
                  <w:jc w:val="center"/>
                </w:pPr>
                <w:r>
                  <w:t>营业收入比上年增减（</w:t>
                </w:r>
                <w:r>
                  <w:rPr>
                    <w:rFonts w:hint="eastAsia"/>
                  </w:rPr>
                  <w:t>%</w:t>
                </w:r>
                <w:r>
                  <w:t>）</w:t>
                </w:r>
              </w:p>
            </w:tc>
          </w:sdtContent>
        </w:sdt>
        <w:sdt>
          <w:sdtPr>
            <w:tag w:val="_PLD_c02171812b4a4964854b289e6b6282d1"/>
            <w:id w:val="-959411795"/>
          </w:sdtPr>
          <w:sdtContent>
            <w:tc>
              <w:tcPr>
                <w:tcW w:w="1236" w:type="dxa"/>
                <w:vAlign w:val="center"/>
              </w:tcPr>
              <w:p w14:paraId="6022C494" w14:textId="77777777" w:rsidR="00577D08" w:rsidRDefault="00330FC0">
                <w:pPr>
                  <w:jc w:val="center"/>
                </w:pPr>
                <w:r>
                  <w:t>营业成本比上年增减（</w:t>
                </w:r>
                <w:r>
                  <w:rPr>
                    <w:rFonts w:hint="eastAsia"/>
                  </w:rPr>
                  <w:t>%</w:t>
                </w:r>
                <w:r>
                  <w:t>）</w:t>
                </w:r>
              </w:p>
            </w:tc>
          </w:sdtContent>
        </w:sdt>
        <w:sdt>
          <w:sdtPr>
            <w:tag w:val="_PLD_6ec6853f40254c1e8badc94bd41729ab"/>
            <w:id w:val="505877046"/>
          </w:sdtPr>
          <w:sdtContent>
            <w:tc>
              <w:tcPr>
                <w:tcW w:w="1231" w:type="dxa"/>
                <w:vAlign w:val="center"/>
              </w:tcPr>
              <w:p w14:paraId="30DC4D37" w14:textId="77777777" w:rsidR="00577D08" w:rsidRDefault="00330FC0">
                <w:pPr>
                  <w:jc w:val="center"/>
                </w:pPr>
                <w:r>
                  <w:rPr>
                    <w:rFonts w:hint="eastAsia"/>
                  </w:rPr>
                  <w:t>毛利率</w:t>
                </w:r>
                <w:r>
                  <w:t>比上年增减（</w:t>
                </w:r>
                <w:r>
                  <w:rPr>
                    <w:rFonts w:hint="eastAsia"/>
                  </w:rPr>
                  <w:t>%</w:t>
                </w:r>
                <w:r>
                  <w:t>）</w:t>
                </w:r>
              </w:p>
            </w:tc>
          </w:sdtContent>
        </w:sdt>
      </w:tr>
      <w:tr w:rsidR="00577D08" w14:paraId="02057B4A" w14:textId="77777777">
        <w:tc>
          <w:tcPr>
            <w:tcW w:w="1239" w:type="dxa"/>
          </w:tcPr>
          <w:p w14:paraId="0508FCE2" w14:textId="77777777" w:rsidR="00577D08" w:rsidRDefault="00330FC0">
            <w:pPr>
              <w:pStyle w:val="aff9"/>
              <w:ind w:firstLineChars="0" w:firstLine="0"/>
              <w:jc w:val="left"/>
              <w:rPr>
                <w:rFonts w:ascii="宋体" w:hAnsi="宋体" w:cs="宋体" w:hint="eastAsia"/>
                <w:kern w:val="0"/>
                <w:szCs w:val="21"/>
              </w:rPr>
            </w:pPr>
            <w:r>
              <w:rPr>
                <w:rFonts w:hint="eastAsia"/>
              </w:rPr>
              <w:t>钢压延加工</w:t>
            </w:r>
          </w:p>
        </w:tc>
        <w:tc>
          <w:tcPr>
            <w:tcW w:w="1391" w:type="dxa"/>
            <w:vAlign w:val="center"/>
          </w:tcPr>
          <w:p w14:paraId="44DA1D47" w14:textId="77777777" w:rsidR="00577D08" w:rsidRDefault="00330FC0">
            <w:pPr>
              <w:jc w:val="right"/>
            </w:pPr>
            <w:r>
              <w:t xml:space="preserve"> 127,823.86 </w:t>
            </w:r>
          </w:p>
        </w:tc>
        <w:tc>
          <w:tcPr>
            <w:tcW w:w="1480" w:type="dxa"/>
            <w:vAlign w:val="center"/>
          </w:tcPr>
          <w:p w14:paraId="7EA208F4" w14:textId="77777777" w:rsidR="00577D08" w:rsidRDefault="00330FC0">
            <w:pPr>
              <w:jc w:val="right"/>
            </w:pPr>
            <w:r>
              <w:t xml:space="preserve"> 117,082.78 </w:t>
            </w:r>
          </w:p>
        </w:tc>
        <w:tc>
          <w:tcPr>
            <w:tcW w:w="1236" w:type="dxa"/>
            <w:vAlign w:val="center"/>
          </w:tcPr>
          <w:p w14:paraId="293E6284" w14:textId="77777777" w:rsidR="00577D08" w:rsidRDefault="00330FC0">
            <w:pPr>
              <w:jc w:val="right"/>
            </w:pPr>
            <w:r>
              <w:t xml:space="preserve"> 8.40 </w:t>
            </w:r>
          </w:p>
        </w:tc>
        <w:tc>
          <w:tcPr>
            <w:tcW w:w="1236" w:type="dxa"/>
            <w:vAlign w:val="center"/>
          </w:tcPr>
          <w:p w14:paraId="59562EC1" w14:textId="77777777" w:rsidR="00577D08" w:rsidRDefault="00330FC0">
            <w:pPr>
              <w:jc w:val="right"/>
            </w:pPr>
            <w:r>
              <w:t xml:space="preserve"> -4.22 </w:t>
            </w:r>
          </w:p>
        </w:tc>
        <w:tc>
          <w:tcPr>
            <w:tcW w:w="1236" w:type="dxa"/>
            <w:vAlign w:val="center"/>
          </w:tcPr>
          <w:p w14:paraId="5A4C82EB" w14:textId="77777777" w:rsidR="00577D08" w:rsidRDefault="00330FC0">
            <w:pPr>
              <w:jc w:val="right"/>
            </w:pPr>
            <w:r>
              <w:t xml:space="preserve"> -6.53 </w:t>
            </w:r>
          </w:p>
        </w:tc>
        <w:tc>
          <w:tcPr>
            <w:tcW w:w="1231" w:type="dxa"/>
            <w:vAlign w:val="center"/>
          </w:tcPr>
          <w:p w14:paraId="44476549" w14:textId="77777777" w:rsidR="00577D08" w:rsidRDefault="00330FC0">
            <w:pPr>
              <w:jc w:val="right"/>
            </w:pPr>
            <w:r>
              <w:t xml:space="preserve"> 2.26 </w:t>
            </w:r>
          </w:p>
        </w:tc>
      </w:tr>
      <w:tr w:rsidR="00577D08" w14:paraId="14D72FA3" w14:textId="77777777">
        <w:tc>
          <w:tcPr>
            <w:tcW w:w="1239" w:type="dxa"/>
          </w:tcPr>
          <w:p w14:paraId="27576A3A" w14:textId="77777777" w:rsidR="00577D08" w:rsidRDefault="00330FC0">
            <w:pPr>
              <w:pStyle w:val="aff9"/>
              <w:ind w:firstLineChars="0" w:firstLine="0"/>
              <w:jc w:val="left"/>
              <w:rPr>
                <w:rFonts w:ascii="宋体" w:hAnsi="宋体" w:cs="宋体" w:hint="eastAsia"/>
                <w:kern w:val="0"/>
                <w:szCs w:val="21"/>
              </w:rPr>
            </w:pPr>
            <w:r>
              <w:rPr>
                <w:rFonts w:hint="eastAsia"/>
              </w:rPr>
              <w:t>输配电及控制设备制造</w:t>
            </w:r>
          </w:p>
        </w:tc>
        <w:tc>
          <w:tcPr>
            <w:tcW w:w="1391" w:type="dxa"/>
            <w:vAlign w:val="center"/>
          </w:tcPr>
          <w:p w14:paraId="5F92EA38" w14:textId="77777777" w:rsidR="00577D08" w:rsidRDefault="00330FC0">
            <w:pPr>
              <w:jc w:val="right"/>
            </w:pPr>
            <w:r>
              <w:t xml:space="preserve"> 251,083.40 </w:t>
            </w:r>
          </w:p>
        </w:tc>
        <w:tc>
          <w:tcPr>
            <w:tcW w:w="1480" w:type="dxa"/>
            <w:vAlign w:val="center"/>
          </w:tcPr>
          <w:p w14:paraId="22304B33" w14:textId="77777777" w:rsidR="00577D08" w:rsidRDefault="00330FC0">
            <w:pPr>
              <w:jc w:val="right"/>
            </w:pPr>
            <w:r>
              <w:t xml:space="preserve"> 217,885.64 </w:t>
            </w:r>
          </w:p>
        </w:tc>
        <w:tc>
          <w:tcPr>
            <w:tcW w:w="1236" w:type="dxa"/>
            <w:vAlign w:val="center"/>
          </w:tcPr>
          <w:p w14:paraId="31C1A9BD" w14:textId="77777777" w:rsidR="00577D08" w:rsidRDefault="00330FC0">
            <w:pPr>
              <w:jc w:val="right"/>
            </w:pPr>
            <w:r>
              <w:t xml:space="preserve"> 13.22 </w:t>
            </w:r>
          </w:p>
        </w:tc>
        <w:tc>
          <w:tcPr>
            <w:tcW w:w="1236" w:type="dxa"/>
            <w:vAlign w:val="center"/>
          </w:tcPr>
          <w:p w14:paraId="6D9972B4" w14:textId="77777777" w:rsidR="00577D08" w:rsidRDefault="00330FC0">
            <w:pPr>
              <w:jc w:val="right"/>
            </w:pPr>
            <w:r>
              <w:t xml:space="preserve"> 29.90 </w:t>
            </w:r>
          </w:p>
        </w:tc>
        <w:tc>
          <w:tcPr>
            <w:tcW w:w="1236" w:type="dxa"/>
            <w:vAlign w:val="center"/>
          </w:tcPr>
          <w:p w14:paraId="32D24253" w14:textId="77777777" w:rsidR="00577D08" w:rsidRDefault="00330FC0">
            <w:pPr>
              <w:jc w:val="right"/>
            </w:pPr>
            <w:r>
              <w:t xml:space="preserve"> 31.81 </w:t>
            </w:r>
          </w:p>
        </w:tc>
        <w:tc>
          <w:tcPr>
            <w:tcW w:w="1231" w:type="dxa"/>
            <w:vAlign w:val="center"/>
          </w:tcPr>
          <w:p w14:paraId="47474963" w14:textId="77777777" w:rsidR="00577D08" w:rsidRDefault="00330FC0">
            <w:pPr>
              <w:jc w:val="right"/>
            </w:pPr>
            <w:r>
              <w:t xml:space="preserve"> -1.26 </w:t>
            </w:r>
          </w:p>
        </w:tc>
      </w:tr>
      <w:tr w:rsidR="00577D08" w14:paraId="5A84DA01" w14:textId="77777777">
        <w:tc>
          <w:tcPr>
            <w:tcW w:w="1239" w:type="dxa"/>
          </w:tcPr>
          <w:p w14:paraId="1E4B3D6F" w14:textId="77777777" w:rsidR="00577D08" w:rsidRDefault="00330FC0">
            <w:pPr>
              <w:pStyle w:val="aff9"/>
              <w:ind w:firstLineChars="0" w:firstLine="0"/>
              <w:jc w:val="left"/>
              <w:rPr>
                <w:rFonts w:ascii="宋体" w:hAnsi="宋体" w:cs="宋体" w:hint="eastAsia"/>
                <w:kern w:val="0"/>
                <w:szCs w:val="21"/>
              </w:rPr>
            </w:pPr>
            <w:r>
              <w:rPr>
                <w:rFonts w:hint="eastAsia"/>
              </w:rPr>
              <w:t>合计</w:t>
            </w:r>
          </w:p>
        </w:tc>
        <w:tc>
          <w:tcPr>
            <w:tcW w:w="1391" w:type="dxa"/>
            <w:vAlign w:val="center"/>
          </w:tcPr>
          <w:p w14:paraId="47808E29" w14:textId="77777777" w:rsidR="00577D08" w:rsidRDefault="00330FC0">
            <w:pPr>
              <w:jc w:val="right"/>
            </w:pPr>
            <w:r>
              <w:t xml:space="preserve"> 378,907.25 </w:t>
            </w:r>
          </w:p>
        </w:tc>
        <w:tc>
          <w:tcPr>
            <w:tcW w:w="1480" w:type="dxa"/>
            <w:vAlign w:val="center"/>
          </w:tcPr>
          <w:p w14:paraId="29DA95A2" w14:textId="77777777" w:rsidR="00577D08" w:rsidRDefault="00330FC0">
            <w:pPr>
              <w:jc w:val="right"/>
            </w:pPr>
            <w:r>
              <w:t xml:space="preserve"> 334,968.42 </w:t>
            </w:r>
          </w:p>
        </w:tc>
        <w:tc>
          <w:tcPr>
            <w:tcW w:w="1236" w:type="dxa"/>
            <w:vAlign w:val="center"/>
          </w:tcPr>
          <w:p w14:paraId="41AB406B" w14:textId="77777777" w:rsidR="00577D08" w:rsidRDefault="00330FC0">
            <w:pPr>
              <w:jc w:val="right"/>
            </w:pPr>
            <w:r>
              <w:t xml:space="preserve"> 11.60 </w:t>
            </w:r>
          </w:p>
        </w:tc>
        <w:tc>
          <w:tcPr>
            <w:tcW w:w="1236" w:type="dxa"/>
            <w:vAlign w:val="center"/>
          </w:tcPr>
          <w:p w14:paraId="61D3172B" w14:textId="77777777" w:rsidR="00577D08" w:rsidRDefault="00330FC0">
            <w:pPr>
              <w:jc w:val="right"/>
            </w:pPr>
            <w:r>
              <w:t xml:space="preserve"> 15.96 </w:t>
            </w:r>
          </w:p>
        </w:tc>
        <w:tc>
          <w:tcPr>
            <w:tcW w:w="1236" w:type="dxa"/>
            <w:vAlign w:val="center"/>
          </w:tcPr>
          <w:p w14:paraId="7A2CC5B4" w14:textId="77777777" w:rsidR="00577D08" w:rsidRDefault="00330FC0">
            <w:pPr>
              <w:jc w:val="right"/>
            </w:pPr>
            <w:r>
              <w:t xml:space="preserve"> 15.28 </w:t>
            </w:r>
          </w:p>
        </w:tc>
        <w:tc>
          <w:tcPr>
            <w:tcW w:w="1231" w:type="dxa"/>
            <w:vAlign w:val="center"/>
          </w:tcPr>
          <w:p w14:paraId="22A9789D" w14:textId="77777777" w:rsidR="00577D08" w:rsidRDefault="00330FC0">
            <w:pPr>
              <w:jc w:val="right"/>
            </w:pPr>
            <w:r>
              <w:t xml:space="preserve"> 0.52 </w:t>
            </w:r>
          </w:p>
        </w:tc>
      </w:tr>
      <w:tr w:rsidR="00577D08" w14:paraId="29C6E9CC" w14:textId="77777777">
        <w:sdt>
          <w:sdtPr>
            <w:tag w:val="_PLD_49258193d94b4f5fa47e482cd615784f"/>
            <w:id w:val="-53094957"/>
          </w:sdtPr>
          <w:sdtContent>
            <w:tc>
              <w:tcPr>
                <w:tcW w:w="9049" w:type="dxa"/>
                <w:gridSpan w:val="7"/>
                <w:vAlign w:val="center"/>
              </w:tcPr>
              <w:p w14:paraId="35AC3054" w14:textId="77777777" w:rsidR="00577D08" w:rsidRDefault="00330FC0">
                <w:pPr>
                  <w:jc w:val="center"/>
                </w:pPr>
                <w:r>
                  <w:rPr>
                    <w:rFonts w:hint="eastAsia"/>
                  </w:rPr>
                  <w:t>主营业务分产品情况</w:t>
                </w:r>
              </w:p>
            </w:tc>
          </w:sdtContent>
        </w:sdt>
      </w:tr>
      <w:tr w:rsidR="00577D08" w14:paraId="03C6C056" w14:textId="77777777">
        <w:sdt>
          <w:sdtPr>
            <w:tag w:val="_PLD_1d72749a5d4248359cb1b92e381ef722"/>
            <w:id w:val="1692802914"/>
          </w:sdtPr>
          <w:sdtContent>
            <w:tc>
              <w:tcPr>
                <w:tcW w:w="1239" w:type="dxa"/>
                <w:vAlign w:val="center"/>
              </w:tcPr>
              <w:p w14:paraId="4F04046F" w14:textId="77777777" w:rsidR="00577D08" w:rsidRDefault="00330FC0">
                <w:pPr>
                  <w:pStyle w:val="aff9"/>
                  <w:ind w:firstLineChars="0" w:firstLine="0"/>
                  <w:jc w:val="center"/>
                  <w:rPr>
                    <w:szCs w:val="21"/>
                  </w:rPr>
                </w:pPr>
                <w:r>
                  <w:rPr>
                    <w:rFonts w:hint="eastAsia"/>
                    <w:szCs w:val="21"/>
                  </w:rPr>
                  <w:t>分产品</w:t>
                </w:r>
              </w:p>
            </w:tc>
          </w:sdtContent>
        </w:sdt>
        <w:sdt>
          <w:sdtPr>
            <w:tag w:val="_PLD_5e318ae25ee540258ffd6821c201e0af"/>
            <w:id w:val="1230809158"/>
          </w:sdtPr>
          <w:sdtContent>
            <w:tc>
              <w:tcPr>
                <w:tcW w:w="1391" w:type="dxa"/>
                <w:vAlign w:val="center"/>
              </w:tcPr>
              <w:p w14:paraId="682B018B" w14:textId="77777777" w:rsidR="00577D08" w:rsidRDefault="00330FC0">
                <w:pPr>
                  <w:jc w:val="center"/>
                </w:pPr>
                <w:r>
                  <w:rPr>
                    <w:rFonts w:hint="eastAsia"/>
                  </w:rPr>
                  <w:t>营业收入</w:t>
                </w:r>
              </w:p>
            </w:tc>
          </w:sdtContent>
        </w:sdt>
        <w:sdt>
          <w:sdtPr>
            <w:tag w:val="_PLD_d7023b8e0b18494eaae569b7bcd4781f"/>
            <w:id w:val="-153602657"/>
          </w:sdtPr>
          <w:sdtContent>
            <w:tc>
              <w:tcPr>
                <w:tcW w:w="1480" w:type="dxa"/>
                <w:vAlign w:val="center"/>
              </w:tcPr>
              <w:p w14:paraId="54E72EED" w14:textId="77777777" w:rsidR="00577D08" w:rsidRDefault="00330FC0">
                <w:pPr>
                  <w:jc w:val="center"/>
                </w:pPr>
                <w:r>
                  <w:rPr>
                    <w:rFonts w:hint="eastAsia"/>
                  </w:rPr>
                  <w:t>营业成本</w:t>
                </w:r>
              </w:p>
            </w:tc>
          </w:sdtContent>
        </w:sdt>
        <w:sdt>
          <w:sdtPr>
            <w:tag w:val="_PLD_c7e7c31f672744488b53ec34a4e0abde"/>
            <w:id w:val="1543166096"/>
          </w:sdtPr>
          <w:sdtContent>
            <w:tc>
              <w:tcPr>
                <w:tcW w:w="1236" w:type="dxa"/>
                <w:vAlign w:val="center"/>
              </w:tcPr>
              <w:p w14:paraId="4400167C" w14:textId="77777777" w:rsidR="00577D08" w:rsidRDefault="00330FC0">
                <w:pPr>
                  <w:jc w:val="center"/>
                </w:pPr>
                <w:r>
                  <w:rPr>
                    <w:rFonts w:hint="eastAsia"/>
                  </w:rPr>
                  <w:t>毛利率（</w:t>
                </w:r>
                <w:r>
                  <w:rPr>
                    <w:rFonts w:hint="eastAsia"/>
                  </w:rPr>
                  <w:t>%</w:t>
                </w:r>
                <w:r>
                  <w:rPr>
                    <w:rFonts w:hint="eastAsia"/>
                  </w:rPr>
                  <w:t>）</w:t>
                </w:r>
              </w:p>
            </w:tc>
          </w:sdtContent>
        </w:sdt>
        <w:sdt>
          <w:sdtPr>
            <w:tag w:val="_PLD_0ca65e94b76d4933977b3fe13864caf2"/>
            <w:id w:val="1984046085"/>
          </w:sdtPr>
          <w:sdtContent>
            <w:tc>
              <w:tcPr>
                <w:tcW w:w="1236" w:type="dxa"/>
                <w:vAlign w:val="center"/>
              </w:tcPr>
              <w:p w14:paraId="526B6B76" w14:textId="77777777" w:rsidR="00577D08" w:rsidRDefault="00330FC0">
                <w:pPr>
                  <w:jc w:val="center"/>
                </w:pPr>
                <w:r>
                  <w:rPr>
                    <w:rFonts w:hint="eastAsia"/>
                  </w:rPr>
                  <w:t>营业收入比上年增减（</w:t>
                </w:r>
                <w:r>
                  <w:rPr>
                    <w:rFonts w:hint="eastAsia"/>
                  </w:rPr>
                  <w:t>%</w:t>
                </w:r>
                <w:r>
                  <w:rPr>
                    <w:rFonts w:hint="eastAsia"/>
                  </w:rPr>
                  <w:t>）</w:t>
                </w:r>
              </w:p>
            </w:tc>
          </w:sdtContent>
        </w:sdt>
        <w:sdt>
          <w:sdtPr>
            <w:tag w:val="_PLD_0fcddf8af1ce40e3bbe0b8e78c8c2496"/>
            <w:id w:val="384917940"/>
          </w:sdtPr>
          <w:sdtContent>
            <w:tc>
              <w:tcPr>
                <w:tcW w:w="1236" w:type="dxa"/>
                <w:vAlign w:val="center"/>
              </w:tcPr>
              <w:p w14:paraId="7E067497" w14:textId="77777777" w:rsidR="00577D08" w:rsidRDefault="00330FC0">
                <w:pPr>
                  <w:jc w:val="center"/>
                </w:pPr>
                <w:r>
                  <w:rPr>
                    <w:rFonts w:hint="eastAsia"/>
                  </w:rPr>
                  <w:t>营业成本比上年增减（</w:t>
                </w:r>
                <w:r>
                  <w:rPr>
                    <w:rFonts w:hint="eastAsia"/>
                  </w:rPr>
                  <w:t>%</w:t>
                </w:r>
                <w:r>
                  <w:rPr>
                    <w:rFonts w:hint="eastAsia"/>
                  </w:rPr>
                  <w:t>）</w:t>
                </w:r>
              </w:p>
            </w:tc>
          </w:sdtContent>
        </w:sdt>
        <w:sdt>
          <w:sdtPr>
            <w:tag w:val="_PLD_fd695ef26ff948df8cd16c66ef5ffea9"/>
            <w:id w:val="-1969433148"/>
          </w:sdtPr>
          <w:sdtContent>
            <w:tc>
              <w:tcPr>
                <w:tcW w:w="1231" w:type="dxa"/>
                <w:vAlign w:val="center"/>
              </w:tcPr>
              <w:p w14:paraId="58B3C62E" w14:textId="77777777" w:rsidR="00577D08" w:rsidRDefault="00330FC0">
                <w:pPr>
                  <w:jc w:val="center"/>
                </w:pPr>
                <w:r>
                  <w:rPr>
                    <w:rFonts w:hint="eastAsia"/>
                  </w:rPr>
                  <w:t>毛利率</w:t>
                </w:r>
                <w:r>
                  <w:t>比上年增减（</w:t>
                </w:r>
                <w:r>
                  <w:rPr>
                    <w:rFonts w:hint="eastAsia"/>
                  </w:rPr>
                  <w:t>%</w:t>
                </w:r>
                <w:r>
                  <w:t>）</w:t>
                </w:r>
              </w:p>
            </w:tc>
          </w:sdtContent>
        </w:sdt>
      </w:tr>
      <w:tr w:rsidR="00577D08" w14:paraId="67D23E5F" w14:textId="77777777">
        <w:tc>
          <w:tcPr>
            <w:tcW w:w="1239" w:type="dxa"/>
          </w:tcPr>
          <w:p w14:paraId="7ACD4CC0" w14:textId="77777777" w:rsidR="00577D08" w:rsidRDefault="00330FC0">
            <w:pPr>
              <w:pStyle w:val="aff9"/>
              <w:ind w:firstLineChars="0" w:firstLine="0"/>
              <w:jc w:val="left"/>
              <w:rPr>
                <w:rFonts w:ascii="宋体" w:hAnsi="宋体" w:cs="宋体" w:hint="eastAsia"/>
                <w:kern w:val="0"/>
                <w:szCs w:val="21"/>
              </w:rPr>
            </w:pPr>
            <w:r>
              <w:rPr>
                <w:rFonts w:hint="eastAsia"/>
              </w:rPr>
              <w:t>取向硅钢</w:t>
            </w:r>
          </w:p>
        </w:tc>
        <w:tc>
          <w:tcPr>
            <w:tcW w:w="1391" w:type="dxa"/>
            <w:vAlign w:val="center"/>
          </w:tcPr>
          <w:p w14:paraId="310653B8" w14:textId="77777777" w:rsidR="00577D08" w:rsidRDefault="00330FC0">
            <w:pPr>
              <w:jc w:val="right"/>
            </w:pPr>
            <w:r>
              <w:t xml:space="preserve"> 127,823.86 </w:t>
            </w:r>
          </w:p>
        </w:tc>
        <w:tc>
          <w:tcPr>
            <w:tcW w:w="1480" w:type="dxa"/>
            <w:vAlign w:val="center"/>
          </w:tcPr>
          <w:p w14:paraId="5AC677F5" w14:textId="77777777" w:rsidR="00577D08" w:rsidRDefault="00330FC0">
            <w:pPr>
              <w:jc w:val="right"/>
            </w:pPr>
            <w:r>
              <w:t xml:space="preserve"> 117,082.78 </w:t>
            </w:r>
          </w:p>
        </w:tc>
        <w:tc>
          <w:tcPr>
            <w:tcW w:w="1236" w:type="dxa"/>
            <w:vAlign w:val="center"/>
          </w:tcPr>
          <w:p w14:paraId="0AF4E21A" w14:textId="77777777" w:rsidR="00577D08" w:rsidRDefault="00330FC0">
            <w:pPr>
              <w:jc w:val="right"/>
            </w:pPr>
            <w:r>
              <w:t xml:space="preserve"> 8.40 </w:t>
            </w:r>
          </w:p>
        </w:tc>
        <w:tc>
          <w:tcPr>
            <w:tcW w:w="1236" w:type="dxa"/>
            <w:vAlign w:val="center"/>
          </w:tcPr>
          <w:p w14:paraId="6F92A8BA" w14:textId="77777777" w:rsidR="00577D08" w:rsidRDefault="00330FC0">
            <w:pPr>
              <w:jc w:val="right"/>
            </w:pPr>
            <w:r>
              <w:t xml:space="preserve"> -4.22 </w:t>
            </w:r>
          </w:p>
        </w:tc>
        <w:tc>
          <w:tcPr>
            <w:tcW w:w="1236" w:type="dxa"/>
            <w:vAlign w:val="center"/>
          </w:tcPr>
          <w:p w14:paraId="685FEAFE" w14:textId="77777777" w:rsidR="00577D08" w:rsidRDefault="00330FC0">
            <w:pPr>
              <w:jc w:val="right"/>
            </w:pPr>
            <w:r>
              <w:t xml:space="preserve"> -6.53 </w:t>
            </w:r>
          </w:p>
        </w:tc>
        <w:tc>
          <w:tcPr>
            <w:tcW w:w="1231" w:type="dxa"/>
            <w:vAlign w:val="center"/>
          </w:tcPr>
          <w:p w14:paraId="42C70331" w14:textId="77777777" w:rsidR="00577D08" w:rsidRDefault="00330FC0">
            <w:pPr>
              <w:jc w:val="right"/>
            </w:pPr>
            <w:r>
              <w:t xml:space="preserve"> 2.26 </w:t>
            </w:r>
          </w:p>
        </w:tc>
      </w:tr>
      <w:tr w:rsidR="00577D08" w14:paraId="43CF00D6" w14:textId="77777777">
        <w:tc>
          <w:tcPr>
            <w:tcW w:w="1239" w:type="dxa"/>
          </w:tcPr>
          <w:p w14:paraId="07AFBEF9" w14:textId="77777777" w:rsidR="00577D08" w:rsidRDefault="00330FC0">
            <w:pPr>
              <w:pStyle w:val="aff9"/>
              <w:ind w:firstLineChars="0" w:firstLine="0"/>
              <w:jc w:val="left"/>
              <w:rPr>
                <w:rFonts w:ascii="宋体" w:hAnsi="宋体" w:cs="宋体" w:hint="eastAsia"/>
                <w:kern w:val="0"/>
                <w:szCs w:val="21"/>
              </w:rPr>
            </w:pPr>
            <w:r>
              <w:rPr>
                <w:rFonts w:hint="eastAsia"/>
              </w:rPr>
              <w:lastRenderedPageBreak/>
              <w:t>输配电及控制设备</w:t>
            </w:r>
          </w:p>
        </w:tc>
        <w:tc>
          <w:tcPr>
            <w:tcW w:w="1391" w:type="dxa"/>
            <w:vAlign w:val="center"/>
          </w:tcPr>
          <w:p w14:paraId="7C3DFE9E" w14:textId="77777777" w:rsidR="00577D08" w:rsidRDefault="00330FC0">
            <w:pPr>
              <w:jc w:val="right"/>
            </w:pPr>
            <w:r>
              <w:t xml:space="preserve"> 251,083.40 </w:t>
            </w:r>
          </w:p>
        </w:tc>
        <w:tc>
          <w:tcPr>
            <w:tcW w:w="1480" w:type="dxa"/>
            <w:vAlign w:val="center"/>
          </w:tcPr>
          <w:p w14:paraId="715DDB06" w14:textId="77777777" w:rsidR="00577D08" w:rsidRDefault="00330FC0">
            <w:pPr>
              <w:jc w:val="right"/>
            </w:pPr>
            <w:r>
              <w:t xml:space="preserve"> 217,885.64 </w:t>
            </w:r>
          </w:p>
        </w:tc>
        <w:tc>
          <w:tcPr>
            <w:tcW w:w="1236" w:type="dxa"/>
            <w:vAlign w:val="center"/>
          </w:tcPr>
          <w:p w14:paraId="38A8571D" w14:textId="77777777" w:rsidR="00577D08" w:rsidRDefault="00330FC0">
            <w:pPr>
              <w:jc w:val="right"/>
            </w:pPr>
            <w:r>
              <w:t xml:space="preserve"> 13.22 </w:t>
            </w:r>
          </w:p>
        </w:tc>
        <w:tc>
          <w:tcPr>
            <w:tcW w:w="1236" w:type="dxa"/>
            <w:vAlign w:val="center"/>
          </w:tcPr>
          <w:p w14:paraId="2D22B699" w14:textId="77777777" w:rsidR="00577D08" w:rsidRDefault="00330FC0">
            <w:pPr>
              <w:jc w:val="right"/>
            </w:pPr>
            <w:r>
              <w:t xml:space="preserve"> 29.90 </w:t>
            </w:r>
          </w:p>
        </w:tc>
        <w:tc>
          <w:tcPr>
            <w:tcW w:w="1236" w:type="dxa"/>
            <w:vAlign w:val="center"/>
          </w:tcPr>
          <w:p w14:paraId="27C3D4DD" w14:textId="77777777" w:rsidR="00577D08" w:rsidRDefault="00330FC0">
            <w:pPr>
              <w:jc w:val="right"/>
            </w:pPr>
            <w:r>
              <w:t xml:space="preserve"> 31.81 </w:t>
            </w:r>
          </w:p>
        </w:tc>
        <w:tc>
          <w:tcPr>
            <w:tcW w:w="1231" w:type="dxa"/>
            <w:vAlign w:val="center"/>
          </w:tcPr>
          <w:p w14:paraId="1EC9EE7D" w14:textId="77777777" w:rsidR="00577D08" w:rsidRDefault="00330FC0">
            <w:pPr>
              <w:jc w:val="right"/>
            </w:pPr>
            <w:r>
              <w:t xml:space="preserve"> -1.26 </w:t>
            </w:r>
          </w:p>
        </w:tc>
      </w:tr>
      <w:tr w:rsidR="00577D08" w14:paraId="445A9797" w14:textId="77777777">
        <w:tc>
          <w:tcPr>
            <w:tcW w:w="1239" w:type="dxa"/>
          </w:tcPr>
          <w:p w14:paraId="775FD9E5" w14:textId="77777777" w:rsidR="00577D08" w:rsidRDefault="00330FC0">
            <w:pPr>
              <w:pStyle w:val="aff9"/>
              <w:ind w:firstLineChars="0" w:firstLine="0"/>
              <w:jc w:val="left"/>
              <w:rPr>
                <w:rFonts w:ascii="宋体" w:hAnsi="宋体" w:cs="宋体" w:hint="eastAsia"/>
                <w:kern w:val="0"/>
                <w:szCs w:val="21"/>
              </w:rPr>
            </w:pPr>
            <w:r>
              <w:rPr>
                <w:rFonts w:hint="eastAsia"/>
              </w:rPr>
              <w:t>合计</w:t>
            </w:r>
          </w:p>
        </w:tc>
        <w:tc>
          <w:tcPr>
            <w:tcW w:w="1391" w:type="dxa"/>
            <w:vAlign w:val="center"/>
          </w:tcPr>
          <w:p w14:paraId="33372353" w14:textId="77777777" w:rsidR="00577D08" w:rsidRDefault="00330FC0">
            <w:pPr>
              <w:jc w:val="right"/>
            </w:pPr>
            <w:r>
              <w:t xml:space="preserve"> 378,907.25 </w:t>
            </w:r>
          </w:p>
        </w:tc>
        <w:tc>
          <w:tcPr>
            <w:tcW w:w="1480" w:type="dxa"/>
            <w:vAlign w:val="center"/>
          </w:tcPr>
          <w:p w14:paraId="6552E7D0" w14:textId="77777777" w:rsidR="00577D08" w:rsidRDefault="00330FC0">
            <w:pPr>
              <w:jc w:val="right"/>
            </w:pPr>
            <w:r>
              <w:t xml:space="preserve"> 334,968.42 </w:t>
            </w:r>
          </w:p>
        </w:tc>
        <w:tc>
          <w:tcPr>
            <w:tcW w:w="1236" w:type="dxa"/>
            <w:vAlign w:val="center"/>
          </w:tcPr>
          <w:p w14:paraId="38940D66" w14:textId="77777777" w:rsidR="00577D08" w:rsidRDefault="00330FC0">
            <w:pPr>
              <w:jc w:val="right"/>
            </w:pPr>
            <w:r>
              <w:t xml:space="preserve"> 11.60 </w:t>
            </w:r>
          </w:p>
        </w:tc>
        <w:tc>
          <w:tcPr>
            <w:tcW w:w="1236" w:type="dxa"/>
            <w:vAlign w:val="center"/>
          </w:tcPr>
          <w:p w14:paraId="22D2DF0B" w14:textId="77777777" w:rsidR="00577D08" w:rsidRDefault="00330FC0">
            <w:pPr>
              <w:jc w:val="right"/>
            </w:pPr>
            <w:r>
              <w:t xml:space="preserve"> 15.96 </w:t>
            </w:r>
          </w:p>
        </w:tc>
        <w:tc>
          <w:tcPr>
            <w:tcW w:w="1236" w:type="dxa"/>
            <w:vAlign w:val="center"/>
          </w:tcPr>
          <w:p w14:paraId="0EC36C6F" w14:textId="77777777" w:rsidR="00577D08" w:rsidRDefault="00330FC0">
            <w:pPr>
              <w:jc w:val="right"/>
            </w:pPr>
            <w:r>
              <w:t xml:space="preserve"> 15.28 </w:t>
            </w:r>
          </w:p>
        </w:tc>
        <w:tc>
          <w:tcPr>
            <w:tcW w:w="1231" w:type="dxa"/>
            <w:vAlign w:val="center"/>
          </w:tcPr>
          <w:p w14:paraId="7A23A414" w14:textId="77777777" w:rsidR="00577D08" w:rsidRDefault="00330FC0">
            <w:pPr>
              <w:jc w:val="right"/>
            </w:pPr>
            <w:r>
              <w:t xml:space="preserve"> 0.52 </w:t>
            </w:r>
          </w:p>
        </w:tc>
      </w:tr>
      <w:tr w:rsidR="00577D08" w14:paraId="6F806DD1" w14:textId="77777777">
        <w:sdt>
          <w:sdtPr>
            <w:tag w:val="_PLD_fe4b98c3f70c495d9eb9797ce0f7b5f6"/>
            <w:id w:val="961918536"/>
          </w:sdtPr>
          <w:sdtContent>
            <w:tc>
              <w:tcPr>
                <w:tcW w:w="9049" w:type="dxa"/>
                <w:gridSpan w:val="7"/>
                <w:vAlign w:val="center"/>
              </w:tcPr>
              <w:p w14:paraId="62764D4D" w14:textId="77777777" w:rsidR="00577D08" w:rsidRDefault="00330FC0">
                <w:pPr>
                  <w:jc w:val="center"/>
                </w:pPr>
                <w:r>
                  <w:rPr>
                    <w:rFonts w:hint="eastAsia"/>
                  </w:rPr>
                  <w:t>主营业务分地区情况</w:t>
                </w:r>
              </w:p>
            </w:tc>
          </w:sdtContent>
        </w:sdt>
      </w:tr>
      <w:tr w:rsidR="00577D08" w14:paraId="692B3784" w14:textId="77777777">
        <w:sdt>
          <w:sdtPr>
            <w:tag w:val="_PLD_88d8ea3d867f4a97a5a66d059c2a507e"/>
            <w:id w:val="1137457365"/>
          </w:sdtPr>
          <w:sdtContent>
            <w:tc>
              <w:tcPr>
                <w:tcW w:w="1239" w:type="dxa"/>
                <w:vAlign w:val="center"/>
              </w:tcPr>
              <w:p w14:paraId="2D01EBE1" w14:textId="77777777" w:rsidR="00577D08" w:rsidRDefault="00330FC0">
                <w:pPr>
                  <w:jc w:val="center"/>
                </w:pPr>
                <w:r>
                  <w:rPr>
                    <w:rFonts w:hint="eastAsia"/>
                  </w:rPr>
                  <w:t>分地区</w:t>
                </w:r>
              </w:p>
            </w:tc>
          </w:sdtContent>
        </w:sdt>
        <w:sdt>
          <w:sdtPr>
            <w:tag w:val="_PLD_d960c947c6424e2a87acbd6f4d534b0a"/>
            <w:id w:val="-1929953806"/>
          </w:sdtPr>
          <w:sdtContent>
            <w:tc>
              <w:tcPr>
                <w:tcW w:w="1391" w:type="dxa"/>
                <w:vAlign w:val="center"/>
              </w:tcPr>
              <w:p w14:paraId="3DC2E171" w14:textId="77777777" w:rsidR="00577D08" w:rsidRDefault="00330FC0">
                <w:pPr>
                  <w:jc w:val="center"/>
                </w:pPr>
                <w:r>
                  <w:rPr>
                    <w:rFonts w:hint="eastAsia"/>
                  </w:rPr>
                  <w:t>营业收入</w:t>
                </w:r>
              </w:p>
            </w:tc>
          </w:sdtContent>
        </w:sdt>
        <w:sdt>
          <w:sdtPr>
            <w:tag w:val="_PLD_0cab657ed1664cda8d161069df0d4ffe"/>
            <w:id w:val="-976760909"/>
          </w:sdtPr>
          <w:sdtContent>
            <w:tc>
              <w:tcPr>
                <w:tcW w:w="1480" w:type="dxa"/>
                <w:vAlign w:val="center"/>
              </w:tcPr>
              <w:p w14:paraId="784F898F" w14:textId="77777777" w:rsidR="00577D08" w:rsidRDefault="00330FC0">
                <w:pPr>
                  <w:jc w:val="center"/>
                </w:pPr>
                <w:r>
                  <w:rPr>
                    <w:rFonts w:hint="eastAsia"/>
                  </w:rPr>
                  <w:t>营业成本</w:t>
                </w:r>
              </w:p>
            </w:tc>
          </w:sdtContent>
        </w:sdt>
        <w:sdt>
          <w:sdtPr>
            <w:tag w:val="_PLD_de52f565c0c94f5f8930a8d275890566"/>
            <w:id w:val="1909876962"/>
          </w:sdtPr>
          <w:sdtContent>
            <w:tc>
              <w:tcPr>
                <w:tcW w:w="1236" w:type="dxa"/>
                <w:vAlign w:val="center"/>
              </w:tcPr>
              <w:p w14:paraId="1E5D272A" w14:textId="77777777" w:rsidR="00577D08" w:rsidRDefault="00330FC0">
                <w:pPr>
                  <w:jc w:val="center"/>
                </w:pPr>
                <w:r>
                  <w:rPr>
                    <w:rFonts w:hint="eastAsia"/>
                  </w:rPr>
                  <w:t>毛利率（</w:t>
                </w:r>
                <w:r>
                  <w:rPr>
                    <w:rFonts w:hint="eastAsia"/>
                  </w:rPr>
                  <w:t>%</w:t>
                </w:r>
                <w:r>
                  <w:rPr>
                    <w:rFonts w:hint="eastAsia"/>
                  </w:rPr>
                  <w:t>）</w:t>
                </w:r>
              </w:p>
            </w:tc>
          </w:sdtContent>
        </w:sdt>
        <w:sdt>
          <w:sdtPr>
            <w:tag w:val="_PLD_66acbff90fbb46ac8fc6c5840a2a1352"/>
            <w:id w:val="277605977"/>
          </w:sdtPr>
          <w:sdtContent>
            <w:tc>
              <w:tcPr>
                <w:tcW w:w="1236" w:type="dxa"/>
                <w:vAlign w:val="center"/>
              </w:tcPr>
              <w:p w14:paraId="76B4459B" w14:textId="77777777" w:rsidR="00577D08" w:rsidRDefault="00330FC0">
                <w:pPr>
                  <w:jc w:val="center"/>
                </w:pPr>
                <w:r>
                  <w:rPr>
                    <w:rFonts w:hint="eastAsia"/>
                  </w:rPr>
                  <w:t>营业收入比上年增减（</w:t>
                </w:r>
                <w:r>
                  <w:rPr>
                    <w:rFonts w:hint="eastAsia"/>
                  </w:rPr>
                  <w:t>%</w:t>
                </w:r>
                <w:r>
                  <w:rPr>
                    <w:rFonts w:hint="eastAsia"/>
                  </w:rPr>
                  <w:t>）</w:t>
                </w:r>
              </w:p>
            </w:tc>
          </w:sdtContent>
        </w:sdt>
        <w:sdt>
          <w:sdtPr>
            <w:tag w:val="_PLD_24222e0fb06f4b87bb8e6a25bfc923a9"/>
            <w:id w:val="668906866"/>
          </w:sdtPr>
          <w:sdtContent>
            <w:tc>
              <w:tcPr>
                <w:tcW w:w="1236" w:type="dxa"/>
                <w:vAlign w:val="center"/>
              </w:tcPr>
              <w:p w14:paraId="7CDF32DB" w14:textId="77777777" w:rsidR="00577D08" w:rsidRDefault="00330FC0">
                <w:pPr>
                  <w:jc w:val="center"/>
                </w:pPr>
                <w:r>
                  <w:rPr>
                    <w:rFonts w:hint="eastAsia"/>
                  </w:rPr>
                  <w:t>营业成本比上年增减（</w:t>
                </w:r>
                <w:r>
                  <w:rPr>
                    <w:rFonts w:hint="eastAsia"/>
                  </w:rPr>
                  <w:t>%</w:t>
                </w:r>
                <w:r>
                  <w:rPr>
                    <w:rFonts w:hint="eastAsia"/>
                  </w:rPr>
                  <w:t>）</w:t>
                </w:r>
              </w:p>
            </w:tc>
          </w:sdtContent>
        </w:sdt>
        <w:sdt>
          <w:sdtPr>
            <w:tag w:val="_PLD_055160da443c4e4a8c520dbbde5baec3"/>
            <w:id w:val="889848906"/>
          </w:sdtPr>
          <w:sdtContent>
            <w:tc>
              <w:tcPr>
                <w:tcW w:w="1231" w:type="dxa"/>
                <w:vAlign w:val="center"/>
              </w:tcPr>
              <w:p w14:paraId="19AEFCF6" w14:textId="77777777" w:rsidR="00577D08" w:rsidRDefault="00330FC0">
                <w:pPr>
                  <w:jc w:val="center"/>
                </w:pPr>
                <w:r>
                  <w:rPr>
                    <w:rFonts w:hint="eastAsia"/>
                  </w:rPr>
                  <w:t>毛利率</w:t>
                </w:r>
                <w:r>
                  <w:t>比上年增减（</w:t>
                </w:r>
                <w:r>
                  <w:rPr>
                    <w:rFonts w:hint="eastAsia"/>
                  </w:rPr>
                  <w:t>%</w:t>
                </w:r>
                <w:r>
                  <w:t>）</w:t>
                </w:r>
              </w:p>
            </w:tc>
          </w:sdtContent>
        </w:sdt>
      </w:tr>
      <w:tr w:rsidR="00577D08" w14:paraId="02C5B84D" w14:textId="77777777">
        <w:tc>
          <w:tcPr>
            <w:tcW w:w="1239" w:type="dxa"/>
          </w:tcPr>
          <w:p w14:paraId="39FDAE1A" w14:textId="77777777" w:rsidR="00577D08" w:rsidRDefault="00330FC0">
            <w:pPr>
              <w:pStyle w:val="aff9"/>
              <w:ind w:firstLineChars="0" w:firstLine="0"/>
              <w:jc w:val="left"/>
              <w:rPr>
                <w:rFonts w:ascii="宋体" w:hAnsi="宋体" w:cs="宋体" w:hint="eastAsia"/>
                <w:kern w:val="0"/>
                <w:szCs w:val="21"/>
              </w:rPr>
            </w:pPr>
            <w:r>
              <w:rPr>
                <w:rFonts w:hint="eastAsia"/>
              </w:rPr>
              <w:t>内销</w:t>
            </w:r>
          </w:p>
        </w:tc>
        <w:tc>
          <w:tcPr>
            <w:tcW w:w="1391" w:type="dxa"/>
          </w:tcPr>
          <w:p w14:paraId="540CEB8B" w14:textId="77777777" w:rsidR="00577D08" w:rsidRDefault="00330FC0">
            <w:pPr>
              <w:jc w:val="right"/>
            </w:pPr>
            <w:r>
              <w:t xml:space="preserve"> 369,764.58 </w:t>
            </w:r>
          </w:p>
        </w:tc>
        <w:tc>
          <w:tcPr>
            <w:tcW w:w="1480" w:type="dxa"/>
          </w:tcPr>
          <w:p w14:paraId="0EB51402" w14:textId="77777777" w:rsidR="00577D08" w:rsidRDefault="00330FC0">
            <w:pPr>
              <w:jc w:val="right"/>
            </w:pPr>
            <w:r>
              <w:t xml:space="preserve"> 327,282.22 </w:t>
            </w:r>
          </w:p>
        </w:tc>
        <w:tc>
          <w:tcPr>
            <w:tcW w:w="1236" w:type="dxa"/>
          </w:tcPr>
          <w:p w14:paraId="53CD4267" w14:textId="77777777" w:rsidR="00577D08" w:rsidRDefault="00330FC0">
            <w:pPr>
              <w:jc w:val="right"/>
            </w:pPr>
            <w:r>
              <w:t xml:space="preserve"> 11.49 </w:t>
            </w:r>
          </w:p>
        </w:tc>
        <w:tc>
          <w:tcPr>
            <w:tcW w:w="1236" w:type="dxa"/>
          </w:tcPr>
          <w:p w14:paraId="047953AC" w14:textId="77777777" w:rsidR="00577D08" w:rsidRDefault="00330FC0">
            <w:pPr>
              <w:jc w:val="right"/>
            </w:pPr>
            <w:r>
              <w:t xml:space="preserve"> 24.62 </w:t>
            </w:r>
          </w:p>
        </w:tc>
        <w:tc>
          <w:tcPr>
            <w:tcW w:w="1236" w:type="dxa"/>
          </w:tcPr>
          <w:p w14:paraId="3D8B9054" w14:textId="77777777" w:rsidR="00577D08" w:rsidRDefault="00330FC0">
            <w:pPr>
              <w:jc w:val="right"/>
            </w:pPr>
            <w:r>
              <w:t xml:space="preserve"> 23.51 </w:t>
            </w:r>
          </w:p>
        </w:tc>
        <w:tc>
          <w:tcPr>
            <w:tcW w:w="1231" w:type="dxa"/>
          </w:tcPr>
          <w:p w14:paraId="2E2CABC0" w14:textId="77777777" w:rsidR="00577D08" w:rsidRDefault="00330FC0">
            <w:pPr>
              <w:jc w:val="right"/>
            </w:pPr>
            <w:r>
              <w:t xml:space="preserve"> 0.80 </w:t>
            </w:r>
          </w:p>
        </w:tc>
      </w:tr>
      <w:tr w:rsidR="00577D08" w14:paraId="6ECA064B" w14:textId="77777777">
        <w:tc>
          <w:tcPr>
            <w:tcW w:w="1239" w:type="dxa"/>
          </w:tcPr>
          <w:p w14:paraId="763C0363" w14:textId="77777777" w:rsidR="00577D08" w:rsidRDefault="00330FC0">
            <w:pPr>
              <w:pStyle w:val="aff9"/>
              <w:ind w:firstLineChars="0" w:firstLine="0"/>
              <w:jc w:val="left"/>
              <w:rPr>
                <w:rFonts w:ascii="宋体" w:hAnsi="宋体" w:cs="宋体" w:hint="eastAsia"/>
                <w:kern w:val="0"/>
                <w:szCs w:val="21"/>
              </w:rPr>
            </w:pPr>
            <w:r>
              <w:rPr>
                <w:rFonts w:hint="eastAsia"/>
              </w:rPr>
              <w:t>外销</w:t>
            </w:r>
          </w:p>
        </w:tc>
        <w:tc>
          <w:tcPr>
            <w:tcW w:w="1391" w:type="dxa"/>
          </w:tcPr>
          <w:p w14:paraId="775AED9E" w14:textId="77777777" w:rsidR="00577D08" w:rsidRDefault="00330FC0">
            <w:pPr>
              <w:jc w:val="right"/>
            </w:pPr>
            <w:r>
              <w:t xml:space="preserve"> 9,142.68 </w:t>
            </w:r>
          </w:p>
        </w:tc>
        <w:tc>
          <w:tcPr>
            <w:tcW w:w="1480" w:type="dxa"/>
          </w:tcPr>
          <w:p w14:paraId="765AB284" w14:textId="77777777" w:rsidR="00577D08" w:rsidRDefault="00330FC0">
            <w:pPr>
              <w:jc w:val="right"/>
            </w:pPr>
            <w:r>
              <w:t xml:space="preserve"> 7,686.21 </w:t>
            </w:r>
          </w:p>
        </w:tc>
        <w:tc>
          <w:tcPr>
            <w:tcW w:w="1236" w:type="dxa"/>
          </w:tcPr>
          <w:p w14:paraId="107F765B" w14:textId="77777777" w:rsidR="00577D08" w:rsidRDefault="00330FC0">
            <w:pPr>
              <w:jc w:val="right"/>
            </w:pPr>
            <w:r>
              <w:t xml:space="preserve"> 15.93 </w:t>
            </w:r>
          </w:p>
        </w:tc>
        <w:tc>
          <w:tcPr>
            <w:tcW w:w="1236" w:type="dxa"/>
          </w:tcPr>
          <w:p w14:paraId="04EC330A" w14:textId="77777777" w:rsidR="00577D08" w:rsidRDefault="00330FC0">
            <w:pPr>
              <w:jc w:val="right"/>
            </w:pPr>
            <w:r>
              <w:t xml:space="preserve"> -69.57 </w:t>
            </w:r>
          </w:p>
        </w:tc>
        <w:tc>
          <w:tcPr>
            <w:tcW w:w="1236" w:type="dxa"/>
          </w:tcPr>
          <w:p w14:paraId="746EC006" w14:textId="77777777" w:rsidR="00577D08" w:rsidRDefault="00330FC0">
            <w:pPr>
              <w:jc w:val="right"/>
            </w:pPr>
            <w:r>
              <w:t xml:space="preserve"> -69.96 </w:t>
            </w:r>
          </w:p>
        </w:tc>
        <w:tc>
          <w:tcPr>
            <w:tcW w:w="1231" w:type="dxa"/>
          </w:tcPr>
          <w:p w14:paraId="57C9ABA0" w14:textId="77777777" w:rsidR="00577D08" w:rsidRDefault="00330FC0">
            <w:pPr>
              <w:jc w:val="right"/>
            </w:pPr>
            <w:r>
              <w:t xml:space="preserve"> 1.07 </w:t>
            </w:r>
          </w:p>
        </w:tc>
      </w:tr>
      <w:tr w:rsidR="00577D08" w14:paraId="71D7E1CE" w14:textId="77777777">
        <w:tc>
          <w:tcPr>
            <w:tcW w:w="1239" w:type="dxa"/>
          </w:tcPr>
          <w:p w14:paraId="57605E09" w14:textId="77777777" w:rsidR="00577D08" w:rsidRDefault="00330FC0">
            <w:pPr>
              <w:pStyle w:val="aff9"/>
              <w:ind w:firstLineChars="0" w:firstLine="0"/>
              <w:jc w:val="left"/>
              <w:rPr>
                <w:rFonts w:ascii="宋体" w:hAnsi="宋体" w:cs="宋体" w:hint="eastAsia"/>
                <w:kern w:val="0"/>
                <w:szCs w:val="21"/>
              </w:rPr>
            </w:pPr>
            <w:r>
              <w:rPr>
                <w:rFonts w:hint="eastAsia"/>
              </w:rPr>
              <w:t>合计</w:t>
            </w:r>
          </w:p>
        </w:tc>
        <w:tc>
          <w:tcPr>
            <w:tcW w:w="1391" w:type="dxa"/>
          </w:tcPr>
          <w:p w14:paraId="2704639A" w14:textId="77777777" w:rsidR="00577D08" w:rsidRDefault="00330FC0">
            <w:pPr>
              <w:jc w:val="right"/>
            </w:pPr>
            <w:r>
              <w:t xml:space="preserve"> 378,907.25 </w:t>
            </w:r>
          </w:p>
        </w:tc>
        <w:tc>
          <w:tcPr>
            <w:tcW w:w="1480" w:type="dxa"/>
          </w:tcPr>
          <w:p w14:paraId="6E6DC6BC" w14:textId="77777777" w:rsidR="00577D08" w:rsidRDefault="00330FC0">
            <w:pPr>
              <w:jc w:val="right"/>
            </w:pPr>
            <w:r>
              <w:t xml:space="preserve"> 334,968.42 </w:t>
            </w:r>
          </w:p>
        </w:tc>
        <w:tc>
          <w:tcPr>
            <w:tcW w:w="1236" w:type="dxa"/>
          </w:tcPr>
          <w:p w14:paraId="046E188E" w14:textId="77777777" w:rsidR="00577D08" w:rsidRDefault="00330FC0">
            <w:pPr>
              <w:jc w:val="right"/>
            </w:pPr>
            <w:r>
              <w:t xml:space="preserve"> 11.60 </w:t>
            </w:r>
          </w:p>
        </w:tc>
        <w:tc>
          <w:tcPr>
            <w:tcW w:w="1236" w:type="dxa"/>
          </w:tcPr>
          <w:p w14:paraId="0EB0B59D" w14:textId="77777777" w:rsidR="00577D08" w:rsidRDefault="00330FC0">
            <w:pPr>
              <w:jc w:val="right"/>
            </w:pPr>
            <w:r>
              <w:t xml:space="preserve"> 15.96 </w:t>
            </w:r>
          </w:p>
        </w:tc>
        <w:tc>
          <w:tcPr>
            <w:tcW w:w="1236" w:type="dxa"/>
          </w:tcPr>
          <w:p w14:paraId="2C33FA17" w14:textId="77777777" w:rsidR="00577D08" w:rsidRDefault="00330FC0">
            <w:pPr>
              <w:jc w:val="right"/>
            </w:pPr>
            <w:r>
              <w:t xml:space="preserve"> 15.28 </w:t>
            </w:r>
          </w:p>
        </w:tc>
        <w:tc>
          <w:tcPr>
            <w:tcW w:w="1231" w:type="dxa"/>
          </w:tcPr>
          <w:p w14:paraId="610E04B8" w14:textId="77777777" w:rsidR="00577D08" w:rsidRDefault="00330FC0">
            <w:pPr>
              <w:jc w:val="right"/>
            </w:pPr>
            <w:r>
              <w:t xml:space="preserve"> 0.52 </w:t>
            </w:r>
          </w:p>
        </w:tc>
      </w:tr>
      <w:tr w:rsidR="00577D08" w14:paraId="1CE65DB7" w14:textId="77777777">
        <w:tc>
          <w:tcPr>
            <w:tcW w:w="9049" w:type="dxa"/>
            <w:gridSpan w:val="7"/>
            <w:vAlign w:val="center"/>
          </w:tcPr>
          <w:p w14:paraId="01FE894F" w14:textId="77777777" w:rsidR="00577D08" w:rsidRDefault="00000000">
            <w:pPr>
              <w:jc w:val="center"/>
            </w:pPr>
            <w:sdt>
              <w:sdtPr>
                <w:tag w:val="_PLD_4be57b876a364ef5aee49673f139ef4a"/>
                <w:id w:val="-805935360"/>
              </w:sdtPr>
              <w:sdtContent>
                <w:r w:rsidR="00330FC0">
                  <w:rPr>
                    <w:rFonts w:hint="eastAsia"/>
                  </w:rPr>
                  <w:t>主营业务分销售模式情况</w:t>
                </w:r>
              </w:sdtContent>
            </w:sdt>
          </w:p>
        </w:tc>
      </w:tr>
      <w:tr w:rsidR="00577D08" w14:paraId="779E1BEB" w14:textId="77777777">
        <w:sdt>
          <w:sdtPr>
            <w:tag w:val="_PLD_fe8c7b7bf3a444db814cf5c56b1b72e0"/>
            <w:id w:val="-918945849"/>
          </w:sdtPr>
          <w:sdtContent>
            <w:tc>
              <w:tcPr>
                <w:tcW w:w="1239" w:type="dxa"/>
                <w:vAlign w:val="center"/>
              </w:tcPr>
              <w:p w14:paraId="4CA5E9EF" w14:textId="77777777" w:rsidR="00577D08" w:rsidRDefault="00330FC0">
                <w:pPr>
                  <w:pStyle w:val="aff9"/>
                  <w:ind w:firstLineChars="0" w:firstLine="0"/>
                  <w:jc w:val="center"/>
                  <w:rPr>
                    <w:rFonts w:ascii="宋体" w:hAnsi="宋体" w:cs="宋体" w:hint="eastAsia"/>
                    <w:kern w:val="0"/>
                    <w:szCs w:val="21"/>
                  </w:rPr>
                </w:pPr>
                <w:r>
                  <w:rPr>
                    <w:rFonts w:ascii="宋体" w:hAnsi="宋体" w:cs="宋体" w:hint="eastAsia"/>
                    <w:kern w:val="0"/>
                    <w:szCs w:val="21"/>
                  </w:rPr>
                  <w:t>销售模式</w:t>
                </w:r>
              </w:p>
            </w:tc>
          </w:sdtContent>
        </w:sdt>
        <w:sdt>
          <w:sdtPr>
            <w:tag w:val="_PLD_a8a3a2b010534c9d820c7f9b6fd92caf"/>
            <w:id w:val="-505824445"/>
          </w:sdtPr>
          <w:sdtContent>
            <w:tc>
              <w:tcPr>
                <w:tcW w:w="1391" w:type="dxa"/>
                <w:vAlign w:val="center"/>
              </w:tcPr>
              <w:p w14:paraId="140C4600" w14:textId="77777777" w:rsidR="00577D08" w:rsidRDefault="00330FC0">
                <w:pPr>
                  <w:jc w:val="center"/>
                </w:pPr>
                <w:r>
                  <w:rPr>
                    <w:rFonts w:hint="eastAsia"/>
                  </w:rPr>
                  <w:t>营业收入</w:t>
                </w:r>
              </w:p>
            </w:tc>
          </w:sdtContent>
        </w:sdt>
        <w:sdt>
          <w:sdtPr>
            <w:tag w:val="_PLD_cc237396dacd4c16b49a8294763c220b"/>
            <w:id w:val="1325239084"/>
          </w:sdtPr>
          <w:sdtContent>
            <w:tc>
              <w:tcPr>
                <w:tcW w:w="1480" w:type="dxa"/>
                <w:vAlign w:val="center"/>
              </w:tcPr>
              <w:p w14:paraId="35E62F1D" w14:textId="77777777" w:rsidR="00577D08" w:rsidRDefault="00330FC0">
                <w:pPr>
                  <w:jc w:val="center"/>
                </w:pPr>
                <w:r>
                  <w:rPr>
                    <w:rFonts w:hint="eastAsia"/>
                  </w:rPr>
                  <w:t>营业成本</w:t>
                </w:r>
              </w:p>
            </w:tc>
          </w:sdtContent>
        </w:sdt>
        <w:sdt>
          <w:sdtPr>
            <w:tag w:val="_PLD_941b22ab04a244cdbd8aa22ae424dacb"/>
            <w:id w:val="2024046680"/>
          </w:sdtPr>
          <w:sdtContent>
            <w:tc>
              <w:tcPr>
                <w:tcW w:w="1236" w:type="dxa"/>
                <w:vAlign w:val="center"/>
              </w:tcPr>
              <w:p w14:paraId="5AAA3F74" w14:textId="77777777" w:rsidR="00577D08" w:rsidRDefault="00330FC0">
                <w:pPr>
                  <w:jc w:val="center"/>
                </w:pPr>
                <w:r>
                  <w:rPr>
                    <w:rFonts w:hint="eastAsia"/>
                  </w:rPr>
                  <w:t>毛利率（</w:t>
                </w:r>
                <w:r>
                  <w:t>%</w:t>
                </w:r>
                <w:r>
                  <w:t>）</w:t>
                </w:r>
              </w:p>
            </w:tc>
          </w:sdtContent>
        </w:sdt>
        <w:sdt>
          <w:sdtPr>
            <w:tag w:val="_PLD_e219c48b013d406696797c069f5c1054"/>
            <w:id w:val="529226273"/>
          </w:sdtPr>
          <w:sdtContent>
            <w:tc>
              <w:tcPr>
                <w:tcW w:w="1236" w:type="dxa"/>
                <w:vAlign w:val="center"/>
              </w:tcPr>
              <w:p w14:paraId="50512FC3" w14:textId="77777777" w:rsidR="00577D08" w:rsidRDefault="00330FC0">
                <w:pPr>
                  <w:jc w:val="center"/>
                </w:pPr>
                <w:r>
                  <w:rPr>
                    <w:rFonts w:hint="eastAsia"/>
                  </w:rPr>
                  <w:t>营业收入比上年增减（</w:t>
                </w:r>
                <w:r>
                  <w:t>%</w:t>
                </w:r>
                <w:r>
                  <w:t>）</w:t>
                </w:r>
              </w:p>
            </w:tc>
          </w:sdtContent>
        </w:sdt>
        <w:sdt>
          <w:sdtPr>
            <w:tag w:val="_PLD_ea6dd0b86c3c4f81ac1d0aab660982a0"/>
            <w:id w:val="67243448"/>
          </w:sdtPr>
          <w:sdtContent>
            <w:tc>
              <w:tcPr>
                <w:tcW w:w="1236" w:type="dxa"/>
                <w:vAlign w:val="center"/>
              </w:tcPr>
              <w:p w14:paraId="55A237E3" w14:textId="77777777" w:rsidR="00577D08" w:rsidRDefault="00330FC0">
                <w:pPr>
                  <w:jc w:val="center"/>
                </w:pPr>
                <w:r>
                  <w:rPr>
                    <w:rFonts w:hint="eastAsia"/>
                  </w:rPr>
                  <w:t>营业成本比上年增减（</w:t>
                </w:r>
                <w:r>
                  <w:t>%</w:t>
                </w:r>
                <w:r>
                  <w:t>）</w:t>
                </w:r>
              </w:p>
            </w:tc>
          </w:sdtContent>
        </w:sdt>
        <w:sdt>
          <w:sdtPr>
            <w:tag w:val="_PLD_b228d83849d948259a50feeb3c8039e4"/>
            <w:id w:val="-1445465154"/>
          </w:sdtPr>
          <w:sdtContent>
            <w:tc>
              <w:tcPr>
                <w:tcW w:w="1231" w:type="dxa"/>
                <w:vAlign w:val="center"/>
              </w:tcPr>
              <w:p w14:paraId="4B46D675" w14:textId="77777777" w:rsidR="00577D08" w:rsidRDefault="00330FC0">
                <w:pPr>
                  <w:jc w:val="center"/>
                </w:pPr>
                <w:r>
                  <w:rPr>
                    <w:rFonts w:hint="eastAsia"/>
                  </w:rPr>
                  <w:t>毛利率比上年增减（</w:t>
                </w:r>
                <w:r>
                  <w:t>%</w:t>
                </w:r>
                <w:r>
                  <w:t>）</w:t>
                </w:r>
              </w:p>
            </w:tc>
          </w:sdtContent>
        </w:sdt>
      </w:tr>
      <w:tr w:rsidR="00577D08" w14:paraId="654CD496" w14:textId="77777777">
        <w:tc>
          <w:tcPr>
            <w:tcW w:w="1239" w:type="dxa"/>
          </w:tcPr>
          <w:p w14:paraId="07A20946" w14:textId="77777777" w:rsidR="00577D08" w:rsidRDefault="00330FC0">
            <w:pPr>
              <w:pStyle w:val="aff9"/>
              <w:ind w:firstLineChars="0" w:firstLine="0"/>
              <w:jc w:val="left"/>
              <w:rPr>
                <w:rFonts w:ascii="宋体" w:hAnsi="宋体" w:cs="宋体" w:hint="eastAsia"/>
                <w:kern w:val="0"/>
                <w:szCs w:val="21"/>
              </w:rPr>
            </w:pPr>
            <w:r>
              <w:rPr>
                <w:rFonts w:hint="eastAsia"/>
              </w:rPr>
              <w:t>直销</w:t>
            </w:r>
          </w:p>
        </w:tc>
        <w:tc>
          <w:tcPr>
            <w:tcW w:w="1391" w:type="dxa"/>
          </w:tcPr>
          <w:p w14:paraId="6E4A827E" w14:textId="77777777" w:rsidR="00577D08" w:rsidRDefault="00330FC0">
            <w:pPr>
              <w:jc w:val="right"/>
            </w:pPr>
            <w:r>
              <w:t xml:space="preserve"> 326,698.96 </w:t>
            </w:r>
          </w:p>
        </w:tc>
        <w:tc>
          <w:tcPr>
            <w:tcW w:w="1480" w:type="dxa"/>
          </w:tcPr>
          <w:p w14:paraId="3B7D013A" w14:textId="77777777" w:rsidR="00577D08" w:rsidRDefault="00330FC0">
            <w:pPr>
              <w:jc w:val="right"/>
            </w:pPr>
            <w:r>
              <w:t xml:space="preserve"> 287,533.55 </w:t>
            </w:r>
          </w:p>
        </w:tc>
        <w:tc>
          <w:tcPr>
            <w:tcW w:w="1236" w:type="dxa"/>
          </w:tcPr>
          <w:p w14:paraId="45A4E5D0" w14:textId="77777777" w:rsidR="00577D08" w:rsidRDefault="00330FC0">
            <w:pPr>
              <w:jc w:val="right"/>
            </w:pPr>
            <w:r>
              <w:t xml:space="preserve"> 11.99 </w:t>
            </w:r>
          </w:p>
        </w:tc>
        <w:tc>
          <w:tcPr>
            <w:tcW w:w="1236" w:type="dxa"/>
          </w:tcPr>
          <w:p w14:paraId="62112AF0" w14:textId="77777777" w:rsidR="00577D08" w:rsidRDefault="00330FC0">
            <w:pPr>
              <w:jc w:val="right"/>
            </w:pPr>
            <w:r>
              <w:t xml:space="preserve"> 18.08 </w:t>
            </w:r>
          </w:p>
        </w:tc>
        <w:tc>
          <w:tcPr>
            <w:tcW w:w="1236" w:type="dxa"/>
          </w:tcPr>
          <w:p w14:paraId="47A912E0" w14:textId="77777777" w:rsidR="00577D08" w:rsidRDefault="00330FC0">
            <w:pPr>
              <w:jc w:val="right"/>
            </w:pPr>
            <w:r>
              <w:t xml:space="preserve"> 18.06 </w:t>
            </w:r>
          </w:p>
        </w:tc>
        <w:tc>
          <w:tcPr>
            <w:tcW w:w="1231" w:type="dxa"/>
          </w:tcPr>
          <w:p w14:paraId="3C460579" w14:textId="77777777" w:rsidR="00577D08" w:rsidRDefault="00330FC0">
            <w:pPr>
              <w:jc w:val="right"/>
            </w:pPr>
            <w:r>
              <w:t xml:space="preserve"> 0.02 </w:t>
            </w:r>
          </w:p>
        </w:tc>
      </w:tr>
      <w:tr w:rsidR="00577D08" w14:paraId="3CCFEBA4" w14:textId="77777777">
        <w:tc>
          <w:tcPr>
            <w:tcW w:w="1239" w:type="dxa"/>
          </w:tcPr>
          <w:p w14:paraId="4F847255" w14:textId="77777777" w:rsidR="00577D08" w:rsidRDefault="00330FC0">
            <w:pPr>
              <w:pStyle w:val="aff9"/>
              <w:ind w:firstLineChars="0" w:firstLine="0"/>
              <w:jc w:val="left"/>
              <w:rPr>
                <w:rFonts w:ascii="宋体" w:hAnsi="宋体" w:cs="宋体" w:hint="eastAsia"/>
                <w:kern w:val="0"/>
                <w:szCs w:val="21"/>
              </w:rPr>
            </w:pPr>
            <w:r>
              <w:rPr>
                <w:rFonts w:hint="eastAsia"/>
              </w:rPr>
              <w:t>贸易商</w:t>
            </w:r>
          </w:p>
        </w:tc>
        <w:tc>
          <w:tcPr>
            <w:tcW w:w="1391" w:type="dxa"/>
          </w:tcPr>
          <w:p w14:paraId="2722F9AD" w14:textId="77777777" w:rsidR="00577D08" w:rsidRDefault="00330FC0">
            <w:pPr>
              <w:jc w:val="right"/>
            </w:pPr>
            <w:r>
              <w:t xml:space="preserve"> 52,208.29 </w:t>
            </w:r>
          </w:p>
        </w:tc>
        <w:tc>
          <w:tcPr>
            <w:tcW w:w="1480" w:type="dxa"/>
          </w:tcPr>
          <w:p w14:paraId="03D130AD" w14:textId="77777777" w:rsidR="00577D08" w:rsidRDefault="00330FC0">
            <w:pPr>
              <w:jc w:val="right"/>
            </w:pPr>
            <w:r>
              <w:t xml:space="preserve"> 47,434.87 </w:t>
            </w:r>
          </w:p>
        </w:tc>
        <w:tc>
          <w:tcPr>
            <w:tcW w:w="1236" w:type="dxa"/>
          </w:tcPr>
          <w:p w14:paraId="0B4513A0" w14:textId="77777777" w:rsidR="00577D08" w:rsidRDefault="00330FC0">
            <w:pPr>
              <w:jc w:val="right"/>
            </w:pPr>
            <w:r>
              <w:t xml:space="preserve"> 9.14 </w:t>
            </w:r>
          </w:p>
        </w:tc>
        <w:tc>
          <w:tcPr>
            <w:tcW w:w="1236" w:type="dxa"/>
          </w:tcPr>
          <w:p w14:paraId="740E8C22" w14:textId="77777777" w:rsidR="00577D08" w:rsidRDefault="00330FC0">
            <w:pPr>
              <w:jc w:val="right"/>
            </w:pPr>
            <w:r>
              <w:t xml:space="preserve"> 4.25 </w:t>
            </w:r>
          </w:p>
        </w:tc>
        <w:tc>
          <w:tcPr>
            <w:tcW w:w="1236" w:type="dxa"/>
          </w:tcPr>
          <w:p w14:paraId="6D22D83B" w14:textId="77777777" w:rsidR="00577D08" w:rsidRDefault="00330FC0">
            <w:pPr>
              <w:jc w:val="right"/>
            </w:pPr>
            <w:r>
              <w:t xml:space="preserve"> 0.90 </w:t>
            </w:r>
          </w:p>
        </w:tc>
        <w:tc>
          <w:tcPr>
            <w:tcW w:w="1231" w:type="dxa"/>
          </w:tcPr>
          <w:p w14:paraId="6CCE2E37" w14:textId="77777777" w:rsidR="00577D08" w:rsidRDefault="00330FC0">
            <w:pPr>
              <w:jc w:val="right"/>
            </w:pPr>
            <w:r>
              <w:t xml:space="preserve"> 3.02 </w:t>
            </w:r>
          </w:p>
        </w:tc>
      </w:tr>
      <w:tr w:rsidR="00577D08" w14:paraId="29E355F5" w14:textId="77777777">
        <w:tc>
          <w:tcPr>
            <w:tcW w:w="1239" w:type="dxa"/>
          </w:tcPr>
          <w:p w14:paraId="0F8FCF91" w14:textId="77777777" w:rsidR="00577D08" w:rsidRDefault="00330FC0">
            <w:pPr>
              <w:pStyle w:val="aff9"/>
              <w:ind w:firstLineChars="0" w:firstLine="0"/>
              <w:jc w:val="left"/>
              <w:rPr>
                <w:rFonts w:ascii="宋体" w:hAnsi="宋体" w:cs="宋体" w:hint="eastAsia"/>
                <w:kern w:val="0"/>
                <w:szCs w:val="21"/>
              </w:rPr>
            </w:pPr>
            <w:r>
              <w:rPr>
                <w:rFonts w:hint="eastAsia"/>
              </w:rPr>
              <w:t>合计</w:t>
            </w:r>
          </w:p>
        </w:tc>
        <w:tc>
          <w:tcPr>
            <w:tcW w:w="1391" w:type="dxa"/>
          </w:tcPr>
          <w:p w14:paraId="1B1AB11D" w14:textId="77777777" w:rsidR="00577D08" w:rsidRDefault="00330FC0">
            <w:pPr>
              <w:jc w:val="right"/>
            </w:pPr>
            <w:r>
              <w:t xml:space="preserve"> 378,907.25 </w:t>
            </w:r>
          </w:p>
        </w:tc>
        <w:tc>
          <w:tcPr>
            <w:tcW w:w="1480" w:type="dxa"/>
          </w:tcPr>
          <w:p w14:paraId="6A096B4B" w14:textId="77777777" w:rsidR="00577D08" w:rsidRDefault="00330FC0">
            <w:pPr>
              <w:jc w:val="right"/>
            </w:pPr>
            <w:r>
              <w:t xml:space="preserve"> 334,968.42 </w:t>
            </w:r>
          </w:p>
        </w:tc>
        <w:tc>
          <w:tcPr>
            <w:tcW w:w="1236" w:type="dxa"/>
          </w:tcPr>
          <w:p w14:paraId="0665FA36" w14:textId="77777777" w:rsidR="00577D08" w:rsidRDefault="00330FC0">
            <w:pPr>
              <w:jc w:val="right"/>
            </w:pPr>
            <w:r>
              <w:t xml:space="preserve"> 11.60 </w:t>
            </w:r>
          </w:p>
        </w:tc>
        <w:tc>
          <w:tcPr>
            <w:tcW w:w="1236" w:type="dxa"/>
          </w:tcPr>
          <w:p w14:paraId="113C948E" w14:textId="77777777" w:rsidR="00577D08" w:rsidRDefault="00330FC0">
            <w:pPr>
              <w:jc w:val="right"/>
            </w:pPr>
            <w:r>
              <w:t xml:space="preserve"> 15.96 </w:t>
            </w:r>
          </w:p>
        </w:tc>
        <w:tc>
          <w:tcPr>
            <w:tcW w:w="1236" w:type="dxa"/>
          </w:tcPr>
          <w:p w14:paraId="5C1BC222" w14:textId="77777777" w:rsidR="00577D08" w:rsidRDefault="00330FC0">
            <w:pPr>
              <w:jc w:val="right"/>
            </w:pPr>
            <w:r>
              <w:t xml:space="preserve"> 15.28 </w:t>
            </w:r>
          </w:p>
        </w:tc>
        <w:tc>
          <w:tcPr>
            <w:tcW w:w="1231" w:type="dxa"/>
          </w:tcPr>
          <w:p w14:paraId="2FF3752F" w14:textId="77777777" w:rsidR="00577D08" w:rsidRDefault="00330FC0">
            <w:pPr>
              <w:jc w:val="right"/>
            </w:pPr>
            <w:r>
              <w:t xml:space="preserve"> 0.52 </w:t>
            </w:r>
          </w:p>
        </w:tc>
      </w:tr>
    </w:tbl>
    <w:p w14:paraId="11654F3B" w14:textId="77777777" w:rsidR="00577D08" w:rsidRDefault="00330FC0">
      <w:r>
        <w:t>主营业务分行业</w:t>
      </w:r>
      <w:r>
        <w:rPr>
          <w:rFonts w:hint="eastAsia"/>
        </w:rPr>
        <w:t>、</w:t>
      </w:r>
      <w:r>
        <w:t>分产品、分地区</w:t>
      </w:r>
      <w:r>
        <w:rPr>
          <w:rFonts w:hint="eastAsia"/>
        </w:rPr>
        <w:t>、分销售模式</w:t>
      </w:r>
      <w:r>
        <w:t>情况的说明</w:t>
      </w:r>
    </w:p>
    <w:sdt>
      <w:sdtPr>
        <w:rPr>
          <w:rFonts w:hint="eastAsia"/>
        </w:rPr>
        <w:alias w:val="主营业务分行业和分产品情况的说明"/>
        <w:tag w:val="_GBC_81b87428f4384bf2959419c3aea2dad2"/>
        <w:id w:val="703994225"/>
        <w:placeholder>
          <w:docPart w:val="EFD3FF3855CE4AFD8CD1EB64DC1EC186"/>
        </w:placeholder>
      </w:sdtPr>
      <w:sdtContent>
        <w:p w14:paraId="769D38E3" w14:textId="77777777" w:rsidR="00577D08" w:rsidRDefault="00330FC0">
          <w:r>
            <w:rPr>
              <w:rFonts w:hint="eastAsia"/>
            </w:rPr>
            <w:t>无</w:t>
          </w:r>
        </w:p>
      </w:sdtContent>
    </w:sdt>
    <w:bookmarkEnd w:id="103"/>
    <w:p w14:paraId="089C4DFC" w14:textId="77777777" w:rsidR="00577D08" w:rsidRDefault="00330FC0">
      <w:pPr>
        <w:pStyle w:val="5"/>
        <w:numPr>
          <w:ilvl w:val="0"/>
          <w:numId w:val="10"/>
        </w:numPr>
        <w:tabs>
          <w:tab w:val="left" w:pos="567"/>
        </w:tabs>
        <w:ind w:leftChars="0"/>
        <w:rPr>
          <w:rFonts w:ascii="宋体" w:hAnsi="宋体" w:cs="宋体" w:hint="eastAsia"/>
          <w:kern w:val="0"/>
          <w:szCs w:val="24"/>
        </w:rPr>
      </w:pPr>
      <w:r>
        <w:rPr>
          <w:rFonts w:ascii="宋体" w:hAnsi="宋体" w:cs="宋体" w:hint="eastAsia"/>
          <w:kern w:val="0"/>
          <w:szCs w:val="24"/>
        </w:rPr>
        <w:t>产销量情况</w:t>
      </w:r>
      <w:r>
        <w:rPr>
          <w:rFonts w:ascii="宋体" w:hAnsi="宋体" w:cs="宋体"/>
          <w:kern w:val="0"/>
          <w:szCs w:val="24"/>
        </w:rPr>
        <w:t>分析表</w:t>
      </w:r>
    </w:p>
    <w:sdt>
      <w:sdtPr>
        <w:alias w:val="是否适用：产销量情况分析表[双击切换]"/>
        <w:tag w:val="_GBC_6ff51c492b3040799712ea51f78bdcc0"/>
        <w:id w:val="1575542429"/>
        <w:placeholder>
          <w:docPart w:val="EFD3FF3855CE4AFD8CD1EB64DC1EC186"/>
        </w:placeholder>
      </w:sdtPr>
      <w:sdtContent>
        <w:p w14:paraId="6F68773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1384"/>
        <w:gridCol w:w="874"/>
        <w:gridCol w:w="1129"/>
        <w:gridCol w:w="1131"/>
        <w:gridCol w:w="1131"/>
        <w:gridCol w:w="1131"/>
        <w:gridCol w:w="1131"/>
        <w:gridCol w:w="1131"/>
      </w:tblGrid>
      <w:tr w:rsidR="00577D08" w14:paraId="615EDC24" w14:textId="77777777">
        <w:sdt>
          <w:sdtPr>
            <w:tag w:val="_PLD_259e79e9293847dfb1bd7816b6ad48e6"/>
            <w:id w:val="-1977286013"/>
          </w:sdtPr>
          <w:sdtContent>
            <w:tc>
              <w:tcPr>
                <w:tcW w:w="1384" w:type="dxa"/>
                <w:vAlign w:val="center"/>
              </w:tcPr>
              <w:p w14:paraId="15B25B70" w14:textId="77777777" w:rsidR="00577D08" w:rsidRDefault="00330FC0">
                <w:pPr>
                  <w:jc w:val="center"/>
                </w:pPr>
                <w:r>
                  <w:rPr>
                    <w:rFonts w:hint="eastAsia"/>
                  </w:rPr>
                  <w:t>主要产品</w:t>
                </w:r>
              </w:p>
            </w:tc>
          </w:sdtContent>
        </w:sdt>
        <w:tc>
          <w:tcPr>
            <w:tcW w:w="874" w:type="dxa"/>
            <w:vAlign w:val="center"/>
          </w:tcPr>
          <w:sdt>
            <w:sdtPr>
              <w:tag w:val="_PLD_6d13c84fd3694535a3f1b6bcdd58d107"/>
              <w:id w:val="-1500731131"/>
            </w:sdtPr>
            <w:sdtContent>
              <w:p w14:paraId="766AA53C" w14:textId="77777777" w:rsidR="00577D08" w:rsidRDefault="00330FC0">
                <w:pPr>
                  <w:jc w:val="center"/>
                </w:pPr>
                <w:r>
                  <w:rPr>
                    <w:rFonts w:hint="eastAsia"/>
                  </w:rPr>
                  <w:t>单位</w:t>
                </w:r>
              </w:p>
            </w:sdtContent>
          </w:sdt>
        </w:tc>
        <w:sdt>
          <w:sdtPr>
            <w:tag w:val="_PLD_3645c9ae184248f6bd2dda9de0540406"/>
            <w:id w:val="-2129618973"/>
          </w:sdtPr>
          <w:sdtContent>
            <w:tc>
              <w:tcPr>
                <w:tcW w:w="1129" w:type="dxa"/>
                <w:vAlign w:val="center"/>
              </w:tcPr>
              <w:p w14:paraId="7451EEEC" w14:textId="77777777" w:rsidR="00577D08" w:rsidRDefault="00330FC0">
                <w:pPr>
                  <w:jc w:val="center"/>
                </w:pPr>
                <w:r>
                  <w:rPr>
                    <w:rFonts w:hint="eastAsia"/>
                  </w:rPr>
                  <w:t>生产量</w:t>
                </w:r>
              </w:p>
            </w:tc>
          </w:sdtContent>
        </w:sdt>
        <w:sdt>
          <w:sdtPr>
            <w:tag w:val="_PLD_b4bd7da564c3452cb40ff15542829b7a"/>
            <w:id w:val="1319383684"/>
          </w:sdtPr>
          <w:sdtContent>
            <w:tc>
              <w:tcPr>
                <w:tcW w:w="1131" w:type="dxa"/>
                <w:vAlign w:val="center"/>
              </w:tcPr>
              <w:p w14:paraId="0647C4F4" w14:textId="77777777" w:rsidR="00577D08" w:rsidRDefault="00330FC0">
                <w:pPr>
                  <w:jc w:val="center"/>
                </w:pPr>
                <w:r>
                  <w:rPr>
                    <w:rFonts w:hint="eastAsia"/>
                  </w:rPr>
                  <w:t>销售量</w:t>
                </w:r>
              </w:p>
            </w:tc>
          </w:sdtContent>
        </w:sdt>
        <w:sdt>
          <w:sdtPr>
            <w:tag w:val="_PLD_4f74a09ae16245a3a6e2c536c1266361"/>
            <w:id w:val="904182038"/>
          </w:sdtPr>
          <w:sdtContent>
            <w:tc>
              <w:tcPr>
                <w:tcW w:w="1131" w:type="dxa"/>
                <w:vAlign w:val="center"/>
              </w:tcPr>
              <w:p w14:paraId="0A5B89CE" w14:textId="77777777" w:rsidR="00577D08" w:rsidRDefault="00330FC0">
                <w:pPr>
                  <w:jc w:val="center"/>
                </w:pPr>
                <w:r>
                  <w:rPr>
                    <w:rFonts w:hint="eastAsia"/>
                  </w:rPr>
                  <w:t>库存量</w:t>
                </w:r>
              </w:p>
            </w:tc>
          </w:sdtContent>
        </w:sdt>
        <w:sdt>
          <w:sdtPr>
            <w:tag w:val="_PLD_21bd7a4d992742feb4b83db592f976fd"/>
            <w:id w:val="-123770892"/>
          </w:sdtPr>
          <w:sdtContent>
            <w:tc>
              <w:tcPr>
                <w:tcW w:w="1131" w:type="dxa"/>
                <w:vAlign w:val="center"/>
              </w:tcPr>
              <w:p w14:paraId="74C24A0C" w14:textId="77777777" w:rsidR="00577D08" w:rsidRDefault="00330FC0">
                <w:pPr>
                  <w:jc w:val="center"/>
                </w:pPr>
                <w:r>
                  <w:rPr>
                    <w:rFonts w:hint="eastAsia"/>
                  </w:rPr>
                  <w:t>生产量比上年增减（</w:t>
                </w:r>
                <w:r>
                  <w:rPr>
                    <w:rFonts w:hint="eastAsia"/>
                  </w:rPr>
                  <w:t>%</w:t>
                </w:r>
                <w:r>
                  <w:rPr>
                    <w:rFonts w:hint="eastAsia"/>
                  </w:rPr>
                  <w:t>）</w:t>
                </w:r>
              </w:p>
            </w:tc>
          </w:sdtContent>
        </w:sdt>
        <w:sdt>
          <w:sdtPr>
            <w:tag w:val="_PLD_37e055a5474a4aac989b4e3a88756935"/>
            <w:id w:val="1478648284"/>
          </w:sdtPr>
          <w:sdtContent>
            <w:tc>
              <w:tcPr>
                <w:tcW w:w="1131" w:type="dxa"/>
                <w:vAlign w:val="center"/>
              </w:tcPr>
              <w:p w14:paraId="5C9FA0A0" w14:textId="77777777" w:rsidR="00577D08" w:rsidRDefault="00330FC0">
                <w:pPr>
                  <w:jc w:val="center"/>
                </w:pPr>
                <w:r>
                  <w:rPr>
                    <w:rFonts w:hint="eastAsia"/>
                  </w:rPr>
                  <w:t>销售量比上年增减（</w:t>
                </w:r>
                <w:r>
                  <w:rPr>
                    <w:rFonts w:hint="eastAsia"/>
                  </w:rPr>
                  <w:t>%</w:t>
                </w:r>
                <w:r>
                  <w:rPr>
                    <w:rFonts w:hint="eastAsia"/>
                  </w:rPr>
                  <w:t>）</w:t>
                </w:r>
              </w:p>
            </w:tc>
          </w:sdtContent>
        </w:sdt>
        <w:sdt>
          <w:sdtPr>
            <w:tag w:val="_PLD_d03cdf85475e4722ae39e10ea525eee5"/>
            <w:id w:val="-1913376150"/>
          </w:sdtPr>
          <w:sdtContent>
            <w:tc>
              <w:tcPr>
                <w:tcW w:w="1131" w:type="dxa"/>
                <w:vAlign w:val="center"/>
              </w:tcPr>
              <w:p w14:paraId="72E1F41C" w14:textId="77777777" w:rsidR="00577D08" w:rsidRDefault="00330FC0">
                <w:pPr>
                  <w:jc w:val="center"/>
                </w:pPr>
                <w:r>
                  <w:rPr>
                    <w:rFonts w:hint="eastAsia"/>
                  </w:rPr>
                  <w:t>库存量比上年增减（</w:t>
                </w:r>
                <w:r>
                  <w:rPr>
                    <w:rFonts w:hint="eastAsia"/>
                  </w:rPr>
                  <w:t>%</w:t>
                </w:r>
                <w:r>
                  <w:rPr>
                    <w:rFonts w:hint="eastAsia"/>
                  </w:rPr>
                  <w:t>）</w:t>
                </w:r>
              </w:p>
            </w:tc>
          </w:sdtContent>
        </w:sdt>
      </w:tr>
      <w:tr w:rsidR="00577D08" w14:paraId="2FF28229" w14:textId="77777777">
        <w:trPr>
          <w:trHeight w:val="248"/>
        </w:trPr>
        <w:tc>
          <w:tcPr>
            <w:tcW w:w="1384" w:type="dxa"/>
          </w:tcPr>
          <w:p w14:paraId="0F304898" w14:textId="77777777" w:rsidR="00577D08" w:rsidRDefault="00330FC0">
            <w:r>
              <w:rPr>
                <w:rFonts w:hint="eastAsia"/>
              </w:rPr>
              <w:t>取向硅钢</w:t>
            </w:r>
          </w:p>
        </w:tc>
        <w:tc>
          <w:tcPr>
            <w:tcW w:w="874" w:type="dxa"/>
            <w:vAlign w:val="center"/>
          </w:tcPr>
          <w:p w14:paraId="4A5D97D4" w14:textId="77777777" w:rsidR="00577D08" w:rsidRDefault="00330FC0">
            <w:r>
              <w:rPr>
                <w:rFonts w:hint="eastAsia"/>
              </w:rPr>
              <w:t>万吨</w:t>
            </w:r>
          </w:p>
        </w:tc>
        <w:tc>
          <w:tcPr>
            <w:tcW w:w="1129" w:type="dxa"/>
            <w:vAlign w:val="center"/>
          </w:tcPr>
          <w:p w14:paraId="03968B18" w14:textId="77777777" w:rsidR="00577D08" w:rsidRDefault="00330FC0">
            <w:pPr>
              <w:jc w:val="right"/>
            </w:pPr>
            <w:r>
              <w:t>18.67</w:t>
            </w:r>
          </w:p>
        </w:tc>
        <w:tc>
          <w:tcPr>
            <w:tcW w:w="1131" w:type="dxa"/>
            <w:vAlign w:val="center"/>
          </w:tcPr>
          <w:p w14:paraId="4162BA7C" w14:textId="77777777" w:rsidR="00577D08" w:rsidRDefault="00330FC0">
            <w:pPr>
              <w:jc w:val="right"/>
            </w:pPr>
            <w:r>
              <w:t>17.81</w:t>
            </w:r>
          </w:p>
        </w:tc>
        <w:tc>
          <w:tcPr>
            <w:tcW w:w="1131" w:type="dxa"/>
            <w:vAlign w:val="center"/>
          </w:tcPr>
          <w:p w14:paraId="03990BAE" w14:textId="77777777" w:rsidR="00577D08" w:rsidRDefault="00330FC0">
            <w:pPr>
              <w:jc w:val="right"/>
            </w:pPr>
            <w:r>
              <w:t>1.34</w:t>
            </w:r>
          </w:p>
        </w:tc>
        <w:tc>
          <w:tcPr>
            <w:tcW w:w="1131" w:type="dxa"/>
            <w:vAlign w:val="center"/>
          </w:tcPr>
          <w:p w14:paraId="2161C384" w14:textId="77777777" w:rsidR="00577D08" w:rsidRDefault="00330FC0">
            <w:pPr>
              <w:jc w:val="right"/>
            </w:pPr>
            <w:r>
              <w:t xml:space="preserve"> 15.94 </w:t>
            </w:r>
          </w:p>
        </w:tc>
        <w:tc>
          <w:tcPr>
            <w:tcW w:w="1131" w:type="dxa"/>
            <w:vAlign w:val="center"/>
          </w:tcPr>
          <w:p w14:paraId="3E96665C" w14:textId="77777777" w:rsidR="00577D08" w:rsidRDefault="00330FC0">
            <w:pPr>
              <w:jc w:val="right"/>
            </w:pPr>
            <w:r>
              <w:t xml:space="preserve"> -0.21 </w:t>
            </w:r>
          </w:p>
        </w:tc>
        <w:tc>
          <w:tcPr>
            <w:tcW w:w="1131" w:type="dxa"/>
            <w:vAlign w:val="center"/>
          </w:tcPr>
          <w:p w14:paraId="2AE1B53C" w14:textId="77777777" w:rsidR="00577D08" w:rsidRDefault="00330FC0">
            <w:pPr>
              <w:jc w:val="right"/>
            </w:pPr>
            <w:r>
              <w:t xml:space="preserve"> 176.32 </w:t>
            </w:r>
          </w:p>
        </w:tc>
      </w:tr>
      <w:tr w:rsidR="00577D08" w14:paraId="70E105A4" w14:textId="77777777">
        <w:trPr>
          <w:trHeight w:val="248"/>
        </w:trPr>
        <w:tc>
          <w:tcPr>
            <w:tcW w:w="1384" w:type="dxa"/>
          </w:tcPr>
          <w:p w14:paraId="05781DB0" w14:textId="77777777" w:rsidR="00577D08" w:rsidRDefault="00330FC0">
            <w:r>
              <w:rPr>
                <w:rFonts w:hint="eastAsia"/>
              </w:rPr>
              <w:t>电力变压器</w:t>
            </w:r>
          </w:p>
        </w:tc>
        <w:tc>
          <w:tcPr>
            <w:tcW w:w="874" w:type="dxa"/>
            <w:vAlign w:val="center"/>
          </w:tcPr>
          <w:p w14:paraId="6C17A4A7" w14:textId="77777777" w:rsidR="00577D08" w:rsidRDefault="00330FC0">
            <w:r>
              <w:rPr>
                <w:rFonts w:hint="eastAsia"/>
              </w:rPr>
              <w:t>万</w:t>
            </w:r>
            <w:r>
              <w:rPr>
                <w:rFonts w:hint="eastAsia"/>
              </w:rPr>
              <w:t>kVA</w:t>
            </w:r>
          </w:p>
        </w:tc>
        <w:tc>
          <w:tcPr>
            <w:tcW w:w="1129" w:type="dxa"/>
            <w:vAlign w:val="center"/>
          </w:tcPr>
          <w:p w14:paraId="621491F4" w14:textId="77777777" w:rsidR="00577D08" w:rsidRDefault="00330FC0">
            <w:pPr>
              <w:jc w:val="right"/>
            </w:pPr>
            <w:r>
              <w:t xml:space="preserve"> 4,810 </w:t>
            </w:r>
          </w:p>
        </w:tc>
        <w:tc>
          <w:tcPr>
            <w:tcW w:w="1131" w:type="dxa"/>
            <w:vAlign w:val="center"/>
          </w:tcPr>
          <w:p w14:paraId="4A301E13" w14:textId="77777777" w:rsidR="00577D08" w:rsidRDefault="00330FC0">
            <w:pPr>
              <w:jc w:val="right"/>
            </w:pPr>
            <w:r>
              <w:t xml:space="preserve"> 4,536 </w:t>
            </w:r>
          </w:p>
        </w:tc>
        <w:tc>
          <w:tcPr>
            <w:tcW w:w="1131" w:type="dxa"/>
            <w:vAlign w:val="center"/>
          </w:tcPr>
          <w:p w14:paraId="32FE8FFA" w14:textId="77777777" w:rsidR="00577D08" w:rsidRDefault="00330FC0">
            <w:pPr>
              <w:jc w:val="right"/>
            </w:pPr>
            <w:r>
              <w:t xml:space="preserve"> 1,221 </w:t>
            </w:r>
          </w:p>
        </w:tc>
        <w:tc>
          <w:tcPr>
            <w:tcW w:w="1131" w:type="dxa"/>
            <w:vAlign w:val="center"/>
          </w:tcPr>
          <w:p w14:paraId="6AE631D3" w14:textId="77777777" w:rsidR="00577D08" w:rsidRDefault="00330FC0">
            <w:pPr>
              <w:jc w:val="right"/>
            </w:pPr>
            <w:r>
              <w:t xml:space="preserve"> 45.08 </w:t>
            </w:r>
          </w:p>
        </w:tc>
        <w:tc>
          <w:tcPr>
            <w:tcW w:w="1131" w:type="dxa"/>
            <w:vAlign w:val="center"/>
          </w:tcPr>
          <w:p w14:paraId="1C125AD9" w14:textId="77777777" w:rsidR="00577D08" w:rsidRDefault="00330FC0">
            <w:pPr>
              <w:jc w:val="right"/>
            </w:pPr>
            <w:r>
              <w:t xml:space="preserve"> 35.15 </w:t>
            </w:r>
          </w:p>
        </w:tc>
        <w:tc>
          <w:tcPr>
            <w:tcW w:w="1131" w:type="dxa"/>
            <w:vAlign w:val="center"/>
          </w:tcPr>
          <w:p w14:paraId="0733FF97" w14:textId="77777777" w:rsidR="00577D08" w:rsidRDefault="00330FC0">
            <w:pPr>
              <w:jc w:val="right"/>
            </w:pPr>
            <w:r>
              <w:t xml:space="preserve"> 28.63 </w:t>
            </w:r>
          </w:p>
        </w:tc>
      </w:tr>
      <w:tr w:rsidR="00577D08" w14:paraId="7845CCE7" w14:textId="77777777">
        <w:trPr>
          <w:trHeight w:val="248"/>
        </w:trPr>
        <w:tc>
          <w:tcPr>
            <w:tcW w:w="1384" w:type="dxa"/>
          </w:tcPr>
          <w:p w14:paraId="03A250DB" w14:textId="77777777" w:rsidR="00577D08" w:rsidRDefault="00330FC0">
            <w:r>
              <w:rPr>
                <w:rFonts w:hint="eastAsia"/>
              </w:rPr>
              <w:t>箱式变电站</w:t>
            </w:r>
          </w:p>
        </w:tc>
        <w:tc>
          <w:tcPr>
            <w:tcW w:w="874" w:type="dxa"/>
            <w:vAlign w:val="center"/>
          </w:tcPr>
          <w:p w14:paraId="050480CF" w14:textId="77777777" w:rsidR="00577D08" w:rsidRDefault="00330FC0">
            <w:r>
              <w:rPr>
                <w:rFonts w:hint="eastAsia"/>
              </w:rPr>
              <w:t>万</w:t>
            </w:r>
            <w:r>
              <w:rPr>
                <w:rFonts w:hint="eastAsia"/>
              </w:rPr>
              <w:t>kVA</w:t>
            </w:r>
          </w:p>
        </w:tc>
        <w:tc>
          <w:tcPr>
            <w:tcW w:w="1129" w:type="dxa"/>
            <w:vAlign w:val="center"/>
          </w:tcPr>
          <w:p w14:paraId="18CE2EDD" w14:textId="77777777" w:rsidR="00577D08" w:rsidRDefault="00330FC0">
            <w:pPr>
              <w:jc w:val="right"/>
            </w:pPr>
            <w:r>
              <w:t xml:space="preserve"> 361 </w:t>
            </w:r>
          </w:p>
        </w:tc>
        <w:tc>
          <w:tcPr>
            <w:tcW w:w="1131" w:type="dxa"/>
            <w:vAlign w:val="center"/>
          </w:tcPr>
          <w:p w14:paraId="38E88776" w14:textId="77777777" w:rsidR="00577D08" w:rsidRDefault="00330FC0">
            <w:pPr>
              <w:jc w:val="right"/>
            </w:pPr>
            <w:r>
              <w:t xml:space="preserve"> 395 </w:t>
            </w:r>
          </w:p>
        </w:tc>
        <w:tc>
          <w:tcPr>
            <w:tcW w:w="1131" w:type="dxa"/>
            <w:vAlign w:val="center"/>
          </w:tcPr>
          <w:p w14:paraId="4BA19607" w14:textId="77777777" w:rsidR="00577D08" w:rsidRDefault="00330FC0">
            <w:pPr>
              <w:jc w:val="right"/>
            </w:pPr>
            <w:r>
              <w:t xml:space="preserve"> 81 </w:t>
            </w:r>
          </w:p>
        </w:tc>
        <w:tc>
          <w:tcPr>
            <w:tcW w:w="1131" w:type="dxa"/>
            <w:vAlign w:val="center"/>
          </w:tcPr>
          <w:p w14:paraId="1105746B" w14:textId="77777777" w:rsidR="00577D08" w:rsidRDefault="00330FC0">
            <w:pPr>
              <w:jc w:val="right"/>
            </w:pPr>
            <w:r>
              <w:t xml:space="preserve"> 22.26 </w:t>
            </w:r>
          </w:p>
        </w:tc>
        <w:tc>
          <w:tcPr>
            <w:tcW w:w="1131" w:type="dxa"/>
            <w:vAlign w:val="center"/>
          </w:tcPr>
          <w:p w14:paraId="194FF99A" w14:textId="77777777" w:rsidR="00577D08" w:rsidRDefault="00330FC0">
            <w:pPr>
              <w:jc w:val="right"/>
            </w:pPr>
            <w:r>
              <w:t xml:space="preserve"> 88.60 </w:t>
            </w:r>
          </w:p>
        </w:tc>
        <w:tc>
          <w:tcPr>
            <w:tcW w:w="1131" w:type="dxa"/>
            <w:vAlign w:val="center"/>
          </w:tcPr>
          <w:p w14:paraId="2C273C6C" w14:textId="77777777" w:rsidR="00577D08" w:rsidRDefault="00330FC0">
            <w:pPr>
              <w:jc w:val="right"/>
            </w:pPr>
            <w:r>
              <w:t xml:space="preserve"> -32.58 </w:t>
            </w:r>
          </w:p>
        </w:tc>
      </w:tr>
      <w:tr w:rsidR="00577D08" w14:paraId="1CDDE477" w14:textId="77777777">
        <w:trPr>
          <w:trHeight w:val="248"/>
        </w:trPr>
        <w:tc>
          <w:tcPr>
            <w:tcW w:w="1384" w:type="dxa"/>
          </w:tcPr>
          <w:p w14:paraId="28D2B9AC" w14:textId="77777777" w:rsidR="00577D08" w:rsidRDefault="00330FC0">
            <w:r>
              <w:rPr>
                <w:rFonts w:hint="eastAsia"/>
              </w:rPr>
              <w:t>成套电气设备</w:t>
            </w:r>
          </w:p>
        </w:tc>
        <w:tc>
          <w:tcPr>
            <w:tcW w:w="874" w:type="dxa"/>
            <w:vAlign w:val="center"/>
          </w:tcPr>
          <w:p w14:paraId="3729C9C9" w14:textId="77777777" w:rsidR="00577D08" w:rsidRDefault="00330FC0">
            <w:r>
              <w:rPr>
                <w:rFonts w:hint="eastAsia"/>
              </w:rPr>
              <w:t>台</w:t>
            </w:r>
          </w:p>
        </w:tc>
        <w:tc>
          <w:tcPr>
            <w:tcW w:w="1129" w:type="dxa"/>
            <w:vAlign w:val="center"/>
          </w:tcPr>
          <w:p w14:paraId="592EF6BD" w14:textId="77777777" w:rsidR="00577D08" w:rsidRDefault="00330FC0">
            <w:pPr>
              <w:jc w:val="right"/>
            </w:pPr>
            <w:r>
              <w:t xml:space="preserve"> 6,543 </w:t>
            </w:r>
          </w:p>
        </w:tc>
        <w:tc>
          <w:tcPr>
            <w:tcW w:w="1131" w:type="dxa"/>
            <w:vAlign w:val="center"/>
          </w:tcPr>
          <w:p w14:paraId="79BC9EE0" w14:textId="77777777" w:rsidR="00577D08" w:rsidRDefault="00330FC0">
            <w:pPr>
              <w:jc w:val="right"/>
            </w:pPr>
            <w:r>
              <w:t xml:space="preserve"> 6,509 </w:t>
            </w:r>
          </w:p>
        </w:tc>
        <w:tc>
          <w:tcPr>
            <w:tcW w:w="1131" w:type="dxa"/>
            <w:vAlign w:val="center"/>
          </w:tcPr>
          <w:p w14:paraId="5427FEFF" w14:textId="77777777" w:rsidR="00577D08" w:rsidRDefault="00330FC0">
            <w:pPr>
              <w:jc w:val="right"/>
            </w:pPr>
            <w:r>
              <w:t xml:space="preserve"> 485 </w:t>
            </w:r>
          </w:p>
        </w:tc>
        <w:tc>
          <w:tcPr>
            <w:tcW w:w="1131" w:type="dxa"/>
            <w:vAlign w:val="center"/>
          </w:tcPr>
          <w:p w14:paraId="1D6E4DC9" w14:textId="77777777" w:rsidR="00577D08" w:rsidRDefault="00330FC0">
            <w:pPr>
              <w:jc w:val="right"/>
            </w:pPr>
            <w:r>
              <w:t xml:space="preserve"> -7.68 </w:t>
            </w:r>
          </w:p>
        </w:tc>
        <w:tc>
          <w:tcPr>
            <w:tcW w:w="1131" w:type="dxa"/>
            <w:vAlign w:val="center"/>
          </w:tcPr>
          <w:p w14:paraId="2BAAE6FF" w14:textId="77777777" w:rsidR="00577D08" w:rsidRDefault="00330FC0">
            <w:pPr>
              <w:jc w:val="right"/>
            </w:pPr>
            <w:r>
              <w:t xml:space="preserve"> -14.84 </w:t>
            </w:r>
          </w:p>
        </w:tc>
        <w:tc>
          <w:tcPr>
            <w:tcW w:w="1131" w:type="dxa"/>
            <w:vAlign w:val="center"/>
          </w:tcPr>
          <w:p w14:paraId="566C8958" w14:textId="77777777" w:rsidR="00577D08" w:rsidRDefault="00330FC0">
            <w:pPr>
              <w:jc w:val="right"/>
            </w:pPr>
            <w:r>
              <w:t xml:space="preserve"> 38.97 </w:t>
            </w:r>
          </w:p>
        </w:tc>
      </w:tr>
    </w:tbl>
    <w:p w14:paraId="07926780" w14:textId="77777777" w:rsidR="00577D08" w:rsidRDefault="00330FC0">
      <w:r>
        <w:rPr>
          <w:rFonts w:hint="eastAsia"/>
        </w:rPr>
        <w:t>产销量情况说明</w:t>
      </w:r>
    </w:p>
    <w:sdt>
      <w:sdtPr>
        <w:rPr>
          <w:rFonts w:hint="eastAsia"/>
        </w:rPr>
        <w:alias w:val="产销量情况说明"/>
        <w:tag w:val="_GBC_1aea839efa9940859168bf3f05061254"/>
        <w:id w:val="1500933434"/>
        <w:placeholder>
          <w:docPart w:val="EFD3FF3855CE4AFD8CD1EB64DC1EC186"/>
        </w:placeholder>
      </w:sdtPr>
      <w:sdtContent>
        <w:p w14:paraId="16994ACE" w14:textId="77777777" w:rsidR="00577D08" w:rsidRDefault="00330FC0">
          <w:pPr>
            <w:spacing w:line="360" w:lineRule="exact"/>
          </w:pPr>
          <w:r>
            <w:rPr>
              <w:rFonts w:hint="eastAsia"/>
            </w:rPr>
            <w:t>（</w:t>
          </w:r>
          <w:r>
            <w:rPr>
              <w:rFonts w:hint="eastAsia"/>
            </w:rPr>
            <w:t>1</w:t>
          </w:r>
          <w:r>
            <w:rPr>
              <w:rFonts w:hint="eastAsia"/>
            </w:rPr>
            <w:t>）产量以当年入库口径统计</w:t>
          </w:r>
          <w:r>
            <w:rPr>
              <w:rFonts w:hint="eastAsia"/>
            </w:rPr>
            <w:t>,</w:t>
          </w:r>
          <w:r>
            <w:rPr>
              <w:rFonts w:hint="eastAsia"/>
            </w:rPr>
            <w:t>销售量包含内部配套使用量</w:t>
          </w:r>
          <w:r>
            <w:rPr>
              <w:rFonts w:hint="eastAsia"/>
            </w:rPr>
            <w:t>,</w:t>
          </w:r>
          <w:r>
            <w:rPr>
              <w:rFonts w:hint="eastAsia"/>
            </w:rPr>
            <w:t>对外销售量以当年确认收入口径统计；</w:t>
          </w:r>
        </w:p>
        <w:p w14:paraId="11D7883F" w14:textId="77777777" w:rsidR="00577D08" w:rsidRDefault="00330FC0">
          <w:pPr>
            <w:spacing w:line="360" w:lineRule="exact"/>
          </w:pPr>
          <w:r>
            <w:rPr>
              <w:rFonts w:hint="eastAsia"/>
            </w:rPr>
            <w:t>（</w:t>
          </w:r>
          <w:r>
            <w:rPr>
              <w:rFonts w:hint="eastAsia"/>
            </w:rPr>
            <w:t>2</w:t>
          </w:r>
          <w:r>
            <w:rPr>
              <w:rFonts w:hint="eastAsia"/>
            </w:rPr>
            <w:t>）取向硅钢：本期销售量含内部耗用</w:t>
          </w:r>
          <w:r>
            <w:t>2</w:t>
          </w:r>
          <w:r>
            <w:rPr>
              <w:rFonts w:hint="eastAsia"/>
            </w:rPr>
            <w:t>.</w:t>
          </w:r>
          <w:r>
            <w:t>8</w:t>
          </w:r>
          <w:r>
            <w:rPr>
              <w:rFonts w:hint="eastAsia"/>
            </w:rPr>
            <w:t>5</w:t>
          </w:r>
          <w:r>
            <w:rPr>
              <w:rFonts w:hint="eastAsia"/>
            </w:rPr>
            <w:t>万吨，期末库存量含发出商品</w:t>
          </w:r>
          <w:r>
            <w:rPr>
              <w:rFonts w:hint="eastAsia"/>
            </w:rPr>
            <w:t>0.10</w:t>
          </w:r>
          <w:r>
            <w:rPr>
              <w:rFonts w:hint="eastAsia"/>
            </w:rPr>
            <w:t>万吨；</w:t>
          </w:r>
        </w:p>
        <w:p w14:paraId="14929056" w14:textId="77777777" w:rsidR="00577D08" w:rsidRDefault="00330FC0">
          <w:pPr>
            <w:spacing w:line="360" w:lineRule="exact"/>
          </w:pPr>
          <w:r>
            <w:rPr>
              <w:rFonts w:hint="eastAsia"/>
            </w:rPr>
            <w:t>（</w:t>
          </w:r>
          <w:r>
            <w:rPr>
              <w:rFonts w:hint="eastAsia"/>
            </w:rPr>
            <w:t>3</w:t>
          </w:r>
          <w:r>
            <w:rPr>
              <w:rFonts w:hint="eastAsia"/>
            </w:rPr>
            <w:t>）电力变压器：本期采购入库</w:t>
          </w:r>
          <w:r>
            <w:rPr>
              <w:rFonts w:hint="eastAsia"/>
            </w:rPr>
            <w:t>7</w:t>
          </w:r>
          <w:r>
            <w:rPr>
              <w:rFonts w:hint="eastAsia"/>
            </w:rPr>
            <w:t>万</w:t>
          </w:r>
          <w:r>
            <w:rPr>
              <w:rFonts w:hint="eastAsia"/>
            </w:rPr>
            <w:t>kVA</w:t>
          </w:r>
          <w:r>
            <w:rPr>
              <w:rFonts w:hint="eastAsia"/>
            </w:rPr>
            <w:t>，销售量包含内部耗用</w:t>
          </w:r>
          <w:r>
            <w:rPr>
              <w:rFonts w:hint="eastAsia"/>
            </w:rPr>
            <w:t>351</w:t>
          </w:r>
          <w:r>
            <w:rPr>
              <w:rFonts w:hint="eastAsia"/>
            </w:rPr>
            <w:t>万</w:t>
          </w:r>
          <w:r>
            <w:rPr>
              <w:rFonts w:hint="eastAsia"/>
            </w:rPr>
            <w:t>kVA</w:t>
          </w:r>
          <w:r>
            <w:rPr>
              <w:rFonts w:hint="eastAsia"/>
            </w:rPr>
            <w:t>，期末库存量含发出商品</w:t>
          </w:r>
          <w:r>
            <w:rPr>
              <w:rFonts w:hint="eastAsia"/>
            </w:rPr>
            <w:t>474</w:t>
          </w:r>
          <w:r>
            <w:rPr>
              <w:rFonts w:hint="eastAsia"/>
            </w:rPr>
            <w:t>万</w:t>
          </w:r>
          <w:r>
            <w:rPr>
              <w:rFonts w:hint="eastAsia"/>
            </w:rPr>
            <w:t>kVA</w:t>
          </w:r>
          <w:r>
            <w:rPr>
              <w:rFonts w:hint="eastAsia"/>
            </w:rPr>
            <w:t>；</w:t>
          </w:r>
        </w:p>
        <w:p w14:paraId="55B7F69A" w14:textId="77777777" w:rsidR="00577D08" w:rsidRDefault="00330FC0">
          <w:pPr>
            <w:spacing w:line="360" w:lineRule="exact"/>
          </w:pPr>
          <w:r>
            <w:rPr>
              <w:rFonts w:hint="eastAsia"/>
            </w:rPr>
            <w:t>（</w:t>
          </w:r>
          <w:r>
            <w:rPr>
              <w:rFonts w:hint="eastAsia"/>
            </w:rPr>
            <w:t>4</w:t>
          </w:r>
          <w:r>
            <w:rPr>
              <w:rFonts w:hint="eastAsia"/>
            </w:rPr>
            <w:t>）箱式变电站：期末库存量含发出商品</w:t>
          </w:r>
          <w:r>
            <w:rPr>
              <w:rFonts w:hint="eastAsia"/>
            </w:rPr>
            <w:t>30</w:t>
          </w:r>
          <w:r>
            <w:rPr>
              <w:rFonts w:hint="eastAsia"/>
            </w:rPr>
            <w:t>万</w:t>
          </w:r>
          <w:r>
            <w:rPr>
              <w:rFonts w:hint="eastAsia"/>
            </w:rPr>
            <w:t>kVA</w:t>
          </w:r>
          <w:r>
            <w:rPr>
              <w:rFonts w:hint="eastAsia"/>
            </w:rPr>
            <w:t>；</w:t>
          </w:r>
        </w:p>
        <w:p w14:paraId="0D7C571A" w14:textId="77777777" w:rsidR="00577D08" w:rsidRDefault="00330FC0">
          <w:pPr>
            <w:spacing w:line="360" w:lineRule="exact"/>
          </w:pPr>
          <w:r>
            <w:rPr>
              <w:rFonts w:hint="eastAsia"/>
            </w:rPr>
            <w:t>（</w:t>
          </w:r>
          <w:r>
            <w:rPr>
              <w:rFonts w:hint="eastAsia"/>
            </w:rPr>
            <w:t>5</w:t>
          </w:r>
          <w:r>
            <w:rPr>
              <w:rFonts w:hint="eastAsia"/>
            </w:rPr>
            <w:t>）成套电气设备：本期采购入库</w:t>
          </w:r>
          <w:r>
            <w:rPr>
              <w:rFonts w:hint="eastAsia"/>
            </w:rPr>
            <w:t>395</w:t>
          </w:r>
          <w:r>
            <w:rPr>
              <w:rFonts w:hint="eastAsia"/>
            </w:rPr>
            <w:t>台，期末库存量含发出商品</w:t>
          </w:r>
          <w:r>
            <w:rPr>
              <w:rFonts w:hint="eastAsia"/>
            </w:rPr>
            <w:t>260</w:t>
          </w:r>
          <w:r>
            <w:rPr>
              <w:rFonts w:hint="eastAsia"/>
            </w:rPr>
            <w:t>台。</w:t>
          </w:r>
        </w:p>
      </w:sdtContent>
    </w:sdt>
    <w:p w14:paraId="76263C29" w14:textId="77777777" w:rsidR="00577D08" w:rsidRDefault="00330FC0">
      <w:pPr>
        <w:pStyle w:val="5"/>
        <w:numPr>
          <w:ilvl w:val="0"/>
          <w:numId w:val="10"/>
        </w:numPr>
        <w:tabs>
          <w:tab w:val="left" w:pos="567"/>
        </w:tabs>
        <w:ind w:leftChars="0"/>
        <w:rPr>
          <w:rFonts w:ascii="宋体" w:hAnsi="宋体" w:cs="宋体" w:hint="eastAsia"/>
          <w:kern w:val="0"/>
          <w:szCs w:val="24"/>
        </w:rPr>
      </w:pPr>
      <w:bookmarkStart w:id="104" w:name="_Hlk89876471"/>
      <w:bookmarkStart w:id="105" w:name="OLE_LINK10"/>
      <w:r>
        <w:rPr>
          <w:rFonts w:ascii="宋体" w:hAnsi="宋体" w:cs="宋体" w:hint="eastAsia"/>
          <w:kern w:val="0"/>
          <w:szCs w:val="24"/>
        </w:rPr>
        <w:t>重大采购合同、重大销售合同的履行</w:t>
      </w:r>
      <w:bookmarkStart w:id="106" w:name="OLE_LINK11"/>
      <w:r>
        <w:rPr>
          <w:rFonts w:ascii="宋体" w:hAnsi="宋体" w:cs="宋体" w:hint="eastAsia"/>
          <w:kern w:val="0"/>
          <w:szCs w:val="24"/>
        </w:rPr>
        <w:t>情况</w:t>
      </w:r>
      <w:bookmarkEnd w:id="106"/>
    </w:p>
    <w:bookmarkEnd w:id="105" w:displacedByCustomXml="next"/>
    <w:sdt>
      <w:sdtPr>
        <w:rPr>
          <w:rFonts w:hint="eastAsia"/>
        </w:rPr>
        <w:alias w:val="是否适用：重大采购合同、重大销售合同的履行情况 [双击切换]"/>
        <w:tag w:val="_GBC_7db64bb10282470b9d1599cd986236d4"/>
        <w:id w:val="-1599554353"/>
        <w:placeholder>
          <w:docPart w:val="EFD3FF3855CE4AFD8CD1EB64DC1EC186"/>
        </w:placeholder>
      </w:sdtPr>
      <w:sdtContent>
        <w:p w14:paraId="33DEE82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04"/>
    <w:p w14:paraId="097E0D26" w14:textId="77777777" w:rsidR="00577D08" w:rsidRDefault="00330FC0">
      <w:pPr>
        <w:pStyle w:val="5"/>
        <w:numPr>
          <w:ilvl w:val="0"/>
          <w:numId w:val="10"/>
        </w:numPr>
        <w:tabs>
          <w:tab w:val="left" w:pos="567"/>
        </w:tabs>
        <w:ind w:leftChars="0"/>
        <w:rPr>
          <w:rFonts w:ascii="宋体" w:hAnsi="宋体" w:cs="宋体" w:hint="eastAsia"/>
          <w:kern w:val="0"/>
          <w:szCs w:val="24"/>
        </w:rPr>
      </w:pPr>
      <w:r>
        <w:rPr>
          <w:rFonts w:ascii="宋体" w:hAnsi="宋体" w:cs="宋体"/>
          <w:kern w:val="0"/>
          <w:szCs w:val="24"/>
        </w:rPr>
        <w:t>成本分析表</w:t>
      </w:r>
    </w:p>
    <w:p w14:paraId="43CB1584" w14:textId="7BD0CC51" w:rsidR="00577D08" w:rsidRDefault="00330FC0">
      <w:pPr>
        <w:pStyle w:val="aff9"/>
        <w:wordWrap w:val="0"/>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754551787"/>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万元</w:t>
          </w:r>
          <w:r>
            <w:rPr>
              <w:rFonts w:hint="eastAsia"/>
              <w:szCs w:val="21"/>
            </w:rPr>
            <w:t xml:space="preserve"> </w:t>
          </w:r>
        </w:sdtContent>
      </w:sdt>
      <w:r>
        <w:rPr>
          <w:rFonts w:hint="eastAsia"/>
          <w:szCs w:val="21"/>
        </w:rPr>
        <w:t>币种：</w:t>
      </w:r>
      <w:sdt>
        <w:sdtPr>
          <w:rPr>
            <w:rFonts w:hint="eastAsia"/>
            <w:szCs w:val="21"/>
          </w:rPr>
          <w:alias w:val="币种：成本分析表"/>
          <w:tag w:val="_GBC_5c55578755b74bb6835d3a10e2d5f7d9"/>
          <w:id w:val="484444437"/>
          <w:placeholder>
            <w:docPart w:val="EFD3FF3855CE4AFD8CD1EB64DC1EC18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ff2"/>
        <w:tblW w:w="5000" w:type="pct"/>
        <w:tblLook w:val="04A0" w:firstRow="1" w:lastRow="0" w:firstColumn="1" w:lastColumn="0" w:noHBand="0" w:noVBand="1"/>
      </w:tblPr>
      <w:tblGrid>
        <w:gridCol w:w="1220"/>
        <w:gridCol w:w="1143"/>
        <w:gridCol w:w="1161"/>
        <w:gridCol w:w="1117"/>
        <w:gridCol w:w="1161"/>
        <w:gridCol w:w="1050"/>
        <w:gridCol w:w="1023"/>
        <w:gridCol w:w="948"/>
      </w:tblGrid>
      <w:tr w:rsidR="00577D08" w14:paraId="1F341633" w14:textId="77777777">
        <w:trPr>
          <w:trHeight w:val="195"/>
        </w:trPr>
        <w:sdt>
          <w:sdtPr>
            <w:tag w:val="_PLD_23eca1a24a6a46819aede5056d21b4e0"/>
            <w:id w:val="-1150668878"/>
          </w:sdtPr>
          <w:sdtContent>
            <w:tc>
              <w:tcPr>
                <w:tcW w:w="5000" w:type="pct"/>
                <w:gridSpan w:val="8"/>
                <w:vAlign w:val="center"/>
              </w:tcPr>
              <w:p w14:paraId="610530F5" w14:textId="77777777" w:rsidR="00577D08" w:rsidRDefault="00330FC0">
                <w:pPr>
                  <w:jc w:val="center"/>
                </w:pPr>
                <w:r>
                  <w:t>分行业情况</w:t>
                </w:r>
              </w:p>
            </w:tc>
          </w:sdtContent>
        </w:sdt>
      </w:tr>
      <w:tr w:rsidR="00577D08" w14:paraId="18C76297" w14:textId="77777777">
        <w:trPr>
          <w:trHeight w:val="135"/>
        </w:trPr>
        <w:sdt>
          <w:sdtPr>
            <w:tag w:val="_PLD_6ed773a4437a4fe9b33abca9c4813940"/>
            <w:id w:val="406349330"/>
          </w:sdtPr>
          <w:sdtContent>
            <w:tc>
              <w:tcPr>
                <w:tcW w:w="691" w:type="pct"/>
                <w:vAlign w:val="center"/>
              </w:tcPr>
              <w:p w14:paraId="2C446B49" w14:textId="77777777" w:rsidR="00577D08" w:rsidRDefault="00330FC0">
                <w:pPr>
                  <w:jc w:val="center"/>
                </w:pPr>
                <w:r>
                  <w:t>分行业</w:t>
                </w:r>
              </w:p>
            </w:tc>
          </w:sdtContent>
        </w:sdt>
        <w:sdt>
          <w:sdtPr>
            <w:tag w:val="_PLD_11eb33bcb20d4489a1b9fff2216d0a84"/>
            <w:id w:val="688646569"/>
          </w:sdtPr>
          <w:sdtContent>
            <w:tc>
              <w:tcPr>
                <w:tcW w:w="648" w:type="pct"/>
                <w:vAlign w:val="center"/>
              </w:tcPr>
              <w:p w14:paraId="57D4914E" w14:textId="77777777" w:rsidR="00577D08" w:rsidRDefault="00330FC0">
                <w:pPr>
                  <w:jc w:val="center"/>
                </w:pPr>
                <w:r>
                  <w:t>成本构成项目</w:t>
                </w:r>
              </w:p>
            </w:tc>
          </w:sdtContent>
        </w:sdt>
        <w:sdt>
          <w:sdtPr>
            <w:tag w:val="_PLD_25c03477e66a432199f6493c38aaca71"/>
            <w:id w:val="1831095796"/>
          </w:sdtPr>
          <w:sdtContent>
            <w:tc>
              <w:tcPr>
                <w:tcW w:w="658" w:type="pct"/>
                <w:vAlign w:val="center"/>
              </w:tcPr>
              <w:p w14:paraId="10D7499C" w14:textId="77777777" w:rsidR="00577D08" w:rsidRDefault="00330FC0">
                <w:pPr>
                  <w:jc w:val="center"/>
                </w:pPr>
                <w:r>
                  <w:t>本期金额</w:t>
                </w:r>
              </w:p>
            </w:tc>
          </w:sdtContent>
        </w:sdt>
        <w:sdt>
          <w:sdtPr>
            <w:tag w:val="_PLD_29b86b13ed1449cfb64b8547d9ed08a7"/>
            <w:id w:val="-736709667"/>
          </w:sdtPr>
          <w:sdtContent>
            <w:tc>
              <w:tcPr>
                <w:tcW w:w="633" w:type="pct"/>
                <w:vAlign w:val="center"/>
              </w:tcPr>
              <w:p w14:paraId="2E2FAB35" w14:textId="77777777" w:rsidR="00577D08" w:rsidRDefault="00330FC0">
                <w:pPr>
                  <w:jc w:val="center"/>
                </w:pPr>
                <w:r>
                  <w:t>本期占总成本比例</w:t>
                </w:r>
                <w:r>
                  <w:t>(</w:t>
                </w:r>
                <w:r>
                  <w:rPr>
                    <w:rFonts w:hint="eastAsia"/>
                  </w:rPr>
                  <w:t>%</w:t>
                </w:r>
                <w:r>
                  <w:t>)</w:t>
                </w:r>
              </w:p>
            </w:tc>
          </w:sdtContent>
        </w:sdt>
        <w:sdt>
          <w:sdtPr>
            <w:tag w:val="_PLD_5ff02c2ae2d941d5bb2ed5b1e6bfa8e6"/>
            <w:id w:val="-1839615025"/>
          </w:sdtPr>
          <w:sdtContent>
            <w:tc>
              <w:tcPr>
                <w:tcW w:w="658" w:type="pct"/>
                <w:vAlign w:val="center"/>
              </w:tcPr>
              <w:p w14:paraId="75C7D94E" w14:textId="77777777" w:rsidR="00577D08" w:rsidRDefault="00330FC0">
                <w:pPr>
                  <w:jc w:val="center"/>
                </w:pPr>
                <w:r>
                  <w:t>上年同期金额</w:t>
                </w:r>
              </w:p>
            </w:tc>
          </w:sdtContent>
        </w:sdt>
        <w:sdt>
          <w:sdtPr>
            <w:tag w:val="_PLD_517f7979a01748fba12b11d5561fdcdd"/>
            <w:id w:val="1691496436"/>
          </w:sdtPr>
          <w:sdtContent>
            <w:tc>
              <w:tcPr>
                <w:tcW w:w="595" w:type="pct"/>
                <w:vAlign w:val="center"/>
              </w:tcPr>
              <w:p w14:paraId="0EE8895D" w14:textId="77777777" w:rsidR="00577D08" w:rsidRDefault="00330FC0">
                <w:pPr>
                  <w:jc w:val="center"/>
                </w:pPr>
                <w:r>
                  <w:t>上年同期占总成本比</w:t>
                </w:r>
                <w:r>
                  <w:lastRenderedPageBreak/>
                  <w:t>例</w:t>
                </w:r>
                <w:r>
                  <w:t>(</w:t>
                </w:r>
                <w:r>
                  <w:rPr>
                    <w:rFonts w:hint="eastAsia"/>
                  </w:rPr>
                  <w:t>%</w:t>
                </w:r>
                <w:r>
                  <w:t>)</w:t>
                </w:r>
              </w:p>
            </w:tc>
          </w:sdtContent>
        </w:sdt>
        <w:sdt>
          <w:sdtPr>
            <w:tag w:val="_PLD_51133d067ddc4eeda00133d4c26d206f"/>
            <w:id w:val="-123700449"/>
          </w:sdtPr>
          <w:sdtContent>
            <w:tc>
              <w:tcPr>
                <w:tcW w:w="580" w:type="pct"/>
                <w:vAlign w:val="center"/>
              </w:tcPr>
              <w:p w14:paraId="09EA6A5D" w14:textId="77777777" w:rsidR="00577D08" w:rsidRDefault="00330FC0">
                <w:pPr>
                  <w:jc w:val="center"/>
                </w:pPr>
                <w:r>
                  <w:t>本期金额较上年同期</w:t>
                </w:r>
                <w:r>
                  <w:lastRenderedPageBreak/>
                  <w:t>变动比例</w:t>
                </w:r>
                <w:r>
                  <w:t>(</w:t>
                </w:r>
                <w:r>
                  <w:rPr>
                    <w:rFonts w:hint="eastAsia"/>
                  </w:rPr>
                  <w:t>%</w:t>
                </w:r>
                <w:r>
                  <w:t>)</w:t>
                </w:r>
              </w:p>
            </w:tc>
          </w:sdtContent>
        </w:sdt>
        <w:sdt>
          <w:sdtPr>
            <w:tag w:val="_PLD_88c2b4dabd62472381be05c0702377e2"/>
            <w:id w:val="-1351401242"/>
          </w:sdtPr>
          <w:sdtContent>
            <w:tc>
              <w:tcPr>
                <w:tcW w:w="537" w:type="pct"/>
                <w:vAlign w:val="center"/>
              </w:tcPr>
              <w:p w14:paraId="00FF2065" w14:textId="77777777" w:rsidR="00577D08" w:rsidRDefault="00330FC0">
                <w:pPr>
                  <w:jc w:val="center"/>
                </w:pPr>
                <w:r>
                  <w:t>情况</w:t>
                </w:r>
              </w:p>
              <w:p w14:paraId="568A756B" w14:textId="77777777" w:rsidR="00577D08" w:rsidRDefault="00330FC0">
                <w:pPr>
                  <w:jc w:val="center"/>
                </w:pPr>
                <w:r>
                  <w:t>说明</w:t>
                </w:r>
              </w:p>
            </w:tc>
          </w:sdtContent>
        </w:sdt>
      </w:tr>
      <w:tr w:rsidR="00577D08" w14:paraId="36B7602F" w14:textId="77777777">
        <w:trPr>
          <w:trHeight w:val="165"/>
        </w:trPr>
        <w:tc>
          <w:tcPr>
            <w:tcW w:w="691" w:type="pct"/>
            <w:vMerge w:val="restart"/>
            <w:vAlign w:val="center"/>
          </w:tcPr>
          <w:p w14:paraId="341DFC32" w14:textId="77777777" w:rsidR="00577D08" w:rsidRDefault="00330FC0">
            <w:r>
              <w:rPr>
                <w:rFonts w:hint="eastAsia"/>
              </w:rPr>
              <w:t>钢压延加工</w:t>
            </w:r>
          </w:p>
        </w:tc>
        <w:tc>
          <w:tcPr>
            <w:tcW w:w="648" w:type="pct"/>
          </w:tcPr>
          <w:p w14:paraId="7D60CC9F" w14:textId="77777777" w:rsidR="00577D08" w:rsidRDefault="00330FC0">
            <w:r>
              <w:rPr>
                <w:rFonts w:hint="eastAsia"/>
              </w:rPr>
              <w:t>直接材料</w:t>
            </w:r>
          </w:p>
        </w:tc>
        <w:tc>
          <w:tcPr>
            <w:tcW w:w="658" w:type="pct"/>
          </w:tcPr>
          <w:p w14:paraId="0596F464" w14:textId="77777777" w:rsidR="00577D08" w:rsidRDefault="00330FC0">
            <w:pPr>
              <w:jc w:val="right"/>
            </w:pPr>
            <w:r>
              <w:t xml:space="preserve"> 70,335.25 </w:t>
            </w:r>
          </w:p>
        </w:tc>
        <w:tc>
          <w:tcPr>
            <w:tcW w:w="633" w:type="pct"/>
          </w:tcPr>
          <w:p w14:paraId="0B2A40ED" w14:textId="77777777" w:rsidR="00577D08" w:rsidRDefault="00330FC0">
            <w:pPr>
              <w:jc w:val="right"/>
            </w:pPr>
            <w:r>
              <w:t xml:space="preserve"> 60.07 </w:t>
            </w:r>
          </w:p>
        </w:tc>
        <w:tc>
          <w:tcPr>
            <w:tcW w:w="658" w:type="pct"/>
          </w:tcPr>
          <w:p w14:paraId="6F097818" w14:textId="77777777" w:rsidR="00577D08" w:rsidRDefault="00330FC0">
            <w:pPr>
              <w:jc w:val="right"/>
            </w:pPr>
            <w:r>
              <w:t xml:space="preserve"> 81,285.29 </w:t>
            </w:r>
          </w:p>
        </w:tc>
        <w:tc>
          <w:tcPr>
            <w:tcW w:w="595" w:type="pct"/>
          </w:tcPr>
          <w:p w14:paraId="5951332B" w14:textId="77777777" w:rsidR="00577D08" w:rsidRDefault="00330FC0">
            <w:pPr>
              <w:jc w:val="right"/>
            </w:pPr>
            <w:r>
              <w:t xml:space="preserve"> 64.89 </w:t>
            </w:r>
          </w:p>
        </w:tc>
        <w:tc>
          <w:tcPr>
            <w:tcW w:w="580" w:type="pct"/>
          </w:tcPr>
          <w:p w14:paraId="1B24DB9B" w14:textId="77777777" w:rsidR="00577D08" w:rsidRDefault="00330FC0">
            <w:pPr>
              <w:jc w:val="right"/>
            </w:pPr>
            <w:r>
              <w:t xml:space="preserve"> -13.47 </w:t>
            </w:r>
          </w:p>
        </w:tc>
        <w:tc>
          <w:tcPr>
            <w:tcW w:w="537" w:type="pct"/>
            <w:vAlign w:val="center"/>
          </w:tcPr>
          <w:p w14:paraId="70097AC2" w14:textId="77777777" w:rsidR="00577D08" w:rsidRDefault="00577D08"/>
        </w:tc>
      </w:tr>
      <w:tr w:rsidR="00577D08" w14:paraId="0E47A6C9" w14:textId="77777777">
        <w:trPr>
          <w:trHeight w:val="165"/>
        </w:trPr>
        <w:tc>
          <w:tcPr>
            <w:tcW w:w="691" w:type="pct"/>
            <w:vMerge/>
            <w:vAlign w:val="center"/>
          </w:tcPr>
          <w:p w14:paraId="33F1C0B8" w14:textId="77777777" w:rsidR="00577D08" w:rsidRDefault="00577D08"/>
        </w:tc>
        <w:tc>
          <w:tcPr>
            <w:tcW w:w="648" w:type="pct"/>
          </w:tcPr>
          <w:p w14:paraId="5C7B1DEC" w14:textId="77777777" w:rsidR="00577D08" w:rsidRDefault="00330FC0">
            <w:r>
              <w:rPr>
                <w:rFonts w:hint="eastAsia"/>
              </w:rPr>
              <w:t>直接人工</w:t>
            </w:r>
          </w:p>
        </w:tc>
        <w:tc>
          <w:tcPr>
            <w:tcW w:w="658" w:type="pct"/>
          </w:tcPr>
          <w:p w14:paraId="7A37C0B8" w14:textId="77777777" w:rsidR="00577D08" w:rsidRDefault="00330FC0">
            <w:pPr>
              <w:jc w:val="right"/>
            </w:pPr>
            <w:r>
              <w:t xml:space="preserve"> 2,334.73 </w:t>
            </w:r>
          </w:p>
        </w:tc>
        <w:tc>
          <w:tcPr>
            <w:tcW w:w="633" w:type="pct"/>
          </w:tcPr>
          <w:p w14:paraId="47E958D1" w14:textId="77777777" w:rsidR="00577D08" w:rsidRDefault="00330FC0">
            <w:pPr>
              <w:jc w:val="right"/>
            </w:pPr>
            <w:r>
              <w:t xml:space="preserve"> 1.99 </w:t>
            </w:r>
          </w:p>
        </w:tc>
        <w:tc>
          <w:tcPr>
            <w:tcW w:w="658" w:type="pct"/>
          </w:tcPr>
          <w:p w14:paraId="5E011B12" w14:textId="77777777" w:rsidR="00577D08" w:rsidRDefault="00330FC0">
            <w:pPr>
              <w:jc w:val="right"/>
            </w:pPr>
            <w:r>
              <w:t xml:space="preserve"> 2,338.07 </w:t>
            </w:r>
          </w:p>
        </w:tc>
        <w:tc>
          <w:tcPr>
            <w:tcW w:w="595" w:type="pct"/>
          </w:tcPr>
          <w:p w14:paraId="6B7876E0" w14:textId="77777777" w:rsidR="00577D08" w:rsidRDefault="00330FC0">
            <w:pPr>
              <w:jc w:val="right"/>
            </w:pPr>
            <w:r>
              <w:t xml:space="preserve"> 1.87 </w:t>
            </w:r>
          </w:p>
        </w:tc>
        <w:tc>
          <w:tcPr>
            <w:tcW w:w="580" w:type="pct"/>
          </w:tcPr>
          <w:p w14:paraId="07755A74" w14:textId="77777777" w:rsidR="00577D08" w:rsidRDefault="00330FC0">
            <w:pPr>
              <w:jc w:val="right"/>
            </w:pPr>
            <w:r>
              <w:t xml:space="preserve"> -0.14 </w:t>
            </w:r>
          </w:p>
        </w:tc>
        <w:tc>
          <w:tcPr>
            <w:tcW w:w="537" w:type="pct"/>
            <w:vAlign w:val="center"/>
          </w:tcPr>
          <w:p w14:paraId="3C1BB6FC" w14:textId="77777777" w:rsidR="00577D08" w:rsidRDefault="00577D08"/>
        </w:tc>
      </w:tr>
      <w:tr w:rsidR="00577D08" w14:paraId="5541C5CA" w14:textId="77777777">
        <w:trPr>
          <w:trHeight w:val="165"/>
        </w:trPr>
        <w:tc>
          <w:tcPr>
            <w:tcW w:w="691" w:type="pct"/>
            <w:vMerge/>
            <w:vAlign w:val="center"/>
          </w:tcPr>
          <w:p w14:paraId="6DD61A33" w14:textId="77777777" w:rsidR="00577D08" w:rsidRDefault="00577D08"/>
        </w:tc>
        <w:tc>
          <w:tcPr>
            <w:tcW w:w="648" w:type="pct"/>
          </w:tcPr>
          <w:p w14:paraId="49B804AC" w14:textId="77777777" w:rsidR="00577D08" w:rsidRDefault="00330FC0">
            <w:r>
              <w:rPr>
                <w:rFonts w:hint="eastAsia"/>
              </w:rPr>
              <w:t>其他费用</w:t>
            </w:r>
          </w:p>
        </w:tc>
        <w:tc>
          <w:tcPr>
            <w:tcW w:w="658" w:type="pct"/>
          </w:tcPr>
          <w:p w14:paraId="339814ED" w14:textId="77777777" w:rsidR="00577D08" w:rsidRDefault="00330FC0">
            <w:pPr>
              <w:jc w:val="right"/>
            </w:pPr>
            <w:r>
              <w:t xml:space="preserve"> 44,412.81 </w:t>
            </w:r>
          </w:p>
        </w:tc>
        <w:tc>
          <w:tcPr>
            <w:tcW w:w="633" w:type="pct"/>
          </w:tcPr>
          <w:p w14:paraId="6C6784CA" w14:textId="77777777" w:rsidR="00577D08" w:rsidRDefault="00330FC0">
            <w:pPr>
              <w:jc w:val="right"/>
            </w:pPr>
            <w:r>
              <w:t xml:space="preserve"> 37.93 </w:t>
            </w:r>
          </w:p>
        </w:tc>
        <w:tc>
          <w:tcPr>
            <w:tcW w:w="658" w:type="pct"/>
          </w:tcPr>
          <w:p w14:paraId="5A5E182A" w14:textId="77777777" w:rsidR="00577D08" w:rsidRDefault="00330FC0">
            <w:pPr>
              <w:jc w:val="right"/>
            </w:pPr>
            <w:r>
              <w:t xml:space="preserve"> 41,641.91 </w:t>
            </w:r>
          </w:p>
        </w:tc>
        <w:tc>
          <w:tcPr>
            <w:tcW w:w="595" w:type="pct"/>
          </w:tcPr>
          <w:p w14:paraId="66D1FAEB" w14:textId="77777777" w:rsidR="00577D08" w:rsidRDefault="00330FC0">
            <w:pPr>
              <w:jc w:val="right"/>
            </w:pPr>
            <w:r>
              <w:t xml:space="preserve"> 33.24 </w:t>
            </w:r>
          </w:p>
        </w:tc>
        <w:tc>
          <w:tcPr>
            <w:tcW w:w="580" w:type="pct"/>
          </w:tcPr>
          <w:p w14:paraId="2093E649" w14:textId="77777777" w:rsidR="00577D08" w:rsidRDefault="00330FC0">
            <w:pPr>
              <w:jc w:val="right"/>
            </w:pPr>
            <w:r>
              <w:t xml:space="preserve"> 6.65 </w:t>
            </w:r>
          </w:p>
        </w:tc>
        <w:tc>
          <w:tcPr>
            <w:tcW w:w="537" w:type="pct"/>
            <w:vAlign w:val="center"/>
          </w:tcPr>
          <w:p w14:paraId="64F63AFC" w14:textId="77777777" w:rsidR="00577D08" w:rsidRDefault="00577D08"/>
        </w:tc>
      </w:tr>
      <w:tr w:rsidR="00577D08" w14:paraId="4F8C922A" w14:textId="77777777">
        <w:trPr>
          <w:trHeight w:val="165"/>
        </w:trPr>
        <w:tc>
          <w:tcPr>
            <w:tcW w:w="691" w:type="pct"/>
            <w:vMerge/>
            <w:vAlign w:val="center"/>
          </w:tcPr>
          <w:p w14:paraId="574DB3F8" w14:textId="77777777" w:rsidR="00577D08" w:rsidRDefault="00577D08"/>
        </w:tc>
        <w:tc>
          <w:tcPr>
            <w:tcW w:w="648" w:type="pct"/>
          </w:tcPr>
          <w:p w14:paraId="5AFE05E9" w14:textId="77777777" w:rsidR="00577D08" w:rsidRDefault="00330FC0">
            <w:r>
              <w:rPr>
                <w:rFonts w:hint="eastAsia"/>
              </w:rPr>
              <w:t>合计</w:t>
            </w:r>
          </w:p>
        </w:tc>
        <w:tc>
          <w:tcPr>
            <w:tcW w:w="658" w:type="pct"/>
          </w:tcPr>
          <w:p w14:paraId="5E35AD29" w14:textId="77777777" w:rsidR="00577D08" w:rsidRDefault="00330FC0">
            <w:pPr>
              <w:jc w:val="right"/>
            </w:pPr>
            <w:r>
              <w:t xml:space="preserve">117,082.78 </w:t>
            </w:r>
          </w:p>
        </w:tc>
        <w:tc>
          <w:tcPr>
            <w:tcW w:w="633" w:type="pct"/>
          </w:tcPr>
          <w:p w14:paraId="4C40DEDA" w14:textId="77777777" w:rsidR="00577D08" w:rsidRDefault="00330FC0">
            <w:pPr>
              <w:jc w:val="right"/>
            </w:pPr>
            <w:r>
              <w:t xml:space="preserve"> 100.00 </w:t>
            </w:r>
          </w:p>
        </w:tc>
        <w:tc>
          <w:tcPr>
            <w:tcW w:w="658" w:type="pct"/>
          </w:tcPr>
          <w:p w14:paraId="6FB22CAE" w14:textId="77777777" w:rsidR="00577D08" w:rsidRDefault="00330FC0">
            <w:pPr>
              <w:jc w:val="right"/>
            </w:pPr>
            <w:r>
              <w:t xml:space="preserve">125,265.27 </w:t>
            </w:r>
          </w:p>
        </w:tc>
        <w:tc>
          <w:tcPr>
            <w:tcW w:w="595" w:type="pct"/>
          </w:tcPr>
          <w:p w14:paraId="21690719" w14:textId="77777777" w:rsidR="00577D08" w:rsidRDefault="00330FC0">
            <w:pPr>
              <w:jc w:val="right"/>
            </w:pPr>
            <w:r>
              <w:t xml:space="preserve"> 100.00 </w:t>
            </w:r>
          </w:p>
        </w:tc>
        <w:tc>
          <w:tcPr>
            <w:tcW w:w="580" w:type="pct"/>
          </w:tcPr>
          <w:p w14:paraId="55421589" w14:textId="77777777" w:rsidR="00577D08" w:rsidRDefault="00330FC0">
            <w:pPr>
              <w:jc w:val="right"/>
            </w:pPr>
            <w:r>
              <w:t xml:space="preserve"> -6.53 </w:t>
            </w:r>
          </w:p>
        </w:tc>
        <w:tc>
          <w:tcPr>
            <w:tcW w:w="537" w:type="pct"/>
            <w:vAlign w:val="center"/>
          </w:tcPr>
          <w:p w14:paraId="6340FF3C" w14:textId="77777777" w:rsidR="00577D08" w:rsidRDefault="00577D08"/>
        </w:tc>
      </w:tr>
      <w:tr w:rsidR="00577D08" w14:paraId="052D685D" w14:textId="77777777">
        <w:trPr>
          <w:trHeight w:val="165"/>
        </w:trPr>
        <w:tc>
          <w:tcPr>
            <w:tcW w:w="691" w:type="pct"/>
            <w:vMerge w:val="restart"/>
            <w:vAlign w:val="center"/>
          </w:tcPr>
          <w:p w14:paraId="5ED02847" w14:textId="77777777" w:rsidR="00577D08" w:rsidRDefault="00330FC0">
            <w:r>
              <w:rPr>
                <w:rFonts w:hint="eastAsia"/>
              </w:rPr>
              <w:t>输配电及控制设备制造</w:t>
            </w:r>
          </w:p>
        </w:tc>
        <w:tc>
          <w:tcPr>
            <w:tcW w:w="648" w:type="pct"/>
          </w:tcPr>
          <w:p w14:paraId="72A60F85" w14:textId="77777777" w:rsidR="00577D08" w:rsidRDefault="00330FC0">
            <w:r>
              <w:rPr>
                <w:rFonts w:hint="eastAsia"/>
              </w:rPr>
              <w:t>直接材料</w:t>
            </w:r>
          </w:p>
        </w:tc>
        <w:tc>
          <w:tcPr>
            <w:tcW w:w="658" w:type="pct"/>
          </w:tcPr>
          <w:p w14:paraId="67AE5873" w14:textId="77777777" w:rsidR="00577D08" w:rsidRDefault="00330FC0">
            <w:pPr>
              <w:jc w:val="right"/>
            </w:pPr>
            <w:r>
              <w:t xml:space="preserve">183,781.83 </w:t>
            </w:r>
          </w:p>
        </w:tc>
        <w:tc>
          <w:tcPr>
            <w:tcW w:w="633" w:type="pct"/>
          </w:tcPr>
          <w:p w14:paraId="26842CCA" w14:textId="77777777" w:rsidR="00577D08" w:rsidRDefault="00330FC0">
            <w:pPr>
              <w:jc w:val="right"/>
            </w:pPr>
            <w:r>
              <w:t xml:space="preserve"> 84.35 </w:t>
            </w:r>
          </w:p>
        </w:tc>
        <w:tc>
          <w:tcPr>
            <w:tcW w:w="658" w:type="pct"/>
          </w:tcPr>
          <w:p w14:paraId="37B70246" w14:textId="77777777" w:rsidR="00577D08" w:rsidRDefault="00330FC0">
            <w:pPr>
              <w:jc w:val="right"/>
            </w:pPr>
            <w:r>
              <w:t xml:space="preserve">146,827.06 </w:t>
            </w:r>
          </w:p>
        </w:tc>
        <w:tc>
          <w:tcPr>
            <w:tcW w:w="595" w:type="pct"/>
          </w:tcPr>
          <w:p w14:paraId="02DEF673" w14:textId="77777777" w:rsidR="00577D08" w:rsidRDefault="00330FC0">
            <w:pPr>
              <w:jc w:val="right"/>
            </w:pPr>
            <w:r>
              <w:t xml:space="preserve"> 88.83 </w:t>
            </w:r>
          </w:p>
        </w:tc>
        <w:tc>
          <w:tcPr>
            <w:tcW w:w="580" w:type="pct"/>
          </w:tcPr>
          <w:p w14:paraId="3EA1440A" w14:textId="77777777" w:rsidR="00577D08" w:rsidRDefault="00330FC0">
            <w:pPr>
              <w:jc w:val="right"/>
            </w:pPr>
            <w:r>
              <w:t xml:space="preserve"> 25.17 </w:t>
            </w:r>
          </w:p>
        </w:tc>
        <w:tc>
          <w:tcPr>
            <w:tcW w:w="537" w:type="pct"/>
            <w:vAlign w:val="center"/>
          </w:tcPr>
          <w:p w14:paraId="4BBBF832" w14:textId="77777777" w:rsidR="00577D08" w:rsidRDefault="00577D08"/>
        </w:tc>
      </w:tr>
      <w:tr w:rsidR="00577D08" w14:paraId="76A6FC30" w14:textId="77777777">
        <w:trPr>
          <w:trHeight w:val="165"/>
        </w:trPr>
        <w:tc>
          <w:tcPr>
            <w:tcW w:w="691" w:type="pct"/>
            <w:vMerge/>
            <w:vAlign w:val="center"/>
          </w:tcPr>
          <w:p w14:paraId="3A09753A" w14:textId="77777777" w:rsidR="00577D08" w:rsidRDefault="00577D08"/>
        </w:tc>
        <w:tc>
          <w:tcPr>
            <w:tcW w:w="648" w:type="pct"/>
          </w:tcPr>
          <w:p w14:paraId="17E309D0" w14:textId="77777777" w:rsidR="00577D08" w:rsidRDefault="00330FC0">
            <w:r>
              <w:rPr>
                <w:rFonts w:hint="eastAsia"/>
              </w:rPr>
              <w:t>直接人工</w:t>
            </w:r>
          </w:p>
        </w:tc>
        <w:tc>
          <w:tcPr>
            <w:tcW w:w="658" w:type="pct"/>
          </w:tcPr>
          <w:p w14:paraId="7BFC3EEF" w14:textId="77777777" w:rsidR="00577D08" w:rsidRDefault="00330FC0">
            <w:pPr>
              <w:jc w:val="right"/>
            </w:pPr>
            <w:r>
              <w:t xml:space="preserve"> 8,742.91 </w:t>
            </w:r>
          </w:p>
        </w:tc>
        <w:tc>
          <w:tcPr>
            <w:tcW w:w="633" w:type="pct"/>
          </w:tcPr>
          <w:p w14:paraId="170756E1" w14:textId="77777777" w:rsidR="00577D08" w:rsidRDefault="00330FC0">
            <w:pPr>
              <w:jc w:val="right"/>
            </w:pPr>
            <w:r>
              <w:t xml:space="preserve"> 4.01 </w:t>
            </w:r>
          </w:p>
        </w:tc>
        <w:tc>
          <w:tcPr>
            <w:tcW w:w="658" w:type="pct"/>
          </w:tcPr>
          <w:p w14:paraId="0F9CB98D" w14:textId="77777777" w:rsidR="00577D08" w:rsidRDefault="00330FC0">
            <w:pPr>
              <w:jc w:val="right"/>
            </w:pPr>
            <w:r>
              <w:t xml:space="preserve"> 6,974.97 </w:t>
            </w:r>
          </w:p>
        </w:tc>
        <w:tc>
          <w:tcPr>
            <w:tcW w:w="595" w:type="pct"/>
          </w:tcPr>
          <w:p w14:paraId="0A871876" w14:textId="77777777" w:rsidR="00577D08" w:rsidRDefault="00330FC0">
            <w:pPr>
              <w:jc w:val="right"/>
            </w:pPr>
            <w:r>
              <w:t xml:space="preserve"> 4.22 </w:t>
            </w:r>
          </w:p>
        </w:tc>
        <w:tc>
          <w:tcPr>
            <w:tcW w:w="580" w:type="pct"/>
          </w:tcPr>
          <w:p w14:paraId="7BC23038" w14:textId="77777777" w:rsidR="00577D08" w:rsidRDefault="00330FC0">
            <w:pPr>
              <w:jc w:val="right"/>
            </w:pPr>
            <w:r>
              <w:t xml:space="preserve"> 25.35 </w:t>
            </w:r>
          </w:p>
        </w:tc>
        <w:tc>
          <w:tcPr>
            <w:tcW w:w="537" w:type="pct"/>
            <w:vAlign w:val="center"/>
          </w:tcPr>
          <w:p w14:paraId="63C0CDE0" w14:textId="77777777" w:rsidR="00577D08" w:rsidRDefault="00577D08"/>
        </w:tc>
      </w:tr>
      <w:tr w:rsidR="00577D08" w14:paraId="4FAD1DD0" w14:textId="77777777">
        <w:trPr>
          <w:trHeight w:val="165"/>
        </w:trPr>
        <w:tc>
          <w:tcPr>
            <w:tcW w:w="691" w:type="pct"/>
            <w:vMerge/>
            <w:vAlign w:val="center"/>
          </w:tcPr>
          <w:p w14:paraId="7F25BA44" w14:textId="77777777" w:rsidR="00577D08" w:rsidRDefault="00577D08"/>
        </w:tc>
        <w:tc>
          <w:tcPr>
            <w:tcW w:w="648" w:type="pct"/>
          </w:tcPr>
          <w:p w14:paraId="6567B438" w14:textId="77777777" w:rsidR="00577D08" w:rsidRDefault="00330FC0">
            <w:r>
              <w:rPr>
                <w:rFonts w:hint="eastAsia"/>
              </w:rPr>
              <w:t>其他费用</w:t>
            </w:r>
          </w:p>
        </w:tc>
        <w:tc>
          <w:tcPr>
            <w:tcW w:w="658" w:type="pct"/>
          </w:tcPr>
          <w:p w14:paraId="5679A960" w14:textId="77777777" w:rsidR="00577D08" w:rsidRDefault="00330FC0">
            <w:pPr>
              <w:jc w:val="right"/>
            </w:pPr>
            <w:r>
              <w:t xml:space="preserve"> 25,360.90 </w:t>
            </w:r>
          </w:p>
        </w:tc>
        <w:tc>
          <w:tcPr>
            <w:tcW w:w="633" w:type="pct"/>
          </w:tcPr>
          <w:p w14:paraId="1463AA55" w14:textId="77777777" w:rsidR="00577D08" w:rsidRDefault="00330FC0">
            <w:pPr>
              <w:jc w:val="right"/>
            </w:pPr>
            <w:r>
              <w:t xml:space="preserve"> 11.64 </w:t>
            </w:r>
          </w:p>
        </w:tc>
        <w:tc>
          <w:tcPr>
            <w:tcW w:w="658" w:type="pct"/>
          </w:tcPr>
          <w:p w14:paraId="4E8A4C47" w14:textId="77777777" w:rsidR="00577D08" w:rsidRDefault="00330FC0">
            <w:pPr>
              <w:jc w:val="right"/>
            </w:pPr>
            <w:r>
              <w:t xml:space="preserve"> 11,497.07 </w:t>
            </w:r>
          </w:p>
        </w:tc>
        <w:tc>
          <w:tcPr>
            <w:tcW w:w="595" w:type="pct"/>
          </w:tcPr>
          <w:p w14:paraId="2A9D31FC" w14:textId="77777777" w:rsidR="00577D08" w:rsidRDefault="00330FC0">
            <w:pPr>
              <w:jc w:val="right"/>
            </w:pPr>
            <w:r>
              <w:t xml:space="preserve"> 6.96 </w:t>
            </w:r>
          </w:p>
        </w:tc>
        <w:tc>
          <w:tcPr>
            <w:tcW w:w="580" w:type="pct"/>
          </w:tcPr>
          <w:p w14:paraId="6B93637D" w14:textId="77777777" w:rsidR="00577D08" w:rsidRDefault="00330FC0">
            <w:pPr>
              <w:jc w:val="right"/>
            </w:pPr>
            <w:r>
              <w:t xml:space="preserve"> 120.59 </w:t>
            </w:r>
          </w:p>
        </w:tc>
        <w:tc>
          <w:tcPr>
            <w:tcW w:w="537" w:type="pct"/>
            <w:vAlign w:val="center"/>
          </w:tcPr>
          <w:p w14:paraId="105CB58A" w14:textId="77777777" w:rsidR="00577D08" w:rsidRDefault="00577D08"/>
        </w:tc>
      </w:tr>
      <w:tr w:rsidR="00577D08" w14:paraId="1F8E5CD4" w14:textId="77777777">
        <w:trPr>
          <w:trHeight w:val="165"/>
        </w:trPr>
        <w:tc>
          <w:tcPr>
            <w:tcW w:w="691" w:type="pct"/>
            <w:vMerge/>
            <w:vAlign w:val="center"/>
          </w:tcPr>
          <w:p w14:paraId="3F5D949F" w14:textId="77777777" w:rsidR="00577D08" w:rsidRDefault="00577D08"/>
        </w:tc>
        <w:tc>
          <w:tcPr>
            <w:tcW w:w="648" w:type="pct"/>
          </w:tcPr>
          <w:p w14:paraId="041B6C5C" w14:textId="77777777" w:rsidR="00577D08" w:rsidRDefault="00330FC0">
            <w:r>
              <w:rPr>
                <w:rFonts w:hint="eastAsia"/>
              </w:rPr>
              <w:t>合计</w:t>
            </w:r>
          </w:p>
        </w:tc>
        <w:tc>
          <w:tcPr>
            <w:tcW w:w="658" w:type="pct"/>
          </w:tcPr>
          <w:p w14:paraId="2B18BBAC" w14:textId="77777777" w:rsidR="00577D08" w:rsidRDefault="00330FC0">
            <w:pPr>
              <w:jc w:val="right"/>
            </w:pPr>
            <w:r>
              <w:t xml:space="preserve">217,885.64 </w:t>
            </w:r>
          </w:p>
        </w:tc>
        <w:tc>
          <w:tcPr>
            <w:tcW w:w="633" w:type="pct"/>
          </w:tcPr>
          <w:p w14:paraId="6EE47C70" w14:textId="77777777" w:rsidR="00577D08" w:rsidRDefault="00330FC0">
            <w:pPr>
              <w:jc w:val="right"/>
            </w:pPr>
            <w:r>
              <w:t xml:space="preserve"> 100.00 </w:t>
            </w:r>
          </w:p>
        </w:tc>
        <w:tc>
          <w:tcPr>
            <w:tcW w:w="658" w:type="pct"/>
          </w:tcPr>
          <w:p w14:paraId="4E86D56A" w14:textId="77777777" w:rsidR="00577D08" w:rsidRDefault="00330FC0">
            <w:pPr>
              <w:jc w:val="right"/>
            </w:pPr>
            <w:r>
              <w:t xml:space="preserve">165,299.10 </w:t>
            </w:r>
          </w:p>
        </w:tc>
        <w:tc>
          <w:tcPr>
            <w:tcW w:w="595" w:type="pct"/>
          </w:tcPr>
          <w:p w14:paraId="25B61FBF" w14:textId="77777777" w:rsidR="00577D08" w:rsidRDefault="00330FC0">
            <w:pPr>
              <w:jc w:val="right"/>
            </w:pPr>
            <w:r>
              <w:t xml:space="preserve"> 100.00 </w:t>
            </w:r>
          </w:p>
        </w:tc>
        <w:tc>
          <w:tcPr>
            <w:tcW w:w="580" w:type="pct"/>
          </w:tcPr>
          <w:p w14:paraId="56ECACDD" w14:textId="77777777" w:rsidR="00577D08" w:rsidRDefault="00330FC0">
            <w:pPr>
              <w:jc w:val="right"/>
            </w:pPr>
            <w:r>
              <w:t xml:space="preserve"> 31.81 </w:t>
            </w:r>
          </w:p>
        </w:tc>
        <w:tc>
          <w:tcPr>
            <w:tcW w:w="537" w:type="pct"/>
            <w:vAlign w:val="center"/>
          </w:tcPr>
          <w:p w14:paraId="50B08941" w14:textId="77777777" w:rsidR="00577D08" w:rsidRDefault="00577D08"/>
        </w:tc>
      </w:tr>
      <w:tr w:rsidR="00577D08" w14:paraId="1CC8D968" w14:textId="77777777">
        <w:trPr>
          <w:trHeight w:val="105"/>
        </w:trPr>
        <w:sdt>
          <w:sdtPr>
            <w:tag w:val="_PLD_0092d9f33f1f4ccb96da6cc52c190e39"/>
            <w:id w:val="288094603"/>
          </w:sdtPr>
          <w:sdtContent>
            <w:tc>
              <w:tcPr>
                <w:tcW w:w="5000" w:type="pct"/>
                <w:gridSpan w:val="8"/>
                <w:vAlign w:val="center"/>
              </w:tcPr>
              <w:p w14:paraId="338BFF2B" w14:textId="77777777" w:rsidR="00577D08" w:rsidRDefault="00330FC0">
                <w:pPr>
                  <w:jc w:val="center"/>
                </w:pPr>
                <w:r>
                  <w:t>分产品情况</w:t>
                </w:r>
              </w:p>
            </w:tc>
          </w:sdtContent>
        </w:sdt>
      </w:tr>
      <w:tr w:rsidR="00577D08" w14:paraId="49320889" w14:textId="77777777">
        <w:trPr>
          <w:trHeight w:val="132"/>
        </w:trPr>
        <w:sdt>
          <w:sdtPr>
            <w:tag w:val="_PLD_c196e3eb716a4b75bda8de0a1a1a5780"/>
            <w:id w:val="-1481300766"/>
          </w:sdtPr>
          <w:sdtContent>
            <w:tc>
              <w:tcPr>
                <w:tcW w:w="691" w:type="pct"/>
                <w:vAlign w:val="center"/>
              </w:tcPr>
              <w:p w14:paraId="60493AE1" w14:textId="77777777" w:rsidR="00577D08" w:rsidRDefault="00330FC0">
                <w:pPr>
                  <w:jc w:val="center"/>
                </w:pPr>
                <w:r>
                  <w:t>分</w:t>
                </w:r>
                <w:r>
                  <w:rPr>
                    <w:rFonts w:hint="eastAsia"/>
                  </w:rPr>
                  <w:t>产品</w:t>
                </w:r>
              </w:p>
            </w:tc>
          </w:sdtContent>
        </w:sdt>
        <w:sdt>
          <w:sdtPr>
            <w:tag w:val="_PLD_9a4782df875a421fa22d5bb28b135494"/>
            <w:id w:val="1373105739"/>
          </w:sdtPr>
          <w:sdtContent>
            <w:tc>
              <w:tcPr>
                <w:tcW w:w="648" w:type="pct"/>
                <w:vAlign w:val="center"/>
              </w:tcPr>
              <w:p w14:paraId="7464AA3E" w14:textId="77777777" w:rsidR="00577D08" w:rsidRDefault="00330FC0">
                <w:pPr>
                  <w:jc w:val="center"/>
                </w:pPr>
                <w:r>
                  <w:t>成本构成项目</w:t>
                </w:r>
              </w:p>
            </w:tc>
          </w:sdtContent>
        </w:sdt>
        <w:sdt>
          <w:sdtPr>
            <w:tag w:val="_PLD_3ddf6750761e4cb5a3c10274752059ad"/>
            <w:id w:val="413438065"/>
          </w:sdtPr>
          <w:sdtContent>
            <w:tc>
              <w:tcPr>
                <w:tcW w:w="658" w:type="pct"/>
                <w:vAlign w:val="center"/>
              </w:tcPr>
              <w:p w14:paraId="54E40AED" w14:textId="77777777" w:rsidR="00577D08" w:rsidRDefault="00330FC0">
                <w:pPr>
                  <w:jc w:val="center"/>
                </w:pPr>
                <w:r>
                  <w:t>本期金额</w:t>
                </w:r>
              </w:p>
            </w:tc>
          </w:sdtContent>
        </w:sdt>
        <w:sdt>
          <w:sdtPr>
            <w:tag w:val="_PLD_dcb03e51a739483781a7336e1a9b6c53"/>
            <w:id w:val="-1887861557"/>
          </w:sdtPr>
          <w:sdtContent>
            <w:tc>
              <w:tcPr>
                <w:tcW w:w="633" w:type="pct"/>
                <w:vAlign w:val="center"/>
              </w:tcPr>
              <w:p w14:paraId="4B84106C" w14:textId="77777777" w:rsidR="00577D08" w:rsidRDefault="00330FC0">
                <w:pPr>
                  <w:jc w:val="center"/>
                </w:pPr>
                <w:r>
                  <w:t>本期占总成本比例</w:t>
                </w:r>
                <w:r>
                  <w:t>(</w:t>
                </w:r>
                <w:r>
                  <w:rPr>
                    <w:rFonts w:hint="eastAsia"/>
                  </w:rPr>
                  <w:t>%</w:t>
                </w:r>
                <w:r>
                  <w:t>)</w:t>
                </w:r>
              </w:p>
            </w:tc>
          </w:sdtContent>
        </w:sdt>
        <w:sdt>
          <w:sdtPr>
            <w:tag w:val="_PLD_fe6b2171d862410980857c00f504b451"/>
            <w:id w:val="-1059086928"/>
          </w:sdtPr>
          <w:sdtContent>
            <w:tc>
              <w:tcPr>
                <w:tcW w:w="658" w:type="pct"/>
                <w:vAlign w:val="center"/>
              </w:tcPr>
              <w:p w14:paraId="2476CF69" w14:textId="77777777" w:rsidR="00577D08" w:rsidRDefault="00330FC0">
                <w:pPr>
                  <w:jc w:val="center"/>
                </w:pPr>
                <w:r>
                  <w:t>上年同期金额</w:t>
                </w:r>
              </w:p>
            </w:tc>
          </w:sdtContent>
        </w:sdt>
        <w:sdt>
          <w:sdtPr>
            <w:tag w:val="_PLD_4cf5110e7be04df78012e249a0900292"/>
            <w:id w:val="-894425067"/>
          </w:sdtPr>
          <w:sdtContent>
            <w:tc>
              <w:tcPr>
                <w:tcW w:w="595" w:type="pct"/>
                <w:vAlign w:val="center"/>
              </w:tcPr>
              <w:p w14:paraId="7CFFB041" w14:textId="77777777" w:rsidR="00577D08" w:rsidRDefault="00330FC0">
                <w:pPr>
                  <w:jc w:val="center"/>
                </w:pPr>
                <w:r>
                  <w:t>上年同期占总成本比例</w:t>
                </w:r>
                <w:r>
                  <w:t>(</w:t>
                </w:r>
                <w:r>
                  <w:rPr>
                    <w:rFonts w:hint="eastAsia"/>
                  </w:rPr>
                  <w:t>%</w:t>
                </w:r>
                <w:r>
                  <w:t>)</w:t>
                </w:r>
              </w:p>
            </w:tc>
          </w:sdtContent>
        </w:sdt>
        <w:sdt>
          <w:sdtPr>
            <w:tag w:val="_PLD_efbc8491fdf34506bf7690ab3a8f6402"/>
            <w:id w:val="196668123"/>
          </w:sdtPr>
          <w:sdtContent>
            <w:tc>
              <w:tcPr>
                <w:tcW w:w="580" w:type="pct"/>
                <w:vAlign w:val="center"/>
              </w:tcPr>
              <w:p w14:paraId="7819A7E5" w14:textId="77777777" w:rsidR="00577D08" w:rsidRDefault="00330FC0">
                <w:pPr>
                  <w:jc w:val="center"/>
                </w:pPr>
                <w:r>
                  <w:t>本期金额较上年同期变动比例</w:t>
                </w:r>
                <w:r>
                  <w:t>(</w:t>
                </w:r>
                <w:r>
                  <w:rPr>
                    <w:rFonts w:hint="eastAsia"/>
                  </w:rPr>
                  <w:t>%</w:t>
                </w:r>
                <w:r>
                  <w:t>)</w:t>
                </w:r>
              </w:p>
            </w:tc>
          </w:sdtContent>
        </w:sdt>
        <w:sdt>
          <w:sdtPr>
            <w:tag w:val="_PLD_b8e943b8220340c7810a554346594426"/>
            <w:id w:val="1057278403"/>
          </w:sdtPr>
          <w:sdtContent>
            <w:tc>
              <w:tcPr>
                <w:tcW w:w="537" w:type="pct"/>
                <w:vAlign w:val="center"/>
              </w:tcPr>
              <w:p w14:paraId="0B4AE6D1" w14:textId="77777777" w:rsidR="00577D08" w:rsidRDefault="00330FC0">
                <w:pPr>
                  <w:jc w:val="center"/>
                </w:pPr>
                <w:r>
                  <w:t>情况</w:t>
                </w:r>
              </w:p>
              <w:p w14:paraId="5385A5AF" w14:textId="77777777" w:rsidR="00577D08" w:rsidRDefault="00330FC0">
                <w:pPr>
                  <w:jc w:val="center"/>
                </w:pPr>
                <w:r>
                  <w:t>说明</w:t>
                </w:r>
              </w:p>
            </w:tc>
          </w:sdtContent>
        </w:sdt>
      </w:tr>
      <w:tr w:rsidR="00577D08" w14:paraId="6C705A94" w14:textId="77777777">
        <w:trPr>
          <w:trHeight w:val="165"/>
        </w:trPr>
        <w:tc>
          <w:tcPr>
            <w:tcW w:w="691" w:type="pct"/>
            <w:vMerge w:val="restart"/>
            <w:vAlign w:val="center"/>
          </w:tcPr>
          <w:p w14:paraId="1F7E4112" w14:textId="77777777" w:rsidR="00577D08" w:rsidRDefault="00330FC0">
            <w:r>
              <w:rPr>
                <w:rFonts w:hint="eastAsia"/>
              </w:rPr>
              <w:t>取向硅钢</w:t>
            </w:r>
          </w:p>
        </w:tc>
        <w:tc>
          <w:tcPr>
            <w:tcW w:w="648" w:type="pct"/>
            <w:tcBorders>
              <w:bottom w:val="single" w:sz="4" w:space="0" w:color="auto"/>
            </w:tcBorders>
          </w:tcPr>
          <w:p w14:paraId="49930616" w14:textId="77777777" w:rsidR="00577D08" w:rsidRDefault="00330FC0">
            <w:r>
              <w:rPr>
                <w:rFonts w:hint="eastAsia"/>
              </w:rPr>
              <w:t>直接材料</w:t>
            </w:r>
          </w:p>
        </w:tc>
        <w:tc>
          <w:tcPr>
            <w:tcW w:w="658" w:type="pct"/>
            <w:tcBorders>
              <w:bottom w:val="single" w:sz="4" w:space="0" w:color="auto"/>
            </w:tcBorders>
          </w:tcPr>
          <w:p w14:paraId="285D5CD3" w14:textId="77777777" w:rsidR="00577D08" w:rsidRDefault="00330FC0">
            <w:pPr>
              <w:jc w:val="right"/>
            </w:pPr>
            <w:r>
              <w:t xml:space="preserve"> 70,335.25 </w:t>
            </w:r>
          </w:p>
        </w:tc>
        <w:tc>
          <w:tcPr>
            <w:tcW w:w="633" w:type="pct"/>
            <w:tcBorders>
              <w:bottom w:val="single" w:sz="4" w:space="0" w:color="auto"/>
            </w:tcBorders>
          </w:tcPr>
          <w:p w14:paraId="20BED489" w14:textId="77777777" w:rsidR="00577D08" w:rsidRDefault="00330FC0">
            <w:pPr>
              <w:jc w:val="right"/>
            </w:pPr>
            <w:r>
              <w:t xml:space="preserve"> 60.07 </w:t>
            </w:r>
          </w:p>
        </w:tc>
        <w:tc>
          <w:tcPr>
            <w:tcW w:w="658" w:type="pct"/>
            <w:tcBorders>
              <w:bottom w:val="single" w:sz="4" w:space="0" w:color="auto"/>
            </w:tcBorders>
          </w:tcPr>
          <w:p w14:paraId="53EC42FE" w14:textId="77777777" w:rsidR="00577D08" w:rsidRDefault="00330FC0">
            <w:pPr>
              <w:jc w:val="right"/>
            </w:pPr>
            <w:r>
              <w:t xml:space="preserve"> 81,285.29 </w:t>
            </w:r>
          </w:p>
        </w:tc>
        <w:tc>
          <w:tcPr>
            <w:tcW w:w="595" w:type="pct"/>
            <w:tcBorders>
              <w:bottom w:val="single" w:sz="4" w:space="0" w:color="auto"/>
            </w:tcBorders>
          </w:tcPr>
          <w:p w14:paraId="29D2DF18" w14:textId="77777777" w:rsidR="00577D08" w:rsidRDefault="00330FC0">
            <w:pPr>
              <w:jc w:val="right"/>
            </w:pPr>
            <w:r>
              <w:t xml:space="preserve"> 64.89 </w:t>
            </w:r>
          </w:p>
        </w:tc>
        <w:tc>
          <w:tcPr>
            <w:tcW w:w="580" w:type="pct"/>
            <w:tcBorders>
              <w:bottom w:val="single" w:sz="4" w:space="0" w:color="auto"/>
            </w:tcBorders>
          </w:tcPr>
          <w:p w14:paraId="19C566E0" w14:textId="77777777" w:rsidR="00577D08" w:rsidRDefault="00330FC0">
            <w:pPr>
              <w:jc w:val="right"/>
            </w:pPr>
            <w:r>
              <w:t xml:space="preserve"> -13.47 </w:t>
            </w:r>
          </w:p>
        </w:tc>
        <w:tc>
          <w:tcPr>
            <w:tcW w:w="537" w:type="pct"/>
            <w:tcBorders>
              <w:bottom w:val="single" w:sz="4" w:space="0" w:color="auto"/>
            </w:tcBorders>
            <w:vAlign w:val="center"/>
          </w:tcPr>
          <w:p w14:paraId="450859F8" w14:textId="77777777" w:rsidR="00577D08" w:rsidRDefault="00577D08"/>
        </w:tc>
      </w:tr>
      <w:tr w:rsidR="00577D08" w14:paraId="3E95620E" w14:textId="77777777">
        <w:trPr>
          <w:trHeight w:val="165"/>
        </w:trPr>
        <w:tc>
          <w:tcPr>
            <w:tcW w:w="691" w:type="pct"/>
            <w:vMerge/>
            <w:vAlign w:val="center"/>
          </w:tcPr>
          <w:p w14:paraId="2D4FD7A7" w14:textId="77777777" w:rsidR="00577D08" w:rsidRDefault="00577D08"/>
        </w:tc>
        <w:tc>
          <w:tcPr>
            <w:tcW w:w="648" w:type="pct"/>
            <w:tcBorders>
              <w:bottom w:val="single" w:sz="4" w:space="0" w:color="auto"/>
            </w:tcBorders>
          </w:tcPr>
          <w:p w14:paraId="6B10ED1E" w14:textId="77777777" w:rsidR="00577D08" w:rsidRDefault="00330FC0">
            <w:r>
              <w:rPr>
                <w:rFonts w:hint="eastAsia"/>
              </w:rPr>
              <w:t>直接人工</w:t>
            </w:r>
          </w:p>
        </w:tc>
        <w:tc>
          <w:tcPr>
            <w:tcW w:w="658" w:type="pct"/>
            <w:tcBorders>
              <w:bottom w:val="single" w:sz="4" w:space="0" w:color="auto"/>
            </w:tcBorders>
          </w:tcPr>
          <w:p w14:paraId="036594BC" w14:textId="77777777" w:rsidR="00577D08" w:rsidRDefault="00330FC0">
            <w:pPr>
              <w:jc w:val="right"/>
            </w:pPr>
            <w:r>
              <w:t xml:space="preserve"> 2,334.73 </w:t>
            </w:r>
          </w:p>
        </w:tc>
        <w:tc>
          <w:tcPr>
            <w:tcW w:w="633" w:type="pct"/>
            <w:tcBorders>
              <w:bottom w:val="single" w:sz="4" w:space="0" w:color="auto"/>
            </w:tcBorders>
          </w:tcPr>
          <w:p w14:paraId="6B079516" w14:textId="77777777" w:rsidR="00577D08" w:rsidRDefault="00330FC0">
            <w:pPr>
              <w:jc w:val="right"/>
            </w:pPr>
            <w:r>
              <w:t xml:space="preserve"> 1.99 </w:t>
            </w:r>
          </w:p>
        </w:tc>
        <w:tc>
          <w:tcPr>
            <w:tcW w:w="658" w:type="pct"/>
            <w:tcBorders>
              <w:bottom w:val="single" w:sz="4" w:space="0" w:color="auto"/>
            </w:tcBorders>
          </w:tcPr>
          <w:p w14:paraId="1CEF4DF4" w14:textId="77777777" w:rsidR="00577D08" w:rsidRDefault="00330FC0">
            <w:pPr>
              <w:jc w:val="right"/>
            </w:pPr>
            <w:r>
              <w:t xml:space="preserve"> 2,338.07 </w:t>
            </w:r>
          </w:p>
        </w:tc>
        <w:tc>
          <w:tcPr>
            <w:tcW w:w="595" w:type="pct"/>
            <w:tcBorders>
              <w:bottom w:val="single" w:sz="4" w:space="0" w:color="auto"/>
            </w:tcBorders>
          </w:tcPr>
          <w:p w14:paraId="238E3EEB" w14:textId="77777777" w:rsidR="00577D08" w:rsidRDefault="00330FC0">
            <w:pPr>
              <w:jc w:val="right"/>
            </w:pPr>
            <w:r>
              <w:t xml:space="preserve"> 1.87 </w:t>
            </w:r>
          </w:p>
        </w:tc>
        <w:tc>
          <w:tcPr>
            <w:tcW w:w="580" w:type="pct"/>
            <w:tcBorders>
              <w:bottom w:val="single" w:sz="4" w:space="0" w:color="auto"/>
            </w:tcBorders>
          </w:tcPr>
          <w:p w14:paraId="23107678" w14:textId="77777777" w:rsidR="00577D08" w:rsidRDefault="00330FC0">
            <w:pPr>
              <w:jc w:val="right"/>
            </w:pPr>
            <w:r>
              <w:t xml:space="preserve"> -0.14 </w:t>
            </w:r>
          </w:p>
        </w:tc>
        <w:tc>
          <w:tcPr>
            <w:tcW w:w="537" w:type="pct"/>
            <w:tcBorders>
              <w:bottom w:val="single" w:sz="4" w:space="0" w:color="auto"/>
            </w:tcBorders>
            <w:vAlign w:val="center"/>
          </w:tcPr>
          <w:p w14:paraId="499D9CCE" w14:textId="77777777" w:rsidR="00577D08" w:rsidRDefault="00577D08"/>
        </w:tc>
      </w:tr>
      <w:tr w:rsidR="00577D08" w14:paraId="408622AD" w14:textId="77777777">
        <w:trPr>
          <w:trHeight w:val="165"/>
        </w:trPr>
        <w:tc>
          <w:tcPr>
            <w:tcW w:w="691" w:type="pct"/>
            <w:vMerge/>
            <w:vAlign w:val="center"/>
          </w:tcPr>
          <w:p w14:paraId="03DF770D" w14:textId="77777777" w:rsidR="00577D08" w:rsidRDefault="00577D08"/>
        </w:tc>
        <w:tc>
          <w:tcPr>
            <w:tcW w:w="648" w:type="pct"/>
            <w:tcBorders>
              <w:bottom w:val="single" w:sz="4" w:space="0" w:color="auto"/>
            </w:tcBorders>
          </w:tcPr>
          <w:p w14:paraId="2EE6D789" w14:textId="77777777" w:rsidR="00577D08" w:rsidRDefault="00330FC0">
            <w:r>
              <w:rPr>
                <w:rFonts w:hint="eastAsia"/>
              </w:rPr>
              <w:t>其他费用</w:t>
            </w:r>
          </w:p>
        </w:tc>
        <w:tc>
          <w:tcPr>
            <w:tcW w:w="658" w:type="pct"/>
            <w:tcBorders>
              <w:bottom w:val="single" w:sz="4" w:space="0" w:color="auto"/>
            </w:tcBorders>
          </w:tcPr>
          <w:p w14:paraId="68E763E1" w14:textId="77777777" w:rsidR="00577D08" w:rsidRDefault="00330FC0">
            <w:pPr>
              <w:jc w:val="right"/>
            </w:pPr>
            <w:r>
              <w:t xml:space="preserve"> 44,412.81 </w:t>
            </w:r>
          </w:p>
        </w:tc>
        <w:tc>
          <w:tcPr>
            <w:tcW w:w="633" w:type="pct"/>
            <w:tcBorders>
              <w:bottom w:val="single" w:sz="4" w:space="0" w:color="auto"/>
            </w:tcBorders>
          </w:tcPr>
          <w:p w14:paraId="0FEFA906" w14:textId="77777777" w:rsidR="00577D08" w:rsidRDefault="00330FC0">
            <w:pPr>
              <w:jc w:val="right"/>
            </w:pPr>
            <w:r>
              <w:t xml:space="preserve"> 37.93 </w:t>
            </w:r>
          </w:p>
        </w:tc>
        <w:tc>
          <w:tcPr>
            <w:tcW w:w="658" w:type="pct"/>
            <w:tcBorders>
              <w:bottom w:val="single" w:sz="4" w:space="0" w:color="auto"/>
            </w:tcBorders>
          </w:tcPr>
          <w:p w14:paraId="78340F70" w14:textId="77777777" w:rsidR="00577D08" w:rsidRDefault="00330FC0">
            <w:pPr>
              <w:jc w:val="right"/>
            </w:pPr>
            <w:r>
              <w:t xml:space="preserve"> 41,641.91 </w:t>
            </w:r>
          </w:p>
        </w:tc>
        <w:tc>
          <w:tcPr>
            <w:tcW w:w="595" w:type="pct"/>
            <w:tcBorders>
              <w:bottom w:val="single" w:sz="4" w:space="0" w:color="auto"/>
            </w:tcBorders>
          </w:tcPr>
          <w:p w14:paraId="004127BD" w14:textId="77777777" w:rsidR="00577D08" w:rsidRDefault="00330FC0">
            <w:pPr>
              <w:jc w:val="right"/>
            </w:pPr>
            <w:r>
              <w:t xml:space="preserve"> 33.24 </w:t>
            </w:r>
          </w:p>
        </w:tc>
        <w:tc>
          <w:tcPr>
            <w:tcW w:w="580" w:type="pct"/>
            <w:tcBorders>
              <w:bottom w:val="single" w:sz="4" w:space="0" w:color="auto"/>
            </w:tcBorders>
          </w:tcPr>
          <w:p w14:paraId="5E9E2E70" w14:textId="77777777" w:rsidR="00577D08" w:rsidRDefault="00330FC0">
            <w:pPr>
              <w:jc w:val="right"/>
            </w:pPr>
            <w:r>
              <w:t xml:space="preserve"> 6.65 </w:t>
            </w:r>
          </w:p>
        </w:tc>
        <w:tc>
          <w:tcPr>
            <w:tcW w:w="537" w:type="pct"/>
            <w:tcBorders>
              <w:bottom w:val="single" w:sz="4" w:space="0" w:color="auto"/>
            </w:tcBorders>
            <w:vAlign w:val="center"/>
          </w:tcPr>
          <w:p w14:paraId="7568620A" w14:textId="77777777" w:rsidR="00577D08" w:rsidRDefault="00577D08"/>
        </w:tc>
      </w:tr>
      <w:tr w:rsidR="00577D08" w14:paraId="114F2811" w14:textId="77777777">
        <w:trPr>
          <w:trHeight w:val="165"/>
        </w:trPr>
        <w:tc>
          <w:tcPr>
            <w:tcW w:w="691" w:type="pct"/>
            <w:vMerge/>
            <w:tcBorders>
              <w:bottom w:val="single" w:sz="4" w:space="0" w:color="auto"/>
            </w:tcBorders>
            <w:vAlign w:val="center"/>
          </w:tcPr>
          <w:p w14:paraId="74ED293A" w14:textId="77777777" w:rsidR="00577D08" w:rsidRDefault="00577D08"/>
        </w:tc>
        <w:tc>
          <w:tcPr>
            <w:tcW w:w="648" w:type="pct"/>
            <w:tcBorders>
              <w:bottom w:val="single" w:sz="4" w:space="0" w:color="auto"/>
            </w:tcBorders>
          </w:tcPr>
          <w:p w14:paraId="495382DE" w14:textId="77777777" w:rsidR="00577D08" w:rsidRDefault="00330FC0">
            <w:r>
              <w:rPr>
                <w:rFonts w:hint="eastAsia"/>
              </w:rPr>
              <w:t>合计</w:t>
            </w:r>
          </w:p>
        </w:tc>
        <w:tc>
          <w:tcPr>
            <w:tcW w:w="658" w:type="pct"/>
            <w:tcBorders>
              <w:bottom w:val="single" w:sz="4" w:space="0" w:color="auto"/>
            </w:tcBorders>
          </w:tcPr>
          <w:p w14:paraId="23D04E99" w14:textId="77777777" w:rsidR="00577D08" w:rsidRDefault="00330FC0">
            <w:pPr>
              <w:jc w:val="right"/>
            </w:pPr>
            <w:r>
              <w:t xml:space="preserve">117,082.78 </w:t>
            </w:r>
          </w:p>
        </w:tc>
        <w:tc>
          <w:tcPr>
            <w:tcW w:w="633" w:type="pct"/>
            <w:tcBorders>
              <w:bottom w:val="single" w:sz="4" w:space="0" w:color="auto"/>
            </w:tcBorders>
          </w:tcPr>
          <w:p w14:paraId="09641628" w14:textId="77777777" w:rsidR="00577D08" w:rsidRDefault="00330FC0">
            <w:pPr>
              <w:jc w:val="right"/>
            </w:pPr>
            <w:r>
              <w:t xml:space="preserve"> 100.00 </w:t>
            </w:r>
          </w:p>
        </w:tc>
        <w:tc>
          <w:tcPr>
            <w:tcW w:w="658" w:type="pct"/>
            <w:tcBorders>
              <w:bottom w:val="single" w:sz="4" w:space="0" w:color="auto"/>
            </w:tcBorders>
          </w:tcPr>
          <w:p w14:paraId="5FB2B673" w14:textId="77777777" w:rsidR="00577D08" w:rsidRDefault="00330FC0">
            <w:pPr>
              <w:jc w:val="right"/>
            </w:pPr>
            <w:r>
              <w:t xml:space="preserve">125,265.27 </w:t>
            </w:r>
          </w:p>
        </w:tc>
        <w:tc>
          <w:tcPr>
            <w:tcW w:w="595" w:type="pct"/>
            <w:tcBorders>
              <w:bottom w:val="single" w:sz="4" w:space="0" w:color="auto"/>
            </w:tcBorders>
          </w:tcPr>
          <w:p w14:paraId="660E4346" w14:textId="77777777" w:rsidR="00577D08" w:rsidRDefault="00330FC0">
            <w:pPr>
              <w:jc w:val="right"/>
            </w:pPr>
            <w:r>
              <w:t xml:space="preserve"> 100.00 </w:t>
            </w:r>
          </w:p>
        </w:tc>
        <w:tc>
          <w:tcPr>
            <w:tcW w:w="580" w:type="pct"/>
            <w:tcBorders>
              <w:bottom w:val="single" w:sz="4" w:space="0" w:color="auto"/>
            </w:tcBorders>
          </w:tcPr>
          <w:p w14:paraId="4C37CB0A" w14:textId="77777777" w:rsidR="00577D08" w:rsidRDefault="00330FC0">
            <w:pPr>
              <w:jc w:val="right"/>
            </w:pPr>
            <w:r>
              <w:t xml:space="preserve"> -6.53 </w:t>
            </w:r>
          </w:p>
        </w:tc>
        <w:tc>
          <w:tcPr>
            <w:tcW w:w="537" w:type="pct"/>
            <w:tcBorders>
              <w:bottom w:val="single" w:sz="4" w:space="0" w:color="auto"/>
            </w:tcBorders>
            <w:vAlign w:val="center"/>
          </w:tcPr>
          <w:p w14:paraId="13752D15" w14:textId="77777777" w:rsidR="00577D08" w:rsidRDefault="00577D08"/>
        </w:tc>
      </w:tr>
      <w:tr w:rsidR="00577D08" w14:paraId="20E5CC28" w14:textId="77777777">
        <w:trPr>
          <w:trHeight w:val="165"/>
        </w:trPr>
        <w:tc>
          <w:tcPr>
            <w:tcW w:w="691" w:type="pct"/>
            <w:vMerge w:val="restart"/>
            <w:vAlign w:val="center"/>
          </w:tcPr>
          <w:p w14:paraId="24C0D8D0" w14:textId="77777777" w:rsidR="00577D08" w:rsidRDefault="00330FC0">
            <w:r>
              <w:rPr>
                <w:rFonts w:hint="eastAsia"/>
              </w:rPr>
              <w:t>输配电及控制设备</w:t>
            </w:r>
          </w:p>
        </w:tc>
        <w:tc>
          <w:tcPr>
            <w:tcW w:w="648" w:type="pct"/>
            <w:tcBorders>
              <w:bottom w:val="single" w:sz="4" w:space="0" w:color="auto"/>
            </w:tcBorders>
          </w:tcPr>
          <w:p w14:paraId="154A65BA" w14:textId="77777777" w:rsidR="00577D08" w:rsidRDefault="00330FC0">
            <w:r>
              <w:rPr>
                <w:rFonts w:hint="eastAsia"/>
              </w:rPr>
              <w:t>直接材料</w:t>
            </w:r>
          </w:p>
        </w:tc>
        <w:tc>
          <w:tcPr>
            <w:tcW w:w="658" w:type="pct"/>
            <w:tcBorders>
              <w:bottom w:val="single" w:sz="4" w:space="0" w:color="auto"/>
            </w:tcBorders>
          </w:tcPr>
          <w:p w14:paraId="622D52F4" w14:textId="77777777" w:rsidR="00577D08" w:rsidRDefault="00330FC0">
            <w:pPr>
              <w:jc w:val="right"/>
            </w:pPr>
            <w:r>
              <w:t xml:space="preserve">183,781.83 </w:t>
            </w:r>
          </w:p>
        </w:tc>
        <w:tc>
          <w:tcPr>
            <w:tcW w:w="633" w:type="pct"/>
            <w:tcBorders>
              <w:bottom w:val="single" w:sz="4" w:space="0" w:color="auto"/>
            </w:tcBorders>
          </w:tcPr>
          <w:p w14:paraId="7FD4584B" w14:textId="77777777" w:rsidR="00577D08" w:rsidRDefault="00330FC0">
            <w:pPr>
              <w:jc w:val="right"/>
            </w:pPr>
            <w:r>
              <w:t xml:space="preserve"> 84.35 </w:t>
            </w:r>
          </w:p>
        </w:tc>
        <w:tc>
          <w:tcPr>
            <w:tcW w:w="658" w:type="pct"/>
            <w:tcBorders>
              <w:bottom w:val="single" w:sz="4" w:space="0" w:color="auto"/>
            </w:tcBorders>
          </w:tcPr>
          <w:p w14:paraId="104C268A" w14:textId="77777777" w:rsidR="00577D08" w:rsidRDefault="00330FC0">
            <w:pPr>
              <w:jc w:val="right"/>
            </w:pPr>
            <w:r>
              <w:t xml:space="preserve">146,827.06 </w:t>
            </w:r>
          </w:p>
        </w:tc>
        <w:tc>
          <w:tcPr>
            <w:tcW w:w="595" w:type="pct"/>
            <w:tcBorders>
              <w:bottom w:val="single" w:sz="4" w:space="0" w:color="auto"/>
            </w:tcBorders>
          </w:tcPr>
          <w:p w14:paraId="546F482F" w14:textId="77777777" w:rsidR="00577D08" w:rsidRDefault="00330FC0">
            <w:pPr>
              <w:jc w:val="right"/>
            </w:pPr>
            <w:r>
              <w:t xml:space="preserve"> 88.83 </w:t>
            </w:r>
          </w:p>
        </w:tc>
        <w:tc>
          <w:tcPr>
            <w:tcW w:w="580" w:type="pct"/>
            <w:tcBorders>
              <w:bottom w:val="single" w:sz="4" w:space="0" w:color="auto"/>
            </w:tcBorders>
          </w:tcPr>
          <w:p w14:paraId="4C311AED" w14:textId="77777777" w:rsidR="00577D08" w:rsidRDefault="00330FC0">
            <w:pPr>
              <w:jc w:val="right"/>
            </w:pPr>
            <w:r>
              <w:t xml:space="preserve"> 25.17 </w:t>
            </w:r>
          </w:p>
        </w:tc>
        <w:tc>
          <w:tcPr>
            <w:tcW w:w="537" w:type="pct"/>
            <w:tcBorders>
              <w:bottom w:val="single" w:sz="4" w:space="0" w:color="auto"/>
            </w:tcBorders>
            <w:vAlign w:val="center"/>
          </w:tcPr>
          <w:p w14:paraId="12E2C680" w14:textId="77777777" w:rsidR="00577D08" w:rsidRDefault="00577D08"/>
        </w:tc>
      </w:tr>
      <w:tr w:rsidR="00577D08" w14:paraId="246D7CAC" w14:textId="77777777">
        <w:trPr>
          <w:trHeight w:val="165"/>
        </w:trPr>
        <w:tc>
          <w:tcPr>
            <w:tcW w:w="691" w:type="pct"/>
            <w:vMerge/>
            <w:vAlign w:val="center"/>
          </w:tcPr>
          <w:p w14:paraId="2AD5E217" w14:textId="77777777" w:rsidR="00577D08" w:rsidRDefault="00577D08"/>
        </w:tc>
        <w:tc>
          <w:tcPr>
            <w:tcW w:w="648" w:type="pct"/>
            <w:tcBorders>
              <w:bottom w:val="single" w:sz="4" w:space="0" w:color="auto"/>
            </w:tcBorders>
          </w:tcPr>
          <w:p w14:paraId="6A4F51BD" w14:textId="77777777" w:rsidR="00577D08" w:rsidRDefault="00330FC0">
            <w:r>
              <w:rPr>
                <w:rFonts w:hint="eastAsia"/>
              </w:rPr>
              <w:t>直接人工</w:t>
            </w:r>
          </w:p>
        </w:tc>
        <w:tc>
          <w:tcPr>
            <w:tcW w:w="658" w:type="pct"/>
            <w:tcBorders>
              <w:bottom w:val="single" w:sz="4" w:space="0" w:color="auto"/>
            </w:tcBorders>
          </w:tcPr>
          <w:p w14:paraId="7FFFA123" w14:textId="77777777" w:rsidR="00577D08" w:rsidRDefault="00330FC0">
            <w:pPr>
              <w:jc w:val="right"/>
            </w:pPr>
            <w:r>
              <w:t xml:space="preserve"> 8,742.91 </w:t>
            </w:r>
          </w:p>
        </w:tc>
        <w:tc>
          <w:tcPr>
            <w:tcW w:w="633" w:type="pct"/>
            <w:tcBorders>
              <w:bottom w:val="single" w:sz="4" w:space="0" w:color="auto"/>
            </w:tcBorders>
          </w:tcPr>
          <w:p w14:paraId="0CD5C7FC" w14:textId="77777777" w:rsidR="00577D08" w:rsidRDefault="00330FC0">
            <w:pPr>
              <w:jc w:val="right"/>
            </w:pPr>
            <w:r>
              <w:t xml:space="preserve"> 4.01 </w:t>
            </w:r>
          </w:p>
        </w:tc>
        <w:tc>
          <w:tcPr>
            <w:tcW w:w="658" w:type="pct"/>
            <w:tcBorders>
              <w:bottom w:val="single" w:sz="4" w:space="0" w:color="auto"/>
            </w:tcBorders>
          </w:tcPr>
          <w:p w14:paraId="0065C33A" w14:textId="77777777" w:rsidR="00577D08" w:rsidRDefault="00330FC0">
            <w:pPr>
              <w:jc w:val="right"/>
            </w:pPr>
            <w:r>
              <w:t xml:space="preserve"> 6,974.97 </w:t>
            </w:r>
          </w:p>
        </w:tc>
        <w:tc>
          <w:tcPr>
            <w:tcW w:w="595" w:type="pct"/>
            <w:tcBorders>
              <w:bottom w:val="single" w:sz="4" w:space="0" w:color="auto"/>
            </w:tcBorders>
          </w:tcPr>
          <w:p w14:paraId="5AFF2FC8" w14:textId="77777777" w:rsidR="00577D08" w:rsidRDefault="00330FC0">
            <w:pPr>
              <w:jc w:val="right"/>
            </w:pPr>
            <w:r>
              <w:t xml:space="preserve"> 4.22 </w:t>
            </w:r>
          </w:p>
        </w:tc>
        <w:tc>
          <w:tcPr>
            <w:tcW w:w="580" w:type="pct"/>
            <w:tcBorders>
              <w:bottom w:val="single" w:sz="4" w:space="0" w:color="auto"/>
            </w:tcBorders>
          </w:tcPr>
          <w:p w14:paraId="0AD8EFD7" w14:textId="77777777" w:rsidR="00577D08" w:rsidRDefault="00330FC0">
            <w:pPr>
              <w:jc w:val="right"/>
            </w:pPr>
            <w:r>
              <w:t xml:space="preserve"> 25.35 </w:t>
            </w:r>
          </w:p>
        </w:tc>
        <w:tc>
          <w:tcPr>
            <w:tcW w:w="537" w:type="pct"/>
            <w:tcBorders>
              <w:bottom w:val="single" w:sz="4" w:space="0" w:color="auto"/>
            </w:tcBorders>
            <w:vAlign w:val="center"/>
          </w:tcPr>
          <w:p w14:paraId="3F75C759" w14:textId="77777777" w:rsidR="00577D08" w:rsidRDefault="00577D08"/>
        </w:tc>
      </w:tr>
      <w:tr w:rsidR="00577D08" w14:paraId="44666A0A" w14:textId="77777777">
        <w:trPr>
          <w:trHeight w:val="165"/>
        </w:trPr>
        <w:tc>
          <w:tcPr>
            <w:tcW w:w="691" w:type="pct"/>
            <w:vMerge/>
            <w:vAlign w:val="center"/>
          </w:tcPr>
          <w:p w14:paraId="17549613" w14:textId="77777777" w:rsidR="00577D08" w:rsidRDefault="00577D08"/>
        </w:tc>
        <w:tc>
          <w:tcPr>
            <w:tcW w:w="648" w:type="pct"/>
            <w:tcBorders>
              <w:bottom w:val="single" w:sz="4" w:space="0" w:color="auto"/>
            </w:tcBorders>
          </w:tcPr>
          <w:p w14:paraId="230E043C" w14:textId="77777777" w:rsidR="00577D08" w:rsidRDefault="00330FC0">
            <w:r>
              <w:rPr>
                <w:rFonts w:hint="eastAsia"/>
              </w:rPr>
              <w:t>其他费用</w:t>
            </w:r>
          </w:p>
        </w:tc>
        <w:tc>
          <w:tcPr>
            <w:tcW w:w="658" w:type="pct"/>
            <w:tcBorders>
              <w:bottom w:val="single" w:sz="4" w:space="0" w:color="auto"/>
            </w:tcBorders>
          </w:tcPr>
          <w:p w14:paraId="6BC54783" w14:textId="77777777" w:rsidR="00577D08" w:rsidRDefault="00330FC0">
            <w:pPr>
              <w:jc w:val="right"/>
            </w:pPr>
            <w:r>
              <w:t xml:space="preserve"> 25,360.90 </w:t>
            </w:r>
          </w:p>
        </w:tc>
        <w:tc>
          <w:tcPr>
            <w:tcW w:w="633" w:type="pct"/>
            <w:tcBorders>
              <w:bottom w:val="single" w:sz="4" w:space="0" w:color="auto"/>
            </w:tcBorders>
          </w:tcPr>
          <w:p w14:paraId="0A556501" w14:textId="77777777" w:rsidR="00577D08" w:rsidRDefault="00330FC0">
            <w:pPr>
              <w:jc w:val="right"/>
            </w:pPr>
            <w:r>
              <w:t xml:space="preserve"> 11.64 </w:t>
            </w:r>
          </w:p>
        </w:tc>
        <w:tc>
          <w:tcPr>
            <w:tcW w:w="658" w:type="pct"/>
            <w:tcBorders>
              <w:bottom w:val="single" w:sz="4" w:space="0" w:color="auto"/>
            </w:tcBorders>
          </w:tcPr>
          <w:p w14:paraId="091086F2" w14:textId="77777777" w:rsidR="00577D08" w:rsidRDefault="00330FC0">
            <w:pPr>
              <w:jc w:val="right"/>
            </w:pPr>
            <w:r>
              <w:t xml:space="preserve"> 11,497.07 </w:t>
            </w:r>
          </w:p>
        </w:tc>
        <w:tc>
          <w:tcPr>
            <w:tcW w:w="595" w:type="pct"/>
            <w:tcBorders>
              <w:bottom w:val="single" w:sz="4" w:space="0" w:color="auto"/>
            </w:tcBorders>
          </w:tcPr>
          <w:p w14:paraId="5A15B280" w14:textId="77777777" w:rsidR="00577D08" w:rsidRDefault="00330FC0">
            <w:pPr>
              <w:jc w:val="right"/>
            </w:pPr>
            <w:r>
              <w:t xml:space="preserve"> 6.96 </w:t>
            </w:r>
          </w:p>
        </w:tc>
        <w:tc>
          <w:tcPr>
            <w:tcW w:w="580" w:type="pct"/>
            <w:tcBorders>
              <w:bottom w:val="single" w:sz="4" w:space="0" w:color="auto"/>
            </w:tcBorders>
          </w:tcPr>
          <w:p w14:paraId="0D6DC85F" w14:textId="77777777" w:rsidR="00577D08" w:rsidRDefault="00330FC0">
            <w:pPr>
              <w:jc w:val="right"/>
            </w:pPr>
            <w:r>
              <w:t xml:space="preserve"> 120.59 </w:t>
            </w:r>
          </w:p>
        </w:tc>
        <w:tc>
          <w:tcPr>
            <w:tcW w:w="537" w:type="pct"/>
            <w:tcBorders>
              <w:bottom w:val="single" w:sz="4" w:space="0" w:color="auto"/>
            </w:tcBorders>
            <w:vAlign w:val="center"/>
          </w:tcPr>
          <w:p w14:paraId="47AC9F41" w14:textId="77777777" w:rsidR="00577D08" w:rsidRDefault="00577D08"/>
        </w:tc>
      </w:tr>
      <w:tr w:rsidR="00577D08" w14:paraId="10FDE25A" w14:textId="77777777">
        <w:trPr>
          <w:trHeight w:val="165"/>
        </w:trPr>
        <w:tc>
          <w:tcPr>
            <w:tcW w:w="691" w:type="pct"/>
            <w:vMerge/>
            <w:tcBorders>
              <w:bottom w:val="single" w:sz="4" w:space="0" w:color="auto"/>
            </w:tcBorders>
            <w:vAlign w:val="center"/>
          </w:tcPr>
          <w:p w14:paraId="27FECAEA" w14:textId="77777777" w:rsidR="00577D08" w:rsidRDefault="00577D08"/>
        </w:tc>
        <w:tc>
          <w:tcPr>
            <w:tcW w:w="648" w:type="pct"/>
            <w:tcBorders>
              <w:bottom w:val="single" w:sz="4" w:space="0" w:color="auto"/>
            </w:tcBorders>
          </w:tcPr>
          <w:p w14:paraId="74BB3F35" w14:textId="77777777" w:rsidR="00577D08" w:rsidRDefault="00330FC0">
            <w:r>
              <w:rPr>
                <w:rFonts w:hint="eastAsia"/>
              </w:rPr>
              <w:t>合计</w:t>
            </w:r>
          </w:p>
        </w:tc>
        <w:tc>
          <w:tcPr>
            <w:tcW w:w="658" w:type="pct"/>
            <w:tcBorders>
              <w:bottom w:val="single" w:sz="4" w:space="0" w:color="auto"/>
            </w:tcBorders>
          </w:tcPr>
          <w:p w14:paraId="4E74CA0A" w14:textId="77777777" w:rsidR="00577D08" w:rsidRDefault="00330FC0">
            <w:pPr>
              <w:jc w:val="right"/>
            </w:pPr>
            <w:r>
              <w:t xml:space="preserve">217,885.64 </w:t>
            </w:r>
          </w:p>
        </w:tc>
        <w:tc>
          <w:tcPr>
            <w:tcW w:w="633" w:type="pct"/>
            <w:tcBorders>
              <w:bottom w:val="single" w:sz="4" w:space="0" w:color="auto"/>
            </w:tcBorders>
          </w:tcPr>
          <w:p w14:paraId="7177D026" w14:textId="77777777" w:rsidR="00577D08" w:rsidRDefault="00330FC0">
            <w:pPr>
              <w:jc w:val="right"/>
            </w:pPr>
            <w:r>
              <w:t xml:space="preserve"> 100.00 </w:t>
            </w:r>
          </w:p>
        </w:tc>
        <w:tc>
          <w:tcPr>
            <w:tcW w:w="658" w:type="pct"/>
            <w:tcBorders>
              <w:bottom w:val="single" w:sz="4" w:space="0" w:color="auto"/>
            </w:tcBorders>
          </w:tcPr>
          <w:p w14:paraId="1C793EF0" w14:textId="77777777" w:rsidR="00577D08" w:rsidRDefault="00330FC0">
            <w:pPr>
              <w:jc w:val="right"/>
            </w:pPr>
            <w:r>
              <w:t xml:space="preserve">165,299.10 </w:t>
            </w:r>
          </w:p>
        </w:tc>
        <w:tc>
          <w:tcPr>
            <w:tcW w:w="595" w:type="pct"/>
            <w:tcBorders>
              <w:bottom w:val="single" w:sz="4" w:space="0" w:color="auto"/>
            </w:tcBorders>
          </w:tcPr>
          <w:p w14:paraId="72703DD9" w14:textId="77777777" w:rsidR="00577D08" w:rsidRDefault="00330FC0">
            <w:pPr>
              <w:jc w:val="right"/>
            </w:pPr>
            <w:r>
              <w:t xml:space="preserve"> 100.00 </w:t>
            </w:r>
          </w:p>
        </w:tc>
        <w:tc>
          <w:tcPr>
            <w:tcW w:w="580" w:type="pct"/>
            <w:tcBorders>
              <w:bottom w:val="single" w:sz="4" w:space="0" w:color="auto"/>
            </w:tcBorders>
          </w:tcPr>
          <w:p w14:paraId="5701A4AB" w14:textId="77777777" w:rsidR="00577D08" w:rsidRDefault="00330FC0">
            <w:pPr>
              <w:jc w:val="right"/>
            </w:pPr>
            <w:r>
              <w:t xml:space="preserve"> 31.81 </w:t>
            </w:r>
          </w:p>
        </w:tc>
        <w:tc>
          <w:tcPr>
            <w:tcW w:w="537" w:type="pct"/>
            <w:tcBorders>
              <w:bottom w:val="single" w:sz="4" w:space="0" w:color="auto"/>
            </w:tcBorders>
            <w:vAlign w:val="center"/>
          </w:tcPr>
          <w:p w14:paraId="75171141" w14:textId="77777777" w:rsidR="00577D08" w:rsidRDefault="00577D08"/>
        </w:tc>
      </w:tr>
    </w:tbl>
    <w:p w14:paraId="76E1545C" w14:textId="77777777" w:rsidR="00577D08" w:rsidRDefault="00330FC0">
      <w:pPr>
        <w:spacing w:beforeLines="100" w:before="240" w:line="360" w:lineRule="auto"/>
      </w:pPr>
      <w:r>
        <w:rPr>
          <w:rFonts w:hint="eastAsia"/>
        </w:rPr>
        <w:t>成本分析其他情况说明</w:t>
      </w:r>
    </w:p>
    <w:sdt>
      <w:sdtPr>
        <w:rPr>
          <w:rFonts w:hint="eastAsia"/>
        </w:rPr>
        <w:alias w:val="成本分析其他情况"/>
        <w:tag w:val="_GBC_93fdd34ed0d546d3bf448336c6187b3a"/>
        <w:id w:val="-1665922156"/>
        <w:placeholder>
          <w:docPart w:val="EFD3FF3855CE4AFD8CD1EB64DC1EC186"/>
        </w:placeholder>
      </w:sdtPr>
      <w:sdtContent>
        <w:p w14:paraId="3D6E3A12" w14:textId="7AFE8805" w:rsidR="00577D08" w:rsidRDefault="00330FC0">
          <w:r>
            <w:rPr>
              <w:rFonts w:hint="eastAsia"/>
            </w:rPr>
            <w:t>输配电及控制设备其他费用的增加主要系固定资产折旧费用和当期运输费用的增加所致。</w:t>
          </w:r>
        </w:p>
      </w:sdtContent>
    </w:sdt>
    <w:p w14:paraId="48B686B3" w14:textId="77777777" w:rsidR="00577D08" w:rsidRDefault="00330FC0">
      <w:pPr>
        <w:pStyle w:val="5"/>
        <w:numPr>
          <w:ilvl w:val="0"/>
          <w:numId w:val="10"/>
        </w:numPr>
        <w:tabs>
          <w:tab w:val="left" w:pos="567"/>
        </w:tabs>
        <w:ind w:leftChars="0"/>
        <w:rPr>
          <w:rFonts w:ascii="宋体" w:hAnsi="宋体" w:cs="宋体" w:hint="eastAsia"/>
          <w:kern w:val="0"/>
          <w:szCs w:val="24"/>
        </w:rPr>
      </w:pPr>
      <w:bookmarkStart w:id="107" w:name="_Hlk89876513"/>
      <w:r>
        <w:rPr>
          <w:rFonts w:ascii="宋体" w:hAnsi="宋体" w:cs="宋体"/>
          <w:kern w:val="0"/>
          <w:szCs w:val="24"/>
        </w:rPr>
        <w:t>报告期主要子公司股权变动导致合并范围变化</w:t>
      </w:r>
    </w:p>
    <w:sdt>
      <w:sdtPr>
        <w:alias w:val="是否适用：报告期主要子公司股权变动导致合并范围变化 [双击切换]"/>
        <w:tag w:val="_GBC_f684be8377fd464e8fc7d9a0e6df7b78"/>
        <w:id w:val="2013411443"/>
        <w:placeholder>
          <w:docPart w:val="EFD3FF3855CE4AFD8CD1EB64DC1EC186"/>
        </w:placeholder>
      </w:sdtPr>
      <w:sdtContent>
        <w:p w14:paraId="1D5A69C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098CE96" w14:textId="77777777" w:rsidR="00577D08" w:rsidRDefault="00330FC0">
      <w:pPr>
        <w:pStyle w:val="5"/>
        <w:numPr>
          <w:ilvl w:val="0"/>
          <w:numId w:val="10"/>
        </w:numPr>
        <w:tabs>
          <w:tab w:val="left" w:pos="567"/>
        </w:tabs>
        <w:ind w:leftChars="0"/>
        <w:rPr>
          <w:rFonts w:ascii="宋体" w:hAnsi="宋体" w:cs="宋体" w:hint="eastAsia"/>
          <w:kern w:val="0"/>
          <w:szCs w:val="24"/>
        </w:rPr>
      </w:pPr>
      <w:r>
        <w:rPr>
          <w:rFonts w:ascii="宋体" w:hAnsi="宋体" w:cs="宋体"/>
          <w:kern w:val="0"/>
          <w:szCs w:val="24"/>
        </w:rPr>
        <w:t>公司报告期内业务、产品或服务发生重大变化或调整有关情况</w:t>
      </w:r>
    </w:p>
    <w:sdt>
      <w:sdtPr>
        <w:alias w:val="是否适用：公司报告期内业务、产品或服务发生重大变化或调整有关情况  [双击切换]"/>
        <w:tag w:val="_GBC_f5a966f2eb244fd68a4bc2176691f92b"/>
        <w:id w:val="1697965849"/>
        <w:placeholder>
          <w:docPart w:val="EFD3FF3855CE4AFD8CD1EB64DC1EC186"/>
        </w:placeholder>
      </w:sdtPr>
      <w:sdtContent>
        <w:p w14:paraId="713A1B6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107"/>
    <w:p w14:paraId="5D3ACA49" w14:textId="77777777" w:rsidR="00577D08" w:rsidRDefault="00330FC0">
      <w:pPr>
        <w:pStyle w:val="5"/>
        <w:numPr>
          <w:ilvl w:val="0"/>
          <w:numId w:val="10"/>
        </w:numPr>
        <w:tabs>
          <w:tab w:val="left" w:pos="567"/>
        </w:tabs>
        <w:ind w:leftChars="0"/>
        <w:rPr>
          <w:rFonts w:ascii="宋体" w:hAnsi="宋体" w:cs="宋体" w:hint="eastAsia"/>
          <w:kern w:val="0"/>
          <w:szCs w:val="24"/>
        </w:rPr>
      </w:pPr>
      <w:r>
        <w:rPr>
          <w:rFonts w:ascii="宋体" w:hAnsi="宋体" w:cs="宋体"/>
          <w:kern w:val="0"/>
          <w:szCs w:val="24"/>
        </w:rPr>
        <w:t>主要销售客户及主要供应商情况</w:t>
      </w:r>
    </w:p>
    <w:p w14:paraId="336F3A72" w14:textId="77777777" w:rsidR="00577D08" w:rsidRDefault="00330FC0">
      <w:pPr>
        <w:pStyle w:val="aff9"/>
        <w:ind w:firstLineChars="0" w:firstLine="0"/>
        <w:rPr>
          <w:rFonts w:ascii="宋体" w:hAnsi="宋体" w:cs="宋体" w:hint="eastAsia"/>
          <w:szCs w:val="24"/>
        </w:rPr>
      </w:pPr>
      <w:bookmarkStart w:id="108" w:name="_Hlk41745860"/>
      <w:r>
        <w:rPr>
          <w:rFonts w:ascii="宋体" w:hAnsi="宋体" w:cs="宋体" w:hint="eastAsia"/>
          <w:szCs w:val="24"/>
        </w:rPr>
        <w:t>属于同一控制人控制的客户或供应商视为同一客户或供应商合并列示，受同一国有资产管理机构实际控制的除外。</w:t>
      </w:r>
    </w:p>
    <w:p w14:paraId="4D21FEC8" w14:textId="77777777" w:rsidR="00577D08" w:rsidRDefault="00330FC0">
      <w:pPr>
        <w:pStyle w:val="aff9"/>
        <w:ind w:firstLineChars="0" w:firstLine="0"/>
        <w:rPr>
          <w:rFonts w:ascii="宋体" w:hAnsi="宋体" w:cs="宋体" w:hint="eastAsia"/>
          <w:szCs w:val="24"/>
        </w:rPr>
      </w:pPr>
      <w:r>
        <w:rPr>
          <w:rFonts w:ascii="宋体" w:hAnsi="宋体" w:cs="宋体" w:hint="eastAsia"/>
          <w:szCs w:val="24"/>
        </w:rPr>
        <w:t>下列客户及供应商信息按照同一控制口径合并计算列示的情况说明</w:t>
      </w:r>
    </w:p>
    <w:sdt>
      <w:sdtPr>
        <w:alias w:val="客户及供应商信息按照同一控制口径合并计算列示的情况说明"/>
        <w:tag w:val="_GBC_dd94aac1da8743acb71de21c4b1691df"/>
        <w:id w:val="-447705454"/>
        <w:placeholder>
          <w:docPart w:val="EFD3FF3855CE4AFD8CD1EB64DC1EC186"/>
        </w:placeholder>
      </w:sdtPr>
      <w:sdtContent>
        <w:p w14:paraId="2C38108E" w14:textId="77777777" w:rsidR="00577D08" w:rsidRDefault="00330FC0">
          <w:r>
            <w:rPr>
              <w:rFonts w:hint="eastAsia"/>
            </w:rPr>
            <w:t>无</w:t>
          </w:r>
        </w:p>
      </w:sdtContent>
    </w:sdt>
    <w:bookmarkEnd w:id="108"/>
    <w:p w14:paraId="7DDFDF83" w14:textId="77777777" w:rsidR="00577D08" w:rsidRDefault="00330FC0">
      <w:pPr>
        <w:autoSpaceDE w:val="0"/>
        <w:autoSpaceDN w:val="0"/>
        <w:adjustRightInd w:val="0"/>
        <w:rPr>
          <w:b/>
          <w:szCs w:val="22"/>
          <w:lang w:val="zh-CN"/>
        </w:rPr>
      </w:pPr>
      <w:r>
        <w:rPr>
          <w:rFonts w:hint="eastAsia"/>
          <w:b/>
        </w:rPr>
        <w:t>A.</w:t>
      </w:r>
      <w:r>
        <w:rPr>
          <w:rFonts w:hint="eastAsia"/>
          <w:b/>
          <w:lang w:val="zh-CN"/>
        </w:rPr>
        <w:t>公司主要销售客户及主要供应商情况</w:t>
      </w:r>
    </w:p>
    <w:sdt>
      <w:sdtPr>
        <w:alias w:val="是否适用：主要销售客户情况[双击切换]"/>
        <w:tag w:val="_GBC_a2403594b48a40da9560c8bc71e01f56"/>
        <w:id w:val="-731619608"/>
        <w:lock w:val="contentLocked"/>
        <w:placeholder>
          <w:docPart w:val="EFD3FF3855CE4AFD8CD1EB64DC1EC186"/>
        </w:placeholder>
      </w:sdtPr>
      <w:sdtContent>
        <w:p w14:paraId="108EB32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D7CB8A9" w14:textId="77777777" w:rsidR="00577D08" w:rsidRDefault="00330FC0">
      <w:pPr>
        <w:spacing w:line="360" w:lineRule="exact"/>
      </w:pPr>
      <w:r>
        <w:rPr>
          <w:rFonts w:hint="eastAsia"/>
        </w:rPr>
        <w:t>前五名客户销售额</w:t>
      </w:r>
      <w:sdt>
        <w:sdtPr>
          <w:rPr>
            <w:rFonts w:hint="eastAsia"/>
          </w:rPr>
          <w:alias w:val="前五名客户销售额"/>
          <w:tag w:val="_GBC_e497000fdfbc4e548555b7f8ddf9780c"/>
          <w:id w:val="931854578"/>
          <w:placeholder>
            <w:docPart w:val="EFD3FF3855CE4AFD8CD1EB64DC1EC186"/>
          </w:placeholder>
        </w:sdtPr>
        <w:sdtContent>
          <w:r>
            <w:t>100,359.29</w:t>
          </w:r>
        </w:sdtContent>
      </w:sdt>
      <w:sdt>
        <w:sdtPr>
          <w:rPr>
            <w:rFonts w:hint="eastAsia"/>
          </w:rPr>
          <w:alias w:val="单位：前五名客户销售额"/>
          <w:tag w:val="_GBC_4bd6620b209a4bae8dc3404e8b89ea35"/>
          <w:id w:val="-642662057"/>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t>，占年度销售总额</w:t>
      </w:r>
      <w:sdt>
        <w:sdtPr>
          <w:alias w:val="前五名客户销售额占年度销售总额比例"/>
          <w:tag w:val="_GBC_68b3c8b493d04b6c9db16e7e475d7b35"/>
          <w:id w:val="2058277744"/>
          <w:placeholder>
            <w:docPart w:val="EFD3FF3855CE4AFD8CD1EB64DC1EC186"/>
          </w:placeholder>
        </w:sdtPr>
        <w:sdtContent>
          <w:r>
            <w:t>25.62</w:t>
          </w:r>
          <w:r>
            <w:rPr>
              <w:rFonts w:hint="eastAsia"/>
            </w:rPr>
            <w:t>%</w:t>
          </w:r>
        </w:sdtContent>
      </w:sdt>
      <w:r>
        <w:t>；其中前五名客户销售额中关联方销售额</w:t>
      </w:r>
      <w:sdt>
        <w:sdtPr>
          <w:alias w:val="前五名客户销售额中关联方销售额"/>
          <w:tag w:val="_GBC_bfa0971257a44f65996f01cfb0497b07"/>
          <w:id w:val="-780803661"/>
          <w:placeholder>
            <w:docPart w:val="EFD3FF3855CE4AFD8CD1EB64DC1EC186"/>
          </w:placeholder>
        </w:sdtPr>
        <w:sdtContent>
          <w:r>
            <w:rPr>
              <w:rFonts w:hint="eastAsia"/>
            </w:rPr>
            <w:t>0</w:t>
          </w:r>
        </w:sdtContent>
      </w:sdt>
      <w:sdt>
        <w:sdtPr>
          <w:alias w:val="单位：前五名客户销售额中关联方销售额"/>
          <w:tag w:val="_GBC_f3c03afc93a5429f9fa45fc25f9018ab"/>
          <w:id w:val="-76213323"/>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t>万元</w:t>
          </w:r>
        </w:sdtContent>
      </w:sdt>
      <w:r>
        <w:t>，占年度销售总额</w:t>
      </w:r>
      <w:sdt>
        <w:sdtPr>
          <w:alias w:val="前五名客户销售额中关联方销售额占年度销售总额比例"/>
          <w:tag w:val="_GBC_a84a9f2fd5cd467fa7226eab846a8fd4"/>
          <w:id w:val="1165202775"/>
          <w:placeholder>
            <w:docPart w:val="EFD3FF3855CE4AFD8CD1EB64DC1EC186"/>
          </w:placeholder>
        </w:sdtPr>
        <w:sdtContent>
          <w:r>
            <w:rPr>
              <w:rFonts w:hint="eastAsia"/>
            </w:rPr>
            <w:t>0%</w:t>
          </w:r>
        </w:sdtContent>
      </w:sdt>
      <w:r>
        <w:t>。</w:t>
      </w:r>
    </w:p>
    <w:p w14:paraId="44C51A23" w14:textId="77777777" w:rsidR="00577D08" w:rsidRDefault="00330FC0">
      <w:pPr>
        <w:spacing w:line="360" w:lineRule="exact"/>
      </w:pPr>
      <w:r>
        <w:rPr>
          <w:rFonts w:hint="eastAsia"/>
        </w:rPr>
        <w:t>前五名供应商采购额</w:t>
      </w:r>
      <w:sdt>
        <w:sdtPr>
          <w:rPr>
            <w:rFonts w:hint="eastAsia"/>
          </w:rPr>
          <w:alias w:val="前五名供应商采购额"/>
          <w:tag w:val="_GBC_4552254972a04ec6983b359a0f18d4bf"/>
          <w:id w:val="-1896800994"/>
          <w:placeholder>
            <w:docPart w:val="EFD3FF3855CE4AFD8CD1EB64DC1EC186"/>
          </w:placeholder>
        </w:sdtPr>
        <w:sdtContent>
          <w:r>
            <w:t>130,641.07</w:t>
          </w:r>
        </w:sdtContent>
      </w:sdt>
      <w:sdt>
        <w:sdtPr>
          <w:rPr>
            <w:rFonts w:hint="eastAsia"/>
          </w:rPr>
          <w:alias w:val="单位：前五名供应商采购额"/>
          <w:tag w:val="_GBC_418fcbdb1c1a4643afb7cce014bdeca2"/>
          <w:id w:val="1381059763"/>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t>，占年度采购总额</w:t>
      </w:r>
      <w:sdt>
        <w:sdtPr>
          <w:alias w:val="前五名供应商采购额占年度采购总额比例"/>
          <w:tag w:val="_GBC_f32c49f691154cc4b6ba587f4a582958"/>
          <w:id w:val="-1221044852"/>
          <w:placeholder>
            <w:docPart w:val="EFD3FF3855CE4AFD8CD1EB64DC1EC186"/>
          </w:placeholder>
        </w:sdtPr>
        <w:sdtContent>
          <w:r>
            <w:t>39.71</w:t>
          </w:r>
          <w:r>
            <w:rPr>
              <w:rFonts w:hint="eastAsia"/>
            </w:rPr>
            <w:t>%</w:t>
          </w:r>
        </w:sdtContent>
      </w:sdt>
      <w:r>
        <w:t>；其中前五名供应商采购额中关联方采购额</w:t>
      </w:r>
      <w:sdt>
        <w:sdtPr>
          <w:alias w:val="前五名供应商采购额中关联方采购额"/>
          <w:tag w:val="_GBC_b4791060802442e186017fdd5f31805a"/>
          <w:id w:val="788784596"/>
          <w:placeholder>
            <w:docPart w:val="EFD3FF3855CE4AFD8CD1EB64DC1EC186"/>
          </w:placeholder>
        </w:sdtPr>
        <w:sdtContent>
          <w:r>
            <w:rPr>
              <w:rFonts w:hint="eastAsia"/>
            </w:rPr>
            <w:t>0</w:t>
          </w:r>
        </w:sdtContent>
      </w:sdt>
      <w:sdt>
        <w:sdtPr>
          <w:alias w:val="单位：前五名供应商采购额中关联方采购额"/>
          <w:tag w:val="_GBC_bac6c3f63a9a4b0db685f5ee8e883818"/>
          <w:id w:val="1464312063"/>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t>万元</w:t>
          </w:r>
        </w:sdtContent>
      </w:sdt>
      <w:r>
        <w:t>，占年度采购总额</w:t>
      </w:r>
      <w:sdt>
        <w:sdtPr>
          <w:alias w:val="前五名供应商采购额中关联方采购额占年度采购总额比例"/>
          <w:tag w:val="_GBC_41b2f0a67a5743e1a4ccf8f427eec0a3"/>
          <w:id w:val="-1148744801"/>
          <w:placeholder>
            <w:docPart w:val="EFD3FF3855CE4AFD8CD1EB64DC1EC186"/>
          </w:placeholder>
        </w:sdtPr>
        <w:sdtContent>
          <w:r>
            <w:rPr>
              <w:rFonts w:hint="eastAsia"/>
            </w:rPr>
            <w:t>0%</w:t>
          </w:r>
        </w:sdtContent>
      </w:sdt>
      <w:r>
        <w:rPr>
          <w:rFonts w:hint="eastAsia"/>
        </w:rPr>
        <w:t>。</w:t>
      </w:r>
    </w:p>
    <w:p w14:paraId="58889C63" w14:textId="77777777" w:rsidR="00577D08" w:rsidRDefault="00330FC0" w:rsidP="00330FC0">
      <w:pPr>
        <w:spacing w:line="360" w:lineRule="exact"/>
        <w:rPr>
          <w:b/>
          <w:bCs/>
        </w:rPr>
      </w:pPr>
      <w:bookmarkStart w:id="109" w:name="_Hlk190092068"/>
      <w:r>
        <w:rPr>
          <w:rFonts w:hint="eastAsia"/>
          <w:b/>
          <w:bCs/>
        </w:rPr>
        <w:t>B.</w:t>
      </w:r>
      <w:r>
        <w:rPr>
          <w:rFonts w:hint="eastAsia"/>
          <w:b/>
          <w:bCs/>
        </w:rPr>
        <w:t>报告期内向单个客户的销售比例超过总额的</w:t>
      </w:r>
      <w:r>
        <w:rPr>
          <w:b/>
          <w:bCs/>
        </w:rPr>
        <w:t>50%</w:t>
      </w:r>
      <w:r>
        <w:rPr>
          <w:b/>
          <w:bCs/>
        </w:rPr>
        <w:t>、前</w:t>
      </w:r>
      <w:r>
        <w:rPr>
          <w:rFonts w:hint="eastAsia"/>
          <w:b/>
          <w:bCs/>
        </w:rPr>
        <w:t>5</w:t>
      </w:r>
      <w:r>
        <w:rPr>
          <w:b/>
          <w:bCs/>
        </w:rPr>
        <w:t>名客户中存在新增客户的或严重依赖于少数客户的情形</w:t>
      </w:r>
    </w:p>
    <w:sdt>
      <w:sdtPr>
        <w:alias w:val="是否适用：前5名销售客户中存在新增客户的或严重依赖于少数客户的情形表[双击切换]"/>
        <w:tag w:val="_GBC_9335bc17e9fb4b00a212f4c3a2cf1884"/>
        <w:id w:val="-1324507233"/>
        <w:placeholder>
          <w:docPart w:val="EFD3FF3855CE4AFD8CD1EB64DC1EC186"/>
        </w:placeholder>
      </w:sdtPr>
      <w:sdtContent>
        <w:p w14:paraId="0BE45C7B" w14:textId="77777777" w:rsidR="00577D08" w:rsidRDefault="00330FC0" w:rsidP="00330FC0">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2BC9E58" w14:textId="77777777" w:rsidR="00577D08" w:rsidRDefault="00330FC0" w:rsidP="00330FC0">
      <w:pPr>
        <w:spacing w:line="360" w:lineRule="exact"/>
        <w:rPr>
          <w:b/>
          <w:bCs/>
        </w:rPr>
      </w:pPr>
      <w:bookmarkStart w:id="110" w:name="OLE_LINK12"/>
      <w:bookmarkEnd w:id="109"/>
      <w:r>
        <w:rPr>
          <w:b/>
          <w:bCs/>
        </w:rPr>
        <w:lastRenderedPageBreak/>
        <w:t>报告期内向单个供应商的采购比例超过总额的</w:t>
      </w:r>
      <w:r>
        <w:rPr>
          <w:b/>
          <w:bCs/>
        </w:rPr>
        <w:t>50%</w:t>
      </w:r>
      <w:r>
        <w:rPr>
          <w:b/>
          <w:bCs/>
        </w:rPr>
        <w:t>、前</w:t>
      </w:r>
      <w:r>
        <w:rPr>
          <w:b/>
          <w:bCs/>
        </w:rPr>
        <w:t>5</w:t>
      </w:r>
      <w:r>
        <w:rPr>
          <w:b/>
          <w:bCs/>
        </w:rPr>
        <w:t>名供应商中存在新增供应商的或严重依赖于少数供应商的情形</w:t>
      </w:r>
    </w:p>
    <w:bookmarkEnd w:id="110" w:displacedByCustomXml="next"/>
    <w:sdt>
      <w:sdtPr>
        <w:alias w:val="是否适用：前5名供应商中存在新增供应商的或严重依赖于少数供应商的情形表[双击切换]"/>
        <w:tag w:val="_GBC_1e4a3af63f0f41888dc455d8c1a979a8"/>
        <w:id w:val="-1575585616"/>
        <w:placeholder>
          <w:docPart w:val="EFD3FF3855CE4AFD8CD1EB64DC1EC186"/>
        </w:placeholder>
      </w:sdtPr>
      <w:sdtContent>
        <w:p w14:paraId="291370A2" w14:textId="77777777" w:rsidR="00577D08" w:rsidRDefault="00330FC0" w:rsidP="00330FC0">
          <w:pPr>
            <w:spacing w:line="360" w:lineRule="exact"/>
            <w:rPr>
              <w:bCs/>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D4C872" w14:textId="77777777" w:rsidR="00577D08" w:rsidRDefault="00330FC0" w:rsidP="00330FC0">
      <w:pPr>
        <w:spacing w:line="360" w:lineRule="exact"/>
        <w:rPr>
          <w:b/>
          <w:bCs/>
        </w:rPr>
      </w:pPr>
      <w:r>
        <w:rPr>
          <w:rFonts w:hint="eastAsia"/>
          <w:b/>
          <w:bCs/>
        </w:rPr>
        <w:t>C.</w:t>
      </w:r>
      <w:r>
        <w:rPr>
          <w:rFonts w:hint="eastAsia"/>
          <w:b/>
          <w:bCs/>
        </w:rPr>
        <w:t>报告期内公司股票被实施退市风险警示或其他风险警示</w:t>
      </w:r>
    </w:p>
    <w:p w14:paraId="231AB633" w14:textId="77777777" w:rsidR="00577D08" w:rsidRDefault="00330FC0" w:rsidP="00330FC0">
      <w:pPr>
        <w:autoSpaceDE w:val="0"/>
        <w:autoSpaceDN w:val="0"/>
        <w:adjustRightInd w:val="0"/>
        <w:spacing w:line="360" w:lineRule="exact"/>
        <w:rPr>
          <w:b/>
          <w:lang w:val="zh-CN"/>
        </w:rPr>
      </w:pPr>
      <w:bookmarkStart w:id="111" w:name="_Hlk189836187"/>
      <w:r>
        <w:rPr>
          <w:rFonts w:hint="eastAsia"/>
          <w:bCs/>
          <w:lang w:val="zh-CN"/>
        </w:rPr>
        <w:t>前五名销售客户</w:t>
      </w:r>
    </w:p>
    <w:sdt>
      <w:sdtPr>
        <w:rPr>
          <w:rFonts w:hint="eastAsia"/>
          <w:bCs/>
          <w:lang w:val="zh-CN"/>
        </w:rPr>
        <w:alias w:val="是否适用：公司前五名主要销售客户情况[双击切换]"/>
        <w:tag w:val="_GBC_f8b3ab4836d84d3db48e52713048016f"/>
        <w:id w:val="117567017"/>
        <w:placeholder>
          <w:docPart w:val="EFD3FF3855CE4AFD8CD1EB64DC1EC186"/>
        </w:placeholder>
      </w:sdtPr>
      <w:sdtContent>
        <w:p w14:paraId="52CC94DF" w14:textId="77777777" w:rsidR="00577D08" w:rsidRDefault="00330FC0" w:rsidP="00330FC0">
          <w:pPr>
            <w:autoSpaceDE w:val="0"/>
            <w:autoSpaceDN w:val="0"/>
            <w:adjustRightInd w:val="0"/>
            <w:spacing w:line="360" w:lineRule="exact"/>
          </w:pPr>
          <w:r>
            <w:rPr>
              <w:rFonts w:ascii="宋体" w:hAnsi="宋体"/>
              <w:bCs/>
              <w:lang w:val="zh-CN"/>
            </w:rPr>
            <w:fldChar w:fldCharType="begin"/>
          </w:r>
          <w:r>
            <w:rPr>
              <w:rFonts w:ascii="宋体" w:hAnsi="宋体" w:hint="eastAsia"/>
              <w:bCs/>
              <w:lang w:val="zh-CN"/>
            </w:rPr>
            <w:instrText xml:space="preserve"> MACROBUTTON  SnrToggleCheckbox □适用 </w:instrText>
          </w:r>
          <w:r>
            <w:rPr>
              <w:rFonts w:ascii="宋体" w:hAnsi="宋体"/>
              <w:bCs/>
              <w:lang w:val="zh-CN"/>
            </w:rPr>
            <w:fldChar w:fldCharType="end"/>
          </w:r>
          <w:r>
            <w:rPr>
              <w:rFonts w:ascii="宋体" w:hAnsi="宋体"/>
              <w:bCs/>
              <w:lang w:val="zh-CN"/>
            </w:rPr>
            <w:fldChar w:fldCharType="begin"/>
          </w:r>
          <w:r>
            <w:rPr>
              <w:rFonts w:ascii="宋体" w:hAnsi="宋体" w:hint="eastAsia"/>
              <w:bCs/>
              <w:lang w:val="zh-CN"/>
            </w:rPr>
            <w:instrText xml:space="preserve"> MACROBUTTON  SnrToggleCheckbox √不适用 </w:instrText>
          </w:r>
          <w:r>
            <w:rPr>
              <w:rFonts w:ascii="宋体" w:hAnsi="宋体"/>
              <w:bCs/>
              <w:lang w:val="zh-CN"/>
            </w:rPr>
            <w:fldChar w:fldCharType="end"/>
          </w:r>
        </w:p>
      </w:sdtContent>
    </w:sdt>
    <w:p w14:paraId="0D7820C2" w14:textId="77777777" w:rsidR="00577D08" w:rsidRDefault="00330FC0" w:rsidP="00330FC0">
      <w:pPr>
        <w:spacing w:line="360" w:lineRule="exact"/>
      </w:pPr>
      <w:bookmarkStart w:id="112" w:name="_Hlk189836300"/>
      <w:bookmarkStart w:id="113" w:name="_Hlk25832335"/>
      <w:bookmarkEnd w:id="111"/>
      <w:r>
        <w:rPr>
          <w:rFonts w:hint="eastAsia"/>
        </w:rPr>
        <w:t>前五名供应商</w:t>
      </w:r>
    </w:p>
    <w:sdt>
      <w:sdtPr>
        <w:rPr>
          <w:rFonts w:hint="eastAsia"/>
        </w:rPr>
        <w:alias w:val="是否适用：公司前五名主要供应商情况[双击切换]"/>
        <w:tag w:val="_GBC_d692c103c2cd4a4abe724b21a91c3790"/>
        <w:id w:val="108241967"/>
        <w:placeholder>
          <w:docPart w:val="EFD3FF3855CE4AFD8CD1EB64DC1EC186"/>
        </w:placeholder>
      </w:sdtPr>
      <w:sdtContent>
        <w:p w14:paraId="548D5B9C" w14:textId="77777777" w:rsidR="00577D08" w:rsidRDefault="00330FC0" w:rsidP="00330FC0">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E006529" w14:textId="77777777" w:rsidR="00577D08" w:rsidRDefault="00330FC0" w:rsidP="00330FC0">
      <w:pPr>
        <w:spacing w:line="360" w:lineRule="exact"/>
        <w:rPr>
          <w:b/>
          <w:bCs/>
        </w:rPr>
      </w:pPr>
      <w:bookmarkStart w:id="114" w:name="_Hlk217463331"/>
      <w:bookmarkEnd w:id="112"/>
      <w:bookmarkEnd w:id="113"/>
      <w:r>
        <w:rPr>
          <w:rFonts w:hint="eastAsia"/>
          <w:b/>
          <w:bCs/>
        </w:rPr>
        <w:t>D.</w:t>
      </w:r>
      <w:r>
        <w:rPr>
          <w:rFonts w:hint="eastAsia"/>
          <w:b/>
          <w:bCs/>
        </w:rPr>
        <w:t>报告期内公司存在贸易业务收入</w:t>
      </w:r>
    </w:p>
    <w:sdt>
      <w:sdtPr>
        <w:rPr>
          <w:rFonts w:hint="eastAsia"/>
        </w:rPr>
        <w:alias w:val="报告期内公司是否存在贸易业务收入[双击切换]"/>
        <w:tag w:val="_GBC_3ae6eb2d9c104edd9c836e1bf671669f"/>
        <w:id w:val="-236319918"/>
        <w:placeholder>
          <w:docPart w:val="EFD3FF3855CE4AFD8CD1EB64DC1EC186"/>
        </w:placeholder>
      </w:sdtPr>
      <w:sdtContent>
        <w:p w14:paraId="0035A88B" w14:textId="77777777" w:rsidR="00577D08" w:rsidRDefault="00330FC0" w:rsidP="00330FC0">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58F9D63" w14:textId="77777777" w:rsidR="00577D08" w:rsidRDefault="00330FC0" w:rsidP="00330FC0">
      <w:pPr>
        <w:spacing w:line="360" w:lineRule="exact"/>
      </w:pPr>
      <w:bookmarkStart w:id="115" w:name="_Hlk188285406"/>
      <w:bookmarkEnd w:id="114"/>
      <w:r>
        <w:rPr>
          <w:rFonts w:hint="eastAsia"/>
        </w:rPr>
        <w:t>贸易业务占营业收入比例超过</w:t>
      </w:r>
      <w:r>
        <w:rPr>
          <w:rFonts w:hint="eastAsia"/>
        </w:rPr>
        <w:t>10%</w:t>
      </w:r>
      <w:r>
        <w:rPr>
          <w:rFonts w:hint="eastAsia"/>
        </w:rPr>
        <w:t>前五名销售客户</w:t>
      </w:r>
    </w:p>
    <w:sdt>
      <w:sdtPr>
        <w:rPr>
          <w:rFonts w:hint="eastAsia"/>
        </w:rPr>
        <w:alias w:val="是否适用：报告期内公司贸易业务收入占营业收入比例超过10%的贸易业务前5名销售客户[双击切换]"/>
        <w:tag w:val="_GBC_874060c7be284e34b677814c97469999"/>
        <w:id w:val="-1760055929"/>
        <w:placeholder>
          <w:docPart w:val="EFD3FF3855CE4AFD8CD1EB64DC1EC186"/>
        </w:placeholder>
      </w:sdtPr>
      <w:sdtContent>
        <w:p w14:paraId="11959DFC" w14:textId="77777777" w:rsidR="00577D08" w:rsidRDefault="00330FC0" w:rsidP="00330FC0">
          <w:pPr>
            <w:spacing w:line="360" w:lineRule="exact"/>
          </w:pPr>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33DA8532" w14:textId="77777777" w:rsidR="00577D08" w:rsidRDefault="00330FC0" w:rsidP="00330FC0">
      <w:pPr>
        <w:spacing w:line="360" w:lineRule="exact"/>
      </w:pPr>
      <w:bookmarkStart w:id="116" w:name="_Hlk188285949"/>
      <w:bookmarkEnd w:id="115"/>
      <w:r>
        <w:rPr>
          <w:rFonts w:hint="eastAsia"/>
        </w:rPr>
        <w:t>贸易业务收入占营业收入比例超过</w:t>
      </w:r>
      <w:r>
        <w:rPr>
          <w:rFonts w:hint="eastAsia"/>
        </w:rPr>
        <w:t>10%</w:t>
      </w:r>
      <w:r>
        <w:rPr>
          <w:rFonts w:hint="eastAsia"/>
        </w:rPr>
        <w:t>前五名</w:t>
      </w:r>
      <w:r>
        <w:t>供应商</w:t>
      </w:r>
    </w:p>
    <w:sdt>
      <w:sdtPr>
        <w:rPr>
          <w:rFonts w:hint="eastAsia"/>
        </w:rPr>
        <w:alias w:val="是否适用：报告期内公司贸易业务收入占营业收入比例超过10%的贸易业务前5名供应商[双击切换]"/>
        <w:tag w:val="_GBC_3d816dcc13274eeeafda04c5590e4ca9"/>
        <w:id w:val="1145247329"/>
        <w:placeholder>
          <w:docPart w:val="EFD3FF3855CE4AFD8CD1EB64DC1EC186"/>
        </w:placeholder>
      </w:sdtPr>
      <w:sdtContent>
        <w:p w14:paraId="61348EED" w14:textId="77777777" w:rsidR="00577D08" w:rsidRDefault="00330FC0" w:rsidP="00330FC0">
          <w:pPr>
            <w:spacing w:line="360" w:lineRule="exact"/>
          </w:pPr>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385C0A0B" w14:textId="77777777" w:rsidR="00577D08" w:rsidRDefault="00330FC0" w:rsidP="00330FC0">
      <w:pPr>
        <w:spacing w:line="360" w:lineRule="exact"/>
      </w:pPr>
      <w:bookmarkStart w:id="117" w:name="_Hlk188286201"/>
      <w:bookmarkStart w:id="118" w:name="_Hlk184741846"/>
      <w:bookmarkEnd w:id="116"/>
      <w:bookmarkEnd w:id="117"/>
      <w:r>
        <w:rPr>
          <w:rFonts w:hint="eastAsia"/>
        </w:rPr>
        <w:t>其他说明：</w:t>
      </w:r>
    </w:p>
    <w:sdt>
      <w:sdtPr>
        <w:alias w:val="主要销售客户及主要供应商情况其他说明"/>
        <w:tag w:val="_GBC_671f841429ed4c5aaa013b86ad58b88f"/>
        <w:id w:val="995309672"/>
        <w:placeholder>
          <w:docPart w:val="EFD3FF3855CE4AFD8CD1EB64DC1EC186"/>
        </w:placeholder>
      </w:sdtPr>
      <w:sdtContent>
        <w:p w14:paraId="3DFA09B5" w14:textId="77777777" w:rsidR="00577D08" w:rsidRDefault="00330FC0" w:rsidP="00330FC0">
          <w:pPr>
            <w:spacing w:line="360" w:lineRule="exact"/>
          </w:pPr>
          <w:r>
            <w:rPr>
              <w:rFonts w:hint="eastAsia"/>
            </w:rPr>
            <w:t>无</w:t>
          </w:r>
        </w:p>
      </w:sdtContent>
    </w:sdt>
    <w:bookmarkEnd w:id="118"/>
    <w:p w14:paraId="3C534A0F" w14:textId="77777777" w:rsidR="00577D08" w:rsidRDefault="00330FC0" w:rsidP="00330FC0">
      <w:pPr>
        <w:pStyle w:val="4"/>
        <w:numPr>
          <w:ilvl w:val="0"/>
          <w:numId w:val="9"/>
        </w:numPr>
        <w:spacing w:line="360" w:lineRule="exact"/>
        <w:rPr>
          <w:rFonts w:hint="eastAsia"/>
        </w:rPr>
      </w:pPr>
      <w:r>
        <w:rPr>
          <w:rFonts w:hint="eastAsia"/>
        </w:rPr>
        <w:t>费用</w:t>
      </w:r>
    </w:p>
    <w:sdt>
      <w:sdtPr>
        <w:alias w:val="是否适用：费用[双击切换]"/>
        <w:tag w:val="_GBC_fa9cd5e43a8f426c8b793a737190d8db"/>
        <w:id w:val="1185400021"/>
        <w:placeholder>
          <w:docPart w:val="EFD3FF3855CE4AFD8CD1EB64DC1EC186"/>
        </w:placeholder>
      </w:sdtPr>
      <w:sdtContent>
        <w:p w14:paraId="624CEB1A" w14:textId="77777777" w:rsidR="00577D08" w:rsidRDefault="00330FC0" w:rsidP="00330FC0">
          <w:pPr>
            <w:spacing w:line="360" w:lineRule="exact"/>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费用情况说明"/>
        <w:tag w:val="_GBC_02a46af1e8d349d8b753768e17da35a1"/>
        <w:id w:val="-1915552151"/>
        <w:placeholder>
          <w:docPart w:val="EFD3FF3855CE4AFD8CD1EB64DC1EC186"/>
        </w:placeholder>
      </w:sdtPr>
      <w:sdtContent>
        <w:p w14:paraId="3BE4337D" w14:textId="77777777" w:rsidR="00577D08" w:rsidRDefault="00330FC0" w:rsidP="00330FC0">
          <w:pPr>
            <w:spacing w:line="360" w:lineRule="exact"/>
          </w:pPr>
          <w:r>
            <w:t>详见第三节</w:t>
          </w:r>
          <w:r>
            <w:rPr>
              <w:rFonts w:hint="eastAsia"/>
            </w:rPr>
            <w:t>.</w:t>
          </w:r>
          <w:r>
            <w:t>五（一）</w:t>
          </w:r>
          <w:r>
            <w:t>1“</w:t>
          </w:r>
          <w:r>
            <w:t>利润表及现金流量表相关科目变动分析表</w:t>
          </w:r>
          <w:r>
            <w:t>”</w:t>
          </w:r>
          <w:r>
            <w:rPr>
              <w:rFonts w:hint="eastAsia"/>
            </w:rPr>
            <w:t>。</w:t>
          </w:r>
        </w:p>
      </w:sdtContent>
    </w:sdt>
    <w:p w14:paraId="3C982398" w14:textId="77777777" w:rsidR="00577D08" w:rsidRDefault="00330FC0">
      <w:pPr>
        <w:pStyle w:val="4"/>
        <w:numPr>
          <w:ilvl w:val="0"/>
          <w:numId w:val="9"/>
        </w:numPr>
        <w:rPr>
          <w:rStyle w:val="50"/>
          <w:rFonts w:hint="eastAsia"/>
          <w:b/>
          <w:bCs/>
        </w:rPr>
      </w:pPr>
      <w:r>
        <w:rPr>
          <w:rFonts w:hint="eastAsia"/>
        </w:rPr>
        <w:t>研发投入</w:t>
      </w:r>
    </w:p>
    <w:p w14:paraId="339A4840" w14:textId="77777777" w:rsidR="00577D08" w:rsidRDefault="00330FC0">
      <w:pPr>
        <w:pStyle w:val="aff9"/>
        <w:numPr>
          <w:ilvl w:val="0"/>
          <w:numId w:val="11"/>
        </w:numPr>
        <w:spacing w:before="60" w:after="60"/>
        <w:ind w:firstLineChars="0"/>
        <w:rPr>
          <w:rStyle w:val="50"/>
          <w:szCs w:val="21"/>
        </w:rPr>
      </w:pPr>
      <w:r>
        <w:rPr>
          <w:rStyle w:val="50"/>
          <w:szCs w:val="21"/>
        </w:rPr>
        <w:t>研发</w:t>
      </w:r>
      <w:r>
        <w:rPr>
          <w:rStyle w:val="50"/>
          <w:rFonts w:hint="eastAsia"/>
          <w:szCs w:val="21"/>
        </w:rPr>
        <w:t>投入</w:t>
      </w:r>
      <w:r>
        <w:rPr>
          <w:rStyle w:val="50"/>
          <w:szCs w:val="21"/>
        </w:rPr>
        <w:t>情况表</w:t>
      </w:r>
    </w:p>
    <w:sdt>
      <w:sdtPr>
        <w:rPr>
          <w:rStyle w:val="50"/>
          <w:rFonts w:hint="eastAsia"/>
          <w:b w:val="0"/>
          <w:szCs w:val="21"/>
        </w:rPr>
        <w:alias w:val="是否适用：研发投入情况表[双击切换]"/>
        <w:tag w:val="_GBC_b745f9cad6de412690fcb0f363f3eadb"/>
        <w:id w:val="1689874620"/>
        <w:placeholder>
          <w:docPart w:val="EFD3FF3855CE4AFD8CD1EB64DC1EC186"/>
        </w:placeholder>
      </w:sdtPr>
      <w:sdtContent>
        <w:p w14:paraId="40D28469" w14:textId="77777777" w:rsidR="00577D08" w:rsidRDefault="00330FC0">
          <w:pPr>
            <w:rPr>
              <w:rStyle w:val="50"/>
              <w:b w:val="0"/>
              <w:szCs w:val="21"/>
            </w:rPr>
          </w:pPr>
          <w:r>
            <w:rPr>
              <w:rStyle w:val="50"/>
              <w:rFonts w:ascii="宋体" w:hAnsi="宋体"/>
              <w:b w:val="0"/>
              <w:szCs w:val="21"/>
            </w:rPr>
            <w:fldChar w:fldCharType="begin"/>
          </w:r>
          <w:r>
            <w:rPr>
              <w:rStyle w:val="50"/>
              <w:rFonts w:ascii="宋体" w:hAnsi="宋体"/>
              <w:b w:val="0"/>
              <w:szCs w:val="21"/>
            </w:rPr>
            <w:instrText xml:space="preserve"> </w:instrText>
          </w:r>
          <w:r>
            <w:rPr>
              <w:rStyle w:val="50"/>
              <w:rFonts w:ascii="宋体" w:hAnsi="宋体" w:hint="eastAsia"/>
              <w:b w:val="0"/>
              <w:szCs w:val="21"/>
            </w:rPr>
            <w:instrText xml:space="preserve">MACROBUTTON  SnrToggleCheckbox √适用 </w:instrText>
          </w:r>
          <w:r>
            <w:rPr>
              <w:rStyle w:val="50"/>
              <w:rFonts w:ascii="宋体" w:hAnsi="宋体"/>
              <w:b w:val="0"/>
              <w:szCs w:val="21"/>
            </w:rPr>
            <w:instrText xml:space="preserve"> </w:instrText>
          </w:r>
          <w:r>
            <w:rPr>
              <w:rStyle w:val="50"/>
              <w:rFonts w:ascii="宋体" w:hAnsi="宋体"/>
              <w:b w:val="0"/>
              <w:szCs w:val="21"/>
            </w:rPr>
            <w:fldChar w:fldCharType="end"/>
          </w:r>
          <w:r>
            <w:rPr>
              <w:rStyle w:val="50"/>
              <w:rFonts w:ascii="宋体" w:hAnsi="宋体"/>
              <w:b w:val="0"/>
              <w:szCs w:val="21"/>
            </w:rPr>
            <w:fldChar w:fldCharType="begin"/>
          </w:r>
          <w:r>
            <w:rPr>
              <w:rStyle w:val="50"/>
              <w:rFonts w:ascii="宋体" w:hAnsi="宋体"/>
              <w:b w:val="0"/>
              <w:szCs w:val="21"/>
            </w:rPr>
            <w:instrText xml:space="preserve"> MACROBUTTON  SnrToggleCheckbox □不适用 </w:instrText>
          </w:r>
          <w:r>
            <w:rPr>
              <w:rStyle w:val="50"/>
              <w:rFonts w:ascii="宋体" w:hAnsi="宋体"/>
              <w:b w:val="0"/>
              <w:szCs w:val="21"/>
            </w:rPr>
            <w:fldChar w:fldCharType="end"/>
          </w:r>
        </w:p>
      </w:sdtContent>
    </w:sdt>
    <w:p w14:paraId="672E7CB8" w14:textId="77777777" w:rsidR="00577D08" w:rsidRDefault="00330FC0">
      <w:pPr>
        <w:wordWrap w:val="0"/>
        <w:jc w:val="right"/>
        <w:rPr>
          <w:rStyle w:val="50"/>
          <w:b w:val="0"/>
          <w:szCs w:val="21"/>
        </w:rPr>
      </w:pPr>
      <w:r>
        <w:rPr>
          <w:rFonts w:hint="eastAsia"/>
        </w:rPr>
        <w:t>单位：</w:t>
      </w:r>
      <w:sdt>
        <w:sdtPr>
          <w:rPr>
            <w:rFonts w:hint="eastAsia"/>
          </w:rPr>
          <w:alias w:val="单位：研发投入"/>
          <w:tag w:val="_GBC_74cd81424a3c41dd9b3b9f335eae8c21"/>
          <w:id w:val="630438043"/>
          <w:placeholder>
            <w:docPart w:val="EFD3FF3855CE4AFD8CD1EB64DC1EC186"/>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币种：</w:t>
      </w:r>
      <w:sdt>
        <w:sdtPr>
          <w:rPr>
            <w:rFonts w:hint="eastAsia"/>
          </w:rPr>
          <w:alias w:val="币种：研发投入"/>
          <w:tag w:val="_GBC_14c25dd039ff47d0b183ae532ee32cd2"/>
          <w:id w:val="-2043894956"/>
          <w:placeholder>
            <w:docPart w:val="EFD3FF3855CE4AFD8CD1EB64DC1EC18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3795"/>
        <w:gridCol w:w="5253"/>
      </w:tblGrid>
      <w:tr w:rsidR="00577D08" w14:paraId="78D359A1" w14:textId="77777777">
        <w:trPr>
          <w:trHeight w:val="135"/>
        </w:trPr>
        <w:sdt>
          <w:sdtPr>
            <w:tag w:val="_PLD_34e4faf6ae244cfbac1fd41757cfe96b"/>
            <w:id w:val="703133816"/>
          </w:sdtPr>
          <w:sdtContent>
            <w:tc>
              <w:tcPr>
                <w:tcW w:w="3795" w:type="dxa"/>
                <w:vAlign w:val="center"/>
              </w:tcPr>
              <w:p w14:paraId="7D73911B" w14:textId="77777777" w:rsidR="00577D08" w:rsidRDefault="00330FC0">
                <w:pPr>
                  <w:rPr>
                    <w:rStyle w:val="50"/>
                    <w:b w:val="0"/>
                    <w:bCs w:val="0"/>
                    <w:szCs w:val="21"/>
                  </w:rPr>
                </w:pPr>
                <w:r>
                  <w:t>本期费用化研发</w:t>
                </w:r>
                <w:r>
                  <w:rPr>
                    <w:rFonts w:hint="eastAsia"/>
                  </w:rPr>
                  <w:t>投入</w:t>
                </w:r>
              </w:p>
            </w:tc>
          </w:sdtContent>
        </w:sdt>
        <w:sdt>
          <w:sdtPr>
            <w:rPr>
              <w:rFonts w:hint="eastAsia"/>
            </w:rPr>
            <w:alias w:val="费用化研发投入"/>
            <w:tag w:val="_GBC_4fb175bc5990483bb41db359eecfdbdb"/>
            <w:id w:val="-2002570325"/>
          </w:sdtPr>
          <w:sdtContent>
            <w:tc>
              <w:tcPr>
                <w:tcW w:w="5253" w:type="dxa"/>
                <w:vAlign w:val="center"/>
              </w:tcPr>
              <w:p w14:paraId="5592B916" w14:textId="77777777" w:rsidR="00577D08" w:rsidRDefault="00330FC0">
                <w:pPr>
                  <w:jc w:val="right"/>
                </w:pPr>
                <w:r>
                  <w:t>30,636.36</w:t>
                </w:r>
              </w:p>
            </w:tc>
          </w:sdtContent>
        </w:sdt>
      </w:tr>
      <w:tr w:rsidR="00577D08" w14:paraId="76142641" w14:textId="77777777">
        <w:trPr>
          <w:trHeight w:val="147"/>
        </w:trPr>
        <w:tc>
          <w:tcPr>
            <w:tcW w:w="3795" w:type="dxa"/>
            <w:vAlign w:val="center"/>
          </w:tcPr>
          <w:p w14:paraId="5F22711E" w14:textId="77777777" w:rsidR="00577D08" w:rsidRDefault="00330FC0">
            <w:pPr>
              <w:rPr>
                <w:rStyle w:val="50"/>
                <w:szCs w:val="21"/>
              </w:rPr>
            </w:pPr>
            <w:r>
              <w:t>本期资本化研发</w:t>
            </w:r>
            <w:r>
              <w:rPr>
                <w:rFonts w:hint="eastAsia"/>
              </w:rPr>
              <w:t>投入</w:t>
            </w:r>
          </w:p>
        </w:tc>
        <w:tc>
          <w:tcPr>
            <w:tcW w:w="5253" w:type="dxa"/>
            <w:vAlign w:val="center"/>
          </w:tcPr>
          <w:p w14:paraId="475A8103" w14:textId="77777777" w:rsidR="00577D08" w:rsidRDefault="00577D08">
            <w:pPr>
              <w:jc w:val="right"/>
            </w:pPr>
          </w:p>
        </w:tc>
      </w:tr>
      <w:tr w:rsidR="00577D08" w14:paraId="7AE58341" w14:textId="77777777">
        <w:trPr>
          <w:trHeight w:val="102"/>
        </w:trPr>
        <w:tc>
          <w:tcPr>
            <w:tcW w:w="3795" w:type="dxa"/>
            <w:vAlign w:val="center"/>
          </w:tcPr>
          <w:p w14:paraId="7E0C8777" w14:textId="77777777" w:rsidR="00577D08" w:rsidRDefault="00330FC0">
            <w:pPr>
              <w:rPr>
                <w:rStyle w:val="50"/>
                <w:szCs w:val="21"/>
              </w:rPr>
            </w:pPr>
            <w:r>
              <w:t>研发</w:t>
            </w:r>
            <w:r>
              <w:rPr>
                <w:rFonts w:hint="eastAsia"/>
              </w:rPr>
              <w:t>投入</w:t>
            </w:r>
            <w:r>
              <w:t>合计</w:t>
            </w:r>
          </w:p>
        </w:tc>
        <w:tc>
          <w:tcPr>
            <w:tcW w:w="5253" w:type="dxa"/>
            <w:vAlign w:val="center"/>
          </w:tcPr>
          <w:p w14:paraId="41B5EA2C" w14:textId="77777777" w:rsidR="00577D08" w:rsidRDefault="00330FC0">
            <w:pPr>
              <w:jc w:val="right"/>
            </w:pPr>
            <w:r>
              <w:t>30,636.36</w:t>
            </w:r>
          </w:p>
        </w:tc>
      </w:tr>
      <w:tr w:rsidR="00577D08" w14:paraId="0176E07F" w14:textId="77777777">
        <w:trPr>
          <w:trHeight w:val="135"/>
        </w:trPr>
        <w:tc>
          <w:tcPr>
            <w:tcW w:w="3795" w:type="dxa"/>
            <w:vAlign w:val="center"/>
          </w:tcPr>
          <w:p w14:paraId="51E95CAF" w14:textId="77777777" w:rsidR="00577D08" w:rsidRDefault="00330FC0">
            <w:pPr>
              <w:rPr>
                <w:rStyle w:val="50"/>
                <w:szCs w:val="21"/>
              </w:rPr>
            </w:pPr>
            <w:r>
              <w:t>研发</w:t>
            </w:r>
            <w:r>
              <w:rPr>
                <w:rFonts w:hint="eastAsia"/>
              </w:rPr>
              <w:t>投入</w:t>
            </w:r>
            <w:r>
              <w:t>总额占营业收入比例（</w:t>
            </w:r>
            <w:r>
              <w:t>%</w:t>
            </w:r>
            <w:r>
              <w:t>）</w:t>
            </w:r>
          </w:p>
        </w:tc>
        <w:tc>
          <w:tcPr>
            <w:tcW w:w="5253" w:type="dxa"/>
            <w:vAlign w:val="center"/>
          </w:tcPr>
          <w:p w14:paraId="00957A06" w14:textId="77777777" w:rsidR="00577D08" w:rsidRDefault="00330FC0">
            <w:pPr>
              <w:jc w:val="right"/>
            </w:pPr>
            <w:r>
              <w:t>7.82</w:t>
            </w:r>
          </w:p>
        </w:tc>
      </w:tr>
      <w:tr w:rsidR="00577D08" w14:paraId="77618CD9" w14:textId="77777777">
        <w:trPr>
          <w:trHeight w:val="135"/>
        </w:trPr>
        <w:tc>
          <w:tcPr>
            <w:tcW w:w="3795" w:type="dxa"/>
            <w:vAlign w:val="center"/>
          </w:tcPr>
          <w:p w14:paraId="488F10F9" w14:textId="77777777" w:rsidR="00577D08" w:rsidRDefault="00330FC0">
            <w:r>
              <w:rPr>
                <w:rFonts w:hint="eastAsia"/>
              </w:rPr>
              <w:t>研发投入资本化的比重</w:t>
            </w:r>
            <w:r>
              <w:t>（</w:t>
            </w:r>
            <w:r>
              <w:t>%</w:t>
            </w:r>
            <w:r>
              <w:t>）</w:t>
            </w:r>
          </w:p>
        </w:tc>
        <w:tc>
          <w:tcPr>
            <w:tcW w:w="5253" w:type="dxa"/>
            <w:vAlign w:val="center"/>
          </w:tcPr>
          <w:p w14:paraId="338B0592" w14:textId="77777777" w:rsidR="00577D08" w:rsidRDefault="00577D08">
            <w:pPr>
              <w:jc w:val="right"/>
              <w:rPr>
                <w:bCs/>
              </w:rPr>
            </w:pPr>
          </w:p>
        </w:tc>
      </w:tr>
    </w:tbl>
    <w:p w14:paraId="746566BA" w14:textId="77777777" w:rsidR="00577D08" w:rsidRDefault="00330FC0">
      <w:pPr>
        <w:pStyle w:val="aff9"/>
        <w:numPr>
          <w:ilvl w:val="0"/>
          <w:numId w:val="11"/>
        </w:numPr>
        <w:spacing w:before="60" w:after="60"/>
        <w:ind w:firstLineChars="0"/>
        <w:rPr>
          <w:rStyle w:val="50"/>
          <w:szCs w:val="21"/>
        </w:rPr>
      </w:pPr>
      <w:bookmarkStart w:id="119" w:name="_Hlk89876622"/>
      <w:r>
        <w:rPr>
          <w:rStyle w:val="50"/>
          <w:rFonts w:hint="eastAsia"/>
          <w:szCs w:val="21"/>
        </w:rPr>
        <w:t>研发人员情况表</w:t>
      </w:r>
    </w:p>
    <w:sdt>
      <w:sdtPr>
        <w:rPr>
          <w:rFonts w:hint="eastAsia"/>
        </w:rPr>
        <w:alias w:val="是否适用：研发人员情况[双击切换]"/>
        <w:tag w:val="_GBC_ef3f376f125b4e219be789ed3078c140"/>
        <w:id w:val="2013795258"/>
        <w:placeholder>
          <w:docPart w:val="EFD3FF3855CE4AFD8CD1EB64DC1EC186"/>
        </w:placeholder>
      </w:sdtPr>
      <w:sdtContent>
        <w:p w14:paraId="7122DE2F"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jc w:val="center"/>
        <w:tblLayout w:type="fixed"/>
        <w:tblLook w:val="04A0" w:firstRow="1" w:lastRow="0" w:firstColumn="1" w:lastColumn="0" w:noHBand="0" w:noVBand="1"/>
      </w:tblPr>
      <w:tblGrid>
        <w:gridCol w:w="5744"/>
        <w:gridCol w:w="3305"/>
      </w:tblGrid>
      <w:tr w:rsidR="00577D08" w14:paraId="5818B00D" w14:textId="77777777">
        <w:trPr>
          <w:trHeight w:val="270"/>
          <w:jc w:val="center"/>
        </w:trPr>
        <w:sdt>
          <w:sdtPr>
            <w:tag w:val="_PLD_13cec8f1a3504661b1b570efe7519fa3"/>
            <w:id w:val="26380465"/>
          </w:sdtPr>
          <w:sdtContent>
            <w:tc>
              <w:tcPr>
                <w:tcW w:w="5744" w:type="dxa"/>
                <w:tcBorders>
                  <w:top w:val="single" w:sz="4" w:space="0" w:color="auto"/>
                  <w:left w:val="single" w:sz="4" w:space="0" w:color="auto"/>
                  <w:bottom w:val="single" w:sz="4" w:space="0" w:color="auto"/>
                  <w:right w:val="single" w:sz="4" w:space="0" w:color="auto"/>
                </w:tcBorders>
                <w:vAlign w:val="center"/>
              </w:tcPr>
              <w:p w14:paraId="61B2B193" w14:textId="77777777" w:rsidR="00577D08" w:rsidRDefault="00330FC0">
                <w:r>
                  <w:rPr>
                    <w:rFonts w:hint="eastAsia"/>
                  </w:rPr>
                  <w:t>公司研发人员的数量</w:t>
                </w:r>
              </w:p>
            </w:tc>
          </w:sdtContent>
        </w:sdt>
        <w:sdt>
          <w:sdtPr>
            <w:rPr>
              <w:rFonts w:hint="eastAsia"/>
            </w:rPr>
            <w:alias w:val="公司研发人员的数量"/>
            <w:tag w:val="_GBC_a84a5cadb95b4b7595981b8f24d727c8"/>
            <w:id w:val="1030992724"/>
          </w:sdtPr>
          <w:sdtContent>
            <w:tc>
              <w:tcPr>
                <w:tcW w:w="3305" w:type="dxa"/>
                <w:tcBorders>
                  <w:top w:val="single" w:sz="4" w:space="0" w:color="auto"/>
                  <w:left w:val="nil"/>
                  <w:bottom w:val="single" w:sz="4" w:space="0" w:color="auto"/>
                  <w:right w:val="single" w:sz="4" w:space="0" w:color="auto"/>
                </w:tcBorders>
                <w:vAlign w:val="center"/>
              </w:tcPr>
              <w:p w14:paraId="1F534206" w14:textId="77777777" w:rsidR="00577D08" w:rsidRDefault="00330FC0">
                <w:pPr>
                  <w:jc w:val="right"/>
                </w:pPr>
                <w:r>
                  <w:t>161</w:t>
                </w:r>
              </w:p>
            </w:tc>
          </w:sdtContent>
        </w:sdt>
      </w:tr>
      <w:tr w:rsidR="00577D08" w14:paraId="37761ABB"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4626D4B0" w14:textId="77777777" w:rsidR="00577D08" w:rsidRDefault="00330FC0">
            <w:r>
              <w:rPr>
                <w:rFonts w:hint="eastAsia"/>
              </w:rPr>
              <w:t>研发人员数量占公司总人数的比例（</w:t>
            </w:r>
            <w:r>
              <w:rPr>
                <w:rFonts w:hint="eastAsia"/>
              </w:rPr>
              <w:t>%</w:t>
            </w:r>
            <w:r>
              <w:rPr>
                <w:rFonts w:hint="eastAsia"/>
              </w:rPr>
              <w:t>）</w:t>
            </w:r>
          </w:p>
        </w:tc>
        <w:tc>
          <w:tcPr>
            <w:tcW w:w="3305" w:type="dxa"/>
            <w:tcBorders>
              <w:top w:val="nil"/>
              <w:left w:val="nil"/>
              <w:bottom w:val="single" w:sz="4" w:space="0" w:color="auto"/>
              <w:right w:val="single" w:sz="4" w:space="0" w:color="auto"/>
            </w:tcBorders>
            <w:vAlign w:val="center"/>
          </w:tcPr>
          <w:p w14:paraId="5ABA4857" w14:textId="77777777" w:rsidR="00577D08" w:rsidRDefault="00330FC0">
            <w:pPr>
              <w:jc w:val="right"/>
            </w:pPr>
            <w:r>
              <w:rPr>
                <w:rFonts w:hint="eastAsia"/>
              </w:rPr>
              <w:t>7</w:t>
            </w:r>
            <w:r>
              <w:t>.10</w:t>
            </w:r>
          </w:p>
        </w:tc>
      </w:tr>
      <w:tr w:rsidR="00577D08" w14:paraId="2C211514" w14:textId="77777777">
        <w:trPr>
          <w:trHeight w:val="270"/>
          <w:jc w:val="center"/>
        </w:trPr>
        <w:sdt>
          <w:sdtPr>
            <w:tag w:val="_PLD_b048dc379aae455a86f744476f1bb4a1"/>
            <w:id w:val="145634438"/>
          </w:sdtPr>
          <w:sdtContent>
            <w:tc>
              <w:tcPr>
                <w:tcW w:w="9049" w:type="dxa"/>
                <w:gridSpan w:val="2"/>
                <w:tcBorders>
                  <w:top w:val="single" w:sz="4" w:space="0" w:color="auto"/>
                  <w:left w:val="single" w:sz="4" w:space="0" w:color="auto"/>
                  <w:bottom w:val="single" w:sz="4" w:space="0" w:color="auto"/>
                  <w:right w:val="single" w:sz="4" w:space="0" w:color="auto"/>
                </w:tcBorders>
                <w:vAlign w:val="center"/>
              </w:tcPr>
              <w:p w14:paraId="48EC4BB4" w14:textId="77777777" w:rsidR="00577D08" w:rsidRDefault="00330FC0">
                <w:pPr>
                  <w:jc w:val="center"/>
                </w:pPr>
                <w:r>
                  <w:rPr>
                    <w:rFonts w:hint="eastAsia"/>
                  </w:rPr>
                  <w:t>研发人员学历结构</w:t>
                </w:r>
              </w:p>
            </w:tc>
          </w:sdtContent>
        </w:sdt>
      </w:tr>
      <w:tr w:rsidR="00577D08" w14:paraId="51059675" w14:textId="77777777">
        <w:trPr>
          <w:trHeight w:val="270"/>
          <w:jc w:val="center"/>
        </w:trPr>
        <w:sdt>
          <w:sdtPr>
            <w:tag w:val="_PLD_f770501e43654648a563d2a86970204f"/>
            <w:id w:val="1210153221"/>
          </w:sdtPr>
          <w:sdtContent>
            <w:tc>
              <w:tcPr>
                <w:tcW w:w="5744" w:type="dxa"/>
                <w:tcBorders>
                  <w:top w:val="nil"/>
                  <w:left w:val="single" w:sz="4" w:space="0" w:color="auto"/>
                  <w:bottom w:val="single" w:sz="4" w:space="0" w:color="auto"/>
                  <w:right w:val="single" w:sz="4" w:space="0" w:color="auto"/>
                </w:tcBorders>
                <w:vAlign w:val="center"/>
              </w:tcPr>
              <w:p w14:paraId="0C326E32" w14:textId="77777777" w:rsidR="00577D08" w:rsidRDefault="00330FC0">
                <w:r>
                  <w:rPr>
                    <w:rFonts w:hint="eastAsia"/>
                  </w:rPr>
                  <w:t>学历结构类别</w:t>
                </w:r>
              </w:p>
            </w:tc>
          </w:sdtContent>
        </w:sdt>
        <w:tc>
          <w:tcPr>
            <w:tcW w:w="3305" w:type="dxa"/>
            <w:tcBorders>
              <w:top w:val="nil"/>
              <w:left w:val="nil"/>
              <w:bottom w:val="single" w:sz="4" w:space="0" w:color="auto"/>
              <w:right w:val="single" w:sz="4" w:space="0" w:color="auto"/>
            </w:tcBorders>
            <w:noWrap/>
            <w:vAlign w:val="center"/>
          </w:tcPr>
          <w:p w14:paraId="05BA240C" w14:textId="77777777" w:rsidR="00577D08" w:rsidRDefault="00330FC0">
            <w:pPr>
              <w:jc w:val="center"/>
            </w:pPr>
            <w:r>
              <w:rPr>
                <w:rFonts w:hint="eastAsia"/>
              </w:rPr>
              <w:t>学历结构人数</w:t>
            </w:r>
          </w:p>
        </w:tc>
      </w:tr>
      <w:tr w:rsidR="00577D08" w14:paraId="1B9945E1"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5E69E5E3" w14:textId="77777777" w:rsidR="00577D08" w:rsidRDefault="00330FC0">
            <w:r>
              <w:rPr>
                <w:rFonts w:hint="eastAsia"/>
              </w:rPr>
              <w:t>博士研究生</w:t>
            </w:r>
          </w:p>
        </w:tc>
        <w:tc>
          <w:tcPr>
            <w:tcW w:w="3305" w:type="dxa"/>
            <w:tcBorders>
              <w:top w:val="nil"/>
              <w:left w:val="nil"/>
              <w:bottom w:val="single" w:sz="4" w:space="0" w:color="auto"/>
              <w:right w:val="single" w:sz="4" w:space="0" w:color="auto"/>
            </w:tcBorders>
            <w:noWrap/>
          </w:tcPr>
          <w:p w14:paraId="1FA51813" w14:textId="77777777" w:rsidR="00577D08" w:rsidRDefault="00330FC0">
            <w:pPr>
              <w:jc w:val="right"/>
            </w:pPr>
            <w:r>
              <w:t>3</w:t>
            </w:r>
          </w:p>
        </w:tc>
      </w:tr>
      <w:tr w:rsidR="00577D08" w14:paraId="47809D8D"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621A8C52" w14:textId="77777777" w:rsidR="00577D08" w:rsidRDefault="00330FC0">
            <w:r>
              <w:rPr>
                <w:rFonts w:hint="eastAsia"/>
              </w:rPr>
              <w:t>硕士研究生</w:t>
            </w:r>
          </w:p>
        </w:tc>
        <w:tc>
          <w:tcPr>
            <w:tcW w:w="3305" w:type="dxa"/>
            <w:tcBorders>
              <w:top w:val="nil"/>
              <w:left w:val="nil"/>
              <w:bottom w:val="single" w:sz="4" w:space="0" w:color="auto"/>
              <w:right w:val="single" w:sz="4" w:space="0" w:color="auto"/>
            </w:tcBorders>
            <w:noWrap/>
          </w:tcPr>
          <w:p w14:paraId="2F861FD9" w14:textId="77777777" w:rsidR="00577D08" w:rsidRDefault="00330FC0">
            <w:pPr>
              <w:jc w:val="right"/>
            </w:pPr>
            <w:r>
              <w:t>15</w:t>
            </w:r>
          </w:p>
        </w:tc>
      </w:tr>
      <w:tr w:rsidR="00577D08" w14:paraId="555D88CE"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2C28FC45" w14:textId="77777777" w:rsidR="00577D08" w:rsidRDefault="00330FC0">
            <w:r>
              <w:rPr>
                <w:rFonts w:hint="eastAsia"/>
              </w:rPr>
              <w:t>本科</w:t>
            </w:r>
          </w:p>
        </w:tc>
        <w:tc>
          <w:tcPr>
            <w:tcW w:w="3305" w:type="dxa"/>
            <w:tcBorders>
              <w:top w:val="nil"/>
              <w:left w:val="nil"/>
              <w:bottom w:val="single" w:sz="4" w:space="0" w:color="auto"/>
              <w:right w:val="single" w:sz="4" w:space="0" w:color="auto"/>
            </w:tcBorders>
            <w:noWrap/>
          </w:tcPr>
          <w:p w14:paraId="3B62B8EF" w14:textId="77777777" w:rsidR="00577D08" w:rsidRDefault="00330FC0">
            <w:pPr>
              <w:jc w:val="right"/>
            </w:pPr>
            <w:r>
              <w:t>86</w:t>
            </w:r>
          </w:p>
        </w:tc>
      </w:tr>
      <w:tr w:rsidR="00577D08" w14:paraId="47A5498C"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00563AD4" w14:textId="77777777" w:rsidR="00577D08" w:rsidRDefault="00330FC0">
            <w:r>
              <w:rPr>
                <w:rFonts w:hint="eastAsia"/>
              </w:rPr>
              <w:t>专科</w:t>
            </w:r>
          </w:p>
        </w:tc>
        <w:tc>
          <w:tcPr>
            <w:tcW w:w="3305" w:type="dxa"/>
            <w:tcBorders>
              <w:top w:val="nil"/>
              <w:left w:val="nil"/>
              <w:bottom w:val="single" w:sz="4" w:space="0" w:color="auto"/>
              <w:right w:val="single" w:sz="4" w:space="0" w:color="auto"/>
            </w:tcBorders>
            <w:noWrap/>
          </w:tcPr>
          <w:p w14:paraId="071B9163" w14:textId="77777777" w:rsidR="00577D08" w:rsidRDefault="00330FC0">
            <w:pPr>
              <w:jc w:val="right"/>
            </w:pPr>
            <w:r>
              <w:t>44</w:t>
            </w:r>
          </w:p>
        </w:tc>
      </w:tr>
      <w:tr w:rsidR="00577D08" w14:paraId="6A1C0154"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2B036C1F" w14:textId="77777777" w:rsidR="00577D08" w:rsidRDefault="00330FC0">
            <w:r>
              <w:rPr>
                <w:rFonts w:hint="eastAsia"/>
              </w:rPr>
              <w:t>高中及以下</w:t>
            </w:r>
          </w:p>
        </w:tc>
        <w:tc>
          <w:tcPr>
            <w:tcW w:w="3305" w:type="dxa"/>
            <w:tcBorders>
              <w:top w:val="nil"/>
              <w:left w:val="nil"/>
              <w:bottom w:val="single" w:sz="4" w:space="0" w:color="auto"/>
              <w:right w:val="single" w:sz="4" w:space="0" w:color="auto"/>
            </w:tcBorders>
            <w:noWrap/>
          </w:tcPr>
          <w:p w14:paraId="3D57BDE0" w14:textId="77777777" w:rsidR="00577D08" w:rsidRDefault="00330FC0">
            <w:pPr>
              <w:jc w:val="right"/>
            </w:pPr>
            <w:r>
              <w:t>13</w:t>
            </w:r>
          </w:p>
        </w:tc>
      </w:tr>
      <w:tr w:rsidR="00577D08" w14:paraId="7B85CA9B" w14:textId="77777777">
        <w:trPr>
          <w:trHeight w:val="270"/>
          <w:jc w:val="center"/>
        </w:trPr>
        <w:sdt>
          <w:sdtPr>
            <w:tag w:val="_PLD_10352dc928264c50aa8776e0ae8ec569"/>
            <w:id w:val="547656472"/>
          </w:sdtPr>
          <w:sdtContent>
            <w:tc>
              <w:tcPr>
                <w:tcW w:w="9049" w:type="dxa"/>
                <w:gridSpan w:val="2"/>
                <w:tcBorders>
                  <w:top w:val="nil"/>
                  <w:left w:val="single" w:sz="4" w:space="0" w:color="auto"/>
                  <w:bottom w:val="single" w:sz="4" w:space="0" w:color="auto"/>
                  <w:right w:val="single" w:sz="4" w:space="0" w:color="auto"/>
                </w:tcBorders>
                <w:vAlign w:val="center"/>
              </w:tcPr>
              <w:p w14:paraId="4F6BF43E" w14:textId="77777777" w:rsidR="00577D08" w:rsidRDefault="00330FC0">
                <w:pPr>
                  <w:jc w:val="center"/>
                </w:pPr>
                <w:r>
                  <w:rPr>
                    <w:rFonts w:hint="eastAsia"/>
                  </w:rPr>
                  <w:t>研发人员年龄结构</w:t>
                </w:r>
              </w:p>
            </w:tc>
          </w:sdtContent>
        </w:sdt>
      </w:tr>
      <w:tr w:rsidR="00577D08" w14:paraId="27EB3380" w14:textId="77777777">
        <w:trPr>
          <w:trHeight w:val="270"/>
          <w:jc w:val="center"/>
        </w:trPr>
        <w:sdt>
          <w:sdtPr>
            <w:tag w:val="_PLD_b9dd411387bd4ae4b04fe660cc0aac1b"/>
            <w:id w:val="1706672049"/>
          </w:sdtPr>
          <w:sdtContent>
            <w:tc>
              <w:tcPr>
                <w:tcW w:w="5744" w:type="dxa"/>
                <w:tcBorders>
                  <w:top w:val="nil"/>
                  <w:left w:val="single" w:sz="4" w:space="0" w:color="auto"/>
                  <w:bottom w:val="single" w:sz="4" w:space="0" w:color="auto"/>
                  <w:right w:val="single" w:sz="4" w:space="0" w:color="auto"/>
                </w:tcBorders>
                <w:vAlign w:val="center"/>
              </w:tcPr>
              <w:p w14:paraId="56BAA593" w14:textId="77777777" w:rsidR="00577D08" w:rsidRDefault="00330FC0">
                <w:r>
                  <w:rPr>
                    <w:rFonts w:hint="eastAsia"/>
                  </w:rPr>
                  <w:t>年龄结构类别</w:t>
                </w:r>
              </w:p>
            </w:tc>
          </w:sdtContent>
        </w:sdt>
        <w:tc>
          <w:tcPr>
            <w:tcW w:w="3305" w:type="dxa"/>
            <w:tcBorders>
              <w:top w:val="nil"/>
              <w:left w:val="nil"/>
              <w:bottom w:val="single" w:sz="4" w:space="0" w:color="auto"/>
              <w:right w:val="single" w:sz="4" w:space="0" w:color="auto"/>
            </w:tcBorders>
            <w:noWrap/>
            <w:vAlign w:val="center"/>
          </w:tcPr>
          <w:p w14:paraId="516EEF9D" w14:textId="77777777" w:rsidR="00577D08" w:rsidRDefault="00330FC0">
            <w:pPr>
              <w:jc w:val="center"/>
            </w:pPr>
            <w:r>
              <w:rPr>
                <w:rFonts w:hint="eastAsia"/>
              </w:rPr>
              <w:t>年龄结构人数</w:t>
            </w:r>
          </w:p>
        </w:tc>
      </w:tr>
      <w:tr w:rsidR="00577D08" w14:paraId="0F6EADF7"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05238AB3" w14:textId="77777777" w:rsidR="00577D08" w:rsidRDefault="00330FC0">
            <w:r>
              <w:rPr>
                <w:rFonts w:hint="eastAsia"/>
              </w:rPr>
              <w:t>30</w:t>
            </w:r>
            <w:r>
              <w:rPr>
                <w:rFonts w:hint="eastAsia"/>
              </w:rPr>
              <w:t>岁以下（不含</w:t>
            </w:r>
            <w:r>
              <w:rPr>
                <w:rFonts w:hint="eastAsia"/>
              </w:rPr>
              <w:t>30</w:t>
            </w:r>
            <w:r>
              <w:rPr>
                <w:rFonts w:hint="eastAsia"/>
              </w:rPr>
              <w:t>岁）</w:t>
            </w:r>
          </w:p>
        </w:tc>
        <w:tc>
          <w:tcPr>
            <w:tcW w:w="3305" w:type="dxa"/>
            <w:tcBorders>
              <w:top w:val="nil"/>
              <w:left w:val="nil"/>
              <w:bottom w:val="single" w:sz="4" w:space="0" w:color="auto"/>
              <w:right w:val="single" w:sz="4" w:space="0" w:color="auto"/>
            </w:tcBorders>
            <w:noWrap/>
          </w:tcPr>
          <w:p w14:paraId="3F8C964C" w14:textId="77777777" w:rsidR="00577D08" w:rsidRDefault="00330FC0">
            <w:pPr>
              <w:jc w:val="right"/>
            </w:pPr>
            <w:r>
              <w:t>52</w:t>
            </w:r>
          </w:p>
        </w:tc>
      </w:tr>
      <w:tr w:rsidR="00577D08" w14:paraId="37E95859"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241493BB" w14:textId="77777777" w:rsidR="00577D08" w:rsidRDefault="00330FC0">
            <w:r>
              <w:rPr>
                <w:rFonts w:hint="eastAsia"/>
              </w:rPr>
              <w:lastRenderedPageBreak/>
              <w:t>30-40</w:t>
            </w:r>
            <w:r>
              <w:rPr>
                <w:rFonts w:hint="eastAsia"/>
              </w:rPr>
              <w:t>岁（含</w:t>
            </w:r>
            <w:r>
              <w:rPr>
                <w:rFonts w:hint="eastAsia"/>
              </w:rPr>
              <w:t>30</w:t>
            </w:r>
            <w:r>
              <w:rPr>
                <w:rFonts w:hint="eastAsia"/>
              </w:rPr>
              <w:t>岁，不含</w:t>
            </w:r>
            <w:r>
              <w:rPr>
                <w:rFonts w:hint="eastAsia"/>
              </w:rPr>
              <w:t>40</w:t>
            </w:r>
            <w:r>
              <w:rPr>
                <w:rFonts w:hint="eastAsia"/>
              </w:rPr>
              <w:t>岁）</w:t>
            </w:r>
          </w:p>
        </w:tc>
        <w:tc>
          <w:tcPr>
            <w:tcW w:w="3305" w:type="dxa"/>
            <w:tcBorders>
              <w:top w:val="nil"/>
              <w:left w:val="nil"/>
              <w:bottom w:val="single" w:sz="4" w:space="0" w:color="auto"/>
              <w:right w:val="single" w:sz="4" w:space="0" w:color="auto"/>
            </w:tcBorders>
            <w:noWrap/>
          </w:tcPr>
          <w:p w14:paraId="44742CD9" w14:textId="77777777" w:rsidR="00577D08" w:rsidRDefault="00330FC0">
            <w:pPr>
              <w:jc w:val="right"/>
            </w:pPr>
            <w:r>
              <w:t>48</w:t>
            </w:r>
          </w:p>
        </w:tc>
      </w:tr>
      <w:tr w:rsidR="00577D08" w14:paraId="2218AAAD"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0DEF2E2B" w14:textId="77777777" w:rsidR="00577D08" w:rsidRDefault="00330FC0">
            <w:r>
              <w:rPr>
                <w:rFonts w:hint="eastAsia"/>
              </w:rPr>
              <w:t>40-50</w:t>
            </w:r>
            <w:r>
              <w:rPr>
                <w:rFonts w:hint="eastAsia"/>
              </w:rPr>
              <w:t>岁（含</w:t>
            </w:r>
            <w:r>
              <w:rPr>
                <w:rFonts w:hint="eastAsia"/>
              </w:rPr>
              <w:t>40</w:t>
            </w:r>
            <w:r>
              <w:rPr>
                <w:rFonts w:hint="eastAsia"/>
              </w:rPr>
              <w:t>岁，不含</w:t>
            </w:r>
            <w:r>
              <w:rPr>
                <w:rFonts w:hint="eastAsia"/>
              </w:rPr>
              <w:t>50</w:t>
            </w:r>
            <w:r>
              <w:rPr>
                <w:rFonts w:hint="eastAsia"/>
              </w:rPr>
              <w:t>岁）</w:t>
            </w:r>
          </w:p>
        </w:tc>
        <w:tc>
          <w:tcPr>
            <w:tcW w:w="3305" w:type="dxa"/>
            <w:tcBorders>
              <w:top w:val="nil"/>
              <w:left w:val="nil"/>
              <w:bottom w:val="single" w:sz="4" w:space="0" w:color="auto"/>
              <w:right w:val="single" w:sz="4" w:space="0" w:color="auto"/>
            </w:tcBorders>
            <w:noWrap/>
          </w:tcPr>
          <w:p w14:paraId="2BCAE750" w14:textId="77777777" w:rsidR="00577D08" w:rsidRDefault="00330FC0">
            <w:pPr>
              <w:jc w:val="right"/>
            </w:pPr>
            <w:r>
              <w:t>22</w:t>
            </w:r>
          </w:p>
        </w:tc>
      </w:tr>
      <w:tr w:rsidR="00577D08" w14:paraId="7F215E40"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275874AF" w14:textId="77777777" w:rsidR="00577D08" w:rsidRDefault="00330FC0">
            <w:r>
              <w:rPr>
                <w:rFonts w:hint="eastAsia"/>
              </w:rPr>
              <w:t>50-60</w:t>
            </w:r>
            <w:r>
              <w:rPr>
                <w:rFonts w:hint="eastAsia"/>
              </w:rPr>
              <w:t>岁（含</w:t>
            </w:r>
            <w:r>
              <w:rPr>
                <w:rFonts w:hint="eastAsia"/>
              </w:rPr>
              <w:t>50</w:t>
            </w:r>
            <w:r>
              <w:rPr>
                <w:rFonts w:hint="eastAsia"/>
              </w:rPr>
              <w:t>岁，不含</w:t>
            </w:r>
            <w:r>
              <w:rPr>
                <w:rFonts w:hint="eastAsia"/>
              </w:rPr>
              <w:t>60</w:t>
            </w:r>
            <w:r>
              <w:rPr>
                <w:rFonts w:hint="eastAsia"/>
              </w:rPr>
              <w:t>岁）</w:t>
            </w:r>
          </w:p>
        </w:tc>
        <w:tc>
          <w:tcPr>
            <w:tcW w:w="3305" w:type="dxa"/>
            <w:tcBorders>
              <w:top w:val="nil"/>
              <w:left w:val="nil"/>
              <w:bottom w:val="single" w:sz="4" w:space="0" w:color="auto"/>
              <w:right w:val="single" w:sz="4" w:space="0" w:color="auto"/>
            </w:tcBorders>
            <w:noWrap/>
          </w:tcPr>
          <w:p w14:paraId="07811C25" w14:textId="77777777" w:rsidR="00577D08" w:rsidRDefault="00330FC0">
            <w:pPr>
              <w:jc w:val="right"/>
            </w:pPr>
            <w:r>
              <w:t>3</w:t>
            </w:r>
            <w:r>
              <w:rPr>
                <w:rFonts w:hint="eastAsia"/>
              </w:rPr>
              <w:t>5</w:t>
            </w:r>
          </w:p>
        </w:tc>
      </w:tr>
      <w:tr w:rsidR="00577D08" w14:paraId="63AED7CB" w14:textId="77777777">
        <w:trPr>
          <w:trHeight w:val="270"/>
          <w:jc w:val="center"/>
        </w:trPr>
        <w:tc>
          <w:tcPr>
            <w:tcW w:w="5744" w:type="dxa"/>
            <w:tcBorders>
              <w:top w:val="nil"/>
              <w:left w:val="single" w:sz="4" w:space="0" w:color="auto"/>
              <w:bottom w:val="single" w:sz="4" w:space="0" w:color="auto"/>
              <w:right w:val="single" w:sz="4" w:space="0" w:color="auto"/>
            </w:tcBorders>
            <w:vAlign w:val="center"/>
          </w:tcPr>
          <w:p w14:paraId="3E29C0E6" w14:textId="77777777" w:rsidR="00577D08" w:rsidRDefault="00330FC0">
            <w:r>
              <w:rPr>
                <w:rFonts w:hint="eastAsia"/>
              </w:rPr>
              <w:t>60</w:t>
            </w:r>
            <w:r>
              <w:rPr>
                <w:rFonts w:hint="eastAsia"/>
              </w:rPr>
              <w:t>岁及以上</w:t>
            </w:r>
          </w:p>
        </w:tc>
        <w:tc>
          <w:tcPr>
            <w:tcW w:w="3305" w:type="dxa"/>
            <w:tcBorders>
              <w:top w:val="nil"/>
              <w:left w:val="nil"/>
              <w:bottom w:val="single" w:sz="4" w:space="0" w:color="auto"/>
              <w:right w:val="single" w:sz="4" w:space="0" w:color="auto"/>
            </w:tcBorders>
            <w:noWrap/>
          </w:tcPr>
          <w:p w14:paraId="62DA16F0" w14:textId="77777777" w:rsidR="00577D08" w:rsidRDefault="00330FC0">
            <w:pPr>
              <w:jc w:val="right"/>
            </w:pPr>
            <w:r>
              <w:t>4</w:t>
            </w:r>
          </w:p>
        </w:tc>
      </w:tr>
    </w:tbl>
    <w:bookmarkEnd w:id="119"/>
    <w:p w14:paraId="45996215" w14:textId="77777777" w:rsidR="00577D08" w:rsidRDefault="00330FC0">
      <w:pPr>
        <w:pStyle w:val="aff9"/>
        <w:numPr>
          <w:ilvl w:val="0"/>
          <w:numId w:val="11"/>
        </w:numPr>
        <w:spacing w:before="60" w:after="60"/>
        <w:ind w:firstLineChars="0"/>
        <w:rPr>
          <w:rStyle w:val="50"/>
          <w:szCs w:val="21"/>
        </w:rPr>
      </w:pPr>
      <w:r>
        <w:rPr>
          <w:rStyle w:val="50"/>
          <w:szCs w:val="21"/>
        </w:rPr>
        <w:t>情况说明</w:t>
      </w:r>
    </w:p>
    <w:sdt>
      <w:sdtPr>
        <w:rPr>
          <w:rStyle w:val="50"/>
          <w:b w:val="0"/>
          <w:szCs w:val="21"/>
        </w:rPr>
        <w:alias w:val="是否适用：研发投入情况说明[双击切换]"/>
        <w:tag w:val="_GBC_b983f5c63407411d82434ca6547deae8"/>
        <w:id w:val="1127365126"/>
        <w:placeholder>
          <w:docPart w:val="EFD3FF3855CE4AFD8CD1EB64DC1EC186"/>
        </w:placeholder>
      </w:sdtPr>
      <w:sdtContent>
        <w:p w14:paraId="2854A994" w14:textId="77777777" w:rsidR="00577D08" w:rsidRDefault="00330FC0">
          <w:pPr>
            <w:spacing w:before="60" w:after="60"/>
            <w:rPr>
              <w:rStyle w:val="50"/>
              <w:szCs w:val="21"/>
            </w:rPr>
          </w:pPr>
          <w:r>
            <w:rPr>
              <w:rStyle w:val="50"/>
              <w:rFonts w:ascii="宋体" w:hAnsi="宋体"/>
              <w:b w:val="0"/>
              <w:szCs w:val="21"/>
            </w:rPr>
            <w:fldChar w:fldCharType="begin"/>
          </w:r>
          <w:r>
            <w:rPr>
              <w:rStyle w:val="50"/>
              <w:rFonts w:ascii="宋体" w:hAnsi="宋体"/>
              <w:b w:val="0"/>
              <w:szCs w:val="21"/>
            </w:rPr>
            <w:instrText xml:space="preserve">MACROBUTTON  SnrToggleCheckbox □适用 </w:instrText>
          </w:r>
          <w:r>
            <w:rPr>
              <w:rStyle w:val="50"/>
              <w:rFonts w:ascii="宋体" w:hAnsi="宋体"/>
              <w:b w:val="0"/>
              <w:szCs w:val="21"/>
            </w:rPr>
            <w:fldChar w:fldCharType="end"/>
          </w:r>
          <w:r>
            <w:rPr>
              <w:rStyle w:val="50"/>
              <w:rFonts w:ascii="宋体" w:hAnsi="宋体"/>
              <w:b w:val="0"/>
              <w:szCs w:val="21"/>
            </w:rPr>
            <w:fldChar w:fldCharType="begin"/>
          </w:r>
          <w:r>
            <w:rPr>
              <w:rStyle w:val="50"/>
              <w:rFonts w:ascii="宋体" w:hAnsi="宋体"/>
              <w:b w:val="0"/>
              <w:szCs w:val="21"/>
            </w:rPr>
            <w:instrText xml:space="preserve"> MACROBUTTON  SnrToggleCheckbox √不适用 </w:instrText>
          </w:r>
          <w:r>
            <w:rPr>
              <w:rStyle w:val="50"/>
              <w:rFonts w:ascii="宋体" w:hAnsi="宋体"/>
              <w:b w:val="0"/>
              <w:szCs w:val="21"/>
            </w:rPr>
            <w:fldChar w:fldCharType="end"/>
          </w:r>
        </w:p>
      </w:sdtContent>
    </w:sdt>
    <w:p w14:paraId="52FA6676" w14:textId="77777777" w:rsidR="00577D08" w:rsidRDefault="00330FC0">
      <w:pPr>
        <w:pStyle w:val="aff9"/>
        <w:numPr>
          <w:ilvl w:val="0"/>
          <w:numId w:val="11"/>
        </w:numPr>
        <w:spacing w:before="60" w:after="60"/>
        <w:ind w:firstLineChars="0"/>
        <w:rPr>
          <w:rStyle w:val="50"/>
          <w:szCs w:val="21"/>
        </w:rPr>
      </w:pPr>
      <w:bookmarkStart w:id="120" w:name="_Hlk89876701"/>
      <w:r>
        <w:rPr>
          <w:rStyle w:val="50"/>
          <w:rFonts w:hint="eastAsia"/>
          <w:szCs w:val="21"/>
        </w:rPr>
        <w:t>研发人员构成发生重大变化的原因及对公司未来发展的影响</w:t>
      </w:r>
    </w:p>
    <w:p w14:paraId="6B399295" w14:textId="77777777" w:rsidR="00577D08" w:rsidRDefault="00000000">
      <w:pPr>
        <w:spacing w:before="60" w:after="60"/>
        <w:rPr>
          <w:bCs/>
          <w:kern w:val="2"/>
        </w:rPr>
      </w:pPr>
      <w:sdt>
        <w:sdtPr>
          <w:rPr>
            <w:rStyle w:val="5Char2"/>
            <w:b w:val="0"/>
            <w:szCs w:val="21"/>
          </w:rPr>
          <w:alias w:val="是否适用：研发人员构成发生重大变化的原因及对公司未来发展的影响 [双击切换]"/>
          <w:tag w:val="_GBC_03b44883afff4742a08c198d082c26b3"/>
          <w:id w:val="-284123684"/>
          <w:placeholder>
            <w:docPart w:val="EFD3FF3855CE4AFD8CD1EB64DC1EC186"/>
          </w:placeholder>
        </w:sdtPr>
        <w:sdtContent>
          <w:r w:rsidR="00330FC0">
            <w:rPr>
              <w:rStyle w:val="5Char2"/>
              <w:rFonts w:ascii="宋体" w:hAnsi="宋体"/>
              <w:b w:val="0"/>
              <w:szCs w:val="21"/>
            </w:rPr>
            <w:fldChar w:fldCharType="begin"/>
          </w:r>
          <w:r w:rsidR="00330FC0">
            <w:rPr>
              <w:rStyle w:val="5Char2"/>
              <w:rFonts w:ascii="宋体" w:hAnsi="宋体"/>
              <w:b w:val="0"/>
              <w:szCs w:val="21"/>
            </w:rPr>
            <w:instrText xml:space="preserve"> MACROBUTTON  SnrToggleCheckbox □适用 </w:instrText>
          </w:r>
          <w:r w:rsidR="00330FC0">
            <w:rPr>
              <w:rStyle w:val="5Char2"/>
              <w:rFonts w:ascii="宋体" w:hAnsi="宋体"/>
              <w:b w:val="0"/>
              <w:szCs w:val="21"/>
            </w:rPr>
            <w:fldChar w:fldCharType="end"/>
          </w:r>
          <w:r w:rsidR="00330FC0">
            <w:rPr>
              <w:rStyle w:val="5Char2"/>
              <w:rFonts w:ascii="宋体" w:hAnsi="宋体"/>
              <w:b w:val="0"/>
              <w:szCs w:val="21"/>
            </w:rPr>
            <w:fldChar w:fldCharType="begin"/>
          </w:r>
          <w:r w:rsidR="00330FC0">
            <w:rPr>
              <w:rStyle w:val="5Char2"/>
              <w:rFonts w:ascii="宋体" w:hAnsi="宋体"/>
              <w:b w:val="0"/>
              <w:szCs w:val="21"/>
            </w:rPr>
            <w:instrText xml:space="preserve"> MACROBUTTON  SnrToggleCheckbox √不适用 </w:instrText>
          </w:r>
          <w:r w:rsidR="00330FC0">
            <w:rPr>
              <w:rStyle w:val="5Char2"/>
              <w:rFonts w:ascii="宋体" w:hAnsi="宋体"/>
              <w:b w:val="0"/>
              <w:szCs w:val="21"/>
            </w:rPr>
            <w:fldChar w:fldCharType="end"/>
          </w:r>
        </w:sdtContent>
      </w:sdt>
    </w:p>
    <w:bookmarkEnd w:id="120"/>
    <w:p w14:paraId="1AB9568B" w14:textId="77777777" w:rsidR="00577D08" w:rsidRDefault="00330FC0">
      <w:pPr>
        <w:pStyle w:val="4"/>
        <w:numPr>
          <w:ilvl w:val="0"/>
          <w:numId w:val="9"/>
        </w:numPr>
        <w:rPr>
          <w:rFonts w:hint="eastAsia"/>
        </w:rPr>
      </w:pPr>
      <w:r>
        <w:rPr>
          <w:rFonts w:hint="eastAsia"/>
        </w:rPr>
        <w:t>现金流</w:t>
      </w:r>
    </w:p>
    <w:sdt>
      <w:sdtPr>
        <w:alias w:val="是否适用：现金流[双击切换]"/>
        <w:tag w:val="_GBC_3340f2fc4f854cc1882e18412cf992f6"/>
        <w:id w:val="1193112870"/>
        <w:placeholder>
          <w:docPart w:val="EFD3FF3855CE4AFD8CD1EB64DC1EC186"/>
        </w:placeholder>
      </w:sdtPr>
      <w:sdtContent>
        <w:p w14:paraId="5339C21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9D739DA" w14:textId="77777777" w:rsidR="00577D08" w:rsidRDefault="00000000">
      <w:sdt>
        <w:sdtPr>
          <w:rPr>
            <w:rFonts w:hint="eastAsia"/>
          </w:rPr>
          <w:alias w:val="现金流的影响分析"/>
          <w:tag w:val="_GBC_586311c345aa4f48bab3f8f8d5347f93"/>
          <w:id w:val="-1953395756"/>
          <w:placeholder>
            <w:docPart w:val="EFD3FF3855CE4AFD8CD1EB64DC1EC186"/>
          </w:placeholder>
        </w:sdtPr>
        <w:sdtContent>
          <w:r w:rsidR="00330FC0">
            <w:t>详见第三节</w:t>
          </w:r>
          <w:r w:rsidR="00330FC0">
            <w:rPr>
              <w:rFonts w:hint="eastAsia"/>
            </w:rPr>
            <w:t>.</w:t>
          </w:r>
          <w:r w:rsidR="00330FC0">
            <w:t>五（一）</w:t>
          </w:r>
          <w:r w:rsidR="00330FC0">
            <w:t>1“</w:t>
          </w:r>
          <w:r w:rsidR="00330FC0">
            <w:t>利润表及现金流量表相关科目变动分析表</w:t>
          </w:r>
          <w:r w:rsidR="00330FC0">
            <w:t>”</w:t>
          </w:r>
          <w:r w:rsidR="00330FC0">
            <w:t>。</w:t>
          </w:r>
        </w:sdtContent>
      </w:sdt>
    </w:p>
    <w:p w14:paraId="00D35011" w14:textId="77777777" w:rsidR="00577D08" w:rsidRDefault="00330FC0">
      <w:pPr>
        <w:pStyle w:val="3"/>
        <w:numPr>
          <w:ilvl w:val="0"/>
          <w:numId w:val="8"/>
        </w:numPr>
        <w:ind w:left="369" w:hangingChars="175" w:hanging="369"/>
        <w:rPr>
          <w:szCs w:val="21"/>
        </w:rPr>
      </w:pPr>
      <w:r>
        <w:rPr>
          <w:rFonts w:hint="eastAsia"/>
          <w:szCs w:val="21"/>
        </w:rPr>
        <w:t>非主营业务导致利润重大变化的说明</w:t>
      </w:r>
    </w:p>
    <w:sdt>
      <w:sdtPr>
        <w:alias w:val="是否适用：非主营业务来源分析[双击切换]"/>
        <w:tag w:val="_GBC_e76b46ce658b44e591e71db49febe73d"/>
        <w:id w:val="-1791043925"/>
        <w:placeholder>
          <w:docPart w:val="GBC22222222222222222222222222222"/>
        </w:placeholder>
      </w:sdtPr>
      <w:sdtContent>
        <w:p w14:paraId="45B356E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非主营业务来源分析"/>
        <w:tag w:val="_GBC_8eea8520059143628468ae89d6811756"/>
        <w:id w:val="-825049139"/>
        <w:placeholder>
          <w:docPart w:val="GBC22222222222222222222222222222"/>
        </w:placeholder>
      </w:sdtPr>
      <w:sdtContent>
        <w:p w14:paraId="0C1A5ECD" w14:textId="77777777" w:rsidR="00577D08" w:rsidRDefault="00330FC0">
          <w:r>
            <w:t>详见</w:t>
          </w:r>
          <w:r>
            <w:t>“</w:t>
          </w:r>
          <w:r>
            <w:t>第八节</w:t>
          </w:r>
          <w:r>
            <w:t>.</w:t>
          </w:r>
          <w:r>
            <w:t>七、合并财务报表项目注释</w:t>
          </w:r>
          <w:r>
            <w:t>.67</w:t>
          </w:r>
          <w:r>
            <w:t>、其他收益</w:t>
          </w:r>
          <w:r>
            <w:t>”</w:t>
          </w:r>
          <w:r>
            <w:rPr>
              <w:rFonts w:hint="eastAsia"/>
            </w:rPr>
            <w:t>。</w:t>
          </w:r>
        </w:p>
      </w:sdtContent>
    </w:sdt>
    <w:p w14:paraId="6AB38CDA" w14:textId="77777777" w:rsidR="00577D08" w:rsidRDefault="00330FC0">
      <w:pPr>
        <w:pStyle w:val="3"/>
        <w:numPr>
          <w:ilvl w:val="0"/>
          <w:numId w:val="8"/>
        </w:numPr>
        <w:rPr>
          <w:szCs w:val="21"/>
        </w:rPr>
      </w:pPr>
      <w:r>
        <w:rPr>
          <w:szCs w:val="21"/>
        </w:rPr>
        <w:t>资产、负债情况分析</w:t>
      </w:r>
    </w:p>
    <w:p w14:paraId="052F71BF" w14:textId="77777777" w:rsidR="00577D08" w:rsidRDefault="00000000">
      <w:sdt>
        <w:sdtPr>
          <w:rPr>
            <w:rFonts w:hint="eastAsia"/>
          </w:rPr>
          <w:alias w:val="是否适用：资产、负债情况分析[双击切换]"/>
          <w:tag w:val="_GBC_73f72b786f764d01bef1bb70d2d6e5c6"/>
          <w:id w:val="-2026937051"/>
          <w:lock w:val="contentLocked"/>
          <w:placeholder>
            <w:docPart w:val="GBC22222222222222222222222222222"/>
          </w:placeholder>
        </w:sdtPr>
        <w:sdtContent>
          <w:r w:rsidR="00330FC0">
            <w:rPr>
              <w:rFonts w:ascii="宋体" w:hAnsi="宋体"/>
            </w:rPr>
            <w:fldChar w:fldCharType="begin"/>
          </w:r>
          <w:r w:rsidR="00330FC0">
            <w:rPr>
              <w:rFonts w:ascii="宋体" w:hAnsi="宋体"/>
            </w:rPr>
            <w:instrText xml:space="preserve"> </w:instrText>
          </w:r>
          <w:r w:rsidR="00330FC0">
            <w:rPr>
              <w:rFonts w:ascii="宋体" w:hAnsi="宋体" w:hint="eastAsia"/>
            </w:rPr>
            <w:instrText xml:space="preserve">MACROBUTTON  SnrToggleCheckbox √适用 </w:instrText>
          </w:r>
          <w:r w:rsidR="00330FC0">
            <w:rPr>
              <w:rFonts w:ascii="宋体" w:hAnsi="宋体"/>
            </w:rPr>
            <w:instrText xml:space="preserve">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082B6B1B" w14:textId="77777777" w:rsidR="00577D08" w:rsidRDefault="00330FC0">
      <w:pPr>
        <w:pStyle w:val="4"/>
        <w:numPr>
          <w:ilvl w:val="0"/>
          <w:numId w:val="12"/>
        </w:numPr>
        <w:rPr>
          <w:rFonts w:hint="eastAsia"/>
        </w:rPr>
      </w:pPr>
      <w:r>
        <w:t>资产</w:t>
      </w:r>
      <w:r>
        <w:rPr>
          <w:rFonts w:hint="eastAsia"/>
        </w:rPr>
        <w:t>及</w:t>
      </w:r>
      <w:r>
        <w:t>负债</w:t>
      </w:r>
      <w:r>
        <w:rPr>
          <w:rFonts w:hint="eastAsia"/>
          <w:szCs w:val="21"/>
        </w:rPr>
        <w:t>状</w:t>
      </w:r>
      <w:r>
        <w:rPr>
          <w:szCs w:val="21"/>
        </w:rPr>
        <w:t>况</w:t>
      </w:r>
    </w:p>
    <w:p w14:paraId="04B89F90" w14:textId="77777777" w:rsidR="00577D08" w:rsidRDefault="00330FC0">
      <w:pPr>
        <w:wordWrap w:val="0"/>
        <w:jc w:val="right"/>
      </w:pPr>
      <w:r>
        <w:rPr>
          <w:rFonts w:hint="eastAsia"/>
        </w:rPr>
        <w:t>单位：</w:t>
      </w:r>
      <w:sdt>
        <w:sdtPr>
          <w:rPr>
            <w:rFonts w:hint="eastAsia"/>
          </w:rPr>
          <w:alias w:val="单位：资产负债状况分析"/>
          <w:tag w:val="_GBC_f016c1cffd884dd784e4fb134fd0d4df"/>
          <w:id w:val="-15414296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w:t>
      </w:r>
      <w:r>
        <w:rPr>
          <w:rFonts w:hint="eastAsia"/>
        </w:rPr>
        <w:t>币种：</w:t>
      </w:r>
      <w:sdt>
        <w:sdtPr>
          <w:rPr>
            <w:rFonts w:hint="eastAsia"/>
          </w:rPr>
          <w:alias w:val="币种：资产负债状况分析"/>
          <w:tag w:val="_GBC_18960409397a4cf093654b8114508f4b"/>
          <w:id w:val="15214304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5000" w:type="pct"/>
        <w:tblLook w:val="04A0" w:firstRow="1" w:lastRow="0" w:firstColumn="1" w:lastColumn="0" w:noHBand="0" w:noVBand="1"/>
      </w:tblPr>
      <w:tblGrid>
        <w:gridCol w:w="1488"/>
        <w:gridCol w:w="1161"/>
        <w:gridCol w:w="1315"/>
        <w:gridCol w:w="1223"/>
        <w:gridCol w:w="1329"/>
        <w:gridCol w:w="1276"/>
        <w:gridCol w:w="1031"/>
      </w:tblGrid>
      <w:tr w:rsidR="00577D08" w14:paraId="168694CB" w14:textId="77777777">
        <w:trPr>
          <w:trHeight w:val="180"/>
        </w:trPr>
        <w:bookmarkStart w:id="121" w:name="OLE_LINK61" w:displacedByCustomXml="next"/>
        <w:sdt>
          <w:sdtPr>
            <w:tag w:val="_PLD_8f1f37d9a09f4bf3a8f4c407297e58ed"/>
            <w:id w:val="-1253813924"/>
          </w:sdtPr>
          <w:sdtContent>
            <w:tc>
              <w:tcPr>
                <w:tcW w:w="844" w:type="pct"/>
                <w:vAlign w:val="center"/>
              </w:tcPr>
              <w:p w14:paraId="39CE05FE" w14:textId="77777777" w:rsidR="00577D08" w:rsidRDefault="00330FC0">
                <w:pPr>
                  <w:jc w:val="center"/>
                  <w:rPr>
                    <w:rStyle w:val="50"/>
                    <w:szCs w:val="21"/>
                  </w:rPr>
                </w:pPr>
                <w:r>
                  <w:t>项目名称</w:t>
                </w:r>
              </w:p>
            </w:tc>
          </w:sdtContent>
        </w:sdt>
        <w:sdt>
          <w:sdtPr>
            <w:tag w:val="_PLD_a4c00a3d0d0a42e28bc6a14dd6d26320"/>
            <w:id w:val="-2005811143"/>
          </w:sdtPr>
          <w:sdtContent>
            <w:tc>
              <w:tcPr>
                <w:tcW w:w="658" w:type="pct"/>
                <w:vAlign w:val="center"/>
              </w:tcPr>
              <w:p w14:paraId="2FC8C155" w14:textId="77777777" w:rsidR="00577D08" w:rsidRDefault="00330FC0">
                <w:pPr>
                  <w:jc w:val="center"/>
                  <w:rPr>
                    <w:rStyle w:val="50"/>
                    <w:szCs w:val="21"/>
                  </w:rPr>
                </w:pPr>
                <w:r>
                  <w:t>本期期末数</w:t>
                </w:r>
              </w:p>
            </w:tc>
          </w:sdtContent>
        </w:sdt>
        <w:sdt>
          <w:sdtPr>
            <w:tag w:val="_PLD_17de20223ad64b528b824744807b0036"/>
            <w:id w:val="-1497113152"/>
          </w:sdtPr>
          <w:sdtContent>
            <w:tc>
              <w:tcPr>
                <w:tcW w:w="745" w:type="pct"/>
                <w:vAlign w:val="center"/>
              </w:tcPr>
              <w:p w14:paraId="43ADAE79" w14:textId="77777777" w:rsidR="00577D08" w:rsidRDefault="00330FC0">
                <w:pPr>
                  <w:jc w:val="center"/>
                  <w:rPr>
                    <w:rStyle w:val="50"/>
                    <w:szCs w:val="21"/>
                  </w:rPr>
                </w:pPr>
                <w:r>
                  <w:t>本期期末数占总资产的比例（</w:t>
                </w:r>
                <w:r>
                  <w:t>%</w:t>
                </w:r>
                <w:r>
                  <w:t>）</w:t>
                </w:r>
              </w:p>
            </w:tc>
          </w:sdtContent>
        </w:sdt>
        <w:sdt>
          <w:sdtPr>
            <w:tag w:val="_PLD_d1b9e9483c3a41358f877758b5adb0fb"/>
            <w:id w:val="1946114289"/>
          </w:sdtPr>
          <w:sdtContent>
            <w:tc>
              <w:tcPr>
                <w:tcW w:w="693" w:type="pct"/>
                <w:vAlign w:val="center"/>
              </w:tcPr>
              <w:p w14:paraId="790B3491" w14:textId="77777777" w:rsidR="00577D08" w:rsidRDefault="00330FC0">
                <w:pPr>
                  <w:jc w:val="center"/>
                  <w:rPr>
                    <w:rStyle w:val="50"/>
                    <w:szCs w:val="21"/>
                  </w:rPr>
                </w:pPr>
                <w:r>
                  <w:t>上期期末数</w:t>
                </w:r>
              </w:p>
            </w:tc>
          </w:sdtContent>
        </w:sdt>
        <w:sdt>
          <w:sdtPr>
            <w:tag w:val="_PLD_3a8a8577e1a84f26856a900f7202f9a8"/>
            <w:id w:val="2082943936"/>
          </w:sdtPr>
          <w:sdtContent>
            <w:tc>
              <w:tcPr>
                <w:tcW w:w="753" w:type="pct"/>
                <w:vAlign w:val="center"/>
              </w:tcPr>
              <w:p w14:paraId="3DEC8BFF" w14:textId="77777777" w:rsidR="00577D08" w:rsidRDefault="00330FC0">
                <w:pPr>
                  <w:jc w:val="center"/>
                  <w:rPr>
                    <w:rStyle w:val="50"/>
                    <w:szCs w:val="21"/>
                  </w:rPr>
                </w:pPr>
                <w:r>
                  <w:t>上期期末数占总资产的比例（</w:t>
                </w:r>
                <w:r>
                  <w:t>%</w:t>
                </w:r>
                <w:r>
                  <w:t>）</w:t>
                </w:r>
              </w:p>
            </w:tc>
          </w:sdtContent>
        </w:sdt>
        <w:sdt>
          <w:sdtPr>
            <w:tag w:val="_PLD_8af1894621b84d44aec1deba51e3a7da"/>
            <w:id w:val="-1860577141"/>
          </w:sdtPr>
          <w:sdtContent>
            <w:tc>
              <w:tcPr>
                <w:tcW w:w="723" w:type="pct"/>
                <w:vAlign w:val="center"/>
              </w:tcPr>
              <w:p w14:paraId="36C39013" w14:textId="77777777" w:rsidR="00577D08" w:rsidRDefault="00330FC0">
                <w:pPr>
                  <w:jc w:val="center"/>
                  <w:rPr>
                    <w:rStyle w:val="50"/>
                    <w:szCs w:val="21"/>
                  </w:rPr>
                </w:pPr>
                <w:r>
                  <w:t>本期期末金额较上期期末变动比例（</w:t>
                </w:r>
                <w:r>
                  <w:t>%</w:t>
                </w:r>
                <w:r>
                  <w:t>）</w:t>
                </w:r>
              </w:p>
            </w:tc>
          </w:sdtContent>
        </w:sdt>
        <w:sdt>
          <w:sdtPr>
            <w:tag w:val="_PLD_495436d1d45e4a9391194459a895631e"/>
            <w:id w:val="-929424074"/>
          </w:sdtPr>
          <w:sdtContent>
            <w:tc>
              <w:tcPr>
                <w:tcW w:w="584" w:type="pct"/>
                <w:vAlign w:val="center"/>
              </w:tcPr>
              <w:p w14:paraId="077B0BF6" w14:textId="77777777" w:rsidR="00577D08" w:rsidRDefault="00330FC0">
                <w:pPr>
                  <w:jc w:val="center"/>
                  <w:rPr>
                    <w:rStyle w:val="50"/>
                    <w:szCs w:val="21"/>
                  </w:rPr>
                </w:pPr>
                <w:r>
                  <w:t>情况说明</w:t>
                </w:r>
              </w:p>
            </w:tc>
          </w:sdtContent>
        </w:sdt>
      </w:tr>
      <w:tr w:rsidR="00577D08" w14:paraId="17610A21" w14:textId="77777777">
        <w:trPr>
          <w:trHeight w:val="135"/>
        </w:trPr>
        <w:tc>
          <w:tcPr>
            <w:tcW w:w="844" w:type="pct"/>
          </w:tcPr>
          <w:p w14:paraId="4406DA9B" w14:textId="77777777" w:rsidR="00577D08" w:rsidRDefault="00330FC0">
            <w:r>
              <w:rPr>
                <w:rFonts w:hint="eastAsia"/>
              </w:rPr>
              <w:t>交易性金融资产</w:t>
            </w:r>
          </w:p>
        </w:tc>
        <w:tc>
          <w:tcPr>
            <w:tcW w:w="658" w:type="pct"/>
            <w:vAlign w:val="center"/>
          </w:tcPr>
          <w:p w14:paraId="55FD4240" w14:textId="77777777" w:rsidR="00577D08" w:rsidRDefault="00577D08">
            <w:pPr>
              <w:jc w:val="right"/>
            </w:pPr>
          </w:p>
        </w:tc>
        <w:tc>
          <w:tcPr>
            <w:tcW w:w="745" w:type="pct"/>
            <w:vAlign w:val="center"/>
          </w:tcPr>
          <w:p w14:paraId="6FE37833" w14:textId="77777777" w:rsidR="00577D08" w:rsidRDefault="00577D08">
            <w:pPr>
              <w:jc w:val="right"/>
            </w:pPr>
          </w:p>
        </w:tc>
        <w:tc>
          <w:tcPr>
            <w:tcW w:w="693" w:type="pct"/>
            <w:vAlign w:val="center"/>
          </w:tcPr>
          <w:p w14:paraId="04872C66" w14:textId="77777777" w:rsidR="00577D08" w:rsidRDefault="00330FC0">
            <w:pPr>
              <w:jc w:val="right"/>
            </w:pPr>
            <w:r>
              <w:rPr>
                <w:rFonts w:hint="eastAsia"/>
              </w:rPr>
              <w:t>2,505.88</w:t>
            </w:r>
          </w:p>
        </w:tc>
        <w:tc>
          <w:tcPr>
            <w:tcW w:w="753" w:type="pct"/>
            <w:vAlign w:val="center"/>
          </w:tcPr>
          <w:p w14:paraId="50BEFFDF" w14:textId="77777777" w:rsidR="00577D08" w:rsidRDefault="00330FC0">
            <w:pPr>
              <w:jc w:val="right"/>
            </w:pPr>
            <w:r>
              <w:rPr>
                <w:rFonts w:hint="eastAsia"/>
              </w:rPr>
              <w:t>0.38</w:t>
            </w:r>
          </w:p>
        </w:tc>
        <w:tc>
          <w:tcPr>
            <w:tcW w:w="723" w:type="pct"/>
            <w:vAlign w:val="center"/>
          </w:tcPr>
          <w:p w14:paraId="4A6AFE67" w14:textId="77777777" w:rsidR="00577D08" w:rsidRDefault="00330FC0">
            <w:pPr>
              <w:jc w:val="right"/>
            </w:pPr>
            <w:r>
              <w:rPr>
                <w:rFonts w:hint="eastAsia"/>
              </w:rPr>
              <w:t>-100.00</w:t>
            </w:r>
          </w:p>
        </w:tc>
        <w:tc>
          <w:tcPr>
            <w:tcW w:w="584" w:type="pct"/>
            <w:vAlign w:val="center"/>
          </w:tcPr>
          <w:p w14:paraId="05AEA0F2" w14:textId="77777777" w:rsidR="00577D08" w:rsidRDefault="00330FC0">
            <w:pPr>
              <w:jc w:val="center"/>
            </w:pPr>
            <w:r>
              <w:rPr>
                <w:rFonts w:hint="eastAsia"/>
              </w:rPr>
              <w:t>说明</w:t>
            </w:r>
            <w:r>
              <w:rPr>
                <w:rFonts w:hint="eastAsia"/>
              </w:rPr>
              <w:t>1</w:t>
            </w:r>
          </w:p>
        </w:tc>
      </w:tr>
      <w:tr w:rsidR="00577D08" w14:paraId="2B2AF324" w14:textId="77777777">
        <w:trPr>
          <w:trHeight w:val="135"/>
        </w:trPr>
        <w:tc>
          <w:tcPr>
            <w:tcW w:w="844" w:type="pct"/>
          </w:tcPr>
          <w:p w14:paraId="00CE5FE5" w14:textId="77777777" w:rsidR="00577D08" w:rsidRDefault="00330FC0">
            <w:r>
              <w:rPr>
                <w:rFonts w:hint="eastAsia"/>
              </w:rPr>
              <w:t>应收款项融资</w:t>
            </w:r>
          </w:p>
        </w:tc>
        <w:tc>
          <w:tcPr>
            <w:tcW w:w="658" w:type="pct"/>
            <w:vAlign w:val="center"/>
          </w:tcPr>
          <w:p w14:paraId="084187BF" w14:textId="77777777" w:rsidR="00577D08" w:rsidRDefault="00330FC0">
            <w:pPr>
              <w:jc w:val="right"/>
            </w:pPr>
            <w:r>
              <w:rPr>
                <w:rFonts w:hint="eastAsia"/>
              </w:rPr>
              <w:t>3,743.35</w:t>
            </w:r>
          </w:p>
        </w:tc>
        <w:tc>
          <w:tcPr>
            <w:tcW w:w="745" w:type="pct"/>
            <w:vAlign w:val="center"/>
          </w:tcPr>
          <w:p w14:paraId="55015CAA" w14:textId="77777777" w:rsidR="00577D08" w:rsidRDefault="00330FC0">
            <w:pPr>
              <w:jc w:val="right"/>
            </w:pPr>
            <w:r>
              <w:rPr>
                <w:rFonts w:hint="eastAsia"/>
              </w:rPr>
              <w:t>0.52</w:t>
            </w:r>
          </w:p>
        </w:tc>
        <w:tc>
          <w:tcPr>
            <w:tcW w:w="693" w:type="pct"/>
            <w:vAlign w:val="center"/>
          </w:tcPr>
          <w:p w14:paraId="304CC687" w14:textId="77777777" w:rsidR="00577D08" w:rsidRDefault="00330FC0">
            <w:pPr>
              <w:jc w:val="right"/>
            </w:pPr>
            <w:r>
              <w:rPr>
                <w:rFonts w:hint="eastAsia"/>
              </w:rPr>
              <w:t>1,499.52</w:t>
            </w:r>
          </w:p>
        </w:tc>
        <w:tc>
          <w:tcPr>
            <w:tcW w:w="753" w:type="pct"/>
            <w:vAlign w:val="center"/>
          </w:tcPr>
          <w:p w14:paraId="0C690642" w14:textId="77777777" w:rsidR="00577D08" w:rsidRDefault="00330FC0">
            <w:pPr>
              <w:jc w:val="right"/>
            </w:pPr>
            <w:r>
              <w:rPr>
                <w:rFonts w:hint="eastAsia"/>
              </w:rPr>
              <w:t>0.23</w:t>
            </w:r>
          </w:p>
        </w:tc>
        <w:tc>
          <w:tcPr>
            <w:tcW w:w="723" w:type="pct"/>
            <w:vAlign w:val="center"/>
          </w:tcPr>
          <w:p w14:paraId="3421C3F4" w14:textId="77777777" w:rsidR="00577D08" w:rsidRDefault="00330FC0">
            <w:pPr>
              <w:jc w:val="right"/>
            </w:pPr>
            <w:r>
              <w:rPr>
                <w:rFonts w:hint="eastAsia"/>
              </w:rPr>
              <w:t>149.64</w:t>
            </w:r>
          </w:p>
        </w:tc>
        <w:tc>
          <w:tcPr>
            <w:tcW w:w="584" w:type="pct"/>
            <w:vAlign w:val="center"/>
          </w:tcPr>
          <w:p w14:paraId="0E674767" w14:textId="77777777" w:rsidR="00577D08" w:rsidRDefault="00330FC0">
            <w:pPr>
              <w:jc w:val="center"/>
            </w:pPr>
            <w:r>
              <w:rPr>
                <w:rFonts w:hint="eastAsia"/>
              </w:rPr>
              <w:t>说明</w:t>
            </w:r>
            <w:r>
              <w:rPr>
                <w:rFonts w:hint="eastAsia"/>
              </w:rPr>
              <w:t>2</w:t>
            </w:r>
          </w:p>
        </w:tc>
      </w:tr>
      <w:tr w:rsidR="00577D08" w14:paraId="6913BF91" w14:textId="77777777">
        <w:trPr>
          <w:trHeight w:val="135"/>
        </w:trPr>
        <w:tc>
          <w:tcPr>
            <w:tcW w:w="844" w:type="pct"/>
          </w:tcPr>
          <w:p w14:paraId="29BE72D0" w14:textId="77777777" w:rsidR="00577D08" w:rsidRDefault="00330FC0">
            <w:r>
              <w:rPr>
                <w:rFonts w:hint="eastAsia"/>
              </w:rPr>
              <w:t>预付款项</w:t>
            </w:r>
          </w:p>
        </w:tc>
        <w:tc>
          <w:tcPr>
            <w:tcW w:w="658" w:type="pct"/>
            <w:vAlign w:val="center"/>
          </w:tcPr>
          <w:p w14:paraId="0A475B06" w14:textId="77777777" w:rsidR="00577D08" w:rsidRDefault="00330FC0">
            <w:pPr>
              <w:jc w:val="right"/>
            </w:pPr>
            <w:r>
              <w:rPr>
                <w:rFonts w:hint="eastAsia"/>
              </w:rPr>
              <w:t>14,270.93</w:t>
            </w:r>
          </w:p>
        </w:tc>
        <w:tc>
          <w:tcPr>
            <w:tcW w:w="745" w:type="pct"/>
            <w:vAlign w:val="center"/>
          </w:tcPr>
          <w:p w14:paraId="6E7BB744" w14:textId="77777777" w:rsidR="00577D08" w:rsidRDefault="00330FC0">
            <w:pPr>
              <w:jc w:val="right"/>
            </w:pPr>
            <w:r>
              <w:rPr>
                <w:rFonts w:hint="eastAsia"/>
              </w:rPr>
              <w:t>1.97</w:t>
            </w:r>
          </w:p>
        </w:tc>
        <w:tc>
          <w:tcPr>
            <w:tcW w:w="693" w:type="pct"/>
            <w:vAlign w:val="center"/>
          </w:tcPr>
          <w:p w14:paraId="1B328D7D" w14:textId="77777777" w:rsidR="00577D08" w:rsidRDefault="00330FC0">
            <w:pPr>
              <w:jc w:val="right"/>
            </w:pPr>
            <w:r>
              <w:rPr>
                <w:rFonts w:hint="eastAsia"/>
              </w:rPr>
              <w:t>8,076.26</w:t>
            </w:r>
          </w:p>
        </w:tc>
        <w:tc>
          <w:tcPr>
            <w:tcW w:w="753" w:type="pct"/>
            <w:vAlign w:val="center"/>
          </w:tcPr>
          <w:p w14:paraId="7D6AA988" w14:textId="77777777" w:rsidR="00577D08" w:rsidRDefault="00330FC0">
            <w:pPr>
              <w:jc w:val="right"/>
            </w:pPr>
            <w:r>
              <w:rPr>
                <w:rFonts w:hint="eastAsia"/>
              </w:rPr>
              <w:t>1.24</w:t>
            </w:r>
          </w:p>
        </w:tc>
        <w:tc>
          <w:tcPr>
            <w:tcW w:w="723" w:type="pct"/>
            <w:vAlign w:val="center"/>
          </w:tcPr>
          <w:p w14:paraId="7FF6BE4A" w14:textId="77777777" w:rsidR="00577D08" w:rsidRDefault="00330FC0">
            <w:pPr>
              <w:jc w:val="right"/>
            </w:pPr>
            <w:r>
              <w:rPr>
                <w:rFonts w:hint="eastAsia"/>
              </w:rPr>
              <w:t>76.70</w:t>
            </w:r>
          </w:p>
        </w:tc>
        <w:tc>
          <w:tcPr>
            <w:tcW w:w="584" w:type="pct"/>
            <w:vAlign w:val="center"/>
          </w:tcPr>
          <w:p w14:paraId="37EF0EB3" w14:textId="77777777" w:rsidR="00577D08" w:rsidRDefault="00330FC0">
            <w:pPr>
              <w:jc w:val="center"/>
            </w:pPr>
            <w:r>
              <w:rPr>
                <w:rFonts w:hint="eastAsia"/>
              </w:rPr>
              <w:t>说明</w:t>
            </w:r>
            <w:r>
              <w:rPr>
                <w:rFonts w:hint="eastAsia"/>
              </w:rPr>
              <w:t>3</w:t>
            </w:r>
          </w:p>
        </w:tc>
      </w:tr>
      <w:tr w:rsidR="00577D08" w14:paraId="211A22F0" w14:textId="77777777">
        <w:trPr>
          <w:trHeight w:val="135"/>
        </w:trPr>
        <w:tc>
          <w:tcPr>
            <w:tcW w:w="844" w:type="pct"/>
          </w:tcPr>
          <w:p w14:paraId="35A91603" w14:textId="77777777" w:rsidR="00577D08" w:rsidRDefault="00330FC0">
            <w:r>
              <w:rPr>
                <w:rFonts w:hint="eastAsia"/>
              </w:rPr>
              <w:t>长期应收款</w:t>
            </w:r>
          </w:p>
        </w:tc>
        <w:tc>
          <w:tcPr>
            <w:tcW w:w="658" w:type="pct"/>
            <w:vAlign w:val="center"/>
          </w:tcPr>
          <w:p w14:paraId="32BE3FFE" w14:textId="77777777" w:rsidR="00577D08" w:rsidRDefault="00330FC0">
            <w:pPr>
              <w:jc w:val="right"/>
            </w:pPr>
            <w:r>
              <w:rPr>
                <w:rFonts w:hint="eastAsia"/>
              </w:rPr>
              <w:t>364.21</w:t>
            </w:r>
          </w:p>
        </w:tc>
        <w:tc>
          <w:tcPr>
            <w:tcW w:w="745" w:type="pct"/>
            <w:vAlign w:val="center"/>
          </w:tcPr>
          <w:p w14:paraId="47A9B104" w14:textId="77777777" w:rsidR="00577D08" w:rsidRDefault="00330FC0">
            <w:pPr>
              <w:jc w:val="right"/>
            </w:pPr>
            <w:r>
              <w:rPr>
                <w:rFonts w:hint="eastAsia"/>
              </w:rPr>
              <w:t>0.05</w:t>
            </w:r>
          </w:p>
        </w:tc>
        <w:tc>
          <w:tcPr>
            <w:tcW w:w="693" w:type="pct"/>
            <w:vAlign w:val="center"/>
          </w:tcPr>
          <w:p w14:paraId="53F8B3B4" w14:textId="77777777" w:rsidR="00577D08" w:rsidRDefault="00330FC0">
            <w:pPr>
              <w:jc w:val="right"/>
            </w:pPr>
            <w:r>
              <w:rPr>
                <w:rFonts w:hint="eastAsia"/>
              </w:rPr>
              <w:t>568.37</w:t>
            </w:r>
          </w:p>
        </w:tc>
        <w:tc>
          <w:tcPr>
            <w:tcW w:w="753" w:type="pct"/>
            <w:vAlign w:val="center"/>
          </w:tcPr>
          <w:p w14:paraId="0712E4A6" w14:textId="77777777" w:rsidR="00577D08" w:rsidRDefault="00330FC0">
            <w:pPr>
              <w:jc w:val="right"/>
            </w:pPr>
            <w:r>
              <w:rPr>
                <w:rFonts w:hint="eastAsia"/>
              </w:rPr>
              <w:t>0.09</w:t>
            </w:r>
          </w:p>
        </w:tc>
        <w:tc>
          <w:tcPr>
            <w:tcW w:w="723" w:type="pct"/>
            <w:vAlign w:val="center"/>
          </w:tcPr>
          <w:p w14:paraId="7ADA6920" w14:textId="77777777" w:rsidR="00577D08" w:rsidRDefault="00330FC0">
            <w:pPr>
              <w:jc w:val="right"/>
            </w:pPr>
            <w:r>
              <w:rPr>
                <w:rFonts w:hint="eastAsia"/>
              </w:rPr>
              <w:t>-35.92</w:t>
            </w:r>
          </w:p>
        </w:tc>
        <w:tc>
          <w:tcPr>
            <w:tcW w:w="584" w:type="pct"/>
            <w:vAlign w:val="center"/>
          </w:tcPr>
          <w:p w14:paraId="27FFF301" w14:textId="77777777" w:rsidR="00577D08" w:rsidRDefault="00330FC0">
            <w:pPr>
              <w:jc w:val="center"/>
            </w:pPr>
            <w:r>
              <w:rPr>
                <w:rFonts w:hint="eastAsia"/>
              </w:rPr>
              <w:t>说明</w:t>
            </w:r>
            <w:r>
              <w:rPr>
                <w:rFonts w:hint="eastAsia"/>
              </w:rPr>
              <w:t>4</w:t>
            </w:r>
          </w:p>
        </w:tc>
      </w:tr>
      <w:tr w:rsidR="00577D08" w14:paraId="5BF93C42" w14:textId="77777777">
        <w:trPr>
          <w:trHeight w:val="135"/>
        </w:trPr>
        <w:tc>
          <w:tcPr>
            <w:tcW w:w="844" w:type="pct"/>
          </w:tcPr>
          <w:p w14:paraId="02BB2629" w14:textId="77777777" w:rsidR="00577D08" w:rsidRDefault="00330FC0">
            <w:r>
              <w:rPr>
                <w:rFonts w:hint="eastAsia"/>
              </w:rPr>
              <w:t>在建工程</w:t>
            </w:r>
          </w:p>
        </w:tc>
        <w:tc>
          <w:tcPr>
            <w:tcW w:w="658" w:type="pct"/>
            <w:vAlign w:val="center"/>
          </w:tcPr>
          <w:p w14:paraId="60B3A59F" w14:textId="77777777" w:rsidR="00577D08" w:rsidRDefault="00330FC0">
            <w:pPr>
              <w:jc w:val="right"/>
            </w:pPr>
            <w:r>
              <w:rPr>
                <w:rFonts w:hint="eastAsia"/>
              </w:rPr>
              <w:t>3,483.53</w:t>
            </w:r>
          </w:p>
        </w:tc>
        <w:tc>
          <w:tcPr>
            <w:tcW w:w="745" w:type="pct"/>
            <w:vAlign w:val="center"/>
          </w:tcPr>
          <w:p w14:paraId="66E59D7A" w14:textId="77777777" w:rsidR="00577D08" w:rsidRDefault="00330FC0">
            <w:pPr>
              <w:jc w:val="right"/>
            </w:pPr>
            <w:r>
              <w:rPr>
                <w:rFonts w:hint="eastAsia"/>
              </w:rPr>
              <w:t>0.48</w:t>
            </w:r>
          </w:p>
        </w:tc>
        <w:tc>
          <w:tcPr>
            <w:tcW w:w="693" w:type="pct"/>
            <w:vAlign w:val="center"/>
          </w:tcPr>
          <w:p w14:paraId="11D74490" w14:textId="77777777" w:rsidR="00577D08" w:rsidRDefault="00330FC0">
            <w:pPr>
              <w:jc w:val="right"/>
            </w:pPr>
            <w:r>
              <w:rPr>
                <w:rFonts w:hint="eastAsia"/>
              </w:rPr>
              <w:t>2,503.42</w:t>
            </w:r>
          </w:p>
        </w:tc>
        <w:tc>
          <w:tcPr>
            <w:tcW w:w="753" w:type="pct"/>
            <w:vAlign w:val="center"/>
          </w:tcPr>
          <w:p w14:paraId="0A6E09BA" w14:textId="77777777" w:rsidR="00577D08" w:rsidRDefault="00330FC0">
            <w:pPr>
              <w:jc w:val="right"/>
            </w:pPr>
            <w:r>
              <w:rPr>
                <w:rFonts w:hint="eastAsia"/>
              </w:rPr>
              <w:t>0.38</w:t>
            </w:r>
          </w:p>
        </w:tc>
        <w:tc>
          <w:tcPr>
            <w:tcW w:w="723" w:type="pct"/>
            <w:vAlign w:val="center"/>
          </w:tcPr>
          <w:p w14:paraId="3A77EE00" w14:textId="77777777" w:rsidR="00577D08" w:rsidRDefault="00330FC0">
            <w:pPr>
              <w:jc w:val="right"/>
            </w:pPr>
            <w:r>
              <w:rPr>
                <w:rFonts w:hint="eastAsia"/>
              </w:rPr>
              <w:t>39.15</w:t>
            </w:r>
          </w:p>
        </w:tc>
        <w:tc>
          <w:tcPr>
            <w:tcW w:w="584" w:type="pct"/>
            <w:vAlign w:val="center"/>
          </w:tcPr>
          <w:p w14:paraId="25F25024" w14:textId="77777777" w:rsidR="00577D08" w:rsidRDefault="00330FC0">
            <w:pPr>
              <w:jc w:val="center"/>
            </w:pPr>
            <w:r>
              <w:rPr>
                <w:rFonts w:hint="eastAsia"/>
              </w:rPr>
              <w:t>说明</w:t>
            </w:r>
            <w:r>
              <w:rPr>
                <w:rFonts w:hint="eastAsia"/>
              </w:rPr>
              <w:t>5</w:t>
            </w:r>
          </w:p>
        </w:tc>
      </w:tr>
      <w:tr w:rsidR="00577D08" w14:paraId="410C7452" w14:textId="77777777">
        <w:trPr>
          <w:trHeight w:val="135"/>
        </w:trPr>
        <w:tc>
          <w:tcPr>
            <w:tcW w:w="844" w:type="pct"/>
          </w:tcPr>
          <w:p w14:paraId="03899F40" w14:textId="77777777" w:rsidR="00577D08" w:rsidRDefault="00330FC0">
            <w:r>
              <w:rPr>
                <w:rFonts w:hint="eastAsia"/>
              </w:rPr>
              <w:t>使用权资产</w:t>
            </w:r>
          </w:p>
        </w:tc>
        <w:tc>
          <w:tcPr>
            <w:tcW w:w="658" w:type="pct"/>
            <w:vAlign w:val="center"/>
          </w:tcPr>
          <w:p w14:paraId="51AF039C" w14:textId="77777777" w:rsidR="00577D08" w:rsidRDefault="00330FC0">
            <w:pPr>
              <w:jc w:val="right"/>
            </w:pPr>
            <w:r>
              <w:rPr>
                <w:rFonts w:hint="eastAsia"/>
              </w:rPr>
              <w:t>2,057.95</w:t>
            </w:r>
          </w:p>
        </w:tc>
        <w:tc>
          <w:tcPr>
            <w:tcW w:w="745" w:type="pct"/>
            <w:vAlign w:val="center"/>
          </w:tcPr>
          <w:p w14:paraId="422A5BB4" w14:textId="77777777" w:rsidR="00577D08" w:rsidRDefault="00330FC0">
            <w:pPr>
              <w:jc w:val="right"/>
            </w:pPr>
            <w:r>
              <w:rPr>
                <w:rFonts w:hint="eastAsia"/>
              </w:rPr>
              <w:t>0.28</w:t>
            </w:r>
          </w:p>
        </w:tc>
        <w:tc>
          <w:tcPr>
            <w:tcW w:w="693" w:type="pct"/>
            <w:vAlign w:val="center"/>
          </w:tcPr>
          <w:p w14:paraId="6E0CCEAC" w14:textId="77777777" w:rsidR="00577D08" w:rsidRDefault="00330FC0">
            <w:pPr>
              <w:jc w:val="right"/>
            </w:pPr>
            <w:r>
              <w:rPr>
                <w:rFonts w:hint="eastAsia"/>
              </w:rPr>
              <w:t>556.93</w:t>
            </w:r>
          </w:p>
        </w:tc>
        <w:tc>
          <w:tcPr>
            <w:tcW w:w="753" w:type="pct"/>
            <w:vAlign w:val="center"/>
          </w:tcPr>
          <w:p w14:paraId="7C6184DB" w14:textId="77777777" w:rsidR="00577D08" w:rsidRDefault="00330FC0">
            <w:pPr>
              <w:jc w:val="right"/>
            </w:pPr>
            <w:r>
              <w:rPr>
                <w:rFonts w:hint="eastAsia"/>
              </w:rPr>
              <w:t>0.09</w:t>
            </w:r>
          </w:p>
        </w:tc>
        <w:tc>
          <w:tcPr>
            <w:tcW w:w="723" w:type="pct"/>
            <w:vAlign w:val="center"/>
          </w:tcPr>
          <w:p w14:paraId="4432C6CF" w14:textId="77777777" w:rsidR="00577D08" w:rsidRDefault="00330FC0">
            <w:pPr>
              <w:jc w:val="right"/>
            </w:pPr>
            <w:r>
              <w:rPr>
                <w:rFonts w:hint="eastAsia"/>
              </w:rPr>
              <w:t>269.52</w:t>
            </w:r>
          </w:p>
        </w:tc>
        <w:tc>
          <w:tcPr>
            <w:tcW w:w="584" w:type="pct"/>
            <w:vAlign w:val="center"/>
          </w:tcPr>
          <w:p w14:paraId="6B01D9C6" w14:textId="77777777" w:rsidR="00577D08" w:rsidRDefault="00330FC0">
            <w:pPr>
              <w:jc w:val="center"/>
            </w:pPr>
            <w:r>
              <w:rPr>
                <w:rFonts w:hint="eastAsia"/>
              </w:rPr>
              <w:t>说明</w:t>
            </w:r>
            <w:r>
              <w:rPr>
                <w:rFonts w:hint="eastAsia"/>
              </w:rPr>
              <w:t>6</w:t>
            </w:r>
          </w:p>
        </w:tc>
      </w:tr>
      <w:tr w:rsidR="00577D08" w14:paraId="274202C0" w14:textId="77777777">
        <w:trPr>
          <w:trHeight w:val="135"/>
        </w:trPr>
        <w:tc>
          <w:tcPr>
            <w:tcW w:w="844" w:type="pct"/>
          </w:tcPr>
          <w:p w14:paraId="15D73D24" w14:textId="77777777" w:rsidR="00577D08" w:rsidRDefault="00330FC0">
            <w:r>
              <w:rPr>
                <w:rFonts w:hint="eastAsia"/>
              </w:rPr>
              <w:t>长期待摊费用</w:t>
            </w:r>
          </w:p>
        </w:tc>
        <w:tc>
          <w:tcPr>
            <w:tcW w:w="658" w:type="pct"/>
            <w:vAlign w:val="center"/>
          </w:tcPr>
          <w:p w14:paraId="7D514F43" w14:textId="77777777" w:rsidR="00577D08" w:rsidRDefault="00330FC0">
            <w:pPr>
              <w:jc w:val="right"/>
            </w:pPr>
            <w:r>
              <w:rPr>
                <w:rFonts w:hint="eastAsia"/>
              </w:rPr>
              <w:t>207.26</w:t>
            </w:r>
          </w:p>
        </w:tc>
        <w:tc>
          <w:tcPr>
            <w:tcW w:w="745" w:type="pct"/>
            <w:vAlign w:val="center"/>
          </w:tcPr>
          <w:p w14:paraId="335ABE98" w14:textId="77777777" w:rsidR="00577D08" w:rsidRDefault="00330FC0">
            <w:pPr>
              <w:jc w:val="right"/>
            </w:pPr>
            <w:r>
              <w:rPr>
                <w:rFonts w:hint="eastAsia"/>
              </w:rPr>
              <w:t>0.03</w:t>
            </w:r>
          </w:p>
        </w:tc>
        <w:tc>
          <w:tcPr>
            <w:tcW w:w="693" w:type="pct"/>
            <w:vAlign w:val="center"/>
          </w:tcPr>
          <w:p w14:paraId="3B4E8D6F" w14:textId="77777777" w:rsidR="00577D08" w:rsidRDefault="00330FC0">
            <w:pPr>
              <w:jc w:val="right"/>
            </w:pPr>
            <w:r>
              <w:rPr>
                <w:rFonts w:hint="eastAsia"/>
              </w:rPr>
              <w:t>321.45</w:t>
            </w:r>
          </w:p>
        </w:tc>
        <w:tc>
          <w:tcPr>
            <w:tcW w:w="753" w:type="pct"/>
            <w:vAlign w:val="center"/>
          </w:tcPr>
          <w:p w14:paraId="4F94A85A" w14:textId="77777777" w:rsidR="00577D08" w:rsidRDefault="00330FC0">
            <w:pPr>
              <w:jc w:val="right"/>
            </w:pPr>
            <w:r>
              <w:rPr>
                <w:rFonts w:hint="eastAsia"/>
              </w:rPr>
              <w:t>0.05</w:t>
            </w:r>
          </w:p>
        </w:tc>
        <w:tc>
          <w:tcPr>
            <w:tcW w:w="723" w:type="pct"/>
            <w:vAlign w:val="center"/>
          </w:tcPr>
          <w:p w14:paraId="150B540C" w14:textId="77777777" w:rsidR="00577D08" w:rsidRDefault="00330FC0">
            <w:pPr>
              <w:jc w:val="right"/>
            </w:pPr>
            <w:r>
              <w:rPr>
                <w:rFonts w:hint="eastAsia"/>
              </w:rPr>
              <w:t>-35.52</w:t>
            </w:r>
          </w:p>
        </w:tc>
        <w:tc>
          <w:tcPr>
            <w:tcW w:w="584" w:type="pct"/>
            <w:vAlign w:val="center"/>
          </w:tcPr>
          <w:p w14:paraId="6EA4118B" w14:textId="77777777" w:rsidR="00577D08" w:rsidRDefault="00330FC0">
            <w:pPr>
              <w:jc w:val="center"/>
            </w:pPr>
            <w:r>
              <w:rPr>
                <w:rFonts w:hint="eastAsia"/>
              </w:rPr>
              <w:t>说明</w:t>
            </w:r>
            <w:r>
              <w:rPr>
                <w:rFonts w:hint="eastAsia"/>
              </w:rPr>
              <w:t>7</w:t>
            </w:r>
          </w:p>
        </w:tc>
      </w:tr>
      <w:tr w:rsidR="00577D08" w14:paraId="22A285FC" w14:textId="77777777">
        <w:trPr>
          <w:trHeight w:val="135"/>
        </w:trPr>
        <w:tc>
          <w:tcPr>
            <w:tcW w:w="844" w:type="pct"/>
          </w:tcPr>
          <w:p w14:paraId="2A703FF7" w14:textId="77777777" w:rsidR="00577D08" w:rsidRDefault="00330FC0">
            <w:r>
              <w:rPr>
                <w:rFonts w:hint="eastAsia"/>
              </w:rPr>
              <w:t>应付票据</w:t>
            </w:r>
          </w:p>
        </w:tc>
        <w:tc>
          <w:tcPr>
            <w:tcW w:w="658" w:type="pct"/>
            <w:vAlign w:val="center"/>
          </w:tcPr>
          <w:p w14:paraId="2F52B3C2" w14:textId="77777777" w:rsidR="00577D08" w:rsidRDefault="00330FC0">
            <w:pPr>
              <w:jc w:val="right"/>
            </w:pPr>
            <w:r>
              <w:rPr>
                <w:rFonts w:hint="eastAsia"/>
              </w:rPr>
              <w:t>87,815.81</w:t>
            </w:r>
          </w:p>
        </w:tc>
        <w:tc>
          <w:tcPr>
            <w:tcW w:w="745" w:type="pct"/>
            <w:vAlign w:val="center"/>
          </w:tcPr>
          <w:p w14:paraId="12C6E8D4" w14:textId="77777777" w:rsidR="00577D08" w:rsidRDefault="00330FC0">
            <w:pPr>
              <w:jc w:val="right"/>
            </w:pPr>
            <w:r>
              <w:rPr>
                <w:rFonts w:hint="eastAsia"/>
              </w:rPr>
              <w:t>12.10</w:t>
            </w:r>
          </w:p>
        </w:tc>
        <w:tc>
          <w:tcPr>
            <w:tcW w:w="693" w:type="pct"/>
            <w:vAlign w:val="center"/>
          </w:tcPr>
          <w:p w14:paraId="73DECE33" w14:textId="77777777" w:rsidR="00577D08" w:rsidRDefault="00330FC0">
            <w:pPr>
              <w:jc w:val="right"/>
            </w:pPr>
            <w:r>
              <w:rPr>
                <w:rFonts w:hint="eastAsia"/>
              </w:rPr>
              <w:t>62,461.42</w:t>
            </w:r>
          </w:p>
        </w:tc>
        <w:tc>
          <w:tcPr>
            <w:tcW w:w="753" w:type="pct"/>
            <w:vAlign w:val="center"/>
          </w:tcPr>
          <w:p w14:paraId="45997BC7" w14:textId="77777777" w:rsidR="00577D08" w:rsidRDefault="00330FC0">
            <w:pPr>
              <w:jc w:val="right"/>
            </w:pPr>
            <w:r>
              <w:rPr>
                <w:rFonts w:hint="eastAsia"/>
              </w:rPr>
              <w:t>9.56</w:t>
            </w:r>
          </w:p>
        </w:tc>
        <w:tc>
          <w:tcPr>
            <w:tcW w:w="723" w:type="pct"/>
            <w:vAlign w:val="center"/>
          </w:tcPr>
          <w:p w14:paraId="2C2E67DF" w14:textId="77777777" w:rsidR="00577D08" w:rsidRDefault="00330FC0">
            <w:pPr>
              <w:jc w:val="right"/>
            </w:pPr>
            <w:r>
              <w:rPr>
                <w:rFonts w:hint="eastAsia"/>
              </w:rPr>
              <w:t>40.59</w:t>
            </w:r>
          </w:p>
        </w:tc>
        <w:tc>
          <w:tcPr>
            <w:tcW w:w="584" w:type="pct"/>
            <w:vAlign w:val="center"/>
          </w:tcPr>
          <w:p w14:paraId="0B53A30B" w14:textId="77777777" w:rsidR="00577D08" w:rsidRDefault="00330FC0">
            <w:pPr>
              <w:jc w:val="center"/>
            </w:pPr>
            <w:r>
              <w:rPr>
                <w:rFonts w:hint="eastAsia"/>
              </w:rPr>
              <w:t>说明</w:t>
            </w:r>
            <w:r>
              <w:rPr>
                <w:rFonts w:hint="eastAsia"/>
              </w:rPr>
              <w:t>8</w:t>
            </w:r>
          </w:p>
        </w:tc>
      </w:tr>
      <w:tr w:rsidR="00577D08" w14:paraId="71BD5D07" w14:textId="77777777">
        <w:trPr>
          <w:trHeight w:val="135"/>
        </w:trPr>
        <w:tc>
          <w:tcPr>
            <w:tcW w:w="844" w:type="pct"/>
          </w:tcPr>
          <w:p w14:paraId="4FFAD5BC" w14:textId="77777777" w:rsidR="00577D08" w:rsidRDefault="00330FC0">
            <w:r>
              <w:rPr>
                <w:rFonts w:hint="eastAsia"/>
              </w:rPr>
              <w:t>应付职工薪酬</w:t>
            </w:r>
          </w:p>
        </w:tc>
        <w:tc>
          <w:tcPr>
            <w:tcW w:w="658" w:type="pct"/>
            <w:vAlign w:val="center"/>
          </w:tcPr>
          <w:p w14:paraId="64E6682F" w14:textId="77777777" w:rsidR="00577D08" w:rsidRDefault="00330FC0">
            <w:pPr>
              <w:jc w:val="right"/>
            </w:pPr>
            <w:r>
              <w:rPr>
                <w:rFonts w:hint="eastAsia"/>
              </w:rPr>
              <w:t>5,804.30</w:t>
            </w:r>
          </w:p>
        </w:tc>
        <w:tc>
          <w:tcPr>
            <w:tcW w:w="745" w:type="pct"/>
            <w:vAlign w:val="center"/>
          </w:tcPr>
          <w:p w14:paraId="7637B993" w14:textId="77777777" w:rsidR="00577D08" w:rsidRDefault="00330FC0">
            <w:pPr>
              <w:jc w:val="right"/>
            </w:pPr>
            <w:r>
              <w:rPr>
                <w:rFonts w:hint="eastAsia"/>
              </w:rPr>
              <w:t>0.80</w:t>
            </w:r>
          </w:p>
        </w:tc>
        <w:tc>
          <w:tcPr>
            <w:tcW w:w="693" w:type="pct"/>
            <w:vAlign w:val="center"/>
          </w:tcPr>
          <w:p w14:paraId="52D728D3" w14:textId="77777777" w:rsidR="00577D08" w:rsidRDefault="00330FC0">
            <w:pPr>
              <w:jc w:val="right"/>
            </w:pPr>
            <w:r>
              <w:rPr>
                <w:rFonts w:hint="eastAsia"/>
              </w:rPr>
              <w:t>4,300.46</w:t>
            </w:r>
          </w:p>
        </w:tc>
        <w:tc>
          <w:tcPr>
            <w:tcW w:w="753" w:type="pct"/>
            <w:vAlign w:val="center"/>
          </w:tcPr>
          <w:p w14:paraId="2345FA33" w14:textId="77777777" w:rsidR="00577D08" w:rsidRDefault="00330FC0">
            <w:pPr>
              <w:jc w:val="right"/>
            </w:pPr>
            <w:r>
              <w:rPr>
                <w:rFonts w:hint="eastAsia"/>
              </w:rPr>
              <w:t>0.66</w:t>
            </w:r>
          </w:p>
        </w:tc>
        <w:tc>
          <w:tcPr>
            <w:tcW w:w="723" w:type="pct"/>
            <w:vAlign w:val="center"/>
          </w:tcPr>
          <w:p w14:paraId="4E9C3E4F" w14:textId="77777777" w:rsidR="00577D08" w:rsidRDefault="00330FC0">
            <w:pPr>
              <w:jc w:val="right"/>
            </w:pPr>
            <w:r>
              <w:rPr>
                <w:rFonts w:hint="eastAsia"/>
              </w:rPr>
              <w:t>34.97</w:t>
            </w:r>
          </w:p>
        </w:tc>
        <w:tc>
          <w:tcPr>
            <w:tcW w:w="584" w:type="pct"/>
            <w:vAlign w:val="center"/>
          </w:tcPr>
          <w:p w14:paraId="5B0F36FD" w14:textId="77777777" w:rsidR="00577D08" w:rsidRDefault="00330FC0">
            <w:pPr>
              <w:jc w:val="center"/>
            </w:pPr>
            <w:r>
              <w:rPr>
                <w:rFonts w:hint="eastAsia"/>
              </w:rPr>
              <w:t>说明</w:t>
            </w:r>
            <w:r>
              <w:rPr>
                <w:rFonts w:hint="eastAsia"/>
              </w:rPr>
              <w:t>9</w:t>
            </w:r>
          </w:p>
        </w:tc>
      </w:tr>
      <w:tr w:rsidR="00577D08" w14:paraId="05D91FCF" w14:textId="77777777">
        <w:trPr>
          <w:trHeight w:val="135"/>
        </w:trPr>
        <w:tc>
          <w:tcPr>
            <w:tcW w:w="844" w:type="pct"/>
          </w:tcPr>
          <w:p w14:paraId="08A6BC93" w14:textId="77777777" w:rsidR="00577D08" w:rsidRDefault="00330FC0">
            <w:r>
              <w:rPr>
                <w:rFonts w:hint="eastAsia"/>
              </w:rPr>
              <w:t>应交税费</w:t>
            </w:r>
          </w:p>
        </w:tc>
        <w:tc>
          <w:tcPr>
            <w:tcW w:w="658" w:type="pct"/>
            <w:vAlign w:val="center"/>
          </w:tcPr>
          <w:p w14:paraId="7F9CFD95" w14:textId="77777777" w:rsidR="00577D08" w:rsidRDefault="00330FC0">
            <w:pPr>
              <w:jc w:val="right"/>
            </w:pPr>
            <w:r>
              <w:rPr>
                <w:rFonts w:hint="eastAsia"/>
              </w:rPr>
              <w:t>3,988.88</w:t>
            </w:r>
          </w:p>
        </w:tc>
        <w:tc>
          <w:tcPr>
            <w:tcW w:w="745" w:type="pct"/>
            <w:vAlign w:val="center"/>
          </w:tcPr>
          <w:p w14:paraId="44B94772" w14:textId="77777777" w:rsidR="00577D08" w:rsidRDefault="00330FC0">
            <w:pPr>
              <w:jc w:val="right"/>
            </w:pPr>
            <w:r>
              <w:rPr>
                <w:rFonts w:hint="eastAsia"/>
              </w:rPr>
              <w:t>0.55</w:t>
            </w:r>
          </w:p>
        </w:tc>
        <w:tc>
          <w:tcPr>
            <w:tcW w:w="693" w:type="pct"/>
            <w:vAlign w:val="center"/>
          </w:tcPr>
          <w:p w14:paraId="12F6C63F" w14:textId="77777777" w:rsidR="00577D08" w:rsidRDefault="00330FC0">
            <w:pPr>
              <w:jc w:val="right"/>
            </w:pPr>
            <w:r>
              <w:rPr>
                <w:rFonts w:hint="eastAsia"/>
              </w:rPr>
              <w:t>2,587.67</w:t>
            </w:r>
          </w:p>
        </w:tc>
        <w:tc>
          <w:tcPr>
            <w:tcW w:w="753" w:type="pct"/>
            <w:vAlign w:val="center"/>
          </w:tcPr>
          <w:p w14:paraId="20200C98" w14:textId="77777777" w:rsidR="00577D08" w:rsidRDefault="00330FC0">
            <w:pPr>
              <w:jc w:val="right"/>
            </w:pPr>
            <w:r>
              <w:rPr>
                <w:rFonts w:hint="eastAsia"/>
              </w:rPr>
              <w:t>0.40</w:t>
            </w:r>
          </w:p>
        </w:tc>
        <w:tc>
          <w:tcPr>
            <w:tcW w:w="723" w:type="pct"/>
            <w:vAlign w:val="center"/>
          </w:tcPr>
          <w:p w14:paraId="088FF56B" w14:textId="77777777" w:rsidR="00577D08" w:rsidRDefault="00330FC0">
            <w:pPr>
              <w:jc w:val="right"/>
            </w:pPr>
            <w:r>
              <w:rPr>
                <w:rFonts w:hint="eastAsia"/>
              </w:rPr>
              <w:t>54.15</w:t>
            </w:r>
          </w:p>
        </w:tc>
        <w:tc>
          <w:tcPr>
            <w:tcW w:w="584" w:type="pct"/>
            <w:vAlign w:val="center"/>
          </w:tcPr>
          <w:p w14:paraId="15C6C751" w14:textId="77777777" w:rsidR="00577D08" w:rsidRDefault="00330FC0">
            <w:pPr>
              <w:jc w:val="center"/>
            </w:pPr>
            <w:r>
              <w:rPr>
                <w:rFonts w:hint="eastAsia"/>
              </w:rPr>
              <w:t>说明</w:t>
            </w:r>
            <w:r>
              <w:rPr>
                <w:rFonts w:hint="eastAsia"/>
              </w:rPr>
              <w:t>10</w:t>
            </w:r>
          </w:p>
        </w:tc>
      </w:tr>
      <w:tr w:rsidR="00577D08" w14:paraId="3AAD46D7" w14:textId="77777777">
        <w:trPr>
          <w:trHeight w:val="135"/>
        </w:trPr>
        <w:tc>
          <w:tcPr>
            <w:tcW w:w="844" w:type="pct"/>
          </w:tcPr>
          <w:p w14:paraId="75A5F035" w14:textId="77777777" w:rsidR="00577D08" w:rsidRDefault="00330FC0">
            <w:r>
              <w:rPr>
                <w:rFonts w:hint="eastAsia"/>
              </w:rPr>
              <w:t>长期借款</w:t>
            </w:r>
          </w:p>
        </w:tc>
        <w:tc>
          <w:tcPr>
            <w:tcW w:w="658" w:type="pct"/>
            <w:vAlign w:val="center"/>
          </w:tcPr>
          <w:p w14:paraId="79FD214E" w14:textId="77777777" w:rsidR="00577D08" w:rsidRDefault="00330FC0">
            <w:pPr>
              <w:jc w:val="right"/>
            </w:pPr>
            <w:r>
              <w:rPr>
                <w:rFonts w:hint="eastAsia"/>
              </w:rPr>
              <w:t>152,771.51</w:t>
            </w:r>
          </w:p>
        </w:tc>
        <w:tc>
          <w:tcPr>
            <w:tcW w:w="745" w:type="pct"/>
            <w:vAlign w:val="center"/>
          </w:tcPr>
          <w:p w14:paraId="7EF39781" w14:textId="77777777" w:rsidR="00577D08" w:rsidRDefault="00330FC0">
            <w:pPr>
              <w:jc w:val="right"/>
            </w:pPr>
            <w:r>
              <w:rPr>
                <w:rFonts w:hint="eastAsia"/>
              </w:rPr>
              <w:t>21.05</w:t>
            </w:r>
          </w:p>
        </w:tc>
        <w:tc>
          <w:tcPr>
            <w:tcW w:w="693" w:type="pct"/>
            <w:vAlign w:val="center"/>
          </w:tcPr>
          <w:p w14:paraId="62083EE6" w14:textId="77777777" w:rsidR="00577D08" w:rsidRDefault="00330FC0">
            <w:pPr>
              <w:jc w:val="right"/>
            </w:pPr>
            <w:r>
              <w:rPr>
                <w:rFonts w:hint="eastAsia"/>
              </w:rPr>
              <w:t>110,357.15</w:t>
            </w:r>
          </w:p>
        </w:tc>
        <w:tc>
          <w:tcPr>
            <w:tcW w:w="753" w:type="pct"/>
            <w:vAlign w:val="center"/>
          </w:tcPr>
          <w:p w14:paraId="7161F450" w14:textId="77777777" w:rsidR="00577D08" w:rsidRDefault="00330FC0">
            <w:pPr>
              <w:jc w:val="right"/>
            </w:pPr>
            <w:r>
              <w:rPr>
                <w:rFonts w:hint="eastAsia"/>
              </w:rPr>
              <w:t>16.89</w:t>
            </w:r>
          </w:p>
        </w:tc>
        <w:tc>
          <w:tcPr>
            <w:tcW w:w="723" w:type="pct"/>
            <w:vAlign w:val="center"/>
          </w:tcPr>
          <w:p w14:paraId="55E69D71" w14:textId="77777777" w:rsidR="00577D08" w:rsidRDefault="00330FC0">
            <w:pPr>
              <w:jc w:val="right"/>
            </w:pPr>
            <w:r>
              <w:rPr>
                <w:rFonts w:hint="eastAsia"/>
              </w:rPr>
              <w:t>38.43</w:t>
            </w:r>
          </w:p>
        </w:tc>
        <w:tc>
          <w:tcPr>
            <w:tcW w:w="584" w:type="pct"/>
            <w:vAlign w:val="center"/>
          </w:tcPr>
          <w:p w14:paraId="0B32E5F9" w14:textId="77777777" w:rsidR="00577D08" w:rsidRDefault="00330FC0">
            <w:pPr>
              <w:jc w:val="center"/>
            </w:pPr>
            <w:r>
              <w:rPr>
                <w:rFonts w:hint="eastAsia"/>
              </w:rPr>
              <w:t>说明</w:t>
            </w:r>
            <w:r>
              <w:rPr>
                <w:rFonts w:hint="eastAsia"/>
              </w:rPr>
              <w:t>11</w:t>
            </w:r>
          </w:p>
        </w:tc>
      </w:tr>
      <w:tr w:rsidR="00577D08" w14:paraId="1074407E" w14:textId="77777777">
        <w:trPr>
          <w:trHeight w:val="135"/>
        </w:trPr>
        <w:tc>
          <w:tcPr>
            <w:tcW w:w="844" w:type="pct"/>
          </w:tcPr>
          <w:p w14:paraId="24838797" w14:textId="77777777" w:rsidR="00577D08" w:rsidRDefault="00330FC0">
            <w:r>
              <w:rPr>
                <w:rFonts w:hint="eastAsia"/>
              </w:rPr>
              <w:t>租赁负债</w:t>
            </w:r>
          </w:p>
        </w:tc>
        <w:tc>
          <w:tcPr>
            <w:tcW w:w="658" w:type="pct"/>
            <w:vAlign w:val="center"/>
          </w:tcPr>
          <w:p w14:paraId="64F56B65" w14:textId="77777777" w:rsidR="00577D08" w:rsidRDefault="00330FC0">
            <w:pPr>
              <w:jc w:val="right"/>
            </w:pPr>
            <w:r>
              <w:rPr>
                <w:rFonts w:hint="eastAsia"/>
              </w:rPr>
              <w:t>1,212.98</w:t>
            </w:r>
          </w:p>
        </w:tc>
        <w:tc>
          <w:tcPr>
            <w:tcW w:w="745" w:type="pct"/>
            <w:vAlign w:val="center"/>
          </w:tcPr>
          <w:p w14:paraId="3625DCBB" w14:textId="77777777" w:rsidR="00577D08" w:rsidRDefault="00330FC0">
            <w:pPr>
              <w:jc w:val="right"/>
            </w:pPr>
            <w:r>
              <w:rPr>
                <w:rFonts w:hint="eastAsia"/>
              </w:rPr>
              <w:t>0.17</w:t>
            </w:r>
          </w:p>
        </w:tc>
        <w:tc>
          <w:tcPr>
            <w:tcW w:w="693" w:type="pct"/>
            <w:vAlign w:val="center"/>
          </w:tcPr>
          <w:p w14:paraId="6591C002" w14:textId="77777777" w:rsidR="00577D08" w:rsidRDefault="00330FC0">
            <w:pPr>
              <w:jc w:val="right"/>
            </w:pPr>
            <w:r>
              <w:rPr>
                <w:rFonts w:hint="eastAsia"/>
              </w:rPr>
              <w:t>305.55</w:t>
            </w:r>
          </w:p>
        </w:tc>
        <w:tc>
          <w:tcPr>
            <w:tcW w:w="753" w:type="pct"/>
            <w:vAlign w:val="center"/>
          </w:tcPr>
          <w:p w14:paraId="237FF0E8" w14:textId="77777777" w:rsidR="00577D08" w:rsidRDefault="00330FC0">
            <w:pPr>
              <w:jc w:val="right"/>
            </w:pPr>
            <w:r>
              <w:rPr>
                <w:rFonts w:hint="eastAsia"/>
              </w:rPr>
              <w:t>0.05</w:t>
            </w:r>
          </w:p>
        </w:tc>
        <w:tc>
          <w:tcPr>
            <w:tcW w:w="723" w:type="pct"/>
            <w:vAlign w:val="center"/>
          </w:tcPr>
          <w:p w14:paraId="7E49C87F" w14:textId="77777777" w:rsidR="00577D08" w:rsidRDefault="00330FC0">
            <w:pPr>
              <w:jc w:val="right"/>
            </w:pPr>
            <w:r>
              <w:rPr>
                <w:rFonts w:hint="eastAsia"/>
              </w:rPr>
              <w:t>296.98</w:t>
            </w:r>
          </w:p>
        </w:tc>
        <w:tc>
          <w:tcPr>
            <w:tcW w:w="584" w:type="pct"/>
            <w:vAlign w:val="center"/>
          </w:tcPr>
          <w:p w14:paraId="6F9DB6A1" w14:textId="77777777" w:rsidR="00577D08" w:rsidRDefault="00330FC0">
            <w:pPr>
              <w:jc w:val="center"/>
            </w:pPr>
            <w:r>
              <w:rPr>
                <w:rFonts w:hint="eastAsia"/>
              </w:rPr>
              <w:t>说明</w:t>
            </w:r>
            <w:r>
              <w:rPr>
                <w:rFonts w:hint="eastAsia"/>
              </w:rPr>
              <w:t>12</w:t>
            </w:r>
          </w:p>
        </w:tc>
      </w:tr>
      <w:tr w:rsidR="00577D08" w14:paraId="2A59C1D0" w14:textId="77777777">
        <w:trPr>
          <w:trHeight w:val="135"/>
        </w:trPr>
        <w:tc>
          <w:tcPr>
            <w:tcW w:w="844" w:type="pct"/>
          </w:tcPr>
          <w:p w14:paraId="56DADAF1" w14:textId="77777777" w:rsidR="00577D08" w:rsidRDefault="00330FC0">
            <w:r>
              <w:rPr>
                <w:rFonts w:hint="eastAsia"/>
              </w:rPr>
              <w:t>长期应付款</w:t>
            </w:r>
          </w:p>
        </w:tc>
        <w:tc>
          <w:tcPr>
            <w:tcW w:w="658" w:type="pct"/>
            <w:vAlign w:val="center"/>
          </w:tcPr>
          <w:p w14:paraId="250E4018" w14:textId="77777777" w:rsidR="00577D08" w:rsidRDefault="00330FC0">
            <w:pPr>
              <w:jc w:val="right"/>
            </w:pPr>
            <w:r>
              <w:rPr>
                <w:rFonts w:hint="eastAsia"/>
              </w:rPr>
              <w:t>14,150.18</w:t>
            </w:r>
          </w:p>
        </w:tc>
        <w:tc>
          <w:tcPr>
            <w:tcW w:w="745" w:type="pct"/>
            <w:vAlign w:val="center"/>
          </w:tcPr>
          <w:p w14:paraId="2EBDABD1" w14:textId="77777777" w:rsidR="00577D08" w:rsidRDefault="00330FC0">
            <w:pPr>
              <w:jc w:val="right"/>
            </w:pPr>
            <w:r>
              <w:rPr>
                <w:rFonts w:hint="eastAsia"/>
              </w:rPr>
              <w:t>1.95</w:t>
            </w:r>
          </w:p>
        </w:tc>
        <w:tc>
          <w:tcPr>
            <w:tcW w:w="693" w:type="pct"/>
            <w:vAlign w:val="center"/>
          </w:tcPr>
          <w:p w14:paraId="3D753543" w14:textId="77777777" w:rsidR="00577D08" w:rsidRDefault="00577D08">
            <w:pPr>
              <w:jc w:val="right"/>
            </w:pPr>
          </w:p>
        </w:tc>
        <w:tc>
          <w:tcPr>
            <w:tcW w:w="753" w:type="pct"/>
            <w:vAlign w:val="center"/>
          </w:tcPr>
          <w:p w14:paraId="548917FE" w14:textId="77777777" w:rsidR="00577D08" w:rsidRDefault="00577D08">
            <w:pPr>
              <w:jc w:val="right"/>
            </w:pPr>
          </w:p>
        </w:tc>
        <w:tc>
          <w:tcPr>
            <w:tcW w:w="723" w:type="pct"/>
            <w:vAlign w:val="center"/>
          </w:tcPr>
          <w:p w14:paraId="2A6A3E25" w14:textId="77777777" w:rsidR="00577D08" w:rsidRDefault="00330FC0">
            <w:pPr>
              <w:jc w:val="center"/>
            </w:pPr>
            <w:r>
              <w:rPr>
                <w:rFonts w:hint="eastAsia"/>
              </w:rPr>
              <w:t>不适用</w:t>
            </w:r>
          </w:p>
        </w:tc>
        <w:tc>
          <w:tcPr>
            <w:tcW w:w="584" w:type="pct"/>
            <w:vAlign w:val="center"/>
          </w:tcPr>
          <w:p w14:paraId="48DEE73C" w14:textId="77777777" w:rsidR="00577D08" w:rsidRDefault="00330FC0">
            <w:pPr>
              <w:jc w:val="center"/>
            </w:pPr>
            <w:r>
              <w:rPr>
                <w:rFonts w:hint="eastAsia"/>
              </w:rPr>
              <w:t>说明</w:t>
            </w:r>
            <w:r>
              <w:rPr>
                <w:rFonts w:hint="eastAsia"/>
              </w:rPr>
              <w:t>13</w:t>
            </w:r>
          </w:p>
        </w:tc>
      </w:tr>
      <w:tr w:rsidR="00577D08" w14:paraId="16AB3F34" w14:textId="77777777">
        <w:trPr>
          <w:trHeight w:val="135"/>
        </w:trPr>
        <w:tc>
          <w:tcPr>
            <w:tcW w:w="844" w:type="pct"/>
          </w:tcPr>
          <w:p w14:paraId="506D1A4F" w14:textId="77777777" w:rsidR="00577D08" w:rsidRDefault="00330FC0">
            <w:r>
              <w:rPr>
                <w:rFonts w:hint="eastAsia"/>
              </w:rPr>
              <w:t>预计负债</w:t>
            </w:r>
          </w:p>
        </w:tc>
        <w:tc>
          <w:tcPr>
            <w:tcW w:w="658" w:type="pct"/>
            <w:vAlign w:val="center"/>
          </w:tcPr>
          <w:p w14:paraId="04972910" w14:textId="77777777" w:rsidR="00577D08" w:rsidRDefault="00330FC0">
            <w:pPr>
              <w:jc w:val="right"/>
            </w:pPr>
            <w:r>
              <w:rPr>
                <w:rFonts w:hint="eastAsia"/>
              </w:rPr>
              <w:t>289.34</w:t>
            </w:r>
          </w:p>
        </w:tc>
        <w:tc>
          <w:tcPr>
            <w:tcW w:w="745" w:type="pct"/>
            <w:vAlign w:val="center"/>
          </w:tcPr>
          <w:p w14:paraId="360EEE8E" w14:textId="77777777" w:rsidR="00577D08" w:rsidRDefault="00330FC0">
            <w:pPr>
              <w:jc w:val="right"/>
            </w:pPr>
            <w:r>
              <w:rPr>
                <w:rFonts w:hint="eastAsia"/>
              </w:rPr>
              <w:t>0.04</w:t>
            </w:r>
          </w:p>
        </w:tc>
        <w:tc>
          <w:tcPr>
            <w:tcW w:w="693" w:type="pct"/>
            <w:vAlign w:val="center"/>
          </w:tcPr>
          <w:p w14:paraId="75E289B6" w14:textId="77777777" w:rsidR="00577D08" w:rsidRDefault="00330FC0">
            <w:pPr>
              <w:jc w:val="right"/>
            </w:pPr>
            <w:r>
              <w:rPr>
                <w:rFonts w:hint="eastAsia"/>
              </w:rPr>
              <w:t>123.93</w:t>
            </w:r>
          </w:p>
        </w:tc>
        <w:tc>
          <w:tcPr>
            <w:tcW w:w="753" w:type="pct"/>
            <w:vAlign w:val="center"/>
          </w:tcPr>
          <w:p w14:paraId="0EC9F9F1" w14:textId="77777777" w:rsidR="00577D08" w:rsidRDefault="00330FC0">
            <w:pPr>
              <w:jc w:val="right"/>
            </w:pPr>
            <w:r>
              <w:rPr>
                <w:rFonts w:hint="eastAsia"/>
              </w:rPr>
              <w:t>0.02</w:t>
            </w:r>
          </w:p>
        </w:tc>
        <w:tc>
          <w:tcPr>
            <w:tcW w:w="723" w:type="pct"/>
            <w:vAlign w:val="center"/>
          </w:tcPr>
          <w:p w14:paraId="75863889" w14:textId="77777777" w:rsidR="00577D08" w:rsidRDefault="00330FC0">
            <w:pPr>
              <w:jc w:val="right"/>
            </w:pPr>
            <w:r>
              <w:rPr>
                <w:rFonts w:hint="eastAsia"/>
              </w:rPr>
              <w:t>133.48</w:t>
            </w:r>
          </w:p>
        </w:tc>
        <w:tc>
          <w:tcPr>
            <w:tcW w:w="584" w:type="pct"/>
            <w:vAlign w:val="center"/>
          </w:tcPr>
          <w:p w14:paraId="3933E37F" w14:textId="77777777" w:rsidR="00577D08" w:rsidRDefault="00330FC0">
            <w:pPr>
              <w:jc w:val="center"/>
            </w:pPr>
            <w:r>
              <w:rPr>
                <w:rFonts w:hint="eastAsia"/>
              </w:rPr>
              <w:t>说明</w:t>
            </w:r>
            <w:r>
              <w:rPr>
                <w:rFonts w:hint="eastAsia"/>
              </w:rPr>
              <w:t>14</w:t>
            </w:r>
          </w:p>
        </w:tc>
      </w:tr>
    </w:tbl>
    <w:bookmarkEnd w:id="121"/>
    <w:p w14:paraId="42A46CFB" w14:textId="77777777" w:rsidR="00577D08" w:rsidRDefault="00330FC0">
      <w:r>
        <w:rPr>
          <w:rFonts w:hint="eastAsia"/>
        </w:rPr>
        <w:t>其他说明：</w:t>
      </w:r>
    </w:p>
    <w:sdt>
      <w:sdtPr>
        <w:rPr>
          <w:rFonts w:hint="eastAsia"/>
        </w:rPr>
        <w:alias w:val="资产及负债状况的其他说明"/>
        <w:tag w:val="_GBC_3aee54264edd4bb08807d2335eb33f43"/>
        <w:id w:val="-66574637"/>
        <w:placeholder>
          <w:docPart w:val="GBC22222222222222222222222222222"/>
        </w:placeholder>
      </w:sdtPr>
      <w:sdtContent>
        <w:p w14:paraId="38F5B0C7" w14:textId="77777777" w:rsidR="00577D08" w:rsidRDefault="00330FC0">
          <w:pPr>
            <w:spacing w:line="360" w:lineRule="exact"/>
          </w:pPr>
          <w:r>
            <w:rPr>
              <w:rFonts w:hint="eastAsia"/>
            </w:rPr>
            <w:t>说明</w:t>
          </w:r>
          <w:r>
            <w:rPr>
              <w:rFonts w:hint="eastAsia"/>
            </w:rPr>
            <w:t>1</w:t>
          </w:r>
          <w:r>
            <w:rPr>
              <w:rFonts w:hint="eastAsia"/>
            </w:rPr>
            <w:t>：交易性金融资产较期初减少</w:t>
          </w:r>
          <w:r>
            <w:rPr>
              <w:rFonts w:hint="eastAsia"/>
            </w:rPr>
            <w:t>2,505.88</w:t>
          </w:r>
          <w:r>
            <w:rPr>
              <w:rFonts w:hint="eastAsia"/>
            </w:rPr>
            <w:t>万元，主要系本期结构性存款到期赎回所致。</w:t>
          </w:r>
        </w:p>
        <w:p w14:paraId="448B82BB" w14:textId="77777777" w:rsidR="00577D08" w:rsidRDefault="00330FC0">
          <w:pPr>
            <w:spacing w:line="360" w:lineRule="exact"/>
          </w:pPr>
          <w:r>
            <w:rPr>
              <w:rFonts w:hint="eastAsia"/>
            </w:rPr>
            <w:t>说明</w:t>
          </w:r>
          <w:r>
            <w:rPr>
              <w:rFonts w:hint="eastAsia"/>
            </w:rPr>
            <w:t>2</w:t>
          </w:r>
          <w:r>
            <w:rPr>
              <w:rFonts w:hint="eastAsia"/>
            </w:rPr>
            <w:t>：应收款项融资较期初增加</w:t>
          </w:r>
          <w:r>
            <w:rPr>
              <w:rFonts w:hint="eastAsia"/>
            </w:rPr>
            <w:t>2,243.84</w:t>
          </w:r>
          <w:r>
            <w:rPr>
              <w:rFonts w:hint="eastAsia"/>
            </w:rPr>
            <w:t>万元，同比增长</w:t>
          </w:r>
          <w:r>
            <w:rPr>
              <w:rFonts w:hint="eastAsia"/>
            </w:rPr>
            <w:t>149.64%</w:t>
          </w:r>
          <w:r>
            <w:rPr>
              <w:rFonts w:hint="eastAsia"/>
            </w:rPr>
            <w:t>，主要系公司本期收取的电子银行承兑汇票尚未对外背书导致应收账款融资余额增加所致。</w:t>
          </w:r>
        </w:p>
        <w:p w14:paraId="372321DE" w14:textId="77777777" w:rsidR="00577D08" w:rsidRDefault="00330FC0">
          <w:pPr>
            <w:spacing w:line="360" w:lineRule="exact"/>
          </w:pPr>
          <w:r>
            <w:rPr>
              <w:rFonts w:hint="eastAsia"/>
            </w:rPr>
            <w:t>说明</w:t>
          </w:r>
          <w:r>
            <w:rPr>
              <w:rFonts w:hint="eastAsia"/>
            </w:rPr>
            <w:t>3</w:t>
          </w:r>
          <w:r>
            <w:rPr>
              <w:rFonts w:hint="eastAsia"/>
            </w:rPr>
            <w:t>：预付款项较期初增加</w:t>
          </w:r>
          <w:r>
            <w:rPr>
              <w:rFonts w:hint="eastAsia"/>
            </w:rPr>
            <w:t>6,194.68</w:t>
          </w:r>
          <w:r>
            <w:rPr>
              <w:rFonts w:hint="eastAsia"/>
            </w:rPr>
            <w:t>万元，同比增长</w:t>
          </w:r>
          <w:r>
            <w:rPr>
              <w:rFonts w:hint="eastAsia"/>
            </w:rPr>
            <w:t>76.70%</w:t>
          </w:r>
          <w:r>
            <w:rPr>
              <w:rFonts w:hint="eastAsia"/>
            </w:rPr>
            <w:t>，主要系本期预付充电设备采购款导致预付款项余额增加所致。</w:t>
          </w:r>
        </w:p>
        <w:p w14:paraId="59D704A2" w14:textId="77777777" w:rsidR="00577D08" w:rsidRDefault="00330FC0">
          <w:pPr>
            <w:spacing w:line="360" w:lineRule="exact"/>
          </w:pPr>
          <w:r>
            <w:rPr>
              <w:rFonts w:hint="eastAsia"/>
            </w:rPr>
            <w:t>说明</w:t>
          </w:r>
          <w:r>
            <w:rPr>
              <w:rFonts w:hint="eastAsia"/>
            </w:rPr>
            <w:t>4</w:t>
          </w:r>
          <w:r>
            <w:rPr>
              <w:rFonts w:hint="eastAsia"/>
            </w:rPr>
            <w:t>：长期应收款较期初减少</w:t>
          </w:r>
          <w:r>
            <w:rPr>
              <w:rFonts w:hint="eastAsia"/>
            </w:rPr>
            <w:t>204.16</w:t>
          </w:r>
          <w:r>
            <w:rPr>
              <w:rFonts w:hint="eastAsia"/>
            </w:rPr>
            <w:t>万元，同比下降</w:t>
          </w:r>
          <w:r>
            <w:rPr>
              <w:rFonts w:hint="eastAsia"/>
            </w:rPr>
            <w:t>35.92%</w:t>
          </w:r>
          <w:r>
            <w:rPr>
              <w:rFonts w:hint="eastAsia"/>
            </w:rPr>
            <w:t>，主要系本期收回部分应收款。</w:t>
          </w:r>
        </w:p>
        <w:p w14:paraId="28D9A387" w14:textId="31E94A1B" w:rsidR="00577D08" w:rsidRDefault="00330FC0">
          <w:pPr>
            <w:spacing w:line="360" w:lineRule="exact"/>
          </w:pPr>
          <w:r>
            <w:rPr>
              <w:rFonts w:hint="eastAsia"/>
            </w:rPr>
            <w:lastRenderedPageBreak/>
            <w:t>说明</w:t>
          </w:r>
          <w:r>
            <w:rPr>
              <w:rFonts w:hint="eastAsia"/>
            </w:rPr>
            <w:t>5</w:t>
          </w:r>
          <w:r>
            <w:rPr>
              <w:rFonts w:hint="eastAsia"/>
            </w:rPr>
            <w:t>：在建工程较期初增加</w:t>
          </w:r>
          <w:r>
            <w:rPr>
              <w:rFonts w:hint="eastAsia"/>
            </w:rPr>
            <w:t>980.11</w:t>
          </w:r>
          <w:r>
            <w:rPr>
              <w:rFonts w:hint="eastAsia"/>
            </w:rPr>
            <w:t>万元，同比增长</w:t>
          </w:r>
          <w:r>
            <w:rPr>
              <w:rFonts w:hint="eastAsia"/>
            </w:rPr>
            <w:t>39.15%</w:t>
          </w:r>
          <w:r>
            <w:rPr>
              <w:rFonts w:hint="eastAsia"/>
            </w:rPr>
            <w:t>，主要系本期新建重卡超充站在建工程增加和铁路牵引变供电改造项目完工转固减少共同影响所致。</w:t>
          </w:r>
        </w:p>
        <w:p w14:paraId="4063425E" w14:textId="77777777" w:rsidR="00577D08" w:rsidRDefault="00330FC0">
          <w:pPr>
            <w:spacing w:line="360" w:lineRule="exact"/>
          </w:pPr>
          <w:r>
            <w:rPr>
              <w:rFonts w:hint="eastAsia"/>
            </w:rPr>
            <w:t>说明</w:t>
          </w:r>
          <w:r>
            <w:rPr>
              <w:rFonts w:hint="eastAsia"/>
            </w:rPr>
            <w:t>6</w:t>
          </w:r>
          <w:r>
            <w:rPr>
              <w:rFonts w:hint="eastAsia"/>
            </w:rPr>
            <w:t>：使用权资产较期初增加</w:t>
          </w:r>
          <w:r>
            <w:rPr>
              <w:rFonts w:hint="eastAsia"/>
            </w:rPr>
            <w:t>1,501.02</w:t>
          </w:r>
          <w:r>
            <w:rPr>
              <w:rFonts w:hint="eastAsia"/>
            </w:rPr>
            <w:t>万元，同比增长</w:t>
          </w:r>
          <w:r>
            <w:rPr>
              <w:rFonts w:hint="eastAsia"/>
            </w:rPr>
            <w:t>269.52%</w:t>
          </w:r>
          <w:r>
            <w:rPr>
              <w:rFonts w:hint="eastAsia"/>
            </w:rPr>
            <w:t>，主要系本期新增机器设备融资租赁所致。</w:t>
          </w:r>
        </w:p>
        <w:p w14:paraId="3AF5DF33" w14:textId="77777777" w:rsidR="00577D08" w:rsidRDefault="00330FC0">
          <w:pPr>
            <w:spacing w:line="360" w:lineRule="exact"/>
          </w:pPr>
          <w:r>
            <w:rPr>
              <w:rFonts w:hint="eastAsia"/>
            </w:rPr>
            <w:t>说明</w:t>
          </w:r>
          <w:r>
            <w:rPr>
              <w:rFonts w:hint="eastAsia"/>
            </w:rPr>
            <w:t>7</w:t>
          </w:r>
          <w:r>
            <w:rPr>
              <w:rFonts w:hint="eastAsia"/>
            </w:rPr>
            <w:t>：长期待摊费用较期初减少</w:t>
          </w:r>
          <w:r>
            <w:rPr>
              <w:rFonts w:hint="eastAsia"/>
            </w:rPr>
            <w:t>114.19</w:t>
          </w:r>
          <w:r>
            <w:rPr>
              <w:rFonts w:hint="eastAsia"/>
            </w:rPr>
            <w:t>万元，同比下降</w:t>
          </w:r>
          <w:r>
            <w:rPr>
              <w:rFonts w:hint="eastAsia"/>
            </w:rPr>
            <w:t>35.52%</w:t>
          </w:r>
          <w:r>
            <w:rPr>
              <w:rFonts w:hint="eastAsia"/>
            </w:rPr>
            <w:t>，主要系本期摊销所致。</w:t>
          </w:r>
        </w:p>
        <w:p w14:paraId="05807335" w14:textId="77777777" w:rsidR="00577D08" w:rsidRDefault="00330FC0">
          <w:pPr>
            <w:spacing w:line="360" w:lineRule="exact"/>
          </w:pPr>
          <w:r>
            <w:rPr>
              <w:rFonts w:hint="eastAsia"/>
            </w:rPr>
            <w:t>说明</w:t>
          </w:r>
          <w:r>
            <w:rPr>
              <w:rFonts w:hint="eastAsia"/>
            </w:rPr>
            <w:t>8</w:t>
          </w:r>
          <w:r>
            <w:rPr>
              <w:rFonts w:hint="eastAsia"/>
            </w:rPr>
            <w:t>：应付票据较期初增加</w:t>
          </w:r>
          <w:r>
            <w:rPr>
              <w:rFonts w:hint="eastAsia"/>
            </w:rPr>
            <w:t>25,354.38</w:t>
          </w:r>
          <w:r>
            <w:rPr>
              <w:rFonts w:hint="eastAsia"/>
            </w:rPr>
            <w:t>万元，同比增长</w:t>
          </w:r>
          <w:r>
            <w:rPr>
              <w:rFonts w:hint="eastAsia"/>
            </w:rPr>
            <w:t>40.59%</w:t>
          </w:r>
          <w:r>
            <w:rPr>
              <w:rFonts w:hint="eastAsia"/>
            </w:rPr>
            <w:t>，主要系本期以票据结算方式支付供应商货款规模增加所致。</w:t>
          </w:r>
        </w:p>
        <w:p w14:paraId="2BD07D44" w14:textId="6F4086B8" w:rsidR="00577D08" w:rsidRDefault="00330FC0">
          <w:pPr>
            <w:spacing w:line="360" w:lineRule="exact"/>
          </w:pPr>
          <w:r>
            <w:rPr>
              <w:rFonts w:hint="eastAsia"/>
            </w:rPr>
            <w:t>说明</w:t>
          </w:r>
          <w:r>
            <w:rPr>
              <w:rFonts w:hint="eastAsia"/>
            </w:rPr>
            <w:t>9</w:t>
          </w:r>
          <w:r>
            <w:rPr>
              <w:rFonts w:hint="eastAsia"/>
            </w:rPr>
            <w:t>：应付职工薪酬较期初增加</w:t>
          </w:r>
          <w:r>
            <w:rPr>
              <w:rFonts w:hint="eastAsia"/>
            </w:rPr>
            <w:t>1,503.84</w:t>
          </w:r>
          <w:r>
            <w:rPr>
              <w:rFonts w:hint="eastAsia"/>
            </w:rPr>
            <w:t>万元，同比增长</w:t>
          </w:r>
          <w:r>
            <w:rPr>
              <w:rFonts w:hint="eastAsia"/>
            </w:rPr>
            <w:t>34.97%</w:t>
          </w:r>
          <w:r>
            <w:rPr>
              <w:rFonts w:hint="eastAsia"/>
            </w:rPr>
            <w:t>，主要系期末计提应付未付绩效薪酬所致。</w:t>
          </w:r>
        </w:p>
        <w:p w14:paraId="78625857" w14:textId="55E819ED" w:rsidR="00577D08" w:rsidRDefault="00330FC0">
          <w:pPr>
            <w:spacing w:line="360" w:lineRule="exact"/>
          </w:pPr>
          <w:r>
            <w:rPr>
              <w:rFonts w:hint="eastAsia"/>
            </w:rPr>
            <w:t>说明</w:t>
          </w:r>
          <w:r>
            <w:rPr>
              <w:rFonts w:hint="eastAsia"/>
            </w:rPr>
            <w:t>10</w:t>
          </w:r>
          <w:r>
            <w:rPr>
              <w:rFonts w:hint="eastAsia"/>
            </w:rPr>
            <w:t>：应交税费较期初增加</w:t>
          </w:r>
          <w:r>
            <w:rPr>
              <w:rFonts w:hint="eastAsia"/>
            </w:rPr>
            <w:t>1,401.20</w:t>
          </w:r>
          <w:r>
            <w:rPr>
              <w:rFonts w:hint="eastAsia"/>
            </w:rPr>
            <w:t>万元，同比增长</w:t>
          </w:r>
          <w:r>
            <w:rPr>
              <w:rFonts w:hint="eastAsia"/>
            </w:rPr>
            <w:t>54.15%</w:t>
          </w:r>
          <w:r>
            <w:rPr>
              <w:rFonts w:hint="eastAsia"/>
            </w:rPr>
            <w:t>，主要系本期应交增值税增加所致。</w:t>
          </w:r>
        </w:p>
        <w:p w14:paraId="6FE3FC1C" w14:textId="77777777" w:rsidR="00577D08" w:rsidRDefault="00330FC0">
          <w:pPr>
            <w:spacing w:line="360" w:lineRule="exact"/>
          </w:pPr>
          <w:r>
            <w:rPr>
              <w:rFonts w:hint="eastAsia"/>
            </w:rPr>
            <w:t>说明</w:t>
          </w:r>
          <w:r>
            <w:rPr>
              <w:rFonts w:hint="eastAsia"/>
            </w:rPr>
            <w:t>11</w:t>
          </w:r>
          <w:r>
            <w:rPr>
              <w:rFonts w:hint="eastAsia"/>
            </w:rPr>
            <w:t>：长期借款较期初增加</w:t>
          </w:r>
          <w:r>
            <w:rPr>
              <w:rFonts w:hint="eastAsia"/>
            </w:rPr>
            <w:t>42,414.36</w:t>
          </w:r>
          <w:r>
            <w:rPr>
              <w:rFonts w:hint="eastAsia"/>
            </w:rPr>
            <w:t>万元，同比增长</w:t>
          </w:r>
          <w:r>
            <w:rPr>
              <w:rFonts w:hint="eastAsia"/>
            </w:rPr>
            <w:t>38.43%</w:t>
          </w:r>
          <w:r>
            <w:rPr>
              <w:rFonts w:hint="eastAsia"/>
            </w:rPr>
            <w:t>，主要系公司根据经营发展需要，适度增加中长期流动资金、项目建设及收购云变电气少数股权贷款所致。</w:t>
          </w:r>
        </w:p>
        <w:p w14:paraId="184BBDC7" w14:textId="77777777" w:rsidR="00577D08" w:rsidRDefault="00330FC0">
          <w:pPr>
            <w:spacing w:line="360" w:lineRule="exact"/>
          </w:pPr>
          <w:r>
            <w:rPr>
              <w:rFonts w:hint="eastAsia"/>
            </w:rPr>
            <w:t>说明</w:t>
          </w:r>
          <w:r>
            <w:rPr>
              <w:rFonts w:hint="eastAsia"/>
            </w:rPr>
            <w:t>12</w:t>
          </w:r>
          <w:r>
            <w:rPr>
              <w:rFonts w:hint="eastAsia"/>
            </w:rPr>
            <w:t>：租赁负债较期初增加</w:t>
          </w:r>
          <w:r>
            <w:rPr>
              <w:rFonts w:hint="eastAsia"/>
            </w:rPr>
            <w:t>907.43</w:t>
          </w:r>
          <w:r>
            <w:rPr>
              <w:rFonts w:hint="eastAsia"/>
            </w:rPr>
            <w:t>万元，同比增长</w:t>
          </w:r>
          <w:r>
            <w:rPr>
              <w:rFonts w:hint="eastAsia"/>
            </w:rPr>
            <w:t>296.98%</w:t>
          </w:r>
          <w:r>
            <w:rPr>
              <w:rFonts w:hint="eastAsia"/>
            </w:rPr>
            <w:t>，主要系本期新增机器设备融资租赁所致。</w:t>
          </w:r>
        </w:p>
        <w:p w14:paraId="2CBC3BA8" w14:textId="77777777" w:rsidR="00577D08" w:rsidRDefault="00330FC0">
          <w:pPr>
            <w:spacing w:line="360" w:lineRule="exact"/>
          </w:pPr>
          <w:r>
            <w:rPr>
              <w:rFonts w:hint="eastAsia"/>
            </w:rPr>
            <w:t>说明</w:t>
          </w:r>
          <w:r>
            <w:rPr>
              <w:rFonts w:hint="eastAsia"/>
            </w:rPr>
            <w:t>13</w:t>
          </w:r>
          <w:r>
            <w:rPr>
              <w:rFonts w:hint="eastAsia"/>
            </w:rPr>
            <w:t>：长期应付款较期初增加</w:t>
          </w:r>
          <w:r>
            <w:rPr>
              <w:rFonts w:hint="eastAsia"/>
            </w:rPr>
            <w:t>14,150.18</w:t>
          </w:r>
          <w:r>
            <w:rPr>
              <w:rFonts w:hint="eastAsia"/>
            </w:rPr>
            <w:t>万元，主要系新增中银金融租赁有限公司借款所致。</w:t>
          </w:r>
        </w:p>
        <w:p w14:paraId="4C4976FE" w14:textId="77777777" w:rsidR="00577D08" w:rsidRDefault="00330FC0">
          <w:pPr>
            <w:spacing w:line="360" w:lineRule="exact"/>
          </w:pPr>
          <w:r>
            <w:rPr>
              <w:rFonts w:hint="eastAsia"/>
            </w:rPr>
            <w:t>说明</w:t>
          </w:r>
          <w:r>
            <w:rPr>
              <w:rFonts w:hint="eastAsia"/>
            </w:rPr>
            <w:t>14</w:t>
          </w:r>
          <w:r>
            <w:rPr>
              <w:rFonts w:hint="eastAsia"/>
            </w:rPr>
            <w:t>：预计负债较期初增加</w:t>
          </w:r>
          <w:r>
            <w:rPr>
              <w:rFonts w:hint="eastAsia"/>
            </w:rPr>
            <w:t>165.41</w:t>
          </w:r>
          <w:r>
            <w:rPr>
              <w:rFonts w:hint="eastAsia"/>
            </w:rPr>
            <w:t>万元，同比增长</w:t>
          </w:r>
          <w:r>
            <w:rPr>
              <w:rFonts w:hint="eastAsia"/>
            </w:rPr>
            <w:t>133.48%</w:t>
          </w:r>
          <w:r>
            <w:rPr>
              <w:rFonts w:hint="eastAsia"/>
            </w:rPr>
            <w:t>，主要系本期依据产品售后服务政策计提的质保费用增加所致。</w:t>
          </w:r>
        </w:p>
      </w:sdtContent>
    </w:sdt>
    <w:p w14:paraId="3966DBBF" w14:textId="77777777" w:rsidR="00577D08" w:rsidRDefault="00330FC0">
      <w:pPr>
        <w:pStyle w:val="4"/>
        <w:numPr>
          <w:ilvl w:val="0"/>
          <w:numId w:val="12"/>
        </w:numPr>
        <w:rPr>
          <w:rFonts w:ascii="宋体" w:eastAsia="宋体" w:hAnsi="宋体" w:cs="宋体" w:hint="eastAsia"/>
          <w:kern w:val="0"/>
          <w:szCs w:val="21"/>
        </w:rPr>
      </w:pPr>
      <w:bookmarkStart w:id="122" w:name="_Hlk89877438"/>
      <w:r>
        <w:rPr>
          <w:rFonts w:ascii="宋体" w:eastAsia="宋体" w:hAnsi="宋体" w:cs="宋体" w:hint="eastAsia"/>
          <w:kern w:val="0"/>
          <w:szCs w:val="21"/>
        </w:rPr>
        <w:t>境外资产情况</w:t>
      </w:r>
    </w:p>
    <w:sdt>
      <w:sdtPr>
        <w:rPr>
          <w:rFonts w:hint="eastAsia"/>
        </w:rPr>
        <w:alias w:val="是否适用：境外资产情况 [双击切换]"/>
        <w:tag w:val="_GBC_7c019689b55740839a263ecc68721e10"/>
        <w:id w:val="-1225141626"/>
        <w:lock w:val="contentLocked"/>
        <w:placeholder>
          <w:docPart w:val="GBC22222222222222222222222222222"/>
        </w:placeholder>
      </w:sdtPr>
      <w:sdtContent>
        <w:p w14:paraId="3A08F05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3F87400" w14:textId="77777777" w:rsidR="00577D08" w:rsidRDefault="00330FC0">
      <w:pPr>
        <w:pStyle w:val="5"/>
        <w:numPr>
          <w:ilvl w:val="0"/>
          <w:numId w:val="13"/>
        </w:numPr>
        <w:tabs>
          <w:tab w:val="left" w:pos="360"/>
        </w:tabs>
        <w:ind w:leftChars="0" w:left="50"/>
        <w:rPr>
          <w:rFonts w:ascii="宋体" w:hAnsi="宋体" w:hint="eastAsia"/>
          <w:szCs w:val="21"/>
        </w:rPr>
      </w:pPr>
      <w:bookmarkStart w:id="123" w:name="_Hlk89175643"/>
      <w:bookmarkStart w:id="124" w:name="_Hlk74646369"/>
      <w:bookmarkStart w:id="125" w:name="_Hlk89176028"/>
      <w:r>
        <w:rPr>
          <w:rFonts w:ascii="宋体" w:hAnsi="宋体" w:hint="eastAsia"/>
          <w:szCs w:val="21"/>
        </w:rPr>
        <w:t>资产规模</w:t>
      </w:r>
    </w:p>
    <w:p w14:paraId="6D86E14A" w14:textId="77777777" w:rsidR="00577D08" w:rsidRDefault="00330FC0">
      <w:r>
        <w:rPr>
          <w:rFonts w:hint="eastAsia"/>
        </w:rPr>
        <w:t>其中：境外资产</w:t>
      </w:r>
      <w:sdt>
        <w:sdtPr>
          <w:rPr>
            <w:rFonts w:hint="eastAsia"/>
          </w:rPr>
          <w:alias w:val="报告期内公司境外资产变化"/>
          <w:tag w:val="_GBC_cbb65327857a4a80a4f343e0bf736822"/>
          <w:id w:val="-1215878529"/>
          <w:placeholder>
            <w:docPart w:val="5E7BFF82C76040AD9A3479A38CD62A5C"/>
          </w:placeholder>
        </w:sdtPr>
        <w:sdtEndPr>
          <w:rPr>
            <w:szCs w:val="20"/>
          </w:rPr>
        </w:sdtEndPr>
        <w:sdtContent>
          <w:r>
            <w:rPr>
              <w:rFonts w:hint="eastAsia"/>
            </w:rPr>
            <w:t>23.37</w:t>
          </w:r>
        </w:sdtContent>
      </w:sdt>
      <w:r>
        <w:rPr>
          <w:rFonts w:hint="eastAsia"/>
        </w:rPr>
        <w:t>（单位：</w:t>
      </w:r>
      <w:sdt>
        <w:sdtPr>
          <w:rPr>
            <w:rFonts w:hint="eastAsia"/>
          </w:rPr>
          <w:alias w:val="单位：报告期内公司境外资产变化"/>
          <w:tag w:val="_GBC_269723869c544fd5af5f26c6edeeb598"/>
          <w:id w:val="-1698075819"/>
          <w:placeholder>
            <w:docPart w:val="5E7BFF82C76040AD9A3479A38CD62A5C"/>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w:t>
      </w:r>
      <w:r>
        <w:rPr>
          <w:rFonts w:hint="eastAsia"/>
        </w:rPr>
        <w:t>币种：</w:t>
      </w:r>
      <w:sdt>
        <w:sdtPr>
          <w:rPr>
            <w:rFonts w:hint="eastAsia"/>
          </w:rPr>
          <w:alias w:val="币种：报告期内公司境外资产变化"/>
          <w:tag w:val="_GBC_a1adc6e0671d485da640bb0d68ad82d0"/>
          <w:id w:val="20990929"/>
          <w:placeholder>
            <w:docPart w:val="5E7BFF82C76040AD9A3479A38CD62A5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），占总资产的比例为</w:t>
      </w:r>
      <w:sdt>
        <w:sdtPr>
          <w:rPr>
            <w:rFonts w:hint="eastAsia"/>
          </w:rPr>
          <w:alias w:val="报告期内公司境外资产变化占总资产的比例"/>
          <w:tag w:val="_GBC_5480c4d77db342bdbf4d43b6611f0966"/>
          <w:id w:val="-665715824"/>
          <w:placeholder>
            <w:docPart w:val="5E7BFF82C76040AD9A3479A38CD62A5C"/>
          </w:placeholder>
        </w:sdtPr>
        <w:sdtEndPr>
          <w:rPr>
            <w:szCs w:val="20"/>
          </w:rPr>
        </w:sdtEndPr>
        <w:sdtContent>
          <w:r>
            <w:rPr>
              <w:rFonts w:hint="eastAsia"/>
            </w:rPr>
            <w:t>0.003</w:t>
          </w:r>
        </w:sdtContent>
      </w:sdt>
      <w:r>
        <w:t>%</w:t>
      </w:r>
      <w:r>
        <w:rPr>
          <w:rFonts w:hint="eastAsia"/>
        </w:rPr>
        <w:t>。</w:t>
      </w:r>
    </w:p>
    <w:bookmarkEnd w:id="123"/>
    <w:bookmarkEnd w:id="124"/>
    <w:p w14:paraId="6A7DC40C" w14:textId="77777777" w:rsidR="00577D08" w:rsidRDefault="00330FC0">
      <w:pPr>
        <w:pStyle w:val="5"/>
        <w:numPr>
          <w:ilvl w:val="0"/>
          <w:numId w:val="13"/>
        </w:numPr>
        <w:tabs>
          <w:tab w:val="left" w:pos="360"/>
        </w:tabs>
        <w:ind w:leftChars="0" w:left="50"/>
        <w:rPr>
          <w:rFonts w:ascii="宋体" w:hAnsi="宋体" w:cs="宋体" w:hint="eastAsia"/>
          <w:kern w:val="0"/>
          <w:szCs w:val="21"/>
        </w:rPr>
      </w:pPr>
      <w:r>
        <w:rPr>
          <w:rFonts w:ascii="宋体" w:hAnsi="宋体" w:cs="宋体" w:hint="eastAsia"/>
          <w:kern w:val="0"/>
          <w:szCs w:val="21"/>
        </w:rPr>
        <w:t>境外资产占比较高的相关说明</w:t>
      </w:r>
    </w:p>
    <w:sdt>
      <w:sdtPr>
        <w:rPr>
          <w:rFonts w:hint="eastAsia"/>
        </w:rPr>
        <w:alias w:val="是否适用：境外资产占比较高的相关说明  [双击切换]"/>
        <w:tag w:val="_GBC_2dd8a14582494b7fb2da678323726771"/>
        <w:id w:val="963690167"/>
        <w:placeholder>
          <w:docPart w:val="5E7BFF82C76040AD9A3479A38CD62A5C"/>
        </w:placeholder>
      </w:sdtPr>
      <w:sdtContent>
        <w:p w14:paraId="75D6FD6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122"/>
    <w:bookmarkEnd w:id="125"/>
    <w:p w14:paraId="53C4AB6A" w14:textId="77777777" w:rsidR="00577D08" w:rsidRDefault="00330FC0">
      <w:pPr>
        <w:pStyle w:val="4"/>
        <w:numPr>
          <w:ilvl w:val="0"/>
          <w:numId w:val="12"/>
        </w:numPr>
        <w:rPr>
          <w:rFonts w:hint="eastAsia"/>
        </w:rPr>
      </w:pPr>
      <w:r>
        <w:t>截至报告期末主要资产受限情</w:t>
      </w:r>
      <w:r>
        <w:rPr>
          <w:rFonts w:hint="eastAsia"/>
        </w:rPr>
        <w:t>况</w:t>
      </w:r>
    </w:p>
    <w:sdt>
      <w:sdtPr>
        <w:rPr>
          <w:rFonts w:hint="eastAsia"/>
        </w:rPr>
        <w:alias w:val="是否适用：主要资产受限情况[双击切换]"/>
        <w:tag w:val="_GBC_01311ee451194f52a953344cf249b1b9"/>
        <w:id w:val="-929585200"/>
        <w:placeholder>
          <w:docPart w:val="GBC22222222222222222222222222222"/>
        </w:placeholder>
      </w:sdtPr>
      <w:sdtContent>
        <w:p w14:paraId="3AF0EE8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alias w:val="主要资产受限情况"/>
        <w:tag w:val="_GBC_cb7fe3db517742e2a0cff2593f270f8e"/>
        <w:id w:val="873735072"/>
        <w:placeholder>
          <w:docPart w:val="244B0A290A71452EA3771DBC836B7EB6"/>
        </w:placeholder>
      </w:sdtPr>
      <w:sdtContent>
        <w:p w14:paraId="47FB95E5" w14:textId="77777777" w:rsidR="00577D08" w:rsidRDefault="00330FC0">
          <w:r>
            <w:t>详见</w:t>
          </w:r>
          <w:r>
            <w:t>“</w:t>
          </w:r>
          <w:r>
            <w:t>第</w:t>
          </w:r>
          <w:r>
            <w:rPr>
              <w:rFonts w:hint="eastAsia"/>
            </w:rPr>
            <w:t>八</w:t>
          </w:r>
          <w:r>
            <w:t>节</w:t>
          </w:r>
          <w:r>
            <w:t>.</w:t>
          </w:r>
          <w:r>
            <w:t>七、合并财务报表项目注释</w:t>
          </w:r>
          <w:r>
            <w:t>.31</w:t>
          </w:r>
          <w:r>
            <w:t>、所有权或使用权受限资产</w:t>
          </w:r>
          <w:r>
            <w:t>”</w:t>
          </w:r>
          <w:r>
            <w:t>。</w:t>
          </w:r>
        </w:p>
      </w:sdtContent>
    </w:sdt>
    <w:p w14:paraId="19B25EC4" w14:textId="77777777" w:rsidR="00577D08" w:rsidRDefault="00330FC0">
      <w:pPr>
        <w:pStyle w:val="4"/>
        <w:numPr>
          <w:ilvl w:val="0"/>
          <w:numId w:val="12"/>
        </w:numPr>
        <w:rPr>
          <w:rFonts w:hint="eastAsia"/>
        </w:rPr>
      </w:pPr>
      <w:r>
        <w:t>其他说明</w:t>
      </w:r>
    </w:p>
    <w:sdt>
      <w:sdtPr>
        <w:rPr>
          <w:rFonts w:hint="eastAsia"/>
        </w:rPr>
        <w:alias w:val="是否适用：资产及负债状况的其他说明[双击切换]"/>
        <w:tag w:val="_GBC_364e24c8cf1a4469ba88a4ae16e0417f"/>
        <w:id w:val="48729770"/>
        <w:placeholder>
          <w:docPart w:val="GBC22222222222222222222222222222"/>
        </w:placeholder>
      </w:sdtPr>
      <w:sdtContent>
        <w:p w14:paraId="6AEA403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7AF8FD2" w14:textId="77777777" w:rsidR="00577D08" w:rsidRDefault="00330FC0">
      <w:pPr>
        <w:pStyle w:val="3"/>
        <w:numPr>
          <w:ilvl w:val="0"/>
          <w:numId w:val="8"/>
        </w:numPr>
        <w:rPr>
          <w:szCs w:val="21"/>
        </w:rPr>
      </w:pPr>
      <w:r>
        <w:rPr>
          <w:rFonts w:hint="eastAsia"/>
          <w:szCs w:val="21"/>
        </w:rPr>
        <w:t>行业经营性信息分析</w:t>
      </w:r>
    </w:p>
    <w:sdt>
      <w:sdtPr>
        <w:rPr>
          <w:rFonts w:hint="eastAsia"/>
        </w:rPr>
        <w:alias w:val="是否适用：行业经营性信息分析[双击切换]"/>
        <w:tag w:val="_GBC_8a02ac4934eb426ab273323b8694d88c"/>
        <w:id w:val="696280808"/>
        <w:placeholder>
          <w:docPart w:val="GBC22222222222222222222222222222"/>
        </w:placeholder>
      </w:sdtPr>
      <w:sdtContent>
        <w:p w14:paraId="652D4A8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590CB5A" w14:textId="77777777" w:rsidR="00577D08" w:rsidRDefault="00330FC0">
      <w:pPr>
        <w:pStyle w:val="4"/>
        <w:rPr>
          <w:rFonts w:hint="eastAsia"/>
          <w:szCs w:val="21"/>
        </w:rPr>
      </w:pPr>
      <w:r>
        <w:rPr>
          <w:rFonts w:hint="eastAsia"/>
        </w:rPr>
        <w:t>电力行业经营性信息分析</w:t>
      </w:r>
    </w:p>
    <w:p w14:paraId="6ED5F8E9" w14:textId="77777777" w:rsidR="00577D08" w:rsidRDefault="00330FC0">
      <w:pPr>
        <w:pStyle w:val="5"/>
        <w:numPr>
          <w:ilvl w:val="0"/>
          <w:numId w:val="14"/>
        </w:numPr>
        <w:ind w:leftChars="0"/>
      </w:pPr>
      <w:r>
        <w:rPr>
          <w:rFonts w:hint="eastAsia"/>
        </w:rPr>
        <w:t>报告期内电量电价情况</w:t>
      </w:r>
    </w:p>
    <w:p w14:paraId="21BAEBD9" w14:textId="77777777" w:rsidR="00577D08" w:rsidRDefault="00000000">
      <w:sdt>
        <w:sdtPr>
          <w:alias w:val="是否适用：报告期内电量电价情况[双击切换]"/>
          <w:tag w:val="_GBC_bb8f3232b3eb46219d36216e2afe3aee"/>
          <w:id w:val="-1969271662"/>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1AF69836" w14:textId="77777777" w:rsidR="00577D08" w:rsidRDefault="00330FC0">
      <w:pPr>
        <w:pStyle w:val="5"/>
        <w:numPr>
          <w:ilvl w:val="0"/>
          <w:numId w:val="14"/>
        </w:numPr>
        <w:ind w:leftChars="0"/>
      </w:pPr>
      <w:r>
        <w:rPr>
          <w:rFonts w:hint="eastAsia"/>
        </w:rPr>
        <w:t>报告期内电量、收入及成本情况</w:t>
      </w:r>
    </w:p>
    <w:p w14:paraId="013A01D3" w14:textId="77777777" w:rsidR="00577D08" w:rsidRDefault="00000000">
      <w:sdt>
        <w:sdtPr>
          <w:alias w:val="是否适用：报告期内电量、收入及成本情况[双击切换]"/>
          <w:tag w:val="_GBC_bcc99b9b926a4812aa74718fc16937fe"/>
          <w:id w:val="1301192145"/>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2964A397" w14:textId="77777777" w:rsidR="00577D08" w:rsidRDefault="00330FC0">
      <w:pPr>
        <w:pStyle w:val="5"/>
        <w:numPr>
          <w:ilvl w:val="0"/>
          <w:numId w:val="14"/>
        </w:numPr>
        <w:ind w:leftChars="0"/>
      </w:pPr>
      <w:r>
        <w:rPr>
          <w:rFonts w:hint="eastAsia"/>
        </w:rPr>
        <w:lastRenderedPageBreak/>
        <w:t>装机容量情况分析</w:t>
      </w:r>
    </w:p>
    <w:sdt>
      <w:sdtPr>
        <w:rPr>
          <w:rFonts w:hint="eastAsia"/>
          <w:bCs/>
          <w:kern w:val="2"/>
        </w:rPr>
        <w:alias w:val="是否适用：装机容量情况分析[双击切换]"/>
        <w:tag w:val="_GBC_5fc815a9b7704e59a6ac49b2f904ff77"/>
        <w:id w:val="617189859"/>
        <w:placeholder>
          <w:docPart w:val="GBC22222222222222222222222222222"/>
        </w:placeholder>
      </w:sdtPr>
      <w:sdtContent>
        <w:p w14:paraId="14E4AA95" w14:textId="77777777" w:rsidR="00577D08" w:rsidRDefault="00330FC0">
          <w:pPr>
            <w:adjustRightInd w:val="0"/>
            <w:snapToGrid w:val="0"/>
            <w:rPr>
              <w:bCs/>
              <w:kern w:val="2"/>
            </w:rPr>
          </w:pPr>
          <w:r>
            <w:rPr>
              <w:rFonts w:ascii="宋体" w:hAnsi="宋体"/>
              <w:bCs/>
              <w:kern w:val="2"/>
            </w:rPr>
            <w:fldChar w:fldCharType="begin"/>
          </w:r>
          <w:r>
            <w:rPr>
              <w:rFonts w:ascii="宋体" w:hAnsi="宋体" w:hint="eastAsia"/>
              <w:bCs/>
              <w:kern w:val="2"/>
            </w:rPr>
            <w:instrText xml:space="preserve"> MACROBUTTON  SnrToggleCheckbox □适用  </w:instrText>
          </w:r>
          <w:r>
            <w:rPr>
              <w:rFonts w:ascii="宋体" w:hAnsi="宋体"/>
              <w:bCs/>
              <w:kern w:val="2"/>
            </w:rPr>
            <w:fldChar w:fldCharType="end"/>
          </w:r>
          <w:r>
            <w:rPr>
              <w:rFonts w:ascii="宋体" w:hAnsi="宋体"/>
              <w:bCs/>
              <w:kern w:val="2"/>
            </w:rPr>
            <w:fldChar w:fldCharType="begin"/>
          </w:r>
          <w:r>
            <w:rPr>
              <w:rFonts w:ascii="宋体" w:hAnsi="宋体" w:hint="eastAsia"/>
              <w:bCs/>
              <w:kern w:val="2"/>
            </w:rPr>
            <w:instrText xml:space="preserve"> MACROBUTTON  SnrToggleCheckbox √不适用 </w:instrText>
          </w:r>
          <w:r>
            <w:rPr>
              <w:rFonts w:ascii="宋体" w:hAnsi="宋体"/>
              <w:bCs/>
              <w:kern w:val="2"/>
            </w:rPr>
            <w:fldChar w:fldCharType="end"/>
          </w:r>
        </w:p>
      </w:sdtContent>
    </w:sdt>
    <w:p w14:paraId="2370C320" w14:textId="77777777" w:rsidR="00577D08" w:rsidRDefault="00330FC0">
      <w:pPr>
        <w:pStyle w:val="5"/>
        <w:numPr>
          <w:ilvl w:val="0"/>
          <w:numId w:val="14"/>
        </w:numPr>
        <w:ind w:leftChars="0"/>
      </w:pPr>
      <w:r>
        <w:rPr>
          <w:rFonts w:hint="eastAsia"/>
        </w:rPr>
        <w:t>发电效率情况分析</w:t>
      </w:r>
    </w:p>
    <w:sdt>
      <w:sdtPr>
        <w:rPr>
          <w:bCs/>
          <w:kern w:val="2"/>
        </w:rPr>
        <w:alias w:val="是否适用：发电效率情况分析说明[双击切换]"/>
        <w:tag w:val="_GBC_8ef272b7026a4ddbb655807a88bcedea"/>
        <w:id w:val="-642732949"/>
        <w:placeholder>
          <w:docPart w:val="GBC22222222222222222222222222222"/>
        </w:placeholder>
      </w:sdtPr>
      <w:sdtContent>
        <w:p w14:paraId="37FA6C2B" w14:textId="77777777" w:rsidR="00577D08" w:rsidRDefault="00330FC0">
          <w:pPr>
            <w:adjustRightInd w:val="0"/>
            <w:snapToGrid w:val="0"/>
            <w:rPr>
              <w:bCs/>
              <w:kern w:val="2"/>
            </w:rPr>
          </w:pPr>
          <w:r>
            <w:rPr>
              <w:rFonts w:ascii="宋体" w:hAnsi="宋体"/>
              <w:bCs/>
              <w:kern w:val="2"/>
            </w:rPr>
            <w:fldChar w:fldCharType="begin"/>
          </w:r>
          <w:r>
            <w:rPr>
              <w:rFonts w:ascii="宋体" w:hAnsi="宋体" w:hint="eastAsia"/>
              <w:bCs/>
              <w:kern w:val="2"/>
            </w:rPr>
            <w:instrText xml:space="preserve">MACROBUTTON  SnrToggleCheckbox □适用 </w:instrText>
          </w:r>
          <w:r>
            <w:rPr>
              <w:rFonts w:ascii="宋体" w:hAnsi="宋体"/>
              <w:bCs/>
              <w:kern w:val="2"/>
            </w:rPr>
            <w:fldChar w:fldCharType="end"/>
          </w:r>
          <w:r>
            <w:rPr>
              <w:rFonts w:ascii="宋体" w:hAnsi="宋体"/>
              <w:bCs/>
              <w:kern w:val="2"/>
            </w:rPr>
            <w:fldChar w:fldCharType="begin"/>
          </w:r>
          <w:r>
            <w:rPr>
              <w:rFonts w:ascii="宋体" w:hAnsi="宋体" w:hint="eastAsia"/>
              <w:bCs/>
              <w:kern w:val="2"/>
            </w:rPr>
            <w:instrText xml:space="preserve"> MACROBUTTON  SnrToggleCheckbox √不适用 </w:instrText>
          </w:r>
          <w:r>
            <w:rPr>
              <w:rFonts w:ascii="宋体" w:hAnsi="宋体"/>
              <w:bCs/>
              <w:kern w:val="2"/>
            </w:rPr>
            <w:fldChar w:fldCharType="end"/>
          </w:r>
        </w:p>
      </w:sdtContent>
    </w:sdt>
    <w:p w14:paraId="1D147F08" w14:textId="77777777" w:rsidR="00577D08" w:rsidRDefault="00330FC0">
      <w:pPr>
        <w:pStyle w:val="5"/>
        <w:numPr>
          <w:ilvl w:val="0"/>
          <w:numId w:val="14"/>
        </w:numPr>
        <w:ind w:leftChars="0"/>
      </w:pPr>
      <w:r>
        <w:rPr>
          <w:rFonts w:hint="eastAsia"/>
        </w:rPr>
        <w:t>资本性支出情况</w:t>
      </w:r>
    </w:p>
    <w:sdt>
      <w:sdtPr>
        <w:rPr>
          <w:rFonts w:hint="eastAsia"/>
          <w:bCs/>
          <w:kern w:val="2"/>
        </w:rPr>
        <w:alias w:val="是否适用：电力行业资本性支出情况说明[双击切换]"/>
        <w:tag w:val="_GBC_9b765ffeda97489fa4da73cea53c4f5b"/>
        <w:id w:val="-322351836"/>
        <w:placeholder>
          <w:docPart w:val="GBC22222222222222222222222222222"/>
        </w:placeholder>
      </w:sdtPr>
      <w:sdtContent>
        <w:p w14:paraId="365A2A20" w14:textId="77777777" w:rsidR="00577D08" w:rsidRDefault="00330FC0">
          <w:pPr>
            <w:adjustRightInd w:val="0"/>
            <w:snapToGrid w:val="0"/>
            <w:rPr>
              <w:bCs/>
              <w:kern w:val="2"/>
            </w:rPr>
          </w:pPr>
          <w:r>
            <w:rPr>
              <w:rFonts w:ascii="宋体" w:hAnsi="宋体"/>
              <w:bCs/>
              <w:kern w:val="2"/>
            </w:rPr>
            <w:fldChar w:fldCharType="begin"/>
          </w:r>
          <w:r>
            <w:rPr>
              <w:rFonts w:ascii="宋体" w:hAnsi="宋体" w:hint="eastAsia"/>
              <w:bCs/>
              <w:kern w:val="2"/>
            </w:rPr>
            <w:instrText xml:space="preserve"> MACROBUTTON  SnrToggleCheckbox □适用  </w:instrText>
          </w:r>
          <w:r>
            <w:rPr>
              <w:rFonts w:ascii="宋体" w:hAnsi="宋体"/>
              <w:bCs/>
              <w:kern w:val="2"/>
            </w:rPr>
            <w:fldChar w:fldCharType="end"/>
          </w:r>
          <w:r>
            <w:rPr>
              <w:rFonts w:ascii="宋体" w:hAnsi="宋体"/>
              <w:bCs/>
              <w:kern w:val="2"/>
            </w:rPr>
            <w:fldChar w:fldCharType="begin"/>
          </w:r>
          <w:r>
            <w:rPr>
              <w:rFonts w:ascii="宋体" w:hAnsi="宋体" w:hint="eastAsia"/>
              <w:bCs/>
              <w:kern w:val="2"/>
            </w:rPr>
            <w:instrText xml:space="preserve"> MACROBUTTON  SnrToggleCheckbox √不适用 </w:instrText>
          </w:r>
          <w:r>
            <w:rPr>
              <w:rFonts w:ascii="宋体" w:hAnsi="宋体"/>
              <w:bCs/>
              <w:kern w:val="2"/>
            </w:rPr>
            <w:fldChar w:fldCharType="end"/>
          </w:r>
        </w:p>
      </w:sdtContent>
    </w:sdt>
    <w:p w14:paraId="3C0EEDC2" w14:textId="77777777" w:rsidR="00577D08" w:rsidRDefault="00330FC0">
      <w:pPr>
        <w:pStyle w:val="5"/>
        <w:numPr>
          <w:ilvl w:val="0"/>
          <w:numId w:val="14"/>
        </w:numPr>
        <w:ind w:leftChars="0"/>
      </w:pPr>
      <w:r>
        <w:rPr>
          <w:rFonts w:hint="eastAsia"/>
        </w:rPr>
        <w:t>电力市场化交易</w:t>
      </w:r>
    </w:p>
    <w:sdt>
      <w:sdtPr>
        <w:rPr>
          <w:bCs/>
          <w:kern w:val="2"/>
        </w:rPr>
        <w:alias w:val="是否适用：电力市场化交易[双击切换]"/>
        <w:tag w:val="_GBC_969b463c41714d799822216eb266c7a6"/>
        <w:id w:val="-1954242275"/>
        <w:placeholder>
          <w:docPart w:val="GBC22222222222222222222222222222"/>
        </w:placeholder>
      </w:sdtPr>
      <w:sdtContent>
        <w:p w14:paraId="23C4070A" w14:textId="77777777" w:rsidR="00577D08" w:rsidRDefault="00330FC0">
          <w:pPr>
            <w:adjustRightInd w:val="0"/>
            <w:snapToGrid w:val="0"/>
            <w:rPr>
              <w:bCs/>
              <w:kern w:val="2"/>
            </w:rPr>
          </w:pPr>
          <w:r>
            <w:rPr>
              <w:rFonts w:ascii="宋体" w:hAnsi="宋体"/>
              <w:bCs/>
              <w:kern w:val="2"/>
            </w:rPr>
            <w:fldChar w:fldCharType="begin"/>
          </w:r>
          <w:r>
            <w:rPr>
              <w:rFonts w:ascii="宋体" w:hAnsi="宋体" w:hint="eastAsia"/>
              <w:bCs/>
              <w:kern w:val="2"/>
            </w:rPr>
            <w:instrText xml:space="preserve"> MACROBUTTON  SnrToggleCheckbox □适用 </w:instrText>
          </w:r>
          <w:r>
            <w:rPr>
              <w:rFonts w:ascii="宋体" w:hAnsi="宋体"/>
              <w:bCs/>
              <w:kern w:val="2"/>
            </w:rPr>
            <w:fldChar w:fldCharType="end"/>
          </w:r>
          <w:r>
            <w:rPr>
              <w:rFonts w:ascii="宋体" w:hAnsi="宋体"/>
              <w:bCs/>
              <w:kern w:val="2"/>
            </w:rPr>
            <w:fldChar w:fldCharType="begin"/>
          </w:r>
          <w:r>
            <w:rPr>
              <w:rFonts w:ascii="宋体" w:hAnsi="宋体" w:hint="eastAsia"/>
              <w:bCs/>
              <w:kern w:val="2"/>
            </w:rPr>
            <w:instrText xml:space="preserve"> MACROBUTTON  SnrToggleCheckbox √不适用 </w:instrText>
          </w:r>
          <w:r>
            <w:rPr>
              <w:rFonts w:ascii="宋体" w:hAnsi="宋体"/>
              <w:bCs/>
              <w:kern w:val="2"/>
            </w:rPr>
            <w:fldChar w:fldCharType="end"/>
          </w:r>
        </w:p>
      </w:sdtContent>
    </w:sdt>
    <w:p w14:paraId="324EE320" w14:textId="77777777" w:rsidR="00577D08" w:rsidRDefault="00330FC0">
      <w:pPr>
        <w:pStyle w:val="5"/>
        <w:numPr>
          <w:ilvl w:val="0"/>
          <w:numId w:val="14"/>
        </w:numPr>
        <w:ind w:leftChars="0"/>
        <w:jc w:val="left"/>
      </w:pPr>
      <w:r>
        <w:rPr>
          <w:rFonts w:hint="eastAsia"/>
        </w:rPr>
        <w:t>售电业务经营情况</w:t>
      </w:r>
    </w:p>
    <w:sdt>
      <w:sdtPr>
        <w:rPr>
          <w:bCs/>
          <w:kern w:val="2"/>
        </w:rPr>
        <w:alias w:val="是否适用：售电业务经营情况 [双击切换]"/>
        <w:tag w:val="_GBC_9ecfa54218574bb7866f8169186206d5"/>
        <w:id w:val="-1909142781"/>
        <w:placeholder>
          <w:docPart w:val="GBC22222222222222222222222222222"/>
        </w:placeholder>
      </w:sdtPr>
      <w:sdtContent>
        <w:p w14:paraId="176C09F6" w14:textId="77777777" w:rsidR="00577D08" w:rsidRDefault="00330FC0">
          <w:pPr>
            <w:adjustRightInd w:val="0"/>
            <w:snapToGrid w:val="0"/>
            <w:rPr>
              <w:bCs/>
              <w:kern w:val="2"/>
            </w:rPr>
          </w:pPr>
          <w:r>
            <w:rPr>
              <w:rFonts w:ascii="宋体" w:hAnsi="宋体"/>
              <w:bCs/>
              <w:kern w:val="2"/>
            </w:rPr>
            <w:fldChar w:fldCharType="begin"/>
          </w:r>
          <w:r>
            <w:rPr>
              <w:rFonts w:ascii="宋体" w:hAnsi="宋体" w:hint="eastAsia"/>
              <w:bCs/>
              <w:kern w:val="2"/>
            </w:rPr>
            <w:instrText xml:space="preserve"> MACROBUTTON  SnrToggleCheckbox □适用 </w:instrText>
          </w:r>
          <w:r>
            <w:rPr>
              <w:rFonts w:ascii="宋体" w:hAnsi="宋体"/>
              <w:bCs/>
              <w:kern w:val="2"/>
            </w:rPr>
            <w:fldChar w:fldCharType="end"/>
          </w:r>
          <w:r>
            <w:rPr>
              <w:rFonts w:ascii="宋体" w:hAnsi="宋体"/>
              <w:bCs/>
              <w:kern w:val="2"/>
            </w:rPr>
            <w:fldChar w:fldCharType="begin"/>
          </w:r>
          <w:r>
            <w:rPr>
              <w:rFonts w:ascii="宋体" w:hAnsi="宋体" w:hint="eastAsia"/>
              <w:bCs/>
              <w:kern w:val="2"/>
            </w:rPr>
            <w:instrText xml:space="preserve"> MACROBUTTON  SnrToggleCheckbox √不适用 </w:instrText>
          </w:r>
          <w:r>
            <w:rPr>
              <w:rFonts w:ascii="宋体" w:hAnsi="宋体"/>
              <w:bCs/>
              <w:kern w:val="2"/>
            </w:rPr>
            <w:fldChar w:fldCharType="end"/>
          </w:r>
        </w:p>
      </w:sdtContent>
    </w:sdt>
    <w:p w14:paraId="26C6D2D9" w14:textId="77777777" w:rsidR="00577D08" w:rsidRDefault="00330FC0">
      <w:pPr>
        <w:pStyle w:val="5"/>
        <w:numPr>
          <w:ilvl w:val="0"/>
          <w:numId w:val="14"/>
        </w:numPr>
        <w:ind w:leftChars="0" w:left="0" w:firstLine="0"/>
      </w:pPr>
      <w:r>
        <w:rPr>
          <w:rFonts w:hint="eastAsia"/>
        </w:rPr>
        <w:t>其他说明</w:t>
      </w:r>
    </w:p>
    <w:sdt>
      <w:sdtPr>
        <w:alias w:val="是否适用：电力行业经营性信息分析其他情况说明[双击切换]"/>
        <w:tag w:val="_GBC_cf3b7421846c4588a825a84747bfc5d4"/>
        <w:id w:val="783241494"/>
        <w:placeholder>
          <w:docPart w:val="GBC22222222222222222222222222222"/>
        </w:placeholder>
      </w:sdtPr>
      <w:sdtContent>
        <w:p w14:paraId="3493965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CFA5FD8" w14:textId="77777777" w:rsidR="00577D08" w:rsidRDefault="00330FC0">
      <w:pPr>
        <w:pStyle w:val="4"/>
        <w:ind w:left="360" w:hanging="360"/>
        <w:rPr>
          <w:rFonts w:ascii="Calibri" w:hAnsi="Calibri"/>
          <w:szCs w:val="21"/>
        </w:rPr>
      </w:pPr>
      <w:r>
        <w:rPr>
          <w:rFonts w:hint="eastAsia"/>
        </w:rPr>
        <w:t>钢铁行业经营性信息分析</w:t>
      </w:r>
    </w:p>
    <w:p w14:paraId="4C3BA0B5" w14:textId="77777777" w:rsidR="00577D08" w:rsidRDefault="00330FC0">
      <w:pPr>
        <w:pStyle w:val="5"/>
        <w:numPr>
          <w:ilvl w:val="0"/>
          <w:numId w:val="15"/>
        </w:numPr>
        <w:ind w:leftChars="0"/>
      </w:pPr>
      <w:r>
        <w:rPr>
          <w:rFonts w:hint="eastAsia"/>
        </w:rPr>
        <w:t>按加工工艺分类的钢材制造和销售情况</w:t>
      </w:r>
    </w:p>
    <w:sdt>
      <w:sdtPr>
        <w:rPr>
          <w:rFonts w:hint="eastAsia"/>
        </w:rPr>
        <w:alias w:val="是否适用：按加工工艺分类的钢材制造和销售情况[双击切换]"/>
        <w:tag w:val="_GBC_cc7950b41e274e878e06084299f40f13"/>
        <w:id w:val="-1147579606"/>
        <w:placeholder>
          <w:docPart w:val="GBC22222222222222222222222222222"/>
        </w:placeholder>
      </w:sdtPr>
      <w:sdtContent>
        <w:p w14:paraId="2691254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95019B8" w14:textId="77777777" w:rsidR="00577D08" w:rsidRDefault="00330FC0">
      <w:pPr>
        <w:pStyle w:val="5"/>
        <w:numPr>
          <w:ilvl w:val="0"/>
          <w:numId w:val="15"/>
        </w:numPr>
        <w:ind w:leftChars="0"/>
        <w:rPr>
          <w:bCs w:val="0"/>
          <w:szCs w:val="21"/>
        </w:rPr>
      </w:pPr>
      <w:r>
        <w:rPr>
          <w:rFonts w:hint="eastAsia"/>
          <w:bCs w:val="0"/>
          <w:szCs w:val="21"/>
        </w:rPr>
        <w:t>按成品形态分类的钢材制造和销售情况</w:t>
      </w:r>
    </w:p>
    <w:sdt>
      <w:sdtPr>
        <w:rPr>
          <w:rFonts w:hint="eastAsia"/>
        </w:rPr>
        <w:alias w:val="是否适用：按成品形态分类的钢材制造和销售情况[双击切换]"/>
        <w:tag w:val="_GBC_05668711417544f9b3ce7083b909a747"/>
        <w:id w:val="954366945"/>
        <w:placeholder>
          <w:docPart w:val="GBC22222222222222222222222222222"/>
        </w:placeholder>
      </w:sdtPr>
      <w:sdtContent>
        <w:p w14:paraId="00F7642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CA5B34" w14:textId="77777777" w:rsidR="00577D08" w:rsidRDefault="00330FC0">
      <w:pPr>
        <w:pStyle w:val="5"/>
        <w:numPr>
          <w:ilvl w:val="0"/>
          <w:numId w:val="15"/>
        </w:numPr>
        <w:ind w:leftChars="0"/>
        <w:rPr>
          <w:bCs w:val="0"/>
          <w:szCs w:val="21"/>
        </w:rPr>
      </w:pPr>
      <w:r>
        <w:rPr>
          <w:rFonts w:hint="eastAsia"/>
          <w:bCs w:val="0"/>
          <w:szCs w:val="21"/>
        </w:rPr>
        <w:t>按销售渠道分类的钢材销售情况</w:t>
      </w:r>
    </w:p>
    <w:sdt>
      <w:sdtPr>
        <w:rPr>
          <w:rFonts w:hint="eastAsia"/>
        </w:rPr>
        <w:alias w:val="是否适用：按销售渠道分类的钢材销售情况[双击切换]"/>
        <w:tag w:val="_GBC_e005391142e146af9117f93cb7c4c136"/>
        <w:id w:val="1097752666"/>
        <w:placeholder>
          <w:docPart w:val="GBC22222222222222222222222222222"/>
        </w:placeholder>
      </w:sdtPr>
      <w:sdtContent>
        <w:p w14:paraId="4719995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C1D17A1" w14:textId="77777777" w:rsidR="00577D08" w:rsidRDefault="00330FC0">
      <w:pPr>
        <w:pStyle w:val="5"/>
        <w:numPr>
          <w:ilvl w:val="0"/>
          <w:numId w:val="15"/>
        </w:numPr>
        <w:ind w:leftChars="0"/>
        <w:rPr>
          <w:bCs w:val="0"/>
          <w:szCs w:val="21"/>
        </w:rPr>
      </w:pPr>
      <w:r>
        <w:rPr>
          <w:rFonts w:hint="eastAsia"/>
          <w:bCs w:val="0"/>
          <w:szCs w:val="21"/>
        </w:rPr>
        <w:t>铁矿石供应情况</w:t>
      </w:r>
    </w:p>
    <w:sdt>
      <w:sdtPr>
        <w:rPr>
          <w:rFonts w:hint="eastAsia"/>
        </w:rPr>
        <w:alias w:val="是否适用：铁矿石供应情况[双击切换]"/>
        <w:tag w:val="_GBC_f4083f01dff74e19b0cffa64a3284de0"/>
        <w:id w:val="-1829662626"/>
        <w:placeholder>
          <w:docPart w:val="GBC22222222222222222222222222222"/>
        </w:placeholder>
      </w:sdtPr>
      <w:sdtContent>
        <w:p w14:paraId="43205C4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819D29" w14:textId="77777777" w:rsidR="00577D08" w:rsidRDefault="00330FC0">
      <w:pPr>
        <w:pStyle w:val="5"/>
        <w:numPr>
          <w:ilvl w:val="0"/>
          <w:numId w:val="15"/>
        </w:numPr>
        <w:ind w:leftChars="0"/>
        <w:rPr>
          <w:bCs w:val="0"/>
          <w:szCs w:val="21"/>
        </w:rPr>
      </w:pPr>
      <w:r>
        <w:rPr>
          <w:rFonts w:hint="eastAsia"/>
          <w:bCs w:val="0"/>
          <w:szCs w:val="21"/>
        </w:rPr>
        <w:t>废钢供应情况</w:t>
      </w:r>
    </w:p>
    <w:sdt>
      <w:sdtPr>
        <w:alias w:val="是否适用：废钢供应情况[双击切换]"/>
        <w:tag w:val="_GBC_f3460ddb8d5c4e1292fc811cd4c67d4a"/>
        <w:id w:val="-499888149"/>
        <w:placeholder>
          <w:docPart w:val="GBC22222222222222222222222222222"/>
        </w:placeholder>
      </w:sdtPr>
      <w:sdtContent>
        <w:p w14:paraId="467707A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F6DA919" w14:textId="77777777" w:rsidR="00577D08" w:rsidRDefault="00330FC0">
      <w:pPr>
        <w:pStyle w:val="5"/>
        <w:numPr>
          <w:ilvl w:val="0"/>
          <w:numId w:val="15"/>
        </w:numPr>
        <w:ind w:leftChars="0"/>
        <w:rPr>
          <w:bCs w:val="0"/>
          <w:szCs w:val="21"/>
        </w:rPr>
      </w:pPr>
      <w:r>
        <w:rPr>
          <w:rFonts w:hint="eastAsia"/>
          <w:bCs w:val="0"/>
          <w:szCs w:val="21"/>
        </w:rPr>
        <w:t>其他说明</w:t>
      </w:r>
    </w:p>
    <w:p w14:paraId="0CFD0199" w14:textId="77777777" w:rsidR="00577D08" w:rsidRDefault="00000000">
      <w:sdt>
        <w:sdtPr>
          <w:rPr>
            <w:rFonts w:hint="eastAsia"/>
          </w:rPr>
          <w:alias w:val="是否适用：钢铁行业经营性信息分析其他情况说明[双击切换]"/>
          <w:tag w:val="_GBC_1f3ffeb00e3145a3bf75e9da328793b2"/>
          <w:id w:val="-1774386518"/>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 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6132F211" w14:textId="77777777" w:rsidR="00577D08" w:rsidRDefault="00577D08"/>
    <w:p w14:paraId="7A7D6BCF" w14:textId="77777777" w:rsidR="00577D08" w:rsidRDefault="00577D08">
      <w:pPr>
        <w:sectPr w:rsidR="00577D08">
          <w:pgSz w:w="11906" w:h="16838"/>
          <w:pgMar w:top="1525" w:right="1276" w:bottom="1440" w:left="1797" w:header="855" w:footer="992" w:gutter="0"/>
          <w:cols w:space="425"/>
          <w:docGrid w:linePitch="312"/>
        </w:sectPr>
      </w:pPr>
    </w:p>
    <w:p w14:paraId="389DEB25" w14:textId="77777777" w:rsidR="00577D08" w:rsidRDefault="00330FC0">
      <w:pPr>
        <w:pStyle w:val="3"/>
        <w:numPr>
          <w:ilvl w:val="0"/>
          <w:numId w:val="8"/>
        </w:numPr>
        <w:rPr>
          <w:szCs w:val="21"/>
        </w:rPr>
      </w:pPr>
      <w:bookmarkStart w:id="126" w:name="_Hlk533435467"/>
      <w:bookmarkStart w:id="127" w:name="_Hlk533433706"/>
      <w:bookmarkStart w:id="128" w:name="_Hlk533434947"/>
      <w:bookmarkStart w:id="129" w:name="_Hlk533435027"/>
      <w:bookmarkStart w:id="130" w:name="_Hlk41835872"/>
      <w:bookmarkStart w:id="131" w:name="_Hlk533435074"/>
      <w:bookmarkStart w:id="132" w:name="_Hlk533435360"/>
      <w:bookmarkStart w:id="133" w:name="_Hlk41836274"/>
      <w:bookmarkStart w:id="134" w:name="_Hlk533436182"/>
      <w:bookmarkStart w:id="135" w:name="_Hlk533666837"/>
      <w:bookmarkStart w:id="136" w:name="_Hlk533666971"/>
      <w:bookmarkStart w:id="137" w:name="_Hlk533667031"/>
      <w:bookmarkStart w:id="138" w:name="_Hlk41835841"/>
      <w:bookmarkStart w:id="139" w:name="_Hlk533435176"/>
      <w:bookmarkStart w:id="140" w:name="_Hlk533435130"/>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hint="eastAsia"/>
          <w:szCs w:val="21"/>
        </w:rPr>
        <w:lastRenderedPageBreak/>
        <w:t>投资状况分析</w:t>
      </w:r>
    </w:p>
    <w:p w14:paraId="1D52C987" w14:textId="77777777" w:rsidR="00577D08" w:rsidRDefault="00330FC0">
      <w:pPr>
        <w:rPr>
          <w:b/>
          <w:bCs/>
        </w:rPr>
      </w:pPr>
      <w:r>
        <w:rPr>
          <w:b/>
          <w:bCs/>
        </w:rPr>
        <w:t>对外股权投资总体分析</w:t>
      </w:r>
    </w:p>
    <w:sdt>
      <w:sdtPr>
        <w:alias w:val="是否适用：对外股权投资总体分析[双击切换]"/>
        <w:tag w:val="_GBC_cfb706fadf2c47bbbaf1bf90c054ccaf"/>
        <w:id w:val="-1282716602"/>
        <w:placeholder>
          <w:docPart w:val="GBC22222222222222222222222222222"/>
        </w:placeholder>
      </w:sdtPr>
      <w:sdtContent>
        <w:p w14:paraId="0C0A06C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7B2C5C0" w14:textId="77777777" w:rsidR="00577D08" w:rsidRDefault="00330FC0">
      <w:pPr>
        <w:pStyle w:val="4"/>
        <w:numPr>
          <w:ilvl w:val="0"/>
          <w:numId w:val="16"/>
        </w:numPr>
        <w:rPr>
          <w:rFonts w:hint="eastAsia"/>
        </w:rPr>
      </w:pPr>
      <w:r>
        <w:rPr>
          <w:rFonts w:hint="eastAsia"/>
        </w:rPr>
        <w:t>重大的股权投资</w:t>
      </w:r>
    </w:p>
    <w:sdt>
      <w:sdtPr>
        <w:rPr>
          <w:rFonts w:hint="eastAsia"/>
        </w:rPr>
        <w:alias w:val="是否适用：重大的股权投资[双击切换]"/>
        <w:tag w:val="_GBC_b20506918d854c13b13a3b89dd84c7d3"/>
        <w:id w:val="330961858"/>
        <w:placeholder>
          <w:docPart w:val="GBC22222222222222222222222222222"/>
        </w:placeholder>
      </w:sdtPr>
      <w:sdtContent>
        <w:p w14:paraId="20593F3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DA6976" w14:textId="77777777" w:rsidR="00577D08" w:rsidRDefault="00330FC0">
      <w:pPr>
        <w:pStyle w:val="4"/>
        <w:numPr>
          <w:ilvl w:val="0"/>
          <w:numId w:val="16"/>
        </w:numPr>
        <w:rPr>
          <w:rFonts w:ascii="宋体" w:hAnsi="宋体" w:cs="宋体" w:hint="eastAsia"/>
          <w:kern w:val="0"/>
        </w:rPr>
      </w:pPr>
      <w:r>
        <w:rPr>
          <w:rFonts w:ascii="宋体" w:hAnsi="宋体" w:cs="宋体" w:hint="eastAsia"/>
          <w:kern w:val="0"/>
        </w:rPr>
        <w:t>重大的非股权投资</w:t>
      </w:r>
    </w:p>
    <w:sdt>
      <w:sdtPr>
        <w:rPr>
          <w:rFonts w:hint="eastAsia"/>
        </w:rPr>
        <w:alias w:val="是否适用：重大的非股权投资[双击切换]"/>
        <w:tag w:val="_GBC_fbd46075a5b9414d9e28cd2404e5d47c"/>
        <w:id w:val="1914734504"/>
        <w:placeholder>
          <w:docPart w:val="GBC22222222222222222222222222222"/>
        </w:placeholder>
      </w:sdtPr>
      <w:sdtContent>
        <w:p w14:paraId="480C96D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60411DF" w14:textId="77777777" w:rsidR="00577D08" w:rsidRDefault="00330FC0">
      <w:pPr>
        <w:pStyle w:val="4"/>
        <w:numPr>
          <w:ilvl w:val="0"/>
          <w:numId w:val="16"/>
        </w:numPr>
        <w:rPr>
          <w:rFonts w:ascii="宋体" w:hAnsi="宋体" w:cs="宋体" w:hint="eastAsia"/>
          <w:kern w:val="0"/>
        </w:rPr>
      </w:pPr>
      <w:bookmarkStart w:id="141" w:name="_Hlk40532846"/>
      <w:r>
        <w:rPr>
          <w:rFonts w:ascii="宋体" w:hAnsi="宋体" w:cs="宋体" w:hint="eastAsia"/>
          <w:kern w:val="0"/>
        </w:rPr>
        <w:t>以公允价值计量的金融资产</w:t>
      </w:r>
    </w:p>
    <w:sdt>
      <w:sdtPr>
        <w:rPr>
          <w:rFonts w:hint="eastAsia"/>
        </w:rPr>
        <w:alias w:val="是否适用：以公允价值计量的金融资产[双击切换]"/>
        <w:tag w:val="_GBC_27fa42d1c8fd489d9e8648bed00ddd53"/>
        <w:id w:val="2118636034"/>
        <w:placeholder>
          <w:docPart w:val="GBC22222222222222222222222222222"/>
        </w:placeholder>
      </w:sdtPr>
      <w:sdtContent>
        <w:p w14:paraId="052E6857"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0657A4A" w14:textId="77777777" w:rsidR="00577D08" w:rsidRDefault="00330FC0">
      <w:pPr>
        <w:pStyle w:val="14"/>
        <w:wordWrap w:val="0"/>
        <w:ind w:left="360" w:firstLineChars="0" w:firstLine="0"/>
        <w:jc w:val="right"/>
      </w:pPr>
      <w:r>
        <w:rPr>
          <w:rFonts w:hint="eastAsia"/>
        </w:rPr>
        <w:t>单位：</w:t>
      </w:r>
      <w:sdt>
        <w:sdtPr>
          <w:rPr>
            <w:rFonts w:hint="eastAsia"/>
          </w:rPr>
          <w:alias w:val="单位：以公允价值计量的金融资产"/>
          <w:tag w:val="_GBC_b2e3ce23c85c488ab3fa1ba1294ef546"/>
          <w:id w:val="-26345058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w:t>
      </w:r>
      <w:r>
        <w:rPr>
          <w:rFonts w:hint="eastAsia"/>
        </w:rPr>
        <w:t>币种：</w:t>
      </w:r>
      <w:sdt>
        <w:sdtPr>
          <w:rPr>
            <w:rFonts w:hint="eastAsia"/>
          </w:rPr>
          <w:alias w:val="币种：以公允价值计量的金融资产"/>
          <w:tag w:val="_GBC_77ed3303d22c48dc98ae781142db662c"/>
          <w:id w:val="13281033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6"/>
        <w:gridCol w:w="1555"/>
        <w:gridCol w:w="1556"/>
        <w:gridCol w:w="1555"/>
        <w:gridCol w:w="1556"/>
        <w:gridCol w:w="1555"/>
        <w:gridCol w:w="1556"/>
        <w:gridCol w:w="1556"/>
      </w:tblGrid>
      <w:tr w:rsidR="00577D08" w14:paraId="3E2FBE91" w14:textId="77777777">
        <w:sdt>
          <w:sdtPr>
            <w:tag w:val="_PLD_0c54b9fd583d4e649fc12d33a6f94086"/>
            <w:id w:val="2094963407"/>
          </w:sdtPr>
          <w:sdtContent>
            <w:tc>
              <w:tcPr>
                <w:tcW w:w="1555" w:type="dxa"/>
                <w:vAlign w:val="center"/>
              </w:tcPr>
              <w:p w14:paraId="30115AED" w14:textId="77777777" w:rsidR="00577D08" w:rsidRDefault="00330FC0">
                <w:pPr>
                  <w:widowControl w:val="0"/>
                  <w:jc w:val="center"/>
                </w:pPr>
                <w:r>
                  <w:rPr>
                    <w:rFonts w:hint="eastAsia"/>
                    <w:kern w:val="2"/>
                    <w:szCs w:val="22"/>
                  </w:rPr>
                  <w:t>资产类别</w:t>
                </w:r>
              </w:p>
            </w:tc>
          </w:sdtContent>
        </w:sdt>
        <w:sdt>
          <w:sdtPr>
            <w:tag w:val="_PLD_4b84ad0ddc154021b1b8d9a6bffa6c39"/>
            <w:id w:val="1289086608"/>
          </w:sdtPr>
          <w:sdtContent>
            <w:tc>
              <w:tcPr>
                <w:tcW w:w="1556" w:type="dxa"/>
                <w:vAlign w:val="center"/>
              </w:tcPr>
              <w:p w14:paraId="24D9FB1C" w14:textId="77777777" w:rsidR="00577D08" w:rsidRDefault="00330FC0">
                <w:pPr>
                  <w:widowControl w:val="0"/>
                  <w:jc w:val="center"/>
                </w:pPr>
                <w:r>
                  <w:rPr>
                    <w:rFonts w:hint="eastAsia"/>
                  </w:rPr>
                  <w:t>期初数</w:t>
                </w:r>
              </w:p>
            </w:tc>
          </w:sdtContent>
        </w:sdt>
        <w:sdt>
          <w:sdtPr>
            <w:tag w:val="_PLD_fa8919b699f843d2b03f2004a27810b6"/>
            <w:id w:val="-1754193753"/>
          </w:sdtPr>
          <w:sdtContent>
            <w:tc>
              <w:tcPr>
                <w:tcW w:w="1555" w:type="dxa"/>
                <w:vAlign w:val="center"/>
              </w:tcPr>
              <w:p w14:paraId="59831FD0" w14:textId="77777777" w:rsidR="00577D08" w:rsidRDefault="00330FC0">
                <w:pPr>
                  <w:widowControl w:val="0"/>
                  <w:jc w:val="center"/>
                  <w:rPr>
                    <w:b/>
                  </w:rPr>
                </w:pPr>
                <w:r>
                  <w:rPr>
                    <w:rFonts w:hint="eastAsia"/>
                  </w:rPr>
                  <w:t>本期公允价值变动损益</w:t>
                </w:r>
              </w:p>
            </w:tc>
          </w:sdtContent>
        </w:sdt>
        <w:sdt>
          <w:sdtPr>
            <w:tag w:val="_PLD_81fc9fd2b35c49e2bfd3b55b8724ae1d"/>
            <w:id w:val="-57172738"/>
          </w:sdtPr>
          <w:sdtContent>
            <w:tc>
              <w:tcPr>
                <w:tcW w:w="1556" w:type="dxa"/>
                <w:vAlign w:val="center"/>
              </w:tcPr>
              <w:p w14:paraId="166842B6" w14:textId="77777777" w:rsidR="00577D08" w:rsidRDefault="00330FC0">
                <w:pPr>
                  <w:widowControl w:val="0"/>
                  <w:jc w:val="center"/>
                </w:pPr>
                <w:r>
                  <w:rPr>
                    <w:rFonts w:hint="eastAsia"/>
                  </w:rPr>
                  <w:t>计入权益的累计公允价值变动</w:t>
                </w:r>
              </w:p>
            </w:tc>
          </w:sdtContent>
        </w:sdt>
        <w:sdt>
          <w:sdtPr>
            <w:tag w:val="_PLD_d6f12030ef654b5cad4265cc31977836"/>
            <w:id w:val="355007966"/>
          </w:sdtPr>
          <w:sdtContent>
            <w:tc>
              <w:tcPr>
                <w:tcW w:w="1555" w:type="dxa"/>
                <w:vAlign w:val="center"/>
              </w:tcPr>
              <w:p w14:paraId="38D3F2EB" w14:textId="77777777" w:rsidR="00577D08" w:rsidRDefault="00330FC0">
                <w:pPr>
                  <w:widowControl w:val="0"/>
                  <w:jc w:val="center"/>
                </w:pPr>
                <w:r>
                  <w:rPr>
                    <w:rFonts w:hint="eastAsia"/>
                  </w:rPr>
                  <w:t>本期计提的减值</w:t>
                </w:r>
              </w:p>
            </w:tc>
          </w:sdtContent>
        </w:sdt>
        <w:sdt>
          <w:sdtPr>
            <w:tag w:val="_PLD_8693ec76f7f14d898c4b16665659ded9"/>
            <w:id w:val="-1557543274"/>
          </w:sdtPr>
          <w:sdtContent>
            <w:tc>
              <w:tcPr>
                <w:tcW w:w="1556" w:type="dxa"/>
                <w:vAlign w:val="center"/>
              </w:tcPr>
              <w:p w14:paraId="361B010E" w14:textId="77777777" w:rsidR="00577D08" w:rsidRDefault="00330FC0">
                <w:pPr>
                  <w:widowControl w:val="0"/>
                  <w:jc w:val="center"/>
                </w:pPr>
                <w:r>
                  <w:rPr>
                    <w:rFonts w:hint="eastAsia"/>
                  </w:rPr>
                  <w:t>本期购买金额</w:t>
                </w:r>
              </w:p>
            </w:tc>
          </w:sdtContent>
        </w:sdt>
        <w:sdt>
          <w:sdtPr>
            <w:tag w:val="_PLD_ba0671fda1cb4d8c8d3c1e5b16cc6e5a"/>
            <w:id w:val="-1133332865"/>
          </w:sdtPr>
          <w:sdtContent>
            <w:tc>
              <w:tcPr>
                <w:tcW w:w="1555" w:type="dxa"/>
                <w:vAlign w:val="center"/>
              </w:tcPr>
              <w:p w14:paraId="45044E34" w14:textId="77777777" w:rsidR="00577D08" w:rsidRDefault="00330FC0">
                <w:pPr>
                  <w:widowControl w:val="0"/>
                  <w:jc w:val="center"/>
                </w:pPr>
                <w:r>
                  <w:rPr>
                    <w:rFonts w:hint="eastAsia"/>
                  </w:rPr>
                  <w:t>本期出售</w:t>
                </w:r>
                <w:r>
                  <w:rPr>
                    <w:rFonts w:hint="eastAsia"/>
                  </w:rPr>
                  <w:t>/</w:t>
                </w:r>
                <w:r>
                  <w:rPr>
                    <w:rFonts w:hint="eastAsia"/>
                  </w:rPr>
                  <w:t>赎回金额</w:t>
                </w:r>
              </w:p>
            </w:tc>
          </w:sdtContent>
        </w:sdt>
        <w:sdt>
          <w:sdtPr>
            <w:tag w:val="_PLD_50b7e7d4561f48f190f80d486d12a170"/>
            <w:id w:val="-2087443313"/>
          </w:sdtPr>
          <w:sdtContent>
            <w:tc>
              <w:tcPr>
                <w:tcW w:w="1556" w:type="dxa"/>
                <w:vAlign w:val="center"/>
              </w:tcPr>
              <w:p w14:paraId="5138EBBE" w14:textId="77777777" w:rsidR="00577D08" w:rsidRDefault="00330FC0">
                <w:pPr>
                  <w:widowControl w:val="0"/>
                  <w:jc w:val="center"/>
                </w:pPr>
                <w:r>
                  <w:rPr>
                    <w:rFonts w:hint="eastAsia"/>
                  </w:rPr>
                  <w:t>其他变动</w:t>
                </w:r>
              </w:p>
            </w:tc>
          </w:sdtContent>
        </w:sdt>
        <w:sdt>
          <w:sdtPr>
            <w:tag w:val="_PLD_816d427a273240d9af67db4a5feee586"/>
            <w:id w:val="-820268075"/>
          </w:sdtPr>
          <w:sdtContent>
            <w:tc>
              <w:tcPr>
                <w:tcW w:w="1556" w:type="dxa"/>
                <w:vAlign w:val="center"/>
              </w:tcPr>
              <w:p w14:paraId="0FB8C379" w14:textId="77777777" w:rsidR="00577D08" w:rsidRDefault="00330FC0">
                <w:pPr>
                  <w:widowControl w:val="0"/>
                  <w:jc w:val="center"/>
                </w:pPr>
                <w:r>
                  <w:rPr>
                    <w:rFonts w:hint="eastAsia"/>
                  </w:rPr>
                  <w:t>期末数</w:t>
                </w:r>
              </w:p>
            </w:tc>
          </w:sdtContent>
        </w:sdt>
      </w:tr>
      <w:tr w:rsidR="00577D08" w14:paraId="5E7A0528" w14:textId="77777777">
        <w:tc>
          <w:tcPr>
            <w:tcW w:w="1555" w:type="dxa"/>
          </w:tcPr>
          <w:p w14:paraId="48AE90B3" w14:textId="77777777" w:rsidR="00577D08" w:rsidRDefault="00330FC0">
            <w:pPr>
              <w:widowControl w:val="0"/>
              <w:jc w:val="both"/>
            </w:pPr>
            <w:r>
              <w:rPr>
                <w:rFonts w:hint="eastAsia"/>
              </w:rPr>
              <w:t>其他权益工具投资</w:t>
            </w:r>
          </w:p>
        </w:tc>
        <w:tc>
          <w:tcPr>
            <w:tcW w:w="1556" w:type="dxa"/>
            <w:vAlign w:val="center"/>
          </w:tcPr>
          <w:p w14:paraId="6BF1FC90" w14:textId="77777777" w:rsidR="00577D08" w:rsidRDefault="00330FC0">
            <w:pPr>
              <w:widowControl w:val="0"/>
              <w:jc w:val="right"/>
            </w:pPr>
            <w:r>
              <w:t xml:space="preserve"> 1,620.77 </w:t>
            </w:r>
          </w:p>
        </w:tc>
        <w:tc>
          <w:tcPr>
            <w:tcW w:w="1555" w:type="dxa"/>
            <w:vAlign w:val="center"/>
          </w:tcPr>
          <w:p w14:paraId="3D7322D7" w14:textId="77777777" w:rsidR="00577D08" w:rsidRDefault="00577D08">
            <w:pPr>
              <w:widowControl w:val="0"/>
              <w:jc w:val="right"/>
            </w:pPr>
          </w:p>
        </w:tc>
        <w:tc>
          <w:tcPr>
            <w:tcW w:w="1556" w:type="dxa"/>
            <w:vAlign w:val="center"/>
          </w:tcPr>
          <w:p w14:paraId="050C55C5" w14:textId="77777777" w:rsidR="00577D08" w:rsidRDefault="00330FC0">
            <w:pPr>
              <w:widowControl w:val="0"/>
              <w:jc w:val="right"/>
            </w:pPr>
            <w:r>
              <w:t xml:space="preserve"> -108.47 </w:t>
            </w:r>
          </w:p>
        </w:tc>
        <w:tc>
          <w:tcPr>
            <w:tcW w:w="1555" w:type="dxa"/>
            <w:vAlign w:val="center"/>
          </w:tcPr>
          <w:p w14:paraId="45431ADE" w14:textId="77777777" w:rsidR="00577D08" w:rsidRDefault="00577D08">
            <w:pPr>
              <w:widowControl w:val="0"/>
              <w:jc w:val="right"/>
            </w:pPr>
          </w:p>
        </w:tc>
        <w:tc>
          <w:tcPr>
            <w:tcW w:w="1556" w:type="dxa"/>
            <w:vAlign w:val="center"/>
          </w:tcPr>
          <w:p w14:paraId="3A6A883F" w14:textId="77777777" w:rsidR="00577D08" w:rsidRDefault="00577D08">
            <w:pPr>
              <w:widowControl w:val="0"/>
              <w:jc w:val="right"/>
            </w:pPr>
          </w:p>
        </w:tc>
        <w:tc>
          <w:tcPr>
            <w:tcW w:w="1555" w:type="dxa"/>
            <w:vAlign w:val="center"/>
          </w:tcPr>
          <w:p w14:paraId="23F9AB4F" w14:textId="77777777" w:rsidR="00577D08" w:rsidRDefault="00577D08">
            <w:pPr>
              <w:widowControl w:val="0"/>
              <w:jc w:val="right"/>
            </w:pPr>
          </w:p>
        </w:tc>
        <w:tc>
          <w:tcPr>
            <w:tcW w:w="1556" w:type="dxa"/>
            <w:vAlign w:val="center"/>
          </w:tcPr>
          <w:p w14:paraId="3C2DC80C" w14:textId="77777777" w:rsidR="00577D08" w:rsidRDefault="00577D08">
            <w:pPr>
              <w:widowControl w:val="0"/>
              <w:jc w:val="right"/>
            </w:pPr>
          </w:p>
        </w:tc>
        <w:tc>
          <w:tcPr>
            <w:tcW w:w="1556" w:type="dxa"/>
            <w:vAlign w:val="center"/>
          </w:tcPr>
          <w:p w14:paraId="43603FBD" w14:textId="77777777" w:rsidR="00577D08" w:rsidRDefault="00330FC0">
            <w:pPr>
              <w:widowControl w:val="0"/>
              <w:jc w:val="right"/>
            </w:pPr>
            <w:r>
              <w:t xml:space="preserve"> 1,512.30 </w:t>
            </w:r>
          </w:p>
        </w:tc>
      </w:tr>
      <w:tr w:rsidR="00577D08" w14:paraId="0F087BB2" w14:textId="77777777">
        <w:tc>
          <w:tcPr>
            <w:tcW w:w="1555" w:type="dxa"/>
          </w:tcPr>
          <w:p w14:paraId="0A24C506" w14:textId="77777777" w:rsidR="00577D08" w:rsidRDefault="00330FC0">
            <w:pPr>
              <w:widowControl w:val="0"/>
              <w:jc w:val="both"/>
            </w:pPr>
            <w:r>
              <w:rPr>
                <w:rFonts w:hint="eastAsia"/>
              </w:rPr>
              <w:t>交易性金融资产</w:t>
            </w:r>
          </w:p>
        </w:tc>
        <w:tc>
          <w:tcPr>
            <w:tcW w:w="1556" w:type="dxa"/>
            <w:vAlign w:val="center"/>
          </w:tcPr>
          <w:p w14:paraId="3FA72376" w14:textId="77777777" w:rsidR="00577D08" w:rsidRDefault="00330FC0">
            <w:pPr>
              <w:widowControl w:val="0"/>
              <w:jc w:val="right"/>
            </w:pPr>
            <w:r>
              <w:t xml:space="preserve"> 2,505.88 </w:t>
            </w:r>
          </w:p>
        </w:tc>
        <w:tc>
          <w:tcPr>
            <w:tcW w:w="1555" w:type="dxa"/>
            <w:vAlign w:val="center"/>
          </w:tcPr>
          <w:p w14:paraId="0A084D1F" w14:textId="77777777" w:rsidR="00577D08" w:rsidRDefault="00577D08">
            <w:pPr>
              <w:widowControl w:val="0"/>
              <w:jc w:val="right"/>
            </w:pPr>
          </w:p>
        </w:tc>
        <w:tc>
          <w:tcPr>
            <w:tcW w:w="1556" w:type="dxa"/>
            <w:vAlign w:val="center"/>
          </w:tcPr>
          <w:p w14:paraId="7B835D46" w14:textId="77777777" w:rsidR="00577D08" w:rsidRDefault="00577D08">
            <w:pPr>
              <w:widowControl w:val="0"/>
              <w:jc w:val="right"/>
            </w:pPr>
          </w:p>
        </w:tc>
        <w:tc>
          <w:tcPr>
            <w:tcW w:w="1555" w:type="dxa"/>
            <w:vAlign w:val="center"/>
          </w:tcPr>
          <w:p w14:paraId="799E3D6A" w14:textId="77777777" w:rsidR="00577D08" w:rsidRDefault="00577D08">
            <w:pPr>
              <w:widowControl w:val="0"/>
              <w:jc w:val="right"/>
            </w:pPr>
          </w:p>
        </w:tc>
        <w:tc>
          <w:tcPr>
            <w:tcW w:w="1556" w:type="dxa"/>
            <w:vAlign w:val="center"/>
          </w:tcPr>
          <w:p w14:paraId="46A6F66E" w14:textId="77777777" w:rsidR="00577D08" w:rsidRDefault="00577D08">
            <w:pPr>
              <w:widowControl w:val="0"/>
              <w:jc w:val="right"/>
            </w:pPr>
          </w:p>
        </w:tc>
        <w:tc>
          <w:tcPr>
            <w:tcW w:w="1555" w:type="dxa"/>
            <w:vAlign w:val="center"/>
          </w:tcPr>
          <w:p w14:paraId="0E48BB99" w14:textId="77777777" w:rsidR="00577D08" w:rsidRDefault="00330FC0">
            <w:pPr>
              <w:widowControl w:val="0"/>
              <w:jc w:val="right"/>
            </w:pPr>
            <w:r>
              <w:t xml:space="preserve"> 2,505.88 </w:t>
            </w:r>
          </w:p>
        </w:tc>
        <w:tc>
          <w:tcPr>
            <w:tcW w:w="1556" w:type="dxa"/>
            <w:vAlign w:val="center"/>
          </w:tcPr>
          <w:p w14:paraId="175183B3" w14:textId="77777777" w:rsidR="00577D08" w:rsidRDefault="00577D08">
            <w:pPr>
              <w:widowControl w:val="0"/>
              <w:jc w:val="right"/>
            </w:pPr>
          </w:p>
        </w:tc>
        <w:tc>
          <w:tcPr>
            <w:tcW w:w="1556" w:type="dxa"/>
            <w:vAlign w:val="center"/>
          </w:tcPr>
          <w:p w14:paraId="2D361676" w14:textId="77777777" w:rsidR="00577D08" w:rsidRDefault="00330FC0">
            <w:pPr>
              <w:widowControl w:val="0"/>
              <w:jc w:val="right"/>
            </w:pPr>
            <w:r>
              <w:t xml:space="preserve">   </w:t>
            </w:r>
          </w:p>
        </w:tc>
      </w:tr>
      <w:tr w:rsidR="00577D08" w14:paraId="019A9E53" w14:textId="77777777">
        <w:tc>
          <w:tcPr>
            <w:tcW w:w="1555" w:type="dxa"/>
          </w:tcPr>
          <w:p w14:paraId="537E1270" w14:textId="77777777" w:rsidR="00577D08" w:rsidRDefault="00330FC0">
            <w:pPr>
              <w:widowControl w:val="0"/>
              <w:jc w:val="both"/>
            </w:pPr>
            <w:r>
              <w:rPr>
                <w:rFonts w:hint="eastAsia"/>
              </w:rPr>
              <w:t>应收款项融资</w:t>
            </w:r>
          </w:p>
        </w:tc>
        <w:tc>
          <w:tcPr>
            <w:tcW w:w="1556" w:type="dxa"/>
            <w:vAlign w:val="center"/>
          </w:tcPr>
          <w:p w14:paraId="26962410" w14:textId="77777777" w:rsidR="00577D08" w:rsidRDefault="00330FC0">
            <w:pPr>
              <w:widowControl w:val="0"/>
              <w:jc w:val="right"/>
            </w:pPr>
            <w:r>
              <w:t xml:space="preserve"> 1,499.52 </w:t>
            </w:r>
          </w:p>
        </w:tc>
        <w:tc>
          <w:tcPr>
            <w:tcW w:w="1555" w:type="dxa"/>
            <w:vAlign w:val="center"/>
          </w:tcPr>
          <w:p w14:paraId="68F23754" w14:textId="77777777" w:rsidR="00577D08" w:rsidRDefault="00577D08">
            <w:pPr>
              <w:widowControl w:val="0"/>
              <w:jc w:val="right"/>
            </w:pPr>
          </w:p>
        </w:tc>
        <w:tc>
          <w:tcPr>
            <w:tcW w:w="1556" w:type="dxa"/>
            <w:vAlign w:val="center"/>
          </w:tcPr>
          <w:p w14:paraId="2F41703A" w14:textId="77777777" w:rsidR="00577D08" w:rsidRDefault="00577D08">
            <w:pPr>
              <w:widowControl w:val="0"/>
              <w:jc w:val="right"/>
            </w:pPr>
          </w:p>
        </w:tc>
        <w:tc>
          <w:tcPr>
            <w:tcW w:w="1555" w:type="dxa"/>
            <w:vAlign w:val="center"/>
          </w:tcPr>
          <w:p w14:paraId="7C7B2B52" w14:textId="77777777" w:rsidR="00577D08" w:rsidRDefault="00330FC0">
            <w:pPr>
              <w:widowControl w:val="0"/>
              <w:jc w:val="right"/>
            </w:pPr>
            <w:r>
              <w:t xml:space="preserve"> 29.51 </w:t>
            </w:r>
          </w:p>
        </w:tc>
        <w:tc>
          <w:tcPr>
            <w:tcW w:w="1556" w:type="dxa"/>
            <w:vAlign w:val="center"/>
          </w:tcPr>
          <w:p w14:paraId="1C39E938" w14:textId="77777777" w:rsidR="00577D08" w:rsidRDefault="00577D08">
            <w:pPr>
              <w:widowControl w:val="0"/>
              <w:jc w:val="right"/>
            </w:pPr>
          </w:p>
        </w:tc>
        <w:tc>
          <w:tcPr>
            <w:tcW w:w="1555" w:type="dxa"/>
            <w:vAlign w:val="center"/>
          </w:tcPr>
          <w:p w14:paraId="74B4C9B4" w14:textId="77777777" w:rsidR="00577D08" w:rsidRDefault="00577D08">
            <w:pPr>
              <w:widowControl w:val="0"/>
              <w:jc w:val="right"/>
            </w:pPr>
          </w:p>
        </w:tc>
        <w:tc>
          <w:tcPr>
            <w:tcW w:w="1556" w:type="dxa"/>
            <w:vAlign w:val="center"/>
          </w:tcPr>
          <w:p w14:paraId="56AAFFB7" w14:textId="77777777" w:rsidR="00577D08" w:rsidRDefault="00330FC0">
            <w:pPr>
              <w:widowControl w:val="0"/>
              <w:jc w:val="right"/>
            </w:pPr>
            <w:r>
              <w:t xml:space="preserve"> 2,214.32 </w:t>
            </w:r>
          </w:p>
        </w:tc>
        <w:tc>
          <w:tcPr>
            <w:tcW w:w="1556" w:type="dxa"/>
            <w:vAlign w:val="center"/>
          </w:tcPr>
          <w:p w14:paraId="7920FD19" w14:textId="77777777" w:rsidR="00577D08" w:rsidRDefault="00330FC0">
            <w:pPr>
              <w:widowControl w:val="0"/>
              <w:jc w:val="right"/>
            </w:pPr>
            <w:r>
              <w:t xml:space="preserve"> 3,743.35 </w:t>
            </w:r>
          </w:p>
        </w:tc>
      </w:tr>
      <w:tr w:rsidR="00577D08" w14:paraId="1A1D89C0" w14:textId="77777777">
        <w:tc>
          <w:tcPr>
            <w:tcW w:w="1555" w:type="dxa"/>
            <w:vAlign w:val="center"/>
          </w:tcPr>
          <w:p w14:paraId="23B87B8B" w14:textId="77777777" w:rsidR="00577D08" w:rsidRDefault="00330FC0">
            <w:pPr>
              <w:widowControl w:val="0"/>
              <w:jc w:val="center"/>
            </w:pPr>
            <w:r>
              <w:t>合计</w:t>
            </w:r>
          </w:p>
        </w:tc>
        <w:tc>
          <w:tcPr>
            <w:tcW w:w="1556" w:type="dxa"/>
            <w:vAlign w:val="center"/>
          </w:tcPr>
          <w:p w14:paraId="77684F79" w14:textId="77777777" w:rsidR="00577D08" w:rsidRDefault="00330FC0">
            <w:pPr>
              <w:widowControl w:val="0"/>
              <w:jc w:val="right"/>
            </w:pPr>
            <w:r>
              <w:t xml:space="preserve"> 5,626.17 </w:t>
            </w:r>
          </w:p>
        </w:tc>
        <w:tc>
          <w:tcPr>
            <w:tcW w:w="1555" w:type="dxa"/>
            <w:vAlign w:val="center"/>
          </w:tcPr>
          <w:p w14:paraId="77BDC156" w14:textId="77777777" w:rsidR="00577D08" w:rsidRDefault="00330FC0">
            <w:pPr>
              <w:widowControl w:val="0"/>
              <w:jc w:val="right"/>
            </w:pPr>
            <w:r>
              <w:t xml:space="preserve">   </w:t>
            </w:r>
          </w:p>
        </w:tc>
        <w:tc>
          <w:tcPr>
            <w:tcW w:w="1556" w:type="dxa"/>
            <w:vAlign w:val="center"/>
          </w:tcPr>
          <w:p w14:paraId="45AF09E3" w14:textId="77777777" w:rsidR="00577D08" w:rsidRDefault="00330FC0">
            <w:pPr>
              <w:widowControl w:val="0"/>
              <w:jc w:val="right"/>
            </w:pPr>
            <w:r>
              <w:t xml:space="preserve"> -108.47 </w:t>
            </w:r>
          </w:p>
        </w:tc>
        <w:tc>
          <w:tcPr>
            <w:tcW w:w="1555" w:type="dxa"/>
            <w:vAlign w:val="center"/>
          </w:tcPr>
          <w:p w14:paraId="671B16DD" w14:textId="77777777" w:rsidR="00577D08" w:rsidRDefault="00330FC0">
            <w:pPr>
              <w:widowControl w:val="0"/>
              <w:jc w:val="right"/>
            </w:pPr>
            <w:r>
              <w:t xml:space="preserve"> 29.51 </w:t>
            </w:r>
          </w:p>
        </w:tc>
        <w:tc>
          <w:tcPr>
            <w:tcW w:w="1556" w:type="dxa"/>
            <w:vAlign w:val="center"/>
          </w:tcPr>
          <w:p w14:paraId="15490E7B" w14:textId="77777777" w:rsidR="00577D08" w:rsidRDefault="00577D08">
            <w:pPr>
              <w:widowControl w:val="0"/>
              <w:jc w:val="right"/>
            </w:pPr>
          </w:p>
        </w:tc>
        <w:tc>
          <w:tcPr>
            <w:tcW w:w="1555" w:type="dxa"/>
            <w:vAlign w:val="center"/>
          </w:tcPr>
          <w:p w14:paraId="2EBD3144" w14:textId="77777777" w:rsidR="00577D08" w:rsidRDefault="00330FC0">
            <w:pPr>
              <w:widowControl w:val="0"/>
              <w:jc w:val="right"/>
            </w:pPr>
            <w:r>
              <w:t xml:space="preserve"> 2,505.88 </w:t>
            </w:r>
          </w:p>
        </w:tc>
        <w:tc>
          <w:tcPr>
            <w:tcW w:w="1556" w:type="dxa"/>
            <w:vAlign w:val="center"/>
          </w:tcPr>
          <w:p w14:paraId="2B17DA77" w14:textId="77777777" w:rsidR="00577D08" w:rsidRDefault="00330FC0">
            <w:pPr>
              <w:widowControl w:val="0"/>
              <w:jc w:val="right"/>
            </w:pPr>
            <w:r>
              <w:t xml:space="preserve"> 2,214.32 </w:t>
            </w:r>
          </w:p>
        </w:tc>
        <w:tc>
          <w:tcPr>
            <w:tcW w:w="1556" w:type="dxa"/>
            <w:vAlign w:val="center"/>
          </w:tcPr>
          <w:p w14:paraId="4D24DC20" w14:textId="77777777" w:rsidR="00577D08" w:rsidRDefault="00330FC0">
            <w:pPr>
              <w:widowControl w:val="0"/>
              <w:jc w:val="right"/>
            </w:pPr>
            <w:r>
              <w:t xml:space="preserve"> 5,255.65 </w:t>
            </w:r>
          </w:p>
        </w:tc>
      </w:tr>
    </w:tbl>
    <w:bookmarkEnd w:id="141"/>
    <w:p w14:paraId="7A3A4138" w14:textId="77777777" w:rsidR="00577D08" w:rsidRDefault="00330FC0">
      <w:r>
        <w:rPr>
          <w:rFonts w:hint="eastAsia"/>
        </w:rPr>
        <w:t>证券投资情况</w:t>
      </w:r>
    </w:p>
    <w:sdt>
      <w:sdtPr>
        <w:alias w:val="是否适用：证券投资情况[双击切换]"/>
        <w:tag w:val="_GBC_7d04680e71454924aa49897089c6ec88"/>
        <w:id w:val="-533957266"/>
        <w:placeholder>
          <w:docPart w:val="GBC22222222222222222222222222222"/>
        </w:placeholder>
      </w:sdtPr>
      <w:sdtContent>
        <w:p w14:paraId="27E5039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7C6C631" w14:textId="77777777" w:rsidR="00577D08" w:rsidRDefault="00330FC0">
      <w:pPr>
        <w:pStyle w:val="14"/>
        <w:wordWrap w:val="0"/>
        <w:ind w:left="360" w:firstLineChars="0" w:firstLine="0"/>
        <w:jc w:val="right"/>
      </w:pPr>
      <w:r>
        <w:rPr>
          <w:rFonts w:hint="eastAsia"/>
        </w:rPr>
        <w:t>单位：</w:t>
      </w:r>
      <w:sdt>
        <w:sdtPr>
          <w:rPr>
            <w:rFonts w:hint="eastAsia"/>
          </w:rPr>
          <w:alias w:val="单位：证券投资情况"/>
          <w:tag w:val="_GBC_9030571ec97a42438b5264832c2a5326"/>
          <w:id w:val="153684762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w:t>
      </w:r>
      <w:r>
        <w:rPr>
          <w:rFonts w:hint="eastAsia"/>
        </w:rPr>
        <w:t>币种：</w:t>
      </w:r>
      <w:sdt>
        <w:sdtPr>
          <w:rPr>
            <w:rFonts w:hint="eastAsia"/>
          </w:rPr>
          <w:alias w:val="币种：证券投资情况"/>
          <w:tag w:val="_GBC_21a6e145782e410295a95d0cfa95a807"/>
          <w:id w:val="6979767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2"/>
        <w:gridCol w:w="1084"/>
        <w:gridCol w:w="1084"/>
        <w:gridCol w:w="1084"/>
        <w:gridCol w:w="1084"/>
        <w:gridCol w:w="1084"/>
        <w:gridCol w:w="1082"/>
        <w:gridCol w:w="1313"/>
        <w:gridCol w:w="855"/>
        <w:gridCol w:w="1084"/>
        <w:gridCol w:w="1084"/>
        <w:gridCol w:w="1084"/>
        <w:gridCol w:w="1076"/>
      </w:tblGrid>
      <w:tr w:rsidR="00577D08" w14:paraId="7CE3A5F2" w14:textId="77777777">
        <w:bookmarkStart w:id="142" w:name="_Hlk40533881" w:displacedByCustomXml="next"/>
        <w:sdt>
          <w:sdtPr>
            <w:tag w:val="_PLD_a2aca594a908499a93ab70468f6a23b7"/>
            <w:id w:val="-467204125"/>
          </w:sdtPr>
          <w:sdtContent>
            <w:tc>
              <w:tcPr>
                <w:tcW w:w="1082" w:type="dxa"/>
                <w:vAlign w:val="center"/>
              </w:tcPr>
              <w:p w14:paraId="3FAE0A96" w14:textId="77777777" w:rsidR="00577D08" w:rsidRDefault="00330FC0">
                <w:pPr>
                  <w:widowControl w:val="0"/>
                  <w:jc w:val="center"/>
                </w:pPr>
                <w:r>
                  <w:rPr>
                    <w:rFonts w:hint="eastAsia"/>
                  </w:rPr>
                  <w:t>证券品种</w:t>
                </w:r>
              </w:p>
            </w:tc>
          </w:sdtContent>
        </w:sdt>
        <w:sdt>
          <w:sdtPr>
            <w:tag w:val="_PLD_2a8a447db28f48a89b3e24843ac8c0b0"/>
            <w:id w:val="-548231013"/>
          </w:sdtPr>
          <w:sdtContent>
            <w:tc>
              <w:tcPr>
                <w:tcW w:w="1084" w:type="dxa"/>
                <w:vAlign w:val="center"/>
              </w:tcPr>
              <w:p w14:paraId="12D8EC98" w14:textId="77777777" w:rsidR="00577D08" w:rsidRDefault="00330FC0">
                <w:pPr>
                  <w:widowControl w:val="0"/>
                  <w:jc w:val="center"/>
                </w:pPr>
                <w:r>
                  <w:rPr>
                    <w:rFonts w:hint="eastAsia"/>
                  </w:rPr>
                  <w:t>证券代码</w:t>
                </w:r>
              </w:p>
            </w:tc>
          </w:sdtContent>
        </w:sdt>
        <w:sdt>
          <w:sdtPr>
            <w:tag w:val="_PLD_b4b2dd48041247c08674576b86c9470b"/>
            <w:id w:val="-1604412912"/>
          </w:sdtPr>
          <w:sdtContent>
            <w:tc>
              <w:tcPr>
                <w:tcW w:w="1084" w:type="dxa"/>
                <w:vAlign w:val="center"/>
              </w:tcPr>
              <w:p w14:paraId="26F93D5D" w14:textId="77777777" w:rsidR="00577D08" w:rsidRDefault="00330FC0">
                <w:pPr>
                  <w:widowControl w:val="0"/>
                  <w:tabs>
                    <w:tab w:val="left" w:pos="60"/>
                  </w:tabs>
                  <w:jc w:val="center"/>
                </w:pPr>
                <w:r>
                  <w:rPr>
                    <w:rFonts w:hint="eastAsia"/>
                  </w:rPr>
                  <w:t>证券简称</w:t>
                </w:r>
              </w:p>
            </w:tc>
          </w:sdtContent>
        </w:sdt>
        <w:sdt>
          <w:sdtPr>
            <w:tag w:val="_PLD_3c80e02ab5694d799cfd3d5d2ac9c797"/>
            <w:id w:val="-1297284945"/>
          </w:sdtPr>
          <w:sdtContent>
            <w:tc>
              <w:tcPr>
                <w:tcW w:w="1084" w:type="dxa"/>
                <w:vAlign w:val="center"/>
              </w:tcPr>
              <w:p w14:paraId="42B3F0D3" w14:textId="77777777" w:rsidR="00577D08" w:rsidRDefault="00330FC0">
                <w:pPr>
                  <w:widowControl w:val="0"/>
                  <w:jc w:val="center"/>
                </w:pPr>
                <w:r>
                  <w:rPr>
                    <w:rFonts w:hint="eastAsia"/>
                  </w:rPr>
                  <w:t>最初投资成本</w:t>
                </w:r>
              </w:p>
            </w:tc>
          </w:sdtContent>
        </w:sdt>
        <w:sdt>
          <w:sdtPr>
            <w:tag w:val="_PLD_873ecdbb8a3343d6b6fcaa48e4cf64dc"/>
            <w:id w:val="1909804298"/>
          </w:sdtPr>
          <w:sdtContent>
            <w:tc>
              <w:tcPr>
                <w:tcW w:w="1084" w:type="dxa"/>
                <w:vAlign w:val="center"/>
              </w:tcPr>
              <w:p w14:paraId="0C2AB8E7" w14:textId="77777777" w:rsidR="00577D08" w:rsidRDefault="00330FC0">
                <w:pPr>
                  <w:widowControl w:val="0"/>
                  <w:jc w:val="center"/>
                </w:pPr>
                <w:r>
                  <w:rPr>
                    <w:rFonts w:hint="eastAsia"/>
                  </w:rPr>
                  <w:t>资金来源</w:t>
                </w:r>
              </w:p>
            </w:tc>
          </w:sdtContent>
        </w:sdt>
        <w:sdt>
          <w:sdtPr>
            <w:tag w:val="_PLD_b0de4dcfc59f4ead974d9d61a70ccc80"/>
            <w:id w:val="-654607792"/>
          </w:sdtPr>
          <w:sdtContent>
            <w:tc>
              <w:tcPr>
                <w:tcW w:w="1084" w:type="dxa"/>
                <w:vAlign w:val="center"/>
              </w:tcPr>
              <w:p w14:paraId="5E043F1F" w14:textId="77777777" w:rsidR="00577D08" w:rsidRDefault="00330FC0">
                <w:pPr>
                  <w:widowControl w:val="0"/>
                  <w:jc w:val="center"/>
                </w:pPr>
                <w:r>
                  <w:rPr>
                    <w:rFonts w:hint="eastAsia"/>
                  </w:rPr>
                  <w:t>期初账面价值</w:t>
                </w:r>
              </w:p>
            </w:tc>
          </w:sdtContent>
        </w:sdt>
        <w:sdt>
          <w:sdtPr>
            <w:tag w:val="_PLD_ca5b1b460dec4af98a137b84d77794ce"/>
            <w:id w:val="-1436279694"/>
          </w:sdtPr>
          <w:sdtContent>
            <w:tc>
              <w:tcPr>
                <w:tcW w:w="1082" w:type="dxa"/>
                <w:vAlign w:val="center"/>
              </w:tcPr>
              <w:p w14:paraId="63F673DB" w14:textId="77777777" w:rsidR="00577D08" w:rsidRDefault="00330FC0">
                <w:pPr>
                  <w:widowControl w:val="0"/>
                  <w:jc w:val="center"/>
                </w:pPr>
                <w:r>
                  <w:rPr>
                    <w:rFonts w:hint="eastAsia"/>
                  </w:rPr>
                  <w:t>本期公允价值变动损益</w:t>
                </w:r>
              </w:p>
            </w:tc>
          </w:sdtContent>
        </w:sdt>
        <w:sdt>
          <w:sdtPr>
            <w:tag w:val="_PLD_cf51b58b5b4641d797351424d3c1ceeb"/>
            <w:id w:val="-1845776924"/>
          </w:sdtPr>
          <w:sdtContent>
            <w:tc>
              <w:tcPr>
                <w:tcW w:w="1313" w:type="dxa"/>
                <w:vAlign w:val="center"/>
              </w:tcPr>
              <w:p w14:paraId="00C79279" w14:textId="77777777" w:rsidR="00577D08" w:rsidRDefault="00330FC0">
                <w:pPr>
                  <w:widowControl w:val="0"/>
                  <w:jc w:val="center"/>
                </w:pPr>
                <w:r>
                  <w:rPr>
                    <w:rFonts w:hint="eastAsia"/>
                  </w:rPr>
                  <w:t>计入权益的累计公允价值变动</w:t>
                </w:r>
              </w:p>
            </w:tc>
          </w:sdtContent>
        </w:sdt>
        <w:sdt>
          <w:sdtPr>
            <w:tag w:val="_PLD_fa8acb6152da45658a6e5987a179057d"/>
            <w:id w:val="1651180908"/>
          </w:sdtPr>
          <w:sdtContent>
            <w:tc>
              <w:tcPr>
                <w:tcW w:w="855" w:type="dxa"/>
                <w:vAlign w:val="center"/>
              </w:tcPr>
              <w:p w14:paraId="034ACD61" w14:textId="77777777" w:rsidR="00577D08" w:rsidRDefault="00330FC0">
                <w:pPr>
                  <w:widowControl w:val="0"/>
                  <w:jc w:val="center"/>
                </w:pPr>
                <w:r>
                  <w:rPr>
                    <w:rFonts w:hint="eastAsia"/>
                  </w:rPr>
                  <w:t>本期购买金额</w:t>
                </w:r>
              </w:p>
            </w:tc>
          </w:sdtContent>
        </w:sdt>
        <w:sdt>
          <w:sdtPr>
            <w:tag w:val="_PLD_6e2790d24c5846da999681b434e6731d"/>
            <w:id w:val="1094673895"/>
          </w:sdtPr>
          <w:sdtContent>
            <w:tc>
              <w:tcPr>
                <w:tcW w:w="1084" w:type="dxa"/>
                <w:vAlign w:val="center"/>
              </w:tcPr>
              <w:p w14:paraId="67B5B62A" w14:textId="77777777" w:rsidR="00577D08" w:rsidRDefault="00330FC0">
                <w:pPr>
                  <w:widowControl w:val="0"/>
                  <w:jc w:val="center"/>
                </w:pPr>
                <w:r>
                  <w:rPr>
                    <w:rFonts w:hint="eastAsia"/>
                  </w:rPr>
                  <w:t>本期出售金额</w:t>
                </w:r>
              </w:p>
            </w:tc>
          </w:sdtContent>
        </w:sdt>
        <w:sdt>
          <w:sdtPr>
            <w:tag w:val="_PLD_b053cb2d8ab44a05be4e28df1b11bd04"/>
            <w:id w:val="-1744715040"/>
          </w:sdtPr>
          <w:sdtContent>
            <w:tc>
              <w:tcPr>
                <w:tcW w:w="1084" w:type="dxa"/>
                <w:vAlign w:val="center"/>
              </w:tcPr>
              <w:p w14:paraId="411A49E0" w14:textId="77777777" w:rsidR="00577D08" w:rsidRDefault="00330FC0">
                <w:pPr>
                  <w:widowControl w:val="0"/>
                  <w:jc w:val="center"/>
                </w:pPr>
                <w:r>
                  <w:rPr>
                    <w:rFonts w:hint="eastAsia"/>
                  </w:rPr>
                  <w:t>本期投资损益</w:t>
                </w:r>
              </w:p>
            </w:tc>
          </w:sdtContent>
        </w:sdt>
        <w:sdt>
          <w:sdtPr>
            <w:tag w:val="_PLD_dc3183c5ec5e48d491b77e65bd093780"/>
            <w:id w:val="1774513810"/>
          </w:sdtPr>
          <w:sdtContent>
            <w:tc>
              <w:tcPr>
                <w:tcW w:w="1084" w:type="dxa"/>
                <w:vAlign w:val="center"/>
              </w:tcPr>
              <w:p w14:paraId="2890F516" w14:textId="77777777" w:rsidR="00577D08" w:rsidRDefault="00330FC0">
                <w:pPr>
                  <w:widowControl w:val="0"/>
                  <w:jc w:val="center"/>
                </w:pPr>
                <w:r>
                  <w:rPr>
                    <w:rFonts w:hint="eastAsia"/>
                  </w:rPr>
                  <w:t>期末账面价值</w:t>
                </w:r>
              </w:p>
            </w:tc>
          </w:sdtContent>
        </w:sdt>
        <w:sdt>
          <w:sdtPr>
            <w:tag w:val="_PLD_953da3c8a977443ba41ba5b33c46abac"/>
            <w:id w:val="-827585897"/>
          </w:sdtPr>
          <w:sdtContent>
            <w:tc>
              <w:tcPr>
                <w:tcW w:w="1076" w:type="dxa"/>
                <w:vAlign w:val="center"/>
              </w:tcPr>
              <w:p w14:paraId="5C17173F" w14:textId="77777777" w:rsidR="00577D08" w:rsidRDefault="00330FC0">
                <w:pPr>
                  <w:widowControl w:val="0"/>
                  <w:jc w:val="center"/>
                </w:pPr>
                <w:r>
                  <w:rPr>
                    <w:rFonts w:hint="eastAsia"/>
                  </w:rPr>
                  <w:t>会计核算科目</w:t>
                </w:r>
              </w:p>
            </w:tc>
          </w:sdtContent>
        </w:sdt>
      </w:tr>
      <w:tr w:rsidR="00577D08" w14:paraId="403311F5" w14:textId="77777777">
        <w:sdt>
          <w:sdtPr>
            <w:alias w:val="上市公司证券投资情况明细－证券品种"/>
            <w:tag w:val="_GBC_5869f90e2f4241cba6edaadfa74944d0"/>
            <w:id w:val="-1841069137"/>
            <w:comboBox>
              <w:listItem w:displayText="股票" w:value="股票"/>
              <w:listItem w:displayText="债券" w:value="债券"/>
              <w:listItem w:displayText="可转债" w:value="可转债"/>
              <w:listItem w:displayText="基金" w:value="基金"/>
              <w:listItem w:displayText="信托产品" w:value="信托产品"/>
              <w:listItem w:displayText="其他" w:value="其他"/>
            </w:comboBox>
          </w:sdtPr>
          <w:sdtContent>
            <w:tc>
              <w:tcPr>
                <w:tcW w:w="1082" w:type="dxa"/>
                <w:vAlign w:val="center"/>
              </w:tcPr>
              <w:p w14:paraId="446241DB" w14:textId="77777777" w:rsidR="00577D08" w:rsidRDefault="00330FC0">
                <w:pPr>
                  <w:widowControl w:val="0"/>
                </w:pPr>
                <w:r>
                  <w:t>股票</w:t>
                </w:r>
              </w:p>
            </w:tc>
          </w:sdtContent>
        </w:sdt>
        <w:tc>
          <w:tcPr>
            <w:tcW w:w="1084" w:type="dxa"/>
            <w:vAlign w:val="center"/>
          </w:tcPr>
          <w:p w14:paraId="08853BAA" w14:textId="77777777" w:rsidR="00577D08" w:rsidRDefault="00330FC0">
            <w:pPr>
              <w:widowControl w:val="0"/>
              <w:jc w:val="center"/>
            </w:pPr>
            <w:r>
              <w:rPr>
                <w:rFonts w:hint="eastAsia"/>
              </w:rPr>
              <w:t>601328</w:t>
            </w:r>
          </w:p>
        </w:tc>
        <w:tc>
          <w:tcPr>
            <w:tcW w:w="1084" w:type="dxa"/>
            <w:vAlign w:val="center"/>
          </w:tcPr>
          <w:p w14:paraId="7A4E98B5" w14:textId="77777777" w:rsidR="00577D08" w:rsidRDefault="00330FC0">
            <w:pPr>
              <w:widowControl w:val="0"/>
              <w:jc w:val="center"/>
            </w:pPr>
            <w:r>
              <w:rPr>
                <w:rFonts w:hint="eastAsia"/>
              </w:rPr>
              <w:t>交通银行</w:t>
            </w:r>
          </w:p>
        </w:tc>
        <w:tc>
          <w:tcPr>
            <w:tcW w:w="1084" w:type="dxa"/>
            <w:vAlign w:val="center"/>
          </w:tcPr>
          <w:p w14:paraId="3445618C" w14:textId="77777777" w:rsidR="00577D08" w:rsidRDefault="00330FC0">
            <w:pPr>
              <w:widowControl w:val="0"/>
              <w:jc w:val="right"/>
            </w:pPr>
            <w:r>
              <w:rPr>
                <w:rFonts w:hint="eastAsia"/>
              </w:rPr>
              <w:t>227.56</w:t>
            </w:r>
          </w:p>
        </w:tc>
        <w:tc>
          <w:tcPr>
            <w:tcW w:w="1084" w:type="dxa"/>
            <w:vAlign w:val="center"/>
          </w:tcPr>
          <w:p w14:paraId="64BC1332" w14:textId="77777777" w:rsidR="00577D08" w:rsidRDefault="00330FC0">
            <w:pPr>
              <w:widowControl w:val="0"/>
              <w:jc w:val="center"/>
            </w:pPr>
            <w:r>
              <w:rPr>
                <w:rFonts w:hint="eastAsia"/>
              </w:rPr>
              <w:t>自有资金</w:t>
            </w:r>
          </w:p>
        </w:tc>
        <w:tc>
          <w:tcPr>
            <w:tcW w:w="1084" w:type="dxa"/>
            <w:vAlign w:val="center"/>
          </w:tcPr>
          <w:p w14:paraId="1E394F1D" w14:textId="77777777" w:rsidR="00577D08" w:rsidRDefault="00330FC0">
            <w:pPr>
              <w:widowControl w:val="0"/>
              <w:jc w:val="right"/>
            </w:pPr>
            <w:r>
              <w:rPr>
                <w:rFonts w:hint="eastAsia"/>
              </w:rPr>
              <w:t>1,620.77</w:t>
            </w:r>
          </w:p>
        </w:tc>
        <w:tc>
          <w:tcPr>
            <w:tcW w:w="1082" w:type="dxa"/>
            <w:vAlign w:val="center"/>
          </w:tcPr>
          <w:p w14:paraId="179CDF3C" w14:textId="77777777" w:rsidR="00577D08" w:rsidRDefault="00577D08">
            <w:pPr>
              <w:widowControl w:val="0"/>
              <w:jc w:val="right"/>
            </w:pPr>
          </w:p>
        </w:tc>
        <w:tc>
          <w:tcPr>
            <w:tcW w:w="1313" w:type="dxa"/>
            <w:vAlign w:val="center"/>
          </w:tcPr>
          <w:p w14:paraId="782CB026" w14:textId="77777777" w:rsidR="00577D08" w:rsidRDefault="00330FC0">
            <w:pPr>
              <w:widowControl w:val="0"/>
              <w:jc w:val="right"/>
            </w:pPr>
            <w:r>
              <w:rPr>
                <w:rFonts w:hint="eastAsia"/>
              </w:rPr>
              <w:t>-108.47</w:t>
            </w:r>
          </w:p>
        </w:tc>
        <w:tc>
          <w:tcPr>
            <w:tcW w:w="855" w:type="dxa"/>
          </w:tcPr>
          <w:p w14:paraId="656E9A36" w14:textId="77777777" w:rsidR="00577D08" w:rsidRDefault="00577D08">
            <w:pPr>
              <w:widowControl w:val="0"/>
              <w:jc w:val="right"/>
            </w:pPr>
          </w:p>
        </w:tc>
        <w:tc>
          <w:tcPr>
            <w:tcW w:w="1084" w:type="dxa"/>
          </w:tcPr>
          <w:p w14:paraId="5F1F05EC" w14:textId="77777777" w:rsidR="00577D08" w:rsidRDefault="00577D08">
            <w:pPr>
              <w:widowControl w:val="0"/>
              <w:jc w:val="right"/>
            </w:pPr>
          </w:p>
        </w:tc>
        <w:tc>
          <w:tcPr>
            <w:tcW w:w="1084" w:type="dxa"/>
            <w:vAlign w:val="center"/>
          </w:tcPr>
          <w:p w14:paraId="443315B0" w14:textId="77777777" w:rsidR="00577D08" w:rsidRDefault="00330FC0">
            <w:pPr>
              <w:widowControl w:val="0"/>
              <w:jc w:val="right"/>
            </w:pPr>
            <w:r>
              <w:rPr>
                <w:rFonts w:hint="eastAsia"/>
              </w:rPr>
              <w:t>111.66</w:t>
            </w:r>
          </w:p>
        </w:tc>
        <w:tc>
          <w:tcPr>
            <w:tcW w:w="1084" w:type="dxa"/>
            <w:vAlign w:val="center"/>
          </w:tcPr>
          <w:p w14:paraId="76D3CA70" w14:textId="77777777" w:rsidR="00577D08" w:rsidRDefault="00330FC0">
            <w:pPr>
              <w:widowControl w:val="0"/>
              <w:jc w:val="right"/>
            </w:pPr>
            <w:r>
              <w:rPr>
                <w:rFonts w:hint="eastAsia"/>
              </w:rPr>
              <w:t>1,512.30</w:t>
            </w:r>
          </w:p>
        </w:tc>
        <w:tc>
          <w:tcPr>
            <w:tcW w:w="1076" w:type="dxa"/>
          </w:tcPr>
          <w:p w14:paraId="360A3229" w14:textId="77777777" w:rsidR="00577D08" w:rsidRDefault="00330FC0">
            <w:pPr>
              <w:widowControl w:val="0"/>
            </w:pPr>
            <w:r>
              <w:rPr>
                <w:rFonts w:hint="eastAsia"/>
              </w:rPr>
              <w:t>其他权益工具投资</w:t>
            </w:r>
          </w:p>
        </w:tc>
      </w:tr>
      <w:tr w:rsidR="00577D08" w14:paraId="1B72D2DF" w14:textId="77777777">
        <w:tc>
          <w:tcPr>
            <w:tcW w:w="1082" w:type="dxa"/>
            <w:vAlign w:val="center"/>
          </w:tcPr>
          <w:p w14:paraId="0244AD4A" w14:textId="77777777" w:rsidR="00577D08" w:rsidRDefault="00330FC0">
            <w:pPr>
              <w:widowControl w:val="0"/>
              <w:jc w:val="both"/>
            </w:pPr>
            <w:r>
              <w:t>合计</w:t>
            </w:r>
          </w:p>
        </w:tc>
        <w:tc>
          <w:tcPr>
            <w:tcW w:w="1084" w:type="dxa"/>
            <w:vAlign w:val="center"/>
          </w:tcPr>
          <w:p w14:paraId="1FB895B9" w14:textId="77777777" w:rsidR="00577D08" w:rsidRDefault="00330FC0">
            <w:pPr>
              <w:widowControl w:val="0"/>
              <w:jc w:val="center"/>
            </w:pPr>
            <w:r>
              <w:rPr>
                <w:rFonts w:hint="eastAsia"/>
              </w:rPr>
              <w:t>/</w:t>
            </w:r>
          </w:p>
        </w:tc>
        <w:tc>
          <w:tcPr>
            <w:tcW w:w="1084" w:type="dxa"/>
            <w:vAlign w:val="center"/>
          </w:tcPr>
          <w:p w14:paraId="0754A9A3" w14:textId="77777777" w:rsidR="00577D08" w:rsidRDefault="00330FC0">
            <w:pPr>
              <w:widowControl w:val="0"/>
              <w:jc w:val="center"/>
            </w:pPr>
            <w:r>
              <w:rPr>
                <w:rFonts w:hint="eastAsia"/>
              </w:rPr>
              <w:t>/</w:t>
            </w:r>
          </w:p>
        </w:tc>
        <w:tc>
          <w:tcPr>
            <w:tcW w:w="1084" w:type="dxa"/>
            <w:vAlign w:val="center"/>
          </w:tcPr>
          <w:p w14:paraId="55FC8B02" w14:textId="77777777" w:rsidR="00577D08" w:rsidRDefault="00330FC0">
            <w:pPr>
              <w:widowControl w:val="0"/>
              <w:jc w:val="right"/>
            </w:pPr>
            <w:r>
              <w:t>227.56</w:t>
            </w:r>
          </w:p>
        </w:tc>
        <w:tc>
          <w:tcPr>
            <w:tcW w:w="1084" w:type="dxa"/>
            <w:vAlign w:val="center"/>
          </w:tcPr>
          <w:p w14:paraId="546DBFCA" w14:textId="77777777" w:rsidR="00577D08" w:rsidRDefault="00330FC0">
            <w:pPr>
              <w:widowControl w:val="0"/>
              <w:jc w:val="center"/>
            </w:pPr>
            <w:r>
              <w:rPr>
                <w:rFonts w:hint="eastAsia"/>
              </w:rPr>
              <w:t>/</w:t>
            </w:r>
          </w:p>
        </w:tc>
        <w:tc>
          <w:tcPr>
            <w:tcW w:w="1084" w:type="dxa"/>
            <w:vAlign w:val="center"/>
          </w:tcPr>
          <w:p w14:paraId="11639016" w14:textId="77777777" w:rsidR="00577D08" w:rsidRDefault="00330FC0">
            <w:pPr>
              <w:widowControl w:val="0"/>
              <w:jc w:val="right"/>
            </w:pPr>
            <w:r>
              <w:t>1,620.77</w:t>
            </w:r>
          </w:p>
        </w:tc>
        <w:tc>
          <w:tcPr>
            <w:tcW w:w="1082" w:type="dxa"/>
            <w:vAlign w:val="center"/>
          </w:tcPr>
          <w:p w14:paraId="339B5E74" w14:textId="77777777" w:rsidR="00577D08" w:rsidRDefault="00577D08">
            <w:pPr>
              <w:widowControl w:val="0"/>
              <w:jc w:val="right"/>
            </w:pPr>
          </w:p>
        </w:tc>
        <w:tc>
          <w:tcPr>
            <w:tcW w:w="1313" w:type="dxa"/>
            <w:vAlign w:val="center"/>
          </w:tcPr>
          <w:p w14:paraId="6A836666" w14:textId="77777777" w:rsidR="00577D08" w:rsidRDefault="00330FC0">
            <w:pPr>
              <w:widowControl w:val="0"/>
              <w:jc w:val="right"/>
            </w:pPr>
            <w:r>
              <w:t>-108.47</w:t>
            </w:r>
          </w:p>
        </w:tc>
        <w:tc>
          <w:tcPr>
            <w:tcW w:w="855" w:type="dxa"/>
            <w:vAlign w:val="center"/>
          </w:tcPr>
          <w:p w14:paraId="4DFC443A" w14:textId="77777777" w:rsidR="00577D08" w:rsidRDefault="00577D08">
            <w:pPr>
              <w:widowControl w:val="0"/>
              <w:jc w:val="right"/>
            </w:pPr>
          </w:p>
        </w:tc>
        <w:tc>
          <w:tcPr>
            <w:tcW w:w="1084" w:type="dxa"/>
            <w:vAlign w:val="center"/>
          </w:tcPr>
          <w:p w14:paraId="61D2317F" w14:textId="77777777" w:rsidR="00577D08" w:rsidRDefault="00577D08">
            <w:pPr>
              <w:widowControl w:val="0"/>
              <w:jc w:val="right"/>
            </w:pPr>
          </w:p>
        </w:tc>
        <w:tc>
          <w:tcPr>
            <w:tcW w:w="1084" w:type="dxa"/>
            <w:vAlign w:val="center"/>
          </w:tcPr>
          <w:p w14:paraId="57C1B977" w14:textId="77777777" w:rsidR="00577D08" w:rsidRDefault="00330FC0">
            <w:pPr>
              <w:widowControl w:val="0"/>
              <w:jc w:val="right"/>
            </w:pPr>
            <w:r>
              <w:t>111.66</w:t>
            </w:r>
          </w:p>
        </w:tc>
        <w:tc>
          <w:tcPr>
            <w:tcW w:w="1084" w:type="dxa"/>
            <w:vAlign w:val="center"/>
          </w:tcPr>
          <w:p w14:paraId="3DF4EC63" w14:textId="77777777" w:rsidR="00577D08" w:rsidRDefault="00330FC0">
            <w:pPr>
              <w:widowControl w:val="0"/>
              <w:jc w:val="right"/>
            </w:pPr>
            <w:r>
              <w:t>1,512.30</w:t>
            </w:r>
          </w:p>
        </w:tc>
        <w:tc>
          <w:tcPr>
            <w:tcW w:w="1076" w:type="dxa"/>
            <w:vAlign w:val="center"/>
          </w:tcPr>
          <w:p w14:paraId="781D69DA" w14:textId="77777777" w:rsidR="00577D08" w:rsidRDefault="00330FC0">
            <w:pPr>
              <w:widowControl w:val="0"/>
              <w:jc w:val="center"/>
            </w:pPr>
            <w:r>
              <w:rPr>
                <w:rFonts w:hint="eastAsia"/>
              </w:rPr>
              <w:t>/</w:t>
            </w:r>
          </w:p>
        </w:tc>
      </w:tr>
    </w:tbl>
    <w:p w14:paraId="1F108676" w14:textId="77777777" w:rsidR="00577D08" w:rsidRDefault="00330FC0">
      <w:bookmarkStart w:id="143" w:name="_Hlk151135120"/>
      <w:bookmarkEnd w:id="142"/>
      <w:r>
        <w:rPr>
          <w:rFonts w:hint="eastAsia"/>
        </w:rPr>
        <w:lastRenderedPageBreak/>
        <w:t>证券投资情况的说明</w:t>
      </w:r>
    </w:p>
    <w:sdt>
      <w:sdtPr>
        <w:alias w:val="是否适用：证券投资情况的说明[双击切换]"/>
        <w:tag w:val="_GBC_846a2917c37545bbb004e11b14dfefbc"/>
        <w:id w:val="1916210536"/>
        <w:placeholder>
          <w:docPart w:val="GBC22222222222222222222222222222"/>
        </w:placeholder>
      </w:sdtPr>
      <w:sdtContent>
        <w:p w14:paraId="5803215A"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证券投资情况的说明"/>
        <w:tag w:val="_GBC_f11696cd0149495f9212450c52793c47"/>
        <w:id w:val="-1783791898"/>
        <w:placeholder>
          <w:docPart w:val="GBC22222222222222222222222222222"/>
        </w:placeholder>
      </w:sdtPr>
      <w:sdtContent>
        <w:p w14:paraId="0B23544A" w14:textId="77777777" w:rsidR="00577D08" w:rsidRDefault="00330FC0">
          <w:r>
            <w:t>以上股票系收购云变电气增加，是云变电气早期持有的交通银行发行的原始股。</w:t>
          </w:r>
        </w:p>
      </w:sdtContent>
    </w:sdt>
    <w:p w14:paraId="65653F25" w14:textId="77777777" w:rsidR="00577D08" w:rsidRDefault="00330FC0">
      <w:bookmarkStart w:id="144" w:name="_Hlk40534809"/>
      <w:bookmarkEnd w:id="143"/>
      <w:r>
        <w:rPr>
          <w:rFonts w:hint="eastAsia"/>
        </w:rPr>
        <w:t>私募基金投资情况</w:t>
      </w:r>
    </w:p>
    <w:sdt>
      <w:sdtPr>
        <w:alias w:val="是否适用：私募基金投资情况[双击切换]"/>
        <w:tag w:val="_GBC_6e916a873a4e4af3a90d6fc81d187ac8"/>
        <w:id w:val="-1537501945"/>
        <w:placeholder>
          <w:docPart w:val="GBC22222222222222222222222222222"/>
        </w:placeholder>
      </w:sdtPr>
      <w:sdtContent>
        <w:p w14:paraId="78346B5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144"/>
    <w:p w14:paraId="0E07074F" w14:textId="77777777" w:rsidR="00577D08" w:rsidRDefault="00330FC0">
      <w:r>
        <w:rPr>
          <w:rFonts w:hint="eastAsia"/>
        </w:rPr>
        <w:t>衍生品投资情况</w:t>
      </w:r>
    </w:p>
    <w:sdt>
      <w:sdtPr>
        <w:rPr>
          <w:rFonts w:hint="eastAsia"/>
        </w:rPr>
        <w:alias w:val="是否适用：衍生品投资情况  [双击切换]"/>
        <w:tag w:val="_GBC_0155f13d04cb48bc8f6a2a16edfe26b3"/>
        <w:id w:val="-1841297850"/>
        <w:placeholder>
          <w:docPart w:val="GBC22222222222222222222222222222"/>
        </w:placeholder>
      </w:sdtPr>
      <w:sdtContent>
        <w:p w14:paraId="3EB00A6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28B43A6" w14:textId="77777777" w:rsidR="00577D08" w:rsidRDefault="00330FC0">
      <w:pPr>
        <w:pStyle w:val="4"/>
        <w:numPr>
          <w:ilvl w:val="0"/>
          <w:numId w:val="16"/>
        </w:numPr>
        <w:rPr>
          <w:rFonts w:ascii="宋体" w:hAnsi="宋体" w:cs="宋体" w:hint="eastAsia"/>
          <w:kern w:val="0"/>
        </w:rPr>
      </w:pPr>
      <w:bookmarkStart w:id="145" w:name="_Hlk155617745"/>
      <w:bookmarkStart w:id="146" w:name="_Hlk94111679"/>
      <w:bookmarkEnd w:id="145"/>
      <w:r>
        <w:rPr>
          <w:rFonts w:ascii="宋体" w:hAnsi="宋体" w:cs="宋体" w:hint="eastAsia"/>
          <w:kern w:val="0"/>
        </w:rPr>
        <w:t>报告期内重大资产重组整合的具体进展情况</w:t>
      </w:r>
    </w:p>
    <w:sdt>
      <w:sdtPr>
        <w:alias w:val="是否适用：报告期内重大资产重组整合的具体进展情况[双击切换]"/>
        <w:tag w:val="_GBC_c52695d1957b4fa89b0b7326da1f5a10"/>
        <w:id w:val="59677054"/>
        <w:placeholder>
          <w:docPart w:val="GBC22222222222222222222222222222"/>
        </w:placeholder>
      </w:sdtPr>
      <w:sdtContent>
        <w:p w14:paraId="33AED5F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146"/>
    <w:p w14:paraId="5552B048" w14:textId="77777777" w:rsidR="00577D08" w:rsidRDefault="00330FC0">
      <w:pPr>
        <w:pStyle w:val="3"/>
        <w:numPr>
          <w:ilvl w:val="0"/>
          <w:numId w:val="8"/>
        </w:numPr>
        <w:rPr>
          <w:szCs w:val="21"/>
        </w:rPr>
      </w:pPr>
      <w:r>
        <w:rPr>
          <w:rFonts w:hint="eastAsia"/>
          <w:szCs w:val="21"/>
        </w:rPr>
        <w:t>重大资产和股权出售</w:t>
      </w:r>
    </w:p>
    <w:sdt>
      <w:sdtPr>
        <w:rPr>
          <w:rFonts w:hint="eastAsia"/>
        </w:rPr>
        <w:alias w:val="是否适用：重大资产和股权出售[双击切换]"/>
        <w:tag w:val="_GBC_949dc5a581604be69ba935fceadc4b1d"/>
        <w:id w:val="-580830630"/>
        <w:placeholder>
          <w:docPart w:val="GBC22222222222222222222222222222"/>
        </w:placeholder>
      </w:sdtPr>
      <w:sdtContent>
        <w:p w14:paraId="6041A54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6F716F" w14:textId="77777777" w:rsidR="00577D08" w:rsidRDefault="00330FC0">
      <w:pPr>
        <w:pStyle w:val="3"/>
        <w:numPr>
          <w:ilvl w:val="0"/>
          <w:numId w:val="8"/>
        </w:numPr>
        <w:rPr>
          <w:rFonts w:ascii="宋体" w:hAnsi="宋体" w:hint="eastAsia"/>
          <w:color w:val="000000" w:themeColor="text1"/>
        </w:rPr>
      </w:pPr>
      <w:bookmarkStart w:id="147" w:name="_Hlk200011206"/>
      <w:bookmarkStart w:id="148" w:name="_Hlk213662043"/>
      <w:r>
        <w:rPr>
          <w:rFonts w:ascii="宋体" w:hAnsi="宋体" w:hint="eastAsia"/>
          <w:color w:val="000000" w:themeColor="text1"/>
        </w:rPr>
        <w:t>主要控股参股公司分析</w:t>
      </w:r>
    </w:p>
    <w:sdt>
      <w:sdtPr>
        <w:rPr>
          <w:color w:val="000000" w:themeColor="text1"/>
        </w:rPr>
        <w:alias w:val="是否适用：主要控股参股公司分析[双击切换]"/>
        <w:tag w:val="_GBC_c05ac32e7acf4aa08c3b1b389547fce0"/>
        <w:id w:val="-1998491249"/>
        <w:placeholder>
          <w:docPart w:val="GBC22222222222222222222222222222"/>
        </w:placeholder>
      </w:sdtPr>
      <w:sdtContent>
        <w:p w14:paraId="3B5F8FD5"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C1DB66B" w14:textId="77777777" w:rsidR="00577D08" w:rsidRDefault="00330FC0">
      <w:r>
        <w:rPr>
          <w:rFonts w:hint="eastAsia"/>
        </w:rPr>
        <w:t>主要子公司及对公司净利润影响达</w:t>
      </w:r>
      <w:r>
        <w:rPr>
          <w:rFonts w:hint="eastAsia"/>
        </w:rPr>
        <w:t>10%</w:t>
      </w:r>
      <w:r>
        <w:rPr>
          <w:rFonts w:hint="eastAsia"/>
        </w:rPr>
        <w:t>以上的参股公司情况</w:t>
      </w:r>
    </w:p>
    <w:sdt>
      <w:sdtPr>
        <w:rPr>
          <w:rFonts w:hint="eastAsia"/>
          <w:color w:val="000000"/>
        </w:rPr>
        <w:alias w:val="是否适用：主要子公司及对公司净利润影响达10%以上的参股公司情况[双击切换]"/>
        <w:tag w:val="_GBC_9d434b01b56f4e79bcdfcac696798730"/>
        <w:id w:val="-844008625"/>
        <w:placeholder>
          <w:docPart w:val="GBC22222222222222222222222222222"/>
        </w:placeholder>
      </w:sdtPr>
      <w:sdtContent>
        <w:p w14:paraId="7AEC111E" w14:textId="77777777" w:rsidR="00577D08" w:rsidRDefault="00330FC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4D599B77" w14:textId="77777777" w:rsidR="00577D08" w:rsidRDefault="00330FC0">
      <w:pPr>
        <w:jc w:val="right"/>
        <w:rPr>
          <w:color w:val="000000"/>
        </w:rPr>
      </w:pPr>
      <w:r>
        <w:rPr>
          <w:rFonts w:hint="eastAsia"/>
          <w:color w:val="000000"/>
        </w:rPr>
        <w:t>单位：</w:t>
      </w:r>
      <w:sdt>
        <w:sdtPr>
          <w:rPr>
            <w:rFonts w:hint="eastAsia"/>
            <w:color w:val="000000"/>
          </w:rPr>
          <w:alias w:val="单位：主要控股参股公司分析"/>
          <w:tag w:val="_GBC_8d5082a3ef1247029bfec10b09878a74"/>
          <w:id w:val="-2956852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rPr>
            <w:t>万元</w:t>
          </w:r>
        </w:sdtContent>
      </w:sdt>
      <w:r>
        <w:rPr>
          <w:rFonts w:hint="eastAsia"/>
          <w:color w:val="000000"/>
        </w:rPr>
        <w:t>币种：</w:t>
      </w:r>
      <w:sdt>
        <w:sdtPr>
          <w:rPr>
            <w:rFonts w:hint="eastAsia"/>
            <w:color w:val="000000"/>
          </w:rPr>
          <w:alias w:val="币种：主要控股参股公司分析"/>
          <w:tag w:val="_GBC_27853eae803847d39b60d39456b72571"/>
          <w:id w:val="5207545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rPr>
            <w:t>人民币</w:t>
          </w:r>
        </w:sdtContent>
      </w:sdt>
    </w:p>
    <w:tbl>
      <w:tblPr>
        <w:tblW w:w="13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540"/>
        <w:gridCol w:w="1325"/>
        <w:gridCol w:w="1826"/>
        <w:gridCol w:w="1524"/>
        <w:gridCol w:w="1524"/>
        <w:gridCol w:w="1524"/>
        <w:gridCol w:w="1524"/>
        <w:gridCol w:w="1521"/>
        <w:gridCol w:w="1624"/>
      </w:tblGrid>
      <w:tr w:rsidR="00577D08" w14:paraId="3CE11454" w14:textId="77777777">
        <w:sdt>
          <w:sdtPr>
            <w:tag w:val="_PLD_77d1b0f0ca10428db347fba0d0883430"/>
            <w:id w:val="770355379"/>
          </w:sdtPr>
          <w:sdtContent>
            <w:tc>
              <w:tcPr>
                <w:tcW w:w="1540" w:type="dxa"/>
                <w:vAlign w:val="center"/>
              </w:tcPr>
              <w:p w14:paraId="01AE0FE8" w14:textId="77777777" w:rsidR="00577D08" w:rsidRDefault="00330FC0">
                <w:pPr>
                  <w:kinsoku w:val="0"/>
                  <w:overflowPunct w:val="0"/>
                  <w:autoSpaceDE w:val="0"/>
                  <w:autoSpaceDN w:val="0"/>
                  <w:adjustRightInd w:val="0"/>
                  <w:snapToGrid w:val="0"/>
                  <w:jc w:val="center"/>
                </w:pPr>
                <w:r>
                  <w:t>公司名称</w:t>
                </w:r>
              </w:p>
            </w:tc>
          </w:sdtContent>
        </w:sdt>
        <w:sdt>
          <w:sdtPr>
            <w:tag w:val="_PLD_39a34b0234774dd4a02351974d6690de"/>
            <w:id w:val="340134114"/>
          </w:sdtPr>
          <w:sdtContent>
            <w:tc>
              <w:tcPr>
                <w:tcW w:w="1325" w:type="dxa"/>
                <w:vAlign w:val="center"/>
              </w:tcPr>
              <w:p w14:paraId="0DA4EB6F" w14:textId="77777777" w:rsidR="00577D08" w:rsidRDefault="00330FC0">
                <w:pPr>
                  <w:kinsoku w:val="0"/>
                  <w:overflowPunct w:val="0"/>
                  <w:autoSpaceDE w:val="0"/>
                  <w:autoSpaceDN w:val="0"/>
                  <w:adjustRightInd w:val="0"/>
                  <w:snapToGrid w:val="0"/>
                  <w:jc w:val="center"/>
                </w:pPr>
                <w:r>
                  <w:t>公司类型</w:t>
                </w:r>
              </w:p>
            </w:tc>
          </w:sdtContent>
        </w:sdt>
        <w:sdt>
          <w:sdtPr>
            <w:tag w:val="_PLD_f896bd671d5344dc9566b8fb48245b72"/>
            <w:id w:val="260420512"/>
          </w:sdtPr>
          <w:sdtContent>
            <w:tc>
              <w:tcPr>
                <w:tcW w:w="1826" w:type="dxa"/>
                <w:vAlign w:val="center"/>
              </w:tcPr>
              <w:p w14:paraId="0AE8C4FE" w14:textId="77777777" w:rsidR="00577D08" w:rsidRDefault="00330FC0">
                <w:pPr>
                  <w:kinsoku w:val="0"/>
                  <w:overflowPunct w:val="0"/>
                  <w:autoSpaceDE w:val="0"/>
                  <w:autoSpaceDN w:val="0"/>
                  <w:adjustRightInd w:val="0"/>
                  <w:snapToGrid w:val="0"/>
                  <w:jc w:val="center"/>
                </w:pPr>
                <w:r>
                  <w:t>主要业务</w:t>
                </w:r>
              </w:p>
            </w:tc>
          </w:sdtContent>
        </w:sdt>
        <w:sdt>
          <w:sdtPr>
            <w:tag w:val="_PLD_28c765f0770d4489b0ac7af726b78d3c"/>
            <w:id w:val="1833796721"/>
          </w:sdtPr>
          <w:sdtContent>
            <w:tc>
              <w:tcPr>
                <w:tcW w:w="1524" w:type="dxa"/>
                <w:vAlign w:val="center"/>
              </w:tcPr>
              <w:p w14:paraId="1ED9E937" w14:textId="77777777" w:rsidR="00577D08" w:rsidRDefault="00330FC0">
                <w:pPr>
                  <w:kinsoku w:val="0"/>
                  <w:overflowPunct w:val="0"/>
                  <w:autoSpaceDE w:val="0"/>
                  <w:autoSpaceDN w:val="0"/>
                  <w:adjustRightInd w:val="0"/>
                  <w:snapToGrid w:val="0"/>
                  <w:jc w:val="center"/>
                </w:pPr>
                <w:r>
                  <w:t>注册资本</w:t>
                </w:r>
              </w:p>
            </w:tc>
          </w:sdtContent>
        </w:sdt>
        <w:sdt>
          <w:sdtPr>
            <w:tag w:val="_PLD_8dfb8195bf8042eab9afd470bd721131"/>
            <w:id w:val="1272362162"/>
          </w:sdtPr>
          <w:sdtContent>
            <w:tc>
              <w:tcPr>
                <w:tcW w:w="1524" w:type="dxa"/>
                <w:vAlign w:val="center"/>
              </w:tcPr>
              <w:p w14:paraId="28D4AB83" w14:textId="77777777" w:rsidR="00577D08" w:rsidRDefault="00330FC0">
                <w:pPr>
                  <w:kinsoku w:val="0"/>
                  <w:overflowPunct w:val="0"/>
                  <w:autoSpaceDE w:val="0"/>
                  <w:autoSpaceDN w:val="0"/>
                  <w:adjustRightInd w:val="0"/>
                  <w:snapToGrid w:val="0"/>
                  <w:jc w:val="center"/>
                </w:pPr>
                <w:r>
                  <w:t>总资产</w:t>
                </w:r>
              </w:p>
            </w:tc>
          </w:sdtContent>
        </w:sdt>
        <w:sdt>
          <w:sdtPr>
            <w:tag w:val="_PLD_568be9ac045440aeaf1bfa59ac4c13ce"/>
            <w:id w:val="1749456826"/>
          </w:sdtPr>
          <w:sdtContent>
            <w:tc>
              <w:tcPr>
                <w:tcW w:w="1524" w:type="dxa"/>
                <w:vAlign w:val="center"/>
              </w:tcPr>
              <w:p w14:paraId="01C493D7" w14:textId="77777777" w:rsidR="00577D08" w:rsidRDefault="00330FC0">
                <w:pPr>
                  <w:kinsoku w:val="0"/>
                  <w:overflowPunct w:val="0"/>
                  <w:autoSpaceDE w:val="0"/>
                  <w:autoSpaceDN w:val="0"/>
                  <w:adjustRightInd w:val="0"/>
                  <w:snapToGrid w:val="0"/>
                  <w:jc w:val="center"/>
                </w:pPr>
                <w:r>
                  <w:t>净资产</w:t>
                </w:r>
              </w:p>
            </w:tc>
          </w:sdtContent>
        </w:sdt>
        <w:sdt>
          <w:sdtPr>
            <w:tag w:val="_PLD_5b0234e93edf4d4eba9ba1632349de01"/>
            <w:id w:val="624051958"/>
          </w:sdtPr>
          <w:sdtContent>
            <w:tc>
              <w:tcPr>
                <w:tcW w:w="1524" w:type="dxa"/>
                <w:vAlign w:val="center"/>
              </w:tcPr>
              <w:p w14:paraId="6D684B03" w14:textId="77777777" w:rsidR="00577D08" w:rsidRDefault="00330FC0">
                <w:pPr>
                  <w:kinsoku w:val="0"/>
                  <w:overflowPunct w:val="0"/>
                  <w:autoSpaceDE w:val="0"/>
                  <w:autoSpaceDN w:val="0"/>
                  <w:adjustRightInd w:val="0"/>
                  <w:snapToGrid w:val="0"/>
                  <w:jc w:val="center"/>
                </w:pPr>
                <w:r>
                  <w:t>营业收入</w:t>
                </w:r>
              </w:p>
            </w:tc>
          </w:sdtContent>
        </w:sdt>
        <w:sdt>
          <w:sdtPr>
            <w:tag w:val="_PLD_ba045ffba7c14248ae76aaccea04d750"/>
            <w:id w:val="-1816025925"/>
          </w:sdtPr>
          <w:sdtContent>
            <w:tc>
              <w:tcPr>
                <w:tcW w:w="1521" w:type="dxa"/>
                <w:vAlign w:val="center"/>
              </w:tcPr>
              <w:p w14:paraId="55129CDD" w14:textId="77777777" w:rsidR="00577D08" w:rsidRDefault="00330FC0">
                <w:pPr>
                  <w:kinsoku w:val="0"/>
                  <w:overflowPunct w:val="0"/>
                  <w:autoSpaceDE w:val="0"/>
                  <w:autoSpaceDN w:val="0"/>
                  <w:adjustRightInd w:val="0"/>
                  <w:snapToGrid w:val="0"/>
                  <w:jc w:val="center"/>
                </w:pPr>
                <w:r>
                  <w:t>营业利润</w:t>
                </w:r>
              </w:p>
            </w:tc>
          </w:sdtContent>
        </w:sdt>
        <w:sdt>
          <w:sdtPr>
            <w:tag w:val="_PLD_e15dc49d121b480aa6e96a30e17a5359"/>
            <w:id w:val="227281035"/>
          </w:sdtPr>
          <w:sdtContent>
            <w:tc>
              <w:tcPr>
                <w:tcW w:w="1624" w:type="dxa"/>
                <w:vAlign w:val="center"/>
              </w:tcPr>
              <w:p w14:paraId="4618B4E8" w14:textId="77777777" w:rsidR="00577D08" w:rsidRDefault="00330FC0">
                <w:pPr>
                  <w:kinsoku w:val="0"/>
                  <w:overflowPunct w:val="0"/>
                  <w:autoSpaceDE w:val="0"/>
                  <w:autoSpaceDN w:val="0"/>
                  <w:adjustRightInd w:val="0"/>
                  <w:snapToGrid w:val="0"/>
                  <w:jc w:val="center"/>
                </w:pPr>
                <w:r>
                  <w:t>净利润</w:t>
                </w:r>
              </w:p>
            </w:tc>
          </w:sdtContent>
        </w:sdt>
      </w:tr>
      <w:tr w:rsidR="00577D08" w14:paraId="2453E399" w14:textId="77777777">
        <w:tc>
          <w:tcPr>
            <w:tcW w:w="1540" w:type="dxa"/>
          </w:tcPr>
          <w:p w14:paraId="21D5B182" w14:textId="77777777" w:rsidR="00577D08" w:rsidRDefault="00330FC0">
            <w:pPr>
              <w:kinsoku w:val="0"/>
              <w:overflowPunct w:val="0"/>
              <w:autoSpaceDE w:val="0"/>
              <w:autoSpaceDN w:val="0"/>
              <w:adjustRightInd w:val="0"/>
              <w:snapToGrid w:val="0"/>
            </w:pPr>
            <w:r>
              <w:rPr>
                <w:rFonts w:hint="eastAsia"/>
              </w:rPr>
              <w:t>云变电气</w:t>
            </w:r>
          </w:p>
        </w:tc>
        <w:tc>
          <w:tcPr>
            <w:tcW w:w="1325" w:type="dxa"/>
          </w:tcPr>
          <w:p w14:paraId="1E079DA6" w14:textId="77777777" w:rsidR="00577D08" w:rsidRDefault="00330FC0">
            <w:pPr>
              <w:kinsoku w:val="0"/>
              <w:overflowPunct w:val="0"/>
              <w:autoSpaceDE w:val="0"/>
              <w:autoSpaceDN w:val="0"/>
              <w:adjustRightInd w:val="0"/>
              <w:snapToGrid w:val="0"/>
            </w:pPr>
            <w:r>
              <w:rPr>
                <w:rFonts w:hint="eastAsia"/>
              </w:rPr>
              <w:t>子公司</w:t>
            </w:r>
          </w:p>
        </w:tc>
        <w:tc>
          <w:tcPr>
            <w:tcW w:w="1826" w:type="dxa"/>
          </w:tcPr>
          <w:p w14:paraId="25379F7B" w14:textId="77777777" w:rsidR="00577D08" w:rsidRDefault="00330FC0">
            <w:pPr>
              <w:kinsoku w:val="0"/>
              <w:overflowPunct w:val="0"/>
              <w:autoSpaceDE w:val="0"/>
              <w:autoSpaceDN w:val="0"/>
              <w:adjustRightInd w:val="0"/>
              <w:snapToGrid w:val="0"/>
            </w:pPr>
            <w:r>
              <w:rPr>
                <w:rFonts w:hint="eastAsia"/>
              </w:rPr>
              <w:t>输配电及控制设备</w:t>
            </w:r>
          </w:p>
        </w:tc>
        <w:tc>
          <w:tcPr>
            <w:tcW w:w="1524" w:type="dxa"/>
          </w:tcPr>
          <w:p w14:paraId="61EDF1AC" w14:textId="77777777" w:rsidR="00577D08" w:rsidRDefault="00330FC0">
            <w:pPr>
              <w:kinsoku w:val="0"/>
              <w:overflowPunct w:val="0"/>
              <w:autoSpaceDE w:val="0"/>
              <w:autoSpaceDN w:val="0"/>
              <w:adjustRightInd w:val="0"/>
              <w:snapToGrid w:val="0"/>
              <w:jc w:val="right"/>
            </w:pPr>
            <w:r>
              <w:t xml:space="preserve"> 10,041.36 </w:t>
            </w:r>
          </w:p>
        </w:tc>
        <w:tc>
          <w:tcPr>
            <w:tcW w:w="1524" w:type="dxa"/>
          </w:tcPr>
          <w:p w14:paraId="005D31F9" w14:textId="77777777" w:rsidR="00577D08" w:rsidRDefault="00330FC0">
            <w:pPr>
              <w:kinsoku w:val="0"/>
              <w:overflowPunct w:val="0"/>
              <w:autoSpaceDE w:val="0"/>
              <w:autoSpaceDN w:val="0"/>
              <w:adjustRightInd w:val="0"/>
              <w:snapToGrid w:val="0"/>
              <w:jc w:val="right"/>
            </w:pPr>
            <w:r>
              <w:t xml:space="preserve"> 226,734.91 </w:t>
            </w:r>
          </w:p>
        </w:tc>
        <w:tc>
          <w:tcPr>
            <w:tcW w:w="1524" w:type="dxa"/>
          </w:tcPr>
          <w:p w14:paraId="1252D2CF" w14:textId="77777777" w:rsidR="00577D08" w:rsidRDefault="00330FC0">
            <w:pPr>
              <w:kinsoku w:val="0"/>
              <w:overflowPunct w:val="0"/>
              <w:autoSpaceDE w:val="0"/>
              <w:autoSpaceDN w:val="0"/>
              <w:adjustRightInd w:val="0"/>
              <w:snapToGrid w:val="0"/>
              <w:jc w:val="right"/>
            </w:pPr>
            <w:r>
              <w:t xml:space="preserve"> 73,213.96 </w:t>
            </w:r>
          </w:p>
        </w:tc>
        <w:tc>
          <w:tcPr>
            <w:tcW w:w="1524" w:type="dxa"/>
          </w:tcPr>
          <w:p w14:paraId="0E6E0F45" w14:textId="77777777" w:rsidR="00577D08" w:rsidRDefault="00330FC0">
            <w:pPr>
              <w:kinsoku w:val="0"/>
              <w:overflowPunct w:val="0"/>
              <w:autoSpaceDE w:val="0"/>
              <w:autoSpaceDN w:val="0"/>
              <w:adjustRightInd w:val="0"/>
              <w:snapToGrid w:val="0"/>
              <w:jc w:val="right"/>
            </w:pPr>
            <w:r>
              <w:t xml:space="preserve"> 130,858.57 </w:t>
            </w:r>
          </w:p>
        </w:tc>
        <w:tc>
          <w:tcPr>
            <w:tcW w:w="1521" w:type="dxa"/>
          </w:tcPr>
          <w:p w14:paraId="2F4C7129" w14:textId="77777777" w:rsidR="00577D08" w:rsidRDefault="00330FC0">
            <w:pPr>
              <w:kinsoku w:val="0"/>
              <w:overflowPunct w:val="0"/>
              <w:autoSpaceDE w:val="0"/>
              <w:autoSpaceDN w:val="0"/>
              <w:adjustRightInd w:val="0"/>
              <w:snapToGrid w:val="0"/>
              <w:jc w:val="right"/>
            </w:pPr>
            <w:r>
              <w:t xml:space="preserve"> 3,670.29 </w:t>
            </w:r>
          </w:p>
        </w:tc>
        <w:tc>
          <w:tcPr>
            <w:tcW w:w="1624" w:type="dxa"/>
          </w:tcPr>
          <w:p w14:paraId="229E0C8B" w14:textId="77777777" w:rsidR="00577D08" w:rsidRDefault="00330FC0">
            <w:pPr>
              <w:kinsoku w:val="0"/>
              <w:overflowPunct w:val="0"/>
              <w:autoSpaceDE w:val="0"/>
              <w:autoSpaceDN w:val="0"/>
              <w:adjustRightInd w:val="0"/>
              <w:snapToGrid w:val="0"/>
              <w:jc w:val="right"/>
            </w:pPr>
            <w:r>
              <w:t xml:space="preserve"> 3,754.32 </w:t>
            </w:r>
          </w:p>
        </w:tc>
      </w:tr>
    </w:tbl>
    <w:p w14:paraId="414F39C7" w14:textId="77777777" w:rsidR="00577D08" w:rsidRDefault="00330FC0">
      <w:r>
        <w:rPr>
          <w:rFonts w:hint="eastAsia"/>
        </w:rPr>
        <w:t>报告期内取得和处置子公司的情况</w:t>
      </w:r>
    </w:p>
    <w:sdt>
      <w:sdtPr>
        <w:rPr>
          <w:rFonts w:hint="eastAsia"/>
          <w:color w:val="000000"/>
        </w:rPr>
        <w:alias w:val="是否适用：报告期内取得和处置子公司的情况[双击切换]"/>
        <w:tag w:val="_GBC_8383e40750d74718b38f01647f22c9e6"/>
        <w:id w:val="-955703940"/>
        <w:placeholder>
          <w:docPart w:val="GBC22222222222222222222222222222"/>
        </w:placeholder>
      </w:sdtPr>
      <w:sdtContent>
        <w:p w14:paraId="17684EED" w14:textId="77777777" w:rsidR="00577D08" w:rsidRDefault="00330FC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578"/>
        <w:gridCol w:w="4826"/>
        <w:gridCol w:w="4528"/>
      </w:tblGrid>
      <w:tr w:rsidR="00577D08" w14:paraId="5633DACA" w14:textId="77777777">
        <w:sdt>
          <w:sdtPr>
            <w:tag w:val="_PLD_2d034ed94ce04d9eb110d2aff1c94fd4"/>
            <w:id w:val="-448165468"/>
          </w:sdtPr>
          <w:sdtContent>
            <w:tc>
              <w:tcPr>
                <w:tcW w:w="4578" w:type="dxa"/>
                <w:vAlign w:val="center"/>
              </w:tcPr>
              <w:p w14:paraId="17A8A674" w14:textId="77777777" w:rsidR="00577D08" w:rsidRDefault="00330FC0">
                <w:pPr>
                  <w:kinsoku w:val="0"/>
                  <w:overflowPunct w:val="0"/>
                  <w:autoSpaceDE w:val="0"/>
                  <w:autoSpaceDN w:val="0"/>
                  <w:adjustRightInd w:val="0"/>
                  <w:snapToGrid w:val="0"/>
                  <w:jc w:val="center"/>
                </w:pPr>
                <w:r>
                  <w:t>公司名称</w:t>
                </w:r>
              </w:p>
            </w:tc>
          </w:sdtContent>
        </w:sdt>
        <w:sdt>
          <w:sdtPr>
            <w:tag w:val="_PLD_849498aa2cf54d3a9966096634347592"/>
            <w:id w:val="-1070115387"/>
          </w:sdtPr>
          <w:sdtContent>
            <w:tc>
              <w:tcPr>
                <w:tcW w:w="4826" w:type="dxa"/>
                <w:vAlign w:val="center"/>
              </w:tcPr>
              <w:p w14:paraId="3C066723" w14:textId="77777777" w:rsidR="00577D08" w:rsidRDefault="00330FC0">
                <w:pPr>
                  <w:kinsoku w:val="0"/>
                  <w:overflowPunct w:val="0"/>
                  <w:autoSpaceDE w:val="0"/>
                  <w:autoSpaceDN w:val="0"/>
                  <w:adjustRightInd w:val="0"/>
                  <w:snapToGrid w:val="0"/>
                  <w:jc w:val="center"/>
                </w:pPr>
                <w:r>
                  <w:t>报告期内取得和处置子公司方式</w:t>
                </w:r>
              </w:p>
            </w:tc>
          </w:sdtContent>
        </w:sdt>
        <w:sdt>
          <w:sdtPr>
            <w:tag w:val="_PLD_a616762339ba4d9794a4fc9a395e6c92"/>
            <w:id w:val="-1432585742"/>
          </w:sdtPr>
          <w:sdtContent>
            <w:tc>
              <w:tcPr>
                <w:tcW w:w="4528" w:type="dxa"/>
                <w:vAlign w:val="center"/>
              </w:tcPr>
              <w:p w14:paraId="5CAF8FFE" w14:textId="77777777" w:rsidR="00577D08" w:rsidRDefault="00330FC0">
                <w:pPr>
                  <w:kinsoku w:val="0"/>
                  <w:overflowPunct w:val="0"/>
                  <w:autoSpaceDE w:val="0"/>
                  <w:autoSpaceDN w:val="0"/>
                  <w:adjustRightInd w:val="0"/>
                  <w:snapToGrid w:val="0"/>
                  <w:jc w:val="center"/>
                  <w:rPr>
                    <w:highlight w:val="cyan"/>
                  </w:rPr>
                </w:pPr>
                <w:r>
                  <w:t>对整体生产经营和业绩的影响</w:t>
                </w:r>
              </w:p>
            </w:tc>
          </w:sdtContent>
        </w:sdt>
      </w:tr>
      <w:tr w:rsidR="00577D08" w14:paraId="7B486A02" w14:textId="77777777">
        <w:tc>
          <w:tcPr>
            <w:tcW w:w="4578" w:type="dxa"/>
          </w:tcPr>
          <w:p w14:paraId="1E5D5738" w14:textId="77777777" w:rsidR="00577D08" w:rsidRDefault="00330FC0">
            <w:pPr>
              <w:kinsoku w:val="0"/>
              <w:overflowPunct w:val="0"/>
              <w:autoSpaceDE w:val="0"/>
              <w:autoSpaceDN w:val="0"/>
              <w:adjustRightInd w:val="0"/>
              <w:snapToGrid w:val="0"/>
            </w:pPr>
            <w:r>
              <w:rPr>
                <w:rFonts w:hint="eastAsia"/>
              </w:rPr>
              <w:t>沈阳望泽电气有限公司</w:t>
            </w:r>
          </w:p>
        </w:tc>
        <w:tc>
          <w:tcPr>
            <w:tcW w:w="4826" w:type="dxa"/>
          </w:tcPr>
          <w:p w14:paraId="7DE7BF08" w14:textId="77777777" w:rsidR="00577D08" w:rsidRDefault="00330FC0">
            <w:pPr>
              <w:kinsoku w:val="0"/>
              <w:overflowPunct w:val="0"/>
              <w:autoSpaceDE w:val="0"/>
              <w:autoSpaceDN w:val="0"/>
              <w:adjustRightInd w:val="0"/>
              <w:snapToGrid w:val="0"/>
            </w:pPr>
            <w:r>
              <w:rPr>
                <w:rFonts w:hint="eastAsia"/>
              </w:rPr>
              <w:t>新增投资设立</w:t>
            </w:r>
          </w:p>
        </w:tc>
        <w:tc>
          <w:tcPr>
            <w:tcW w:w="4528" w:type="dxa"/>
          </w:tcPr>
          <w:p w14:paraId="3E987EE2" w14:textId="77777777" w:rsidR="00577D08" w:rsidRDefault="00330FC0">
            <w:pPr>
              <w:kinsoku w:val="0"/>
              <w:overflowPunct w:val="0"/>
              <w:autoSpaceDE w:val="0"/>
              <w:autoSpaceDN w:val="0"/>
              <w:adjustRightInd w:val="0"/>
              <w:snapToGrid w:val="0"/>
            </w:pPr>
            <w:r>
              <w:rPr>
                <w:rFonts w:hint="eastAsia"/>
              </w:rPr>
              <w:t>影响较小</w:t>
            </w:r>
          </w:p>
        </w:tc>
      </w:tr>
      <w:tr w:rsidR="00577D08" w14:paraId="5CAF4F4C" w14:textId="77777777">
        <w:tc>
          <w:tcPr>
            <w:tcW w:w="4578" w:type="dxa"/>
          </w:tcPr>
          <w:p w14:paraId="2417BAA0" w14:textId="77777777" w:rsidR="00577D08" w:rsidRDefault="00330FC0">
            <w:pPr>
              <w:kinsoku w:val="0"/>
              <w:overflowPunct w:val="0"/>
              <w:autoSpaceDE w:val="0"/>
              <w:autoSpaceDN w:val="0"/>
              <w:adjustRightInd w:val="0"/>
              <w:snapToGrid w:val="0"/>
            </w:pPr>
            <w:r>
              <w:rPr>
                <w:rFonts w:hint="eastAsia"/>
              </w:rPr>
              <w:t>上海渝申望变新能源科技有限公司</w:t>
            </w:r>
          </w:p>
        </w:tc>
        <w:tc>
          <w:tcPr>
            <w:tcW w:w="4826" w:type="dxa"/>
          </w:tcPr>
          <w:p w14:paraId="3D5F552E" w14:textId="77777777" w:rsidR="00577D08" w:rsidRDefault="00330FC0">
            <w:pPr>
              <w:kinsoku w:val="0"/>
              <w:overflowPunct w:val="0"/>
              <w:autoSpaceDE w:val="0"/>
              <w:autoSpaceDN w:val="0"/>
              <w:adjustRightInd w:val="0"/>
              <w:snapToGrid w:val="0"/>
            </w:pPr>
            <w:r>
              <w:rPr>
                <w:rFonts w:hint="eastAsia"/>
              </w:rPr>
              <w:t>新增投资设立</w:t>
            </w:r>
          </w:p>
        </w:tc>
        <w:tc>
          <w:tcPr>
            <w:tcW w:w="4528" w:type="dxa"/>
          </w:tcPr>
          <w:p w14:paraId="0D53A360" w14:textId="77777777" w:rsidR="00577D08" w:rsidRDefault="00330FC0">
            <w:pPr>
              <w:kinsoku w:val="0"/>
              <w:overflowPunct w:val="0"/>
              <w:autoSpaceDE w:val="0"/>
              <w:autoSpaceDN w:val="0"/>
              <w:adjustRightInd w:val="0"/>
              <w:snapToGrid w:val="0"/>
            </w:pPr>
            <w:r>
              <w:rPr>
                <w:rFonts w:hint="eastAsia"/>
              </w:rPr>
              <w:t>影响较小</w:t>
            </w:r>
          </w:p>
        </w:tc>
      </w:tr>
      <w:tr w:rsidR="00577D08" w14:paraId="48278AC5" w14:textId="77777777">
        <w:tc>
          <w:tcPr>
            <w:tcW w:w="4578" w:type="dxa"/>
          </w:tcPr>
          <w:p w14:paraId="4C820401" w14:textId="77777777" w:rsidR="00577D08" w:rsidRDefault="00330FC0">
            <w:pPr>
              <w:kinsoku w:val="0"/>
              <w:overflowPunct w:val="0"/>
              <w:autoSpaceDE w:val="0"/>
              <w:autoSpaceDN w:val="0"/>
              <w:adjustRightInd w:val="0"/>
              <w:snapToGrid w:val="0"/>
            </w:pPr>
            <w:r>
              <w:rPr>
                <w:rFonts w:hint="eastAsia"/>
              </w:rPr>
              <w:t>香港望变国际有限公司</w:t>
            </w:r>
          </w:p>
        </w:tc>
        <w:tc>
          <w:tcPr>
            <w:tcW w:w="4826" w:type="dxa"/>
          </w:tcPr>
          <w:p w14:paraId="32E07BB2" w14:textId="77777777" w:rsidR="00577D08" w:rsidRDefault="00330FC0">
            <w:pPr>
              <w:kinsoku w:val="0"/>
              <w:overflowPunct w:val="0"/>
              <w:autoSpaceDE w:val="0"/>
              <w:autoSpaceDN w:val="0"/>
              <w:adjustRightInd w:val="0"/>
              <w:snapToGrid w:val="0"/>
            </w:pPr>
            <w:r>
              <w:rPr>
                <w:rFonts w:hint="eastAsia"/>
              </w:rPr>
              <w:t>新增投资设立</w:t>
            </w:r>
          </w:p>
        </w:tc>
        <w:tc>
          <w:tcPr>
            <w:tcW w:w="4528" w:type="dxa"/>
          </w:tcPr>
          <w:p w14:paraId="68F633A1" w14:textId="77777777" w:rsidR="00577D08" w:rsidRDefault="00330FC0">
            <w:pPr>
              <w:kinsoku w:val="0"/>
              <w:overflowPunct w:val="0"/>
              <w:autoSpaceDE w:val="0"/>
              <w:autoSpaceDN w:val="0"/>
              <w:adjustRightInd w:val="0"/>
              <w:snapToGrid w:val="0"/>
            </w:pPr>
            <w:r>
              <w:rPr>
                <w:rFonts w:hint="eastAsia"/>
              </w:rPr>
              <w:t>影响较小</w:t>
            </w:r>
          </w:p>
        </w:tc>
      </w:tr>
      <w:tr w:rsidR="00577D08" w14:paraId="6547B0C4" w14:textId="77777777">
        <w:tc>
          <w:tcPr>
            <w:tcW w:w="4578" w:type="dxa"/>
          </w:tcPr>
          <w:p w14:paraId="300374E5" w14:textId="77777777" w:rsidR="00577D08" w:rsidRDefault="00330FC0">
            <w:pPr>
              <w:kinsoku w:val="0"/>
              <w:overflowPunct w:val="0"/>
              <w:autoSpaceDE w:val="0"/>
              <w:autoSpaceDN w:val="0"/>
              <w:adjustRightInd w:val="0"/>
              <w:snapToGrid w:val="0"/>
            </w:pPr>
            <w:r>
              <w:rPr>
                <w:rFonts w:hint="eastAsia"/>
              </w:rPr>
              <w:t>望来充（重庆）科技有限责任公司</w:t>
            </w:r>
          </w:p>
        </w:tc>
        <w:tc>
          <w:tcPr>
            <w:tcW w:w="4826" w:type="dxa"/>
          </w:tcPr>
          <w:p w14:paraId="0FA83A0E" w14:textId="77777777" w:rsidR="00577D08" w:rsidRDefault="00330FC0">
            <w:pPr>
              <w:kinsoku w:val="0"/>
              <w:overflowPunct w:val="0"/>
              <w:autoSpaceDE w:val="0"/>
              <w:autoSpaceDN w:val="0"/>
              <w:adjustRightInd w:val="0"/>
              <w:snapToGrid w:val="0"/>
            </w:pPr>
            <w:r>
              <w:rPr>
                <w:rFonts w:hint="eastAsia"/>
              </w:rPr>
              <w:t>新增投资设立</w:t>
            </w:r>
          </w:p>
        </w:tc>
        <w:tc>
          <w:tcPr>
            <w:tcW w:w="4528" w:type="dxa"/>
          </w:tcPr>
          <w:p w14:paraId="43C7DBCA" w14:textId="77777777" w:rsidR="00577D08" w:rsidRDefault="00330FC0">
            <w:pPr>
              <w:kinsoku w:val="0"/>
              <w:overflowPunct w:val="0"/>
              <w:autoSpaceDE w:val="0"/>
              <w:autoSpaceDN w:val="0"/>
              <w:adjustRightInd w:val="0"/>
              <w:snapToGrid w:val="0"/>
            </w:pPr>
            <w:r>
              <w:rPr>
                <w:rFonts w:hint="eastAsia"/>
              </w:rPr>
              <w:t>影响较小</w:t>
            </w:r>
          </w:p>
        </w:tc>
      </w:tr>
      <w:tr w:rsidR="00577D08" w14:paraId="43EF14C7" w14:textId="77777777">
        <w:tc>
          <w:tcPr>
            <w:tcW w:w="4578" w:type="dxa"/>
          </w:tcPr>
          <w:p w14:paraId="0A554DFC" w14:textId="77777777" w:rsidR="00577D08" w:rsidRDefault="00330FC0">
            <w:pPr>
              <w:kinsoku w:val="0"/>
              <w:overflowPunct w:val="0"/>
              <w:autoSpaceDE w:val="0"/>
              <w:autoSpaceDN w:val="0"/>
              <w:adjustRightInd w:val="0"/>
              <w:snapToGrid w:val="0"/>
            </w:pPr>
            <w:r>
              <w:rPr>
                <w:rFonts w:hint="eastAsia"/>
              </w:rPr>
              <w:t>望来充（云南）科技有限公司</w:t>
            </w:r>
          </w:p>
        </w:tc>
        <w:tc>
          <w:tcPr>
            <w:tcW w:w="4826" w:type="dxa"/>
          </w:tcPr>
          <w:p w14:paraId="059D7CEA" w14:textId="77777777" w:rsidR="00577D08" w:rsidRDefault="00330FC0">
            <w:pPr>
              <w:kinsoku w:val="0"/>
              <w:overflowPunct w:val="0"/>
              <w:autoSpaceDE w:val="0"/>
              <w:autoSpaceDN w:val="0"/>
              <w:adjustRightInd w:val="0"/>
              <w:snapToGrid w:val="0"/>
            </w:pPr>
            <w:r>
              <w:rPr>
                <w:rFonts w:hint="eastAsia"/>
              </w:rPr>
              <w:t>新增投资设立</w:t>
            </w:r>
          </w:p>
        </w:tc>
        <w:tc>
          <w:tcPr>
            <w:tcW w:w="4528" w:type="dxa"/>
          </w:tcPr>
          <w:p w14:paraId="05CDD19D" w14:textId="77777777" w:rsidR="00577D08" w:rsidRDefault="00330FC0">
            <w:pPr>
              <w:kinsoku w:val="0"/>
              <w:overflowPunct w:val="0"/>
              <w:autoSpaceDE w:val="0"/>
              <w:autoSpaceDN w:val="0"/>
              <w:adjustRightInd w:val="0"/>
              <w:snapToGrid w:val="0"/>
            </w:pPr>
            <w:r>
              <w:rPr>
                <w:rFonts w:hint="eastAsia"/>
              </w:rPr>
              <w:t>影响较小</w:t>
            </w:r>
          </w:p>
        </w:tc>
      </w:tr>
      <w:tr w:rsidR="00577D08" w14:paraId="5046F366" w14:textId="77777777">
        <w:tc>
          <w:tcPr>
            <w:tcW w:w="4578" w:type="dxa"/>
          </w:tcPr>
          <w:p w14:paraId="45FCFE98" w14:textId="77777777" w:rsidR="00577D08" w:rsidRDefault="00330FC0">
            <w:pPr>
              <w:kinsoku w:val="0"/>
              <w:overflowPunct w:val="0"/>
              <w:autoSpaceDE w:val="0"/>
              <w:autoSpaceDN w:val="0"/>
              <w:adjustRightInd w:val="0"/>
              <w:snapToGrid w:val="0"/>
            </w:pPr>
            <w:r>
              <w:rPr>
                <w:rFonts w:hint="eastAsia"/>
              </w:rPr>
              <w:t>重庆长寿望来充新能源有限公司</w:t>
            </w:r>
          </w:p>
        </w:tc>
        <w:tc>
          <w:tcPr>
            <w:tcW w:w="4826" w:type="dxa"/>
          </w:tcPr>
          <w:p w14:paraId="15BFE111" w14:textId="77777777" w:rsidR="00577D08" w:rsidRDefault="00330FC0">
            <w:pPr>
              <w:kinsoku w:val="0"/>
              <w:overflowPunct w:val="0"/>
              <w:autoSpaceDE w:val="0"/>
              <w:autoSpaceDN w:val="0"/>
              <w:adjustRightInd w:val="0"/>
              <w:snapToGrid w:val="0"/>
            </w:pPr>
            <w:r>
              <w:rPr>
                <w:rFonts w:hint="eastAsia"/>
              </w:rPr>
              <w:t>新增投资设立</w:t>
            </w:r>
          </w:p>
        </w:tc>
        <w:tc>
          <w:tcPr>
            <w:tcW w:w="4528" w:type="dxa"/>
          </w:tcPr>
          <w:p w14:paraId="7D2A0677" w14:textId="77777777" w:rsidR="00577D08" w:rsidRDefault="00330FC0">
            <w:pPr>
              <w:kinsoku w:val="0"/>
              <w:overflowPunct w:val="0"/>
              <w:autoSpaceDE w:val="0"/>
              <w:autoSpaceDN w:val="0"/>
              <w:adjustRightInd w:val="0"/>
              <w:snapToGrid w:val="0"/>
            </w:pPr>
            <w:r>
              <w:rPr>
                <w:rFonts w:hint="eastAsia"/>
              </w:rPr>
              <w:t>影响较小</w:t>
            </w:r>
          </w:p>
        </w:tc>
      </w:tr>
      <w:tr w:rsidR="00577D08" w14:paraId="42E80C8F" w14:textId="77777777">
        <w:tc>
          <w:tcPr>
            <w:tcW w:w="4578" w:type="dxa"/>
          </w:tcPr>
          <w:p w14:paraId="4CF466BF" w14:textId="77777777" w:rsidR="00577D08" w:rsidRDefault="00330FC0">
            <w:pPr>
              <w:kinsoku w:val="0"/>
              <w:overflowPunct w:val="0"/>
              <w:autoSpaceDE w:val="0"/>
              <w:autoSpaceDN w:val="0"/>
              <w:adjustRightInd w:val="0"/>
              <w:snapToGrid w:val="0"/>
            </w:pPr>
            <w:r>
              <w:rPr>
                <w:rFonts w:hint="eastAsia"/>
              </w:rPr>
              <w:t>望来充（河南）新能源有限公司</w:t>
            </w:r>
          </w:p>
        </w:tc>
        <w:tc>
          <w:tcPr>
            <w:tcW w:w="4826" w:type="dxa"/>
          </w:tcPr>
          <w:p w14:paraId="57168D4B" w14:textId="77777777" w:rsidR="00577D08" w:rsidRDefault="00330FC0">
            <w:pPr>
              <w:kinsoku w:val="0"/>
              <w:overflowPunct w:val="0"/>
              <w:autoSpaceDE w:val="0"/>
              <w:autoSpaceDN w:val="0"/>
              <w:adjustRightInd w:val="0"/>
              <w:snapToGrid w:val="0"/>
            </w:pPr>
            <w:r>
              <w:rPr>
                <w:rFonts w:hint="eastAsia"/>
              </w:rPr>
              <w:t>新增投资设立</w:t>
            </w:r>
          </w:p>
        </w:tc>
        <w:tc>
          <w:tcPr>
            <w:tcW w:w="4528" w:type="dxa"/>
          </w:tcPr>
          <w:p w14:paraId="17376345" w14:textId="77777777" w:rsidR="00577D08" w:rsidRDefault="00330FC0">
            <w:pPr>
              <w:kinsoku w:val="0"/>
              <w:overflowPunct w:val="0"/>
              <w:autoSpaceDE w:val="0"/>
              <w:autoSpaceDN w:val="0"/>
              <w:adjustRightInd w:val="0"/>
              <w:snapToGrid w:val="0"/>
            </w:pPr>
            <w:r>
              <w:rPr>
                <w:rFonts w:hint="eastAsia"/>
              </w:rPr>
              <w:t>影响较小</w:t>
            </w:r>
          </w:p>
        </w:tc>
      </w:tr>
    </w:tbl>
    <w:p w14:paraId="5B369028" w14:textId="77777777" w:rsidR="00577D08" w:rsidRDefault="00330FC0">
      <w:r>
        <w:rPr>
          <w:rFonts w:hint="eastAsia"/>
        </w:rPr>
        <w:t>其他说明</w:t>
      </w:r>
    </w:p>
    <w:sdt>
      <w:sdtPr>
        <w:rPr>
          <w:rFonts w:hint="eastAsia"/>
          <w:color w:val="000000"/>
        </w:rPr>
        <w:alias w:val="是否适用：主要控股参股公司分析其他说明[双击切换]"/>
        <w:tag w:val="_GBC_c4a3529b582540698fd8e7e129c87fbc"/>
        <w:id w:val="1448195186"/>
        <w:placeholder>
          <w:docPart w:val="GBC22222222222222222222222222222"/>
        </w:placeholder>
      </w:sdtPr>
      <w:sdtContent>
        <w:p w14:paraId="57452FF0" w14:textId="77777777" w:rsidR="00577D08" w:rsidRDefault="00330FC0">
          <w:pPr>
            <w:rPr>
              <w:color w:val="000000" w:themeColor="text1"/>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bookmarkEnd w:id="147"/>
    <w:bookmarkEnd w:id="148"/>
    <w:p w14:paraId="144CE920" w14:textId="77777777" w:rsidR="00577D08" w:rsidRDefault="00330FC0">
      <w:pPr>
        <w:pStyle w:val="3"/>
        <w:numPr>
          <w:ilvl w:val="0"/>
          <w:numId w:val="8"/>
        </w:numPr>
        <w:rPr>
          <w:rFonts w:ascii="宋体" w:hAnsi="宋体" w:cs="宋体" w:hint="eastAsia"/>
          <w:kern w:val="0"/>
          <w:szCs w:val="21"/>
        </w:rPr>
      </w:pPr>
      <w:r>
        <w:rPr>
          <w:rFonts w:ascii="宋体" w:hAnsi="宋体" w:cs="宋体"/>
          <w:kern w:val="0"/>
          <w:szCs w:val="21"/>
        </w:rPr>
        <w:t>公司控制的</w:t>
      </w:r>
      <w:r>
        <w:rPr>
          <w:rFonts w:ascii="宋体" w:hAnsi="宋体" w:cs="宋体" w:hint="eastAsia"/>
          <w:kern w:val="0"/>
          <w:szCs w:val="21"/>
        </w:rPr>
        <w:t>结构化</w:t>
      </w:r>
      <w:r>
        <w:rPr>
          <w:rFonts w:ascii="宋体" w:hAnsi="宋体" w:cs="宋体"/>
          <w:kern w:val="0"/>
          <w:szCs w:val="21"/>
        </w:rPr>
        <w:t>主体情况</w:t>
      </w:r>
    </w:p>
    <w:sdt>
      <w:sdtPr>
        <w:rPr>
          <w:rFonts w:hint="eastAsia"/>
        </w:rPr>
        <w:alias w:val="是否适用：公司控制的结构化主体情况[双击切换]"/>
        <w:tag w:val="_GBC_844e5a5ece8c488e933f7fbfd0650339"/>
        <w:id w:val="-1620530752"/>
        <w:placeholder>
          <w:docPart w:val="GBC22222222222222222222222222222"/>
        </w:placeholder>
      </w:sdtPr>
      <w:sdtContent>
        <w:p w14:paraId="6598296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79E1F0" w14:textId="77777777" w:rsidR="00577D08" w:rsidRDefault="00577D08"/>
    <w:p w14:paraId="73DD7586" w14:textId="77777777" w:rsidR="00577D08" w:rsidRDefault="00577D08">
      <w:pPr>
        <w:sectPr w:rsidR="00577D08">
          <w:pgSz w:w="16838" w:h="11906" w:orient="landscape"/>
          <w:pgMar w:top="1797" w:right="1525" w:bottom="1276" w:left="1440" w:header="855" w:footer="992" w:gutter="0"/>
          <w:cols w:space="425"/>
          <w:docGrid w:linePitch="312"/>
        </w:sectPr>
      </w:pPr>
    </w:p>
    <w:p w14:paraId="11F27E82" w14:textId="77777777" w:rsidR="00577D08" w:rsidRDefault="00330FC0">
      <w:pPr>
        <w:pStyle w:val="2"/>
        <w:numPr>
          <w:ilvl w:val="0"/>
          <w:numId w:val="7"/>
        </w:numPr>
        <w:ind w:left="422" w:hangingChars="200" w:hanging="422"/>
      </w:pPr>
      <w:r>
        <w:rPr>
          <w:rFonts w:hint="eastAsia"/>
        </w:rPr>
        <w:lastRenderedPageBreak/>
        <w:t>公司</w:t>
      </w:r>
      <w:r>
        <w:t>关于公司未来发展的讨论与分析</w:t>
      </w:r>
    </w:p>
    <w:p w14:paraId="1EEBF933" w14:textId="77777777" w:rsidR="00577D08" w:rsidRDefault="00330FC0">
      <w:pPr>
        <w:pStyle w:val="3"/>
        <w:numPr>
          <w:ilvl w:val="3"/>
          <w:numId w:val="17"/>
        </w:numPr>
        <w:rPr>
          <w:szCs w:val="21"/>
        </w:rPr>
      </w:pPr>
      <w:bookmarkStart w:id="149" w:name="OLE_LINK44"/>
      <w:r>
        <w:rPr>
          <w:szCs w:val="21"/>
        </w:rPr>
        <w:t>行业格局和趋势</w:t>
      </w:r>
    </w:p>
    <w:bookmarkEnd w:id="149" w:displacedByCustomXml="next"/>
    <w:sdt>
      <w:sdtPr>
        <w:rPr>
          <w:rFonts w:hint="eastAsia"/>
        </w:rPr>
        <w:alias w:val="行业竞争格局和发展趋势"/>
        <w:tag w:val="_GBC_c38788dc300c4c4592543c5db64e9308"/>
        <w:id w:val="-218985267"/>
        <w:placeholder>
          <w:docPart w:val="GBC22222222222222222222222222222"/>
        </w:placeholder>
      </w:sdtPr>
      <w:sdtEndPr>
        <w:rPr>
          <w:rFonts w:ascii="宋体" w:hAnsi="宋体"/>
        </w:rPr>
      </w:sdtEndPr>
      <w:sdtContent>
        <w:sdt>
          <w:sdtPr>
            <w:rPr>
              <w:rFonts w:ascii="宋体" w:hAnsi="宋体"/>
            </w:rPr>
            <w:alias w:val="行业竞争格局和发展趋势"/>
            <w:tag w:val="_GBC_c38788dc300c4c4592543c5db64e9308"/>
            <w:id w:val="1117726916"/>
          </w:sdtPr>
          <w:sdtContent>
            <w:p w14:paraId="5DC3E74D" w14:textId="77777777" w:rsidR="00577D08" w:rsidRDefault="00330FC0">
              <w:pPr>
                <w:spacing w:line="360" w:lineRule="exact"/>
                <w:ind w:firstLineChars="200" w:firstLine="420"/>
                <w:outlineLvl w:val="3"/>
                <w:rPr>
                  <w:rFonts w:ascii="宋体" w:hAnsi="宋体" w:hint="eastAsia"/>
                  <w:b/>
                </w:rPr>
              </w:pPr>
              <w:r>
                <w:rPr>
                  <w:rFonts w:ascii="宋体" w:hAnsi="宋体"/>
                  <w:b/>
                </w:rPr>
                <w:t>1</w:t>
              </w:r>
              <w:r>
                <w:rPr>
                  <w:rFonts w:ascii="宋体" w:hAnsi="宋体" w:hint="eastAsia"/>
                  <w:b/>
                </w:rPr>
                <w:t>、输配电及控制设备行业</w:t>
              </w:r>
            </w:p>
            <w:p w14:paraId="3F8D63A4" w14:textId="77777777" w:rsidR="00577D08" w:rsidRDefault="00330FC0">
              <w:pPr>
                <w:spacing w:line="360" w:lineRule="exact"/>
                <w:ind w:firstLineChars="200" w:firstLine="420"/>
                <w:jc w:val="both"/>
                <w:rPr>
                  <w:rFonts w:ascii="宋体" w:hAnsi="宋体" w:hint="eastAsia"/>
                </w:rPr>
              </w:pPr>
              <w:r>
                <w:rPr>
                  <w:rFonts w:ascii="宋体" w:hAnsi="宋体" w:hint="eastAsia"/>
                </w:rPr>
                <w:t>输配电及控制设备是电力系统中承担电能传输、分配、变换与控制功能的关键装备，涵盖从发电端到用电端的完整电力链路。作为电力工业的基础支撑，输配电设备的技术水平和产业能力，直接决定着电力系统的运行效率、供电可靠性与安全稳定性。</w:t>
              </w:r>
            </w:p>
            <w:p w14:paraId="2E346F48"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（1）输配电及控制设备行业整体进入全面竞争阶段，结构分化显著</w:t>
              </w:r>
            </w:p>
            <w:p w14:paraId="2C9DFBCB" w14:textId="77777777" w:rsidR="00577D08" w:rsidRDefault="00330FC0">
              <w:pPr>
                <w:spacing w:line="360" w:lineRule="exact"/>
                <w:ind w:firstLineChars="200" w:firstLine="420"/>
                <w:jc w:val="both"/>
                <w:rPr>
                  <w:rFonts w:ascii="宋体" w:hAnsi="宋体" w:hint="eastAsia"/>
                </w:rPr>
              </w:pPr>
              <w:r>
                <w:rPr>
                  <w:rFonts w:ascii="宋体" w:hAnsi="宋体" w:hint="eastAsia"/>
                </w:rPr>
                <w:t>输配电及控制设备行业已进入成熟期，市场竞争全面展开，行业整体呈现以下显著特征：</w:t>
              </w:r>
            </w:p>
            <w:p w14:paraId="43D15E08" w14:textId="77777777" w:rsidR="00577D08" w:rsidRDefault="00330FC0">
              <w:pPr>
                <w:spacing w:line="360" w:lineRule="exact"/>
                <w:ind w:firstLineChars="200" w:firstLine="420"/>
                <w:jc w:val="both"/>
                <w:rPr>
                  <w:rFonts w:ascii="宋体" w:hAnsi="宋体" w:hint="eastAsia"/>
                </w:rPr>
              </w:pPr>
              <w:r>
                <w:rPr>
                  <w:rFonts w:ascii="宋体" w:hAnsi="宋体" w:hint="eastAsia"/>
                </w:rPr>
                <w:t>1）准入门槛二元分化</w:t>
              </w:r>
            </w:p>
            <w:p w14:paraId="52113717" w14:textId="77777777" w:rsidR="00577D08" w:rsidRDefault="00330FC0">
              <w:pPr>
                <w:spacing w:line="360" w:lineRule="exact"/>
                <w:ind w:firstLineChars="200" w:firstLine="420"/>
                <w:jc w:val="both"/>
                <w:rPr>
                  <w:rFonts w:ascii="宋体" w:hAnsi="宋体" w:hint="eastAsia"/>
                </w:rPr>
              </w:pPr>
              <w:r>
                <w:rPr>
                  <w:rFonts w:ascii="宋体" w:hAnsi="宋体" w:hint="eastAsia"/>
                </w:rPr>
                <w:t>从整体看，输配电及控制设备行业进入门槛相对较低，企业数量众多，导致中低端市场竞争激烈。但在高端领域（如特高压、超高压、智能电网设备），技术壁垒、资金壁垒和资质壁垒显著较高，新进入者面临较大挑战。</w:t>
              </w:r>
            </w:p>
            <w:p w14:paraId="797B538E" w14:textId="77777777" w:rsidR="00577D08" w:rsidRDefault="00330FC0">
              <w:pPr>
                <w:spacing w:line="360" w:lineRule="exact"/>
                <w:ind w:firstLineChars="200" w:firstLine="420"/>
                <w:jc w:val="both"/>
                <w:rPr>
                  <w:rFonts w:ascii="宋体" w:hAnsi="宋体" w:hint="eastAsia"/>
                </w:rPr>
              </w:pPr>
              <w:r>
                <w:rPr>
                  <w:rFonts w:ascii="宋体" w:hAnsi="宋体" w:hint="eastAsia"/>
                </w:rPr>
                <w:t>2）市场规模持续扩大，产业集中度逐步提升</w:t>
              </w:r>
            </w:p>
            <w:p w14:paraId="0B416580" w14:textId="77777777" w:rsidR="00577D08" w:rsidRDefault="00330FC0">
              <w:pPr>
                <w:spacing w:line="360" w:lineRule="exact"/>
                <w:ind w:firstLineChars="200" w:firstLine="420"/>
                <w:jc w:val="both"/>
                <w:rPr>
                  <w:rFonts w:ascii="宋体" w:hAnsi="宋体" w:hint="eastAsia"/>
                </w:rPr>
              </w:pPr>
              <w:r>
                <w:rPr>
                  <w:rFonts w:ascii="宋体" w:hAnsi="宋体" w:hint="eastAsia"/>
                </w:rPr>
                <w:t>2025年我国输配电设备制造市场规模预计突破1.2万亿元，同比增长约8%。行业集中度正逐步提升，以特变电工、中国西电、许继电气等为代表的龙头企业市场份额稳步扩大，技术实力和品牌影响力不断增强。从细分行业看，变压器、整流器和电感器行业的集中度相对较高，而配电开关控制设备、电力电子元器件等子行业的集中度相对分散。</w:t>
              </w:r>
            </w:p>
            <w:p w14:paraId="66DF9D2A" w14:textId="77777777" w:rsidR="00577D08" w:rsidRDefault="00330FC0">
              <w:pPr>
                <w:spacing w:line="360" w:lineRule="exact"/>
                <w:ind w:firstLineChars="200" w:firstLine="420"/>
                <w:jc w:val="both"/>
                <w:rPr>
                  <w:rFonts w:ascii="宋体" w:hAnsi="宋体" w:hint="eastAsia"/>
                </w:rPr>
              </w:pPr>
              <w:r>
                <w:rPr>
                  <w:rFonts w:ascii="宋体" w:hAnsi="宋体" w:hint="eastAsia"/>
                </w:rPr>
                <w:t>3）区域分布高度集中</w:t>
              </w:r>
            </w:p>
            <w:p w14:paraId="2B9D40E8" w14:textId="77777777" w:rsidR="00577D08" w:rsidRDefault="00330FC0">
              <w:pPr>
                <w:spacing w:line="360" w:lineRule="exact"/>
                <w:ind w:firstLineChars="200" w:firstLine="420"/>
                <w:jc w:val="both"/>
                <w:rPr>
                  <w:rFonts w:ascii="宋体" w:hAnsi="宋体" w:hint="eastAsia"/>
                </w:rPr>
              </w:pPr>
              <w:r>
                <w:rPr>
                  <w:rFonts w:ascii="宋体" w:hAnsi="宋体" w:hint="eastAsia"/>
                </w:rPr>
                <w:t>输配电设备制造企业主要集中在华东、华北和华南地区，其中江苏、山东、河南、广东等地成为产业集聚地。这些地区拥有完善的产业链配套、丰富的技术人才资源以及强大的市场辐射能力。从区域集中度分析，华南、华东、华北地区企业数量和产值占全国较大比重。</w:t>
              </w:r>
            </w:p>
            <w:p w14:paraId="4ACFC64B"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（2）市场竞争从价格竞争向品牌与技术竞争演进</w:t>
              </w:r>
            </w:p>
            <w:p w14:paraId="1FF70610" w14:textId="77777777" w:rsidR="00577D08" w:rsidRDefault="00330FC0">
              <w:pPr>
                <w:spacing w:line="360" w:lineRule="exact"/>
                <w:ind w:firstLineChars="200" w:firstLine="420"/>
                <w:jc w:val="both"/>
                <w:rPr>
                  <w:rFonts w:ascii="宋体" w:hAnsi="宋体" w:hint="eastAsia"/>
                </w:rPr>
              </w:pPr>
              <w:r>
                <w:rPr>
                  <w:rFonts w:ascii="宋体" w:hAnsi="宋体" w:hint="eastAsia"/>
                </w:rPr>
                <w:t>根据竞争层次分析，输配电及控制设备行业的竞争模式正从单一的价格竞争向多维度的综合竞争演进</w:t>
              </w:r>
            </w:p>
            <w:p w14:paraId="62B04CFB" w14:textId="77777777" w:rsidR="00577D08" w:rsidRDefault="00330FC0">
              <w:pPr>
                <w:spacing w:line="360" w:lineRule="exact"/>
                <w:ind w:firstLineChars="200" w:firstLine="420"/>
                <w:jc w:val="both"/>
                <w:rPr>
                  <w:rFonts w:ascii="宋体" w:hAnsi="宋体" w:hint="eastAsia"/>
                </w:rPr>
              </w:pPr>
              <w:r>
                <w:rPr>
                  <w:rFonts w:ascii="宋体" w:hAnsi="宋体" w:hint="eastAsia"/>
                </w:rPr>
                <w:t>1）中低端市场以价格竞争为主</w:t>
              </w:r>
            </w:p>
            <w:p w14:paraId="208629BA" w14:textId="77777777" w:rsidR="00577D08" w:rsidRDefault="00330FC0">
              <w:pPr>
                <w:spacing w:line="360" w:lineRule="exact"/>
                <w:ind w:firstLineChars="200" w:firstLine="420"/>
                <w:jc w:val="both"/>
                <w:rPr>
                  <w:rFonts w:ascii="宋体" w:hAnsi="宋体" w:hint="eastAsia"/>
                </w:rPr>
              </w:pPr>
              <w:r>
                <w:rPr>
                  <w:rFonts w:ascii="宋体" w:hAnsi="宋体" w:hint="eastAsia"/>
                </w:rPr>
                <w:t>对于产品同质化程度较高、技术壁垒较低的中低压设备领域，多为中小企业，通过低价策略抢占市场份额。</w:t>
              </w:r>
            </w:p>
            <w:p w14:paraId="55FB97AA" w14:textId="77777777" w:rsidR="00577D08" w:rsidRDefault="00330FC0">
              <w:pPr>
                <w:spacing w:line="360" w:lineRule="exact"/>
                <w:ind w:firstLineChars="200" w:firstLine="420"/>
                <w:jc w:val="both"/>
                <w:rPr>
                  <w:rFonts w:ascii="宋体" w:hAnsi="宋体" w:hint="eastAsia"/>
                </w:rPr>
              </w:pPr>
              <w:r>
                <w:rPr>
                  <w:rFonts w:ascii="宋体" w:hAnsi="宋体" w:hint="eastAsia"/>
                </w:rPr>
                <w:t>2）中端市场以质量竞争为主</w:t>
              </w:r>
            </w:p>
            <w:p w14:paraId="2FF63F75" w14:textId="77777777" w:rsidR="00577D08" w:rsidRDefault="00330FC0">
              <w:pPr>
                <w:spacing w:line="360" w:lineRule="exact"/>
                <w:ind w:firstLineChars="200" w:firstLine="420"/>
                <w:jc w:val="both"/>
                <w:rPr>
                  <w:rFonts w:ascii="宋体" w:hAnsi="宋体" w:hint="eastAsia"/>
                </w:rPr>
              </w:pPr>
              <w:r>
                <w:rPr>
                  <w:rFonts w:ascii="宋体" w:hAnsi="宋体" w:hint="eastAsia"/>
                </w:rPr>
                <w:t>对于产品可靠性、稳定性要求较高的领域，主要通过提升产品品质、延长使用寿命、降低故障率来建立竞争优势。</w:t>
              </w:r>
            </w:p>
            <w:p w14:paraId="14ED3829" w14:textId="77777777" w:rsidR="00577D08" w:rsidRDefault="00330FC0">
              <w:pPr>
                <w:spacing w:line="360" w:lineRule="exact"/>
                <w:ind w:firstLineChars="200" w:firstLine="420"/>
                <w:jc w:val="both"/>
                <w:rPr>
                  <w:rFonts w:ascii="宋体" w:hAnsi="宋体" w:hint="eastAsia"/>
                </w:rPr>
              </w:pPr>
              <w:r>
                <w:rPr>
                  <w:rFonts w:ascii="宋体" w:hAnsi="宋体" w:hint="eastAsia"/>
                </w:rPr>
                <w:t>3）高端市场以品牌竞争为主</w:t>
              </w:r>
            </w:p>
            <w:p w14:paraId="6B902966" w14:textId="77777777" w:rsidR="00577D08" w:rsidRDefault="00330FC0">
              <w:pPr>
                <w:spacing w:line="360" w:lineRule="exact"/>
                <w:ind w:firstLineChars="200" w:firstLine="420"/>
                <w:jc w:val="both"/>
                <w:rPr>
                  <w:rFonts w:ascii="宋体" w:hAnsi="宋体" w:hint="eastAsia"/>
                </w:rPr>
              </w:pPr>
              <w:r>
                <w:rPr>
                  <w:rFonts w:ascii="宋体" w:hAnsi="宋体" w:hint="eastAsia"/>
                </w:rPr>
                <w:t>对于特高压、智能电网等高端领域，主要凭借企业的技术积淀、成功案例和行业口碑建立品牌壁垒。</w:t>
              </w:r>
            </w:p>
            <w:p w14:paraId="14912A37" w14:textId="77777777" w:rsidR="00577D08" w:rsidRDefault="00330FC0">
              <w:pPr>
                <w:spacing w:line="360" w:lineRule="exact"/>
                <w:ind w:firstLineChars="200" w:firstLine="420"/>
                <w:jc w:val="both"/>
                <w:rPr>
                  <w:rFonts w:ascii="宋体" w:hAnsi="宋体" w:hint="eastAsia"/>
                </w:rPr>
              </w:pPr>
              <w:r>
                <w:rPr>
                  <w:rFonts w:ascii="宋体" w:hAnsi="宋体" w:hint="eastAsia"/>
                </w:rPr>
                <w:t>4）综合解决方案提供者以战略竞争为主</w:t>
              </w:r>
            </w:p>
            <w:p w14:paraId="200D32B6" w14:textId="77777777" w:rsidR="00577D08" w:rsidRDefault="00330FC0">
              <w:pPr>
                <w:spacing w:line="360" w:lineRule="exact"/>
                <w:ind w:firstLineChars="200" w:firstLine="420"/>
                <w:jc w:val="both"/>
                <w:rPr>
                  <w:rFonts w:ascii="宋体" w:hAnsi="宋体" w:hint="eastAsia"/>
                </w:rPr>
              </w:pPr>
              <w:r>
                <w:rPr>
                  <w:rFonts w:ascii="宋体" w:hAnsi="宋体" w:hint="eastAsia"/>
                </w:rPr>
                <w:t>具备全产业链整合能力的企业，主要通过提供“材料—装备—服务—运营”的综合服务模式，深度绑定客户，实现价值链延伸，行业正从“设备供应商”向“系统解决方案商”转型。</w:t>
              </w:r>
            </w:p>
            <w:p w14:paraId="355F2278"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（3）国内外竞争力量对比</w:t>
              </w:r>
            </w:p>
            <w:p w14:paraId="1DBA31D5" w14:textId="77777777" w:rsidR="00577D08" w:rsidRDefault="00330FC0">
              <w:pPr>
                <w:spacing w:line="360" w:lineRule="exact"/>
                <w:ind w:firstLineChars="200" w:firstLine="420"/>
                <w:jc w:val="both"/>
                <w:rPr>
                  <w:rFonts w:ascii="宋体" w:hAnsi="宋体" w:hint="eastAsia"/>
                </w:rPr>
              </w:pPr>
              <w:r>
                <w:rPr>
                  <w:rFonts w:ascii="宋体" w:hAnsi="宋体" w:hint="eastAsia"/>
                </w:rPr>
                <w:lastRenderedPageBreak/>
                <w:t>1）外资企业在华竞争格局演变</w:t>
              </w:r>
            </w:p>
            <w:p w14:paraId="0B1682DC" w14:textId="77777777" w:rsidR="00577D08" w:rsidRDefault="00330FC0">
              <w:pPr>
                <w:spacing w:line="360" w:lineRule="exact"/>
                <w:ind w:firstLineChars="200" w:firstLine="420"/>
                <w:jc w:val="both"/>
                <w:rPr>
                  <w:rFonts w:ascii="宋体" w:hAnsi="宋体" w:hint="eastAsia"/>
                </w:rPr>
              </w:pPr>
              <w:r>
                <w:rPr>
                  <w:rFonts w:ascii="宋体" w:hAnsi="宋体" w:hint="eastAsia"/>
                </w:rPr>
                <w:t>以ABB、西门子、施耐德电气、三菱电机为代表的外资企业，曾长期主导中国高端输配电设备市场。但随着本土企业技术实力提升，外资市场份额受到明显挤压，尤其是在智能变电站、数字化配电系统等领域，中国企业已具备与国际先进企业同台竞争的能力。目前外资企业主要集中于高端市场和技术壁垒较高的细分领域。</w:t>
              </w:r>
            </w:p>
            <w:p w14:paraId="79A6FA86" w14:textId="77777777" w:rsidR="00577D08" w:rsidRDefault="00330FC0">
              <w:pPr>
                <w:spacing w:line="360" w:lineRule="exact"/>
                <w:ind w:firstLineChars="200" w:firstLine="420"/>
                <w:jc w:val="both"/>
                <w:rPr>
                  <w:rFonts w:ascii="宋体" w:hAnsi="宋体" w:hint="eastAsia"/>
                </w:rPr>
              </w:pPr>
              <w:r>
                <w:rPr>
                  <w:rFonts w:ascii="宋体" w:hAnsi="宋体" w:hint="eastAsia"/>
                </w:rPr>
                <w:t>2）本土龙头企业竞争地位持续强化</w:t>
              </w:r>
            </w:p>
            <w:p w14:paraId="15E5E742" w14:textId="77777777" w:rsidR="00577D08" w:rsidRDefault="00330FC0">
              <w:pPr>
                <w:spacing w:line="360" w:lineRule="exact"/>
                <w:ind w:firstLineChars="200" w:firstLine="420"/>
                <w:jc w:val="both"/>
                <w:rPr>
                  <w:rFonts w:ascii="宋体" w:hAnsi="宋体" w:hint="eastAsia"/>
                </w:rPr>
              </w:pPr>
              <w:r>
                <w:rPr>
                  <w:rFonts w:ascii="宋体" w:hAnsi="宋体" w:hint="eastAsia"/>
                </w:rPr>
                <w:t>特变电工、国电南瑞、中国西电、许继电气等本土龙头企业已在特高压、智能电网等领域确立领先优势。</w:t>
              </w:r>
            </w:p>
            <w:p w14:paraId="2FE59D21"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（4）</w:t>
              </w:r>
              <w:r>
                <w:rPr>
                  <w:rFonts w:ascii="宋体" w:hAnsi="宋体"/>
                  <w:b/>
                </w:rPr>
                <w:t>政策红利持续释放，行业稳增长目标明确</w:t>
              </w:r>
            </w:p>
            <w:p w14:paraId="16C9BFC6" w14:textId="77777777" w:rsidR="00577D08" w:rsidRDefault="00330FC0">
              <w:pPr>
                <w:spacing w:line="360" w:lineRule="exact"/>
                <w:ind w:firstLineChars="200" w:firstLine="420"/>
                <w:jc w:val="both"/>
                <w:rPr>
                  <w:rFonts w:ascii="宋体" w:hAnsi="宋体" w:hint="eastAsia"/>
                </w:rPr>
              </w:pPr>
              <w:r>
                <w:rPr>
                  <w:rFonts w:ascii="宋体" w:hAnsi="宋体"/>
                </w:rPr>
                <w:t>2025年9月，工信部、市场监管总局、国家能源局联合印发《电力装备行业稳增长工作方案（2025—2026年）》，明确提出到2026年，传统电力装备年均营收增速保持6%左右，龙头企业年均营收增速10%左右。依托大型风电光伏基地、海上风电基地、智能电网、抽水蓄能电站等能源领域重大工程建设，电力装备国内需求将保持稳定增长。</w:t>
              </w:r>
            </w:p>
            <w:p w14:paraId="54CEDF07"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（5）</w:t>
              </w:r>
              <w:r>
                <w:rPr>
                  <w:rFonts w:ascii="宋体" w:hAnsi="宋体"/>
                  <w:b/>
                </w:rPr>
                <w:t>高端化、智能化、绿色化转型加速</w:t>
              </w:r>
            </w:p>
            <w:p w14:paraId="1F4EF00E" w14:textId="77777777" w:rsidR="00577D08" w:rsidRDefault="00330FC0">
              <w:pPr>
                <w:spacing w:line="360" w:lineRule="exact"/>
                <w:ind w:firstLineChars="200" w:firstLine="420"/>
                <w:jc w:val="both"/>
                <w:rPr>
                  <w:rFonts w:ascii="宋体" w:hAnsi="宋体" w:hint="eastAsia"/>
                </w:rPr>
              </w:pPr>
              <w:r>
                <w:rPr>
                  <w:rFonts w:ascii="宋体" w:hAnsi="宋体" w:hint="eastAsia"/>
                </w:rPr>
                <w:t>随着“双碳”战略深入推进，输配电设备正加速向高端化、智能化、绿色化方向演进。一方面，高电压等级、大容量、低损耗产品需求持续增长，低效高耗能产品加速出清；另一方面，规模以上电力装备企业在研发设计、生产制造、运维服务等环节将迎来深度数智化改造。智能电网建设加速推进，智能输配电市场需求将持续稳定增长，特高压交直流输电成套装备技术体系不断完善。</w:t>
              </w:r>
            </w:p>
            <w:p w14:paraId="325BFAC4"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（6）</w:t>
              </w:r>
              <w:r>
                <w:rPr>
                  <w:rFonts w:ascii="宋体" w:hAnsi="宋体"/>
                  <w:b/>
                </w:rPr>
                <w:t>下游需求结构性增长，新兴赛道持续扩容</w:t>
              </w:r>
            </w:p>
            <w:p w14:paraId="0DAFF517" w14:textId="77777777" w:rsidR="00577D08" w:rsidRDefault="00330FC0">
              <w:pPr>
                <w:spacing w:line="360" w:lineRule="exact"/>
                <w:ind w:firstLineChars="200" w:firstLine="420"/>
                <w:jc w:val="both"/>
                <w:rPr>
                  <w:rFonts w:ascii="宋体" w:hAnsi="宋体" w:hint="eastAsia"/>
                </w:rPr>
              </w:pPr>
              <w:r>
                <w:rPr>
                  <w:rFonts w:ascii="宋体" w:hAnsi="宋体" w:hint="eastAsia"/>
                </w:rPr>
                <w:t>新能源发电（风电、光伏）大规模并网带动升压变压器、箱式变电站等设备需求激增；</w:t>
              </w:r>
              <w:r>
                <w:rPr>
                  <w:rFonts w:ascii="宋体" w:hAnsi="宋体"/>
                </w:rPr>
                <w:t>AI算力中心建设对输配电设备的稳定性和能效提出更高要求，成为新的需求增长点；轨道交通领域的持续投资亦为铁路牵引变压器等专用设备提供稳定市场空间。</w:t>
              </w:r>
            </w:p>
            <w:p w14:paraId="325A3C90"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（7）</w:t>
              </w:r>
              <w:r>
                <w:rPr>
                  <w:rFonts w:ascii="宋体" w:hAnsi="宋体"/>
                  <w:b/>
                </w:rPr>
                <w:t>国际化布局加速，出海空间广阔</w:t>
              </w:r>
            </w:p>
            <w:p w14:paraId="4AD2258C" w14:textId="77777777" w:rsidR="00577D08" w:rsidRDefault="00330FC0">
              <w:pPr>
                <w:spacing w:line="360" w:lineRule="exact"/>
                <w:ind w:firstLineChars="200" w:firstLine="420"/>
                <w:jc w:val="both"/>
                <w:rPr>
                  <w:rFonts w:ascii="宋体" w:hAnsi="宋体" w:hint="eastAsia"/>
                </w:rPr>
              </w:pPr>
              <w:r>
                <w:rPr>
                  <w:rFonts w:ascii="宋体" w:hAnsi="宋体" w:hint="eastAsia"/>
                </w:rPr>
                <w:t>在“一带一路”倡议推动下，具备技术实力的龙头企业正加速出海。深化与新兴市场国家在风电、光伏、储能等领域全产业链合作，拓宽电力装备海外市场渠道，成为行业重要增长方向。</w:t>
              </w:r>
            </w:p>
            <w:p w14:paraId="7AF73F67" w14:textId="77777777" w:rsidR="00577D08" w:rsidRDefault="00330FC0">
              <w:pPr>
                <w:spacing w:line="360" w:lineRule="exact"/>
                <w:ind w:firstLineChars="200" w:firstLine="422"/>
                <w:jc w:val="both"/>
                <w:outlineLvl w:val="3"/>
                <w:rPr>
                  <w:rFonts w:ascii="宋体" w:hAnsi="宋体" w:hint="eastAsia"/>
                  <w:b/>
                </w:rPr>
              </w:pPr>
              <w:r>
                <w:rPr>
                  <w:rFonts w:ascii="宋体" w:hAnsi="宋体" w:hint="eastAsia"/>
                  <w:b/>
                </w:rPr>
                <w:t>2、取向硅钢行业</w:t>
              </w:r>
            </w:p>
            <w:p w14:paraId="7A48408F" w14:textId="77777777" w:rsidR="00577D08" w:rsidRDefault="00330FC0">
              <w:pPr>
                <w:spacing w:line="360" w:lineRule="exact"/>
                <w:ind w:firstLineChars="200" w:firstLine="420"/>
                <w:jc w:val="both"/>
                <w:rPr>
                  <w:rFonts w:ascii="宋体" w:hAnsi="宋体" w:hint="eastAsia"/>
                </w:rPr>
              </w:pPr>
              <w:r>
                <w:rPr>
                  <w:rFonts w:ascii="宋体" w:hAnsi="宋体"/>
                </w:rPr>
                <w:t>取向硅钢作为电力变压器核心功能材料，技术壁垒与资金壁垒较高，行业呈现“龙头引领、多极共生”的竞争格局。头部企业凭借深厚的技术积淀和规模化优势主导高端市场，而众多特色企业则通过差异化定位、专业化深耕和产业链协同，在细分领域构建起独特竞争力，形成了大中小企业错位发展、互补共生的行业生态。</w:t>
              </w:r>
            </w:p>
            <w:p w14:paraId="40E1AEC0"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（1）</w:t>
              </w:r>
              <w:r>
                <w:rPr>
                  <w:rFonts w:ascii="宋体" w:hAnsi="宋体"/>
                  <w:b/>
                </w:rPr>
                <w:t>技术梯度分层，多元主体各展所长</w:t>
              </w:r>
            </w:p>
            <w:p w14:paraId="2CF9DEE2" w14:textId="77777777" w:rsidR="00577D08" w:rsidRDefault="00330FC0">
              <w:pPr>
                <w:spacing w:line="360" w:lineRule="exact"/>
                <w:ind w:firstLineChars="200" w:firstLine="420"/>
                <w:jc w:val="both"/>
                <w:rPr>
                  <w:rFonts w:ascii="宋体" w:hAnsi="宋体" w:hint="eastAsia"/>
                </w:rPr>
              </w:pPr>
              <w:r>
                <w:rPr>
                  <w:rFonts w:ascii="宋体" w:hAnsi="宋体"/>
                </w:rPr>
                <w:t>取向硅钢行业的技术壁垒决定了其天然的分层结构。处于技术塔尖的企业掌握着高磁感取向硅钢（HiB）的核心工艺，在特高压、核电等超高端领域占据主导地位。与此同时，一批具备技术积累和工艺特色的企业，正通过持续创新在中高端市场开疆拓土。部分企业专注薄规格产品研发，满足新能源汽车、高效电机等新兴领域需求；部分企业在特定牌号或规格上形成独特优势，以差异化产品赢得细分市场份额；还有企业通过上下游一体化布局，构建起从原材料到终端应用的完整产业链，以协同优势参与市场竞争。</w:t>
              </w:r>
            </w:p>
            <w:p w14:paraId="08E8437F"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lastRenderedPageBreak/>
                <w:t>（2）专业化分工细化，细分赛道竞相发展</w:t>
              </w:r>
            </w:p>
            <w:p w14:paraId="517205E0" w14:textId="77777777" w:rsidR="00577D08" w:rsidRDefault="00330FC0">
              <w:pPr>
                <w:spacing w:line="360" w:lineRule="exact"/>
                <w:ind w:firstLineChars="200" w:firstLine="420"/>
                <w:jc w:val="both"/>
                <w:rPr>
                  <w:rFonts w:ascii="宋体" w:hAnsi="宋体" w:hint="eastAsia"/>
                </w:rPr>
              </w:pPr>
              <w:r>
                <w:rPr>
                  <w:rFonts w:ascii="宋体" w:hAnsi="宋体" w:hint="eastAsia"/>
                </w:rPr>
                <w:t>在龙头企业的辐射带动下，取向硅钢行业形成了丰富多样的专业化分工格局：</w:t>
              </w:r>
            </w:p>
            <w:p w14:paraId="1E5838B2" w14:textId="77777777" w:rsidR="00577D08" w:rsidRDefault="00330FC0">
              <w:pPr>
                <w:spacing w:line="360" w:lineRule="exact"/>
                <w:ind w:firstLineChars="200" w:firstLine="420"/>
                <w:jc w:val="both"/>
                <w:rPr>
                  <w:rFonts w:ascii="宋体" w:hAnsi="宋体" w:hint="eastAsia"/>
                </w:rPr>
              </w:pPr>
              <w:r>
                <w:rPr>
                  <w:rFonts w:ascii="宋体" w:hAnsi="宋体" w:hint="eastAsia"/>
                </w:rPr>
                <w:t>薄规格产品领域：部分企业专注于0.23mm及以下极薄规格取向硅钢的研发生产，满足高频变压器、新能源汽车驱动电机等高端应用需求。这一领域技术难度大、附加值高，成为具备研发实力的企业差异化竞争的重要赛道。</w:t>
              </w:r>
            </w:p>
            <w:p w14:paraId="3983C1BB" w14:textId="77777777" w:rsidR="00577D08" w:rsidRDefault="00330FC0">
              <w:pPr>
                <w:spacing w:line="360" w:lineRule="exact"/>
                <w:ind w:firstLineChars="200" w:firstLine="420"/>
                <w:jc w:val="both"/>
                <w:rPr>
                  <w:rFonts w:ascii="宋体" w:hAnsi="宋体" w:hint="eastAsia"/>
                </w:rPr>
              </w:pPr>
              <w:r>
                <w:rPr>
                  <w:rFonts w:ascii="宋体" w:hAnsi="宋体" w:hint="eastAsia"/>
                </w:rPr>
                <w:t>特殊应用领域：针对轨道交通、矿山机械、船舶电力等特殊工况场景，部分企业开发出具备特定性能指标的专用取向硅钢产品，以定制化服务构建竞争壁垒。</w:t>
              </w:r>
            </w:p>
            <w:p w14:paraId="0EABFE33" w14:textId="77777777" w:rsidR="00577D08" w:rsidRDefault="00330FC0">
              <w:pPr>
                <w:spacing w:line="360" w:lineRule="exact"/>
                <w:ind w:firstLineChars="200" w:firstLine="420"/>
                <w:jc w:val="both"/>
                <w:rPr>
                  <w:rFonts w:ascii="宋体" w:hAnsi="宋体" w:hint="eastAsia"/>
                </w:rPr>
              </w:pPr>
              <w:r>
                <w:rPr>
                  <w:rFonts w:ascii="宋体" w:hAnsi="宋体" w:hint="eastAsia"/>
                </w:rPr>
                <w:t>加工配送服务领域：围绕龙头企业形成一批专业化的剪切加工、仓储配送企业，通过精细化服务提升产业链运行效率，成为产业生态中不可或缺的组成部分。</w:t>
              </w:r>
            </w:p>
            <w:p w14:paraId="7743A724"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（3）区域产业集群，协作共赢成常态</w:t>
              </w:r>
            </w:p>
            <w:p w14:paraId="79700E41" w14:textId="77777777" w:rsidR="00577D08" w:rsidRDefault="00330FC0">
              <w:pPr>
                <w:spacing w:line="360" w:lineRule="exact"/>
                <w:ind w:firstLineChars="200" w:firstLine="420"/>
                <w:jc w:val="both"/>
                <w:rPr>
                  <w:rFonts w:ascii="宋体" w:hAnsi="宋体" w:hint="eastAsia"/>
                </w:rPr>
              </w:pPr>
              <w:r>
                <w:rPr>
                  <w:rFonts w:ascii="宋体" w:hAnsi="宋体" w:hint="eastAsia"/>
                </w:rPr>
                <w:t>取向硅钢产业呈现出明显的区域集聚特征，形成了若干特色鲜明的产业集群。在产业集群内部，龙头企业与中小企业之间形成紧密的协作关系：龙头企业输出技术和标准，中小企业承担配套加工和特定环节生产；龙头企业专注高端市场，中小企业深耕细分领域；龙头企业开拓国际市场，中小企业依托其平台实现间接出海。这种集群化发展模式，既提升了整个产业链的运行效率，也为中小企业提供了生存和发展空间。</w:t>
              </w:r>
            </w:p>
            <w:p w14:paraId="5ADFCF52"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（4）上下游协同深化，产业链融合加速</w:t>
              </w:r>
            </w:p>
            <w:p w14:paraId="5721526E" w14:textId="77777777" w:rsidR="00577D08" w:rsidRDefault="00330FC0">
              <w:pPr>
                <w:spacing w:line="360" w:lineRule="exact"/>
                <w:ind w:firstLineChars="200" w:firstLine="420"/>
                <w:jc w:val="both"/>
                <w:rPr>
                  <w:rFonts w:ascii="宋体" w:hAnsi="宋体" w:hint="eastAsia"/>
                </w:rPr>
              </w:pPr>
              <w:r>
                <w:rPr>
                  <w:rFonts w:ascii="宋体" w:hAnsi="宋体" w:hint="eastAsia"/>
                </w:rPr>
                <w:t>取向硅钢行业正经历从单一材料生产向产业链协同的深刻转变。一方面，部分取向硅钢生产企业向下游延伸，进入变压器铁心制造乃至输配电设备领域，以材料优势构筑终端竞争力；另一方面，下游输配电设备企业向上游拓展，通过战略合作、技术联盟乃至股权投资等方式，与取向硅钢企业建立深度绑定关系。这种双向融合趋势，催生出多种形式的产业协作模式，形成了更为紧密的产业链共生关系。</w:t>
              </w:r>
            </w:p>
            <w:p w14:paraId="34643767"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（5）新兴力量不断涌现，行业活力持续增强</w:t>
              </w:r>
            </w:p>
            <w:p w14:paraId="03AE4469" w14:textId="77777777" w:rsidR="00577D08" w:rsidRDefault="00330FC0">
              <w:pPr>
                <w:spacing w:line="360" w:lineRule="exact"/>
                <w:ind w:firstLineChars="200" w:firstLine="420"/>
                <w:jc w:val="both"/>
                <w:rPr>
                  <w:rFonts w:ascii="宋体" w:hAnsi="宋体" w:hint="eastAsia"/>
                </w:rPr>
              </w:pPr>
              <w:r>
                <w:rPr>
                  <w:rFonts w:ascii="宋体" w:hAnsi="宋体" w:hint="eastAsia"/>
                </w:rPr>
                <w:t>随着新能源、电动汽车等新兴产业的快速发展，对取向硅钢提出了新的性能要求，也为具备创新能力的后发企业提供了弯道超车的机会。一批专注于新能源汽车驱动电机用薄规格取向硅钢、高频变压器用超薄取向硅钢等新兴领域的企业快速成长，成为行业发展的新动能。这些新兴力量与既有企业形成互补，共同拓展着取向硅钢的应用边界。</w:t>
              </w:r>
            </w:p>
            <w:p w14:paraId="4F832964" w14:textId="77777777" w:rsidR="00577D08" w:rsidRDefault="00330FC0">
              <w:pPr>
                <w:spacing w:line="360" w:lineRule="exact"/>
                <w:ind w:firstLineChars="200" w:firstLine="420"/>
                <w:jc w:val="both"/>
                <w:rPr>
                  <w:rFonts w:ascii="宋体" w:hAnsi="宋体" w:hint="eastAsia"/>
                </w:rPr>
              </w:pPr>
              <w:r>
                <w:rPr>
                  <w:rFonts w:ascii="宋体" w:hAnsi="宋体" w:hint="eastAsia"/>
                </w:rPr>
                <w:t>2025年，中国取向硅钢产量继续保持全球领先地位。其中，取向硅钢产量达到33</w:t>
              </w:r>
              <w:r>
                <w:rPr>
                  <w:rFonts w:ascii="宋体" w:hAnsi="宋体"/>
                </w:rPr>
                <w:t>7</w:t>
              </w:r>
              <w:r>
                <w:rPr>
                  <w:rFonts w:ascii="宋体" w:hAnsi="宋体" w:hint="eastAsia"/>
                </w:rPr>
                <w:t>万吨，占全球比重进一步提升，同比2024年增加41万吨，增幅14%，维持平稳增长。</w:t>
              </w:r>
            </w:p>
            <w:p w14:paraId="75D7B279" w14:textId="77777777" w:rsidR="00577D08" w:rsidRDefault="00330FC0">
              <w:pPr>
                <w:spacing w:line="360" w:lineRule="exact"/>
                <w:ind w:firstLineChars="200" w:firstLine="422"/>
                <w:jc w:val="both"/>
                <w:outlineLvl w:val="3"/>
                <w:rPr>
                  <w:rFonts w:ascii="宋体" w:hAnsi="宋体" w:hint="eastAsia"/>
                  <w:b/>
                </w:rPr>
              </w:pPr>
              <w:r>
                <w:rPr>
                  <w:rFonts w:ascii="宋体" w:hAnsi="宋体" w:hint="eastAsia"/>
                  <w:b/>
                </w:rPr>
                <w:t>3、电动汽车充电业务行业</w:t>
              </w:r>
            </w:p>
            <w:p w14:paraId="6EE6C14B" w14:textId="77777777" w:rsidR="00577D08" w:rsidRDefault="00330FC0">
              <w:pPr>
                <w:spacing w:line="360" w:lineRule="exact"/>
                <w:ind w:firstLineChars="200" w:firstLine="420"/>
                <w:jc w:val="both"/>
                <w:rPr>
                  <w:rFonts w:ascii="宋体" w:hAnsi="宋体" w:hint="eastAsia"/>
                </w:rPr>
              </w:pPr>
              <w:r>
                <w:rPr>
                  <w:rFonts w:ascii="宋体" w:hAnsi="宋体"/>
                </w:rPr>
                <w:t>电动汽车充电基础设施，涵盖充电桩、换电站及其配套的供电、监控、通信系统。作为连接电网与电动汽车的桥梁，充电基础设施不仅是新能源汽车产业发展的关键支撑，更是新型电力系统的重要组成部分，在推动能源转型、交通电气化和绿色低碳发展中承担着重要使命</w:t>
              </w:r>
              <w:r>
                <w:rPr>
                  <w:rFonts w:ascii="宋体" w:hAnsi="宋体" w:hint="eastAsia"/>
                </w:rPr>
                <w:t>。</w:t>
              </w:r>
            </w:p>
            <w:p w14:paraId="25924578" w14:textId="77777777" w:rsidR="00577D08" w:rsidRDefault="00330FC0">
              <w:pPr>
                <w:spacing w:line="360" w:lineRule="exact"/>
                <w:ind w:firstLineChars="200" w:firstLine="420"/>
                <w:jc w:val="both"/>
                <w:rPr>
                  <w:rFonts w:ascii="宋体" w:hAnsi="宋体" w:hint="eastAsia"/>
                </w:rPr>
              </w:pPr>
              <w:r>
                <w:rPr>
                  <w:rFonts w:ascii="宋体" w:hAnsi="宋体"/>
                </w:rPr>
                <w:t>重卡充电站运营行业，</w:t>
              </w:r>
              <w:r>
                <w:rPr>
                  <w:rFonts w:ascii="宋体" w:hAnsi="宋体" w:hint="eastAsia"/>
                </w:rPr>
                <w:t>是</w:t>
              </w:r>
              <w:r>
                <w:rPr>
                  <w:rFonts w:ascii="宋体" w:hAnsi="宋体"/>
                </w:rPr>
                <w:t>围绕电动重卡（新能源重型卡车）提供充电补能服务的专业化细分领域，涵盖充电设施建设、运营管理、电力交易及增值服务等环节。作为交通领域“双碳”目标落地的重要支撑，重卡充电站正从传统充电基础设施中脱颖而出，成为最具增长潜力的细分赛道。</w:t>
              </w:r>
            </w:p>
            <w:p w14:paraId="777FE3BB"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（1）行业发展从试点示范向规模化爆发</w:t>
              </w:r>
            </w:p>
            <w:p w14:paraId="005086A8" w14:textId="77777777" w:rsidR="00577D08" w:rsidRDefault="00330FC0">
              <w:pPr>
                <w:spacing w:line="360" w:lineRule="exact"/>
                <w:ind w:firstLineChars="200" w:firstLine="420"/>
                <w:jc w:val="both"/>
                <w:rPr>
                  <w:rFonts w:ascii="宋体" w:hAnsi="宋体" w:hint="eastAsia"/>
                </w:rPr>
              </w:pPr>
              <w:r>
                <w:rPr>
                  <w:rFonts w:ascii="宋体" w:hAnsi="宋体" w:hint="eastAsia"/>
                </w:rPr>
                <w:t>重卡充电站行业正处于快速成长期，与乘用车充电市场“红海竞争”形成鲜明对比，未来2～3年重卡充电站将成为行业主要增长方向。</w:t>
              </w:r>
            </w:p>
            <w:p w14:paraId="2C4A891D" w14:textId="77777777" w:rsidR="00577D08" w:rsidRDefault="00330FC0">
              <w:pPr>
                <w:spacing w:line="360" w:lineRule="exact"/>
                <w:ind w:firstLineChars="200" w:firstLine="420"/>
                <w:jc w:val="both"/>
                <w:rPr>
                  <w:rFonts w:ascii="宋体" w:hAnsi="宋体" w:hint="eastAsia"/>
                </w:rPr>
              </w:pPr>
              <w:r>
                <w:rPr>
                  <w:rFonts w:ascii="宋体" w:hAnsi="宋体" w:hint="eastAsia"/>
                </w:rPr>
                <w:lastRenderedPageBreak/>
                <w:t>1）电动重卡渗透率快速提升，但仍有巨大空间</w:t>
              </w:r>
            </w:p>
            <w:p w14:paraId="427AEC36" w14:textId="77777777" w:rsidR="00577D08" w:rsidRDefault="00330FC0">
              <w:pPr>
                <w:spacing w:line="360" w:lineRule="exact"/>
                <w:ind w:firstLineChars="200" w:firstLine="420"/>
                <w:jc w:val="both"/>
                <w:rPr>
                  <w:rFonts w:ascii="宋体" w:hAnsi="宋体" w:hint="eastAsia"/>
                </w:rPr>
              </w:pPr>
              <w:r>
                <w:rPr>
                  <w:rFonts w:ascii="宋体" w:hAnsi="宋体" w:hint="eastAsia"/>
                </w:rPr>
                <w:t>2025年重卡油改电速度明显加快，但整体电动化占比仍不足30%，未来发展空间广阔。随着动力电池成本持续下降，重卡电动化的经济性优势不断凸显，尤其是在油价高企、电价相对稳定的背景下，电动重卡全生命周期成本优势显著。</w:t>
              </w:r>
            </w:p>
            <w:p w14:paraId="00C4B135" w14:textId="77777777" w:rsidR="00577D08" w:rsidRDefault="00330FC0">
              <w:pPr>
                <w:spacing w:line="360" w:lineRule="exact"/>
                <w:ind w:firstLineChars="200" w:firstLine="420"/>
                <w:jc w:val="both"/>
                <w:rPr>
                  <w:rFonts w:ascii="宋体" w:hAnsi="宋体" w:hint="eastAsia"/>
                </w:rPr>
              </w:pPr>
              <w:r>
                <w:rPr>
                  <w:rFonts w:ascii="宋体" w:hAnsi="宋体" w:hint="eastAsia"/>
                </w:rPr>
                <w:t>2）应用场景从封闭场景向干线物流延伸</w:t>
              </w:r>
            </w:p>
            <w:p w14:paraId="14CEECB6" w14:textId="77777777" w:rsidR="00577D08" w:rsidRDefault="00330FC0">
              <w:pPr>
                <w:spacing w:line="360" w:lineRule="exact"/>
                <w:ind w:firstLineChars="200" w:firstLine="420"/>
                <w:jc w:val="both"/>
                <w:rPr>
                  <w:rFonts w:ascii="宋体" w:hAnsi="宋体" w:hint="eastAsia"/>
                </w:rPr>
              </w:pPr>
              <w:r>
                <w:rPr>
                  <w:rFonts w:ascii="宋体" w:hAnsi="宋体" w:hint="eastAsia"/>
                </w:rPr>
                <w:t>电动重卡正从矿区、港口、钢厂等封闭的“短倒”场景，加速向跨区域的“干线物流”场景拓展。这一转变对充电设施的功率等级、网络密度和运营可靠性提出了更高要求，也意味着重卡充电站将从“点状布局”走向“线状成网”。</w:t>
              </w:r>
            </w:p>
            <w:p w14:paraId="615BCD45" w14:textId="77777777" w:rsidR="00577D08" w:rsidRDefault="00330FC0">
              <w:pPr>
                <w:spacing w:line="360" w:lineRule="exact"/>
                <w:ind w:firstLineChars="200" w:firstLine="420"/>
                <w:jc w:val="both"/>
                <w:rPr>
                  <w:rFonts w:ascii="宋体" w:hAnsi="宋体" w:hint="eastAsia"/>
                </w:rPr>
              </w:pPr>
              <w:r>
                <w:rPr>
                  <w:rFonts w:ascii="宋体" w:hAnsi="宋体" w:hint="eastAsia"/>
                </w:rPr>
                <w:t>3）资本关注度持续升温，投资热度高涨</w:t>
              </w:r>
            </w:p>
            <w:p w14:paraId="19DEBC87" w14:textId="77777777" w:rsidR="00577D08" w:rsidRDefault="00330FC0">
              <w:pPr>
                <w:spacing w:line="360" w:lineRule="exact"/>
                <w:ind w:firstLineChars="200" w:firstLine="420"/>
                <w:jc w:val="both"/>
                <w:rPr>
                  <w:rFonts w:ascii="宋体" w:hAnsi="宋体" w:hint="eastAsia"/>
                </w:rPr>
              </w:pPr>
              <w:r>
                <w:rPr>
                  <w:rFonts w:ascii="宋体" w:hAnsi="宋体" w:hint="eastAsia"/>
                </w:rPr>
                <w:t>在乘用车充电市场竞争白热化、回本周期拉长至七八年甚至十年的背景下，重卡充电站因其较高的盈利预期成为资本新宠。具备场景资源、电力配套、资金实力的企业正加速布局这一蓝海市场。</w:t>
              </w:r>
            </w:p>
            <w:p w14:paraId="10F34AC8" w14:textId="77777777" w:rsidR="00577D08" w:rsidRDefault="00330FC0">
              <w:pPr>
                <w:spacing w:line="360" w:lineRule="exact"/>
                <w:ind w:firstLineChars="200" w:firstLine="422"/>
                <w:jc w:val="both"/>
                <w:outlineLvl w:val="4"/>
                <w:rPr>
                  <w:rFonts w:ascii="宋体" w:hAnsi="宋体" w:hint="eastAsia"/>
                  <w:b/>
                </w:rPr>
              </w:pPr>
              <w:r>
                <w:rPr>
                  <w:rFonts w:ascii="宋体" w:hAnsi="宋体" w:hint="eastAsia"/>
                  <w:b/>
                </w:rPr>
                <w:t>（2）重卡充电站运营行业发展趋势</w:t>
              </w:r>
            </w:p>
            <w:p w14:paraId="608895EC" w14:textId="77777777" w:rsidR="00577D08" w:rsidRDefault="00330FC0">
              <w:pPr>
                <w:spacing w:line="360" w:lineRule="exact"/>
                <w:ind w:firstLineChars="200" w:firstLine="420"/>
                <w:jc w:val="both"/>
                <w:rPr>
                  <w:rFonts w:ascii="宋体" w:hAnsi="宋体" w:hint="eastAsia"/>
                </w:rPr>
              </w:pPr>
              <w:r>
                <w:rPr>
                  <w:rFonts w:ascii="宋体" w:hAnsi="宋体" w:hint="eastAsia"/>
                </w:rPr>
                <w:t>1）全电物流时代加速到来</w:t>
              </w:r>
            </w:p>
            <w:p w14:paraId="72EC7292" w14:textId="77777777" w:rsidR="00577D08" w:rsidRDefault="00330FC0">
              <w:pPr>
                <w:spacing w:line="360" w:lineRule="exact"/>
                <w:ind w:firstLineChars="200" w:firstLine="420"/>
                <w:jc w:val="both"/>
                <w:rPr>
                  <w:rFonts w:ascii="宋体" w:hAnsi="宋体" w:hint="eastAsia"/>
                </w:rPr>
              </w:pPr>
              <w:r>
                <w:rPr>
                  <w:rFonts w:ascii="宋体" w:hAnsi="宋体" w:hint="eastAsia"/>
                </w:rPr>
                <w:t>华为《2026充电网络产业十大趋势》明确指出，“重卡‘以电替油’可实现商业闭环，将从封闭场景快速走向全场景。动力电池成本下降与兆瓦超充技术革新，让物流兆瓦化势不可挡”。</w:t>
              </w:r>
            </w:p>
            <w:p w14:paraId="73F44432" w14:textId="77777777" w:rsidR="00577D08" w:rsidRDefault="00330FC0">
              <w:pPr>
                <w:spacing w:line="360" w:lineRule="exact"/>
                <w:ind w:firstLineChars="200" w:firstLine="420"/>
                <w:jc w:val="both"/>
                <w:rPr>
                  <w:rFonts w:ascii="宋体" w:hAnsi="宋体" w:hint="eastAsia"/>
                </w:rPr>
              </w:pPr>
              <w:r>
                <w:rPr>
                  <w:rFonts w:ascii="宋体" w:hAnsi="宋体" w:hint="eastAsia"/>
                </w:rPr>
                <w:t>随着兆瓦级超充技术成熟，重卡充电功率将从当前的320-480kW向1MW以上跃升，大幅缩短补能时间。华为中国数字能源业务总裁孟少云判断，“重卡超充赛道已爆发，未来将形成‘全国一张网’的产业生态。大功率超充站不仅是补能设施，更将成为物流干线的‘能量高地’和‘价值高地’”。</w:t>
              </w:r>
            </w:p>
            <w:p w14:paraId="7CE9276C" w14:textId="77777777" w:rsidR="00577D08" w:rsidRDefault="00330FC0">
              <w:pPr>
                <w:spacing w:line="360" w:lineRule="exact"/>
                <w:ind w:firstLineChars="200" w:firstLine="420"/>
                <w:jc w:val="both"/>
                <w:rPr>
                  <w:rFonts w:ascii="宋体" w:hAnsi="宋体" w:hint="eastAsia"/>
                </w:rPr>
              </w:pPr>
              <w:r>
                <w:rPr>
                  <w:rFonts w:ascii="宋体" w:hAnsi="宋体" w:hint="eastAsia"/>
                </w:rPr>
                <w:t>2）百兆瓦场站成为高运力场景的标配</w:t>
              </w:r>
            </w:p>
            <w:p w14:paraId="179A64C8" w14:textId="77777777" w:rsidR="00577D08" w:rsidRDefault="00330FC0">
              <w:pPr>
                <w:spacing w:line="360" w:lineRule="exact"/>
                <w:ind w:firstLineChars="200" w:firstLine="420"/>
                <w:jc w:val="both"/>
                <w:rPr>
                  <w:rFonts w:ascii="宋体" w:hAnsi="宋体" w:hint="eastAsia"/>
                </w:rPr>
              </w:pPr>
              <w:r>
                <w:rPr>
                  <w:rFonts w:ascii="宋体" w:hAnsi="宋体" w:hint="eastAsia"/>
                </w:rPr>
                <w:t>在全电物流趋势下，百兆瓦级场站将是高运力场景的标配。这类大型充电站通过技术壁垒、电价差额、规模优势在所处区域形成集聚效应，使建站投资具备长期回报。</w:t>
              </w:r>
            </w:p>
            <w:p w14:paraId="1918FA97" w14:textId="77777777" w:rsidR="00577D08" w:rsidRDefault="00330FC0">
              <w:pPr>
                <w:spacing w:line="360" w:lineRule="exact"/>
                <w:ind w:firstLineChars="200" w:firstLine="420"/>
                <w:jc w:val="both"/>
                <w:rPr>
                  <w:rFonts w:ascii="宋体" w:hAnsi="宋体" w:hint="eastAsia"/>
                </w:rPr>
              </w:pPr>
              <w:r>
                <w:rPr>
                  <w:rFonts w:ascii="宋体" w:hAnsi="宋体" w:hint="eastAsia"/>
                </w:rPr>
                <w:t>3）超充液冷技术升级驱动设备迭代</w:t>
              </w:r>
            </w:p>
            <w:p w14:paraId="6E523397" w14:textId="77777777" w:rsidR="00577D08" w:rsidRDefault="00330FC0">
              <w:pPr>
                <w:spacing w:line="360" w:lineRule="exact"/>
                <w:ind w:firstLineChars="200" w:firstLine="420"/>
                <w:jc w:val="both"/>
                <w:rPr>
                  <w:rFonts w:ascii="宋体" w:hAnsi="宋体" w:hint="eastAsia"/>
                </w:rPr>
              </w:pPr>
              <w:r>
                <w:rPr>
                  <w:rFonts w:ascii="宋体" w:hAnsi="宋体" w:hint="eastAsia"/>
                </w:rPr>
                <w:t>传统风冷充电设备难以适应重卡充电高功率、高频次带来的散热需求，且无法在高温、高湿、高盐雾及粉尘环境下稳定运行。超充液冷化成为必然趋势。</w:t>
              </w:r>
            </w:p>
            <w:p w14:paraId="629225A9" w14:textId="77777777" w:rsidR="00577D08" w:rsidRDefault="00330FC0">
              <w:pPr>
                <w:spacing w:line="360" w:lineRule="exact"/>
                <w:ind w:firstLineChars="200" w:firstLine="420"/>
                <w:jc w:val="both"/>
                <w:rPr>
                  <w:rFonts w:ascii="宋体" w:hAnsi="宋体" w:hint="eastAsia"/>
                </w:rPr>
              </w:pPr>
              <w:r>
                <w:rPr>
                  <w:rFonts w:ascii="宋体" w:hAnsi="宋体" w:hint="eastAsia"/>
                </w:rPr>
                <w:t>全液冷技术未来将从充电桩侧走向车桩液冷融合，支撑兆瓦超充车型高效补能。据行业预测，2027年液冷充电桩占比将超过40%。华为等企业已推出全液冷超充解决方案，推动充电效率与设备可靠性同步提升。</w:t>
              </w:r>
            </w:p>
            <w:p w14:paraId="1BBB9D56" w14:textId="77777777" w:rsidR="00577D08" w:rsidRDefault="00330FC0">
              <w:pPr>
                <w:spacing w:line="360" w:lineRule="exact"/>
                <w:ind w:firstLineChars="200" w:firstLine="420"/>
                <w:jc w:val="both"/>
                <w:rPr>
                  <w:rFonts w:ascii="宋体" w:hAnsi="宋体" w:hint="eastAsia"/>
                </w:rPr>
              </w:pPr>
              <w:r>
                <w:rPr>
                  <w:rFonts w:ascii="宋体" w:hAnsi="宋体" w:hint="eastAsia"/>
                </w:rPr>
                <w:t>4）建站模块化降低投资门槛</w:t>
              </w:r>
            </w:p>
            <w:p w14:paraId="078FB706" w14:textId="77777777" w:rsidR="00577D08" w:rsidRDefault="00330FC0">
              <w:pPr>
                <w:spacing w:line="360" w:lineRule="exact"/>
                <w:ind w:firstLineChars="200" w:firstLine="420"/>
                <w:jc w:val="both"/>
                <w:rPr>
                  <w:rFonts w:ascii="宋体" w:hAnsi="宋体" w:hint="eastAsia"/>
                </w:rPr>
              </w:pPr>
              <w:r>
                <w:rPr>
                  <w:rFonts w:ascii="宋体" w:hAnsi="宋体" w:hint="eastAsia"/>
                </w:rPr>
                <w:t>整站模块化解决方案协同工程施工与设备调试，可灵活满足多样充电场景，实现低成本、易搬迁、开站快等多重优势。这种模块化建站模式降低了重卡充电站的投资门槛，有助于快速形成网络化布局。</w:t>
              </w:r>
            </w:p>
          </w:sdtContent>
        </w:sdt>
      </w:sdtContent>
    </w:sdt>
    <w:p w14:paraId="2F6D1F4C" w14:textId="77777777" w:rsidR="00577D08" w:rsidRDefault="00330FC0">
      <w:pPr>
        <w:pStyle w:val="3"/>
        <w:numPr>
          <w:ilvl w:val="3"/>
          <w:numId w:val="17"/>
        </w:numPr>
        <w:rPr>
          <w:rFonts w:ascii="宋体" w:hAnsi="宋体" w:cs="宋体" w:hint="eastAsia"/>
          <w:kern w:val="0"/>
          <w:szCs w:val="21"/>
        </w:rPr>
      </w:pPr>
      <w:bookmarkStart w:id="150" w:name="OLE_LINK99"/>
      <w:bookmarkStart w:id="151" w:name="OLE_LINK98"/>
      <w:r>
        <w:rPr>
          <w:rFonts w:ascii="宋体" w:hAnsi="宋体" w:cs="宋体"/>
          <w:kern w:val="0"/>
          <w:szCs w:val="21"/>
        </w:rPr>
        <w:t>公司发展战略</w:t>
      </w:r>
    </w:p>
    <w:sdt>
      <w:sdtPr>
        <w:rPr>
          <w:rFonts w:hint="eastAsia"/>
        </w:rPr>
        <w:alias w:val="是否适用：公司发展战略[双击切换]"/>
        <w:tag w:val="_GBC_5cdf4718a6044c1fbf76e22df729f9b7"/>
        <w:id w:val="-38287531"/>
        <w:placeholder>
          <w:docPart w:val="GBC22222222222222222222222222222"/>
        </w:placeholder>
      </w:sdtPr>
      <w:sdtContent>
        <w:p w14:paraId="08567058"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Start w:id="152" w:name="OLE_LINK52" w:displacedByCustomXml="next"/>
    <w:bookmarkStart w:id="153" w:name="OLE_LINK53" w:displacedByCustomXml="next"/>
    <w:sdt>
      <w:sdtPr>
        <w:rPr>
          <w:rFonts w:hint="eastAsia"/>
        </w:rPr>
        <w:alias w:val="公司发展战略"/>
        <w:tag w:val="_GBC_afe9ed534944441fae5223f90c2521f1"/>
        <w:id w:val="1559058058"/>
        <w:placeholder>
          <w:docPart w:val="GBC22222222222222222222222222222"/>
        </w:placeholder>
      </w:sdtPr>
      <w:sdtContent>
        <w:p w14:paraId="77208940" w14:textId="77777777" w:rsidR="00577D08" w:rsidRDefault="00330FC0">
          <w:pPr>
            <w:spacing w:line="360" w:lineRule="exact"/>
            <w:ind w:firstLineChars="200" w:firstLine="420"/>
            <w:jc w:val="both"/>
            <w:rPr>
              <w:b/>
            </w:rPr>
          </w:pPr>
          <w:r>
            <w:rPr>
              <w:rFonts w:hint="eastAsia"/>
              <w:b/>
            </w:rPr>
            <w:t>未来五年，公司将坚定实施“创新驱动、产业升级、全球拓展”三大核心战略，全力推动由传统制造商向“能源电力全产业链综合服务商”的战略转型。</w:t>
          </w:r>
        </w:p>
        <w:p w14:paraId="363E5FAD" w14:textId="77777777" w:rsidR="00577D08" w:rsidRDefault="00330FC0">
          <w:pPr>
            <w:spacing w:line="360" w:lineRule="exact"/>
            <w:ind w:firstLineChars="200" w:firstLine="420"/>
            <w:jc w:val="both"/>
          </w:pPr>
          <w:r>
            <w:rPr>
              <w:rFonts w:hint="eastAsia"/>
            </w:rPr>
            <w:lastRenderedPageBreak/>
            <w:t>我们将以“高端材料（取向硅钢）与核心装备（电力装备）”双轮驱动为基础，纵向深化打造“取向硅钢—硅钢铁心—电力变压器—箱式变电站</w:t>
          </w:r>
          <w:r>
            <w:rPr>
              <w:rFonts w:hint="eastAsia"/>
            </w:rPr>
            <w:t>/</w:t>
          </w:r>
          <w:r>
            <w:rPr>
              <w:rFonts w:hint="eastAsia"/>
            </w:rPr>
            <w:t>成套设备—智能运维服务”的一体化产业链，夯实核心竞争力。同时，横向拓展“超充运营、储能系统、</w:t>
          </w:r>
          <w:r>
            <w:rPr>
              <w:rFonts w:hint="eastAsia"/>
            </w:rPr>
            <w:t>EPC</w:t>
          </w:r>
          <w:r>
            <w:rPr>
              <w:rFonts w:hint="eastAsia"/>
            </w:rPr>
            <w:t>工程”等新增长极，并积极布局新能源重卡超充及后服务市场，构建开放协同的产业生态。</w:t>
          </w:r>
        </w:p>
        <w:p w14:paraId="11E93A68" w14:textId="77777777" w:rsidR="00577D08" w:rsidRDefault="00330FC0">
          <w:pPr>
            <w:spacing w:line="360" w:lineRule="exact"/>
            <w:ind w:firstLineChars="200" w:firstLine="420"/>
            <w:jc w:val="both"/>
          </w:pPr>
          <w:r>
            <w:rPr>
              <w:rFonts w:hint="eastAsia"/>
            </w:rPr>
            <w:t>通过数字化智能赋能与全球化营销网络建设，公司致力于为客户提供覆盖能源电力装备、基础设施建设与绿色运营服务的全方位解决方案，积极助力零碳园区建设，推动绿色新质生产力发展。</w:t>
          </w:r>
        </w:p>
        <w:p w14:paraId="3B7250FE" w14:textId="77777777" w:rsidR="00577D08" w:rsidRDefault="00330FC0">
          <w:pPr>
            <w:spacing w:line="360" w:lineRule="exact"/>
            <w:ind w:firstLineChars="200" w:firstLine="422"/>
            <w:jc w:val="both"/>
            <w:outlineLvl w:val="3"/>
            <w:rPr>
              <w:b/>
            </w:rPr>
          </w:pPr>
          <w:r>
            <w:rPr>
              <w:rFonts w:hint="eastAsia"/>
              <w:b/>
            </w:rPr>
            <w:t>1</w:t>
          </w:r>
          <w:r>
            <w:rPr>
              <w:rFonts w:hint="eastAsia"/>
              <w:b/>
            </w:rPr>
            <w:t>、战略愿景与总体定位</w:t>
          </w:r>
        </w:p>
        <w:p w14:paraId="2B99F65E" w14:textId="77777777" w:rsidR="00577D08" w:rsidRDefault="00330FC0">
          <w:pPr>
            <w:spacing w:line="360" w:lineRule="exact"/>
            <w:ind w:firstLineChars="200" w:firstLine="420"/>
            <w:jc w:val="both"/>
          </w:pPr>
          <w:r>
            <w:rPr>
              <w:rFonts w:hint="eastAsia"/>
            </w:rPr>
            <w:t>面向国家“十五五”发展新阶段，公司将以“让能源更高效、让电力更绿色”为使命，立足输配电及控制设备与取向硅钢两大主业优势，把握全球能源转型与新型电力系统建设的战略机遇期，深度融入“双碳”战略大局。公司将以技术创新为第一动力，以数字化转型为关键抓手，以全球化布局为重要方向，加快构建“材料—装备—服务—运营”四位一体的产业生态，实现从单一产品制造向系统集成、从设备供应向综合服务、从国内市场向全球市场的跨越升级。</w:t>
          </w:r>
        </w:p>
        <w:p w14:paraId="4C8D42AC" w14:textId="77777777" w:rsidR="00577D08" w:rsidRDefault="00330FC0">
          <w:pPr>
            <w:spacing w:line="360" w:lineRule="exact"/>
            <w:ind w:firstLineChars="200" w:firstLine="422"/>
            <w:jc w:val="both"/>
            <w:outlineLvl w:val="3"/>
            <w:rPr>
              <w:b/>
            </w:rPr>
          </w:pPr>
          <w:r>
            <w:rPr>
              <w:rFonts w:hint="eastAsia"/>
              <w:b/>
            </w:rPr>
            <w:t>2</w:t>
          </w:r>
          <w:r>
            <w:rPr>
              <w:rFonts w:hint="eastAsia"/>
              <w:b/>
            </w:rPr>
            <w:t>、纵向深化夯实一体化产业链核心竞争力</w:t>
          </w:r>
        </w:p>
        <w:p w14:paraId="6243A81C" w14:textId="77777777" w:rsidR="00577D08" w:rsidRDefault="00330FC0">
          <w:pPr>
            <w:spacing w:line="360" w:lineRule="exact"/>
            <w:ind w:firstLineChars="200" w:firstLine="420"/>
            <w:jc w:val="both"/>
          </w:pPr>
          <w:r>
            <w:rPr>
              <w:rFonts w:hint="eastAsia"/>
            </w:rPr>
            <w:t>公司将持续巩固“取向硅钢—硅钢铁心—电力变压器—箱式变电站</w:t>
          </w:r>
          <w:r>
            <w:rPr>
              <w:rFonts w:hint="eastAsia"/>
            </w:rPr>
            <w:t>/</w:t>
          </w:r>
          <w:r>
            <w:rPr>
              <w:rFonts w:hint="eastAsia"/>
            </w:rPr>
            <w:t>成套设备—智能运维服务”全产业链布局，通过纵向一体化实现成本最优、性能适配、响应最快的综合竞争优势。</w:t>
          </w:r>
        </w:p>
        <w:p w14:paraId="58951C07" w14:textId="77777777" w:rsidR="00577D08" w:rsidRDefault="00330FC0">
          <w:pPr>
            <w:spacing w:line="360" w:lineRule="exact"/>
            <w:ind w:firstLineChars="200" w:firstLine="420"/>
            <w:jc w:val="both"/>
          </w:pPr>
          <w:r>
            <w:rPr>
              <w:rFonts w:hint="eastAsia"/>
            </w:rPr>
            <w:t>在取向硅钢领域，公司将坚持高端化发展方向，持续提升高磁感、薄规格产品的产出比例。以八万吨高端磁性新材料项目为基石，加快</w:t>
          </w:r>
          <w:r>
            <w:rPr>
              <w:rFonts w:hint="eastAsia"/>
            </w:rPr>
            <w:t>075</w:t>
          </w:r>
          <w:r>
            <w:rPr>
              <w:rFonts w:hint="eastAsia"/>
            </w:rPr>
            <w:t>牌号及以上超高磁感取向硅钢的工艺优化与量产突破。同时，持续加大研发投入，布局下一代超薄规格取向硅钢技术，巩固公司在高端磁性材料领域的技术领先地位。</w:t>
          </w:r>
        </w:p>
        <w:p w14:paraId="6B611AEC" w14:textId="77777777" w:rsidR="00577D08" w:rsidRDefault="00330FC0">
          <w:pPr>
            <w:spacing w:line="360" w:lineRule="exact"/>
            <w:ind w:firstLineChars="200" w:firstLine="420"/>
            <w:jc w:val="both"/>
          </w:pPr>
          <w:r>
            <w:rPr>
              <w:rFonts w:hint="eastAsia"/>
            </w:rPr>
            <w:t>在电力装备领域，公司将依托云变电气</w:t>
          </w:r>
          <w:r>
            <w:rPr>
              <w:rFonts w:hint="eastAsia"/>
            </w:rPr>
            <w:t>500kV</w:t>
          </w:r>
          <w:r>
            <w:rPr>
              <w:rFonts w:hint="eastAsia"/>
            </w:rPr>
            <w:t>电压等级生产能力，持续向特高压、超高压领域延伸，提升在电网主网架建设中的参与深度。巩固铁路牵引变压器细分领域全国领先优势，积极拓展新能源升压变压器、智能箱式变电站等新兴应用场景。推动电力装备向智能化、模块化、节能化方向升级，满足新型电力系统对高效可靠设备的需求。</w:t>
          </w:r>
        </w:p>
        <w:p w14:paraId="0752BC89" w14:textId="77777777" w:rsidR="00577D08" w:rsidRDefault="00330FC0">
          <w:pPr>
            <w:spacing w:line="360" w:lineRule="exact"/>
            <w:ind w:firstLineChars="200" w:firstLine="420"/>
            <w:jc w:val="both"/>
          </w:pPr>
          <w:r>
            <w:rPr>
              <w:rFonts w:hint="eastAsia"/>
            </w:rPr>
            <w:t>在智能运维服务领域，公司将加快构建基于物联网、大数据、人工智能的智能运维平台，实现从设备销售向“设备</w:t>
          </w:r>
          <w:r>
            <w:rPr>
              <w:rFonts w:hint="eastAsia"/>
            </w:rPr>
            <w:t>+</w:t>
          </w:r>
          <w:r>
            <w:rPr>
              <w:rFonts w:hint="eastAsia"/>
            </w:rPr>
            <w:t>服务”的模式升级。通过远程监测、预测性维护、全生命周期管理等增值服务客户黏性，提升服务收入占比，推动盈利模式持续优化。</w:t>
          </w:r>
        </w:p>
        <w:p w14:paraId="0C177D5C" w14:textId="77777777" w:rsidR="00577D08" w:rsidRDefault="00330FC0">
          <w:pPr>
            <w:spacing w:line="360" w:lineRule="exact"/>
            <w:ind w:firstLineChars="200" w:firstLine="422"/>
            <w:jc w:val="both"/>
            <w:outlineLvl w:val="3"/>
            <w:rPr>
              <w:b/>
            </w:rPr>
          </w:pPr>
          <w:bookmarkStart w:id="154" w:name="OLE_LINK78"/>
          <w:bookmarkStart w:id="155" w:name="OLE_LINK79"/>
          <w:r>
            <w:rPr>
              <w:rFonts w:hint="eastAsia"/>
              <w:b/>
            </w:rPr>
            <w:t>3</w:t>
          </w:r>
          <w:r>
            <w:rPr>
              <w:rFonts w:hint="eastAsia"/>
              <w:b/>
            </w:rPr>
            <w:t>、横向拓展构建开放协同的产业新生态</w:t>
          </w:r>
        </w:p>
        <w:p w14:paraId="7C30DEA0" w14:textId="77777777" w:rsidR="00577D08" w:rsidRDefault="00330FC0">
          <w:pPr>
            <w:spacing w:line="360" w:lineRule="exact"/>
            <w:ind w:firstLineChars="200" w:firstLine="420"/>
            <w:jc w:val="both"/>
          </w:pPr>
          <w:r>
            <w:rPr>
              <w:rFonts w:hint="eastAsia"/>
            </w:rPr>
            <w:t>公司将以主业为根基，横向布局“超充运营、储能系统、电力运维综合服务”等业务，打造多元化增长极，构建能源电力全产业链综合服务能力。</w:t>
          </w:r>
        </w:p>
        <w:p w14:paraId="79D9A6C5" w14:textId="77777777" w:rsidR="00577D08" w:rsidRDefault="00330FC0">
          <w:pPr>
            <w:spacing w:line="360" w:lineRule="exact"/>
            <w:ind w:firstLineChars="200" w:firstLine="420"/>
            <w:jc w:val="both"/>
          </w:pPr>
          <w:r>
            <w:rPr>
              <w:rFonts w:hint="eastAsia"/>
            </w:rPr>
            <w:t>公司立足“材料</w:t>
          </w:r>
          <w:r>
            <w:rPr>
              <w:rFonts w:hint="eastAsia"/>
            </w:rPr>
            <w:t>-</w:t>
          </w:r>
          <w:r>
            <w:rPr>
              <w:rFonts w:hint="eastAsia"/>
            </w:rPr>
            <w:t>设备</w:t>
          </w:r>
          <w:r>
            <w:rPr>
              <w:rFonts w:hint="eastAsia"/>
            </w:rPr>
            <w:t>-</w:t>
          </w:r>
          <w:r>
            <w:rPr>
              <w:rFonts w:hint="eastAsia"/>
            </w:rPr>
            <w:t>服务”全产业链一体化优势，横向拓展构建开放协同的产业新生态，推动三大业务板块深度融合、协同发展。</w:t>
          </w:r>
        </w:p>
        <w:p w14:paraId="2DDFBD24" w14:textId="77777777" w:rsidR="00577D08" w:rsidRDefault="00330FC0">
          <w:pPr>
            <w:spacing w:line="360" w:lineRule="exact"/>
            <w:ind w:firstLineChars="200" w:firstLine="420"/>
            <w:jc w:val="both"/>
          </w:pPr>
          <w:r>
            <w:rPr>
              <w:rFonts w:hint="eastAsia"/>
            </w:rPr>
            <w:t>在输配电及控制设备领域，公司以国南网、中电建、中铁建等央国企为核心客户，深化高电压等级产品布局，持续提升在电网主网、新能源大基地及重大基础设施领域的市场份额。同时，公司积极对接全球数据中心建设和运营领头企业，凭借产品在能效、可靠性及散热等方面的优异性能，成功切入数据中心高端电力设备供应链，为算力基础设施提供稳定可靠的电力保障，进一步拓宽设备业务应用场景。</w:t>
          </w:r>
        </w:p>
        <w:p w14:paraId="7B67E55E" w14:textId="77777777" w:rsidR="00577D08" w:rsidRDefault="00577D08">
          <w:pPr>
            <w:spacing w:line="360" w:lineRule="exact"/>
            <w:ind w:firstLineChars="200" w:firstLine="420"/>
            <w:jc w:val="both"/>
          </w:pPr>
        </w:p>
        <w:p w14:paraId="5BD73870" w14:textId="77777777" w:rsidR="00577D08" w:rsidRDefault="00330FC0">
          <w:pPr>
            <w:spacing w:line="360" w:lineRule="exact"/>
            <w:ind w:firstLineChars="200" w:firstLine="420"/>
            <w:jc w:val="both"/>
          </w:pPr>
          <w:r>
            <w:rPr>
              <w:rFonts w:hint="eastAsia"/>
            </w:rPr>
            <w:lastRenderedPageBreak/>
            <w:t>在取向硅钢领域，依托国内领先的产能与技术优势，公司积极拓展高端产品应用场景，加强与全球头部变压器制造企业的战略合作，推动取向硅钢出口业务持续增长，提升全球供应链地位。</w:t>
          </w:r>
        </w:p>
        <w:p w14:paraId="6A9D131A" w14:textId="77777777" w:rsidR="00577D08" w:rsidRDefault="00330FC0">
          <w:pPr>
            <w:spacing w:line="360" w:lineRule="exact"/>
            <w:ind w:firstLineChars="200" w:firstLine="420"/>
            <w:jc w:val="both"/>
          </w:pPr>
          <w:r>
            <w:rPr>
              <w:rFonts w:hint="eastAsia"/>
            </w:rPr>
            <w:t>在重卡充电领域，公司以“材料</w:t>
          </w:r>
          <w:r>
            <w:rPr>
              <w:rFonts w:hint="eastAsia"/>
            </w:rPr>
            <w:t>-</w:t>
          </w:r>
          <w:r>
            <w:rPr>
              <w:rFonts w:hint="eastAsia"/>
            </w:rPr>
            <w:t>设备</w:t>
          </w:r>
          <w:r>
            <w:rPr>
              <w:rFonts w:hint="eastAsia"/>
            </w:rPr>
            <w:t>-</w:t>
          </w:r>
          <w:r>
            <w:rPr>
              <w:rFonts w:hint="eastAsia"/>
            </w:rPr>
            <w:t>服务”一体化能力为支撑，构建覆盖核心材料供给、智能装备制造、场站运营服务的全链条竞争壁垒。依托取向硅钢的原材料优势，保障充电设备核心变压器的高效稳定供应；依托输配电设备领域的技术积淀，推动兆瓦级超充、光储充一体化等高端装备的自主研制与迭代升级；依托场站运营积累的实证数据，反向牵引材料性能优化与设备技术改进，形成“材料保障设备、设备赋能服务、服务反哺研发”的良性循环。公司加快推进“兆瓦级智能超充网络建设项目”，以云南、重庆为起点，逐步向全国重点物流节点城市、高速公路干线拓展，建设近</w:t>
          </w:r>
          <w:r>
            <w:rPr>
              <w:rFonts w:hint="eastAsia"/>
            </w:rPr>
            <w:t>100</w:t>
          </w:r>
          <w:r>
            <w:rPr>
              <w:rFonts w:hint="eastAsia"/>
            </w:rPr>
            <w:t>座电动重卡超充站，通过与国内标杆物流企业深度合作，构建“车</w:t>
          </w:r>
          <w:r>
            <w:rPr>
              <w:rFonts w:hint="eastAsia"/>
            </w:rPr>
            <w:t>-</w:t>
          </w:r>
          <w:r>
            <w:rPr>
              <w:rFonts w:hint="eastAsia"/>
            </w:rPr>
            <w:t>桩</w:t>
          </w:r>
          <w:r>
            <w:rPr>
              <w:rFonts w:hint="eastAsia"/>
            </w:rPr>
            <w:t>-</w:t>
          </w:r>
          <w:r>
            <w:rPr>
              <w:rFonts w:hint="eastAsia"/>
            </w:rPr>
            <w:t>网</w:t>
          </w:r>
          <w:r>
            <w:rPr>
              <w:rFonts w:hint="eastAsia"/>
            </w:rPr>
            <w:t>-</w:t>
          </w:r>
          <w:r>
            <w:rPr>
              <w:rFonts w:hint="eastAsia"/>
            </w:rPr>
            <w:t>储”一体化运营模式，打造覆盖重卡补能、后市场服务、碳资产管理的完整业务闭环。</w:t>
          </w:r>
        </w:p>
        <w:p w14:paraId="26F2B44C" w14:textId="77777777" w:rsidR="00577D08" w:rsidRDefault="00330FC0">
          <w:pPr>
            <w:spacing w:line="360" w:lineRule="exact"/>
            <w:ind w:firstLineChars="200" w:firstLine="420"/>
            <w:jc w:val="both"/>
          </w:pPr>
          <w:r>
            <w:rPr>
              <w:rFonts w:hint="eastAsia"/>
            </w:rPr>
            <w:t>三大业务板块协同发力，公司持续加大与全球头部需求企业的沟通及合作，积极对接国际物流巨头、全球能源管理企业、海外电网运营商，以及全球数据中心建设和运营领头企业、储能领域建设和运营领头企业，探索在超充网络布局、储能系统集成、数据中心供电保障、取向硅钢出口及输配电设备全球化等领域的深度协同。通过跨板块的技术复用、资源共享与市场联动，加大各板块产品的持续推陈出新，构建开放共赢的产业新生态，提升公司在新兴业务领域的国际竞争力。在新能源重卡超充运营领域，公司将加快推进“兆瓦级智能超充网络建设项目”，以云南、重庆为起点，逐步向全国重点物流节点城市、高速公路干线拓展，建设近</w:t>
          </w:r>
          <w:r>
            <w:rPr>
              <w:rFonts w:hint="eastAsia"/>
            </w:rPr>
            <w:t>100</w:t>
          </w:r>
          <w:r>
            <w:rPr>
              <w:rFonts w:hint="eastAsia"/>
            </w:rPr>
            <w:t>座电动重卡超充站。通过与国内标杆物流企业深度合作，构建“车</w:t>
          </w:r>
          <w:r>
            <w:rPr>
              <w:rFonts w:hint="eastAsia"/>
            </w:rPr>
            <w:t>-</w:t>
          </w:r>
          <w:r>
            <w:rPr>
              <w:rFonts w:hint="eastAsia"/>
            </w:rPr>
            <w:t>桩</w:t>
          </w:r>
          <w:r>
            <w:rPr>
              <w:rFonts w:hint="eastAsia"/>
            </w:rPr>
            <w:t>-</w:t>
          </w:r>
          <w:r>
            <w:rPr>
              <w:rFonts w:hint="eastAsia"/>
            </w:rPr>
            <w:t>网</w:t>
          </w:r>
          <w:r>
            <w:rPr>
              <w:rFonts w:hint="eastAsia"/>
            </w:rPr>
            <w:t>-</w:t>
          </w:r>
          <w:r>
            <w:rPr>
              <w:rFonts w:hint="eastAsia"/>
            </w:rPr>
            <w:t>储”一体化运营模式，打造覆盖重卡补能、后市场服务、碳资产管理的完整业务闭环。积极跟进兆瓦级超充、光储充一体化、虚拟电厂等前沿技术，提升超充站运营效率和盈利能力。</w:t>
          </w:r>
        </w:p>
        <w:bookmarkEnd w:id="154"/>
        <w:bookmarkEnd w:id="155"/>
        <w:p w14:paraId="47FB9802" w14:textId="77777777" w:rsidR="00577D08" w:rsidRDefault="00330FC0">
          <w:pPr>
            <w:spacing w:line="360" w:lineRule="exact"/>
            <w:ind w:firstLineChars="200" w:firstLine="422"/>
            <w:jc w:val="both"/>
            <w:outlineLvl w:val="3"/>
            <w:rPr>
              <w:b/>
            </w:rPr>
          </w:pPr>
          <w:r>
            <w:rPr>
              <w:rFonts w:hint="eastAsia"/>
              <w:b/>
            </w:rPr>
            <w:t>4</w:t>
          </w:r>
          <w:r>
            <w:rPr>
              <w:rFonts w:hint="eastAsia"/>
              <w:b/>
            </w:rPr>
            <w:t>、创新驱动以科技引领高质量发展</w:t>
          </w:r>
        </w:p>
        <w:p w14:paraId="1A035ABF" w14:textId="77777777" w:rsidR="00577D08" w:rsidRDefault="00330FC0">
          <w:pPr>
            <w:spacing w:line="360" w:lineRule="exact"/>
            <w:ind w:firstLineChars="200" w:firstLine="420"/>
            <w:jc w:val="both"/>
          </w:pPr>
          <w:r>
            <w:rPr>
              <w:rFonts w:hint="eastAsia"/>
            </w:rPr>
            <w:t>公司将坚持创新驱动发展战略，构建“自主研发</w:t>
          </w:r>
          <w:r>
            <w:rPr>
              <w:rFonts w:hint="eastAsia"/>
            </w:rPr>
            <w:t>+</w:t>
          </w:r>
          <w:r>
            <w:rPr>
              <w:rFonts w:hint="eastAsia"/>
            </w:rPr>
            <w:t>产学研合作</w:t>
          </w:r>
          <w:r>
            <w:rPr>
              <w:rFonts w:hint="eastAsia"/>
            </w:rPr>
            <w:t>+</w:t>
          </w:r>
          <w:r>
            <w:rPr>
              <w:rFonts w:hint="eastAsia"/>
            </w:rPr>
            <w:t>开放创新”三位一体的技术创新体系。</w:t>
          </w:r>
        </w:p>
        <w:p w14:paraId="0DBD18F2" w14:textId="77777777" w:rsidR="00577D08" w:rsidRDefault="00330FC0">
          <w:pPr>
            <w:spacing w:line="360" w:lineRule="exact"/>
            <w:ind w:firstLineChars="200" w:firstLine="422"/>
            <w:jc w:val="both"/>
            <w:rPr>
              <w:b/>
            </w:rPr>
          </w:pPr>
          <w:r>
            <w:rPr>
              <w:rFonts w:hint="eastAsia"/>
              <w:b/>
            </w:rPr>
            <w:t>（</w:t>
          </w:r>
          <w:r>
            <w:rPr>
              <w:rFonts w:hint="eastAsia"/>
              <w:b/>
            </w:rPr>
            <w:t>1</w:t>
          </w:r>
          <w:r>
            <w:rPr>
              <w:rFonts w:hint="eastAsia"/>
              <w:b/>
            </w:rPr>
            <w:t>）加大研发投入</w:t>
          </w:r>
        </w:p>
        <w:p w14:paraId="2A72C14D" w14:textId="77777777" w:rsidR="00577D08" w:rsidRDefault="00330FC0">
          <w:pPr>
            <w:spacing w:line="360" w:lineRule="exact"/>
            <w:ind w:firstLineChars="200" w:firstLine="420"/>
            <w:jc w:val="both"/>
          </w:pPr>
          <w:r>
            <w:rPr>
              <w:rFonts w:hint="eastAsia"/>
            </w:rPr>
            <w:t>保持研发投入持续增长，重点围绕高端取向硅钢、高效节能变压器、智能输配电设备、大功率超充技术、储能系统集成等方向开展技术攻关。力争在未来五年内新增授权专利</w:t>
          </w:r>
          <w:r>
            <w:rPr>
              <w:rFonts w:hint="eastAsia"/>
            </w:rPr>
            <w:t>100</w:t>
          </w:r>
          <w:r>
            <w:rPr>
              <w:rFonts w:hint="eastAsia"/>
            </w:rPr>
            <w:t>项以上，形成具有自主知识产权的核心技术体系。</w:t>
          </w:r>
        </w:p>
        <w:p w14:paraId="0F6E6218" w14:textId="77777777" w:rsidR="00577D08" w:rsidRDefault="00330FC0">
          <w:pPr>
            <w:spacing w:line="360" w:lineRule="exact"/>
            <w:ind w:firstLineChars="200" w:firstLine="422"/>
            <w:jc w:val="both"/>
            <w:rPr>
              <w:b/>
            </w:rPr>
          </w:pPr>
          <w:r>
            <w:rPr>
              <w:rFonts w:hint="eastAsia"/>
              <w:b/>
            </w:rPr>
            <w:t>（</w:t>
          </w:r>
          <w:r>
            <w:rPr>
              <w:rFonts w:hint="eastAsia"/>
              <w:b/>
            </w:rPr>
            <w:t>2</w:t>
          </w:r>
          <w:r>
            <w:rPr>
              <w:rFonts w:hint="eastAsia"/>
              <w:b/>
            </w:rPr>
            <w:t>）建设创新平台</w:t>
          </w:r>
        </w:p>
        <w:p w14:paraId="18B5F243" w14:textId="77777777" w:rsidR="00577D08" w:rsidRDefault="00330FC0">
          <w:pPr>
            <w:spacing w:line="360" w:lineRule="exact"/>
            <w:ind w:firstLineChars="200" w:firstLine="420"/>
            <w:jc w:val="both"/>
          </w:pPr>
          <w:r>
            <w:rPr>
              <w:rFonts w:hint="eastAsia"/>
            </w:rPr>
            <w:t>依托国家级企业技术中心、博士后科研工作站等创新载体，加强与高校、科研院所的产学研合作，加速科技成果转化。积极参与国家及行业标准制定，提升公司在细分领域的技术话语权。</w:t>
          </w:r>
        </w:p>
        <w:p w14:paraId="171BA904" w14:textId="77777777" w:rsidR="00577D08" w:rsidRDefault="00330FC0">
          <w:pPr>
            <w:spacing w:line="360" w:lineRule="exact"/>
            <w:ind w:firstLineChars="200" w:firstLine="422"/>
            <w:jc w:val="both"/>
            <w:rPr>
              <w:b/>
            </w:rPr>
          </w:pPr>
          <w:r>
            <w:rPr>
              <w:rFonts w:hint="eastAsia"/>
              <w:b/>
            </w:rPr>
            <w:t>（</w:t>
          </w:r>
          <w:r>
            <w:rPr>
              <w:rFonts w:hint="eastAsia"/>
              <w:b/>
            </w:rPr>
            <w:t>3</w:t>
          </w:r>
          <w:r>
            <w:rPr>
              <w:rFonts w:hint="eastAsia"/>
              <w:b/>
            </w:rPr>
            <w:t>）推动数字赋能</w:t>
          </w:r>
        </w:p>
        <w:p w14:paraId="1B2FCC88" w14:textId="77777777" w:rsidR="00577D08" w:rsidRDefault="00330FC0">
          <w:pPr>
            <w:spacing w:line="360" w:lineRule="exact"/>
            <w:ind w:firstLineChars="200" w:firstLine="420"/>
            <w:jc w:val="both"/>
          </w:pPr>
          <w:r>
            <w:rPr>
              <w:rFonts w:hint="eastAsia"/>
            </w:rPr>
            <w:t>全面推进研发设计数字化、生产制造智能化、经营管理信息化、运维服务智慧化。建设智能工厂和数字化车间，提升生产效率和质量控制水平。构建工业互联网平台，实现产业链上下游数据贯通与协同优化。</w:t>
          </w:r>
        </w:p>
        <w:p w14:paraId="13C63B3A" w14:textId="77777777" w:rsidR="00577D08" w:rsidRDefault="00330FC0">
          <w:pPr>
            <w:spacing w:line="360" w:lineRule="exact"/>
            <w:ind w:firstLineChars="200" w:firstLine="422"/>
            <w:jc w:val="both"/>
            <w:outlineLvl w:val="3"/>
            <w:rPr>
              <w:b/>
            </w:rPr>
          </w:pPr>
          <w:r>
            <w:rPr>
              <w:rFonts w:hint="eastAsia"/>
              <w:b/>
            </w:rPr>
            <w:t>5</w:t>
          </w:r>
          <w:r>
            <w:rPr>
              <w:rFonts w:hint="eastAsia"/>
              <w:b/>
            </w:rPr>
            <w:t>、全球拓展打造国际化经营新格局</w:t>
          </w:r>
        </w:p>
        <w:p w14:paraId="36DACDED" w14:textId="77777777" w:rsidR="00577D08" w:rsidRDefault="00330FC0">
          <w:pPr>
            <w:spacing w:line="360" w:lineRule="exact"/>
            <w:ind w:firstLineChars="200" w:firstLine="420"/>
            <w:jc w:val="both"/>
          </w:pPr>
          <w:r>
            <w:rPr>
              <w:rFonts w:hint="eastAsia"/>
            </w:rPr>
            <w:t>公司将把握“一带一路”建设和全球能源转型机遇，加快国际化布局，提升全球资源配置能力和国际市场竞争能力。</w:t>
          </w:r>
        </w:p>
        <w:p w14:paraId="031ADD3C" w14:textId="77777777" w:rsidR="00577D08" w:rsidRDefault="00330FC0">
          <w:pPr>
            <w:spacing w:line="360" w:lineRule="exact"/>
            <w:ind w:firstLineChars="200" w:firstLine="422"/>
            <w:jc w:val="both"/>
            <w:rPr>
              <w:b/>
            </w:rPr>
          </w:pPr>
          <w:r>
            <w:rPr>
              <w:rFonts w:hint="eastAsia"/>
              <w:b/>
            </w:rPr>
            <w:t>（</w:t>
          </w:r>
          <w:r>
            <w:rPr>
              <w:rFonts w:hint="eastAsia"/>
              <w:b/>
            </w:rPr>
            <w:t>1</w:t>
          </w:r>
          <w:r>
            <w:rPr>
              <w:rFonts w:hint="eastAsia"/>
              <w:b/>
            </w:rPr>
            <w:t>）深化产品出海</w:t>
          </w:r>
        </w:p>
        <w:p w14:paraId="38A5FBFF" w14:textId="77777777" w:rsidR="00577D08" w:rsidRDefault="00330FC0">
          <w:pPr>
            <w:spacing w:line="360" w:lineRule="exact"/>
            <w:ind w:firstLineChars="200" w:firstLine="420"/>
            <w:jc w:val="both"/>
          </w:pPr>
          <w:r>
            <w:rPr>
              <w:rFonts w:hint="eastAsia"/>
            </w:rPr>
            <w:lastRenderedPageBreak/>
            <w:t>巩固取向硅钢产品在东南亚、中东、欧美等市场的出口优势，提升高端产品出口比例。推动电力变压器、箱式变电站、重卡充电站、电力工程承建、运维等设备及服务走向国际市场，形成“材料—装备—服务—运营”协同出海的格局。</w:t>
          </w:r>
        </w:p>
        <w:p w14:paraId="52C13E21" w14:textId="77777777" w:rsidR="00577D08" w:rsidRDefault="00330FC0">
          <w:pPr>
            <w:spacing w:line="360" w:lineRule="exact"/>
            <w:ind w:firstLineChars="200" w:firstLine="422"/>
            <w:jc w:val="both"/>
            <w:rPr>
              <w:b/>
            </w:rPr>
          </w:pPr>
          <w:r>
            <w:rPr>
              <w:rFonts w:hint="eastAsia"/>
              <w:b/>
            </w:rPr>
            <w:t>（</w:t>
          </w:r>
          <w:r>
            <w:rPr>
              <w:rFonts w:hint="eastAsia"/>
              <w:b/>
            </w:rPr>
            <w:t>2</w:t>
          </w:r>
          <w:r>
            <w:rPr>
              <w:rFonts w:hint="eastAsia"/>
              <w:b/>
            </w:rPr>
            <w:t>）拓展海外布局</w:t>
          </w:r>
        </w:p>
        <w:p w14:paraId="5A795652" w14:textId="77777777" w:rsidR="00577D08" w:rsidRDefault="00330FC0">
          <w:pPr>
            <w:spacing w:line="360" w:lineRule="exact"/>
            <w:ind w:firstLineChars="200" w:firstLine="420"/>
            <w:jc w:val="both"/>
          </w:pPr>
          <w:r>
            <w:rPr>
              <w:rFonts w:hint="eastAsia"/>
            </w:rPr>
            <w:t>在重点目标市场设立海外营销服务中心，完善本地化服务能力。探索海外建厂、技术输出、工程承包等多元化合作模式，逐步构建全球化研发、生产、销售和服务网络。</w:t>
          </w:r>
        </w:p>
        <w:p w14:paraId="7BF17BED" w14:textId="77777777" w:rsidR="00577D08" w:rsidRDefault="00330FC0">
          <w:pPr>
            <w:spacing w:line="360" w:lineRule="exact"/>
            <w:ind w:firstLineChars="200" w:firstLine="422"/>
            <w:jc w:val="both"/>
            <w:rPr>
              <w:b/>
            </w:rPr>
          </w:pPr>
          <w:r>
            <w:rPr>
              <w:rFonts w:hint="eastAsia"/>
              <w:b/>
            </w:rPr>
            <w:t>（</w:t>
          </w:r>
          <w:r>
            <w:rPr>
              <w:rFonts w:hint="eastAsia"/>
              <w:b/>
            </w:rPr>
            <w:t>3</w:t>
          </w:r>
          <w:r>
            <w:rPr>
              <w:rFonts w:hint="eastAsia"/>
              <w:b/>
            </w:rPr>
            <w:t>）提升国际认证</w:t>
          </w:r>
        </w:p>
        <w:p w14:paraId="7A2C21C3" w14:textId="77777777" w:rsidR="00577D08" w:rsidRDefault="00330FC0">
          <w:pPr>
            <w:spacing w:line="360" w:lineRule="exact"/>
            <w:ind w:firstLineChars="200" w:firstLine="420"/>
            <w:jc w:val="both"/>
          </w:pPr>
          <w:r>
            <w:rPr>
              <w:rFonts w:hint="eastAsia"/>
            </w:rPr>
            <w:t>持续推进产品国际认证工作，加快取得更多国家和地区的市场准入资质。深化与伊藤忠丸红钢铁、浦项国际贸易等国际知名企业的战略合作，借助国际合作伙伴的渠道和品牌优势，提升全球市场影响力。</w:t>
          </w:r>
        </w:p>
        <w:p w14:paraId="0A1840FC" w14:textId="77777777" w:rsidR="00577D08" w:rsidRDefault="00330FC0">
          <w:pPr>
            <w:spacing w:line="360" w:lineRule="exact"/>
            <w:ind w:firstLineChars="200" w:firstLine="422"/>
            <w:jc w:val="both"/>
            <w:outlineLvl w:val="3"/>
            <w:rPr>
              <w:b/>
            </w:rPr>
          </w:pPr>
          <w:r>
            <w:rPr>
              <w:rFonts w:hint="eastAsia"/>
              <w:b/>
            </w:rPr>
            <w:t>6</w:t>
          </w:r>
          <w:r>
            <w:rPr>
              <w:rFonts w:hint="eastAsia"/>
              <w:b/>
            </w:rPr>
            <w:t>、生态赋能助力零碳园区与绿色新质生产力</w:t>
          </w:r>
        </w:p>
        <w:p w14:paraId="5F81C2DC" w14:textId="77777777" w:rsidR="00577D08" w:rsidRDefault="00330FC0">
          <w:pPr>
            <w:spacing w:line="360" w:lineRule="exact"/>
            <w:ind w:firstLineChars="200" w:firstLine="420"/>
            <w:jc w:val="both"/>
          </w:pPr>
          <w:r>
            <w:rPr>
              <w:rFonts w:hint="eastAsia"/>
            </w:rPr>
            <w:t>公司将以“零碳园区”为目标场景，整合高端材料、核心装备、超充运营、智能运维等业务能力，打造面向园区的综合能源解决方案。</w:t>
          </w:r>
        </w:p>
        <w:p w14:paraId="101D5E6C" w14:textId="77777777" w:rsidR="00577D08" w:rsidRDefault="00330FC0">
          <w:pPr>
            <w:spacing w:line="360" w:lineRule="exact"/>
            <w:ind w:firstLineChars="200" w:firstLine="422"/>
            <w:jc w:val="both"/>
            <w:rPr>
              <w:b/>
            </w:rPr>
          </w:pPr>
          <w:r>
            <w:rPr>
              <w:rFonts w:hint="eastAsia"/>
              <w:b/>
            </w:rPr>
            <w:t>（</w:t>
          </w:r>
          <w:r>
            <w:rPr>
              <w:rFonts w:hint="eastAsia"/>
              <w:b/>
            </w:rPr>
            <w:t>1</w:t>
          </w:r>
          <w:r>
            <w:rPr>
              <w:rFonts w:hint="eastAsia"/>
              <w:b/>
            </w:rPr>
            <w:t>）推动零碳园区建设</w:t>
          </w:r>
        </w:p>
        <w:p w14:paraId="51BC094F" w14:textId="77777777" w:rsidR="00577D08" w:rsidRDefault="00330FC0">
          <w:pPr>
            <w:spacing w:line="360" w:lineRule="exact"/>
            <w:ind w:firstLineChars="200" w:firstLine="420"/>
            <w:jc w:val="both"/>
          </w:pPr>
          <w:r>
            <w:rPr>
              <w:rFonts w:hint="eastAsia"/>
            </w:rPr>
            <w:t>以光储充一体化、智能微电网、能效管理平台为核心，为工业园区、物流园区、商业综合体等客户提供高效用能管理、碳资产运营的一站式服务。积极参与国家“碳达峰”试点园区建设，打造可复制、可推广的零碳园区示范项目。</w:t>
          </w:r>
        </w:p>
        <w:p w14:paraId="35BDFEC1" w14:textId="77777777" w:rsidR="00577D08" w:rsidRDefault="00330FC0">
          <w:pPr>
            <w:spacing w:line="360" w:lineRule="exact"/>
            <w:ind w:firstLineChars="200" w:firstLine="422"/>
            <w:jc w:val="both"/>
            <w:rPr>
              <w:b/>
            </w:rPr>
          </w:pPr>
          <w:r>
            <w:rPr>
              <w:rFonts w:hint="eastAsia"/>
              <w:b/>
            </w:rPr>
            <w:t>（</w:t>
          </w:r>
          <w:r>
            <w:rPr>
              <w:rFonts w:hint="eastAsia"/>
              <w:b/>
            </w:rPr>
            <w:t>2</w:t>
          </w:r>
          <w:r>
            <w:rPr>
              <w:rFonts w:hint="eastAsia"/>
              <w:b/>
            </w:rPr>
            <w:t>）践行绿色制造</w:t>
          </w:r>
        </w:p>
        <w:p w14:paraId="54E310E6" w14:textId="77777777" w:rsidR="00577D08" w:rsidRDefault="00330FC0">
          <w:pPr>
            <w:spacing w:line="360" w:lineRule="exact"/>
            <w:ind w:firstLineChars="200" w:firstLine="420"/>
            <w:jc w:val="both"/>
          </w:pPr>
          <w:r>
            <w:rPr>
              <w:rFonts w:hint="eastAsia"/>
            </w:rPr>
            <w:t>持续推进生产过程绿色化改造，降低单位产值能耗和碳排放。探索绿电直购、碳交易等机制，推动企业运营碳中和。以自身绿色实践带动产业链上下游协同降碳，助力构建绿色供应链。</w:t>
          </w:r>
        </w:p>
        <w:p w14:paraId="260C18C7" w14:textId="77777777" w:rsidR="00577D08" w:rsidRDefault="00330FC0">
          <w:pPr>
            <w:spacing w:line="360" w:lineRule="exact"/>
            <w:ind w:firstLineChars="200" w:firstLine="422"/>
            <w:jc w:val="both"/>
            <w:rPr>
              <w:b/>
            </w:rPr>
          </w:pPr>
          <w:r>
            <w:rPr>
              <w:rFonts w:hint="eastAsia"/>
              <w:b/>
            </w:rPr>
            <w:t>（</w:t>
          </w:r>
          <w:r>
            <w:rPr>
              <w:rFonts w:hint="eastAsia"/>
              <w:b/>
            </w:rPr>
            <w:t>3</w:t>
          </w:r>
          <w:r>
            <w:rPr>
              <w:rFonts w:hint="eastAsia"/>
              <w:b/>
            </w:rPr>
            <w:t>）培育新质生产力</w:t>
          </w:r>
        </w:p>
        <w:p w14:paraId="391F603D" w14:textId="77777777" w:rsidR="00577D08" w:rsidRDefault="00330FC0">
          <w:pPr>
            <w:spacing w:line="360" w:lineRule="exact"/>
            <w:ind w:firstLineChars="200" w:firstLine="420"/>
            <w:jc w:val="both"/>
          </w:pPr>
          <w:r>
            <w:rPr>
              <w:rFonts w:hint="eastAsia"/>
            </w:rPr>
            <w:t>以技术创新为引领，以产业升级为路径，以数字化转型为支撑，加快发展新质生产力。在高端材料、智能装备、绿色能源等关键领域形成核心竞争力，为高质量发展注入新动能。</w:t>
          </w:r>
        </w:p>
        <w:p w14:paraId="03BBC4C1" w14:textId="77777777" w:rsidR="00577D08" w:rsidRDefault="00330FC0">
          <w:pPr>
            <w:spacing w:line="360" w:lineRule="exact"/>
            <w:ind w:firstLineChars="200" w:firstLine="422"/>
            <w:jc w:val="both"/>
            <w:outlineLvl w:val="3"/>
            <w:rPr>
              <w:b/>
            </w:rPr>
          </w:pPr>
          <w:r>
            <w:rPr>
              <w:rFonts w:hint="eastAsia"/>
              <w:b/>
            </w:rPr>
            <w:t>7</w:t>
          </w:r>
          <w:r>
            <w:rPr>
              <w:rFonts w:hint="eastAsia"/>
              <w:b/>
            </w:rPr>
            <w:t>、战略保障与实施路径</w:t>
          </w:r>
        </w:p>
        <w:p w14:paraId="5577C341" w14:textId="77777777" w:rsidR="00577D08" w:rsidRDefault="00330FC0">
          <w:pPr>
            <w:spacing w:line="360" w:lineRule="exact"/>
            <w:ind w:firstLineChars="200" w:firstLine="420"/>
            <w:jc w:val="both"/>
          </w:pPr>
          <w:r>
            <w:rPr>
              <w:rFonts w:hint="eastAsia"/>
            </w:rPr>
            <w:t>为确保战略规划落地见效，公司将建立完善的组织保障、人才保障、机制保障和资本保障体系。</w:t>
          </w:r>
        </w:p>
        <w:p w14:paraId="6E8A75B8" w14:textId="77777777" w:rsidR="00577D08" w:rsidRDefault="00330FC0">
          <w:pPr>
            <w:spacing w:line="360" w:lineRule="exact"/>
            <w:ind w:firstLineChars="200" w:firstLine="420"/>
            <w:jc w:val="both"/>
          </w:pPr>
          <w:r>
            <w:rPr>
              <w:rFonts w:hint="eastAsia"/>
            </w:rPr>
            <w:t>组织保障：优化组织架构，加强战略发展委员会履职，统筹战略规划、资源配置和重大项目推进。建立战略</w:t>
          </w:r>
          <w:r>
            <w:rPr>
              <w:rFonts w:hint="eastAsia"/>
            </w:rPr>
            <w:t>-</w:t>
          </w:r>
          <w:r>
            <w:rPr>
              <w:rFonts w:hint="eastAsia"/>
            </w:rPr>
            <w:t>经营</w:t>
          </w:r>
          <w:r>
            <w:rPr>
              <w:rFonts w:hint="eastAsia"/>
            </w:rPr>
            <w:t>-</w:t>
          </w:r>
          <w:r>
            <w:rPr>
              <w:rFonts w:hint="eastAsia"/>
            </w:rPr>
            <w:t>预算闭环管理体系，确保战略目标层层分解、有效落地。</w:t>
          </w:r>
        </w:p>
        <w:p w14:paraId="50D2FD44" w14:textId="77777777" w:rsidR="00577D08" w:rsidRDefault="00330FC0">
          <w:pPr>
            <w:spacing w:line="360" w:lineRule="exact"/>
            <w:ind w:firstLineChars="200" w:firstLine="420"/>
            <w:jc w:val="both"/>
          </w:pPr>
          <w:r>
            <w:rPr>
              <w:rFonts w:hint="eastAsia"/>
            </w:rPr>
            <w:t>人才保障：实施人才强企战略，引进和培养高端技术人才、国际化经营人才和复合型管理人才。完善激励机制，激发人才创新创造活力。</w:t>
          </w:r>
        </w:p>
        <w:p w14:paraId="494B096C" w14:textId="77777777" w:rsidR="00577D08" w:rsidRDefault="00330FC0">
          <w:pPr>
            <w:spacing w:line="360" w:lineRule="exact"/>
            <w:ind w:firstLineChars="200" w:firstLine="420"/>
            <w:jc w:val="both"/>
          </w:pPr>
          <w:r>
            <w:rPr>
              <w:rFonts w:hint="eastAsia"/>
            </w:rPr>
            <w:t>机制保障：建立健全战略绩效管理体系，将战略目标完成情况纳入组织绩效考核和干部评价。强化战略执行的过程跟踪和动态调整，确保战略规划与市场变化同频共振。</w:t>
          </w:r>
        </w:p>
        <w:p w14:paraId="5EB54767" w14:textId="77777777" w:rsidR="00577D08" w:rsidRDefault="00330FC0">
          <w:pPr>
            <w:spacing w:line="360" w:lineRule="exact"/>
            <w:ind w:firstLineChars="200" w:firstLine="420"/>
            <w:jc w:val="both"/>
          </w:pPr>
          <w:r>
            <w:rPr>
              <w:rFonts w:hint="eastAsia"/>
            </w:rPr>
            <w:t>资本保障：优化资本结构，拓宽融资渠道，为战略实施提供充足的资金保障。强化投资管理，聚焦主责主业，严控投资风险，确保战略投资回报。</w:t>
          </w:r>
        </w:p>
        <w:p w14:paraId="6B812C15" w14:textId="77777777" w:rsidR="00577D08" w:rsidRDefault="00330FC0">
          <w:pPr>
            <w:spacing w:line="360" w:lineRule="exact"/>
            <w:ind w:firstLineChars="200" w:firstLine="420"/>
            <w:jc w:val="both"/>
          </w:pPr>
          <w:r>
            <w:rPr>
              <w:rFonts w:hint="eastAsia"/>
            </w:rPr>
            <w:t>未来五年，是望变电气转型升级的关键窗口期，也是实现跨越式发展的重要战略机遇期。公司将秉持“创新、协同、绿色、开放”的发展理念，以战略定力应对不确定性，以核心能力把握新机遇，凝心聚力、砥砺前行，全力开创高质量发展新篇章，为股东创造更大价值，为员工搭建更广舞台，为社会发展贡献更多力量。</w:t>
          </w:r>
        </w:p>
        <w:bookmarkEnd w:id="153"/>
        <w:bookmarkEnd w:id="152"/>
        <w:p w14:paraId="55851086" w14:textId="77777777" w:rsidR="00577D08" w:rsidRDefault="00330FC0">
          <w:pPr>
            <w:spacing w:line="360" w:lineRule="exact"/>
            <w:ind w:firstLineChars="200" w:firstLine="422"/>
            <w:jc w:val="both"/>
          </w:pPr>
          <w:r>
            <w:rPr>
              <w:rFonts w:hint="eastAsia"/>
              <w:b/>
              <w:bCs/>
            </w:rPr>
            <w:lastRenderedPageBreak/>
            <w:t>我们的目标是：全力打造百亿级新能源材料与装备产业集群，成为全球能源转型的引领者。</w:t>
          </w:r>
        </w:p>
      </w:sdtContent>
    </w:sdt>
    <w:p w14:paraId="6CD7B7EC" w14:textId="77777777" w:rsidR="00577D08" w:rsidRDefault="00330FC0">
      <w:pPr>
        <w:pStyle w:val="3"/>
        <w:numPr>
          <w:ilvl w:val="3"/>
          <w:numId w:val="17"/>
        </w:numPr>
        <w:rPr>
          <w:rFonts w:ascii="宋体" w:hAnsi="宋体" w:cs="宋体" w:hint="eastAsia"/>
          <w:kern w:val="0"/>
          <w:szCs w:val="21"/>
        </w:rPr>
      </w:pPr>
      <w:r>
        <w:rPr>
          <w:rFonts w:ascii="宋体" w:hAnsi="宋体" w:cs="宋体"/>
          <w:kern w:val="0"/>
          <w:szCs w:val="21"/>
        </w:rPr>
        <w:t>经营计划</w:t>
      </w:r>
    </w:p>
    <w:sdt>
      <w:sdtPr>
        <w:rPr>
          <w:rFonts w:hint="eastAsia"/>
        </w:rPr>
        <w:alias w:val="是否适用：经营计划[双击切换]"/>
        <w:tag w:val="_GBC_871dbf3fc5a0422cadcc3452003278de"/>
        <w:id w:val="1035088888"/>
        <w:placeholder>
          <w:docPart w:val="GBC22222222222222222222222222222"/>
        </w:placeholder>
      </w:sdtPr>
      <w:sdtContent>
        <w:p w14:paraId="2AB7D15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Start w:id="156" w:name="OLE_LINK60" w:displacedByCustomXml="next"/>
    <w:bookmarkStart w:id="157" w:name="OLE_LINK59" w:displacedByCustomXml="next"/>
    <w:sdt>
      <w:sdtPr>
        <w:rPr>
          <w:rFonts w:ascii="宋体" w:hAnsi="宋体" w:hint="eastAsia"/>
        </w:rPr>
        <w:alias w:val="公司经营计划"/>
        <w:tag w:val="_GBC_3f9bf7d7a36444cab37005d22ebc798c"/>
        <w:id w:val="711458472"/>
        <w:placeholder>
          <w:docPart w:val="9703E5596B42458BAF68D2A28A07CDB4"/>
        </w:placeholder>
      </w:sdtPr>
      <w:sdtContent>
        <w:p w14:paraId="68E7EE12" w14:textId="77777777" w:rsidR="00577D08" w:rsidRDefault="00330FC0">
          <w:pPr>
            <w:spacing w:line="360" w:lineRule="exact"/>
            <w:ind w:firstLineChars="200" w:firstLine="420"/>
            <w:rPr>
              <w:rFonts w:ascii="宋体" w:hAnsi="宋体" w:hint="eastAsia"/>
            </w:rPr>
          </w:pPr>
          <w:r>
            <w:rPr>
              <w:rFonts w:ascii="宋体" w:hAnsi="宋体" w:hint="eastAsia"/>
            </w:rPr>
            <w:t>2026年是我国“十五五”规划的开局之年，也是公司战略转型纵深推进的关键之年。公司将紧扣“创新驱动、产业升级、全球拓展”三大核心战略，以“战略落地、效能提升、业务扩容”为年度工作主线，全力推进产能升级、技术攻坚与市场拓展。</w:t>
          </w:r>
          <w:r>
            <w:rPr>
              <w:rFonts w:ascii="宋体" w:hAnsi="宋体"/>
            </w:rPr>
            <w:t xml:space="preserve"> </w:t>
          </w:r>
        </w:p>
        <w:p w14:paraId="24A50A19" w14:textId="77777777" w:rsidR="00577D08" w:rsidRDefault="00330FC0">
          <w:pPr>
            <w:spacing w:line="360" w:lineRule="exact"/>
            <w:ind w:firstLineChars="200" w:firstLine="420"/>
            <w:rPr>
              <w:rFonts w:ascii="宋体" w:hAnsi="宋体" w:hint="eastAsia"/>
            </w:rPr>
          </w:pPr>
          <w:r>
            <w:rPr>
              <w:rFonts w:ascii="宋体" w:hAnsi="宋体" w:hint="eastAsia"/>
            </w:rPr>
            <w:t>2026年，公司经营工作的总体目标是：保持主营业务稳健增长，持续优化产品结构与收入结构，实现盈利能力的稳步提升；加速高端化转型进程，提升高牌号取向硅钢与高端电力装备的产出占比；加快推进海外市场布局，提升国际业务收入比重；培育壮大新能源超充运营等新兴业务，构建多元化增长引擎；持续加大研发投入，增强技术创新对战略发展的支撑能力；优化资产运营效率，保持财务结构稳健，为实现“能源电力全产业链综合服务商”战略目标奠定坚实基础。</w:t>
          </w:r>
        </w:p>
        <w:p w14:paraId="6A812796" w14:textId="77777777" w:rsidR="00577D08" w:rsidRDefault="00330FC0">
          <w:pPr>
            <w:spacing w:line="360" w:lineRule="exact"/>
            <w:ind w:firstLineChars="200" w:firstLine="422"/>
            <w:outlineLvl w:val="3"/>
            <w:rPr>
              <w:rFonts w:ascii="宋体" w:hAnsi="宋体" w:hint="eastAsia"/>
              <w:b/>
            </w:rPr>
          </w:pPr>
          <w:r>
            <w:rPr>
              <w:rFonts w:ascii="宋体" w:hAnsi="宋体" w:hint="eastAsia"/>
              <w:b/>
            </w:rPr>
            <w:t>1、持续推进取向硅钢业务产品高端化突破与结构优化</w:t>
          </w:r>
        </w:p>
        <w:p w14:paraId="77D8A2C5" w14:textId="77777777" w:rsidR="00577D08" w:rsidRDefault="00330FC0">
          <w:pPr>
            <w:spacing w:line="360" w:lineRule="exact"/>
            <w:ind w:firstLineChars="200" w:firstLine="422"/>
            <w:rPr>
              <w:rFonts w:ascii="宋体" w:hAnsi="宋体" w:hint="eastAsia"/>
              <w:b/>
            </w:rPr>
          </w:pPr>
          <w:r>
            <w:rPr>
              <w:rFonts w:ascii="宋体" w:hAnsi="宋体" w:hint="eastAsia"/>
              <w:b/>
            </w:rPr>
            <w:t>（1）产能与产品结构目标</w:t>
          </w:r>
        </w:p>
        <w:p w14:paraId="4CE95461" w14:textId="77777777" w:rsidR="00577D08" w:rsidRDefault="00330FC0">
          <w:pPr>
            <w:spacing w:line="360" w:lineRule="exact"/>
            <w:ind w:firstLineChars="200" w:firstLine="420"/>
            <w:rPr>
              <w:rFonts w:ascii="宋体" w:hAnsi="宋体" w:hint="eastAsia"/>
              <w:highlight w:val="yellow"/>
            </w:rPr>
          </w:pPr>
          <w:r>
            <w:rPr>
              <w:rFonts w:ascii="宋体" w:hAnsi="宋体" w:hint="eastAsia"/>
            </w:rPr>
            <w:t>确保取向硅钢所有装置保持满产满销状态，持续提升高牌号产品产出占比。全年取向硅钢产量保持行业前列，重点提升085及以上高牌号产品的产量占比，稳定095及以上牌号产品的产出水平。持续推进075牌号高磁感取向硅钢的小批量试产与工艺优化，为后续规模化量产奠定技术基础。</w:t>
          </w:r>
        </w:p>
        <w:p w14:paraId="2E56EDF9" w14:textId="77777777" w:rsidR="00577D08" w:rsidRDefault="00330FC0">
          <w:pPr>
            <w:spacing w:line="360" w:lineRule="exact"/>
            <w:ind w:firstLineChars="200" w:firstLine="422"/>
            <w:rPr>
              <w:b/>
            </w:rPr>
          </w:pPr>
          <w:bookmarkStart w:id="158" w:name="OLE_LINK54"/>
          <w:r>
            <w:rPr>
              <w:rFonts w:hint="eastAsia"/>
              <w:b/>
            </w:rPr>
            <w:t>（</w:t>
          </w:r>
          <w:r>
            <w:rPr>
              <w:rFonts w:hint="eastAsia"/>
              <w:b/>
            </w:rPr>
            <w:t>2</w:t>
          </w:r>
          <w:r>
            <w:rPr>
              <w:rFonts w:hint="eastAsia"/>
              <w:b/>
            </w:rPr>
            <w:t>）市场策略</w:t>
          </w:r>
        </w:p>
        <w:p w14:paraId="57F4300A" w14:textId="77777777" w:rsidR="00577D08" w:rsidRDefault="00330FC0">
          <w:pPr>
            <w:spacing w:line="360" w:lineRule="exact"/>
            <w:ind w:firstLineChars="200" w:firstLine="420"/>
          </w:pPr>
          <w:r>
            <w:rPr>
              <w:rFonts w:hint="eastAsia"/>
            </w:rPr>
            <w:t>当前取向硅钢行业呈现“供需双增、价格底部企稳”的格局，公司将紧跟市场节奏，灵活调整销售策略，积极把握价格修复与结构性机会带来的盈利改善空间。优化国内销售布局，深耕重点客户，提升高牌号产品在新能源、高效变压器等高端领域的渗透率。国际市场方面，密切跟踪海外价格与需求变化，动态调整出口策略，重点拓展东南亚、中东、欧美等目标市场。</w:t>
          </w:r>
        </w:p>
        <w:bookmarkEnd w:id="158"/>
        <w:p w14:paraId="4DE3CD84" w14:textId="77777777" w:rsidR="00577D08" w:rsidRDefault="00330FC0">
          <w:pPr>
            <w:spacing w:line="360" w:lineRule="exact"/>
            <w:ind w:firstLineChars="200" w:firstLine="422"/>
            <w:rPr>
              <w:b/>
            </w:rPr>
          </w:pPr>
          <w:r>
            <w:rPr>
              <w:rFonts w:hint="eastAsia"/>
              <w:b/>
            </w:rPr>
            <w:t>（</w:t>
          </w:r>
          <w:r>
            <w:rPr>
              <w:rFonts w:hint="eastAsia"/>
              <w:b/>
            </w:rPr>
            <w:t>3</w:t>
          </w:r>
          <w:r>
            <w:rPr>
              <w:rFonts w:hint="eastAsia"/>
              <w:b/>
            </w:rPr>
            <w:t>）成本管控</w:t>
          </w:r>
        </w:p>
        <w:p w14:paraId="375031A5" w14:textId="77777777" w:rsidR="00577D08" w:rsidRDefault="00330FC0">
          <w:pPr>
            <w:spacing w:line="360" w:lineRule="exact"/>
            <w:ind w:firstLineChars="200" w:firstLine="420"/>
          </w:pPr>
          <w:r>
            <w:rPr>
              <w:rFonts w:hint="eastAsia"/>
            </w:rPr>
            <w:t>持续推进全流程降本增效，优化投料配比与工艺参数，降低单位生产成本。加强原材料采购管理，利用产业链一体化优势对冲原材料价格波动风险。</w:t>
          </w:r>
        </w:p>
        <w:p w14:paraId="1A8D67FA" w14:textId="77777777" w:rsidR="00577D08" w:rsidRDefault="00330FC0">
          <w:pPr>
            <w:spacing w:line="360" w:lineRule="exact"/>
            <w:ind w:firstLineChars="200" w:firstLine="422"/>
            <w:outlineLvl w:val="3"/>
            <w:rPr>
              <w:rFonts w:ascii="宋体" w:hAnsi="宋体" w:hint="eastAsia"/>
              <w:b/>
            </w:rPr>
          </w:pPr>
          <w:r>
            <w:rPr>
              <w:rFonts w:ascii="宋体" w:hAnsi="宋体" w:hint="eastAsia"/>
              <w:b/>
            </w:rPr>
            <w:t>2、持续提升输配电及控制设备业务市场拓展与能级提升</w:t>
          </w:r>
        </w:p>
        <w:p w14:paraId="3DDA9DEA" w14:textId="77777777" w:rsidR="00577D08" w:rsidRDefault="00330FC0">
          <w:pPr>
            <w:spacing w:line="360" w:lineRule="exact"/>
            <w:ind w:firstLineChars="200" w:firstLine="422"/>
            <w:rPr>
              <w:b/>
            </w:rPr>
          </w:pPr>
          <w:r>
            <w:rPr>
              <w:rFonts w:hint="eastAsia"/>
              <w:b/>
            </w:rPr>
            <w:t>（</w:t>
          </w:r>
          <w:r>
            <w:rPr>
              <w:rFonts w:hint="eastAsia"/>
              <w:b/>
            </w:rPr>
            <w:t>1</w:t>
          </w:r>
          <w:r>
            <w:rPr>
              <w:rFonts w:hint="eastAsia"/>
              <w:b/>
            </w:rPr>
            <w:t>）市场拓展目标</w:t>
          </w:r>
        </w:p>
        <w:p w14:paraId="06E8E76A" w14:textId="77777777" w:rsidR="00577D08" w:rsidRDefault="00330FC0">
          <w:pPr>
            <w:spacing w:line="360" w:lineRule="exact"/>
            <w:ind w:firstLineChars="200" w:firstLine="420"/>
          </w:pPr>
          <w:r>
            <w:rPr>
              <w:rFonts w:hint="eastAsia"/>
            </w:rPr>
            <w:t>巩固</w:t>
          </w:r>
          <w:r>
            <w:rPr>
              <w:rFonts w:hint="eastAsia"/>
            </w:rPr>
            <w:t>220kV</w:t>
          </w:r>
          <w:r>
            <w:rPr>
              <w:rFonts w:hint="eastAsia"/>
            </w:rPr>
            <w:t>及以下变压器市场优势，保持订单饱满态势。依托云变电气</w:t>
          </w:r>
          <w:r>
            <w:rPr>
              <w:rFonts w:hint="eastAsia"/>
            </w:rPr>
            <w:t>500kV</w:t>
          </w:r>
          <w:r>
            <w:rPr>
              <w:rFonts w:hint="eastAsia"/>
            </w:rPr>
            <w:t>生产能力，积极拓展超高压、特高压领域市场机会，提升在电网主网架建设中的参与深度。重点跟进“十五五”国家电网投资计划带来的市场机遇，把握新型电力系统建设、跨省区输电能力提升、大型清洁能源基地外送等重大工程需求。</w:t>
          </w:r>
        </w:p>
        <w:p w14:paraId="300272F9" w14:textId="77777777" w:rsidR="00577D08" w:rsidRDefault="00330FC0">
          <w:pPr>
            <w:spacing w:line="360" w:lineRule="exact"/>
            <w:ind w:firstLineChars="200" w:firstLine="422"/>
            <w:rPr>
              <w:b/>
            </w:rPr>
          </w:pPr>
          <w:r>
            <w:rPr>
              <w:rFonts w:hint="eastAsia"/>
              <w:b/>
            </w:rPr>
            <w:t>（</w:t>
          </w:r>
          <w:r>
            <w:rPr>
              <w:rFonts w:hint="eastAsia"/>
              <w:b/>
            </w:rPr>
            <w:t>2</w:t>
          </w:r>
          <w:r>
            <w:rPr>
              <w:rFonts w:hint="eastAsia"/>
              <w:b/>
            </w:rPr>
            <w:t>）细分市场深耕</w:t>
          </w:r>
        </w:p>
        <w:p w14:paraId="69018D67" w14:textId="77777777" w:rsidR="00577D08" w:rsidRDefault="00330FC0">
          <w:pPr>
            <w:spacing w:line="360" w:lineRule="exact"/>
            <w:ind w:firstLineChars="200" w:firstLine="420"/>
          </w:pPr>
          <w:r>
            <w:rPr>
              <w:rFonts w:hint="eastAsia"/>
            </w:rPr>
            <w:t>新能源市场：把握风电、光伏装机持续增长机遇，扩大新能源升压变压器市场份额。紧跟储能行业发展，拓展储能电站配套变压器及成套设备业务。</w:t>
          </w:r>
        </w:p>
        <w:p w14:paraId="7B9A852D" w14:textId="77777777" w:rsidR="00577D08" w:rsidRDefault="00330FC0">
          <w:pPr>
            <w:spacing w:line="360" w:lineRule="exact"/>
            <w:ind w:firstLineChars="200" w:firstLine="420"/>
          </w:pPr>
          <w:r>
            <w:rPr>
              <w:rFonts w:hint="eastAsia"/>
            </w:rPr>
            <w:t>数据中心市场：积极跟进海外数据中心项目，深耕数据中心配套输配电设备领域。</w:t>
          </w:r>
        </w:p>
        <w:p w14:paraId="71F40A9A" w14:textId="77777777" w:rsidR="00577D08" w:rsidRDefault="00330FC0">
          <w:pPr>
            <w:spacing w:line="360" w:lineRule="exact"/>
            <w:ind w:firstLineChars="200" w:firstLine="420"/>
          </w:pPr>
          <w:r>
            <w:rPr>
              <w:rFonts w:hint="eastAsia"/>
            </w:rPr>
            <w:t>铁路牵引变压器：依托云变电气行业领先地位，巩固并扩大在铁路牵引变压器市场的份额。</w:t>
          </w:r>
        </w:p>
        <w:p w14:paraId="3A47AE81" w14:textId="77777777" w:rsidR="00577D08" w:rsidRDefault="00330FC0">
          <w:pPr>
            <w:spacing w:line="360" w:lineRule="exact"/>
            <w:ind w:firstLineChars="200" w:firstLine="420"/>
          </w:pPr>
          <w:r>
            <w:rPr>
              <w:rFonts w:hint="eastAsia"/>
            </w:rPr>
            <w:t>工业配套市场：拓展工业企业电气配套、高端装备等领域应用。</w:t>
          </w:r>
        </w:p>
        <w:p w14:paraId="6AFE6EBE" w14:textId="77777777" w:rsidR="00577D08" w:rsidRDefault="00330FC0">
          <w:pPr>
            <w:spacing w:line="360" w:lineRule="exact"/>
            <w:ind w:firstLineChars="200" w:firstLine="422"/>
            <w:rPr>
              <w:b/>
            </w:rPr>
          </w:pPr>
          <w:r>
            <w:rPr>
              <w:rFonts w:hint="eastAsia"/>
              <w:b/>
            </w:rPr>
            <w:lastRenderedPageBreak/>
            <w:t>（</w:t>
          </w:r>
          <w:r>
            <w:rPr>
              <w:rFonts w:hint="eastAsia"/>
              <w:b/>
            </w:rPr>
            <w:t>3</w:t>
          </w:r>
          <w:r>
            <w:rPr>
              <w:rFonts w:hint="eastAsia"/>
              <w:b/>
            </w:rPr>
            <w:t>）技术创新与产品升级</w:t>
          </w:r>
        </w:p>
        <w:p w14:paraId="3DEB4DBC" w14:textId="77777777" w:rsidR="00577D08" w:rsidRDefault="00330FC0">
          <w:pPr>
            <w:spacing w:line="360" w:lineRule="exact"/>
            <w:ind w:firstLineChars="200" w:firstLine="420"/>
          </w:pPr>
          <w:r>
            <w:rPr>
              <w:rFonts w:hint="eastAsia"/>
            </w:rPr>
            <w:t>加大</w:t>
          </w:r>
          <w:r>
            <w:rPr>
              <w:rFonts w:hint="eastAsia"/>
            </w:rPr>
            <w:t>110kV</w:t>
          </w:r>
          <w:r>
            <w:rPr>
              <w:rFonts w:hint="eastAsia"/>
            </w:rPr>
            <w:t>及以上高端变压器研发投入，持续提升高端产品收入占比。推进智能化变压器、环保型变压器等新产品开发，积极适配新能源电站发展需求。加快氢能绝缘材料、低碳技术产品研发，布局下一代绿色电力装备。</w:t>
          </w:r>
        </w:p>
        <w:p w14:paraId="0711EF8E" w14:textId="77777777" w:rsidR="00577D08" w:rsidRDefault="00330FC0">
          <w:pPr>
            <w:spacing w:line="360" w:lineRule="exact"/>
            <w:ind w:firstLineChars="200" w:firstLine="422"/>
            <w:outlineLvl w:val="3"/>
            <w:rPr>
              <w:rFonts w:ascii="宋体" w:hAnsi="宋体" w:hint="eastAsia"/>
              <w:b/>
            </w:rPr>
          </w:pPr>
          <w:r>
            <w:rPr>
              <w:rFonts w:ascii="宋体" w:hAnsi="宋体" w:hint="eastAsia"/>
              <w:b/>
            </w:rPr>
            <w:t>3、加速推进重卡超充运营业务布局与模式验证</w:t>
          </w:r>
        </w:p>
        <w:p w14:paraId="561FCE49" w14:textId="77777777" w:rsidR="00577D08" w:rsidRDefault="00330FC0">
          <w:pPr>
            <w:spacing w:line="360" w:lineRule="exact"/>
            <w:ind w:firstLineChars="200" w:firstLine="422"/>
            <w:rPr>
              <w:b/>
            </w:rPr>
          </w:pPr>
          <w:r>
            <w:rPr>
              <w:rFonts w:hint="eastAsia"/>
              <w:b/>
            </w:rPr>
            <w:t>（</w:t>
          </w:r>
          <w:r>
            <w:rPr>
              <w:rFonts w:hint="eastAsia"/>
              <w:b/>
            </w:rPr>
            <w:t>1</w:t>
          </w:r>
          <w:r>
            <w:rPr>
              <w:rFonts w:hint="eastAsia"/>
              <w:b/>
            </w:rPr>
            <w:t>）项目建设目标</w:t>
          </w:r>
        </w:p>
        <w:p w14:paraId="1D39AD19" w14:textId="77777777" w:rsidR="00577D08" w:rsidRDefault="00330FC0">
          <w:pPr>
            <w:spacing w:line="360" w:lineRule="exact"/>
            <w:ind w:firstLineChars="200" w:firstLine="420"/>
          </w:pPr>
          <w:r>
            <w:rPr>
              <w:rFonts w:hint="eastAsia"/>
            </w:rPr>
            <w:t>加快推进“兆瓦级智能超充网络建设项目”实施，</w:t>
          </w:r>
          <w:r>
            <w:rPr>
              <w:rFonts w:hint="eastAsia"/>
            </w:rPr>
            <w:t>2026</w:t>
          </w:r>
          <w:r>
            <w:rPr>
              <w:rFonts w:hint="eastAsia"/>
            </w:rPr>
            <w:t>年计划在云南、重庆及国内其他重点区域建成运营一批电动重卡超充站，形成初步的网络化布局。重点布局物流干线节点、货运枢纽、工业园区等重卡运营密集区域。</w:t>
          </w:r>
        </w:p>
        <w:p w14:paraId="48B2651C" w14:textId="77777777" w:rsidR="00577D08" w:rsidRDefault="00330FC0">
          <w:pPr>
            <w:spacing w:line="360" w:lineRule="exact"/>
            <w:ind w:firstLineChars="200" w:firstLine="422"/>
            <w:rPr>
              <w:b/>
            </w:rPr>
          </w:pPr>
          <w:r>
            <w:rPr>
              <w:rFonts w:hint="eastAsia"/>
              <w:b/>
            </w:rPr>
            <w:t>（</w:t>
          </w:r>
          <w:r>
            <w:rPr>
              <w:rFonts w:hint="eastAsia"/>
              <w:b/>
            </w:rPr>
            <w:t>2</w:t>
          </w:r>
          <w:r>
            <w:rPr>
              <w:rFonts w:hint="eastAsia"/>
              <w:b/>
            </w:rPr>
            <w:t>）运营模式探索</w:t>
          </w:r>
        </w:p>
        <w:p w14:paraId="7EDDB284" w14:textId="77777777" w:rsidR="00577D08" w:rsidRDefault="00330FC0">
          <w:pPr>
            <w:spacing w:line="360" w:lineRule="exact"/>
            <w:ind w:firstLineChars="200" w:firstLine="420"/>
          </w:pPr>
          <w:r>
            <w:rPr>
              <w:rFonts w:hint="eastAsia"/>
            </w:rPr>
            <w:t>深化与国内标杆物流企业的战略合作，探索“车</w:t>
          </w:r>
          <w:r>
            <w:rPr>
              <w:rFonts w:hint="eastAsia"/>
            </w:rPr>
            <w:t>-</w:t>
          </w:r>
          <w:r>
            <w:rPr>
              <w:rFonts w:hint="eastAsia"/>
            </w:rPr>
            <w:t>桩</w:t>
          </w:r>
          <w:r>
            <w:rPr>
              <w:rFonts w:hint="eastAsia"/>
            </w:rPr>
            <w:t>-</w:t>
          </w:r>
          <w:r>
            <w:rPr>
              <w:rFonts w:hint="eastAsia"/>
            </w:rPr>
            <w:t>网</w:t>
          </w:r>
          <w:r>
            <w:rPr>
              <w:rFonts w:hint="eastAsia"/>
            </w:rPr>
            <w:t>-</w:t>
          </w:r>
          <w:r>
            <w:rPr>
              <w:rFonts w:hint="eastAsia"/>
            </w:rPr>
            <w:t>储”一体化运营模式。积极跟进兆瓦级超充、光储充一体化等技术趋势，在部分站点试点配置储能系统，探索削峰填谷、需求响应等增值服务模式。</w:t>
          </w:r>
        </w:p>
        <w:p w14:paraId="1A167FDF" w14:textId="77777777" w:rsidR="00577D08" w:rsidRDefault="00330FC0">
          <w:pPr>
            <w:spacing w:line="360" w:lineRule="exact"/>
            <w:ind w:firstLineChars="200" w:firstLine="422"/>
            <w:rPr>
              <w:b/>
            </w:rPr>
          </w:pPr>
          <w:bookmarkStart w:id="159" w:name="OLE_LINK55"/>
          <w:r>
            <w:rPr>
              <w:rFonts w:hint="eastAsia"/>
              <w:b/>
            </w:rPr>
            <w:t>（</w:t>
          </w:r>
          <w:r>
            <w:rPr>
              <w:rFonts w:hint="eastAsia"/>
              <w:b/>
            </w:rPr>
            <w:t>3</w:t>
          </w:r>
          <w:r>
            <w:rPr>
              <w:rFonts w:hint="eastAsia"/>
              <w:b/>
            </w:rPr>
            <w:t>）战略协同</w:t>
          </w:r>
        </w:p>
        <w:p w14:paraId="6C3442AF" w14:textId="77777777" w:rsidR="00577D08" w:rsidRDefault="00330FC0">
          <w:pPr>
            <w:spacing w:line="360" w:lineRule="exact"/>
            <w:ind w:firstLineChars="200" w:firstLine="420"/>
          </w:pPr>
          <w:r>
            <w:rPr>
              <w:rFonts w:hint="eastAsia"/>
            </w:rPr>
            <w:t>公司以自主研发的兆瓦级智能变充一体机设备为核心，构建起“装备研发制造—站场投建运营”的协同能力，面向重卡经销商、物流企业及海外市场，输出领先的充电设备与一体化建站解决方案，以技术赋能行业伙伴，实现从产品销售向生态赋能的战略升维。</w:t>
          </w:r>
        </w:p>
        <w:bookmarkEnd w:id="159"/>
        <w:p w14:paraId="2BEF2804" w14:textId="77777777" w:rsidR="00577D08" w:rsidRDefault="00330FC0">
          <w:pPr>
            <w:spacing w:line="360" w:lineRule="exact"/>
            <w:ind w:firstLineChars="200" w:firstLine="422"/>
            <w:outlineLvl w:val="3"/>
            <w:rPr>
              <w:rFonts w:ascii="宋体" w:hAnsi="宋体" w:hint="eastAsia"/>
              <w:b/>
            </w:rPr>
          </w:pPr>
          <w:r>
            <w:rPr>
              <w:rFonts w:ascii="宋体" w:hAnsi="宋体" w:hint="eastAsia"/>
              <w:b/>
            </w:rPr>
            <w:t>4、加速推进全球化业务布局</w:t>
          </w:r>
        </w:p>
        <w:p w14:paraId="10DEDF6C" w14:textId="77777777" w:rsidR="00577D08" w:rsidRDefault="00330FC0">
          <w:pPr>
            <w:spacing w:line="360" w:lineRule="exact"/>
            <w:ind w:firstLineChars="200" w:firstLine="422"/>
            <w:rPr>
              <w:b/>
            </w:rPr>
          </w:pPr>
          <w:r>
            <w:rPr>
              <w:rFonts w:hint="eastAsia"/>
              <w:b/>
            </w:rPr>
            <w:t>（</w:t>
          </w:r>
          <w:r>
            <w:rPr>
              <w:rFonts w:hint="eastAsia"/>
              <w:b/>
            </w:rPr>
            <w:t>1</w:t>
          </w:r>
          <w:r>
            <w:rPr>
              <w:rFonts w:hint="eastAsia"/>
              <w:b/>
            </w:rPr>
            <w:t>）市场拓展目标</w:t>
          </w:r>
        </w:p>
        <w:p w14:paraId="512DEE07" w14:textId="77777777" w:rsidR="00577D08" w:rsidRDefault="00330FC0">
          <w:pPr>
            <w:spacing w:line="360" w:lineRule="exact"/>
            <w:ind w:firstLineChars="200" w:firstLine="420"/>
          </w:pPr>
          <w:r>
            <w:rPr>
              <w:rFonts w:hint="eastAsia"/>
            </w:rPr>
            <w:t>根据“未来三年重点提升海外业务占比”的战略规划，</w:t>
          </w:r>
          <w:r>
            <w:rPr>
              <w:rFonts w:hint="eastAsia"/>
            </w:rPr>
            <w:t>2026</w:t>
          </w:r>
          <w:r>
            <w:rPr>
              <w:rFonts w:hint="eastAsia"/>
            </w:rPr>
            <w:t>年将海外业务作为重点突破方向。输配电设备领域，深度参与“一带一路”沿线国家电力基础设施建设，依托央企海外项目实现设备出口与工程服务协同出海。</w:t>
          </w:r>
        </w:p>
        <w:p w14:paraId="6A115A6E" w14:textId="77777777" w:rsidR="00577D08" w:rsidRDefault="00330FC0">
          <w:pPr>
            <w:spacing w:line="360" w:lineRule="exact"/>
            <w:ind w:firstLineChars="200" w:firstLine="422"/>
            <w:rPr>
              <w:b/>
            </w:rPr>
          </w:pPr>
          <w:r>
            <w:rPr>
              <w:rFonts w:hint="eastAsia"/>
              <w:b/>
            </w:rPr>
            <w:t>（</w:t>
          </w:r>
          <w:r>
            <w:rPr>
              <w:rFonts w:hint="eastAsia"/>
              <w:b/>
            </w:rPr>
            <w:t>2</w:t>
          </w:r>
          <w:r>
            <w:rPr>
              <w:rFonts w:hint="eastAsia"/>
              <w:b/>
            </w:rPr>
            <w:t>）区域聚焦</w:t>
          </w:r>
        </w:p>
        <w:p w14:paraId="36C730A3" w14:textId="77777777" w:rsidR="00577D08" w:rsidRDefault="00330FC0">
          <w:pPr>
            <w:spacing w:line="360" w:lineRule="exact"/>
            <w:ind w:firstLineChars="200" w:firstLine="420"/>
          </w:pPr>
          <w:r>
            <w:rPr>
              <w:rFonts w:hint="eastAsia"/>
            </w:rPr>
            <w:t>东南亚市场：把握区域基建拉动电气设备需求的机遇，扩大变压器、成套设备市场份额。</w:t>
          </w:r>
        </w:p>
        <w:p w14:paraId="12A1AEAA" w14:textId="77777777" w:rsidR="00577D08" w:rsidRDefault="00330FC0">
          <w:pPr>
            <w:spacing w:line="360" w:lineRule="exact"/>
            <w:ind w:firstLineChars="200" w:firstLine="420"/>
          </w:pPr>
          <w:r>
            <w:rPr>
              <w:rFonts w:hint="eastAsia"/>
            </w:rPr>
            <w:t>中东市场：跟进数据中心项目，拓展高端市场应用。</w:t>
          </w:r>
        </w:p>
        <w:p w14:paraId="5FB6743E" w14:textId="77777777" w:rsidR="00577D08" w:rsidRDefault="00330FC0">
          <w:pPr>
            <w:spacing w:line="360" w:lineRule="exact"/>
            <w:ind w:firstLineChars="200" w:firstLine="420"/>
          </w:pPr>
          <w:r>
            <w:rPr>
              <w:rFonts w:hint="eastAsia"/>
            </w:rPr>
            <w:t>欧美市场：依托取向硅钢产品既有客户基础，深化与国际知名企业合作，提升高端材料出口比例。</w:t>
          </w:r>
        </w:p>
        <w:p w14:paraId="7596491C" w14:textId="77777777" w:rsidR="00577D08" w:rsidRDefault="00330FC0">
          <w:pPr>
            <w:spacing w:line="360" w:lineRule="exact"/>
            <w:ind w:firstLineChars="200" w:firstLine="422"/>
            <w:rPr>
              <w:b/>
            </w:rPr>
          </w:pPr>
          <w:r>
            <w:rPr>
              <w:rFonts w:hint="eastAsia"/>
              <w:b/>
            </w:rPr>
            <w:t>（</w:t>
          </w:r>
          <w:r>
            <w:rPr>
              <w:rFonts w:hint="eastAsia"/>
              <w:b/>
            </w:rPr>
            <w:t>3</w:t>
          </w:r>
          <w:r>
            <w:rPr>
              <w:rFonts w:hint="eastAsia"/>
              <w:b/>
            </w:rPr>
            <w:t>）国际化能力建设</w:t>
          </w:r>
        </w:p>
        <w:p w14:paraId="217FA82A" w14:textId="77777777" w:rsidR="00577D08" w:rsidRDefault="00330FC0">
          <w:pPr>
            <w:spacing w:line="360" w:lineRule="exact"/>
            <w:ind w:firstLineChars="200" w:firstLine="420"/>
          </w:pPr>
          <w:r>
            <w:rPr>
              <w:rFonts w:hint="eastAsia"/>
            </w:rPr>
            <w:t>加强国际贸易团队建设，完善海外营销服务体系。优化外汇风险管理机制，运用套期保值等工具对冲汇率波动风险。推进重点产品国际认证工作，获取更多市场准入资质。</w:t>
          </w:r>
        </w:p>
        <w:p w14:paraId="396329CD" w14:textId="77777777" w:rsidR="00577D08" w:rsidRDefault="00330FC0">
          <w:pPr>
            <w:spacing w:line="360" w:lineRule="exact"/>
            <w:ind w:firstLineChars="200" w:firstLine="422"/>
            <w:outlineLvl w:val="3"/>
            <w:rPr>
              <w:rFonts w:ascii="宋体" w:hAnsi="宋体" w:hint="eastAsia"/>
              <w:b/>
            </w:rPr>
          </w:pPr>
          <w:r>
            <w:rPr>
              <w:rFonts w:ascii="宋体" w:hAnsi="宋体" w:hint="eastAsia"/>
              <w:b/>
            </w:rPr>
            <w:t>5、战略支撑与保障措施</w:t>
          </w:r>
        </w:p>
        <w:p w14:paraId="2C476F72" w14:textId="77777777" w:rsidR="00577D08" w:rsidRDefault="00330FC0">
          <w:pPr>
            <w:spacing w:line="360" w:lineRule="exact"/>
            <w:ind w:firstLineChars="200" w:firstLine="422"/>
            <w:rPr>
              <w:b/>
            </w:rPr>
          </w:pPr>
          <w:r>
            <w:rPr>
              <w:rFonts w:hint="eastAsia"/>
              <w:b/>
            </w:rPr>
            <w:t>（</w:t>
          </w:r>
          <w:r>
            <w:rPr>
              <w:rFonts w:hint="eastAsia"/>
              <w:b/>
            </w:rPr>
            <w:t>1</w:t>
          </w:r>
          <w:r>
            <w:rPr>
              <w:rFonts w:hint="eastAsia"/>
              <w:b/>
            </w:rPr>
            <w:t>）资本运营与资金保障</w:t>
          </w:r>
        </w:p>
        <w:p w14:paraId="4B8B3750" w14:textId="77777777" w:rsidR="00577D08" w:rsidRDefault="00330FC0">
          <w:pPr>
            <w:spacing w:line="360" w:lineRule="exact"/>
            <w:ind w:firstLineChars="200" w:firstLine="420"/>
          </w:pPr>
          <w:r>
            <w:rPr>
              <w:rFonts w:hint="eastAsia"/>
            </w:rPr>
            <w:t>推进向特定对象发行股票工作，优化资本结构，降低资产负债率。充分利用金融机构提供的综合金融服务，为技术改造、设备采购、海外拓展提供资金保障。加强现金流管理，确保经营资金需求，支持业务扩张。</w:t>
          </w:r>
        </w:p>
        <w:p w14:paraId="36D5DC2B" w14:textId="77777777" w:rsidR="00577D08" w:rsidRDefault="00330FC0">
          <w:pPr>
            <w:spacing w:line="360" w:lineRule="exact"/>
            <w:ind w:firstLineChars="200" w:firstLine="422"/>
            <w:rPr>
              <w:b/>
            </w:rPr>
          </w:pPr>
          <w:r>
            <w:rPr>
              <w:rFonts w:hint="eastAsia"/>
              <w:b/>
            </w:rPr>
            <w:t>（</w:t>
          </w:r>
          <w:r>
            <w:rPr>
              <w:rFonts w:hint="eastAsia"/>
              <w:b/>
            </w:rPr>
            <w:t>2</w:t>
          </w:r>
          <w:r>
            <w:rPr>
              <w:rFonts w:hint="eastAsia"/>
              <w:b/>
            </w:rPr>
            <w:t>）技术创新与研发投入</w:t>
          </w:r>
        </w:p>
        <w:p w14:paraId="456C2ADF" w14:textId="77777777" w:rsidR="00577D08" w:rsidRDefault="00330FC0">
          <w:pPr>
            <w:spacing w:line="360" w:lineRule="exact"/>
            <w:ind w:firstLineChars="200" w:firstLine="420"/>
          </w:pPr>
          <w:r>
            <w:rPr>
              <w:rFonts w:hint="eastAsia"/>
            </w:rPr>
            <w:lastRenderedPageBreak/>
            <w:t>保持高强度研发投入，重点推进高端取向硅钢、高电压等级变压器、智能输配电设备、大功率超充设备以及其他电力设备新兴运用领域的技术攻关。深化与战略伙伴的生态合作，加快新能源装备研发进程。</w:t>
          </w:r>
        </w:p>
        <w:p w14:paraId="61B59144" w14:textId="77777777" w:rsidR="00577D08" w:rsidRDefault="00330FC0">
          <w:pPr>
            <w:spacing w:line="360" w:lineRule="exact"/>
            <w:ind w:firstLineChars="200" w:firstLine="422"/>
            <w:rPr>
              <w:b/>
            </w:rPr>
          </w:pPr>
          <w:r>
            <w:rPr>
              <w:rFonts w:hint="eastAsia"/>
              <w:b/>
            </w:rPr>
            <w:t>（</w:t>
          </w:r>
          <w:r>
            <w:rPr>
              <w:rFonts w:hint="eastAsia"/>
              <w:b/>
            </w:rPr>
            <w:t>3</w:t>
          </w:r>
          <w:r>
            <w:rPr>
              <w:rFonts w:hint="eastAsia"/>
              <w:b/>
            </w:rPr>
            <w:t>）数字化转型与智能制造</w:t>
          </w:r>
        </w:p>
        <w:p w14:paraId="0D92B8E5" w14:textId="77777777" w:rsidR="00577D08" w:rsidRDefault="00330FC0">
          <w:pPr>
            <w:spacing w:line="360" w:lineRule="exact"/>
            <w:ind w:firstLineChars="200" w:firstLine="420"/>
          </w:pPr>
          <w:r>
            <w:rPr>
              <w:rFonts w:hint="eastAsia"/>
            </w:rPr>
            <w:t>加快“智能制造</w:t>
          </w:r>
          <w:r>
            <w:rPr>
              <w:rFonts w:hint="eastAsia"/>
            </w:rPr>
            <w:t>+</w:t>
          </w:r>
          <w:r>
            <w:rPr>
              <w:rFonts w:hint="eastAsia"/>
            </w:rPr>
            <w:t>工业互联网”建设，推进研发设计数字化、生产制造智能化、经营管理信息化，提升生产效率和质量控制水平。构建工业互联网平台，实现产业链上下游数据贯通与协同优化。</w:t>
          </w:r>
        </w:p>
        <w:p w14:paraId="50CBDED7" w14:textId="77777777" w:rsidR="00577D08" w:rsidRDefault="00330FC0">
          <w:pPr>
            <w:spacing w:line="360" w:lineRule="exact"/>
            <w:ind w:firstLineChars="200" w:firstLine="422"/>
            <w:rPr>
              <w:b/>
            </w:rPr>
          </w:pPr>
          <w:r>
            <w:rPr>
              <w:rFonts w:hint="eastAsia"/>
              <w:b/>
            </w:rPr>
            <w:t>（</w:t>
          </w:r>
          <w:r>
            <w:rPr>
              <w:rFonts w:hint="eastAsia"/>
              <w:b/>
            </w:rPr>
            <w:t>4</w:t>
          </w:r>
          <w:r>
            <w:rPr>
              <w:rFonts w:hint="eastAsia"/>
              <w:b/>
            </w:rPr>
            <w:t>）人才队伍与组织效能</w:t>
          </w:r>
        </w:p>
        <w:p w14:paraId="3830BA0B" w14:textId="77777777" w:rsidR="00577D08" w:rsidRDefault="00330FC0">
          <w:pPr>
            <w:spacing w:line="360" w:lineRule="exact"/>
            <w:ind w:firstLineChars="200" w:firstLine="420"/>
          </w:pPr>
          <w:r>
            <w:rPr>
              <w:rFonts w:hint="eastAsia"/>
            </w:rPr>
            <w:t>实施人才强企战略，引进和培养高端技术人才、国际化经营人才和复合型管理人才。完善激励机制，激发人才创新创造活力。优化组织架构，强化战略执行的过程跟踪和动态调整，确保年度经营计划有效落地。</w:t>
          </w:r>
        </w:p>
        <w:p w14:paraId="405E0CF7" w14:textId="77777777" w:rsidR="00577D08" w:rsidRDefault="00330FC0">
          <w:pPr>
            <w:spacing w:line="360" w:lineRule="exact"/>
            <w:ind w:firstLineChars="200" w:firstLine="422"/>
            <w:rPr>
              <w:b/>
            </w:rPr>
          </w:pPr>
          <w:r>
            <w:rPr>
              <w:rFonts w:hint="eastAsia"/>
              <w:b/>
            </w:rPr>
            <w:t>（</w:t>
          </w:r>
          <w:r>
            <w:rPr>
              <w:rFonts w:hint="eastAsia"/>
              <w:b/>
            </w:rPr>
            <w:t>5</w:t>
          </w:r>
          <w:r>
            <w:rPr>
              <w:rFonts w:hint="eastAsia"/>
              <w:b/>
            </w:rPr>
            <w:t>）质量管控与风险防控</w:t>
          </w:r>
        </w:p>
        <w:p w14:paraId="732438D1" w14:textId="77777777" w:rsidR="00577D08" w:rsidRDefault="00330FC0">
          <w:pPr>
            <w:spacing w:line="360" w:lineRule="exact"/>
            <w:ind w:firstLineChars="200" w:firstLine="420"/>
          </w:pPr>
          <w:r>
            <w:rPr>
              <w:rFonts w:hint="eastAsia"/>
            </w:rPr>
            <w:t>加强全面质量管理，提升产品可靠性和稳定性。完善内控体系建设，强化合规经营。密切关注原材料价格波动、汇率变化、国际贸易政策等外部风险，建立风险预警与应对机制。</w:t>
          </w:r>
        </w:p>
        <w:p w14:paraId="4FA4A901" w14:textId="77777777" w:rsidR="00577D08" w:rsidRDefault="00330FC0">
          <w:pPr>
            <w:spacing w:line="360" w:lineRule="exact"/>
            <w:ind w:firstLineChars="200" w:firstLine="422"/>
            <w:outlineLvl w:val="3"/>
            <w:rPr>
              <w:rFonts w:ascii="宋体" w:hAnsi="宋体" w:hint="eastAsia"/>
              <w:b/>
            </w:rPr>
          </w:pPr>
          <w:r>
            <w:rPr>
              <w:rFonts w:ascii="宋体" w:hAnsi="宋体" w:hint="eastAsia"/>
              <w:b/>
            </w:rPr>
            <w:t>6、年度经营计划的落实机制</w:t>
          </w:r>
        </w:p>
        <w:p w14:paraId="7AF46799" w14:textId="77777777" w:rsidR="00577D08" w:rsidRDefault="00330FC0">
          <w:pPr>
            <w:spacing w:line="360" w:lineRule="exact"/>
            <w:ind w:firstLineChars="200" w:firstLine="420"/>
          </w:pPr>
          <w:r>
            <w:rPr>
              <w:rFonts w:hint="eastAsia"/>
            </w:rPr>
            <w:t>为保障</w:t>
          </w:r>
          <w:r>
            <w:rPr>
              <w:rFonts w:hint="eastAsia"/>
            </w:rPr>
            <w:t>2026</w:t>
          </w:r>
          <w:r>
            <w:rPr>
              <w:rFonts w:hint="eastAsia"/>
            </w:rPr>
            <w:t>年度经营计划有效落地，公司将建立目标责任分解、月度经营分析、绩效考核激励、战略动态调整等保障机制，将经营目标层层分解落实到各业务单元，跟踪经营进展，强化激励约束，确保年度目标与战略方向的协同一致。</w:t>
          </w:r>
        </w:p>
        <w:p w14:paraId="0D37496D" w14:textId="77777777" w:rsidR="00577D08" w:rsidRDefault="00330FC0">
          <w:pPr>
            <w:spacing w:line="360" w:lineRule="exact"/>
            <w:ind w:firstLineChars="200" w:firstLine="422"/>
          </w:pPr>
          <w:r>
            <w:rPr>
              <w:rFonts w:hint="eastAsia"/>
              <w:b/>
            </w:rPr>
            <w:t>2026</w:t>
          </w:r>
          <w:r>
            <w:rPr>
              <w:rFonts w:hint="eastAsia"/>
              <w:b/>
            </w:rPr>
            <w:t>年是公司战略转型的关键之年，机遇与挑战并存。全体望变人将继续发扬“生命不息、奋斗不止”的精神，凝心聚力、真抓实干，以更坚定的信念、更务实的作风、更创新的精神，确保年度经营目标圆满达成，为公司高质量发展谱写新篇章。</w:t>
          </w:r>
        </w:p>
      </w:sdtContent>
    </w:sdt>
    <w:bookmarkEnd w:id="150"/>
    <w:bookmarkEnd w:id="151"/>
    <w:bookmarkEnd w:id="157"/>
    <w:bookmarkEnd w:id="156"/>
    <w:p w14:paraId="1D08A35B" w14:textId="77777777" w:rsidR="00577D08" w:rsidRDefault="00330FC0">
      <w:pPr>
        <w:pStyle w:val="3"/>
        <w:numPr>
          <w:ilvl w:val="3"/>
          <w:numId w:val="17"/>
        </w:numPr>
        <w:rPr>
          <w:rFonts w:ascii="宋体" w:hAnsi="宋体" w:cs="宋体" w:hint="eastAsia"/>
          <w:kern w:val="0"/>
          <w:szCs w:val="21"/>
        </w:rPr>
      </w:pPr>
      <w:r>
        <w:rPr>
          <w:rFonts w:ascii="宋体" w:hAnsi="宋体" w:cs="宋体"/>
          <w:kern w:val="0"/>
          <w:szCs w:val="21"/>
        </w:rPr>
        <w:t>可能面对的风险</w:t>
      </w:r>
    </w:p>
    <w:sdt>
      <w:sdtPr>
        <w:rPr>
          <w:rFonts w:hint="eastAsia"/>
        </w:rPr>
        <w:alias w:val="是否适用：可能面对的风险[双击切换]"/>
        <w:tag w:val="_GBC_1b74f2e1039c4fe9acc819e860071020"/>
        <w:id w:val="-218282123"/>
        <w:placeholder>
          <w:docPart w:val="GBC22222222222222222222222222222"/>
        </w:placeholder>
      </w:sdtPr>
      <w:sdtContent>
        <w:p w14:paraId="6F6F9BD8"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sz w:val="21"/>
          <w:szCs w:val="21"/>
        </w:rPr>
        <w:alias w:val="公司可能面对的风险"/>
        <w:tag w:val="_GBC_c62723d12603412ba692148cd4961de5"/>
        <w:id w:val="-1735464125"/>
        <w:placeholder>
          <w:docPart w:val="GBC22222222222222222222222222222"/>
        </w:placeholder>
      </w:sdtPr>
      <w:sdtEndPr>
        <w:rPr>
          <w:rFonts w:ascii="宋体" w:hAnsi="宋体"/>
        </w:rPr>
      </w:sdtEndPr>
      <w:sdtContent>
        <w:p w14:paraId="27BA99BE" w14:textId="77777777" w:rsidR="00577D08" w:rsidRDefault="00330FC0">
          <w:pPr>
            <w:pStyle w:val="Style44"/>
            <w:spacing w:line="360" w:lineRule="exact"/>
            <w:ind w:firstLineChars="200" w:firstLine="420"/>
            <w:jc w:val="both"/>
            <w:outlineLvl w:val="3"/>
            <w:rPr>
              <w:b/>
              <w:sz w:val="21"/>
              <w:szCs w:val="21"/>
            </w:rPr>
          </w:pPr>
          <w:r>
            <w:rPr>
              <w:rFonts w:hint="eastAsia"/>
              <w:b/>
              <w:sz w:val="21"/>
              <w:szCs w:val="21"/>
            </w:rPr>
            <w:t>1</w:t>
          </w:r>
          <w:r>
            <w:rPr>
              <w:rFonts w:ascii="宋体" w:hAnsi="宋体" w:hint="eastAsia"/>
              <w:b/>
              <w:sz w:val="21"/>
              <w:szCs w:val="21"/>
            </w:rPr>
            <w:t>、宏观经济风险和行业风险</w:t>
          </w:r>
        </w:p>
        <w:p w14:paraId="3CA8D3A2" w14:textId="77777777" w:rsidR="00577D08" w:rsidRDefault="00330FC0">
          <w:pPr>
            <w:spacing w:line="360" w:lineRule="exact"/>
            <w:ind w:firstLineChars="200" w:firstLine="420"/>
            <w:jc w:val="both"/>
          </w:pPr>
          <w:r>
            <w:rPr>
              <w:rFonts w:ascii="宋体" w:hAnsi="宋体" w:hint="eastAsia"/>
            </w:rPr>
            <w:t>公司所从事的取向硅钢和输配电及控制设备产业均与电力行业投资及需求紧密相关，电力行业是关系国民经济持续稳定发展的主要环节之一，行业整体需求与宏观经济情况以及社会用电需求密切相关；如果国际经济环境进一步恶化影响国内实体企业发展或者国家宏观政策变化、宏观经济风险加剧，电力能源发展战略、产业结构、市场结构调整、行业资源整合、市场供需变动等因素都有可能对公司的盈利能力造成冲击。</w:t>
          </w:r>
        </w:p>
        <w:p w14:paraId="33CBBDE0" w14:textId="77777777" w:rsidR="00577D08" w:rsidRDefault="00330FC0">
          <w:pPr>
            <w:spacing w:line="360" w:lineRule="exact"/>
            <w:ind w:firstLineChars="200" w:firstLine="420"/>
            <w:jc w:val="both"/>
          </w:pPr>
          <w:r>
            <w:rPr>
              <w:rFonts w:ascii="宋体" w:hAnsi="宋体" w:hint="eastAsia"/>
            </w:rPr>
            <w:t>应对措施：公司将加强对国际形势和国内宏观经济的研判，及时掌握国家、行业、区域相关政策，结合公司发展实际情况，保障公司生产经营、战略发展决策的科学、有效。</w:t>
          </w:r>
        </w:p>
        <w:p w14:paraId="2A4013EA" w14:textId="77777777" w:rsidR="00577D08" w:rsidRDefault="00330FC0">
          <w:pPr>
            <w:spacing w:line="360" w:lineRule="exact"/>
            <w:ind w:firstLineChars="200" w:firstLine="422"/>
            <w:jc w:val="both"/>
            <w:outlineLvl w:val="3"/>
            <w:rPr>
              <w:b/>
            </w:rPr>
          </w:pPr>
          <w:r>
            <w:rPr>
              <w:rFonts w:hint="eastAsia"/>
              <w:b/>
            </w:rPr>
            <w:t>2</w:t>
          </w:r>
          <w:r>
            <w:rPr>
              <w:rFonts w:hint="eastAsia"/>
              <w:b/>
            </w:rPr>
            <w:t>、市场竞争风险</w:t>
          </w:r>
        </w:p>
        <w:p w14:paraId="7748D42B" w14:textId="77777777" w:rsidR="00577D08" w:rsidRDefault="00330FC0">
          <w:pPr>
            <w:spacing w:line="360" w:lineRule="exact"/>
            <w:ind w:firstLineChars="200" w:firstLine="420"/>
            <w:jc w:val="both"/>
          </w:pPr>
          <w:r>
            <w:rPr>
              <w:rFonts w:ascii="宋体" w:hAnsi="宋体" w:hint="eastAsia"/>
            </w:rPr>
            <w:t>取向硅钢行业因为需求拉动带来同业大量扩产，新投产装置产能将逐步释放，同时进口取向硅钢也对市场带来冲击，未来取向硅钢市场竞争会持续增加；输配电及控制设备行业受宏观经济影响，普遍存在成本增加、毛利率下降、竞争日趋激烈的问题，给公司生产经营带来更多的市场风险。</w:t>
          </w:r>
        </w:p>
        <w:p w14:paraId="40005F7F" w14:textId="77777777" w:rsidR="00577D08" w:rsidRDefault="00330FC0">
          <w:pPr>
            <w:spacing w:line="360" w:lineRule="exact"/>
            <w:ind w:firstLineChars="200" w:firstLine="420"/>
            <w:jc w:val="both"/>
          </w:pPr>
          <w:r>
            <w:rPr>
              <w:rFonts w:ascii="宋体" w:hAnsi="宋体" w:hint="eastAsia"/>
            </w:rPr>
            <w:t>应对措施：公司将整合优势资源加大取向硅钢高牌号研发力度，进一步提升优化产品牌号结构，以此提升公司产品市场竞争力；输配电及控制设备将通过加大科技创新投入、设备技改投入</w:t>
          </w:r>
          <w:r>
            <w:rPr>
              <w:rFonts w:ascii="宋体" w:hAnsi="宋体" w:hint="eastAsia"/>
            </w:rPr>
            <w:lastRenderedPageBreak/>
            <w:t>等多种方式降低制造成本、提升产品质量、增强客户定制化和一体化服务能力等手段不断增强公司市场竞争力，逐步巩固和提升行业品牌影响力和市场占有率。</w:t>
          </w:r>
        </w:p>
        <w:p w14:paraId="695C57F0" w14:textId="77777777" w:rsidR="00577D08" w:rsidRDefault="00330FC0">
          <w:pPr>
            <w:spacing w:line="360" w:lineRule="exact"/>
            <w:ind w:firstLineChars="200" w:firstLine="422"/>
            <w:jc w:val="both"/>
            <w:outlineLvl w:val="3"/>
            <w:rPr>
              <w:b/>
            </w:rPr>
          </w:pPr>
          <w:r>
            <w:rPr>
              <w:rFonts w:hint="eastAsia"/>
              <w:b/>
            </w:rPr>
            <w:t>3</w:t>
          </w:r>
          <w:r>
            <w:rPr>
              <w:rFonts w:hint="eastAsia"/>
              <w:b/>
            </w:rPr>
            <w:t>、客户信用风险</w:t>
          </w:r>
        </w:p>
        <w:p w14:paraId="16A672FF" w14:textId="77777777" w:rsidR="00577D08" w:rsidRDefault="00330FC0">
          <w:pPr>
            <w:spacing w:line="360" w:lineRule="exact"/>
            <w:ind w:firstLineChars="200" w:firstLine="420"/>
            <w:jc w:val="both"/>
          </w:pPr>
          <w:r>
            <w:rPr>
              <w:rFonts w:ascii="宋体" w:hAnsi="宋体" w:hint="eastAsia"/>
            </w:rPr>
            <w:t>当前国内需求不足，重点领域风险隐患较多，国际大宗商品价格剧烈波动，国内外经济压力进一步加大，外部环境复杂严峻，公司部分客户可能存在信用风险增加，给公司持续稳定健康发展带来一定影响和冲击。</w:t>
          </w:r>
        </w:p>
        <w:p w14:paraId="0A966E31" w14:textId="77777777" w:rsidR="00577D08" w:rsidRDefault="00330FC0">
          <w:pPr>
            <w:spacing w:line="360" w:lineRule="exact"/>
            <w:ind w:firstLineChars="200" w:firstLine="420"/>
            <w:jc w:val="both"/>
          </w:pPr>
          <w:r>
            <w:rPr>
              <w:rFonts w:ascii="宋体" w:hAnsi="宋体" w:hint="eastAsia"/>
            </w:rPr>
            <w:t>截至本报告期末应收账款账面价值19.70亿元，占总资产比例27.14</w:t>
          </w:r>
          <w:r>
            <w:rPr>
              <w:rFonts w:hint="eastAsia"/>
            </w:rPr>
            <w:t>%</w:t>
          </w:r>
          <w:r>
            <w:rPr>
              <w:rFonts w:ascii="宋体" w:hAnsi="宋体" w:hint="eastAsia"/>
            </w:rPr>
            <w:t>。若未来经济环境及产业政策变化，部分客户经营情况发生重大不利变化，则公司将面临不能按期收回或无法收回应收账款的风险，从而对公司经营活动净现金流量产生不利影响。</w:t>
          </w:r>
        </w:p>
        <w:p w14:paraId="480E0134" w14:textId="77777777" w:rsidR="00577D08" w:rsidRDefault="00330FC0">
          <w:pPr>
            <w:spacing w:line="360" w:lineRule="exact"/>
            <w:ind w:firstLineChars="200" w:firstLine="420"/>
            <w:jc w:val="both"/>
          </w:pPr>
          <w:r>
            <w:rPr>
              <w:rFonts w:ascii="宋体" w:hAnsi="宋体" w:hint="eastAsia"/>
            </w:rPr>
            <w:t>应对措施：建立完善的客户信用评估体系，筛选优质客户；加强对客户进行事前、事中、事后全过程调研和跟踪，按公司相关流程和权限审批授信额度；成立客户信用管理专项小组，及时跟踪账期较长的客户基本面，若发现客户资信出现方向性变化，立即调整收款策略。</w:t>
          </w:r>
        </w:p>
        <w:p w14:paraId="5C50F298" w14:textId="77777777" w:rsidR="00577D08" w:rsidRDefault="00330FC0">
          <w:pPr>
            <w:spacing w:line="360" w:lineRule="exact"/>
            <w:ind w:firstLineChars="200" w:firstLine="422"/>
            <w:jc w:val="both"/>
            <w:outlineLvl w:val="3"/>
            <w:rPr>
              <w:b/>
            </w:rPr>
          </w:pPr>
          <w:r>
            <w:rPr>
              <w:rFonts w:hint="eastAsia"/>
              <w:b/>
            </w:rPr>
            <w:t>4</w:t>
          </w:r>
          <w:r>
            <w:rPr>
              <w:rFonts w:hint="eastAsia"/>
              <w:b/>
            </w:rPr>
            <w:t>、大宗商品价格波动的风险</w:t>
          </w:r>
        </w:p>
        <w:p w14:paraId="28778EBB" w14:textId="77777777" w:rsidR="00577D08" w:rsidRDefault="00330FC0">
          <w:pPr>
            <w:spacing w:line="360" w:lineRule="exact"/>
            <w:ind w:firstLineChars="200" w:firstLine="420"/>
            <w:jc w:val="both"/>
          </w:pPr>
          <w:r>
            <w:rPr>
              <w:rFonts w:ascii="宋体" w:hAnsi="宋体" w:hint="eastAsia"/>
            </w:rPr>
            <w:t>公司产品的主要原材料包括铜、硅钢原料卷、电力变压器油等大宗材料价格波动，直接影响公司的生产成本，进而影响公司的盈利水平。同时，受经济周期波动、市场供求以及投机炒作的影响，大宗材料价格存在剧烈波动风险，将对公司的盈利能力产生较大不利影响。</w:t>
          </w:r>
        </w:p>
        <w:p w14:paraId="0DAB69CA" w14:textId="77777777" w:rsidR="00577D08" w:rsidRDefault="00330FC0">
          <w:pPr>
            <w:spacing w:line="360" w:lineRule="exact"/>
            <w:ind w:firstLineChars="200" w:firstLine="420"/>
            <w:jc w:val="both"/>
          </w:pPr>
          <w:r>
            <w:rPr>
              <w:rFonts w:ascii="宋体" w:hAnsi="宋体" w:hint="eastAsia"/>
            </w:rPr>
            <w:t>应对措施：公司将加强科技研发、自主创新能力建设，不断降低生产成本；加强大宗材料价格趋势研究、强化与大宗材料及设备供应商的战略合作关系，通过加大储备、集团科学采购、套期保值等多种方式有效降低大宗材料价格波动影响。</w:t>
          </w:r>
        </w:p>
        <w:p w14:paraId="0406134C" w14:textId="77777777" w:rsidR="00577D08" w:rsidRDefault="00330FC0">
          <w:pPr>
            <w:spacing w:line="360" w:lineRule="exact"/>
            <w:ind w:firstLineChars="200" w:firstLine="422"/>
            <w:jc w:val="both"/>
            <w:outlineLvl w:val="3"/>
            <w:rPr>
              <w:b/>
            </w:rPr>
          </w:pPr>
          <w:r>
            <w:rPr>
              <w:rFonts w:hint="eastAsia"/>
              <w:b/>
            </w:rPr>
            <w:t>5</w:t>
          </w:r>
          <w:r>
            <w:rPr>
              <w:rFonts w:hint="eastAsia"/>
              <w:b/>
            </w:rPr>
            <w:t>、汇率波动风险</w:t>
          </w:r>
        </w:p>
        <w:p w14:paraId="781F04D3" w14:textId="77777777" w:rsidR="00577D08" w:rsidRDefault="00330FC0">
          <w:pPr>
            <w:spacing w:line="360" w:lineRule="exact"/>
            <w:ind w:firstLineChars="200" w:firstLine="420"/>
            <w:jc w:val="both"/>
          </w:pPr>
          <w:r>
            <w:rPr>
              <w:rFonts w:ascii="宋体" w:hAnsi="宋体" w:hint="eastAsia"/>
            </w:rPr>
            <w:t>公司取向硅钢产品出口占比较高，且主要以美元作为结算货币，受外币汇率波动影响，汇率波动将直接影响公司的经营业绩。未来若公司主要结算外币的汇率出现大幅不利变动，导致公司汇兑损益持续上升，将对公司经营业绩产生不利影响。</w:t>
          </w:r>
        </w:p>
        <w:p w14:paraId="59091806" w14:textId="77777777" w:rsidR="00577D08" w:rsidRDefault="00330FC0">
          <w:pPr>
            <w:spacing w:line="360" w:lineRule="exact"/>
            <w:ind w:firstLineChars="200" w:firstLine="420"/>
            <w:jc w:val="both"/>
          </w:pPr>
          <w:r>
            <w:rPr>
              <w:rFonts w:ascii="宋体" w:hAnsi="宋体" w:hint="eastAsia"/>
            </w:rPr>
            <w:t>应对措施：公司将充分利用国家支持优势企业加快走出去的政策环境，通过外汇套期保值工具，通过选择合理币种结算、对人民币跨境结算试点地区业务尽量以人民币作为结算币种、利用国际信贷等多种方式降低汇率波动带来的风险。</w:t>
          </w:r>
        </w:p>
        <w:p w14:paraId="4CEB844E" w14:textId="77777777" w:rsidR="00577D08" w:rsidRDefault="00330FC0">
          <w:pPr>
            <w:spacing w:line="360" w:lineRule="exact"/>
            <w:ind w:firstLineChars="200" w:firstLine="422"/>
            <w:jc w:val="both"/>
            <w:outlineLvl w:val="3"/>
            <w:rPr>
              <w:b/>
            </w:rPr>
          </w:pPr>
          <w:r>
            <w:rPr>
              <w:rFonts w:hint="eastAsia"/>
              <w:b/>
            </w:rPr>
            <w:t>6</w:t>
          </w:r>
          <w:r>
            <w:rPr>
              <w:rFonts w:hint="eastAsia"/>
              <w:b/>
            </w:rPr>
            <w:t>、流动性风险</w:t>
          </w:r>
        </w:p>
        <w:p w14:paraId="023F9448" w14:textId="77777777" w:rsidR="00577D08" w:rsidRDefault="00330FC0">
          <w:pPr>
            <w:spacing w:line="360" w:lineRule="exact"/>
            <w:ind w:firstLineChars="200" w:firstLine="420"/>
            <w:jc w:val="both"/>
          </w:pPr>
          <w:bookmarkStart w:id="160" w:name="OLE_LINK57"/>
          <w:r>
            <w:rPr>
              <w:rFonts w:ascii="宋体" w:hAnsi="宋体" w:hint="eastAsia"/>
            </w:rPr>
            <w:t>截止报告期末公司</w:t>
          </w:r>
          <w:r>
            <w:rPr>
              <w:rFonts w:hint="eastAsia"/>
            </w:rPr>
            <w:t>1</w:t>
          </w:r>
          <w:r>
            <w:rPr>
              <w:rFonts w:ascii="宋体" w:hAnsi="宋体" w:hint="eastAsia"/>
            </w:rPr>
            <w:t>年内需偿还的有息负债金额为</w:t>
          </w:r>
          <w:r>
            <w:rPr>
              <w:rFonts w:hint="eastAsia"/>
            </w:rPr>
            <w:t>6.13</w:t>
          </w:r>
          <w:r>
            <w:rPr>
              <w:rFonts w:ascii="宋体" w:hAnsi="宋体" w:hint="eastAsia"/>
            </w:rPr>
            <w:t>亿元</w:t>
          </w:r>
          <w:r>
            <w:rPr>
              <w:rFonts w:hint="eastAsia"/>
            </w:rPr>
            <w:t>,</w:t>
          </w:r>
          <w:r>
            <w:rPr>
              <w:rFonts w:ascii="宋体" w:hAnsi="宋体" w:hint="eastAsia"/>
            </w:rPr>
            <w:t>存在因集中偿付导致短期流动性压力的潜在风险。</w:t>
          </w:r>
        </w:p>
        <w:p w14:paraId="5C284FDE" w14:textId="77777777" w:rsidR="00577D08" w:rsidRDefault="00330FC0">
          <w:pPr>
            <w:spacing w:line="360" w:lineRule="exact"/>
            <w:ind w:firstLineChars="200" w:firstLine="420"/>
            <w:jc w:val="both"/>
            <w:rPr>
              <w:rFonts w:ascii="宋体" w:hAnsi="宋体" w:hint="eastAsia"/>
            </w:rPr>
          </w:pPr>
          <w:r>
            <w:rPr>
              <w:rFonts w:ascii="宋体" w:hAnsi="宋体" w:hint="eastAsia"/>
            </w:rPr>
            <w:t>应对措施：公司货币资金总额13.85亿元，足以覆盖未来1年内需偿还的6.13亿元有息负债，能够有效缓解短期集中偿付带来的流动性压力，保障公司资金安全与偿债能力。同时，</w:t>
          </w:r>
          <w:bookmarkEnd w:id="160"/>
          <w:r>
            <w:rPr>
              <w:rFonts w:ascii="宋体" w:hAnsi="宋体" w:hint="eastAsia"/>
            </w:rPr>
            <w:t>截止本报告披露日公司可使用融资授信总额53.38亿元，剩余可使用授信额度34.51亿元且有16.93亿元可以置换他行贷款，公司偿还有息负债资金充分；公司有完善的资金预算管理体系，并通过多元化融资渠道安排确保偿债能力。未来将持续优化资产负债结构，保持合理的流动性储备，以有效应对可能的资金周转需求。</w:t>
          </w:r>
        </w:p>
      </w:sdtContent>
    </w:sdt>
    <w:p w14:paraId="118CDCF5" w14:textId="77777777" w:rsidR="00577D08" w:rsidRDefault="00330FC0">
      <w:pPr>
        <w:pStyle w:val="3"/>
        <w:numPr>
          <w:ilvl w:val="3"/>
          <w:numId w:val="17"/>
        </w:numPr>
        <w:rPr>
          <w:rFonts w:ascii="宋体" w:hAnsi="宋体" w:cs="宋体" w:hint="eastAsia"/>
          <w:kern w:val="0"/>
          <w:szCs w:val="21"/>
        </w:rPr>
      </w:pPr>
      <w:r>
        <w:rPr>
          <w:rFonts w:ascii="宋体" w:hAnsi="宋体" w:cs="宋体"/>
          <w:kern w:val="0"/>
          <w:szCs w:val="21"/>
        </w:rPr>
        <w:t>其他</w:t>
      </w:r>
    </w:p>
    <w:sdt>
      <w:sdtPr>
        <w:rPr>
          <w:rFonts w:hint="eastAsia"/>
        </w:rPr>
        <w:alias w:val="是否适用：公司其他未来发展的讨论和分析[双击切换]"/>
        <w:tag w:val="_GBC_aad5c59ba9344d37bc5cc7a8eba5f048"/>
        <w:id w:val="-698932404"/>
        <w:placeholder>
          <w:docPart w:val="GBC22222222222222222222222222222"/>
        </w:placeholder>
      </w:sdtPr>
      <w:sdtContent>
        <w:p w14:paraId="64055D4C"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CD91296" w14:textId="77777777" w:rsidR="00577D08" w:rsidRDefault="00330FC0">
      <w:pPr>
        <w:pStyle w:val="2"/>
        <w:numPr>
          <w:ilvl w:val="0"/>
          <w:numId w:val="7"/>
        </w:numPr>
        <w:ind w:left="422" w:hangingChars="200" w:hanging="422"/>
      </w:pPr>
      <w:r>
        <w:rPr>
          <w:rFonts w:hint="eastAsia"/>
        </w:rPr>
        <w:lastRenderedPageBreak/>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690910837"/>
        <w:placeholder>
          <w:docPart w:val="GBC22222222222222222222222222222"/>
        </w:placeholder>
      </w:sdtPr>
      <w:sdtContent>
        <w:p w14:paraId="6EAAE67F"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D598675" w14:textId="77777777" w:rsidR="00577D08" w:rsidRDefault="00577D08"/>
    <w:p w14:paraId="5E87F4C5" w14:textId="77777777" w:rsidR="00577D08" w:rsidRDefault="00577D08"/>
    <w:p w14:paraId="20C6013C" w14:textId="77777777" w:rsidR="00577D08" w:rsidRDefault="00330FC0">
      <w:pPr>
        <w:pStyle w:val="1"/>
        <w:numPr>
          <w:ilvl w:val="0"/>
          <w:numId w:val="2"/>
        </w:numPr>
        <w:spacing w:before="0" w:after="0"/>
        <w:rPr>
          <w:bCs w:val="0"/>
        </w:rPr>
      </w:pPr>
      <w:bookmarkStart w:id="161" w:name="_Toc437440716"/>
      <w:bookmarkStart w:id="162" w:name="_Toc409437610"/>
      <w:bookmarkStart w:id="163" w:name="_Toc191024259"/>
      <w:r>
        <w:rPr>
          <w:bCs w:val="0"/>
        </w:rPr>
        <w:t>公司治理</w:t>
      </w:r>
      <w:bookmarkEnd w:id="161"/>
      <w:bookmarkEnd w:id="162"/>
      <w:r>
        <w:rPr>
          <w:rFonts w:hint="eastAsia"/>
          <w:bCs w:val="0"/>
        </w:rPr>
        <w:t>、环境和社会</w:t>
      </w:r>
    </w:p>
    <w:bookmarkEnd w:id="163"/>
    <w:p w14:paraId="672A2234" w14:textId="77777777" w:rsidR="00577D08" w:rsidRDefault="00330FC0">
      <w:pPr>
        <w:pStyle w:val="2"/>
        <w:numPr>
          <w:ilvl w:val="0"/>
          <w:numId w:val="18"/>
        </w:numPr>
      </w:pPr>
      <w:r>
        <w:t>公司治理相关情况说明</w:t>
      </w:r>
    </w:p>
    <w:sdt>
      <w:sdtPr>
        <w:rPr>
          <w:rFonts w:hint="eastAsia"/>
        </w:rPr>
        <w:alias w:val="是否适用：公司治理相关情况说明[双击切换]"/>
        <w:tag w:val="_GBC_fcded3e74c5842408b5da723b3a757fa"/>
        <w:id w:val="-1710254207"/>
        <w:placeholder>
          <w:docPart w:val="GBC22222222222222222222222222222"/>
        </w:placeholder>
      </w:sdtPr>
      <w:sdtContent>
        <w:p w14:paraId="566F02B3"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公司治理相关情况说明"/>
        <w:tag w:val="_GBC_b4d29a30dc2b4ea6b942196a3b52c2d0"/>
        <w:id w:val="-2101786003"/>
        <w:placeholder>
          <w:docPart w:val="GBC22222222222222222222222222222"/>
        </w:placeholder>
      </w:sdtPr>
      <w:sdtContent>
        <w:p w14:paraId="7BC776BF" w14:textId="77777777" w:rsidR="00577D08" w:rsidRDefault="00330FC0">
          <w:pPr>
            <w:spacing w:line="360" w:lineRule="exact"/>
            <w:ind w:firstLineChars="200" w:firstLine="420"/>
            <w:jc w:val="both"/>
            <w:rPr>
              <w:rFonts w:ascii="宋体" w:hAnsi="宋体" w:hint="eastAsia"/>
            </w:rPr>
          </w:pPr>
          <w:r>
            <w:t>2025</w:t>
          </w:r>
          <w:r>
            <w:rPr>
              <w:rFonts w:hint="eastAsia"/>
            </w:rPr>
            <w:t>年</w:t>
          </w:r>
          <w:r>
            <w:rPr>
              <w:rFonts w:ascii="宋体" w:hAnsi="宋体" w:hint="eastAsia"/>
            </w:rPr>
            <w:t>公司严格遵循《公司法》《证券法》及相关监管要求，持续完善法人治理结构。</w:t>
          </w:r>
        </w:p>
        <w:p w14:paraId="2E2388E8" w14:textId="77777777" w:rsidR="00577D08" w:rsidRDefault="00330FC0">
          <w:pPr>
            <w:spacing w:line="360" w:lineRule="exact"/>
            <w:ind w:firstLineChars="200" w:firstLine="420"/>
            <w:jc w:val="both"/>
            <w:rPr>
              <w:rFonts w:ascii="宋体" w:hAnsi="宋体" w:hint="eastAsia"/>
            </w:rPr>
          </w:pPr>
          <w:r>
            <w:rPr>
              <w:rFonts w:ascii="宋体" w:hAnsi="宋体" w:hint="eastAsia"/>
            </w:rPr>
            <w:t>报告期内，公司积极推进治理优化工作，不再设置监事会，原监督职能由董事会下设的专门委员会承接，治理结构优化后，决策效率进一步提升，股东会、董事会与经理层权责清晰、运行规范，各专门委员会充分发挥专业优势，为重大决策提供有力支撑。</w:t>
          </w:r>
        </w:p>
        <w:p w14:paraId="2447E827" w14:textId="77777777" w:rsidR="00577D08" w:rsidRDefault="00330FC0">
          <w:pPr>
            <w:spacing w:line="360" w:lineRule="exact"/>
            <w:ind w:firstLineChars="200" w:firstLine="420"/>
            <w:jc w:val="both"/>
            <w:rPr>
              <w:rFonts w:ascii="宋体" w:hAnsi="宋体" w:hint="eastAsia"/>
            </w:rPr>
          </w:pPr>
          <w:r>
            <w:rPr>
              <w:rFonts w:ascii="宋体" w:hAnsi="宋体" w:hint="eastAsia"/>
            </w:rPr>
            <w:t>公司已形成科学决策、有效监督、覆盖经营管理各环节的治理体系，切实维护全体股东合法权益，保障战略目标稳步实现。</w:t>
          </w:r>
        </w:p>
        <w:p w14:paraId="75A1D8A9" w14:textId="77777777" w:rsidR="00577D08" w:rsidRDefault="00330FC0">
          <w:pPr>
            <w:spacing w:line="360" w:lineRule="exact"/>
            <w:ind w:firstLineChars="200" w:firstLine="420"/>
            <w:jc w:val="both"/>
          </w:pPr>
          <w:r>
            <w:rPr>
              <w:rFonts w:ascii="宋体" w:hAnsi="宋体" w:hint="eastAsia"/>
            </w:rPr>
            <w:t>2</w:t>
          </w:r>
          <w:r>
            <w:rPr>
              <w:rFonts w:ascii="宋体" w:hAnsi="宋体"/>
            </w:rPr>
            <w:t>025</w:t>
          </w:r>
          <w:r>
            <w:rPr>
              <w:rFonts w:ascii="宋体" w:hAnsi="宋体" w:hint="eastAsia"/>
            </w:rPr>
            <w:t>年公司坚持高质量发展，持续提升治理水平。报告期内，结合监管新规与自身实际，修订了《公司章程》等基础性治理文件，并同步修订了一系列内部管理制度，进一步完善制度体系和治理水平。</w:t>
          </w:r>
        </w:p>
      </w:sdtContent>
    </w:sdt>
    <w:p w14:paraId="5D01C9F2" w14:textId="77777777" w:rsidR="00577D08" w:rsidRDefault="00330FC0">
      <w:r>
        <w:t>公司治理</w:t>
      </w:r>
      <w:r>
        <w:rPr>
          <w:rFonts w:hint="eastAsia"/>
        </w:rPr>
        <w:t>与法律、行政法规和中国证监会关于上市公司治理的规定</w:t>
      </w:r>
      <w:r>
        <w:t>是否存在</w:t>
      </w:r>
      <w:r>
        <w:rPr>
          <w:rFonts w:hint="eastAsia"/>
        </w:rPr>
        <w:t>重大</w:t>
      </w:r>
      <w:r>
        <w:t>差异；如有</w:t>
      </w:r>
      <w:r>
        <w:rPr>
          <w:rFonts w:hint="eastAsia"/>
        </w:rPr>
        <w:t>重大</w:t>
      </w:r>
      <w:r>
        <w:t>差异，应当说明原因</w:t>
      </w:r>
    </w:p>
    <w:sdt>
      <w:sdtPr>
        <w:alias w:val="是否适用：公司治理与中国证监会相关规定的要求是否存在重大差异[双击切换]"/>
        <w:tag w:val="_GBC_19571e68abe346ceb8159aac5aa1b941"/>
        <w:id w:val="2135295087"/>
        <w:placeholder>
          <w:docPart w:val="GBC22222222222222222222222222222"/>
        </w:placeholder>
      </w:sdtPr>
      <w:sdtContent>
        <w:p w14:paraId="28AD412D"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9AA2348" w14:textId="77777777" w:rsidR="00577D08" w:rsidRDefault="00330FC0">
      <w:pPr>
        <w:pStyle w:val="2"/>
        <w:numPr>
          <w:ilvl w:val="0"/>
          <w:numId w:val="18"/>
        </w:numPr>
        <w:ind w:left="0" w:firstLine="0"/>
      </w:pPr>
      <w:r>
        <w:rPr>
          <w:rFonts w:hint="eastAsia"/>
        </w:rPr>
        <w:t>公司</w:t>
      </w:r>
      <w:r>
        <w:t>控股股东、实际控制人</w:t>
      </w:r>
      <w:r>
        <w:rPr>
          <w:rFonts w:hint="eastAsia"/>
        </w:rPr>
        <w:t>在保证公司</w:t>
      </w:r>
      <w:r>
        <w:t>资产、人员、财务、机构、业务等方面独立性的具体措施，以及</w:t>
      </w:r>
      <w:r>
        <w:rPr>
          <w:rFonts w:hint="eastAsia"/>
        </w:rPr>
        <w:t>影响公司独立性而采取的解决方案、工作进度及后续工作计划</w:t>
      </w:r>
    </w:p>
    <w:sdt>
      <w:sdtPr>
        <w:rPr>
          <w:rFonts w:hint="eastAsia"/>
        </w:rPr>
        <w:alias w:val="是否适用：公司就其与控股股东在业务、人员、资产、机构、财务等方面存在的不能保证独立性、不能保持自主经营能力的情况说明[双击切换]"/>
        <w:tag w:val="_GBC_50c3f410fb5f41fcb5dafe7e6ee9876f"/>
        <w:id w:val="-359583901"/>
        <w:placeholder>
          <w:docPart w:val="GBC22222222222222222222222222222"/>
        </w:placeholder>
      </w:sdtPr>
      <w:sdtContent>
        <w:p w14:paraId="2F184305"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0CFE3B1" w14:textId="77777777" w:rsidR="00577D08" w:rsidRDefault="00330FC0">
      <w:pPr>
        <w:spacing w:line="360" w:lineRule="exact"/>
        <w:jc w:val="both"/>
        <w:rPr>
          <w:b/>
        </w:rPr>
      </w:pPr>
      <w:r>
        <w:rPr>
          <w:rFonts w:hint="eastAsia"/>
          <w:b/>
        </w:rPr>
        <w:t>（一）关于控股股东、实际控制人同时担任董事长及总经理的合理性说明</w:t>
      </w:r>
    </w:p>
    <w:p w14:paraId="525EE513" w14:textId="77777777" w:rsidR="00577D08" w:rsidRDefault="00330FC0">
      <w:pPr>
        <w:spacing w:line="360" w:lineRule="exact"/>
        <w:ind w:firstLineChars="200" w:firstLine="420"/>
        <w:jc w:val="both"/>
      </w:pPr>
      <w:r>
        <w:rPr>
          <w:rFonts w:hint="eastAsia"/>
        </w:rPr>
        <w:t>公司控股股东、实际控制人杨泽民先生同时担任董事长及总经理，系基于公司发展阶段与实际经营需求作出的审慎安排，具有商业合理性与治理可行性。</w:t>
      </w:r>
    </w:p>
    <w:p w14:paraId="1D86F9B3" w14:textId="77777777" w:rsidR="00577D08" w:rsidRDefault="00330FC0">
      <w:pPr>
        <w:spacing w:line="360" w:lineRule="exact"/>
        <w:ind w:firstLineChars="200" w:firstLine="420"/>
        <w:jc w:val="both"/>
      </w:pPr>
      <w:r>
        <w:rPr>
          <w:rFonts w:hint="eastAsia"/>
        </w:rPr>
        <w:t>第一，有利于提升决策与执行效率。当前行业竞争加剧，市场变化迅速，对经营响应的及时性与执行力提出更高要求。控股股东作为公司创始人，长期深耕主业，深刻把握产业趋势与发展战略。由其同时担任董事长与总经理，可最大限度压缩决策与执行之间的传导环节，确保战略意图高效落地，实现权责统一，有利于在关键时期统筹资源、把握机遇。</w:t>
      </w:r>
    </w:p>
    <w:p w14:paraId="5E25FBCD" w14:textId="77777777" w:rsidR="00577D08" w:rsidRDefault="00330FC0">
      <w:pPr>
        <w:spacing w:line="360" w:lineRule="exact"/>
        <w:ind w:firstLineChars="200" w:firstLine="420"/>
        <w:jc w:val="both"/>
      </w:pPr>
      <w:r>
        <w:rPr>
          <w:rFonts w:hint="eastAsia"/>
        </w:rPr>
        <w:t>第二，强化责任统一与利益协同。控股股东直接负责日常经营，既承担决策责任，也直面经营结果，有助于增强责任意识，确保决策贴近实际。同时，该安排体现了控股股东对公司发展的深度投入与长期信心，有利于实现股东利益与管理目标的高度一致。</w:t>
      </w:r>
    </w:p>
    <w:p w14:paraId="7239D504" w14:textId="77777777" w:rsidR="00577D08" w:rsidRDefault="00330FC0">
      <w:pPr>
        <w:spacing w:line="360" w:lineRule="exact"/>
        <w:ind w:firstLineChars="200" w:firstLine="420"/>
        <w:jc w:val="both"/>
      </w:pPr>
      <w:r>
        <w:rPr>
          <w:rFonts w:hint="eastAsia"/>
        </w:rPr>
        <w:t>第三，依法合规纳入治理框架。该任职安排严格遵循相关法律法规要求，已履行相应审议程序。公司通过完善治理机制，合理界定各治理层级的职责边界，确保该安排在规范框架内运行，不以规避监督为目的，始终服务于公司发展大局。</w:t>
      </w:r>
    </w:p>
    <w:p w14:paraId="2FADE9B9" w14:textId="77777777" w:rsidR="00577D08" w:rsidRDefault="00330FC0">
      <w:pPr>
        <w:spacing w:line="360" w:lineRule="exact"/>
        <w:jc w:val="both"/>
        <w:rPr>
          <w:b/>
        </w:rPr>
      </w:pPr>
      <w:r>
        <w:rPr>
          <w:rFonts w:hint="eastAsia"/>
          <w:b/>
        </w:rPr>
        <w:t>（二）保证公司独立性的具体措施</w:t>
      </w:r>
    </w:p>
    <w:p w14:paraId="3DEC2E02" w14:textId="77777777" w:rsidR="00577D08" w:rsidRDefault="00330FC0">
      <w:pPr>
        <w:spacing w:line="360" w:lineRule="exact"/>
        <w:ind w:firstLineChars="200" w:firstLine="420"/>
        <w:jc w:val="both"/>
      </w:pPr>
      <w:r>
        <w:rPr>
          <w:rFonts w:hint="eastAsia"/>
        </w:rPr>
        <w:t>为切实保障公司资产、人员、财务、机构、业务独立性，防范潜在风险，公司严格执行以下措施：</w:t>
      </w:r>
    </w:p>
    <w:p w14:paraId="28ADC75D" w14:textId="77777777" w:rsidR="00577D08" w:rsidRDefault="00330FC0">
      <w:pPr>
        <w:spacing w:line="360" w:lineRule="exact"/>
        <w:ind w:firstLineChars="200" w:firstLine="420"/>
        <w:jc w:val="both"/>
      </w:pPr>
      <w:r>
        <w:rPr>
          <w:rFonts w:hint="eastAsia"/>
        </w:rPr>
        <w:lastRenderedPageBreak/>
        <w:t>在人员方面，公司与控股股东实行严格的人事与薪酬管理分离。除总经理任职外，其他高级管理人员均独立履职，不在控股股东单位兼任职务或领薪，财务人员独立设置。</w:t>
      </w:r>
    </w:p>
    <w:p w14:paraId="2DC5FCF3" w14:textId="77777777" w:rsidR="00577D08" w:rsidRDefault="00330FC0">
      <w:pPr>
        <w:spacing w:line="360" w:lineRule="exact"/>
        <w:ind w:firstLineChars="200" w:firstLine="420"/>
        <w:jc w:val="both"/>
      </w:pPr>
      <w:r>
        <w:rPr>
          <w:rFonts w:hint="eastAsia"/>
        </w:rPr>
        <w:t>在资产方面，公司资产独立完整、权属清晰，控股股东严格遵守规定，未以任何方式占用公司资产、资金或资源，不存在违规担保等行为。</w:t>
      </w:r>
    </w:p>
    <w:p w14:paraId="1F85B8AB" w14:textId="77777777" w:rsidR="00577D08" w:rsidRDefault="00330FC0">
      <w:pPr>
        <w:spacing w:line="360" w:lineRule="exact"/>
        <w:ind w:firstLineChars="200" w:firstLine="420"/>
        <w:jc w:val="both"/>
      </w:pPr>
      <w:r>
        <w:rPr>
          <w:rFonts w:hint="eastAsia"/>
        </w:rPr>
        <w:t>在财务方面，公司独立设置财务体系，独立开户、独立核算、依法纳税，控股股东未干预公司资金使用，未共用账户或纳入其财务系统。</w:t>
      </w:r>
    </w:p>
    <w:p w14:paraId="680A290C" w14:textId="77777777" w:rsidR="00577D08" w:rsidRDefault="00330FC0">
      <w:pPr>
        <w:spacing w:line="360" w:lineRule="exact"/>
        <w:ind w:firstLineChars="200" w:firstLine="420"/>
        <w:jc w:val="both"/>
      </w:pPr>
      <w:r>
        <w:rPr>
          <w:rFonts w:hint="eastAsia"/>
        </w:rPr>
        <w:t>在机构方面，公司治理结构健全，各治理主体独立运作。控股股东通过股东会行使权利，未超越权限干预经营。董事会下设专门委员会在关键环节发挥监督作用。</w:t>
      </w:r>
    </w:p>
    <w:p w14:paraId="68D5A2A6" w14:textId="77777777" w:rsidR="00577D08" w:rsidRDefault="00330FC0">
      <w:pPr>
        <w:spacing w:line="360" w:lineRule="exact"/>
        <w:ind w:firstLineChars="200" w:firstLine="420"/>
        <w:jc w:val="both"/>
      </w:pPr>
      <w:r>
        <w:rPr>
          <w:rFonts w:hint="eastAsia"/>
        </w:rPr>
        <w:t>在业务方面，公司具备独立经营资质与自主经营能力。控股股东已出具避免同业竞争承诺，关联交易履行决策程序，遵循公平原则。</w:t>
      </w:r>
    </w:p>
    <w:p w14:paraId="66CDACB8" w14:textId="77777777" w:rsidR="00577D08" w:rsidRDefault="00330FC0">
      <w:pPr>
        <w:spacing w:line="360" w:lineRule="exact"/>
        <w:jc w:val="both"/>
        <w:rPr>
          <w:b/>
        </w:rPr>
      </w:pPr>
      <w:r>
        <w:rPr>
          <w:rFonts w:hint="eastAsia"/>
          <w:b/>
        </w:rPr>
        <w:t>（三）公司独立性的后续工作计划</w:t>
      </w:r>
    </w:p>
    <w:p w14:paraId="7B67F6B1" w14:textId="77777777" w:rsidR="00577D08" w:rsidRDefault="00330FC0">
      <w:pPr>
        <w:spacing w:line="360" w:lineRule="exact"/>
        <w:ind w:firstLineChars="200" w:firstLine="420"/>
        <w:jc w:val="both"/>
      </w:pPr>
      <w:r>
        <w:rPr>
          <w:rFonts w:hint="eastAsia"/>
        </w:rPr>
        <w:t>为进一步巩固独立性，公司将持续强化治理机制，充分发挥独立董事与专门委员会在重大事项中的监督作用，确保对关联交易、重大决策等环节的审查独立、程序合规。同时，严格落实防范资金占用的长效机制，杜绝非经营性占用行为。此外，将持续完善内部监督体系，保持对重点领域与关键环节的常态化监督，确保内控有效运行，切实保障公司治理规范与中小股东合法权益。</w:t>
      </w:r>
    </w:p>
    <w:p w14:paraId="5E6FDB10" w14:textId="77777777" w:rsidR="00577D08" w:rsidRDefault="00577D08">
      <w:pPr>
        <w:spacing w:line="360" w:lineRule="exact"/>
        <w:ind w:firstLineChars="200" w:firstLine="420"/>
        <w:jc w:val="both"/>
      </w:pPr>
    </w:p>
    <w:p w14:paraId="0433CAE9" w14:textId="77777777" w:rsidR="00577D08" w:rsidRDefault="00330FC0">
      <w:pPr>
        <w:spacing w:line="360" w:lineRule="exact"/>
      </w:pPr>
      <w:r>
        <w:t>控</w:t>
      </w:r>
      <w:r>
        <w:rPr>
          <w:rFonts w:hint="eastAsia"/>
        </w:rPr>
        <w:t>股股东、实际控制人及其控制的其他单位从事与公司相同或者相近业务的情况，以及同业竞争或者同业竞争情况发生较大变化对公司的影响、已采取的解决措施、解决进展以及后续解决计划</w:t>
      </w:r>
    </w:p>
    <w:sdt>
      <w:sdtPr>
        <w:rPr>
          <w:rFonts w:hint="eastAsia"/>
        </w:rPr>
        <w:alias w:val="是否适用：存在同业竞争的，公司相应的解决措施、工作进度及后续工作计划[双击切换]"/>
        <w:tag w:val="_GBC_1883b6583caa4429822c73ae5e75f9f4"/>
        <w:id w:val="-870755859"/>
        <w:placeholder>
          <w:docPart w:val="GBC22222222222222222222222222222"/>
        </w:placeholder>
      </w:sdtPr>
      <w:sdtContent>
        <w:p w14:paraId="51FBF4C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9EB6A76" w14:textId="77777777" w:rsidR="00577D08" w:rsidRDefault="00577D08"/>
    <w:p w14:paraId="676012B9" w14:textId="77777777" w:rsidR="00577D08" w:rsidRDefault="00577D08">
      <w:pPr>
        <w:sectPr w:rsidR="00577D08">
          <w:pgSz w:w="11906" w:h="16838"/>
          <w:pgMar w:top="1525" w:right="1276" w:bottom="1440" w:left="1797" w:header="855" w:footer="992" w:gutter="0"/>
          <w:cols w:space="425"/>
          <w:docGrid w:linePitch="312"/>
        </w:sectPr>
      </w:pPr>
    </w:p>
    <w:p w14:paraId="6BBB2596" w14:textId="77777777" w:rsidR="00577D08" w:rsidRDefault="00330FC0">
      <w:pPr>
        <w:pStyle w:val="2"/>
        <w:numPr>
          <w:ilvl w:val="0"/>
          <w:numId w:val="18"/>
        </w:numPr>
        <w:ind w:left="450" w:hanging="450"/>
      </w:pPr>
      <w:r>
        <w:lastRenderedPageBreak/>
        <w:t>董事和高级管理人员的情况</w:t>
      </w:r>
    </w:p>
    <w:p w14:paraId="059DD84B" w14:textId="77777777" w:rsidR="00577D08" w:rsidRDefault="00330FC0">
      <w:pPr>
        <w:pStyle w:val="3"/>
        <w:numPr>
          <w:ilvl w:val="0"/>
          <w:numId w:val="19"/>
        </w:numPr>
        <w:ind w:left="0" w:firstLine="0"/>
      </w:pPr>
      <w:r>
        <w:t>现任及报告期内离任董事</w:t>
      </w:r>
      <w:r>
        <w:rPr>
          <w:rFonts w:hint="eastAsia"/>
        </w:rPr>
        <w:t>和</w:t>
      </w:r>
      <w:r>
        <w:t>高级管理人员持股变动及</w:t>
      </w:r>
      <w:r>
        <w:rPr>
          <w:rFonts w:hint="eastAsia"/>
        </w:rPr>
        <w:t>薪</w:t>
      </w:r>
      <w:r>
        <w:t>酬情况</w:t>
      </w:r>
    </w:p>
    <w:bookmarkStart w:id="164" w:name="_Hlk89179934" w:displacedByCustomXml="next"/>
    <w:sdt>
      <w:sdtPr>
        <w:alias w:val="是否适用：董事、监事和高级管理人员持股变动[双击切换]"/>
        <w:tag w:val="_GBC_336639f5f1254c87a3d81a366e432afd"/>
        <w:id w:val="1387295922"/>
        <w:lock w:val="contentLocked"/>
        <w:placeholder>
          <w:docPart w:val="GBC22222222222222222222222222222"/>
        </w:placeholder>
      </w:sdtPr>
      <w:sdtContent>
        <w:p w14:paraId="137F5ED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865E3F4" w14:textId="77777777" w:rsidR="00577D08" w:rsidRDefault="00330FC0">
      <w:pPr>
        <w:jc w:val="right"/>
      </w:pPr>
      <w:r>
        <w:rPr>
          <w:rFonts w:hint="eastAsia"/>
        </w:rPr>
        <w:t>单位：</w:t>
      </w:r>
      <w:sdt>
        <w:sdtPr>
          <w:rPr>
            <w:rFonts w:hint="eastAsia"/>
          </w:rPr>
          <w:alias w:val="单位：董事、监事、高级管理人员基本情况"/>
          <w:tag w:val="_GBC_3851936d51d842bf9f2c82131d0787cc"/>
          <w:id w:val="649340508"/>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rPr>
            <w:t>股</w:t>
          </w:r>
        </w:sdtContent>
      </w:sdt>
    </w:p>
    <w:tbl>
      <w:tblPr>
        <w:tblStyle w:val="aff2"/>
        <w:tblW w:w="0" w:type="auto"/>
        <w:tblLayout w:type="fixed"/>
        <w:tblLook w:val="04A0" w:firstRow="1" w:lastRow="0" w:firstColumn="1" w:lastColumn="0" w:noHBand="0" w:noVBand="1"/>
      </w:tblPr>
      <w:tblGrid>
        <w:gridCol w:w="1118"/>
        <w:gridCol w:w="1203"/>
        <w:gridCol w:w="946"/>
        <w:gridCol w:w="946"/>
        <w:gridCol w:w="1248"/>
        <w:gridCol w:w="1248"/>
        <w:gridCol w:w="1191"/>
        <w:gridCol w:w="1180"/>
        <w:gridCol w:w="1363"/>
        <w:gridCol w:w="1217"/>
        <w:gridCol w:w="1211"/>
        <w:gridCol w:w="1211"/>
      </w:tblGrid>
      <w:tr w:rsidR="00577D08" w14:paraId="4F4F8CE4" w14:textId="77777777">
        <w:trPr>
          <w:trHeight w:val="968"/>
        </w:trPr>
        <w:bookmarkStart w:id="165" w:name="OLE_LINK77" w:displacedByCustomXml="next"/>
        <w:sdt>
          <w:sdtPr>
            <w:tag w:val="_PLD_3e935958e5b542f38f53ca8a2618690d"/>
            <w:id w:val="-348339241"/>
          </w:sdtPr>
          <w:sdtContent>
            <w:tc>
              <w:tcPr>
                <w:tcW w:w="1118" w:type="dxa"/>
                <w:vAlign w:val="center"/>
              </w:tcPr>
              <w:p w14:paraId="17E6C190" w14:textId="77777777" w:rsidR="00577D08" w:rsidRDefault="00330FC0">
                <w:pPr>
                  <w:jc w:val="center"/>
                </w:pPr>
                <w:r>
                  <w:t>姓名</w:t>
                </w:r>
              </w:p>
            </w:tc>
          </w:sdtContent>
        </w:sdt>
        <w:sdt>
          <w:sdtPr>
            <w:tag w:val="_PLD_5ecaa59058dd4312acb6ebb4d88eb6c8"/>
            <w:id w:val="1871184040"/>
          </w:sdtPr>
          <w:sdtContent>
            <w:tc>
              <w:tcPr>
                <w:tcW w:w="1203" w:type="dxa"/>
                <w:vAlign w:val="center"/>
              </w:tcPr>
              <w:p w14:paraId="0A9C7474" w14:textId="77777777" w:rsidR="00577D08" w:rsidRDefault="00330FC0">
                <w:pPr>
                  <w:jc w:val="center"/>
                </w:pPr>
                <w:r>
                  <w:t>职务</w:t>
                </w:r>
              </w:p>
            </w:tc>
          </w:sdtContent>
        </w:sdt>
        <w:sdt>
          <w:sdtPr>
            <w:tag w:val="_PLD_f907f9c5cdf94b2ba9e217c0aaaf2c60"/>
            <w:id w:val="1708219880"/>
          </w:sdtPr>
          <w:sdtContent>
            <w:tc>
              <w:tcPr>
                <w:tcW w:w="946" w:type="dxa"/>
                <w:vAlign w:val="center"/>
              </w:tcPr>
              <w:p w14:paraId="2F2C3007" w14:textId="77777777" w:rsidR="00577D08" w:rsidRDefault="00330FC0">
                <w:pPr>
                  <w:jc w:val="center"/>
                </w:pPr>
                <w:r>
                  <w:t>性别</w:t>
                </w:r>
              </w:p>
            </w:tc>
          </w:sdtContent>
        </w:sdt>
        <w:sdt>
          <w:sdtPr>
            <w:tag w:val="_PLD_9b2689bca35f4a3ebc7adf135b295bd6"/>
            <w:id w:val="-175495471"/>
          </w:sdtPr>
          <w:sdtContent>
            <w:tc>
              <w:tcPr>
                <w:tcW w:w="946" w:type="dxa"/>
                <w:vAlign w:val="center"/>
              </w:tcPr>
              <w:p w14:paraId="4D3B44A0" w14:textId="77777777" w:rsidR="00577D08" w:rsidRDefault="00330FC0">
                <w:pPr>
                  <w:jc w:val="center"/>
                </w:pPr>
                <w:r>
                  <w:t>年龄</w:t>
                </w:r>
              </w:p>
            </w:tc>
          </w:sdtContent>
        </w:sdt>
        <w:sdt>
          <w:sdtPr>
            <w:tag w:val="_PLD_3844eb481c79444fba199a9d3c3b8bf7"/>
            <w:id w:val="1762026316"/>
          </w:sdtPr>
          <w:sdtContent>
            <w:tc>
              <w:tcPr>
                <w:tcW w:w="1248" w:type="dxa"/>
                <w:vAlign w:val="center"/>
              </w:tcPr>
              <w:p w14:paraId="75C47DEC" w14:textId="77777777" w:rsidR="00577D08" w:rsidRDefault="00330FC0">
                <w:pPr>
                  <w:jc w:val="center"/>
                </w:pPr>
                <w:r>
                  <w:t>任期起始日期</w:t>
                </w:r>
              </w:p>
            </w:tc>
          </w:sdtContent>
        </w:sdt>
        <w:sdt>
          <w:sdtPr>
            <w:tag w:val="_PLD_94806df607544b4b97b389da94daaf66"/>
            <w:id w:val="-1107728378"/>
          </w:sdtPr>
          <w:sdtContent>
            <w:tc>
              <w:tcPr>
                <w:tcW w:w="1248" w:type="dxa"/>
                <w:vAlign w:val="center"/>
              </w:tcPr>
              <w:p w14:paraId="0E1FB1BC" w14:textId="77777777" w:rsidR="00577D08" w:rsidRDefault="00330FC0">
                <w:pPr>
                  <w:jc w:val="center"/>
                </w:pPr>
                <w:r>
                  <w:t>任期终止日期</w:t>
                </w:r>
              </w:p>
            </w:tc>
          </w:sdtContent>
        </w:sdt>
        <w:sdt>
          <w:sdtPr>
            <w:tag w:val="_PLD_5e35d588fd7f4cb3af49fcbd9e313ac2"/>
            <w:id w:val="228431587"/>
          </w:sdtPr>
          <w:sdtContent>
            <w:tc>
              <w:tcPr>
                <w:tcW w:w="1191" w:type="dxa"/>
                <w:vAlign w:val="center"/>
              </w:tcPr>
              <w:p w14:paraId="70F23B75" w14:textId="77777777" w:rsidR="00577D08" w:rsidRDefault="00330FC0">
                <w:pPr>
                  <w:jc w:val="center"/>
                </w:pPr>
                <w:r>
                  <w:t>年初持股数</w:t>
                </w:r>
              </w:p>
            </w:tc>
          </w:sdtContent>
        </w:sdt>
        <w:sdt>
          <w:sdtPr>
            <w:tag w:val="_PLD_af0cabd7e3f44b95b26464bc652333c2"/>
            <w:id w:val="-557630521"/>
          </w:sdtPr>
          <w:sdtContent>
            <w:tc>
              <w:tcPr>
                <w:tcW w:w="1180" w:type="dxa"/>
                <w:vAlign w:val="center"/>
              </w:tcPr>
              <w:p w14:paraId="17DFE042" w14:textId="77777777" w:rsidR="00577D08" w:rsidRDefault="00330FC0">
                <w:pPr>
                  <w:jc w:val="center"/>
                </w:pPr>
                <w:r>
                  <w:t>年末持股数</w:t>
                </w:r>
              </w:p>
            </w:tc>
          </w:sdtContent>
        </w:sdt>
        <w:sdt>
          <w:sdtPr>
            <w:tag w:val="_PLD_0b9453da77b34ba68718efe69463399a"/>
            <w:id w:val="-1522011193"/>
          </w:sdtPr>
          <w:sdtContent>
            <w:tc>
              <w:tcPr>
                <w:tcW w:w="1363" w:type="dxa"/>
                <w:vAlign w:val="center"/>
              </w:tcPr>
              <w:p w14:paraId="02AAF50F" w14:textId="77777777" w:rsidR="00577D08" w:rsidRDefault="00330FC0">
                <w:pPr>
                  <w:jc w:val="center"/>
                </w:pPr>
                <w:r>
                  <w:t>年度内股份增减变动量</w:t>
                </w:r>
              </w:p>
            </w:tc>
          </w:sdtContent>
        </w:sdt>
        <w:sdt>
          <w:sdtPr>
            <w:tag w:val="_PLD_32c045d1529e42b7999b1f0c6b6e43a6"/>
            <w:id w:val="-1775396420"/>
          </w:sdtPr>
          <w:sdtContent>
            <w:tc>
              <w:tcPr>
                <w:tcW w:w="1217" w:type="dxa"/>
                <w:vAlign w:val="center"/>
              </w:tcPr>
              <w:p w14:paraId="7387F2F3" w14:textId="77777777" w:rsidR="00577D08" w:rsidRDefault="00330FC0">
                <w:pPr>
                  <w:jc w:val="center"/>
                </w:pPr>
                <w:r>
                  <w:t>增减变动原因</w:t>
                </w:r>
              </w:p>
            </w:tc>
          </w:sdtContent>
        </w:sdt>
        <w:sdt>
          <w:sdtPr>
            <w:tag w:val="_PLD_47ee572944fa4c8098ef9eeca67d2eb2"/>
            <w:id w:val="-404603581"/>
          </w:sdtPr>
          <w:sdtContent>
            <w:tc>
              <w:tcPr>
                <w:tcW w:w="1211" w:type="dxa"/>
                <w:vAlign w:val="center"/>
              </w:tcPr>
              <w:p w14:paraId="41803E74" w14:textId="77777777" w:rsidR="00577D08" w:rsidRDefault="00330FC0">
                <w:pPr>
                  <w:jc w:val="center"/>
                </w:pPr>
                <w:r>
                  <w:rPr>
                    <w:rFonts w:hint="eastAsia"/>
                  </w:rPr>
                  <w:t>报告期内从公司获得的税前薪酬总额（</w:t>
                </w:r>
                <w:sdt>
                  <w:sdtPr>
                    <w:rPr>
                      <w:rFonts w:hint="eastAsia"/>
                    </w:rPr>
                    <w:alias w:val="单位：报告期内从公司获得的税前报酬总额"/>
                    <w:tag w:val="_GBC_84bf98b6209e4e62813239bd0860e78d"/>
                    <w:id w:val="450137006"/>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w:t>
                </w:r>
              </w:p>
            </w:tc>
          </w:sdtContent>
        </w:sdt>
        <w:sdt>
          <w:sdtPr>
            <w:tag w:val="_PLD_efdfb631398b46bfa3656e39fd8c5fca"/>
            <w:id w:val="-1760445587"/>
          </w:sdtPr>
          <w:sdtContent>
            <w:tc>
              <w:tcPr>
                <w:tcW w:w="1211" w:type="dxa"/>
                <w:vAlign w:val="center"/>
              </w:tcPr>
              <w:p w14:paraId="6FE8C161" w14:textId="77777777" w:rsidR="00577D08" w:rsidRDefault="00330FC0">
                <w:pPr>
                  <w:jc w:val="center"/>
                </w:pPr>
                <w:r>
                  <w:rPr>
                    <w:rFonts w:hint="eastAsia"/>
                  </w:rPr>
                  <w:t>是否在公司关联方获取薪酬</w:t>
                </w:r>
              </w:p>
            </w:tc>
          </w:sdtContent>
        </w:sdt>
      </w:tr>
      <w:tr w:rsidR="00577D08" w14:paraId="31B7F27B" w14:textId="77777777">
        <w:trPr>
          <w:trHeight w:val="132"/>
        </w:trPr>
        <w:tc>
          <w:tcPr>
            <w:tcW w:w="1118" w:type="dxa"/>
            <w:vAlign w:val="center"/>
          </w:tcPr>
          <w:p w14:paraId="39DCDAF9" w14:textId="77777777" w:rsidR="00577D08" w:rsidRDefault="00330FC0">
            <w:pPr>
              <w:rPr>
                <w:sz w:val="18"/>
                <w:szCs w:val="18"/>
              </w:rPr>
            </w:pPr>
            <w:r>
              <w:rPr>
                <w:rFonts w:ascii="宋体" w:hAnsi="宋体" w:hint="eastAsia"/>
                <w:color w:val="000000"/>
                <w:sz w:val="18"/>
                <w:szCs w:val="18"/>
              </w:rPr>
              <w:t>杨泽民</w:t>
            </w:r>
          </w:p>
        </w:tc>
        <w:tc>
          <w:tcPr>
            <w:tcW w:w="1203" w:type="dxa"/>
            <w:vAlign w:val="center"/>
          </w:tcPr>
          <w:p w14:paraId="68C95B9F" w14:textId="77777777" w:rsidR="00577D08" w:rsidRDefault="00330FC0">
            <w:pPr>
              <w:rPr>
                <w:sz w:val="18"/>
                <w:szCs w:val="18"/>
              </w:rPr>
            </w:pPr>
            <w:r>
              <w:rPr>
                <w:rFonts w:ascii="宋体" w:hAnsi="宋体" w:hint="eastAsia"/>
                <w:color w:val="000000"/>
                <w:sz w:val="18"/>
                <w:szCs w:val="18"/>
              </w:rPr>
              <w:t>董事长、总经理</w:t>
            </w:r>
          </w:p>
        </w:tc>
        <w:tc>
          <w:tcPr>
            <w:tcW w:w="946" w:type="dxa"/>
            <w:vAlign w:val="center"/>
          </w:tcPr>
          <w:p w14:paraId="0FCCC273"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3D4C6788" w14:textId="77777777" w:rsidR="00577D08" w:rsidRDefault="00330FC0">
            <w:pPr>
              <w:jc w:val="right"/>
              <w:rPr>
                <w:sz w:val="18"/>
                <w:szCs w:val="18"/>
              </w:rPr>
            </w:pPr>
            <w:r>
              <w:rPr>
                <w:rFonts w:ascii="宋体" w:hAnsi="宋体" w:hint="eastAsia"/>
                <w:color w:val="000000"/>
                <w:sz w:val="18"/>
                <w:szCs w:val="18"/>
              </w:rPr>
              <w:t>59</w:t>
            </w:r>
          </w:p>
        </w:tc>
        <w:tc>
          <w:tcPr>
            <w:tcW w:w="1248" w:type="dxa"/>
            <w:vAlign w:val="center"/>
          </w:tcPr>
          <w:p w14:paraId="372C9743" w14:textId="77777777" w:rsidR="00577D08" w:rsidRDefault="00330FC0">
            <w:pPr>
              <w:jc w:val="right"/>
              <w:rPr>
                <w:sz w:val="18"/>
                <w:szCs w:val="18"/>
              </w:rPr>
            </w:pPr>
            <w:r>
              <w:rPr>
                <w:rFonts w:ascii="宋体" w:hAnsi="宋体" w:hint="eastAsia"/>
                <w:color w:val="000000"/>
                <w:sz w:val="18"/>
                <w:szCs w:val="18"/>
              </w:rPr>
              <w:t>2014.12.15</w:t>
            </w:r>
          </w:p>
        </w:tc>
        <w:tc>
          <w:tcPr>
            <w:tcW w:w="1248" w:type="dxa"/>
            <w:vAlign w:val="center"/>
          </w:tcPr>
          <w:p w14:paraId="44B3AA6C"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3B9DDD35" w14:textId="77777777" w:rsidR="00577D08" w:rsidRDefault="00330FC0">
            <w:pPr>
              <w:jc w:val="right"/>
              <w:rPr>
                <w:sz w:val="18"/>
                <w:szCs w:val="18"/>
              </w:rPr>
            </w:pPr>
            <w:r>
              <w:rPr>
                <w:rFonts w:ascii="宋体" w:hAnsi="宋体" w:hint="eastAsia"/>
                <w:color w:val="000000"/>
                <w:sz w:val="18"/>
                <w:szCs w:val="18"/>
              </w:rPr>
              <w:t>52,618,391</w:t>
            </w:r>
          </w:p>
        </w:tc>
        <w:tc>
          <w:tcPr>
            <w:tcW w:w="1180" w:type="dxa"/>
            <w:vAlign w:val="center"/>
          </w:tcPr>
          <w:p w14:paraId="323C0A47" w14:textId="77777777" w:rsidR="00577D08" w:rsidRDefault="00330FC0">
            <w:pPr>
              <w:jc w:val="right"/>
              <w:rPr>
                <w:sz w:val="18"/>
                <w:szCs w:val="18"/>
              </w:rPr>
            </w:pPr>
            <w:r>
              <w:rPr>
                <w:rFonts w:ascii="宋体" w:hAnsi="宋体" w:hint="eastAsia"/>
                <w:color w:val="000000"/>
                <w:sz w:val="18"/>
                <w:szCs w:val="18"/>
              </w:rPr>
              <w:t>52,618,391</w:t>
            </w:r>
          </w:p>
        </w:tc>
        <w:tc>
          <w:tcPr>
            <w:tcW w:w="1363" w:type="dxa"/>
            <w:vAlign w:val="center"/>
          </w:tcPr>
          <w:p w14:paraId="44631F55" w14:textId="77777777" w:rsidR="00577D08" w:rsidRDefault="00330FC0">
            <w:pPr>
              <w:jc w:val="right"/>
              <w:rPr>
                <w:sz w:val="18"/>
                <w:szCs w:val="18"/>
              </w:rPr>
            </w:pPr>
            <w:r>
              <w:rPr>
                <w:rFonts w:ascii="宋体" w:hAnsi="宋体" w:hint="eastAsia"/>
                <w:color w:val="000000"/>
                <w:sz w:val="18"/>
                <w:szCs w:val="18"/>
              </w:rPr>
              <w:t>0</w:t>
            </w:r>
          </w:p>
        </w:tc>
        <w:tc>
          <w:tcPr>
            <w:tcW w:w="1217" w:type="dxa"/>
            <w:vAlign w:val="center"/>
          </w:tcPr>
          <w:p w14:paraId="29B5DC0B" w14:textId="77777777" w:rsidR="00577D08" w:rsidRDefault="00330FC0">
            <w:pPr>
              <w:rPr>
                <w:sz w:val="18"/>
                <w:szCs w:val="18"/>
              </w:rPr>
            </w:pPr>
            <w:r>
              <w:rPr>
                <w:rFonts w:ascii="宋体" w:hAnsi="宋体" w:hint="eastAsia"/>
                <w:sz w:val="18"/>
                <w:szCs w:val="18"/>
              </w:rPr>
              <w:t>/</w:t>
            </w:r>
          </w:p>
        </w:tc>
        <w:tc>
          <w:tcPr>
            <w:tcW w:w="1211" w:type="dxa"/>
            <w:vAlign w:val="center"/>
          </w:tcPr>
          <w:p w14:paraId="40C75582"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75.90</w:t>
            </w:r>
          </w:p>
        </w:tc>
        <w:tc>
          <w:tcPr>
            <w:tcW w:w="1211" w:type="dxa"/>
            <w:vAlign w:val="center"/>
          </w:tcPr>
          <w:p w14:paraId="3A2828F4"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1BAEDD3C" w14:textId="77777777">
        <w:trPr>
          <w:trHeight w:val="132"/>
        </w:trPr>
        <w:tc>
          <w:tcPr>
            <w:tcW w:w="1118" w:type="dxa"/>
            <w:vAlign w:val="center"/>
          </w:tcPr>
          <w:p w14:paraId="78DE2A5A" w14:textId="77777777" w:rsidR="00577D08" w:rsidRDefault="00330FC0">
            <w:pPr>
              <w:rPr>
                <w:sz w:val="18"/>
                <w:szCs w:val="18"/>
              </w:rPr>
            </w:pPr>
            <w:r>
              <w:rPr>
                <w:rFonts w:ascii="宋体" w:hAnsi="宋体" w:hint="eastAsia"/>
                <w:color w:val="000000"/>
                <w:sz w:val="18"/>
                <w:szCs w:val="18"/>
              </w:rPr>
              <w:t>杨林</w:t>
            </w:r>
          </w:p>
        </w:tc>
        <w:tc>
          <w:tcPr>
            <w:tcW w:w="1203" w:type="dxa"/>
            <w:vAlign w:val="center"/>
          </w:tcPr>
          <w:p w14:paraId="7E0BBE72" w14:textId="77777777" w:rsidR="00577D08" w:rsidRDefault="00330FC0">
            <w:pPr>
              <w:rPr>
                <w:sz w:val="18"/>
                <w:szCs w:val="18"/>
              </w:rPr>
            </w:pPr>
            <w:r>
              <w:rPr>
                <w:rFonts w:ascii="宋体" w:hAnsi="宋体" w:hint="eastAsia"/>
                <w:color w:val="000000"/>
                <w:sz w:val="18"/>
                <w:szCs w:val="18"/>
              </w:rPr>
              <w:t>董事、副总经理</w:t>
            </w:r>
          </w:p>
        </w:tc>
        <w:tc>
          <w:tcPr>
            <w:tcW w:w="946" w:type="dxa"/>
            <w:vAlign w:val="center"/>
          </w:tcPr>
          <w:p w14:paraId="23961014"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4EF3A210" w14:textId="77777777" w:rsidR="00577D08" w:rsidRDefault="00330FC0">
            <w:pPr>
              <w:jc w:val="right"/>
              <w:rPr>
                <w:sz w:val="18"/>
                <w:szCs w:val="18"/>
              </w:rPr>
            </w:pPr>
            <w:r>
              <w:rPr>
                <w:rFonts w:ascii="宋体" w:hAnsi="宋体" w:hint="eastAsia"/>
                <w:color w:val="000000"/>
                <w:sz w:val="18"/>
                <w:szCs w:val="18"/>
              </w:rPr>
              <w:t>46</w:t>
            </w:r>
          </w:p>
        </w:tc>
        <w:tc>
          <w:tcPr>
            <w:tcW w:w="1248" w:type="dxa"/>
            <w:vAlign w:val="center"/>
          </w:tcPr>
          <w:p w14:paraId="739D0EA2"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6B476059"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2C482E25" w14:textId="77777777" w:rsidR="00577D08" w:rsidRDefault="00330FC0">
            <w:pPr>
              <w:jc w:val="right"/>
              <w:rPr>
                <w:sz w:val="18"/>
                <w:szCs w:val="18"/>
              </w:rPr>
            </w:pPr>
            <w:r>
              <w:rPr>
                <w:rFonts w:ascii="宋体" w:hAnsi="宋体" w:hint="eastAsia"/>
                <w:color w:val="000000"/>
                <w:sz w:val="18"/>
                <w:szCs w:val="18"/>
              </w:rPr>
              <w:t>220,000</w:t>
            </w:r>
          </w:p>
        </w:tc>
        <w:tc>
          <w:tcPr>
            <w:tcW w:w="1180" w:type="dxa"/>
            <w:vAlign w:val="center"/>
          </w:tcPr>
          <w:p w14:paraId="681F0600" w14:textId="77777777" w:rsidR="00577D08" w:rsidRDefault="00330FC0">
            <w:pPr>
              <w:jc w:val="right"/>
              <w:rPr>
                <w:sz w:val="18"/>
                <w:szCs w:val="18"/>
              </w:rPr>
            </w:pPr>
            <w:r>
              <w:rPr>
                <w:rFonts w:ascii="宋体" w:hAnsi="宋体" w:hint="eastAsia"/>
                <w:color w:val="000000"/>
                <w:sz w:val="18"/>
                <w:szCs w:val="18"/>
              </w:rPr>
              <w:t>154,000</w:t>
            </w:r>
          </w:p>
        </w:tc>
        <w:tc>
          <w:tcPr>
            <w:tcW w:w="1363" w:type="dxa"/>
            <w:vAlign w:val="center"/>
          </w:tcPr>
          <w:p w14:paraId="09360F8F" w14:textId="77777777" w:rsidR="00577D08" w:rsidRDefault="00330FC0">
            <w:pPr>
              <w:jc w:val="right"/>
              <w:rPr>
                <w:sz w:val="18"/>
                <w:szCs w:val="18"/>
              </w:rPr>
            </w:pPr>
            <w:r>
              <w:rPr>
                <w:rFonts w:ascii="宋体" w:hAnsi="宋体" w:hint="eastAsia"/>
                <w:color w:val="000000"/>
                <w:sz w:val="18"/>
                <w:szCs w:val="18"/>
              </w:rPr>
              <w:t>-66,000</w:t>
            </w:r>
          </w:p>
        </w:tc>
        <w:tc>
          <w:tcPr>
            <w:tcW w:w="1217" w:type="dxa"/>
            <w:vAlign w:val="center"/>
          </w:tcPr>
          <w:p w14:paraId="79FFA774" w14:textId="77777777" w:rsidR="00577D08" w:rsidRDefault="00330FC0">
            <w:pPr>
              <w:rPr>
                <w:sz w:val="18"/>
                <w:szCs w:val="18"/>
              </w:rPr>
            </w:pPr>
            <w:r>
              <w:rPr>
                <w:rFonts w:ascii="宋体" w:hAnsi="宋体" w:hint="eastAsia"/>
                <w:color w:val="000000"/>
                <w:sz w:val="18"/>
                <w:szCs w:val="18"/>
              </w:rPr>
              <w:t>限制性股票回购注销</w:t>
            </w:r>
          </w:p>
        </w:tc>
        <w:tc>
          <w:tcPr>
            <w:tcW w:w="1211" w:type="dxa"/>
            <w:vAlign w:val="center"/>
          </w:tcPr>
          <w:p w14:paraId="5FC80A6B"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73.74</w:t>
            </w:r>
          </w:p>
        </w:tc>
        <w:tc>
          <w:tcPr>
            <w:tcW w:w="1211" w:type="dxa"/>
            <w:vAlign w:val="center"/>
          </w:tcPr>
          <w:p w14:paraId="18449FB0"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59C7A917" w14:textId="77777777">
        <w:trPr>
          <w:trHeight w:val="132"/>
        </w:trPr>
        <w:tc>
          <w:tcPr>
            <w:tcW w:w="1118" w:type="dxa"/>
            <w:vAlign w:val="center"/>
          </w:tcPr>
          <w:p w14:paraId="1E6A066A" w14:textId="77777777" w:rsidR="00577D08" w:rsidRDefault="00330FC0">
            <w:pPr>
              <w:rPr>
                <w:sz w:val="18"/>
                <w:szCs w:val="18"/>
              </w:rPr>
            </w:pPr>
            <w:r>
              <w:rPr>
                <w:rFonts w:ascii="宋体" w:hAnsi="宋体" w:hint="eastAsia"/>
                <w:color w:val="000000"/>
                <w:sz w:val="18"/>
                <w:szCs w:val="18"/>
              </w:rPr>
              <w:t>胡守天</w:t>
            </w:r>
          </w:p>
        </w:tc>
        <w:tc>
          <w:tcPr>
            <w:tcW w:w="1203" w:type="dxa"/>
            <w:vAlign w:val="center"/>
          </w:tcPr>
          <w:p w14:paraId="6484CC26" w14:textId="77777777" w:rsidR="00577D08" w:rsidRDefault="00330FC0">
            <w:pPr>
              <w:rPr>
                <w:sz w:val="18"/>
                <w:szCs w:val="18"/>
              </w:rPr>
            </w:pPr>
            <w:r>
              <w:rPr>
                <w:rFonts w:ascii="宋体" w:hAnsi="宋体" w:hint="eastAsia"/>
                <w:color w:val="000000"/>
                <w:sz w:val="18"/>
                <w:szCs w:val="18"/>
              </w:rPr>
              <w:t>董事、副总经理</w:t>
            </w:r>
          </w:p>
        </w:tc>
        <w:tc>
          <w:tcPr>
            <w:tcW w:w="946" w:type="dxa"/>
            <w:vAlign w:val="center"/>
          </w:tcPr>
          <w:p w14:paraId="5598BE1F"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5FC28FD0" w14:textId="77777777" w:rsidR="00577D08" w:rsidRDefault="00330FC0">
            <w:pPr>
              <w:jc w:val="right"/>
              <w:rPr>
                <w:sz w:val="18"/>
                <w:szCs w:val="18"/>
              </w:rPr>
            </w:pPr>
            <w:r>
              <w:rPr>
                <w:rFonts w:ascii="宋体" w:hAnsi="宋体" w:hint="eastAsia"/>
                <w:color w:val="000000"/>
                <w:sz w:val="18"/>
                <w:szCs w:val="18"/>
              </w:rPr>
              <w:t>53</w:t>
            </w:r>
          </w:p>
        </w:tc>
        <w:tc>
          <w:tcPr>
            <w:tcW w:w="1248" w:type="dxa"/>
            <w:vAlign w:val="center"/>
          </w:tcPr>
          <w:p w14:paraId="461415A0"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0B8E66A8"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7104F21A" w14:textId="77777777" w:rsidR="00577D08" w:rsidRDefault="00330FC0">
            <w:pPr>
              <w:jc w:val="right"/>
              <w:rPr>
                <w:sz w:val="18"/>
                <w:szCs w:val="18"/>
              </w:rPr>
            </w:pPr>
            <w:r>
              <w:rPr>
                <w:rFonts w:ascii="宋体" w:hAnsi="宋体" w:hint="eastAsia"/>
                <w:color w:val="000000"/>
                <w:sz w:val="18"/>
                <w:szCs w:val="18"/>
              </w:rPr>
              <w:t>90,000</w:t>
            </w:r>
          </w:p>
        </w:tc>
        <w:tc>
          <w:tcPr>
            <w:tcW w:w="1180" w:type="dxa"/>
            <w:vAlign w:val="center"/>
          </w:tcPr>
          <w:p w14:paraId="65C8BCB0" w14:textId="77777777" w:rsidR="00577D08" w:rsidRDefault="00330FC0">
            <w:pPr>
              <w:jc w:val="right"/>
              <w:rPr>
                <w:sz w:val="18"/>
                <w:szCs w:val="18"/>
              </w:rPr>
            </w:pPr>
            <w:r>
              <w:rPr>
                <w:rFonts w:ascii="宋体" w:hAnsi="宋体" w:hint="eastAsia"/>
                <w:color w:val="000000"/>
                <w:sz w:val="18"/>
                <w:szCs w:val="18"/>
              </w:rPr>
              <w:t>63,000</w:t>
            </w:r>
          </w:p>
        </w:tc>
        <w:tc>
          <w:tcPr>
            <w:tcW w:w="1363" w:type="dxa"/>
            <w:vAlign w:val="center"/>
          </w:tcPr>
          <w:p w14:paraId="60FBA5D8" w14:textId="77777777" w:rsidR="00577D08" w:rsidRDefault="00330FC0">
            <w:pPr>
              <w:jc w:val="right"/>
              <w:rPr>
                <w:sz w:val="18"/>
                <w:szCs w:val="18"/>
              </w:rPr>
            </w:pPr>
            <w:r>
              <w:rPr>
                <w:rFonts w:ascii="宋体" w:hAnsi="宋体" w:hint="eastAsia"/>
                <w:color w:val="000000"/>
                <w:sz w:val="18"/>
                <w:szCs w:val="18"/>
              </w:rPr>
              <w:t>-27,000</w:t>
            </w:r>
          </w:p>
        </w:tc>
        <w:tc>
          <w:tcPr>
            <w:tcW w:w="1217" w:type="dxa"/>
            <w:vAlign w:val="center"/>
          </w:tcPr>
          <w:p w14:paraId="31163D9D" w14:textId="77777777" w:rsidR="00577D08" w:rsidRDefault="00330FC0">
            <w:pPr>
              <w:rPr>
                <w:sz w:val="18"/>
                <w:szCs w:val="18"/>
              </w:rPr>
            </w:pPr>
            <w:r>
              <w:rPr>
                <w:rFonts w:ascii="宋体" w:hAnsi="宋体" w:hint="eastAsia"/>
                <w:color w:val="000000"/>
                <w:sz w:val="18"/>
                <w:szCs w:val="18"/>
              </w:rPr>
              <w:t>限制性股票回购注销</w:t>
            </w:r>
          </w:p>
        </w:tc>
        <w:tc>
          <w:tcPr>
            <w:tcW w:w="1211" w:type="dxa"/>
            <w:vAlign w:val="center"/>
          </w:tcPr>
          <w:p w14:paraId="3D468A53"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87.48</w:t>
            </w:r>
          </w:p>
        </w:tc>
        <w:tc>
          <w:tcPr>
            <w:tcW w:w="1211" w:type="dxa"/>
            <w:vAlign w:val="center"/>
          </w:tcPr>
          <w:p w14:paraId="56356745"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3547751E" w14:textId="77777777">
        <w:trPr>
          <w:trHeight w:val="132"/>
        </w:trPr>
        <w:tc>
          <w:tcPr>
            <w:tcW w:w="1118" w:type="dxa"/>
            <w:vAlign w:val="center"/>
          </w:tcPr>
          <w:p w14:paraId="5BAECE31" w14:textId="77777777" w:rsidR="00577D08" w:rsidRDefault="00330FC0">
            <w:pPr>
              <w:rPr>
                <w:sz w:val="18"/>
                <w:szCs w:val="18"/>
              </w:rPr>
            </w:pPr>
            <w:r>
              <w:rPr>
                <w:rFonts w:ascii="宋体" w:hAnsi="宋体" w:hint="eastAsia"/>
                <w:color w:val="000000"/>
                <w:sz w:val="18"/>
                <w:szCs w:val="18"/>
              </w:rPr>
              <w:t>付康</w:t>
            </w:r>
          </w:p>
        </w:tc>
        <w:tc>
          <w:tcPr>
            <w:tcW w:w="1203" w:type="dxa"/>
            <w:vAlign w:val="center"/>
          </w:tcPr>
          <w:p w14:paraId="5C290AC9" w14:textId="77777777" w:rsidR="00577D08" w:rsidRDefault="00330FC0">
            <w:pPr>
              <w:rPr>
                <w:sz w:val="18"/>
                <w:szCs w:val="18"/>
              </w:rPr>
            </w:pPr>
            <w:r>
              <w:rPr>
                <w:rFonts w:ascii="宋体" w:hAnsi="宋体" w:hint="eastAsia"/>
                <w:color w:val="000000"/>
                <w:sz w:val="18"/>
                <w:szCs w:val="18"/>
              </w:rPr>
              <w:t>董事</w:t>
            </w:r>
          </w:p>
        </w:tc>
        <w:tc>
          <w:tcPr>
            <w:tcW w:w="946" w:type="dxa"/>
            <w:vAlign w:val="center"/>
          </w:tcPr>
          <w:p w14:paraId="2D8FAAD2"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7B99000B" w14:textId="77777777" w:rsidR="00577D08" w:rsidRDefault="00330FC0">
            <w:pPr>
              <w:jc w:val="right"/>
              <w:rPr>
                <w:sz w:val="18"/>
                <w:szCs w:val="18"/>
              </w:rPr>
            </w:pPr>
            <w:r>
              <w:rPr>
                <w:rFonts w:ascii="宋体" w:hAnsi="宋体" w:hint="eastAsia"/>
                <w:color w:val="000000"/>
                <w:sz w:val="18"/>
                <w:szCs w:val="18"/>
              </w:rPr>
              <w:t>43</w:t>
            </w:r>
          </w:p>
        </w:tc>
        <w:tc>
          <w:tcPr>
            <w:tcW w:w="1248" w:type="dxa"/>
            <w:vAlign w:val="center"/>
          </w:tcPr>
          <w:p w14:paraId="37A3AA52"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1CC9DD3D"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073931A6" w14:textId="77777777" w:rsidR="00577D08" w:rsidRDefault="00330FC0">
            <w:pPr>
              <w:jc w:val="right"/>
              <w:rPr>
                <w:sz w:val="18"/>
                <w:szCs w:val="18"/>
              </w:rPr>
            </w:pPr>
            <w:r>
              <w:rPr>
                <w:rFonts w:ascii="宋体" w:hAnsi="宋体" w:hint="eastAsia"/>
                <w:color w:val="000000"/>
                <w:sz w:val="18"/>
                <w:szCs w:val="18"/>
              </w:rPr>
              <w:t>90,000</w:t>
            </w:r>
          </w:p>
        </w:tc>
        <w:tc>
          <w:tcPr>
            <w:tcW w:w="1180" w:type="dxa"/>
            <w:vAlign w:val="center"/>
          </w:tcPr>
          <w:p w14:paraId="38326188" w14:textId="77777777" w:rsidR="00577D08" w:rsidRDefault="00330FC0">
            <w:pPr>
              <w:jc w:val="right"/>
              <w:rPr>
                <w:sz w:val="18"/>
                <w:szCs w:val="18"/>
              </w:rPr>
            </w:pPr>
            <w:r>
              <w:rPr>
                <w:rFonts w:ascii="宋体" w:hAnsi="宋体" w:hint="eastAsia"/>
                <w:color w:val="000000"/>
                <w:sz w:val="18"/>
                <w:szCs w:val="18"/>
              </w:rPr>
              <w:t>63,000</w:t>
            </w:r>
          </w:p>
        </w:tc>
        <w:tc>
          <w:tcPr>
            <w:tcW w:w="1363" w:type="dxa"/>
            <w:vAlign w:val="center"/>
          </w:tcPr>
          <w:p w14:paraId="7FD46908" w14:textId="77777777" w:rsidR="00577D08" w:rsidRDefault="00330FC0">
            <w:pPr>
              <w:jc w:val="right"/>
              <w:rPr>
                <w:sz w:val="18"/>
                <w:szCs w:val="18"/>
              </w:rPr>
            </w:pPr>
            <w:r>
              <w:rPr>
                <w:rFonts w:ascii="宋体" w:hAnsi="宋体" w:hint="eastAsia"/>
                <w:color w:val="000000"/>
                <w:sz w:val="18"/>
                <w:szCs w:val="18"/>
              </w:rPr>
              <w:t>-</w:t>
            </w:r>
            <w:bookmarkStart w:id="166" w:name="OLE_LINK76"/>
            <w:r>
              <w:rPr>
                <w:rFonts w:ascii="宋体" w:hAnsi="宋体" w:hint="eastAsia"/>
                <w:color w:val="000000"/>
                <w:sz w:val="18"/>
                <w:szCs w:val="18"/>
              </w:rPr>
              <w:t>27,000</w:t>
            </w:r>
            <w:bookmarkEnd w:id="166"/>
          </w:p>
        </w:tc>
        <w:tc>
          <w:tcPr>
            <w:tcW w:w="1217" w:type="dxa"/>
            <w:vAlign w:val="center"/>
          </w:tcPr>
          <w:p w14:paraId="12CE54D1" w14:textId="77777777" w:rsidR="00577D08" w:rsidRDefault="00330FC0">
            <w:pPr>
              <w:rPr>
                <w:sz w:val="18"/>
                <w:szCs w:val="18"/>
              </w:rPr>
            </w:pPr>
            <w:r>
              <w:rPr>
                <w:rFonts w:ascii="宋体" w:hAnsi="宋体" w:hint="eastAsia"/>
                <w:color w:val="000000"/>
                <w:sz w:val="18"/>
                <w:szCs w:val="18"/>
              </w:rPr>
              <w:t>限制性股票回购注销</w:t>
            </w:r>
          </w:p>
        </w:tc>
        <w:tc>
          <w:tcPr>
            <w:tcW w:w="1211" w:type="dxa"/>
            <w:vAlign w:val="center"/>
          </w:tcPr>
          <w:p w14:paraId="1098819D"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70.13</w:t>
            </w:r>
          </w:p>
        </w:tc>
        <w:tc>
          <w:tcPr>
            <w:tcW w:w="1211" w:type="dxa"/>
            <w:vAlign w:val="center"/>
          </w:tcPr>
          <w:p w14:paraId="45B1138A"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307331CA" w14:textId="77777777">
        <w:trPr>
          <w:trHeight w:val="132"/>
        </w:trPr>
        <w:tc>
          <w:tcPr>
            <w:tcW w:w="1118" w:type="dxa"/>
            <w:vMerge w:val="restart"/>
            <w:vAlign w:val="center"/>
          </w:tcPr>
          <w:p w14:paraId="1164CD87" w14:textId="77777777" w:rsidR="00577D08" w:rsidRDefault="00330FC0">
            <w:pPr>
              <w:rPr>
                <w:sz w:val="18"/>
                <w:szCs w:val="18"/>
              </w:rPr>
            </w:pPr>
            <w:r>
              <w:rPr>
                <w:rFonts w:ascii="宋体" w:hAnsi="宋体" w:hint="eastAsia"/>
                <w:sz w:val="18"/>
                <w:szCs w:val="18"/>
              </w:rPr>
              <w:t>王海波</w:t>
            </w:r>
          </w:p>
        </w:tc>
        <w:tc>
          <w:tcPr>
            <w:tcW w:w="1203" w:type="dxa"/>
            <w:vAlign w:val="center"/>
          </w:tcPr>
          <w:p w14:paraId="632D6E69" w14:textId="77777777" w:rsidR="00577D08" w:rsidRDefault="00330FC0">
            <w:pPr>
              <w:rPr>
                <w:sz w:val="18"/>
                <w:szCs w:val="18"/>
              </w:rPr>
            </w:pPr>
            <w:r>
              <w:rPr>
                <w:rFonts w:ascii="宋体" w:hAnsi="宋体" w:hint="eastAsia"/>
                <w:color w:val="000000"/>
                <w:sz w:val="18"/>
                <w:szCs w:val="18"/>
              </w:rPr>
              <w:t>董事</w:t>
            </w:r>
          </w:p>
        </w:tc>
        <w:tc>
          <w:tcPr>
            <w:tcW w:w="946" w:type="dxa"/>
            <w:vMerge w:val="restart"/>
            <w:vAlign w:val="center"/>
          </w:tcPr>
          <w:p w14:paraId="60F19F17" w14:textId="77777777" w:rsidR="00577D08" w:rsidRDefault="00330FC0">
            <w:pPr>
              <w:jc w:val="center"/>
              <w:rPr>
                <w:sz w:val="18"/>
                <w:szCs w:val="18"/>
              </w:rPr>
            </w:pPr>
            <w:r>
              <w:rPr>
                <w:rFonts w:ascii="宋体" w:hAnsi="宋体" w:hint="eastAsia"/>
                <w:color w:val="000000"/>
                <w:sz w:val="18"/>
                <w:szCs w:val="18"/>
              </w:rPr>
              <w:t>男</w:t>
            </w:r>
          </w:p>
        </w:tc>
        <w:tc>
          <w:tcPr>
            <w:tcW w:w="946" w:type="dxa"/>
            <w:vMerge w:val="restart"/>
            <w:vAlign w:val="center"/>
          </w:tcPr>
          <w:p w14:paraId="3071133E" w14:textId="77777777" w:rsidR="00577D08" w:rsidRDefault="00330FC0">
            <w:pPr>
              <w:jc w:val="right"/>
              <w:rPr>
                <w:sz w:val="18"/>
                <w:szCs w:val="18"/>
              </w:rPr>
            </w:pPr>
            <w:r>
              <w:rPr>
                <w:rFonts w:ascii="宋体" w:hAnsi="宋体"/>
                <w:color w:val="000000"/>
                <w:sz w:val="18"/>
                <w:szCs w:val="18"/>
              </w:rPr>
              <w:t>48</w:t>
            </w:r>
          </w:p>
        </w:tc>
        <w:tc>
          <w:tcPr>
            <w:tcW w:w="1248" w:type="dxa"/>
            <w:vAlign w:val="center"/>
          </w:tcPr>
          <w:p w14:paraId="7CFBFBD9" w14:textId="77777777" w:rsidR="00577D08" w:rsidRDefault="00330FC0">
            <w:pPr>
              <w:jc w:val="right"/>
              <w:rPr>
                <w:sz w:val="18"/>
                <w:szCs w:val="18"/>
              </w:rPr>
            </w:pPr>
            <w:r>
              <w:rPr>
                <w:rFonts w:ascii="宋体" w:hAnsi="宋体" w:hint="eastAsia"/>
                <w:color w:val="000000"/>
                <w:sz w:val="18"/>
                <w:szCs w:val="18"/>
              </w:rPr>
              <w:t>2019.04.18</w:t>
            </w:r>
          </w:p>
        </w:tc>
        <w:tc>
          <w:tcPr>
            <w:tcW w:w="1248" w:type="dxa"/>
            <w:vAlign w:val="center"/>
          </w:tcPr>
          <w:p w14:paraId="69F9BB3A" w14:textId="77777777" w:rsidR="00577D08" w:rsidRDefault="00330FC0">
            <w:pPr>
              <w:jc w:val="right"/>
              <w:rPr>
                <w:sz w:val="18"/>
                <w:szCs w:val="18"/>
              </w:rPr>
            </w:pPr>
            <w:r>
              <w:rPr>
                <w:rFonts w:ascii="宋体" w:hAnsi="宋体" w:hint="eastAsia"/>
                <w:color w:val="000000"/>
                <w:sz w:val="18"/>
                <w:szCs w:val="18"/>
              </w:rPr>
              <w:t>2026.11.12</w:t>
            </w:r>
          </w:p>
        </w:tc>
        <w:tc>
          <w:tcPr>
            <w:tcW w:w="1191" w:type="dxa"/>
            <w:vMerge w:val="restart"/>
            <w:vAlign w:val="center"/>
          </w:tcPr>
          <w:p w14:paraId="2C90829A" w14:textId="77777777" w:rsidR="00577D08" w:rsidRDefault="00330FC0">
            <w:pPr>
              <w:jc w:val="right"/>
              <w:rPr>
                <w:sz w:val="18"/>
                <w:szCs w:val="18"/>
              </w:rPr>
            </w:pPr>
            <w:r>
              <w:rPr>
                <w:rFonts w:ascii="宋体" w:hAnsi="宋体" w:hint="eastAsia"/>
                <w:color w:val="000000"/>
                <w:sz w:val="18"/>
                <w:szCs w:val="18"/>
              </w:rPr>
              <w:t>165,000</w:t>
            </w:r>
          </w:p>
        </w:tc>
        <w:tc>
          <w:tcPr>
            <w:tcW w:w="1180" w:type="dxa"/>
            <w:vMerge w:val="restart"/>
            <w:vAlign w:val="center"/>
          </w:tcPr>
          <w:p w14:paraId="3EEF2251" w14:textId="77777777" w:rsidR="00577D08" w:rsidRDefault="00330FC0">
            <w:pPr>
              <w:jc w:val="right"/>
              <w:rPr>
                <w:sz w:val="18"/>
                <w:szCs w:val="18"/>
              </w:rPr>
            </w:pPr>
            <w:r>
              <w:rPr>
                <w:rFonts w:ascii="宋体" w:hAnsi="宋体" w:hint="eastAsia"/>
                <w:color w:val="000000"/>
                <w:sz w:val="18"/>
                <w:szCs w:val="18"/>
              </w:rPr>
              <w:t>138,000</w:t>
            </w:r>
          </w:p>
        </w:tc>
        <w:tc>
          <w:tcPr>
            <w:tcW w:w="1363" w:type="dxa"/>
            <w:vMerge w:val="restart"/>
            <w:vAlign w:val="center"/>
          </w:tcPr>
          <w:p w14:paraId="77044521" w14:textId="77777777" w:rsidR="00577D08" w:rsidRDefault="00330FC0">
            <w:pPr>
              <w:jc w:val="right"/>
              <w:rPr>
                <w:sz w:val="18"/>
                <w:szCs w:val="18"/>
              </w:rPr>
            </w:pPr>
            <w:r>
              <w:rPr>
                <w:rFonts w:ascii="宋体" w:hAnsi="宋体" w:hint="eastAsia"/>
                <w:color w:val="000000"/>
                <w:sz w:val="18"/>
                <w:szCs w:val="18"/>
              </w:rPr>
              <w:t>-27,000</w:t>
            </w:r>
          </w:p>
        </w:tc>
        <w:tc>
          <w:tcPr>
            <w:tcW w:w="1217" w:type="dxa"/>
            <w:vMerge w:val="restart"/>
            <w:vAlign w:val="center"/>
          </w:tcPr>
          <w:p w14:paraId="79DCFCAB" w14:textId="77777777" w:rsidR="00577D08" w:rsidRDefault="00330FC0">
            <w:pPr>
              <w:rPr>
                <w:sz w:val="18"/>
                <w:szCs w:val="18"/>
              </w:rPr>
            </w:pPr>
            <w:r>
              <w:rPr>
                <w:rFonts w:ascii="宋体" w:hAnsi="宋体" w:hint="eastAsia"/>
                <w:color w:val="000000"/>
                <w:sz w:val="18"/>
                <w:szCs w:val="18"/>
              </w:rPr>
              <w:t>限制性股票回购注销</w:t>
            </w:r>
          </w:p>
        </w:tc>
        <w:tc>
          <w:tcPr>
            <w:tcW w:w="1211" w:type="dxa"/>
            <w:vMerge w:val="restart"/>
            <w:vAlign w:val="center"/>
          </w:tcPr>
          <w:p w14:paraId="2DD62BBA"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86.34</w:t>
            </w:r>
          </w:p>
        </w:tc>
        <w:tc>
          <w:tcPr>
            <w:tcW w:w="1211" w:type="dxa"/>
            <w:vMerge w:val="restart"/>
            <w:vAlign w:val="center"/>
          </w:tcPr>
          <w:p w14:paraId="0C583EF0"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50586248" w14:textId="77777777">
        <w:trPr>
          <w:trHeight w:val="132"/>
        </w:trPr>
        <w:tc>
          <w:tcPr>
            <w:tcW w:w="1118" w:type="dxa"/>
            <w:vMerge/>
            <w:vAlign w:val="center"/>
          </w:tcPr>
          <w:p w14:paraId="4E49D97D" w14:textId="77777777" w:rsidR="00577D08" w:rsidRDefault="00577D08">
            <w:pPr>
              <w:rPr>
                <w:sz w:val="18"/>
                <w:szCs w:val="18"/>
              </w:rPr>
            </w:pPr>
          </w:p>
        </w:tc>
        <w:tc>
          <w:tcPr>
            <w:tcW w:w="1203" w:type="dxa"/>
            <w:vAlign w:val="center"/>
          </w:tcPr>
          <w:p w14:paraId="022978B7" w14:textId="77777777" w:rsidR="00577D08" w:rsidRDefault="00330FC0">
            <w:pPr>
              <w:rPr>
                <w:sz w:val="18"/>
                <w:szCs w:val="18"/>
              </w:rPr>
            </w:pPr>
            <w:r>
              <w:rPr>
                <w:rFonts w:ascii="宋体" w:hAnsi="宋体" w:hint="eastAsia"/>
                <w:color w:val="000000"/>
                <w:sz w:val="18"/>
                <w:szCs w:val="18"/>
              </w:rPr>
              <w:t>副总经理</w:t>
            </w:r>
          </w:p>
        </w:tc>
        <w:tc>
          <w:tcPr>
            <w:tcW w:w="946" w:type="dxa"/>
            <w:vMerge/>
            <w:vAlign w:val="center"/>
          </w:tcPr>
          <w:p w14:paraId="0C08B1F7" w14:textId="77777777" w:rsidR="00577D08" w:rsidRDefault="00577D08">
            <w:pPr>
              <w:jc w:val="center"/>
              <w:rPr>
                <w:sz w:val="18"/>
                <w:szCs w:val="18"/>
              </w:rPr>
            </w:pPr>
          </w:p>
        </w:tc>
        <w:tc>
          <w:tcPr>
            <w:tcW w:w="946" w:type="dxa"/>
            <w:vMerge/>
            <w:vAlign w:val="center"/>
          </w:tcPr>
          <w:p w14:paraId="44A00E06" w14:textId="77777777" w:rsidR="00577D08" w:rsidRDefault="00577D08">
            <w:pPr>
              <w:jc w:val="right"/>
              <w:rPr>
                <w:sz w:val="18"/>
                <w:szCs w:val="18"/>
              </w:rPr>
            </w:pPr>
          </w:p>
        </w:tc>
        <w:tc>
          <w:tcPr>
            <w:tcW w:w="1248" w:type="dxa"/>
            <w:vAlign w:val="center"/>
          </w:tcPr>
          <w:p w14:paraId="4B46DCFA"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78984772" w14:textId="77777777" w:rsidR="00577D08" w:rsidRDefault="00330FC0">
            <w:pPr>
              <w:jc w:val="right"/>
              <w:rPr>
                <w:sz w:val="18"/>
                <w:szCs w:val="18"/>
              </w:rPr>
            </w:pPr>
            <w:r>
              <w:rPr>
                <w:rFonts w:ascii="宋体" w:hAnsi="宋体" w:hint="eastAsia"/>
                <w:color w:val="000000"/>
                <w:sz w:val="18"/>
                <w:szCs w:val="18"/>
              </w:rPr>
              <w:t>2026.11.12</w:t>
            </w:r>
          </w:p>
        </w:tc>
        <w:tc>
          <w:tcPr>
            <w:tcW w:w="1191" w:type="dxa"/>
            <w:vMerge/>
            <w:vAlign w:val="center"/>
          </w:tcPr>
          <w:p w14:paraId="04F9DE73" w14:textId="77777777" w:rsidR="00577D08" w:rsidRDefault="00577D08">
            <w:pPr>
              <w:jc w:val="right"/>
              <w:rPr>
                <w:sz w:val="18"/>
                <w:szCs w:val="18"/>
              </w:rPr>
            </w:pPr>
          </w:p>
        </w:tc>
        <w:tc>
          <w:tcPr>
            <w:tcW w:w="1180" w:type="dxa"/>
            <w:vMerge/>
            <w:vAlign w:val="center"/>
          </w:tcPr>
          <w:p w14:paraId="00D782FA" w14:textId="77777777" w:rsidR="00577D08" w:rsidRDefault="00577D08">
            <w:pPr>
              <w:jc w:val="right"/>
              <w:rPr>
                <w:sz w:val="18"/>
                <w:szCs w:val="18"/>
              </w:rPr>
            </w:pPr>
          </w:p>
        </w:tc>
        <w:tc>
          <w:tcPr>
            <w:tcW w:w="1363" w:type="dxa"/>
            <w:vMerge/>
            <w:vAlign w:val="center"/>
          </w:tcPr>
          <w:p w14:paraId="66C84FD7" w14:textId="77777777" w:rsidR="00577D08" w:rsidRDefault="00577D08">
            <w:pPr>
              <w:jc w:val="right"/>
              <w:rPr>
                <w:sz w:val="18"/>
                <w:szCs w:val="18"/>
              </w:rPr>
            </w:pPr>
          </w:p>
        </w:tc>
        <w:tc>
          <w:tcPr>
            <w:tcW w:w="1217" w:type="dxa"/>
            <w:vMerge/>
            <w:vAlign w:val="center"/>
          </w:tcPr>
          <w:p w14:paraId="2DABCC97" w14:textId="77777777" w:rsidR="00577D08" w:rsidRDefault="00577D08">
            <w:pPr>
              <w:rPr>
                <w:sz w:val="18"/>
                <w:szCs w:val="18"/>
              </w:rPr>
            </w:pPr>
          </w:p>
        </w:tc>
        <w:tc>
          <w:tcPr>
            <w:tcW w:w="1211" w:type="dxa"/>
            <w:vMerge/>
            <w:vAlign w:val="center"/>
          </w:tcPr>
          <w:p w14:paraId="32D487DC" w14:textId="77777777" w:rsidR="00577D08" w:rsidRDefault="00577D08">
            <w:pPr>
              <w:jc w:val="right"/>
              <w:rPr>
                <w:rFonts w:ascii="宋体" w:hAnsi="宋体" w:hint="eastAsia"/>
                <w:color w:val="000000"/>
                <w:sz w:val="18"/>
                <w:szCs w:val="18"/>
              </w:rPr>
            </w:pPr>
          </w:p>
        </w:tc>
        <w:tc>
          <w:tcPr>
            <w:tcW w:w="1211" w:type="dxa"/>
            <w:vMerge/>
            <w:vAlign w:val="center"/>
          </w:tcPr>
          <w:p w14:paraId="1E6CD5F2" w14:textId="77777777" w:rsidR="00577D08" w:rsidRDefault="00577D08">
            <w:pPr>
              <w:jc w:val="center"/>
              <w:rPr>
                <w:rFonts w:ascii="宋体" w:hAnsi="宋体" w:hint="eastAsia"/>
                <w:color w:val="000000"/>
                <w:sz w:val="18"/>
                <w:szCs w:val="18"/>
              </w:rPr>
            </w:pPr>
          </w:p>
        </w:tc>
      </w:tr>
      <w:tr w:rsidR="00577D08" w14:paraId="2D25EC8B" w14:textId="77777777">
        <w:trPr>
          <w:trHeight w:val="132"/>
        </w:trPr>
        <w:tc>
          <w:tcPr>
            <w:tcW w:w="1118" w:type="dxa"/>
            <w:vAlign w:val="center"/>
          </w:tcPr>
          <w:p w14:paraId="69BF34ED" w14:textId="77777777" w:rsidR="00577D08" w:rsidRDefault="00330FC0">
            <w:pPr>
              <w:rPr>
                <w:sz w:val="18"/>
                <w:szCs w:val="18"/>
              </w:rPr>
            </w:pPr>
            <w:r>
              <w:rPr>
                <w:rFonts w:ascii="宋体" w:hAnsi="宋体" w:hint="eastAsia"/>
                <w:color w:val="000000"/>
                <w:sz w:val="18"/>
                <w:szCs w:val="18"/>
              </w:rPr>
              <w:t>皮统政</w:t>
            </w:r>
          </w:p>
        </w:tc>
        <w:tc>
          <w:tcPr>
            <w:tcW w:w="1203" w:type="dxa"/>
            <w:vAlign w:val="center"/>
          </w:tcPr>
          <w:p w14:paraId="675E60F4" w14:textId="77777777" w:rsidR="00577D08" w:rsidRDefault="00330FC0">
            <w:pPr>
              <w:rPr>
                <w:sz w:val="18"/>
                <w:szCs w:val="18"/>
              </w:rPr>
            </w:pPr>
            <w:r>
              <w:rPr>
                <w:rFonts w:ascii="宋体" w:hAnsi="宋体" w:hint="eastAsia"/>
                <w:color w:val="000000"/>
                <w:sz w:val="18"/>
                <w:szCs w:val="18"/>
              </w:rPr>
              <w:t>董事</w:t>
            </w:r>
          </w:p>
        </w:tc>
        <w:tc>
          <w:tcPr>
            <w:tcW w:w="946" w:type="dxa"/>
            <w:vAlign w:val="center"/>
          </w:tcPr>
          <w:p w14:paraId="2ABA7052"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4D73C10C" w14:textId="77777777" w:rsidR="00577D08" w:rsidRDefault="00330FC0">
            <w:pPr>
              <w:jc w:val="right"/>
              <w:rPr>
                <w:sz w:val="18"/>
                <w:szCs w:val="18"/>
              </w:rPr>
            </w:pPr>
            <w:r>
              <w:rPr>
                <w:rFonts w:ascii="宋体" w:hAnsi="宋体" w:hint="eastAsia"/>
                <w:color w:val="000000"/>
                <w:sz w:val="18"/>
                <w:szCs w:val="18"/>
              </w:rPr>
              <w:t>33</w:t>
            </w:r>
          </w:p>
        </w:tc>
        <w:tc>
          <w:tcPr>
            <w:tcW w:w="1248" w:type="dxa"/>
            <w:vAlign w:val="center"/>
          </w:tcPr>
          <w:p w14:paraId="6CC1B93B"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5EEBFE66"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1E8B7389" w14:textId="77777777" w:rsidR="00577D08" w:rsidRDefault="00330FC0">
            <w:pPr>
              <w:jc w:val="right"/>
              <w:rPr>
                <w:sz w:val="18"/>
                <w:szCs w:val="18"/>
              </w:rPr>
            </w:pPr>
            <w:r>
              <w:rPr>
                <w:rFonts w:ascii="宋体" w:hAnsi="宋体" w:hint="eastAsia"/>
                <w:color w:val="000000"/>
                <w:sz w:val="18"/>
                <w:szCs w:val="18"/>
              </w:rPr>
              <w:t>0</w:t>
            </w:r>
          </w:p>
        </w:tc>
        <w:tc>
          <w:tcPr>
            <w:tcW w:w="1180" w:type="dxa"/>
            <w:vAlign w:val="center"/>
          </w:tcPr>
          <w:p w14:paraId="66DC187F" w14:textId="77777777" w:rsidR="00577D08" w:rsidRDefault="00330FC0">
            <w:pPr>
              <w:jc w:val="right"/>
              <w:rPr>
                <w:sz w:val="18"/>
                <w:szCs w:val="18"/>
              </w:rPr>
            </w:pPr>
            <w:r>
              <w:rPr>
                <w:rFonts w:ascii="宋体" w:hAnsi="宋体" w:hint="eastAsia"/>
                <w:sz w:val="18"/>
                <w:szCs w:val="18"/>
              </w:rPr>
              <w:t>0</w:t>
            </w:r>
          </w:p>
        </w:tc>
        <w:tc>
          <w:tcPr>
            <w:tcW w:w="1363" w:type="dxa"/>
            <w:vAlign w:val="center"/>
          </w:tcPr>
          <w:p w14:paraId="24A4B627" w14:textId="77777777" w:rsidR="00577D08" w:rsidRDefault="00330FC0">
            <w:pPr>
              <w:jc w:val="right"/>
              <w:rPr>
                <w:sz w:val="18"/>
                <w:szCs w:val="18"/>
              </w:rPr>
            </w:pPr>
            <w:r>
              <w:rPr>
                <w:rFonts w:ascii="宋体" w:hAnsi="宋体" w:hint="eastAsia"/>
                <w:color w:val="000000"/>
                <w:sz w:val="18"/>
                <w:szCs w:val="18"/>
              </w:rPr>
              <w:t>0</w:t>
            </w:r>
          </w:p>
        </w:tc>
        <w:tc>
          <w:tcPr>
            <w:tcW w:w="1217" w:type="dxa"/>
            <w:vAlign w:val="center"/>
          </w:tcPr>
          <w:p w14:paraId="5DECACDD" w14:textId="77777777" w:rsidR="00577D08" w:rsidRDefault="00330FC0">
            <w:pPr>
              <w:rPr>
                <w:sz w:val="18"/>
                <w:szCs w:val="18"/>
              </w:rPr>
            </w:pPr>
            <w:r>
              <w:rPr>
                <w:rFonts w:ascii="宋体" w:hAnsi="宋体" w:hint="eastAsia"/>
                <w:sz w:val="18"/>
                <w:szCs w:val="18"/>
              </w:rPr>
              <w:t>/</w:t>
            </w:r>
          </w:p>
        </w:tc>
        <w:tc>
          <w:tcPr>
            <w:tcW w:w="1211" w:type="dxa"/>
            <w:vAlign w:val="center"/>
          </w:tcPr>
          <w:p w14:paraId="5BB08B0D"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38.07</w:t>
            </w:r>
          </w:p>
        </w:tc>
        <w:tc>
          <w:tcPr>
            <w:tcW w:w="1211" w:type="dxa"/>
            <w:vAlign w:val="center"/>
          </w:tcPr>
          <w:p w14:paraId="1ED359BA"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60557BCD" w14:textId="77777777">
        <w:trPr>
          <w:trHeight w:val="132"/>
        </w:trPr>
        <w:tc>
          <w:tcPr>
            <w:tcW w:w="1118" w:type="dxa"/>
            <w:vAlign w:val="center"/>
          </w:tcPr>
          <w:p w14:paraId="22F05E46" w14:textId="77777777" w:rsidR="00577D08" w:rsidRDefault="00330FC0">
            <w:pPr>
              <w:rPr>
                <w:sz w:val="18"/>
                <w:szCs w:val="18"/>
              </w:rPr>
            </w:pPr>
            <w:r>
              <w:rPr>
                <w:rFonts w:ascii="宋体" w:hAnsi="宋体" w:hint="eastAsia"/>
                <w:color w:val="000000"/>
                <w:sz w:val="18"/>
                <w:szCs w:val="18"/>
              </w:rPr>
              <w:t>赵宇</w:t>
            </w:r>
          </w:p>
        </w:tc>
        <w:tc>
          <w:tcPr>
            <w:tcW w:w="1203" w:type="dxa"/>
            <w:vAlign w:val="center"/>
          </w:tcPr>
          <w:p w14:paraId="7A5D6BBB" w14:textId="77777777" w:rsidR="00577D08" w:rsidRDefault="00330FC0">
            <w:pPr>
              <w:rPr>
                <w:sz w:val="18"/>
                <w:szCs w:val="18"/>
              </w:rPr>
            </w:pPr>
            <w:r>
              <w:rPr>
                <w:rFonts w:ascii="宋体" w:hAnsi="宋体" w:hint="eastAsia"/>
                <w:color w:val="000000"/>
                <w:sz w:val="18"/>
                <w:szCs w:val="18"/>
              </w:rPr>
              <w:t>独立董事</w:t>
            </w:r>
          </w:p>
        </w:tc>
        <w:tc>
          <w:tcPr>
            <w:tcW w:w="946" w:type="dxa"/>
            <w:vAlign w:val="center"/>
          </w:tcPr>
          <w:p w14:paraId="6CFAF000"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71D60EA2" w14:textId="77777777" w:rsidR="00577D08" w:rsidRDefault="00330FC0">
            <w:pPr>
              <w:jc w:val="right"/>
              <w:rPr>
                <w:sz w:val="18"/>
                <w:szCs w:val="18"/>
              </w:rPr>
            </w:pPr>
            <w:r>
              <w:rPr>
                <w:rFonts w:ascii="宋体" w:hAnsi="宋体" w:hint="eastAsia"/>
                <w:color w:val="000000"/>
                <w:sz w:val="18"/>
                <w:szCs w:val="18"/>
              </w:rPr>
              <w:t>65</w:t>
            </w:r>
          </w:p>
        </w:tc>
        <w:tc>
          <w:tcPr>
            <w:tcW w:w="1248" w:type="dxa"/>
            <w:vAlign w:val="center"/>
          </w:tcPr>
          <w:p w14:paraId="3BFC4693"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582C5AA1"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389DBB8A" w14:textId="77777777" w:rsidR="00577D08" w:rsidRDefault="00330FC0">
            <w:pPr>
              <w:jc w:val="right"/>
              <w:rPr>
                <w:sz w:val="18"/>
                <w:szCs w:val="18"/>
              </w:rPr>
            </w:pPr>
            <w:r>
              <w:rPr>
                <w:rFonts w:ascii="宋体" w:hAnsi="宋体" w:hint="eastAsia"/>
                <w:color w:val="000000"/>
                <w:sz w:val="18"/>
                <w:szCs w:val="18"/>
              </w:rPr>
              <w:t>0</w:t>
            </w:r>
          </w:p>
        </w:tc>
        <w:tc>
          <w:tcPr>
            <w:tcW w:w="1180" w:type="dxa"/>
            <w:vAlign w:val="center"/>
          </w:tcPr>
          <w:p w14:paraId="163069F0" w14:textId="77777777" w:rsidR="00577D08" w:rsidRDefault="00330FC0">
            <w:pPr>
              <w:jc w:val="right"/>
              <w:rPr>
                <w:sz w:val="18"/>
                <w:szCs w:val="18"/>
              </w:rPr>
            </w:pPr>
            <w:r>
              <w:rPr>
                <w:rFonts w:ascii="宋体" w:hAnsi="宋体" w:hint="eastAsia"/>
                <w:sz w:val="18"/>
                <w:szCs w:val="18"/>
              </w:rPr>
              <w:t>0</w:t>
            </w:r>
          </w:p>
        </w:tc>
        <w:tc>
          <w:tcPr>
            <w:tcW w:w="1363" w:type="dxa"/>
            <w:vAlign w:val="center"/>
          </w:tcPr>
          <w:p w14:paraId="5A5CD6A1" w14:textId="77777777" w:rsidR="00577D08" w:rsidRDefault="00330FC0">
            <w:pPr>
              <w:jc w:val="right"/>
              <w:rPr>
                <w:sz w:val="18"/>
                <w:szCs w:val="18"/>
              </w:rPr>
            </w:pPr>
            <w:r>
              <w:rPr>
                <w:rFonts w:ascii="宋体" w:hAnsi="宋体" w:hint="eastAsia"/>
                <w:color w:val="000000"/>
                <w:sz w:val="18"/>
                <w:szCs w:val="18"/>
              </w:rPr>
              <w:t>0</w:t>
            </w:r>
          </w:p>
        </w:tc>
        <w:tc>
          <w:tcPr>
            <w:tcW w:w="1217" w:type="dxa"/>
            <w:vAlign w:val="center"/>
          </w:tcPr>
          <w:p w14:paraId="36A2D267" w14:textId="77777777" w:rsidR="00577D08" w:rsidRDefault="00330FC0">
            <w:pPr>
              <w:rPr>
                <w:sz w:val="18"/>
                <w:szCs w:val="18"/>
              </w:rPr>
            </w:pPr>
            <w:r>
              <w:rPr>
                <w:rFonts w:ascii="宋体" w:hAnsi="宋体" w:hint="eastAsia"/>
                <w:sz w:val="18"/>
                <w:szCs w:val="18"/>
              </w:rPr>
              <w:t>/</w:t>
            </w:r>
          </w:p>
        </w:tc>
        <w:tc>
          <w:tcPr>
            <w:tcW w:w="1211" w:type="dxa"/>
            <w:vAlign w:val="center"/>
          </w:tcPr>
          <w:p w14:paraId="1F6E932F"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24.00</w:t>
            </w:r>
          </w:p>
        </w:tc>
        <w:tc>
          <w:tcPr>
            <w:tcW w:w="1211" w:type="dxa"/>
            <w:vAlign w:val="center"/>
          </w:tcPr>
          <w:p w14:paraId="70113CC6"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57223002" w14:textId="77777777">
        <w:trPr>
          <w:trHeight w:val="132"/>
        </w:trPr>
        <w:tc>
          <w:tcPr>
            <w:tcW w:w="1118" w:type="dxa"/>
            <w:vAlign w:val="center"/>
          </w:tcPr>
          <w:p w14:paraId="4A7B5BB0" w14:textId="77777777" w:rsidR="00577D08" w:rsidRDefault="00330FC0">
            <w:pPr>
              <w:rPr>
                <w:sz w:val="18"/>
                <w:szCs w:val="18"/>
              </w:rPr>
            </w:pPr>
            <w:r>
              <w:rPr>
                <w:rFonts w:ascii="宋体" w:hAnsi="宋体" w:hint="eastAsia"/>
                <w:color w:val="000000"/>
                <w:sz w:val="18"/>
                <w:szCs w:val="18"/>
              </w:rPr>
              <w:t>沈江</w:t>
            </w:r>
          </w:p>
        </w:tc>
        <w:tc>
          <w:tcPr>
            <w:tcW w:w="1203" w:type="dxa"/>
            <w:vAlign w:val="center"/>
          </w:tcPr>
          <w:p w14:paraId="79793E35" w14:textId="77777777" w:rsidR="00577D08" w:rsidRDefault="00330FC0">
            <w:pPr>
              <w:rPr>
                <w:sz w:val="18"/>
                <w:szCs w:val="18"/>
              </w:rPr>
            </w:pPr>
            <w:r>
              <w:rPr>
                <w:rFonts w:ascii="宋体" w:hAnsi="宋体" w:hint="eastAsia"/>
                <w:color w:val="000000"/>
                <w:sz w:val="18"/>
                <w:szCs w:val="18"/>
              </w:rPr>
              <w:t>独立董事</w:t>
            </w:r>
          </w:p>
        </w:tc>
        <w:tc>
          <w:tcPr>
            <w:tcW w:w="946" w:type="dxa"/>
            <w:vAlign w:val="center"/>
          </w:tcPr>
          <w:p w14:paraId="3B547E33"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337A499D" w14:textId="77777777" w:rsidR="00577D08" w:rsidRDefault="00330FC0">
            <w:pPr>
              <w:jc w:val="right"/>
              <w:rPr>
                <w:sz w:val="18"/>
                <w:szCs w:val="18"/>
              </w:rPr>
            </w:pPr>
            <w:r>
              <w:rPr>
                <w:rFonts w:ascii="宋体" w:hAnsi="宋体" w:hint="eastAsia"/>
                <w:color w:val="000000"/>
                <w:sz w:val="18"/>
                <w:szCs w:val="18"/>
              </w:rPr>
              <w:t>66</w:t>
            </w:r>
          </w:p>
        </w:tc>
        <w:tc>
          <w:tcPr>
            <w:tcW w:w="1248" w:type="dxa"/>
            <w:vAlign w:val="center"/>
          </w:tcPr>
          <w:p w14:paraId="7566D2C4"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04B09507"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0551EFB5" w14:textId="77777777" w:rsidR="00577D08" w:rsidRDefault="00330FC0">
            <w:pPr>
              <w:jc w:val="right"/>
              <w:rPr>
                <w:sz w:val="18"/>
                <w:szCs w:val="18"/>
              </w:rPr>
            </w:pPr>
            <w:r>
              <w:rPr>
                <w:rFonts w:ascii="宋体" w:hAnsi="宋体" w:hint="eastAsia"/>
                <w:color w:val="000000"/>
                <w:sz w:val="18"/>
                <w:szCs w:val="18"/>
              </w:rPr>
              <w:t>0</w:t>
            </w:r>
          </w:p>
        </w:tc>
        <w:tc>
          <w:tcPr>
            <w:tcW w:w="1180" w:type="dxa"/>
            <w:vAlign w:val="center"/>
          </w:tcPr>
          <w:p w14:paraId="3365B524" w14:textId="77777777" w:rsidR="00577D08" w:rsidRDefault="00330FC0">
            <w:pPr>
              <w:jc w:val="right"/>
              <w:rPr>
                <w:sz w:val="18"/>
                <w:szCs w:val="18"/>
              </w:rPr>
            </w:pPr>
            <w:r>
              <w:rPr>
                <w:rFonts w:ascii="宋体" w:hAnsi="宋体" w:hint="eastAsia"/>
                <w:sz w:val="18"/>
                <w:szCs w:val="18"/>
              </w:rPr>
              <w:t>0</w:t>
            </w:r>
          </w:p>
        </w:tc>
        <w:tc>
          <w:tcPr>
            <w:tcW w:w="1363" w:type="dxa"/>
            <w:vAlign w:val="center"/>
          </w:tcPr>
          <w:p w14:paraId="5FE2FD5E" w14:textId="77777777" w:rsidR="00577D08" w:rsidRDefault="00330FC0">
            <w:pPr>
              <w:jc w:val="right"/>
              <w:rPr>
                <w:sz w:val="18"/>
                <w:szCs w:val="18"/>
              </w:rPr>
            </w:pPr>
            <w:r>
              <w:rPr>
                <w:rFonts w:ascii="宋体" w:hAnsi="宋体" w:hint="eastAsia"/>
                <w:color w:val="000000"/>
                <w:sz w:val="18"/>
                <w:szCs w:val="18"/>
              </w:rPr>
              <w:t>0</w:t>
            </w:r>
          </w:p>
        </w:tc>
        <w:tc>
          <w:tcPr>
            <w:tcW w:w="1217" w:type="dxa"/>
            <w:vAlign w:val="center"/>
          </w:tcPr>
          <w:p w14:paraId="221EF071" w14:textId="77777777" w:rsidR="00577D08" w:rsidRDefault="00330FC0">
            <w:pPr>
              <w:rPr>
                <w:sz w:val="18"/>
                <w:szCs w:val="18"/>
              </w:rPr>
            </w:pPr>
            <w:r>
              <w:rPr>
                <w:rFonts w:ascii="宋体" w:hAnsi="宋体" w:hint="eastAsia"/>
                <w:sz w:val="18"/>
                <w:szCs w:val="18"/>
              </w:rPr>
              <w:t>/</w:t>
            </w:r>
          </w:p>
        </w:tc>
        <w:tc>
          <w:tcPr>
            <w:tcW w:w="1211" w:type="dxa"/>
            <w:vAlign w:val="center"/>
          </w:tcPr>
          <w:p w14:paraId="17FAEB1B"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24.00</w:t>
            </w:r>
          </w:p>
        </w:tc>
        <w:tc>
          <w:tcPr>
            <w:tcW w:w="1211" w:type="dxa"/>
            <w:vAlign w:val="center"/>
          </w:tcPr>
          <w:p w14:paraId="101A2C4D"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4337F3C1" w14:textId="77777777">
        <w:trPr>
          <w:trHeight w:val="132"/>
        </w:trPr>
        <w:tc>
          <w:tcPr>
            <w:tcW w:w="1118" w:type="dxa"/>
            <w:vAlign w:val="center"/>
          </w:tcPr>
          <w:p w14:paraId="559892BE" w14:textId="77777777" w:rsidR="00577D08" w:rsidRDefault="00330FC0">
            <w:pPr>
              <w:rPr>
                <w:sz w:val="18"/>
                <w:szCs w:val="18"/>
              </w:rPr>
            </w:pPr>
            <w:r>
              <w:rPr>
                <w:rFonts w:ascii="宋体" w:hAnsi="宋体" w:hint="eastAsia"/>
                <w:color w:val="000000"/>
                <w:sz w:val="18"/>
                <w:szCs w:val="18"/>
              </w:rPr>
              <w:t>王勇</w:t>
            </w:r>
          </w:p>
        </w:tc>
        <w:tc>
          <w:tcPr>
            <w:tcW w:w="1203" w:type="dxa"/>
            <w:vAlign w:val="center"/>
          </w:tcPr>
          <w:p w14:paraId="594270F1" w14:textId="77777777" w:rsidR="00577D08" w:rsidRDefault="00330FC0">
            <w:pPr>
              <w:rPr>
                <w:sz w:val="18"/>
                <w:szCs w:val="18"/>
              </w:rPr>
            </w:pPr>
            <w:r>
              <w:rPr>
                <w:rFonts w:ascii="宋体" w:hAnsi="宋体" w:hint="eastAsia"/>
                <w:color w:val="000000"/>
                <w:sz w:val="18"/>
                <w:szCs w:val="18"/>
              </w:rPr>
              <w:t>独立董事</w:t>
            </w:r>
          </w:p>
        </w:tc>
        <w:tc>
          <w:tcPr>
            <w:tcW w:w="946" w:type="dxa"/>
            <w:vAlign w:val="center"/>
          </w:tcPr>
          <w:p w14:paraId="64F3B94C"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75187A17" w14:textId="77777777" w:rsidR="00577D08" w:rsidRDefault="00330FC0">
            <w:pPr>
              <w:jc w:val="right"/>
              <w:rPr>
                <w:sz w:val="18"/>
                <w:szCs w:val="18"/>
              </w:rPr>
            </w:pPr>
            <w:r>
              <w:rPr>
                <w:rFonts w:ascii="宋体" w:hAnsi="宋体" w:hint="eastAsia"/>
                <w:color w:val="000000"/>
                <w:sz w:val="18"/>
                <w:szCs w:val="18"/>
              </w:rPr>
              <w:t>53</w:t>
            </w:r>
          </w:p>
        </w:tc>
        <w:tc>
          <w:tcPr>
            <w:tcW w:w="1248" w:type="dxa"/>
            <w:vAlign w:val="center"/>
          </w:tcPr>
          <w:p w14:paraId="4710AA42"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65608103"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42424487" w14:textId="77777777" w:rsidR="00577D08" w:rsidRDefault="00330FC0">
            <w:pPr>
              <w:jc w:val="right"/>
              <w:rPr>
                <w:sz w:val="18"/>
                <w:szCs w:val="18"/>
              </w:rPr>
            </w:pPr>
            <w:r>
              <w:rPr>
                <w:rFonts w:ascii="宋体" w:hAnsi="宋体" w:hint="eastAsia"/>
                <w:color w:val="000000"/>
                <w:sz w:val="18"/>
                <w:szCs w:val="18"/>
              </w:rPr>
              <w:t>0</w:t>
            </w:r>
          </w:p>
        </w:tc>
        <w:tc>
          <w:tcPr>
            <w:tcW w:w="1180" w:type="dxa"/>
            <w:vAlign w:val="center"/>
          </w:tcPr>
          <w:p w14:paraId="034BD33A" w14:textId="77777777" w:rsidR="00577D08" w:rsidRDefault="00330FC0">
            <w:pPr>
              <w:jc w:val="right"/>
              <w:rPr>
                <w:sz w:val="18"/>
                <w:szCs w:val="18"/>
              </w:rPr>
            </w:pPr>
            <w:r>
              <w:rPr>
                <w:rFonts w:ascii="宋体" w:hAnsi="宋体" w:hint="eastAsia"/>
                <w:sz w:val="18"/>
                <w:szCs w:val="18"/>
              </w:rPr>
              <w:t>0</w:t>
            </w:r>
          </w:p>
        </w:tc>
        <w:tc>
          <w:tcPr>
            <w:tcW w:w="1363" w:type="dxa"/>
            <w:vAlign w:val="center"/>
          </w:tcPr>
          <w:p w14:paraId="0EF305EE" w14:textId="77777777" w:rsidR="00577D08" w:rsidRDefault="00330FC0">
            <w:pPr>
              <w:jc w:val="right"/>
              <w:rPr>
                <w:sz w:val="18"/>
                <w:szCs w:val="18"/>
              </w:rPr>
            </w:pPr>
            <w:r>
              <w:rPr>
                <w:rFonts w:ascii="宋体" w:hAnsi="宋体" w:hint="eastAsia"/>
                <w:color w:val="000000"/>
                <w:sz w:val="18"/>
                <w:szCs w:val="18"/>
              </w:rPr>
              <w:t>0</w:t>
            </w:r>
          </w:p>
        </w:tc>
        <w:tc>
          <w:tcPr>
            <w:tcW w:w="1217" w:type="dxa"/>
            <w:vAlign w:val="center"/>
          </w:tcPr>
          <w:p w14:paraId="1C37353C" w14:textId="77777777" w:rsidR="00577D08" w:rsidRDefault="00330FC0">
            <w:pPr>
              <w:rPr>
                <w:sz w:val="18"/>
                <w:szCs w:val="18"/>
              </w:rPr>
            </w:pPr>
            <w:r>
              <w:rPr>
                <w:rFonts w:ascii="宋体" w:hAnsi="宋体" w:hint="eastAsia"/>
                <w:sz w:val="18"/>
                <w:szCs w:val="18"/>
              </w:rPr>
              <w:t>/</w:t>
            </w:r>
          </w:p>
        </w:tc>
        <w:tc>
          <w:tcPr>
            <w:tcW w:w="1211" w:type="dxa"/>
            <w:vAlign w:val="center"/>
          </w:tcPr>
          <w:p w14:paraId="0D020B01"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24.00</w:t>
            </w:r>
          </w:p>
        </w:tc>
        <w:tc>
          <w:tcPr>
            <w:tcW w:w="1211" w:type="dxa"/>
            <w:vAlign w:val="center"/>
          </w:tcPr>
          <w:p w14:paraId="226CCE6D"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461F623E" w14:textId="77777777">
        <w:trPr>
          <w:trHeight w:val="425"/>
        </w:trPr>
        <w:tc>
          <w:tcPr>
            <w:tcW w:w="1118" w:type="dxa"/>
            <w:vMerge w:val="restart"/>
            <w:vAlign w:val="center"/>
          </w:tcPr>
          <w:p w14:paraId="548F09E1" w14:textId="77777777" w:rsidR="00577D08" w:rsidRDefault="00330FC0">
            <w:pPr>
              <w:rPr>
                <w:sz w:val="18"/>
                <w:szCs w:val="18"/>
              </w:rPr>
            </w:pPr>
            <w:r>
              <w:rPr>
                <w:rFonts w:ascii="宋体" w:hAnsi="宋体" w:hint="eastAsia"/>
                <w:sz w:val="18"/>
                <w:szCs w:val="18"/>
              </w:rPr>
              <w:t>李代萍</w:t>
            </w:r>
          </w:p>
        </w:tc>
        <w:tc>
          <w:tcPr>
            <w:tcW w:w="1203" w:type="dxa"/>
            <w:vAlign w:val="center"/>
          </w:tcPr>
          <w:p w14:paraId="0E7AE39E" w14:textId="77777777" w:rsidR="00577D08" w:rsidRDefault="00330FC0">
            <w:pPr>
              <w:rPr>
                <w:sz w:val="18"/>
                <w:szCs w:val="18"/>
              </w:rPr>
            </w:pPr>
            <w:r>
              <w:rPr>
                <w:rFonts w:ascii="宋体" w:hAnsi="宋体" w:hint="eastAsia"/>
                <w:color w:val="000000"/>
                <w:sz w:val="18"/>
                <w:szCs w:val="18"/>
              </w:rPr>
              <w:t>副总经理</w:t>
            </w:r>
          </w:p>
        </w:tc>
        <w:tc>
          <w:tcPr>
            <w:tcW w:w="946" w:type="dxa"/>
            <w:vMerge w:val="restart"/>
            <w:vAlign w:val="center"/>
          </w:tcPr>
          <w:p w14:paraId="1B7AE6F0" w14:textId="77777777" w:rsidR="00577D08" w:rsidRDefault="00330FC0">
            <w:pPr>
              <w:jc w:val="center"/>
              <w:rPr>
                <w:sz w:val="18"/>
                <w:szCs w:val="18"/>
              </w:rPr>
            </w:pPr>
            <w:r>
              <w:rPr>
                <w:rFonts w:ascii="宋体" w:hAnsi="宋体" w:hint="eastAsia"/>
                <w:color w:val="000000"/>
                <w:sz w:val="18"/>
                <w:szCs w:val="18"/>
              </w:rPr>
              <w:t>女</w:t>
            </w:r>
          </w:p>
        </w:tc>
        <w:tc>
          <w:tcPr>
            <w:tcW w:w="946" w:type="dxa"/>
            <w:vMerge w:val="restart"/>
            <w:vAlign w:val="center"/>
          </w:tcPr>
          <w:p w14:paraId="54FA440D" w14:textId="77777777" w:rsidR="00577D08" w:rsidRDefault="00330FC0">
            <w:pPr>
              <w:jc w:val="right"/>
              <w:rPr>
                <w:sz w:val="18"/>
                <w:szCs w:val="18"/>
              </w:rPr>
            </w:pPr>
            <w:r>
              <w:rPr>
                <w:rFonts w:ascii="宋体" w:hAnsi="宋体" w:hint="eastAsia"/>
                <w:color w:val="000000"/>
                <w:sz w:val="18"/>
                <w:szCs w:val="18"/>
              </w:rPr>
              <w:t>55</w:t>
            </w:r>
          </w:p>
        </w:tc>
        <w:tc>
          <w:tcPr>
            <w:tcW w:w="1248" w:type="dxa"/>
            <w:vAlign w:val="center"/>
          </w:tcPr>
          <w:p w14:paraId="20118FC6"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5CC56BBB" w14:textId="77777777" w:rsidR="00577D08" w:rsidRDefault="00330FC0">
            <w:pPr>
              <w:jc w:val="right"/>
              <w:rPr>
                <w:sz w:val="18"/>
                <w:szCs w:val="18"/>
              </w:rPr>
            </w:pPr>
            <w:r>
              <w:rPr>
                <w:rFonts w:ascii="宋体" w:hAnsi="宋体" w:hint="eastAsia"/>
                <w:color w:val="000000"/>
                <w:sz w:val="18"/>
                <w:szCs w:val="18"/>
              </w:rPr>
              <w:t>2026.11.12</w:t>
            </w:r>
          </w:p>
        </w:tc>
        <w:tc>
          <w:tcPr>
            <w:tcW w:w="1191" w:type="dxa"/>
            <w:vMerge w:val="restart"/>
            <w:vAlign w:val="center"/>
          </w:tcPr>
          <w:p w14:paraId="1CC2C5BE" w14:textId="77777777" w:rsidR="00577D08" w:rsidRDefault="00330FC0">
            <w:pPr>
              <w:jc w:val="right"/>
              <w:rPr>
                <w:sz w:val="18"/>
                <w:szCs w:val="18"/>
              </w:rPr>
            </w:pPr>
            <w:r>
              <w:rPr>
                <w:rFonts w:ascii="宋体" w:hAnsi="宋体" w:hint="eastAsia"/>
                <w:color w:val="000000"/>
                <w:sz w:val="18"/>
                <w:szCs w:val="18"/>
              </w:rPr>
              <w:t>465,000</w:t>
            </w:r>
          </w:p>
        </w:tc>
        <w:tc>
          <w:tcPr>
            <w:tcW w:w="1180" w:type="dxa"/>
            <w:vMerge w:val="restart"/>
            <w:vAlign w:val="center"/>
          </w:tcPr>
          <w:p w14:paraId="7728D792" w14:textId="77777777" w:rsidR="00577D08" w:rsidRDefault="00330FC0">
            <w:pPr>
              <w:jc w:val="right"/>
              <w:rPr>
                <w:sz w:val="18"/>
                <w:szCs w:val="18"/>
              </w:rPr>
            </w:pPr>
            <w:r>
              <w:rPr>
                <w:rFonts w:ascii="宋体" w:hAnsi="宋体" w:hint="eastAsia"/>
                <w:color w:val="000000"/>
                <w:sz w:val="18"/>
                <w:szCs w:val="18"/>
              </w:rPr>
              <w:t>344,300</w:t>
            </w:r>
          </w:p>
        </w:tc>
        <w:tc>
          <w:tcPr>
            <w:tcW w:w="1363" w:type="dxa"/>
            <w:vMerge w:val="restart"/>
            <w:vAlign w:val="center"/>
          </w:tcPr>
          <w:p w14:paraId="74E2FC2A" w14:textId="77777777" w:rsidR="00577D08" w:rsidRDefault="00330FC0">
            <w:pPr>
              <w:jc w:val="right"/>
              <w:rPr>
                <w:sz w:val="18"/>
                <w:szCs w:val="18"/>
              </w:rPr>
            </w:pPr>
            <w:r>
              <w:rPr>
                <w:rFonts w:ascii="宋体" w:hAnsi="宋体" w:hint="eastAsia"/>
                <w:color w:val="000000"/>
                <w:sz w:val="18"/>
                <w:szCs w:val="18"/>
              </w:rPr>
              <w:t>-120,700</w:t>
            </w:r>
          </w:p>
        </w:tc>
        <w:tc>
          <w:tcPr>
            <w:tcW w:w="1217" w:type="dxa"/>
            <w:vMerge w:val="restart"/>
            <w:vAlign w:val="center"/>
          </w:tcPr>
          <w:p w14:paraId="42F0C87A" w14:textId="77777777" w:rsidR="00577D08" w:rsidRDefault="00330FC0">
            <w:pPr>
              <w:rPr>
                <w:sz w:val="18"/>
                <w:szCs w:val="18"/>
              </w:rPr>
            </w:pPr>
            <w:r>
              <w:rPr>
                <w:rFonts w:ascii="宋体" w:hAnsi="宋体" w:hint="eastAsia"/>
                <w:color w:val="000000"/>
                <w:sz w:val="18"/>
                <w:szCs w:val="18"/>
              </w:rPr>
              <w:t>限制性股票回购注销及个人减持</w:t>
            </w:r>
          </w:p>
        </w:tc>
        <w:tc>
          <w:tcPr>
            <w:tcW w:w="1211" w:type="dxa"/>
            <w:vMerge w:val="restart"/>
            <w:vAlign w:val="center"/>
          </w:tcPr>
          <w:p w14:paraId="2A47B57B"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64.72</w:t>
            </w:r>
          </w:p>
        </w:tc>
        <w:tc>
          <w:tcPr>
            <w:tcW w:w="1211" w:type="dxa"/>
            <w:vMerge w:val="restart"/>
            <w:vAlign w:val="center"/>
          </w:tcPr>
          <w:p w14:paraId="1C09FC43"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1270E4CA" w14:textId="77777777">
        <w:trPr>
          <w:trHeight w:val="288"/>
        </w:trPr>
        <w:tc>
          <w:tcPr>
            <w:tcW w:w="1118" w:type="dxa"/>
            <w:vMerge/>
            <w:vAlign w:val="center"/>
          </w:tcPr>
          <w:p w14:paraId="3D08BE70" w14:textId="77777777" w:rsidR="00577D08" w:rsidRDefault="00577D08">
            <w:pPr>
              <w:rPr>
                <w:sz w:val="18"/>
                <w:szCs w:val="18"/>
              </w:rPr>
            </w:pPr>
          </w:p>
        </w:tc>
        <w:tc>
          <w:tcPr>
            <w:tcW w:w="1203" w:type="dxa"/>
            <w:vAlign w:val="center"/>
          </w:tcPr>
          <w:p w14:paraId="137EA755" w14:textId="77777777" w:rsidR="00577D08" w:rsidRDefault="00330FC0">
            <w:pPr>
              <w:rPr>
                <w:sz w:val="18"/>
                <w:szCs w:val="18"/>
              </w:rPr>
            </w:pPr>
            <w:r>
              <w:rPr>
                <w:rFonts w:ascii="宋体" w:hAnsi="宋体" w:hint="eastAsia"/>
                <w:color w:val="000000"/>
                <w:sz w:val="18"/>
                <w:szCs w:val="18"/>
              </w:rPr>
              <w:t>董事会秘书</w:t>
            </w:r>
          </w:p>
        </w:tc>
        <w:tc>
          <w:tcPr>
            <w:tcW w:w="946" w:type="dxa"/>
            <w:vMerge/>
            <w:vAlign w:val="center"/>
          </w:tcPr>
          <w:p w14:paraId="7CE616C8" w14:textId="77777777" w:rsidR="00577D08" w:rsidRDefault="00577D08">
            <w:pPr>
              <w:jc w:val="center"/>
              <w:rPr>
                <w:sz w:val="18"/>
                <w:szCs w:val="18"/>
              </w:rPr>
            </w:pPr>
          </w:p>
        </w:tc>
        <w:tc>
          <w:tcPr>
            <w:tcW w:w="946" w:type="dxa"/>
            <w:vMerge/>
            <w:vAlign w:val="center"/>
          </w:tcPr>
          <w:p w14:paraId="2204EB9F" w14:textId="77777777" w:rsidR="00577D08" w:rsidRDefault="00577D08">
            <w:pPr>
              <w:jc w:val="right"/>
              <w:rPr>
                <w:sz w:val="18"/>
                <w:szCs w:val="18"/>
              </w:rPr>
            </w:pPr>
          </w:p>
        </w:tc>
        <w:tc>
          <w:tcPr>
            <w:tcW w:w="1248" w:type="dxa"/>
            <w:vAlign w:val="center"/>
          </w:tcPr>
          <w:p w14:paraId="31CFFB12" w14:textId="77777777" w:rsidR="00577D08" w:rsidRDefault="00330FC0">
            <w:pPr>
              <w:jc w:val="right"/>
              <w:rPr>
                <w:sz w:val="18"/>
                <w:szCs w:val="18"/>
              </w:rPr>
            </w:pPr>
            <w:r>
              <w:rPr>
                <w:rFonts w:ascii="宋体" w:hAnsi="宋体" w:hint="eastAsia"/>
                <w:color w:val="000000"/>
                <w:sz w:val="18"/>
                <w:szCs w:val="18"/>
              </w:rPr>
              <w:t>2021.04.19</w:t>
            </w:r>
          </w:p>
        </w:tc>
        <w:tc>
          <w:tcPr>
            <w:tcW w:w="1248" w:type="dxa"/>
            <w:vAlign w:val="center"/>
          </w:tcPr>
          <w:p w14:paraId="12DF9FE2" w14:textId="77777777" w:rsidR="00577D08" w:rsidRDefault="00330FC0">
            <w:pPr>
              <w:jc w:val="right"/>
              <w:rPr>
                <w:sz w:val="18"/>
                <w:szCs w:val="18"/>
              </w:rPr>
            </w:pPr>
            <w:r>
              <w:rPr>
                <w:rFonts w:ascii="宋体" w:hAnsi="宋体" w:hint="eastAsia"/>
                <w:color w:val="000000"/>
                <w:sz w:val="18"/>
                <w:szCs w:val="18"/>
              </w:rPr>
              <w:t>2026.11.12</w:t>
            </w:r>
          </w:p>
        </w:tc>
        <w:tc>
          <w:tcPr>
            <w:tcW w:w="1191" w:type="dxa"/>
            <w:vMerge/>
            <w:vAlign w:val="center"/>
          </w:tcPr>
          <w:p w14:paraId="28055960" w14:textId="77777777" w:rsidR="00577D08" w:rsidRDefault="00577D08">
            <w:pPr>
              <w:jc w:val="right"/>
              <w:rPr>
                <w:sz w:val="18"/>
                <w:szCs w:val="18"/>
              </w:rPr>
            </w:pPr>
          </w:p>
        </w:tc>
        <w:tc>
          <w:tcPr>
            <w:tcW w:w="1180" w:type="dxa"/>
            <w:vMerge/>
            <w:vAlign w:val="center"/>
          </w:tcPr>
          <w:p w14:paraId="70427B28" w14:textId="77777777" w:rsidR="00577D08" w:rsidRDefault="00577D08">
            <w:pPr>
              <w:jc w:val="right"/>
              <w:rPr>
                <w:sz w:val="18"/>
                <w:szCs w:val="18"/>
              </w:rPr>
            </w:pPr>
          </w:p>
        </w:tc>
        <w:tc>
          <w:tcPr>
            <w:tcW w:w="1363" w:type="dxa"/>
            <w:vMerge/>
            <w:vAlign w:val="center"/>
          </w:tcPr>
          <w:p w14:paraId="417BB214" w14:textId="77777777" w:rsidR="00577D08" w:rsidRDefault="00577D08">
            <w:pPr>
              <w:jc w:val="right"/>
              <w:rPr>
                <w:sz w:val="18"/>
                <w:szCs w:val="18"/>
              </w:rPr>
            </w:pPr>
          </w:p>
        </w:tc>
        <w:tc>
          <w:tcPr>
            <w:tcW w:w="1217" w:type="dxa"/>
            <w:vMerge/>
            <w:vAlign w:val="center"/>
          </w:tcPr>
          <w:p w14:paraId="416B8F8B" w14:textId="77777777" w:rsidR="00577D08" w:rsidRDefault="00577D08">
            <w:pPr>
              <w:rPr>
                <w:sz w:val="18"/>
                <w:szCs w:val="18"/>
              </w:rPr>
            </w:pPr>
          </w:p>
        </w:tc>
        <w:tc>
          <w:tcPr>
            <w:tcW w:w="1211" w:type="dxa"/>
            <w:vMerge/>
            <w:vAlign w:val="center"/>
          </w:tcPr>
          <w:p w14:paraId="566E9F03" w14:textId="77777777" w:rsidR="00577D08" w:rsidRDefault="00577D08">
            <w:pPr>
              <w:jc w:val="right"/>
              <w:rPr>
                <w:rFonts w:ascii="宋体" w:hAnsi="宋体" w:hint="eastAsia"/>
                <w:color w:val="000000"/>
                <w:sz w:val="18"/>
                <w:szCs w:val="18"/>
              </w:rPr>
            </w:pPr>
          </w:p>
        </w:tc>
        <w:tc>
          <w:tcPr>
            <w:tcW w:w="1211" w:type="dxa"/>
            <w:vMerge/>
            <w:vAlign w:val="center"/>
          </w:tcPr>
          <w:p w14:paraId="6CD715EC" w14:textId="77777777" w:rsidR="00577D08" w:rsidRDefault="00577D08">
            <w:pPr>
              <w:jc w:val="center"/>
              <w:rPr>
                <w:rFonts w:ascii="宋体" w:hAnsi="宋体" w:hint="eastAsia"/>
                <w:color w:val="000000"/>
                <w:sz w:val="18"/>
                <w:szCs w:val="18"/>
              </w:rPr>
            </w:pPr>
          </w:p>
        </w:tc>
      </w:tr>
      <w:tr w:rsidR="00577D08" w14:paraId="203DBD02" w14:textId="77777777">
        <w:trPr>
          <w:trHeight w:val="132"/>
        </w:trPr>
        <w:tc>
          <w:tcPr>
            <w:tcW w:w="1118" w:type="dxa"/>
            <w:vAlign w:val="center"/>
          </w:tcPr>
          <w:p w14:paraId="1005DC26" w14:textId="77777777" w:rsidR="00577D08" w:rsidRDefault="00330FC0">
            <w:pPr>
              <w:rPr>
                <w:sz w:val="18"/>
                <w:szCs w:val="18"/>
              </w:rPr>
            </w:pPr>
            <w:r>
              <w:rPr>
                <w:rFonts w:ascii="宋体" w:hAnsi="宋体" w:hint="eastAsia"/>
                <w:color w:val="000000"/>
                <w:sz w:val="18"/>
                <w:szCs w:val="18"/>
              </w:rPr>
              <w:t>刘柏林</w:t>
            </w:r>
          </w:p>
        </w:tc>
        <w:tc>
          <w:tcPr>
            <w:tcW w:w="1203" w:type="dxa"/>
            <w:vAlign w:val="center"/>
          </w:tcPr>
          <w:p w14:paraId="4BDB4B36" w14:textId="77777777" w:rsidR="00577D08" w:rsidRDefault="00330FC0">
            <w:pPr>
              <w:rPr>
                <w:sz w:val="18"/>
                <w:szCs w:val="18"/>
              </w:rPr>
            </w:pPr>
            <w:r>
              <w:rPr>
                <w:rFonts w:ascii="宋体" w:hAnsi="宋体" w:hint="eastAsia"/>
                <w:color w:val="000000"/>
                <w:sz w:val="18"/>
                <w:szCs w:val="18"/>
              </w:rPr>
              <w:t>副总经理</w:t>
            </w:r>
          </w:p>
        </w:tc>
        <w:tc>
          <w:tcPr>
            <w:tcW w:w="946" w:type="dxa"/>
            <w:vAlign w:val="center"/>
          </w:tcPr>
          <w:p w14:paraId="36E1334E"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787A0542" w14:textId="77777777" w:rsidR="00577D08" w:rsidRDefault="00330FC0">
            <w:pPr>
              <w:jc w:val="right"/>
              <w:rPr>
                <w:sz w:val="18"/>
                <w:szCs w:val="18"/>
              </w:rPr>
            </w:pPr>
            <w:r>
              <w:rPr>
                <w:rFonts w:ascii="宋体" w:hAnsi="宋体" w:hint="eastAsia"/>
                <w:color w:val="000000"/>
                <w:sz w:val="18"/>
                <w:szCs w:val="18"/>
              </w:rPr>
              <w:t>39</w:t>
            </w:r>
          </w:p>
        </w:tc>
        <w:tc>
          <w:tcPr>
            <w:tcW w:w="1248" w:type="dxa"/>
            <w:vAlign w:val="center"/>
          </w:tcPr>
          <w:p w14:paraId="7C28B194"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40317DAA"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45AEC92F" w14:textId="77777777" w:rsidR="00577D08" w:rsidRDefault="00330FC0">
            <w:pPr>
              <w:jc w:val="right"/>
              <w:rPr>
                <w:sz w:val="18"/>
                <w:szCs w:val="18"/>
              </w:rPr>
            </w:pPr>
            <w:r>
              <w:rPr>
                <w:rFonts w:ascii="宋体" w:hAnsi="宋体" w:hint="eastAsia"/>
                <w:color w:val="000000"/>
                <w:sz w:val="18"/>
                <w:szCs w:val="18"/>
              </w:rPr>
              <w:t>190,000</w:t>
            </w:r>
          </w:p>
        </w:tc>
        <w:tc>
          <w:tcPr>
            <w:tcW w:w="1180" w:type="dxa"/>
            <w:vAlign w:val="center"/>
          </w:tcPr>
          <w:p w14:paraId="5D68F587" w14:textId="77777777" w:rsidR="00577D08" w:rsidRDefault="00330FC0">
            <w:pPr>
              <w:jc w:val="right"/>
              <w:rPr>
                <w:sz w:val="18"/>
                <w:szCs w:val="18"/>
              </w:rPr>
            </w:pPr>
            <w:r>
              <w:rPr>
                <w:rFonts w:ascii="宋体" w:hAnsi="宋体" w:hint="eastAsia"/>
                <w:color w:val="000000"/>
                <w:sz w:val="18"/>
                <w:szCs w:val="18"/>
              </w:rPr>
              <w:t>133,000</w:t>
            </w:r>
          </w:p>
        </w:tc>
        <w:tc>
          <w:tcPr>
            <w:tcW w:w="1363" w:type="dxa"/>
            <w:vAlign w:val="center"/>
          </w:tcPr>
          <w:p w14:paraId="1EA013A3" w14:textId="77777777" w:rsidR="00577D08" w:rsidRDefault="00330FC0">
            <w:pPr>
              <w:jc w:val="right"/>
              <w:rPr>
                <w:sz w:val="18"/>
                <w:szCs w:val="18"/>
              </w:rPr>
            </w:pPr>
            <w:r>
              <w:rPr>
                <w:rFonts w:ascii="宋体" w:hAnsi="宋体" w:hint="eastAsia"/>
                <w:color w:val="000000"/>
                <w:sz w:val="18"/>
                <w:szCs w:val="18"/>
              </w:rPr>
              <w:t>-57,000</w:t>
            </w:r>
          </w:p>
        </w:tc>
        <w:tc>
          <w:tcPr>
            <w:tcW w:w="1217" w:type="dxa"/>
            <w:vAlign w:val="center"/>
          </w:tcPr>
          <w:p w14:paraId="7E1E14A6" w14:textId="77777777" w:rsidR="00577D08" w:rsidRDefault="00330FC0">
            <w:pPr>
              <w:rPr>
                <w:sz w:val="18"/>
                <w:szCs w:val="18"/>
              </w:rPr>
            </w:pPr>
            <w:r>
              <w:rPr>
                <w:rFonts w:ascii="宋体" w:hAnsi="宋体" w:hint="eastAsia"/>
                <w:color w:val="000000"/>
                <w:sz w:val="18"/>
                <w:szCs w:val="18"/>
              </w:rPr>
              <w:t>限制性股票回购注销</w:t>
            </w:r>
          </w:p>
        </w:tc>
        <w:tc>
          <w:tcPr>
            <w:tcW w:w="1211" w:type="dxa"/>
            <w:vAlign w:val="center"/>
          </w:tcPr>
          <w:p w14:paraId="630B2C99"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58.88</w:t>
            </w:r>
          </w:p>
        </w:tc>
        <w:tc>
          <w:tcPr>
            <w:tcW w:w="1211" w:type="dxa"/>
            <w:vAlign w:val="center"/>
          </w:tcPr>
          <w:p w14:paraId="3EBAD302"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71C62387" w14:textId="77777777">
        <w:trPr>
          <w:trHeight w:val="132"/>
        </w:trPr>
        <w:tc>
          <w:tcPr>
            <w:tcW w:w="1118" w:type="dxa"/>
            <w:vAlign w:val="center"/>
          </w:tcPr>
          <w:p w14:paraId="7B88C1ED" w14:textId="77777777" w:rsidR="00577D08" w:rsidRDefault="00330FC0">
            <w:pPr>
              <w:rPr>
                <w:sz w:val="18"/>
                <w:szCs w:val="18"/>
              </w:rPr>
            </w:pPr>
            <w:r>
              <w:rPr>
                <w:rFonts w:ascii="宋体" w:hAnsi="宋体" w:hint="eastAsia"/>
                <w:color w:val="000000"/>
                <w:sz w:val="18"/>
                <w:szCs w:val="18"/>
              </w:rPr>
              <w:t>肖永号</w:t>
            </w:r>
          </w:p>
        </w:tc>
        <w:tc>
          <w:tcPr>
            <w:tcW w:w="1203" w:type="dxa"/>
            <w:vAlign w:val="center"/>
          </w:tcPr>
          <w:p w14:paraId="488496E2" w14:textId="77777777" w:rsidR="00577D08" w:rsidRDefault="00330FC0">
            <w:pPr>
              <w:rPr>
                <w:sz w:val="18"/>
                <w:szCs w:val="18"/>
              </w:rPr>
            </w:pPr>
            <w:r>
              <w:rPr>
                <w:rFonts w:ascii="宋体" w:hAnsi="宋体" w:hint="eastAsia"/>
                <w:color w:val="000000"/>
                <w:sz w:val="18"/>
                <w:szCs w:val="18"/>
              </w:rPr>
              <w:t>副总经理</w:t>
            </w:r>
          </w:p>
        </w:tc>
        <w:tc>
          <w:tcPr>
            <w:tcW w:w="946" w:type="dxa"/>
            <w:vAlign w:val="center"/>
          </w:tcPr>
          <w:p w14:paraId="219D4A9F"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2A448C88" w14:textId="77777777" w:rsidR="00577D08" w:rsidRDefault="00330FC0">
            <w:pPr>
              <w:jc w:val="right"/>
              <w:rPr>
                <w:sz w:val="18"/>
                <w:szCs w:val="18"/>
              </w:rPr>
            </w:pPr>
            <w:r>
              <w:rPr>
                <w:rFonts w:ascii="宋体" w:hAnsi="宋体" w:hint="eastAsia"/>
                <w:color w:val="000000"/>
                <w:sz w:val="18"/>
                <w:szCs w:val="18"/>
              </w:rPr>
              <w:t>55</w:t>
            </w:r>
          </w:p>
        </w:tc>
        <w:tc>
          <w:tcPr>
            <w:tcW w:w="1248" w:type="dxa"/>
            <w:vAlign w:val="center"/>
          </w:tcPr>
          <w:p w14:paraId="22CFFDEC"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204D0946"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4669814B" w14:textId="77777777" w:rsidR="00577D08" w:rsidRDefault="00330FC0">
            <w:pPr>
              <w:jc w:val="right"/>
              <w:rPr>
                <w:sz w:val="18"/>
                <w:szCs w:val="18"/>
              </w:rPr>
            </w:pPr>
            <w:r>
              <w:rPr>
                <w:rFonts w:ascii="宋体" w:hAnsi="宋体" w:hint="eastAsia"/>
                <w:color w:val="000000"/>
                <w:sz w:val="18"/>
                <w:szCs w:val="18"/>
              </w:rPr>
              <w:t>90,000</w:t>
            </w:r>
          </w:p>
        </w:tc>
        <w:tc>
          <w:tcPr>
            <w:tcW w:w="1180" w:type="dxa"/>
            <w:vAlign w:val="center"/>
          </w:tcPr>
          <w:p w14:paraId="5892034B" w14:textId="77777777" w:rsidR="00577D08" w:rsidRDefault="00330FC0">
            <w:pPr>
              <w:jc w:val="right"/>
              <w:rPr>
                <w:sz w:val="18"/>
                <w:szCs w:val="18"/>
              </w:rPr>
            </w:pPr>
            <w:r>
              <w:rPr>
                <w:rFonts w:ascii="宋体" w:hAnsi="宋体" w:hint="eastAsia"/>
                <w:color w:val="000000"/>
                <w:sz w:val="18"/>
                <w:szCs w:val="18"/>
              </w:rPr>
              <w:t>63,000</w:t>
            </w:r>
          </w:p>
        </w:tc>
        <w:tc>
          <w:tcPr>
            <w:tcW w:w="1363" w:type="dxa"/>
            <w:vAlign w:val="center"/>
          </w:tcPr>
          <w:p w14:paraId="74954768" w14:textId="77777777" w:rsidR="00577D08" w:rsidRDefault="00330FC0">
            <w:pPr>
              <w:jc w:val="right"/>
              <w:rPr>
                <w:sz w:val="18"/>
                <w:szCs w:val="18"/>
              </w:rPr>
            </w:pPr>
            <w:r>
              <w:rPr>
                <w:rFonts w:ascii="宋体" w:hAnsi="宋体" w:hint="eastAsia"/>
                <w:color w:val="000000"/>
                <w:sz w:val="18"/>
                <w:szCs w:val="18"/>
              </w:rPr>
              <w:t>-27,000</w:t>
            </w:r>
          </w:p>
        </w:tc>
        <w:tc>
          <w:tcPr>
            <w:tcW w:w="1217" w:type="dxa"/>
            <w:vAlign w:val="center"/>
          </w:tcPr>
          <w:p w14:paraId="1DE167F4" w14:textId="77777777" w:rsidR="00577D08" w:rsidRDefault="00330FC0">
            <w:pPr>
              <w:rPr>
                <w:sz w:val="18"/>
                <w:szCs w:val="18"/>
              </w:rPr>
            </w:pPr>
            <w:r>
              <w:rPr>
                <w:rFonts w:ascii="宋体" w:hAnsi="宋体" w:hint="eastAsia"/>
                <w:color w:val="000000"/>
                <w:sz w:val="18"/>
                <w:szCs w:val="18"/>
              </w:rPr>
              <w:t>限制性股票回购注销</w:t>
            </w:r>
          </w:p>
        </w:tc>
        <w:tc>
          <w:tcPr>
            <w:tcW w:w="1211" w:type="dxa"/>
            <w:vAlign w:val="center"/>
          </w:tcPr>
          <w:p w14:paraId="6B5DC930"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58.13</w:t>
            </w:r>
          </w:p>
        </w:tc>
        <w:tc>
          <w:tcPr>
            <w:tcW w:w="1211" w:type="dxa"/>
            <w:vAlign w:val="center"/>
          </w:tcPr>
          <w:p w14:paraId="07FC3692"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0CF89DE9" w14:textId="77777777">
        <w:trPr>
          <w:trHeight w:val="132"/>
        </w:trPr>
        <w:tc>
          <w:tcPr>
            <w:tcW w:w="1118" w:type="dxa"/>
            <w:vAlign w:val="center"/>
          </w:tcPr>
          <w:p w14:paraId="594DDD7D" w14:textId="77777777" w:rsidR="00577D08" w:rsidRDefault="00330FC0">
            <w:pPr>
              <w:rPr>
                <w:sz w:val="18"/>
                <w:szCs w:val="18"/>
              </w:rPr>
            </w:pPr>
            <w:r>
              <w:rPr>
                <w:rFonts w:ascii="宋体" w:hAnsi="宋体" w:hint="eastAsia"/>
                <w:color w:val="000000"/>
                <w:sz w:val="18"/>
                <w:szCs w:val="18"/>
              </w:rPr>
              <w:t>杨万华</w:t>
            </w:r>
          </w:p>
        </w:tc>
        <w:tc>
          <w:tcPr>
            <w:tcW w:w="1203" w:type="dxa"/>
            <w:vAlign w:val="center"/>
          </w:tcPr>
          <w:p w14:paraId="1B36F089" w14:textId="77777777" w:rsidR="00577D08" w:rsidRDefault="00330FC0">
            <w:pPr>
              <w:rPr>
                <w:sz w:val="18"/>
                <w:szCs w:val="18"/>
              </w:rPr>
            </w:pPr>
            <w:r>
              <w:rPr>
                <w:rFonts w:ascii="宋体" w:hAnsi="宋体" w:hint="eastAsia"/>
                <w:color w:val="000000"/>
                <w:sz w:val="18"/>
                <w:szCs w:val="18"/>
              </w:rPr>
              <w:t>财务总监</w:t>
            </w:r>
          </w:p>
        </w:tc>
        <w:tc>
          <w:tcPr>
            <w:tcW w:w="946" w:type="dxa"/>
            <w:vAlign w:val="center"/>
          </w:tcPr>
          <w:p w14:paraId="25B66F5E" w14:textId="77777777" w:rsidR="00577D08" w:rsidRDefault="00330FC0">
            <w:pPr>
              <w:jc w:val="center"/>
              <w:rPr>
                <w:sz w:val="18"/>
                <w:szCs w:val="18"/>
              </w:rPr>
            </w:pPr>
            <w:r>
              <w:rPr>
                <w:rFonts w:ascii="宋体" w:hAnsi="宋体" w:hint="eastAsia"/>
                <w:color w:val="000000"/>
                <w:sz w:val="18"/>
                <w:szCs w:val="18"/>
              </w:rPr>
              <w:t>女</w:t>
            </w:r>
          </w:p>
        </w:tc>
        <w:tc>
          <w:tcPr>
            <w:tcW w:w="946" w:type="dxa"/>
            <w:vAlign w:val="center"/>
          </w:tcPr>
          <w:p w14:paraId="62DB3A72" w14:textId="77777777" w:rsidR="00577D08" w:rsidRDefault="00330FC0">
            <w:pPr>
              <w:jc w:val="right"/>
              <w:rPr>
                <w:sz w:val="18"/>
                <w:szCs w:val="18"/>
              </w:rPr>
            </w:pPr>
            <w:r>
              <w:rPr>
                <w:rFonts w:ascii="宋体" w:hAnsi="宋体" w:hint="eastAsia"/>
                <w:color w:val="000000"/>
                <w:sz w:val="18"/>
                <w:szCs w:val="18"/>
              </w:rPr>
              <w:t>39</w:t>
            </w:r>
          </w:p>
        </w:tc>
        <w:tc>
          <w:tcPr>
            <w:tcW w:w="1248" w:type="dxa"/>
            <w:vAlign w:val="center"/>
          </w:tcPr>
          <w:p w14:paraId="0F5E0454" w14:textId="77777777" w:rsidR="00577D08" w:rsidRDefault="00330FC0">
            <w:pPr>
              <w:jc w:val="right"/>
              <w:rPr>
                <w:sz w:val="18"/>
                <w:szCs w:val="18"/>
              </w:rPr>
            </w:pPr>
            <w:r>
              <w:rPr>
                <w:rFonts w:ascii="宋体" w:hAnsi="宋体" w:hint="eastAsia"/>
                <w:color w:val="000000"/>
                <w:sz w:val="18"/>
                <w:szCs w:val="18"/>
              </w:rPr>
              <w:t>2023.11.13</w:t>
            </w:r>
          </w:p>
        </w:tc>
        <w:tc>
          <w:tcPr>
            <w:tcW w:w="1248" w:type="dxa"/>
            <w:vAlign w:val="center"/>
          </w:tcPr>
          <w:p w14:paraId="24D8C6FC"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2B567B6E" w14:textId="77777777" w:rsidR="00577D08" w:rsidRDefault="00330FC0">
            <w:pPr>
              <w:jc w:val="right"/>
              <w:rPr>
                <w:sz w:val="18"/>
                <w:szCs w:val="18"/>
              </w:rPr>
            </w:pPr>
            <w:r>
              <w:rPr>
                <w:rFonts w:ascii="宋体" w:hAnsi="宋体" w:hint="eastAsia"/>
                <w:color w:val="000000"/>
                <w:sz w:val="18"/>
                <w:szCs w:val="18"/>
              </w:rPr>
              <w:t>70,000</w:t>
            </w:r>
          </w:p>
        </w:tc>
        <w:tc>
          <w:tcPr>
            <w:tcW w:w="1180" w:type="dxa"/>
            <w:vAlign w:val="center"/>
          </w:tcPr>
          <w:p w14:paraId="2FC9E22F" w14:textId="77777777" w:rsidR="00577D08" w:rsidRDefault="00330FC0">
            <w:pPr>
              <w:jc w:val="right"/>
              <w:rPr>
                <w:sz w:val="18"/>
                <w:szCs w:val="18"/>
              </w:rPr>
            </w:pPr>
            <w:r>
              <w:rPr>
                <w:rFonts w:ascii="宋体" w:hAnsi="宋体" w:hint="eastAsia"/>
                <w:color w:val="000000"/>
                <w:sz w:val="18"/>
                <w:szCs w:val="18"/>
              </w:rPr>
              <w:t>49,000</w:t>
            </w:r>
          </w:p>
        </w:tc>
        <w:tc>
          <w:tcPr>
            <w:tcW w:w="1363" w:type="dxa"/>
            <w:vAlign w:val="center"/>
          </w:tcPr>
          <w:p w14:paraId="6EF6F9E4" w14:textId="77777777" w:rsidR="00577D08" w:rsidRDefault="00330FC0">
            <w:pPr>
              <w:jc w:val="right"/>
              <w:rPr>
                <w:sz w:val="18"/>
                <w:szCs w:val="18"/>
              </w:rPr>
            </w:pPr>
            <w:r>
              <w:rPr>
                <w:rFonts w:ascii="宋体" w:hAnsi="宋体" w:hint="eastAsia"/>
                <w:color w:val="000000"/>
                <w:sz w:val="18"/>
                <w:szCs w:val="18"/>
              </w:rPr>
              <w:t>-21,000</w:t>
            </w:r>
          </w:p>
        </w:tc>
        <w:tc>
          <w:tcPr>
            <w:tcW w:w="1217" w:type="dxa"/>
            <w:vAlign w:val="center"/>
          </w:tcPr>
          <w:p w14:paraId="13DD9159" w14:textId="77777777" w:rsidR="00577D08" w:rsidRDefault="00330FC0">
            <w:pPr>
              <w:rPr>
                <w:sz w:val="18"/>
                <w:szCs w:val="18"/>
              </w:rPr>
            </w:pPr>
            <w:r>
              <w:rPr>
                <w:rFonts w:ascii="宋体" w:hAnsi="宋体" w:hint="eastAsia"/>
                <w:color w:val="000000"/>
                <w:sz w:val="18"/>
                <w:szCs w:val="18"/>
              </w:rPr>
              <w:t>限制性股票回购注销</w:t>
            </w:r>
          </w:p>
        </w:tc>
        <w:tc>
          <w:tcPr>
            <w:tcW w:w="1211" w:type="dxa"/>
            <w:vAlign w:val="center"/>
          </w:tcPr>
          <w:p w14:paraId="361DBE00"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26.38</w:t>
            </w:r>
          </w:p>
        </w:tc>
        <w:tc>
          <w:tcPr>
            <w:tcW w:w="1211" w:type="dxa"/>
            <w:vAlign w:val="center"/>
          </w:tcPr>
          <w:p w14:paraId="2E0EE875"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6A8EE898" w14:textId="77777777">
        <w:trPr>
          <w:trHeight w:val="132"/>
        </w:trPr>
        <w:tc>
          <w:tcPr>
            <w:tcW w:w="1118" w:type="dxa"/>
            <w:vAlign w:val="center"/>
          </w:tcPr>
          <w:p w14:paraId="38CE991C" w14:textId="77777777" w:rsidR="00577D08" w:rsidRDefault="00330FC0">
            <w:pPr>
              <w:rPr>
                <w:sz w:val="18"/>
                <w:szCs w:val="18"/>
              </w:rPr>
            </w:pPr>
            <w:r>
              <w:rPr>
                <w:rFonts w:ascii="宋体" w:hAnsi="宋体" w:hint="eastAsia"/>
                <w:color w:val="000000"/>
                <w:sz w:val="18"/>
                <w:szCs w:val="18"/>
              </w:rPr>
              <w:t>杨宏伟</w:t>
            </w:r>
          </w:p>
        </w:tc>
        <w:tc>
          <w:tcPr>
            <w:tcW w:w="1203" w:type="dxa"/>
            <w:vAlign w:val="center"/>
          </w:tcPr>
          <w:p w14:paraId="68D49A1E" w14:textId="77777777" w:rsidR="00577D08" w:rsidRDefault="00330FC0">
            <w:pPr>
              <w:rPr>
                <w:sz w:val="18"/>
                <w:szCs w:val="18"/>
              </w:rPr>
            </w:pPr>
            <w:r>
              <w:rPr>
                <w:rFonts w:ascii="宋体" w:hAnsi="宋体" w:hint="eastAsia"/>
                <w:color w:val="000000"/>
                <w:sz w:val="18"/>
                <w:szCs w:val="18"/>
              </w:rPr>
              <w:t>副总经理</w:t>
            </w:r>
          </w:p>
        </w:tc>
        <w:tc>
          <w:tcPr>
            <w:tcW w:w="946" w:type="dxa"/>
            <w:vAlign w:val="center"/>
          </w:tcPr>
          <w:p w14:paraId="3F294DA9" w14:textId="77777777" w:rsidR="00577D08" w:rsidRDefault="00330FC0">
            <w:pPr>
              <w:jc w:val="center"/>
              <w:rPr>
                <w:sz w:val="18"/>
                <w:szCs w:val="18"/>
              </w:rPr>
            </w:pPr>
            <w:r>
              <w:rPr>
                <w:rFonts w:ascii="宋体" w:hAnsi="宋体" w:hint="eastAsia"/>
                <w:color w:val="000000"/>
                <w:sz w:val="18"/>
                <w:szCs w:val="18"/>
              </w:rPr>
              <w:t>男</w:t>
            </w:r>
          </w:p>
        </w:tc>
        <w:tc>
          <w:tcPr>
            <w:tcW w:w="946" w:type="dxa"/>
            <w:vAlign w:val="center"/>
          </w:tcPr>
          <w:p w14:paraId="2E95214A" w14:textId="77777777" w:rsidR="00577D08" w:rsidRDefault="00330FC0">
            <w:pPr>
              <w:jc w:val="right"/>
              <w:rPr>
                <w:sz w:val="18"/>
                <w:szCs w:val="18"/>
              </w:rPr>
            </w:pPr>
            <w:r>
              <w:rPr>
                <w:rFonts w:ascii="宋体" w:hAnsi="宋体" w:hint="eastAsia"/>
                <w:color w:val="000000"/>
                <w:sz w:val="18"/>
                <w:szCs w:val="18"/>
              </w:rPr>
              <w:t>60</w:t>
            </w:r>
          </w:p>
        </w:tc>
        <w:tc>
          <w:tcPr>
            <w:tcW w:w="1248" w:type="dxa"/>
            <w:vAlign w:val="center"/>
          </w:tcPr>
          <w:p w14:paraId="2A2AE602" w14:textId="77777777" w:rsidR="00577D08" w:rsidRDefault="00330FC0">
            <w:pPr>
              <w:jc w:val="right"/>
              <w:rPr>
                <w:sz w:val="18"/>
                <w:szCs w:val="18"/>
              </w:rPr>
            </w:pPr>
            <w:r>
              <w:rPr>
                <w:rFonts w:ascii="宋体" w:hAnsi="宋体" w:hint="eastAsia"/>
                <w:color w:val="000000"/>
                <w:sz w:val="18"/>
                <w:szCs w:val="18"/>
              </w:rPr>
              <w:t>2024.04.24</w:t>
            </w:r>
          </w:p>
        </w:tc>
        <w:tc>
          <w:tcPr>
            <w:tcW w:w="1248" w:type="dxa"/>
            <w:vAlign w:val="center"/>
          </w:tcPr>
          <w:p w14:paraId="4AC69133" w14:textId="77777777" w:rsidR="00577D08" w:rsidRDefault="00330FC0">
            <w:pPr>
              <w:jc w:val="right"/>
              <w:rPr>
                <w:sz w:val="18"/>
                <w:szCs w:val="18"/>
              </w:rPr>
            </w:pPr>
            <w:r>
              <w:rPr>
                <w:rFonts w:ascii="宋体" w:hAnsi="宋体" w:hint="eastAsia"/>
                <w:color w:val="000000"/>
                <w:sz w:val="18"/>
                <w:szCs w:val="18"/>
              </w:rPr>
              <w:t>2026.11.12</w:t>
            </w:r>
          </w:p>
        </w:tc>
        <w:tc>
          <w:tcPr>
            <w:tcW w:w="1191" w:type="dxa"/>
            <w:vAlign w:val="center"/>
          </w:tcPr>
          <w:p w14:paraId="3EBD2D64" w14:textId="77777777" w:rsidR="00577D08" w:rsidRDefault="00330FC0">
            <w:pPr>
              <w:jc w:val="right"/>
              <w:rPr>
                <w:sz w:val="18"/>
                <w:szCs w:val="18"/>
              </w:rPr>
            </w:pPr>
            <w:r>
              <w:rPr>
                <w:rFonts w:ascii="宋体" w:hAnsi="宋体" w:hint="eastAsia"/>
                <w:color w:val="000000"/>
                <w:sz w:val="18"/>
                <w:szCs w:val="18"/>
              </w:rPr>
              <w:t>0</w:t>
            </w:r>
          </w:p>
        </w:tc>
        <w:tc>
          <w:tcPr>
            <w:tcW w:w="1180" w:type="dxa"/>
            <w:vAlign w:val="center"/>
          </w:tcPr>
          <w:p w14:paraId="7A832353" w14:textId="77777777" w:rsidR="00577D08" w:rsidRDefault="00330FC0">
            <w:pPr>
              <w:jc w:val="right"/>
              <w:rPr>
                <w:sz w:val="18"/>
                <w:szCs w:val="18"/>
              </w:rPr>
            </w:pPr>
            <w:r>
              <w:rPr>
                <w:rFonts w:ascii="宋体" w:hAnsi="宋体" w:hint="eastAsia"/>
                <w:sz w:val="18"/>
                <w:szCs w:val="18"/>
              </w:rPr>
              <w:t>0</w:t>
            </w:r>
          </w:p>
        </w:tc>
        <w:tc>
          <w:tcPr>
            <w:tcW w:w="1363" w:type="dxa"/>
            <w:vAlign w:val="center"/>
          </w:tcPr>
          <w:p w14:paraId="13EF2ABB" w14:textId="77777777" w:rsidR="00577D08" w:rsidRDefault="00330FC0">
            <w:pPr>
              <w:jc w:val="right"/>
              <w:rPr>
                <w:sz w:val="18"/>
                <w:szCs w:val="18"/>
              </w:rPr>
            </w:pPr>
            <w:r>
              <w:rPr>
                <w:rFonts w:ascii="宋体" w:hAnsi="宋体" w:hint="eastAsia"/>
                <w:color w:val="000000"/>
                <w:sz w:val="18"/>
                <w:szCs w:val="18"/>
              </w:rPr>
              <w:t>0</w:t>
            </w:r>
          </w:p>
        </w:tc>
        <w:tc>
          <w:tcPr>
            <w:tcW w:w="1217" w:type="dxa"/>
            <w:vAlign w:val="center"/>
          </w:tcPr>
          <w:p w14:paraId="5946F9E9" w14:textId="77777777" w:rsidR="00577D08" w:rsidRDefault="00330FC0">
            <w:pPr>
              <w:rPr>
                <w:sz w:val="18"/>
                <w:szCs w:val="18"/>
              </w:rPr>
            </w:pPr>
            <w:r>
              <w:rPr>
                <w:rFonts w:ascii="宋体" w:hAnsi="宋体" w:hint="eastAsia"/>
                <w:sz w:val="18"/>
                <w:szCs w:val="18"/>
              </w:rPr>
              <w:t>/</w:t>
            </w:r>
          </w:p>
        </w:tc>
        <w:tc>
          <w:tcPr>
            <w:tcW w:w="1211" w:type="dxa"/>
            <w:vAlign w:val="center"/>
          </w:tcPr>
          <w:p w14:paraId="12EE3F68" w14:textId="77777777" w:rsidR="00577D08" w:rsidRDefault="00330FC0">
            <w:pPr>
              <w:jc w:val="right"/>
              <w:rPr>
                <w:rFonts w:ascii="宋体" w:hAnsi="宋体" w:hint="eastAsia"/>
                <w:color w:val="000000"/>
                <w:sz w:val="18"/>
                <w:szCs w:val="18"/>
              </w:rPr>
            </w:pPr>
            <w:r>
              <w:rPr>
                <w:rFonts w:ascii="宋体" w:hAnsi="宋体" w:hint="eastAsia"/>
                <w:color w:val="000000"/>
                <w:sz w:val="18"/>
                <w:szCs w:val="18"/>
              </w:rPr>
              <w:t>82.99</w:t>
            </w:r>
          </w:p>
        </w:tc>
        <w:tc>
          <w:tcPr>
            <w:tcW w:w="1211" w:type="dxa"/>
            <w:vAlign w:val="center"/>
          </w:tcPr>
          <w:p w14:paraId="59033180" w14:textId="77777777" w:rsidR="00577D08" w:rsidRDefault="00330FC0">
            <w:pPr>
              <w:jc w:val="center"/>
              <w:rPr>
                <w:rFonts w:ascii="宋体" w:hAnsi="宋体" w:hint="eastAsia"/>
                <w:color w:val="000000"/>
                <w:sz w:val="18"/>
                <w:szCs w:val="18"/>
              </w:rPr>
            </w:pPr>
            <w:r>
              <w:rPr>
                <w:rFonts w:ascii="宋体" w:hAnsi="宋体" w:hint="eastAsia"/>
                <w:color w:val="000000"/>
                <w:sz w:val="18"/>
                <w:szCs w:val="18"/>
              </w:rPr>
              <w:t>否</w:t>
            </w:r>
          </w:p>
        </w:tc>
      </w:tr>
      <w:tr w:rsidR="00577D08" w14:paraId="19F3A8B5" w14:textId="77777777">
        <w:trPr>
          <w:trHeight w:val="165"/>
        </w:trPr>
        <w:tc>
          <w:tcPr>
            <w:tcW w:w="1118" w:type="dxa"/>
            <w:tcBorders>
              <w:bottom w:val="single" w:sz="4" w:space="0" w:color="auto"/>
            </w:tcBorders>
            <w:vAlign w:val="center"/>
          </w:tcPr>
          <w:p w14:paraId="077DFB0B" w14:textId="77777777" w:rsidR="00577D08" w:rsidRDefault="00330FC0">
            <w:pPr>
              <w:jc w:val="center"/>
            </w:pPr>
            <w:r>
              <w:rPr>
                <w:rFonts w:hint="eastAsia"/>
              </w:rPr>
              <w:lastRenderedPageBreak/>
              <w:t>合计</w:t>
            </w:r>
          </w:p>
        </w:tc>
        <w:tc>
          <w:tcPr>
            <w:tcW w:w="1203" w:type="dxa"/>
            <w:tcBorders>
              <w:bottom w:val="single" w:sz="4" w:space="0" w:color="auto"/>
            </w:tcBorders>
            <w:vAlign w:val="center"/>
          </w:tcPr>
          <w:p w14:paraId="07149716" w14:textId="77777777" w:rsidR="00577D08" w:rsidRDefault="00330FC0">
            <w:pPr>
              <w:jc w:val="center"/>
            </w:pPr>
            <w:r>
              <w:rPr>
                <w:rFonts w:hint="eastAsia"/>
              </w:rPr>
              <w:t>/</w:t>
            </w:r>
          </w:p>
        </w:tc>
        <w:tc>
          <w:tcPr>
            <w:tcW w:w="946" w:type="dxa"/>
            <w:tcBorders>
              <w:bottom w:val="single" w:sz="4" w:space="0" w:color="auto"/>
            </w:tcBorders>
            <w:vAlign w:val="center"/>
          </w:tcPr>
          <w:p w14:paraId="3BF4E269" w14:textId="77777777" w:rsidR="00577D08" w:rsidRDefault="00330FC0">
            <w:pPr>
              <w:jc w:val="center"/>
            </w:pPr>
            <w:r>
              <w:rPr>
                <w:rFonts w:hint="eastAsia"/>
              </w:rPr>
              <w:t>/</w:t>
            </w:r>
          </w:p>
        </w:tc>
        <w:tc>
          <w:tcPr>
            <w:tcW w:w="946" w:type="dxa"/>
            <w:tcBorders>
              <w:bottom w:val="single" w:sz="4" w:space="0" w:color="auto"/>
            </w:tcBorders>
            <w:vAlign w:val="center"/>
          </w:tcPr>
          <w:p w14:paraId="3C9EB18F" w14:textId="77777777" w:rsidR="00577D08" w:rsidRDefault="00330FC0">
            <w:pPr>
              <w:jc w:val="right"/>
            </w:pPr>
            <w:r>
              <w:rPr>
                <w:rFonts w:hint="eastAsia"/>
              </w:rPr>
              <w:t>/</w:t>
            </w:r>
          </w:p>
        </w:tc>
        <w:tc>
          <w:tcPr>
            <w:tcW w:w="1248" w:type="dxa"/>
            <w:tcBorders>
              <w:bottom w:val="single" w:sz="4" w:space="0" w:color="auto"/>
            </w:tcBorders>
            <w:vAlign w:val="center"/>
          </w:tcPr>
          <w:p w14:paraId="2F0E8581" w14:textId="77777777" w:rsidR="00577D08" w:rsidRDefault="00330FC0">
            <w:pPr>
              <w:jc w:val="right"/>
            </w:pPr>
            <w:r>
              <w:rPr>
                <w:rFonts w:hint="eastAsia"/>
              </w:rPr>
              <w:t>/</w:t>
            </w:r>
          </w:p>
        </w:tc>
        <w:tc>
          <w:tcPr>
            <w:tcW w:w="1248" w:type="dxa"/>
            <w:tcBorders>
              <w:bottom w:val="single" w:sz="4" w:space="0" w:color="auto"/>
            </w:tcBorders>
            <w:vAlign w:val="center"/>
          </w:tcPr>
          <w:p w14:paraId="5B247570" w14:textId="77777777" w:rsidR="00577D08" w:rsidRDefault="00330FC0">
            <w:pPr>
              <w:jc w:val="right"/>
            </w:pPr>
            <w:r>
              <w:rPr>
                <w:rFonts w:hint="eastAsia"/>
              </w:rPr>
              <w:t>/</w:t>
            </w:r>
          </w:p>
        </w:tc>
        <w:tc>
          <w:tcPr>
            <w:tcW w:w="1191" w:type="dxa"/>
            <w:tcBorders>
              <w:bottom w:val="single" w:sz="4" w:space="0" w:color="auto"/>
            </w:tcBorders>
            <w:vAlign w:val="center"/>
          </w:tcPr>
          <w:p w14:paraId="20BA1FC8" w14:textId="77777777" w:rsidR="00577D08" w:rsidRDefault="00330FC0">
            <w:pPr>
              <w:jc w:val="right"/>
              <w:rPr>
                <w:rFonts w:asciiTheme="minorEastAsia" w:eastAsiaTheme="minorEastAsia" w:hAnsiTheme="minorEastAsia" w:hint="eastAsia"/>
                <w:sz w:val="18"/>
                <w:szCs w:val="18"/>
              </w:rPr>
            </w:pPr>
            <w:r>
              <w:rPr>
                <w:rFonts w:asciiTheme="minorEastAsia" w:eastAsiaTheme="minorEastAsia" w:hAnsiTheme="minorEastAsia"/>
                <w:sz w:val="18"/>
                <w:szCs w:val="18"/>
              </w:rPr>
              <w:t>53,998,391</w:t>
            </w:r>
          </w:p>
        </w:tc>
        <w:tc>
          <w:tcPr>
            <w:tcW w:w="1180" w:type="dxa"/>
            <w:tcBorders>
              <w:bottom w:val="single" w:sz="4" w:space="0" w:color="auto"/>
            </w:tcBorders>
            <w:vAlign w:val="center"/>
          </w:tcPr>
          <w:p w14:paraId="1F620A2F" w14:textId="77777777" w:rsidR="00577D08" w:rsidRDefault="00330FC0">
            <w:pPr>
              <w:jc w:val="right"/>
              <w:rPr>
                <w:rFonts w:asciiTheme="minorEastAsia" w:eastAsiaTheme="minorEastAsia" w:hAnsiTheme="minorEastAsia" w:hint="eastAsia"/>
                <w:sz w:val="18"/>
                <w:szCs w:val="18"/>
              </w:rPr>
            </w:pPr>
            <w:r>
              <w:rPr>
                <w:rFonts w:asciiTheme="minorEastAsia" w:eastAsiaTheme="minorEastAsia" w:hAnsiTheme="minorEastAsia" w:hint="eastAsia"/>
                <w:sz w:val="18"/>
                <w:szCs w:val="18"/>
              </w:rPr>
              <w:t>53,625,691</w:t>
            </w:r>
          </w:p>
        </w:tc>
        <w:tc>
          <w:tcPr>
            <w:tcW w:w="1363" w:type="dxa"/>
            <w:tcBorders>
              <w:bottom w:val="single" w:sz="4" w:space="0" w:color="auto"/>
            </w:tcBorders>
            <w:vAlign w:val="center"/>
          </w:tcPr>
          <w:p w14:paraId="0F2D6E57" w14:textId="77777777" w:rsidR="00577D08" w:rsidRDefault="00330FC0">
            <w:pPr>
              <w:jc w:val="right"/>
              <w:rPr>
                <w:rFonts w:asciiTheme="minorEastAsia" w:eastAsiaTheme="minorEastAsia" w:hAnsiTheme="minorEastAsia" w:hint="eastAsia"/>
                <w:sz w:val="18"/>
                <w:szCs w:val="18"/>
              </w:rPr>
            </w:pPr>
            <w:r>
              <w:rPr>
                <w:rFonts w:asciiTheme="minorEastAsia" w:eastAsiaTheme="minorEastAsia" w:hAnsiTheme="minorEastAsia" w:hint="eastAsia"/>
                <w:sz w:val="18"/>
                <w:szCs w:val="18"/>
              </w:rPr>
              <w:t>-372,700</w:t>
            </w:r>
          </w:p>
        </w:tc>
        <w:tc>
          <w:tcPr>
            <w:tcW w:w="1217" w:type="dxa"/>
            <w:tcBorders>
              <w:bottom w:val="single" w:sz="4" w:space="0" w:color="auto"/>
            </w:tcBorders>
            <w:vAlign w:val="center"/>
          </w:tcPr>
          <w:p w14:paraId="5CEEBB19" w14:textId="77777777" w:rsidR="00577D08" w:rsidRDefault="00330FC0">
            <w:pPr>
              <w:jc w:val="center"/>
              <w:rPr>
                <w:rFonts w:asciiTheme="minorEastAsia" w:eastAsiaTheme="minorEastAsia" w:hAnsiTheme="minorEastAsia" w:hint="eastAsia"/>
                <w:sz w:val="18"/>
                <w:szCs w:val="18"/>
              </w:rPr>
            </w:pPr>
            <w:r>
              <w:rPr>
                <w:rFonts w:asciiTheme="minorEastAsia" w:eastAsiaTheme="minorEastAsia" w:hAnsiTheme="minorEastAsia" w:hint="eastAsia"/>
                <w:sz w:val="18"/>
                <w:szCs w:val="18"/>
              </w:rPr>
              <w:t>/</w:t>
            </w:r>
          </w:p>
        </w:tc>
        <w:tc>
          <w:tcPr>
            <w:tcW w:w="1211" w:type="dxa"/>
            <w:tcBorders>
              <w:bottom w:val="single" w:sz="4" w:space="0" w:color="auto"/>
            </w:tcBorders>
            <w:vAlign w:val="center"/>
          </w:tcPr>
          <w:p w14:paraId="4D8C9076" w14:textId="77777777" w:rsidR="00577D08" w:rsidRDefault="00330FC0">
            <w:pPr>
              <w:jc w:val="right"/>
              <w:rPr>
                <w:rFonts w:asciiTheme="minorEastAsia" w:eastAsiaTheme="minorEastAsia" w:hAnsiTheme="minorEastAsia" w:hint="eastAsia"/>
                <w:sz w:val="18"/>
                <w:szCs w:val="18"/>
              </w:rPr>
            </w:pPr>
            <w:r>
              <w:rPr>
                <w:rFonts w:asciiTheme="minorEastAsia" w:eastAsiaTheme="minorEastAsia" w:hAnsiTheme="minorEastAsia"/>
                <w:sz w:val="18"/>
                <w:szCs w:val="18"/>
              </w:rPr>
              <w:t>794.77</w:t>
            </w:r>
          </w:p>
        </w:tc>
        <w:tc>
          <w:tcPr>
            <w:tcW w:w="1211" w:type="dxa"/>
            <w:tcBorders>
              <w:bottom w:val="single" w:sz="4" w:space="0" w:color="auto"/>
            </w:tcBorders>
            <w:vAlign w:val="center"/>
          </w:tcPr>
          <w:p w14:paraId="248EEBAA" w14:textId="77777777" w:rsidR="00577D08" w:rsidRDefault="00330FC0">
            <w:r>
              <w:t>/</w:t>
            </w:r>
          </w:p>
        </w:tc>
      </w:tr>
      <w:bookmarkEnd w:id="165"/>
    </w:tbl>
    <w:p w14:paraId="339BFA53" w14:textId="77777777" w:rsidR="00577D08" w:rsidRDefault="00577D08"/>
    <w:p w14:paraId="01DF2270" w14:textId="77777777" w:rsidR="00577D08" w:rsidRDefault="00330FC0">
      <w:pPr>
        <w:tabs>
          <w:tab w:val="left" w:pos="9547"/>
        </w:tabs>
      </w:pPr>
      <w:bookmarkStart w:id="167" w:name="_Hlk155082088"/>
      <w:r>
        <w:tab/>
      </w:r>
    </w:p>
    <w:tbl>
      <w:tblPr>
        <w:tblStyle w:val="aff2"/>
        <w:tblW w:w="0" w:type="auto"/>
        <w:tblLayout w:type="fixed"/>
        <w:tblLook w:val="04A0" w:firstRow="1" w:lastRow="0" w:firstColumn="1" w:lastColumn="0" w:noHBand="0" w:noVBand="1"/>
      </w:tblPr>
      <w:tblGrid>
        <w:gridCol w:w="1384"/>
        <w:gridCol w:w="12705"/>
      </w:tblGrid>
      <w:tr w:rsidR="00577D08" w14:paraId="43644001" w14:textId="77777777">
        <w:sdt>
          <w:sdtPr>
            <w:tag w:val="_PLD_1525b90cb0c248978acb54a7f361f6a2"/>
            <w:id w:val="1961769166"/>
          </w:sdtPr>
          <w:sdtContent>
            <w:tc>
              <w:tcPr>
                <w:tcW w:w="1384" w:type="dxa"/>
                <w:vAlign w:val="center"/>
              </w:tcPr>
              <w:p w14:paraId="6838E5D2" w14:textId="77777777" w:rsidR="00577D08" w:rsidRDefault="00330FC0">
                <w:pPr>
                  <w:jc w:val="center"/>
                </w:pPr>
                <w:r>
                  <w:rPr>
                    <w:rFonts w:hint="eastAsia"/>
                  </w:rPr>
                  <w:t>姓名</w:t>
                </w:r>
              </w:p>
            </w:tc>
          </w:sdtContent>
        </w:sdt>
        <w:sdt>
          <w:sdtPr>
            <w:tag w:val="_PLD_61b466aae87d4dac813a38c2c8e6a492"/>
            <w:id w:val="-2137629709"/>
          </w:sdtPr>
          <w:sdtContent>
            <w:tc>
              <w:tcPr>
                <w:tcW w:w="12705" w:type="dxa"/>
                <w:vAlign w:val="center"/>
              </w:tcPr>
              <w:p w14:paraId="69D59FE7" w14:textId="77777777" w:rsidR="00577D08" w:rsidRDefault="00330FC0">
                <w:pPr>
                  <w:jc w:val="center"/>
                </w:pPr>
                <w:r>
                  <w:t>主要工作经历</w:t>
                </w:r>
              </w:p>
            </w:tc>
          </w:sdtContent>
        </w:sdt>
      </w:tr>
      <w:tr w:rsidR="00577D08" w14:paraId="61CDDFA8" w14:textId="77777777">
        <w:tc>
          <w:tcPr>
            <w:tcW w:w="1384" w:type="dxa"/>
          </w:tcPr>
          <w:p w14:paraId="77F82D18" w14:textId="77777777" w:rsidR="00577D08" w:rsidRDefault="00330FC0">
            <w:r>
              <w:rPr>
                <w:rFonts w:hint="eastAsia"/>
              </w:rPr>
              <w:t>杨泽民</w:t>
            </w:r>
          </w:p>
        </w:tc>
        <w:tc>
          <w:tcPr>
            <w:tcW w:w="12705" w:type="dxa"/>
          </w:tcPr>
          <w:p w14:paraId="06E6DD8B" w14:textId="77777777" w:rsidR="00577D08" w:rsidRDefault="00330FC0">
            <w:r>
              <w:rPr>
                <w:rFonts w:hint="eastAsia"/>
              </w:rPr>
              <w:t>1967</w:t>
            </w:r>
            <w:r>
              <w:rPr>
                <w:rFonts w:hint="eastAsia"/>
              </w:rPr>
              <w:t>年出生，中国国籍，无境外永久居留权，</w:t>
            </w:r>
            <w:r>
              <w:rPr>
                <w:rFonts w:hint="eastAsia"/>
              </w:rPr>
              <w:t>EMBA</w:t>
            </w:r>
            <w:r>
              <w:rPr>
                <w:rFonts w:hint="eastAsia"/>
              </w:rPr>
              <w:t>学历。</w:t>
            </w:r>
            <w:r>
              <w:rPr>
                <w:rFonts w:hint="eastAsia"/>
              </w:rPr>
              <w:t>1983</w:t>
            </w:r>
            <w:r>
              <w:rPr>
                <w:rFonts w:hint="eastAsia"/>
              </w:rPr>
              <w:t>年</w:t>
            </w:r>
            <w:r>
              <w:rPr>
                <w:rFonts w:hint="eastAsia"/>
              </w:rPr>
              <w:t>3</w:t>
            </w:r>
            <w:r>
              <w:rPr>
                <w:rFonts w:hint="eastAsia"/>
              </w:rPr>
              <w:t>月至</w:t>
            </w:r>
            <w:r>
              <w:rPr>
                <w:rFonts w:hint="eastAsia"/>
              </w:rPr>
              <w:t>1984</w:t>
            </w:r>
            <w:r>
              <w:rPr>
                <w:rFonts w:hint="eastAsia"/>
              </w:rPr>
              <w:t>年</w:t>
            </w:r>
            <w:r>
              <w:rPr>
                <w:rFonts w:hint="eastAsia"/>
              </w:rPr>
              <w:t>11</w:t>
            </w:r>
            <w:r>
              <w:rPr>
                <w:rFonts w:hint="eastAsia"/>
              </w:rPr>
              <w:t>月，在长寿县制糖厂担任业务员；</w:t>
            </w:r>
            <w:r>
              <w:rPr>
                <w:rFonts w:hint="eastAsia"/>
              </w:rPr>
              <w:t>1984</w:t>
            </w:r>
            <w:r>
              <w:rPr>
                <w:rFonts w:hint="eastAsia"/>
              </w:rPr>
              <w:t>年</w:t>
            </w:r>
            <w:r>
              <w:rPr>
                <w:rFonts w:hint="eastAsia"/>
              </w:rPr>
              <w:t>12</w:t>
            </w:r>
            <w:r>
              <w:rPr>
                <w:rFonts w:hint="eastAsia"/>
              </w:rPr>
              <w:t>月至</w:t>
            </w:r>
            <w:r>
              <w:rPr>
                <w:rFonts w:hint="eastAsia"/>
              </w:rPr>
              <w:t>1985</w:t>
            </w:r>
            <w:r>
              <w:rPr>
                <w:rFonts w:hint="eastAsia"/>
              </w:rPr>
              <w:t>年</w:t>
            </w:r>
            <w:r>
              <w:rPr>
                <w:rFonts w:hint="eastAsia"/>
              </w:rPr>
              <w:t>7</w:t>
            </w:r>
            <w:r>
              <w:rPr>
                <w:rFonts w:hint="eastAsia"/>
              </w:rPr>
              <w:t>月，在长寿养鸡场担任团支部书记、车间主任；</w:t>
            </w:r>
            <w:r>
              <w:rPr>
                <w:rFonts w:hint="eastAsia"/>
              </w:rPr>
              <w:t>1985</w:t>
            </w:r>
            <w:r>
              <w:rPr>
                <w:rFonts w:hint="eastAsia"/>
              </w:rPr>
              <w:t>年</w:t>
            </w:r>
            <w:r>
              <w:rPr>
                <w:rFonts w:hint="eastAsia"/>
              </w:rPr>
              <w:t>8</w:t>
            </w:r>
            <w:r>
              <w:rPr>
                <w:rFonts w:hint="eastAsia"/>
              </w:rPr>
              <w:t>月至</w:t>
            </w:r>
            <w:r>
              <w:rPr>
                <w:rFonts w:hint="eastAsia"/>
              </w:rPr>
              <w:t>1993</w:t>
            </w:r>
            <w:r>
              <w:rPr>
                <w:rFonts w:hint="eastAsia"/>
              </w:rPr>
              <w:t>年</w:t>
            </w:r>
            <w:r>
              <w:rPr>
                <w:rFonts w:hint="eastAsia"/>
              </w:rPr>
              <w:t>12</w:t>
            </w:r>
            <w:r>
              <w:rPr>
                <w:rFonts w:hint="eastAsia"/>
              </w:rPr>
              <w:t>月，在重庆市长寿长江变压器厂担任车间主任、销售主管；</w:t>
            </w:r>
            <w:r>
              <w:rPr>
                <w:rFonts w:hint="eastAsia"/>
              </w:rPr>
              <w:t>1994</w:t>
            </w:r>
            <w:r>
              <w:rPr>
                <w:rFonts w:hint="eastAsia"/>
              </w:rPr>
              <w:t>年</w:t>
            </w:r>
            <w:r>
              <w:rPr>
                <w:rFonts w:hint="eastAsia"/>
              </w:rPr>
              <w:t>8</w:t>
            </w:r>
            <w:r>
              <w:rPr>
                <w:rFonts w:hint="eastAsia"/>
              </w:rPr>
              <w:t>月至</w:t>
            </w:r>
            <w:r>
              <w:rPr>
                <w:rFonts w:hint="eastAsia"/>
              </w:rPr>
              <w:t>2009</w:t>
            </w:r>
            <w:r>
              <w:rPr>
                <w:rFonts w:hint="eastAsia"/>
              </w:rPr>
              <w:t>年</w:t>
            </w:r>
            <w:r>
              <w:rPr>
                <w:rFonts w:hint="eastAsia"/>
              </w:rPr>
              <w:t>11</w:t>
            </w:r>
            <w:r>
              <w:rPr>
                <w:rFonts w:hint="eastAsia"/>
              </w:rPr>
              <w:t>月，在重庆望江变压器厂担任厂长；</w:t>
            </w:r>
            <w:r>
              <w:rPr>
                <w:rFonts w:hint="eastAsia"/>
              </w:rPr>
              <w:t>2009</w:t>
            </w:r>
            <w:r>
              <w:rPr>
                <w:rFonts w:hint="eastAsia"/>
              </w:rPr>
              <w:t>年</w:t>
            </w:r>
            <w:r>
              <w:rPr>
                <w:rFonts w:hint="eastAsia"/>
              </w:rPr>
              <w:t>11</w:t>
            </w:r>
            <w:r>
              <w:rPr>
                <w:rFonts w:hint="eastAsia"/>
              </w:rPr>
              <w:t>月至</w:t>
            </w:r>
            <w:r>
              <w:rPr>
                <w:rFonts w:hint="eastAsia"/>
              </w:rPr>
              <w:t>2014</w:t>
            </w:r>
            <w:r>
              <w:rPr>
                <w:rFonts w:hint="eastAsia"/>
              </w:rPr>
              <w:t>年</w:t>
            </w:r>
            <w:r>
              <w:rPr>
                <w:rFonts w:hint="eastAsia"/>
              </w:rPr>
              <w:t>12</w:t>
            </w:r>
            <w:r>
              <w:rPr>
                <w:rFonts w:hint="eastAsia"/>
              </w:rPr>
              <w:t>月，在重庆望江变压器厂有限公司担任执行董事、总经理；</w:t>
            </w:r>
            <w:r>
              <w:rPr>
                <w:rFonts w:hint="eastAsia"/>
              </w:rPr>
              <w:t>2014</w:t>
            </w:r>
            <w:r>
              <w:rPr>
                <w:rFonts w:hint="eastAsia"/>
              </w:rPr>
              <w:t>年</w:t>
            </w:r>
            <w:r>
              <w:rPr>
                <w:rFonts w:hint="eastAsia"/>
              </w:rPr>
              <w:t>12</w:t>
            </w:r>
            <w:r>
              <w:rPr>
                <w:rFonts w:hint="eastAsia"/>
              </w:rPr>
              <w:t>月至今，在重庆望变电气（集团）股份有限公司担任董事长、总经理。</w:t>
            </w:r>
          </w:p>
        </w:tc>
      </w:tr>
      <w:tr w:rsidR="00577D08" w14:paraId="7A1D4034" w14:textId="77777777">
        <w:tc>
          <w:tcPr>
            <w:tcW w:w="1384" w:type="dxa"/>
          </w:tcPr>
          <w:p w14:paraId="320A18C8" w14:textId="77777777" w:rsidR="00577D08" w:rsidRDefault="00330FC0">
            <w:r>
              <w:rPr>
                <w:rFonts w:hint="eastAsia"/>
              </w:rPr>
              <w:t>杨林</w:t>
            </w:r>
          </w:p>
        </w:tc>
        <w:tc>
          <w:tcPr>
            <w:tcW w:w="12705" w:type="dxa"/>
          </w:tcPr>
          <w:p w14:paraId="486587F3" w14:textId="77777777" w:rsidR="00577D08" w:rsidRDefault="00330FC0">
            <w:r>
              <w:rPr>
                <w:rFonts w:hint="eastAsia"/>
              </w:rPr>
              <w:t>1980</w:t>
            </w:r>
            <w:r>
              <w:rPr>
                <w:rFonts w:hint="eastAsia"/>
              </w:rPr>
              <w:t>年出生，中国国籍，无境外永久居留权，本科学历。</w:t>
            </w:r>
            <w:r>
              <w:rPr>
                <w:rFonts w:hint="eastAsia"/>
              </w:rPr>
              <w:t>2005</w:t>
            </w:r>
            <w:r>
              <w:rPr>
                <w:rFonts w:hint="eastAsia"/>
              </w:rPr>
              <w:t>年</w:t>
            </w:r>
            <w:r>
              <w:rPr>
                <w:rFonts w:hint="eastAsia"/>
              </w:rPr>
              <w:t>7</w:t>
            </w:r>
            <w:r>
              <w:rPr>
                <w:rFonts w:hint="eastAsia"/>
              </w:rPr>
              <w:t>月至</w:t>
            </w:r>
            <w:r>
              <w:rPr>
                <w:rFonts w:hint="eastAsia"/>
              </w:rPr>
              <w:t>2011</w:t>
            </w:r>
            <w:r>
              <w:rPr>
                <w:rFonts w:hint="eastAsia"/>
              </w:rPr>
              <w:t>年</w:t>
            </w:r>
            <w:r>
              <w:rPr>
                <w:rFonts w:hint="eastAsia"/>
              </w:rPr>
              <w:t>6</w:t>
            </w:r>
            <w:r>
              <w:rPr>
                <w:rFonts w:hint="eastAsia"/>
              </w:rPr>
              <w:t>月，在重庆</w:t>
            </w:r>
            <w:r>
              <w:rPr>
                <w:rFonts w:hint="eastAsia"/>
              </w:rPr>
              <w:t>ABB</w:t>
            </w:r>
            <w:r>
              <w:rPr>
                <w:rFonts w:hint="eastAsia"/>
              </w:rPr>
              <w:t>变压器有限公司任技术工程师；</w:t>
            </w:r>
            <w:r>
              <w:rPr>
                <w:rFonts w:hint="eastAsia"/>
              </w:rPr>
              <w:t>2011</w:t>
            </w:r>
            <w:r>
              <w:rPr>
                <w:rFonts w:hint="eastAsia"/>
              </w:rPr>
              <w:t>年</w:t>
            </w:r>
            <w:r>
              <w:rPr>
                <w:rFonts w:hint="eastAsia"/>
              </w:rPr>
              <w:t>7</w:t>
            </w:r>
            <w:r>
              <w:rPr>
                <w:rFonts w:hint="eastAsia"/>
              </w:rPr>
              <w:t>月至今，在重庆望变电气（集团）股份有限公司历任工艺技术部、人力资源部、行政中心总经理、新材料事业部总经理、集团总经理助理等职务；</w:t>
            </w:r>
            <w:r>
              <w:rPr>
                <w:rFonts w:hint="eastAsia"/>
              </w:rPr>
              <w:t>2023</w:t>
            </w:r>
            <w:r>
              <w:rPr>
                <w:rFonts w:hint="eastAsia"/>
              </w:rPr>
              <w:t>年</w:t>
            </w:r>
            <w:r>
              <w:rPr>
                <w:rFonts w:hint="eastAsia"/>
              </w:rPr>
              <w:t>11</w:t>
            </w:r>
            <w:r>
              <w:rPr>
                <w:rFonts w:hint="eastAsia"/>
              </w:rPr>
              <w:t>月至今，在重庆望变电气（集团）股份有限公司任董事、常务副总经理。</w:t>
            </w:r>
          </w:p>
        </w:tc>
      </w:tr>
      <w:tr w:rsidR="00577D08" w14:paraId="2BF9BEB5" w14:textId="77777777">
        <w:tc>
          <w:tcPr>
            <w:tcW w:w="1384" w:type="dxa"/>
          </w:tcPr>
          <w:p w14:paraId="4F34FD4E" w14:textId="77777777" w:rsidR="00577D08" w:rsidRDefault="00330FC0">
            <w:r>
              <w:rPr>
                <w:rFonts w:hint="eastAsia"/>
              </w:rPr>
              <w:t>胡守天</w:t>
            </w:r>
          </w:p>
        </w:tc>
        <w:tc>
          <w:tcPr>
            <w:tcW w:w="12705" w:type="dxa"/>
          </w:tcPr>
          <w:p w14:paraId="3EE68143" w14:textId="77777777" w:rsidR="00577D08" w:rsidRDefault="00330FC0">
            <w:r>
              <w:rPr>
                <w:rFonts w:hint="eastAsia"/>
              </w:rPr>
              <w:t>1973</w:t>
            </w:r>
            <w:r>
              <w:rPr>
                <w:rFonts w:hint="eastAsia"/>
              </w:rPr>
              <w:t>年出生，中国国籍，无境外永久居留权，研究生学历、博士学位。</w:t>
            </w:r>
            <w:r>
              <w:rPr>
                <w:rFonts w:hint="eastAsia"/>
              </w:rPr>
              <w:t>1997</w:t>
            </w:r>
            <w:r>
              <w:rPr>
                <w:rFonts w:hint="eastAsia"/>
              </w:rPr>
              <w:t>年</w:t>
            </w:r>
            <w:r>
              <w:rPr>
                <w:rFonts w:hint="eastAsia"/>
              </w:rPr>
              <w:t>7</w:t>
            </w:r>
            <w:r>
              <w:rPr>
                <w:rFonts w:hint="eastAsia"/>
              </w:rPr>
              <w:t>月至</w:t>
            </w:r>
            <w:r>
              <w:rPr>
                <w:rFonts w:hint="eastAsia"/>
              </w:rPr>
              <w:t>2001</w:t>
            </w:r>
            <w:r>
              <w:rPr>
                <w:rFonts w:hint="eastAsia"/>
              </w:rPr>
              <w:t>年</w:t>
            </w:r>
            <w:r>
              <w:rPr>
                <w:rFonts w:hint="eastAsia"/>
              </w:rPr>
              <w:t>8</w:t>
            </w:r>
            <w:r>
              <w:rPr>
                <w:rFonts w:hint="eastAsia"/>
              </w:rPr>
              <w:t>月，在天津水泥工业设计研究院装备所任设计员；</w:t>
            </w:r>
            <w:r>
              <w:rPr>
                <w:rFonts w:hint="eastAsia"/>
              </w:rPr>
              <w:t>2004</w:t>
            </w:r>
            <w:r>
              <w:rPr>
                <w:rFonts w:hint="eastAsia"/>
              </w:rPr>
              <w:t>年</w:t>
            </w:r>
            <w:r>
              <w:rPr>
                <w:rFonts w:hint="eastAsia"/>
              </w:rPr>
              <w:t>4</w:t>
            </w:r>
            <w:r>
              <w:rPr>
                <w:rFonts w:hint="eastAsia"/>
              </w:rPr>
              <w:t>月至</w:t>
            </w:r>
            <w:r>
              <w:rPr>
                <w:rFonts w:hint="eastAsia"/>
              </w:rPr>
              <w:t>2008</w:t>
            </w:r>
            <w:r>
              <w:rPr>
                <w:rFonts w:hint="eastAsia"/>
              </w:rPr>
              <w:t>年</w:t>
            </w:r>
            <w:r>
              <w:rPr>
                <w:rFonts w:hint="eastAsia"/>
              </w:rPr>
              <w:t>8</w:t>
            </w:r>
            <w:r>
              <w:rPr>
                <w:rFonts w:hint="eastAsia"/>
              </w:rPr>
              <w:t>月，在武钢研究院硅钢研究所任科研人员；</w:t>
            </w:r>
            <w:r>
              <w:rPr>
                <w:rFonts w:hint="eastAsia"/>
              </w:rPr>
              <w:t>2008</w:t>
            </w:r>
            <w:r>
              <w:rPr>
                <w:rFonts w:hint="eastAsia"/>
              </w:rPr>
              <w:t>年</w:t>
            </w:r>
            <w:r>
              <w:rPr>
                <w:rFonts w:hint="eastAsia"/>
              </w:rPr>
              <w:t>9</w:t>
            </w:r>
            <w:r>
              <w:rPr>
                <w:rFonts w:hint="eastAsia"/>
              </w:rPr>
              <w:t>月至</w:t>
            </w:r>
            <w:r>
              <w:rPr>
                <w:rFonts w:hint="eastAsia"/>
              </w:rPr>
              <w:t>2012</w:t>
            </w:r>
            <w:r>
              <w:rPr>
                <w:rFonts w:hint="eastAsia"/>
              </w:rPr>
              <w:t>年</w:t>
            </w:r>
            <w:r>
              <w:rPr>
                <w:rFonts w:hint="eastAsia"/>
              </w:rPr>
              <w:t>4</w:t>
            </w:r>
            <w:r>
              <w:rPr>
                <w:rFonts w:hint="eastAsia"/>
              </w:rPr>
              <w:t>月，在国家硅钢技术研究中心任研究室主任；</w:t>
            </w:r>
            <w:r>
              <w:rPr>
                <w:rFonts w:hint="eastAsia"/>
              </w:rPr>
              <w:t>2012</w:t>
            </w:r>
            <w:r>
              <w:rPr>
                <w:rFonts w:hint="eastAsia"/>
              </w:rPr>
              <w:t>年</w:t>
            </w:r>
            <w:r>
              <w:rPr>
                <w:rFonts w:hint="eastAsia"/>
              </w:rPr>
              <w:t>5</w:t>
            </w:r>
            <w:r>
              <w:rPr>
                <w:rFonts w:hint="eastAsia"/>
              </w:rPr>
              <w:t>月至</w:t>
            </w:r>
            <w:r>
              <w:rPr>
                <w:rFonts w:hint="eastAsia"/>
              </w:rPr>
              <w:t>2013</w:t>
            </w:r>
            <w:r>
              <w:rPr>
                <w:rFonts w:hint="eastAsia"/>
              </w:rPr>
              <w:t>年</w:t>
            </w:r>
            <w:r>
              <w:rPr>
                <w:rFonts w:hint="eastAsia"/>
              </w:rPr>
              <w:t>5</w:t>
            </w:r>
            <w:r>
              <w:rPr>
                <w:rFonts w:hint="eastAsia"/>
              </w:rPr>
              <w:t>月，在英国利兹大学材料与工程学院做访问学者；</w:t>
            </w:r>
            <w:r>
              <w:rPr>
                <w:rFonts w:hint="eastAsia"/>
              </w:rPr>
              <w:t>2013</w:t>
            </w:r>
            <w:r>
              <w:rPr>
                <w:rFonts w:hint="eastAsia"/>
              </w:rPr>
              <w:t>年</w:t>
            </w:r>
            <w:r>
              <w:rPr>
                <w:rFonts w:hint="eastAsia"/>
              </w:rPr>
              <w:t>6</w:t>
            </w:r>
            <w:r>
              <w:rPr>
                <w:rFonts w:hint="eastAsia"/>
              </w:rPr>
              <w:t>月至</w:t>
            </w:r>
            <w:r>
              <w:rPr>
                <w:rFonts w:hint="eastAsia"/>
              </w:rPr>
              <w:t>2014</w:t>
            </w:r>
            <w:r>
              <w:rPr>
                <w:rFonts w:hint="eastAsia"/>
              </w:rPr>
              <w:t>年</w:t>
            </w:r>
            <w:r>
              <w:rPr>
                <w:rFonts w:hint="eastAsia"/>
              </w:rPr>
              <w:t>5</w:t>
            </w:r>
            <w:r>
              <w:rPr>
                <w:rFonts w:hint="eastAsia"/>
              </w:rPr>
              <w:t>月，在武钢硅钢一贯管理部挂职锻炼任副部长；</w:t>
            </w:r>
            <w:r>
              <w:rPr>
                <w:rFonts w:hint="eastAsia"/>
              </w:rPr>
              <w:t>2014</w:t>
            </w:r>
            <w:r>
              <w:rPr>
                <w:rFonts w:hint="eastAsia"/>
              </w:rPr>
              <w:t>年</w:t>
            </w:r>
            <w:r>
              <w:rPr>
                <w:rFonts w:hint="eastAsia"/>
              </w:rPr>
              <w:t>6</w:t>
            </w:r>
            <w:r>
              <w:rPr>
                <w:rFonts w:hint="eastAsia"/>
              </w:rPr>
              <w:t>月至</w:t>
            </w:r>
            <w:r>
              <w:rPr>
                <w:rFonts w:hint="eastAsia"/>
              </w:rPr>
              <w:t>2018</w:t>
            </w:r>
            <w:r>
              <w:rPr>
                <w:rFonts w:hint="eastAsia"/>
              </w:rPr>
              <w:t>年</w:t>
            </w:r>
            <w:r>
              <w:rPr>
                <w:rFonts w:hint="eastAsia"/>
              </w:rPr>
              <w:t>10</w:t>
            </w:r>
            <w:r>
              <w:rPr>
                <w:rFonts w:hint="eastAsia"/>
              </w:rPr>
              <w:t>月，在国家硅钢工程技术研究中心技术研究部任副部长；</w:t>
            </w:r>
            <w:r>
              <w:rPr>
                <w:rFonts w:hint="eastAsia"/>
              </w:rPr>
              <w:t>2018</w:t>
            </w:r>
            <w:r>
              <w:rPr>
                <w:rFonts w:hint="eastAsia"/>
              </w:rPr>
              <w:t>年</w:t>
            </w:r>
            <w:r>
              <w:rPr>
                <w:rFonts w:hint="eastAsia"/>
              </w:rPr>
              <w:t>11</w:t>
            </w:r>
            <w:r>
              <w:rPr>
                <w:rFonts w:hint="eastAsia"/>
              </w:rPr>
              <w:t>月至</w:t>
            </w:r>
            <w:r>
              <w:rPr>
                <w:rFonts w:hint="eastAsia"/>
              </w:rPr>
              <w:t>2021</w:t>
            </w:r>
            <w:r>
              <w:rPr>
                <w:rFonts w:hint="eastAsia"/>
              </w:rPr>
              <w:t>年</w:t>
            </w:r>
            <w:r>
              <w:rPr>
                <w:rFonts w:hint="eastAsia"/>
              </w:rPr>
              <w:t>7</w:t>
            </w:r>
            <w:r>
              <w:rPr>
                <w:rFonts w:hint="eastAsia"/>
              </w:rPr>
              <w:t>月，在国家硅钢工程技术研究中心任硅钢产品研发首席工程师；</w:t>
            </w:r>
            <w:r>
              <w:rPr>
                <w:rFonts w:hint="eastAsia"/>
              </w:rPr>
              <w:t>2021</w:t>
            </w:r>
            <w:r>
              <w:rPr>
                <w:rFonts w:hint="eastAsia"/>
              </w:rPr>
              <w:t>年</w:t>
            </w:r>
            <w:r>
              <w:rPr>
                <w:rFonts w:hint="eastAsia"/>
              </w:rPr>
              <w:t>8</w:t>
            </w:r>
            <w:r>
              <w:rPr>
                <w:rFonts w:hint="eastAsia"/>
              </w:rPr>
              <w:t>月至</w:t>
            </w:r>
            <w:r>
              <w:rPr>
                <w:rFonts w:hint="eastAsia"/>
              </w:rPr>
              <w:t>2023</w:t>
            </w:r>
            <w:r>
              <w:rPr>
                <w:rFonts w:hint="eastAsia"/>
              </w:rPr>
              <w:t>年</w:t>
            </w:r>
            <w:r>
              <w:rPr>
                <w:rFonts w:hint="eastAsia"/>
              </w:rPr>
              <w:t>7</w:t>
            </w:r>
            <w:r>
              <w:rPr>
                <w:rFonts w:hint="eastAsia"/>
              </w:rPr>
              <w:t>月自由择业；</w:t>
            </w:r>
            <w:r>
              <w:rPr>
                <w:rFonts w:hint="eastAsia"/>
              </w:rPr>
              <w:t>2023</w:t>
            </w:r>
            <w:r>
              <w:rPr>
                <w:rFonts w:hint="eastAsia"/>
              </w:rPr>
              <w:t>年</w:t>
            </w:r>
            <w:r>
              <w:rPr>
                <w:rFonts w:hint="eastAsia"/>
              </w:rPr>
              <w:t>8</w:t>
            </w:r>
            <w:r>
              <w:rPr>
                <w:rFonts w:hint="eastAsia"/>
              </w:rPr>
              <w:t>月至今，在重庆望变电气（集团）股份有限公司任技术中心总经理、惠泽研究院院长；</w:t>
            </w:r>
            <w:r>
              <w:rPr>
                <w:rFonts w:hint="eastAsia"/>
              </w:rPr>
              <w:t>2023</w:t>
            </w:r>
            <w:r>
              <w:rPr>
                <w:rFonts w:hint="eastAsia"/>
              </w:rPr>
              <w:t>年</w:t>
            </w:r>
            <w:r>
              <w:rPr>
                <w:rFonts w:hint="eastAsia"/>
              </w:rPr>
              <w:t>11</w:t>
            </w:r>
            <w:r>
              <w:rPr>
                <w:rFonts w:hint="eastAsia"/>
              </w:rPr>
              <w:t>月至今，在重庆望变电气（集团）股份有限公司任董事、副总经理、总工程师，直管技术中心（惠泽研究院），负责取向硅钢产品技术规划、技改技措、研发与创新、工艺质量控制等工作。</w:t>
            </w:r>
            <w:r>
              <w:rPr>
                <w:rFonts w:hint="eastAsia"/>
              </w:rPr>
              <w:t>2026</w:t>
            </w:r>
            <w:r>
              <w:rPr>
                <w:rFonts w:hint="eastAsia"/>
              </w:rPr>
              <w:t>年</w:t>
            </w:r>
            <w:r>
              <w:rPr>
                <w:rFonts w:hint="eastAsia"/>
              </w:rPr>
              <w:t>1</w:t>
            </w:r>
            <w:r>
              <w:rPr>
                <w:rFonts w:hint="eastAsia"/>
              </w:rPr>
              <w:t>月至今，在重庆望变电气（集团）股份有限公司任副董事长。</w:t>
            </w:r>
          </w:p>
        </w:tc>
      </w:tr>
      <w:tr w:rsidR="00577D08" w14:paraId="450D9ACF" w14:textId="77777777">
        <w:tc>
          <w:tcPr>
            <w:tcW w:w="1384" w:type="dxa"/>
          </w:tcPr>
          <w:p w14:paraId="2715F7A7" w14:textId="77777777" w:rsidR="00577D08" w:rsidRDefault="00330FC0">
            <w:r>
              <w:rPr>
                <w:rFonts w:hint="eastAsia"/>
              </w:rPr>
              <w:t>付康</w:t>
            </w:r>
          </w:p>
        </w:tc>
        <w:tc>
          <w:tcPr>
            <w:tcW w:w="12705" w:type="dxa"/>
          </w:tcPr>
          <w:p w14:paraId="10CA899A" w14:textId="77777777" w:rsidR="00577D08" w:rsidRDefault="00330FC0">
            <w:r>
              <w:rPr>
                <w:rFonts w:hint="eastAsia"/>
              </w:rPr>
              <w:t>1983</w:t>
            </w:r>
            <w:r>
              <w:rPr>
                <w:rFonts w:hint="eastAsia"/>
              </w:rPr>
              <w:t>年出生，中国国籍，无境外永久居留权，本科学历。</w:t>
            </w:r>
            <w:r>
              <w:rPr>
                <w:rFonts w:hint="eastAsia"/>
              </w:rPr>
              <w:t>2005</w:t>
            </w:r>
            <w:r>
              <w:rPr>
                <w:rFonts w:hint="eastAsia"/>
              </w:rPr>
              <w:t>年</w:t>
            </w:r>
            <w:r>
              <w:rPr>
                <w:rFonts w:hint="eastAsia"/>
              </w:rPr>
              <w:t>9</w:t>
            </w:r>
            <w:r>
              <w:rPr>
                <w:rFonts w:hint="eastAsia"/>
              </w:rPr>
              <w:t>月至</w:t>
            </w:r>
            <w:r>
              <w:rPr>
                <w:rFonts w:hint="eastAsia"/>
              </w:rPr>
              <w:t>2017</w:t>
            </w:r>
            <w:r>
              <w:rPr>
                <w:rFonts w:hint="eastAsia"/>
              </w:rPr>
              <w:t>年</w:t>
            </w:r>
            <w:r>
              <w:rPr>
                <w:rFonts w:hint="eastAsia"/>
              </w:rPr>
              <w:t>7</w:t>
            </w:r>
            <w:r>
              <w:rPr>
                <w:rFonts w:hint="eastAsia"/>
              </w:rPr>
              <w:t>月，在武钢有限硅钢厂任车间主任；</w:t>
            </w:r>
            <w:r>
              <w:rPr>
                <w:rFonts w:hint="eastAsia"/>
              </w:rPr>
              <w:t>2017</w:t>
            </w:r>
            <w:r>
              <w:rPr>
                <w:rFonts w:hint="eastAsia"/>
              </w:rPr>
              <w:t>年</w:t>
            </w:r>
            <w:r>
              <w:rPr>
                <w:rFonts w:hint="eastAsia"/>
              </w:rPr>
              <w:t>7</w:t>
            </w:r>
            <w:r>
              <w:rPr>
                <w:rFonts w:hint="eastAsia"/>
              </w:rPr>
              <w:t>月至</w:t>
            </w:r>
            <w:r>
              <w:rPr>
                <w:rFonts w:hint="eastAsia"/>
              </w:rPr>
              <w:t>2018</w:t>
            </w:r>
            <w:r>
              <w:rPr>
                <w:rFonts w:hint="eastAsia"/>
              </w:rPr>
              <w:t>年</w:t>
            </w:r>
            <w:r>
              <w:rPr>
                <w:rFonts w:hint="eastAsia"/>
              </w:rPr>
              <w:t>6</w:t>
            </w:r>
            <w:r>
              <w:rPr>
                <w:rFonts w:hint="eastAsia"/>
              </w:rPr>
              <w:t>月，在无锡华特钢带有限公司任副总经理；</w:t>
            </w:r>
            <w:r>
              <w:rPr>
                <w:rFonts w:hint="eastAsia"/>
              </w:rPr>
              <w:t>2018</w:t>
            </w:r>
            <w:r>
              <w:rPr>
                <w:rFonts w:hint="eastAsia"/>
              </w:rPr>
              <w:t>年</w:t>
            </w:r>
            <w:r>
              <w:rPr>
                <w:rFonts w:hint="eastAsia"/>
              </w:rPr>
              <w:t>7</w:t>
            </w:r>
            <w:r>
              <w:rPr>
                <w:rFonts w:hint="eastAsia"/>
              </w:rPr>
              <w:t>月至</w:t>
            </w:r>
            <w:r>
              <w:rPr>
                <w:rFonts w:hint="eastAsia"/>
              </w:rPr>
              <w:t>2020</w:t>
            </w:r>
            <w:r>
              <w:rPr>
                <w:rFonts w:hint="eastAsia"/>
              </w:rPr>
              <w:t>年</w:t>
            </w:r>
            <w:r>
              <w:rPr>
                <w:rFonts w:hint="eastAsia"/>
              </w:rPr>
              <w:t>9</w:t>
            </w:r>
            <w:r>
              <w:rPr>
                <w:rFonts w:hint="eastAsia"/>
              </w:rPr>
              <w:t>月，在福建晶龙电工有限公司任副总经理；</w:t>
            </w:r>
            <w:r>
              <w:rPr>
                <w:rFonts w:hint="eastAsia"/>
              </w:rPr>
              <w:t>2020</w:t>
            </w:r>
            <w:r>
              <w:rPr>
                <w:rFonts w:hint="eastAsia"/>
              </w:rPr>
              <w:t>年</w:t>
            </w:r>
            <w:r>
              <w:rPr>
                <w:rFonts w:hint="eastAsia"/>
              </w:rPr>
              <w:t>10</w:t>
            </w:r>
            <w:r>
              <w:rPr>
                <w:rFonts w:hint="eastAsia"/>
              </w:rPr>
              <w:t>月至今，在重庆望变电气（集团）股份有限公司新材料事业部任副总经理、总工程师、总经理；</w:t>
            </w:r>
            <w:r>
              <w:rPr>
                <w:rFonts w:hint="eastAsia"/>
              </w:rPr>
              <w:t>2023</w:t>
            </w:r>
            <w:r>
              <w:rPr>
                <w:rFonts w:hint="eastAsia"/>
              </w:rPr>
              <w:t>年</w:t>
            </w:r>
            <w:r>
              <w:rPr>
                <w:rFonts w:hint="eastAsia"/>
              </w:rPr>
              <w:t>11</w:t>
            </w:r>
            <w:r>
              <w:rPr>
                <w:rFonts w:hint="eastAsia"/>
              </w:rPr>
              <w:t>月至今，在重庆望变电气（集团）股份有限公司任董事。</w:t>
            </w:r>
          </w:p>
        </w:tc>
      </w:tr>
      <w:tr w:rsidR="00577D08" w14:paraId="0B6580A5" w14:textId="77777777">
        <w:tc>
          <w:tcPr>
            <w:tcW w:w="1384" w:type="dxa"/>
          </w:tcPr>
          <w:p w14:paraId="35F8C414" w14:textId="77777777" w:rsidR="00577D08" w:rsidRDefault="00330FC0">
            <w:r>
              <w:rPr>
                <w:rFonts w:hint="eastAsia"/>
              </w:rPr>
              <w:t>王海波</w:t>
            </w:r>
          </w:p>
        </w:tc>
        <w:tc>
          <w:tcPr>
            <w:tcW w:w="12705" w:type="dxa"/>
          </w:tcPr>
          <w:p w14:paraId="2386F4AE" w14:textId="77777777" w:rsidR="00577D08" w:rsidRDefault="00330FC0">
            <w:r>
              <w:rPr>
                <w:rFonts w:hint="eastAsia"/>
              </w:rPr>
              <w:t>1978</w:t>
            </w:r>
            <w:r>
              <w:rPr>
                <w:rFonts w:hint="eastAsia"/>
              </w:rPr>
              <w:t>年出生，中国国籍，无境外永久居留权，</w:t>
            </w:r>
            <w:r>
              <w:rPr>
                <w:rFonts w:hint="eastAsia"/>
              </w:rPr>
              <w:t>EMBA</w:t>
            </w:r>
            <w:r>
              <w:rPr>
                <w:rFonts w:hint="eastAsia"/>
              </w:rPr>
              <w:t>学历。</w:t>
            </w:r>
            <w:r>
              <w:rPr>
                <w:rFonts w:hint="eastAsia"/>
              </w:rPr>
              <w:t>1998</w:t>
            </w:r>
            <w:r>
              <w:rPr>
                <w:rFonts w:hint="eastAsia"/>
              </w:rPr>
              <w:t>年</w:t>
            </w:r>
            <w:r>
              <w:rPr>
                <w:rFonts w:hint="eastAsia"/>
              </w:rPr>
              <w:t>7</w:t>
            </w:r>
            <w:r>
              <w:rPr>
                <w:rFonts w:hint="eastAsia"/>
              </w:rPr>
              <w:t>月至</w:t>
            </w:r>
            <w:r>
              <w:rPr>
                <w:rFonts w:hint="eastAsia"/>
              </w:rPr>
              <w:t>2018</w:t>
            </w:r>
            <w:r>
              <w:rPr>
                <w:rFonts w:hint="eastAsia"/>
              </w:rPr>
              <w:t>年</w:t>
            </w:r>
            <w:r>
              <w:rPr>
                <w:rFonts w:hint="eastAsia"/>
              </w:rPr>
              <w:t>12</w:t>
            </w:r>
            <w:r>
              <w:rPr>
                <w:rFonts w:hint="eastAsia"/>
              </w:rPr>
              <w:t>月，在重庆源通电器设备制造有限责任公司先后任办事处主任、市场部经理、总经理助理；</w:t>
            </w:r>
            <w:r>
              <w:rPr>
                <w:rFonts w:hint="eastAsia"/>
              </w:rPr>
              <w:t>2019</w:t>
            </w:r>
            <w:r>
              <w:rPr>
                <w:rFonts w:hint="eastAsia"/>
              </w:rPr>
              <w:t>年</w:t>
            </w:r>
            <w:r>
              <w:rPr>
                <w:rFonts w:hint="eastAsia"/>
              </w:rPr>
              <w:t>1</w:t>
            </w:r>
            <w:r>
              <w:rPr>
                <w:rFonts w:hint="eastAsia"/>
              </w:rPr>
              <w:t>月至</w:t>
            </w:r>
            <w:r>
              <w:rPr>
                <w:rFonts w:hint="eastAsia"/>
              </w:rPr>
              <w:t>2019</w:t>
            </w:r>
            <w:r>
              <w:rPr>
                <w:rFonts w:hint="eastAsia"/>
              </w:rPr>
              <w:t>年</w:t>
            </w:r>
            <w:r>
              <w:rPr>
                <w:rFonts w:hint="eastAsia"/>
              </w:rPr>
              <w:t>3</w:t>
            </w:r>
            <w:r>
              <w:rPr>
                <w:rFonts w:hint="eastAsia"/>
              </w:rPr>
              <w:t>月，在重庆望变电气（集团）股份有限公司任营销中心总经理；</w:t>
            </w:r>
            <w:r>
              <w:rPr>
                <w:rFonts w:hint="eastAsia"/>
              </w:rPr>
              <w:t>2019</w:t>
            </w:r>
            <w:r>
              <w:rPr>
                <w:rFonts w:hint="eastAsia"/>
              </w:rPr>
              <w:t>年</w:t>
            </w:r>
            <w:r>
              <w:rPr>
                <w:rFonts w:hint="eastAsia"/>
              </w:rPr>
              <w:t>4</w:t>
            </w:r>
            <w:r>
              <w:rPr>
                <w:rFonts w:hint="eastAsia"/>
              </w:rPr>
              <w:t>月至</w:t>
            </w:r>
            <w:r>
              <w:rPr>
                <w:rFonts w:hint="eastAsia"/>
              </w:rPr>
              <w:t>2023</w:t>
            </w:r>
            <w:r>
              <w:rPr>
                <w:rFonts w:hint="eastAsia"/>
              </w:rPr>
              <w:t>年</w:t>
            </w:r>
            <w:r>
              <w:rPr>
                <w:rFonts w:hint="eastAsia"/>
              </w:rPr>
              <w:t>10</w:t>
            </w:r>
            <w:r>
              <w:rPr>
                <w:rFonts w:hint="eastAsia"/>
              </w:rPr>
              <w:t>月，在重庆望变电气（集团）股份有限公司任集团高管；</w:t>
            </w:r>
            <w:r>
              <w:rPr>
                <w:rFonts w:hint="eastAsia"/>
              </w:rPr>
              <w:t>2021</w:t>
            </w:r>
            <w:r>
              <w:rPr>
                <w:rFonts w:hint="eastAsia"/>
              </w:rPr>
              <w:t>年</w:t>
            </w:r>
            <w:r>
              <w:rPr>
                <w:rFonts w:hint="eastAsia"/>
              </w:rPr>
              <w:t>1</w:t>
            </w:r>
            <w:r>
              <w:rPr>
                <w:rFonts w:hint="eastAsia"/>
              </w:rPr>
              <w:t>月至</w:t>
            </w:r>
            <w:r>
              <w:rPr>
                <w:rFonts w:hint="eastAsia"/>
              </w:rPr>
              <w:t>2023</w:t>
            </w:r>
            <w:r>
              <w:rPr>
                <w:rFonts w:hint="eastAsia"/>
              </w:rPr>
              <w:t>年</w:t>
            </w:r>
            <w:r>
              <w:rPr>
                <w:rFonts w:hint="eastAsia"/>
              </w:rPr>
              <w:t>12</w:t>
            </w:r>
            <w:r>
              <w:rPr>
                <w:rFonts w:hint="eastAsia"/>
              </w:rPr>
              <w:t>月，在重庆望变电气（集团）股份有限公司兼任南网市场部总监；</w:t>
            </w:r>
            <w:r>
              <w:rPr>
                <w:rFonts w:hint="eastAsia"/>
              </w:rPr>
              <w:t>2023</w:t>
            </w:r>
            <w:r>
              <w:rPr>
                <w:rFonts w:hint="eastAsia"/>
              </w:rPr>
              <w:t>年</w:t>
            </w:r>
            <w:r>
              <w:rPr>
                <w:rFonts w:hint="eastAsia"/>
              </w:rPr>
              <w:t>9</w:t>
            </w:r>
            <w:r>
              <w:rPr>
                <w:rFonts w:hint="eastAsia"/>
              </w:rPr>
              <w:t>月至今，任黔南望江变压器有限公司执行董事、总经理；</w:t>
            </w:r>
            <w:r>
              <w:rPr>
                <w:rFonts w:hint="eastAsia"/>
              </w:rPr>
              <w:t>2024</w:t>
            </w:r>
            <w:r>
              <w:rPr>
                <w:rFonts w:hint="eastAsia"/>
              </w:rPr>
              <w:t>年</w:t>
            </w:r>
            <w:r>
              <w:rPr>
                <w:rFonts w:hint="eastAsia"/>
              </w:rPr>
              <w:t>12</w:t>
            </w:r>
            <w:r>
              <w:rPr>
                <w:rFonts w:hint="eastAsia"/>
              </w:rPr>
              <w:t>月至今，在望变万家（贵州）科技有限公司担任董事；</w:t>
            </w:r>
            <w:r>
              <w:rPr>
                <w:rFonts w:hint="eastAsia"/>
              </w:rPr>
              <w:t>2023</w:t>
            </w:r>
            <w:r>
              <w:rPr>
                <w:rFonts w:hint="eastAsia"/>
              </w:rPr>
              <w:t>年</w:t>
            </w:r>
            <w:r>
              <w:rPr>
                <w:rFonts w:hint="eastAsia"/>
              </w:rPr>
              <w:t>11</w:t>
            </w:r>
            <w:r>
              <w:rPr>
                <w:rFonts w:hint="eastAsia"/>
              </w:rPr>
              <w:t>月至</w:t>
            </w:r>
            <w:r>
              <w:rPr>
                <w:rFonts w:hint="eastAsia"/>
              </w:rPr>
              <w:t>2025</w:t>
            </w:r>
            <w:r>
              <w:rPr>
                <w:rFonts w:hint="eastAsia"/>
              </w:rPr>
              <w:t>年</w:t>
            </w:r>
            <w:r>
              <w:rPr>
                <w:rFonts w:hint="eastAsia"/>
              </w:rPr>
              <w:t>12</w:t>
            </w:r>
            <w:r>
              <w:rPr>
                <w:rFonts w:hint="eastAsia"/>
              </w:rPr>
              <w:t>月，在重庆望变电气（集团）股份有限公司任董事、副总经理；</w:t>
            </w:r>
            <w:r>
              <w:rPr>
                <w:rFonts w:hint="eastAsia"/>
              </w:rPr>
              <w:t>2025</w:t>
            </w:r>
            <w:r>
              <w:rPr>
                <w:rFonts w:hint="eastAsia"/>
              </w:rPr>
              <w:t>年</w:t>
            </w:r>
            <w:r>
              <w:rPr>
                <w:rFonts w:hint="eastAsia"/>
              </w:rPr>
              <w:t>12</w:t>
            </w:r>
            <w:r>
              <w:rPr>
                <w:rFonts w:hint="eastAsia"/>
              </w:rPr>
              <w:t>月至今，在重庆望变电气（集团）股份有限公司任职工董事、副总经理。</w:t>
            </w:r>
          </w:p>
        </w:tc>
      </w:tr>
      <w:tr w:rsidR="00577D08" w14:paraId="3FE99C73" w14:textId="77777777">
        <w:tc>
          <w:tcPr>
            <w:tcW w:w="1384" w:type="dxa"/>
          </w:tcPr>
          <w:p w14:paraId="5004EDB7" w14:textId="77777777" w:rsidR="00577D08" w:rsidRDefault="00330FC0">
            <w:r>
              <w:rPr>
                <w:rFonts w:hint="eastAsia"/>
              </w:rPr>
              <w:t>皮统政</w:t>
            </w:r>
          </w:p>
        </w:tc>
        <w:tc>
          <w:tcPr>
            <w:tcW w:w="12705" w:type="dxa"/>
          </w:tcPr>
          <w:p w14:paraId="68207306" w14:textId="77777777" w:rsidR="00577D08" w:rsidRDefault="00330FC0">
            <w:r>
              <w:rPr>
                <w:rFonts w:hint="eastAsia"/>
              </w:rPr>
              <w:t>1993</w:t>
            </w:r>
            <w:r>
              <w:rPr>
                <w:rFonts w:hint="eastAsia"/>
              </w:rPr>
              <w:t>年出生，中国国籍，无境外永久居留权，本科学历。</w:t>
            </w:r>
            <w:r>
              <w:rPr>
                <w:rFonts w:hint="eastAsia"/>
              </w:rPr>
              <w:t>2014</w:t>
            </w:r>
            <w:r>
              <w:rPr>
                <w:rFonts w:hint="eastAsia"/>
              </w:rPr>
              <w:t>年</w:t>
            </w:r>
            <w:r>
              <w:rPr>
                <w:rFonts w:hint="eastAsia"/>
              </w:rPr>
              <w:t>9</w:t>
            </w:r>
            <w:r>
              <w:rPr>
                <w:rFonts w:hint="eastAsia"/>
              </w:rPr>
              <w:t>月至</w:t>
            </w:r>
            <w:r>
              <w:rPr>
                <w:rFonts w:hint="eastAsia"/>
              </w:rPr>
              <w:t>2016</w:t>
            </w:r>
            <w:r>
              <w:rPr>
                <w:rFonts w:hint="eastAsia"/>
              </w:rPr>
              <w:t>年</w:t>
            </w:r>
            <w:r>
              <w:rPr>
                <w:rFonts w:hint="eastAsia"/>
              </w:rPr>
              <w:t>9</w:t>
            </w:r>
            <w:r>
              <w:rPr>
                <w:rFonts w:hint="eastAsia"/>
              </w:rPr>
              <w:t>月，在</w:t>
            </w:r>
            <w:r>
              <w:rPr>
                <w:rFonts w:hint="eastAsia"/>
              </w:rPr>
              <w:t>78029</w:t>
            </w:r>
            <w:r>
              <w:rPr>
                <w:rFonts w:hint="eastAsia"/>
              </w:rPr>
              <w:t>部队服义务兵役；</w:t>
            </w:r>
            <w:r>
              <w:rPr>
                <w:rFonts w:hint="eastAsia"/>
              </w:rPr>
              <w:t>2016</w:t>
            </w:r>
            <w:r>
              <w:rPr>
                <w:rFonts w:hint="eastAsia"/>
              </w:rPr>
              <w:t>年</w:t>
            </w:r>
            <w:r>
              <w:rPr>
                <w:rFonts w:hint="eastAsia"/>
              </w:rPr>
              <w:t>10</w:t>
            </w:r>
            <w:r>
              <w:rPr>
                <w:rFonts w:hint="eastAsia"/>
              </w:rPr>
              <w:t>月至</w:t>
            </w:r>
            <w:r>
              <w:rPr>
                <w:rFonts w:hint="eastAsia"/>
              </w:rPr>
              <w:t>2017</w:t>
            </w:r>
            <w:r>
              <w:rPr>
                <w:rFonts w:hint="eastAsia"/>
              </w:rPr>
              <w:t>年</w:t>
            </w:r>
            <w:r>
              <w:rPr>
                <w:rFonts w:hint="eastAsia"/>
              </w:rPr>
              <w:t>6</w:t>
            </w:r>
            <w:r>
              <w:rPr>
                <w:rFonts w:hint="eastAsia"/>
              </w:rPr>
              <w:t>月，在黔江区人民小学任音乐教师；</w:t>
            </w:r>
            <w:r>
              <w:rPr>
                <w:rFonts w:hint="eastAsia"/>
              </w:rPr>
              <w:t>2017</w:t>
            </w:r>
            <w:r>
              <w:rPr>
                <w:rFonts w:hint="eastAsia"/>
              </w:rPr>
              <w:t>年</w:t>
            </w:r>
            <w:r>
              <w:rPr>
                <w:rFonts w:hint="eastAsia"/>
              </w:rPr>
              <w:t>7</w:t>
            </w:r>
            <w:r>
              <w:rPr>
                <w:rFonts w:hint="eastAsia"/>
              </w:rPr>
              <w:t>月至今，在公司历任成套事业部装配工、人力资源部招聘专员、采购经理、新材料事</w:t>
            </w:r>
            <w:r>
              <w:rPr>
                <w:rFonts w:hint="eastAsia"/>
              </w:rPr>
              <w:lastRenderedPageBreak/>
              <w:t>业部副总经理、人力资源部副经理、总经办副经理、总经理助理等职务。现任重庆望变电气（集团）股份有限公司总经理助理、重庆惠泽电器有限公司执行董事、惠泽销售部、集团销售部销售总监；</w:t>
            </w:r>
            <w:r>
              <w:rPr>
                <w:rFonts w:hint="eastAsia"/>
              </w:rPr>
              <w:t>2023</w:t>
            </w:r>
            <w:r>
              <w:rPr>
                <w:rFonts w:hint="eastAsia"/>
              </w:rPr>
              <w:t>年</w:t>
            </w:r>
            <w:r>
              <w:rPr>
                <w:rFonts w:hint="eastAsia"/>
              </w:rPr>
              <w:t>11</w:t>
            </w:r>
            <w:r>
              <w:rPr>
                <w:rFonts w:hint="eastAsia"/>
              </w:rPr>
              <w:t>月至今，在重庆望变电气（集团）股份有限公司任董事、总经理助理。</w:t>
            </w:r>
          </w:p>
        </w:tc>
      </w:tr>
      <w:tr w:rsidR="00577D08" w14:paraId="3B9960B1" w14:textId="77777777">
        <w:tc>
          <w:tcPr>
            <w:tcW w:w="1384" w:type="dxa"/>
          </w:tcPr>
          <w:p w14:paraId="0023B781" w14:textId="77777777" w:rsidR="00577D08" w:rsidRDefault="00330FC0">
            <w:r>
              <w:rPr>
                <w:rFonts w:hint="eastAsia"/>
              </w:rPr>
              <w:lastRenderedPageBreak/>
              <w:t>赵宇</w:t>
            </w:r>
          </w:p>
        </w:tc>
        <w:tc>
          <w:tcPr>
            <w:tcW w:w="12705" w:type="dxa"/>
          </w:tcPr>
          <w:p w14:paraId="75438D87" w14:textId="77777777" w:rsidR="00577D08" w:rsidRDefault="00330FC0">
            <w:r>
              <w:rPr>
                <w:rFonts w:hint="eastAsia"/>
              </w:rPr>
              <w:t>1961</w:t>
            </w:r>
            <w:r>
              <w:rPr>
                <w:rFonts w:hint="eastAsia"/>
              </w:rPr>
              <w:t>年出生，中国国籍，无境外永久居留权，工学博士，教授级高工，享受国务院政府特殊津贴。</w:t>
            </w:r>
            <w:r>
              <w:rPr>
                <w:rFonts w:hint="eastAsia"/>
              </w:rPr>
              <w:t>1986</w:t>
            </w:r>
            <w:r>
              <w:rPr>
                <w:rFonts w:hint="eastAsia"/>
              </w:rPr>
              <w:t>年</w:t>
            </w:r>
            <w:r>
              <w:rPr>
                <w:rFonts w:hint="eastAsia"/>
              </w:rPr>
              <w:t>4</w:t>
            </w:r>
            <w:r>
              <w:rPr>
                <w:rFonts w:hint="eastAsia"/>
              </w:rPr>
              <w:t>月至</w:t>
            </w:r>
            <w:r>
              <w:rPr>
                <w:rFonts w:hint="eastAsia"/>
              </w:rPr>
              <w:t>1988</w:t>
            </w:r>
            <w:r>
              <w:rPr>
                <w:rFonts w:hint="eastAsia"/>
              </w:rPr>
              <w:t>年</w:t>
            </w:r>
            <w:r>
              <w:rPr>
                <w:rFonts w:hint="eastAsia"/>
              </w:rPr>
              <w:t>10</w:t>
            </w:r>
            <w:r>
              <w:rPr>
                <w:rFonts w:hint="eastAsia"/>
              </w:rPr>
              <w:t>月，在北京航空材料研究所任工程师；</w:t>
            </w:r>
            <w:r>
              <w:rPr>
                <w:rFonts w:hint="eastAsia"/>
              </w:rPr>
              <w:t>1992</w:t>
            </w:r>
            <w:r>
              <w:rPr>
                <w:rFonts w:hint="eastAsia"/>
              </w:rPr>
              <w:t>年</w:t>
            </w:r>
            <w:r>
              <w:rPr>
                <w:rFonts w:hint="eastAsia"/>
              </w:rPr>
              <w:t>6</w:t>
            </w:r>
            <w:r>
              <w:rPr>
                <w:rFonts w:hint="eastAsia"/>
              </w:rPr>
              <w:t>月至</w:t>
            </w:r>
            <w:r>
              <w:rPr>
                <w:rFonts w:hint="eastAsia"/>
              </w:rPr>
              <w:t>1998</w:t>
            </w:r>
            <w:r>
              <w:rPr>
                <w:rFonts w:hint="eastAsia"/>
              </w:rPr>
              <w:t>年</w:t>
            </w:r>
            <w:r>
              <w:rPr>
                <w:rFonts w:hint="eastAsia"/>
              </w:rPr>
              <w:t>12</w:t>
            </w:r>
            <w:r>
              <w:rPr>
                <w:rFonts w:hint="eastAsia"/>
              </w:rPr>
              <w:t>月，在冶金部钢铁研究总院任高级工程师；</w:t>
            </w:r>
            <w:r>
              <w:rPr>
                <w:rFonts w:hint="eastAsia"/>
              </w:rPr>
              <w:t>1998</w:t>
            </w:r>
            <w:r>
              <w:rPr>
                <w:rFonts w:hint="eastAsia"/>
              </w:rPr>
              <w:t>年</w:t>
            </w:r>
            <w:r>
              <w:rPr>
                <w:rFonts w:hint="eastAsia"/>
              </w:rPr>
              <w:t>12</w:t>
            </w:r>
            <w:r>
              <w:rPr>
                <w:rFonts w:hint="eastAsia"/>
              </w:rPr>
              <w:t>月至</w:t>
            </w:r>
            <w:r>
              <w:rPr>
                <w:rFonts w:hint="eastAsia"/>
              </w:rPr>
              <w:t>2021</w:t>
            </w:r>
            <w:r>
              <w:rPr>
                <w:rFonts w:hint="eastAsia"/>
              </w:rPr>
              <w:t>年</w:t>
            </w:r>
            <w:r>
              <w:rPr>
                <w:rFonts w:hint="eastAsia"/>
              </w:rPr>
              <w:t>11</w:t>
            </w:r>
            <w:r>
              <w:rPr>
                <w:rFonts w:hint="eastAsia"/>
              </w:rPr>
              <w:t>月，在安泰科技股份有限公司功能材料事业部任教授级高级工程师，总工程师；</w:t>
            </w:r>
            <w:r>
              <w:rPr>
                <w:rFonts w:hint="eastAsia"/>
              </w:rPr>
              <w:t>2005</w:t>
            </w:r>
            <w:r>
              <w:rPr>
                <w:rFonts w:hint="eastAsia"/>
              </w:rPr>
              <w:t>年</w:t>
            </w:r>
            <w:r>
              <w:rPr>
                <w:rFonts w:hint="eastAsia"/>
              </w:rPr>
              <w:t>9</w:t>
            </w:r>
            <w:r>
              <w:rPr>
                <w:rFonts w:hint="eastAsia"/>
              </w:rPr>
              <w:t>月至</w:t>
            </w:r>
            <w:r>
              <w:rPr>
                <w:rFonts w:hint="eastAsia"/>
              </w:rPr>
              <w:t>2021</w:t>
            </w:r>
            <w:r>
              <w:rPr>
                <w:rFonts w:hint="eastAsia"/>
              </w:rPr>
              <w:t>年</w:t>
            </w:r>
            <w:r>
              <w:rPr>
                <w:rFonts w:hint="eastAsia"/>
              </w:rPr>
              <w:t>11</w:t>
            </w:r>
            <w:r>
              <w:rPr>
                <w:rFonts w:hint="eastAsia"/>
              </w:rPr>
              <w:t>月，在首钢总公司</w:t>
            </w:r>
            <w:r>
              <w:rPr>
                <w:rFonts w:hint="eastAsia"/>
              </w:rPr>
              <w:t>-</w:t>
            </w:r>
            <w:r>
              <w:rPr>
                <w:rFonts w:hint="eastAsia"/>
              </w:rPr>
              <w:t>钢铁研究总院电工钢联合研发中心任常务副主任；</w:t>
            </w:r>
            <w:r>
              <w:rPr>
                <w:rFonts w:hint="eastAsia"/>
              </w:rPr>
              <w:t>2023</w:t>
            </w:r>
            <w:r>
              <w:rPr>
                <w:rFonts w:hint="eastAsia"/>
              </w:rPr>
              <w:t>年</w:t>
            </w:r>
            <w:r>
              <w:rPr>
                <w:rFonts w:hint="eastAsia"/>
              </w:rPr>
              <w:t>11</w:t>
            </w:r>
            <w:r>
              <w:rPr>
                <w:rFonts w:hint="eastAsia"/>
              </w:rPr>
              <w:t>月至今，在重庆望变电气（集团）股份有限公司任独立董事。</w:t>
            </w:r>
          </w:p>
        </w:tc>
      </w:tr>
      <w:tr w:rsidR="00577D08" w14:paraId="7EEC5EEA" w14:textId="77777777">
        <w:tc>
          <w:tcPr>
            <w:tcW w:w="1384" w:type="dxa"/>
          </w:tcPr>
          <w:p w14:paraId="061F36B4" w14:textId="77777777" w:rsidR="00577D08" w:rsidRDefault="00330FC0">
            <w:r>
              <w:rPr>
                <w:rFonts w:hint="eastAsia"/>
              </w:rPr>
              <w:t>沈江</w:t>
            </w:r>
          </w:p>
        </w:tc>
        <w:tc>
          <w:tcPr>
            <w:tcW w:w="12705" w:type="dxa"/>
          </w:tcPr>
          <w:p w14:paraId="7682470B" w14:textId="1C4162AB" w:rsidR="00577D08" w:rsidRDefault="00330FC0">
            <w:r>
              <w:rPr>
                <w:rFonts w:hint="eastAsia"/>
              </w:rPr>
              <w:t>1960</w:t>
            </w:r>
            <w:r>
              <w:rPr>
                <w:rFonts w:hint="eastAsia"/>
              </w:rPr>
              <w:t>年生，中国国籍，无境外永久居</w:t>
            </w:r>
            <w:r w:rsidR="00F25E34">
              <w:rPr>
                <w:rFonts w:hint="eastAsia"/>
              </w:rPr>
              <w:t>留</w:t>
            </w:r>
            <w:r>
              <w:rPr>
                <w:rFonts w:hint="eastAsia"/>
              </w:rPr>
              <w:t>权，电力系学士学位和继电保护专业硕士学位。</w:t>
            </w:r>
            <w:r>
              <w:rPr>
                <w:rFonts w:hint="eastAsia"/>
              </w:rPr>
              <w:t>1984</w:t>
            </w:r>
            <w:r>
              <w:rPr>
                <w:rFonts w:hint="eastAsia"/>
              </w:rPr>
              <w:t>年</w:t>
            </w:r>
            <w:r>
              <w:rPr>
                <w:rFonts w:hint="eastAsia"/>
              </w:rPr>
              <w:t>9</w:t>
            </w:r>
            <w:r>
              <w:rPr>
                <w:rFonts w:hint="eastAsia"/>
              </w:rPr>
              <w:t>月至</w:t>
            </w:r>
            <w:r>
              <w:rPr>
                <w:rFonts w:hint="eastAsia"/>
              </w:rPr>
              <w:t>1999</w:t>
            </w:r>
            <w:r>
              <w:rPr>
                <w:rFonts w:hint="eastAsia"/>
              </w:rPr>
              <w:t>年</w:t>
            </w:r>
            <w:r>
              <w:rPr>
                <w:rFonts w:hint="eastAsia"/>
              </w:rPr>
              <w:t>10</w:t>
            </w:r>
            <w:r>
              <w:rPr>
                <w:rFonts w:hint="eastAsia"/>
              </w:rPr>
              <w:t>月任华北电力科学研究院员工、副院长；</w:t>
            </w:r>
            <w:r>
              <w:rPr>
                <w:rFonts w:hint="eastAsia"/>
              </w:rPr>
              <w:t>1999</w:t>
            </w:r>
            <w:r>
              <w:rPr>
                <w:rFonts w:hint="eastAsia"/>
              </w:rPr>
              <w:t>年</w:t>
            </w:r>
            <w:r>
              <w:rPr>
                <w:rFonts w:hint="eastAsia"/>
              </w:rPr>
              <w:t>10</w:t>
            </w:r>
            <w:r>
              <w:rPr>
                <w:rFonts w:hint="eastAsia"/>
              </w:rPr>
              <w:t>月至</w:t>
            </w:r>
            <w:r>
              <w:rPr>
                <w:rFonts w:hint="eastAsia"/>
              </w:rPr>
              <w:t>2020</w:t>
            </w:r>
            <w:r>
              <w:rPr>
                <w:rFonts w:hint="eastAsia"/>
              </w:rPr>
              <w:t>年</w:t>
            </w:r>
            <w:r>
              <w:rPr>
                <w:rFonts w:hint="eastAsia"/>
              </w:rPr>
              <w:t>12</w:t>
            </w:r>
            <w:r>
              <w:rPr>
                <w:rFonts w:hint="eastAsia"/>
              </w:rPr>
              <w:t>月任国家电网智能电网部、科技部处长、副主任；</w:t>
            </w:r>
            <w:r>
              <w:rPr>
                <w:rFonts w:hint="eastAsia"/>
              </w:rPr>
              <w:t>2021</w:t>
            </w:r>
            <w:r>
              <w:rPr>
                <w:rFonts w:hint="eastAsia"/>
              </w:rPr>
              <w:t>年</w:t>
            </w:r>
            <w:r>
              <w:rPr>
                <w:rFonts w:hint="eastAsia"/>
              </w:rPr>
              <w:t>2</w:t>
            </w:r>
            <w:r>
              <w:rPr>
                <w:rFonts w:hint="eastAsia"/>
              </w:rPr>
              <w:t>月至今，任中国电器工业协会副会长，</w:t>
            </w:r>
            <w:r>
              <w:rPr>
                <w:rFonts w:hint="eastAsia"/>
              </w:rPr>
              <w:t>2021</w:t>
            </w:r>
            <w:r>
              <w:rPr>
                <w:rFonts w:hint="eastAsia"/>
              </w:rPr>
              <w:t>年</w:t>
            </w:r>
            <w:r>
              <w:rPr>
                <w:rFonts w:hint="eastAsia"/>
              </w:rPr>
              <w:t>12</w:t>
            </w:r>
            <w:r>
              <w:rPr>
                <w:rFonts w:hint="eastAsia"/>
              </w:rPr>
              <w:t>月至</w:t>
            </w:r>
            <w:r>
              <w:rPr>
                <w:rFonts w:hint="eastAsia"/>
              </w:rPr>
              <w:t>2025</w:t>
            </w:r>
            <w:r>
              <w:rPr>
                <w:rFonts w:hint="eastAsia"/>
              </w:rPr>
              <w:t>年</w:t>
            </w:r>
            <w:r>
              <w:rPr>
                <w:rFonts w:hint="eastAsia"/>
              </w:rPr>
              <w:t>5</w:t>
            </w:r>
            <w:r>
              <w:rPr>
                <w:rFonts w:hint="eastAsia"/>
              </w:rPr>
              <w:t>月任西安高压电器研究院股份有限公司独立董事；</w:t>
            </w:r>
            <w:r>
              <w:rPr>
                <w:rFonts w:hint="eastAsia"/>
              </w:rPr>
              <w:t>2023</w:t>
            </w:r>
            <w:r>
              <w:rPr>
                <w:rFonts w:hint="eastAsia"/>
              </w:rPr>
              <w:t>年</w:t>
            </w:r>
            <w:r>
              <w:rPr>
                <w:rFonts w:hint="eastAsia"/>
              </w:rPr>
              <w:t>11</w:t>
            </w:r>
            <w:r>
              <w:rPr>
                <w:rFonts w:hint="eastAsia"/>
              </w:rPr>
              <w:t>月至今，在重庆望变电气（集团）股份有限公司任独立董事。</w:t>
            </w:r>
          </w:p>
        </w:tc>
      </w:tr>
      <w:tr w:rsidR="00577D08" w14:paraId="03D121E3" w14:textId="77777777">
        <w:tc>
          <w:tcPr>
            <w:tcW w:w="1384" w:type="dxa"/>
          </w:tcPr>
          <w:p w14:paraId="4D0222D4" w14:textId="77777777" w:rsidR="00577D08" w:rsidRDefault="00330FC0">
            <w:r>
              <w:rPr>
                <w:rFonts w:hint="eastAsia"/>
              </w:rPr>
              <w:t>王勇</w:t>
            </w:r>
          </w:p>
        </w:tc>
        <w:tc>
          <w:tcPr>
            <w:tcW w:w="12705" w:type="dxa"/>
          </w:tcPr>
          <w:p w14:paraId="65FF078A" w14:textId="77777777" w:rsidR="00577D08" w:rsidRDefault="00330FC0">
            <w:r>
              <w:rPr>
                <w:rFonts w:hint="eastAsia"/>
              </w:rPr>
              <w:t>1973</w:t>
            </w:r>
            <w:r>
              <w:rPr>
                <w:rFonts w:hint="eastAsia"/>
              </w:rPr>
              <w:t>年出生，中国国籍，无境外永久居留权，研究生学历，会计硕士、工商管理硕士，中国注册会计师（资深会员）、资产评估师、税务师、法律职业资格，正高级会计师、正高级经济师、正高级审计师职称。</w:t>
            </w:r>
            <w:r>
              <w:rPr>
                <w:rFonts w:hint="eastAsia"/>
              </w:rPr>
              <w:t>1995</w:t>
            </w:r>
            <w:r>
              <w:rPr>
                <w:rFonts w:hint="eastAsia"/>
              </w:rPr>
              <w:t>年</w:t>
            </w:r>
            <w:r>
              <w:rPr>
                <w:rFonts w:hint="eastAsia"/>
              </w:rPr>
              <w:t>7</w:t>
            </w:r>
            <w:r>
              <w:rPr>
                <w:rFonts w:hint="eastAsia"/>
              </w:rPr>
              <w:t>月至</w:t>
            </w:r>
            <w:r>
              <w:rPr>
                <w:rFonts w:hint="eastAsia"/>
              </w:rPr>
              <w:t>2001</w:t>
            </w:r>
            <w:r>
              <w:rPr>
                <w:rFonts w:hint="eastAsia"/>
              </w:rPr>
              <w:t>年</w:t>
            </w:r>
            <w:r>
              <w:rPr>
                <w:rFonts w:hint="eastAsia"/>
              </w:rPr>
              <w:t>1</w:t>
            </w:r>
            <w:r>
              <w:rPr>
                <w:rFonts w:hint="eastAsia"/>
              </w:rPr>
              <w:t>月，在重庆益弘工程塑料制品有限公司任会计；</w:t>
            </w:r>
            <w:r>
              <w:rPr>
                <w:rFonts w:hint="eastAsia"/>
              </w:rPr>
              <w:t>2001</w:t>
            </w:r>
            <w:r>
              <w:rPr>
                <w:rFonts w:hint="eastAsia"/>
              </w:rPr>
              <w:t>年</w:t>
            </w:r>
            <w:r>
              <w:rPr>
                <w:rFonts w:hint="eastAsia"/>
              </w:rPr>
              <w:t>1</w:t>
            </w:r>
            <w:r>
              <w:rPr>
                <w:rFonts w:hint="eastAsia"/>
              </w:rPr>
              <w:t>月至</w:t>
            </w:r>
            <w:r>
              <w:rPr>
                <w:rFonts w:hint="eastAsia"/>
              </w:rPr>
              <w:t>2009</w:t>
            </w:r>
            <w:r>
              <w:rPr>
                <w:rFonts w:hint="eastAsia"/>
              </w:rPr>
              <w:t>年</w:t>
            </w:r>
            <w:r>
              <w:rPr>
                <w:rFonts w:hint="eastAsia"/>
              </w:rPr>
              <w:t>12</w:t>
            </w:r>
            <w:r>
              <w:rPr>
                <w:rFonts w:hint="eastAsia"/>
              </w:rPr>
              <w:t>月，先后在重庆金汇会计师事务所有限责任公司审计五部任项目经理、部门副经理；</w:t>
            </w:r>
            <w:r>
              <w:rPr>
                <w:rFonts w:hint="eastAsia"/>
              </w:rPr>
              <w:t>2009</w:t>
            </w:r>
            <w:r>
              <w:rPr>
                <w:rFonts w:hint="eastAsia"/>
              </w:rPr>
              <w:t>年</w:t>
            </w:r>
            <w:r>
              <w:rPr>
                <w:rFonts w:hint="eastAsia"/>
              </w:rPr>
              <w:t>12</w:t>
            </w:r>
            <w:r>
              <w:rPr>
                <w:rFonts w:hint="eastAsia"/>
              </w:rPr>
              <w:t>月至</w:t>
            </w:r>
            <w:r>
              <w:rPr>
                <w:rFonts w:hint="eastAsia"/>
              </w:rPr>
              <w:t>2011</w:t>
            </w:r>
            <w:r>
              <w:rPr>
                <w:rFonts w:hint="eastAsia"/>
              </w:rPr>
              <w:t>年</w:t>
            </w:r>
            <w:r>
              <w:rPr>
                <w:rFonts w:hint="eastAsia"/>
              </w:rPr>
              <w:t>12</w:t>
            </w:r>
            <w:r>
              <w:rPr>
                <w:rFonts w:hint="eastAsia"/>
              </w:rPr>
              <w:t>月，在中瑞岳华会计师事务所重庆分所任审计四部部门经理；</w:t>
            </w:r>
            <w:r>
              <w:rPr>
                <w:rFonts w:hint="eastAsia"/>
              </w:rPr>
              <w:t>2012</w:t>
            </w:r>
            <w:r>
              <w:rPr>
                <w:rFonts w:hint="eastAsia"/>
              </w:rPr>
              <w:t>年</w:t>
            </w:r>
            <w:r>
              <w:rPr>
                <w:rFonts w:hint="eastAsia"/>
              </w:rPr>
              <w:t>1</w:t>
            </w:r>
            <w:r>
              <w:rPr>
                <w:rFonts w:hint="eastAsia"/>
              </w:rPr>
              <w:t>月至今，先后在重庆海平会计师事务所有限公司任副总经理、主任会计师；</w:t>
            </w:r>
            <w:r>
              <w:rPr>
                <w:rFonts w:hint="eastAsia"/>
              </w:rPr>
              <w:t>2012</w:t>
            </w:r>
            <w:r>
              <w:rPr>
                <w:rFonts w:hint="eastAsia"/>
              </w:rPr>
              <w:t>年</w:t>
            </w:r>
            <w:r>
              <w:rPr>
                <w:rFonts w:hint="eastAsia"/>
              </w:rPr>
              <w:t>1</w:t>
            </w:r>
            <w:r>
              <w:rPr>
                <w:rFonts w:hint="eastAsia"/>
              </w:rPr>
              <w:t>月至今，在重庆海安税务师事务所有限责任公司担任注册税务师；</w:t>
            </w:r>
            <w:r>
              <w:rPr>
                <w:rFonts w:hint="eastAsia"/>
              </w:rPr>
              <w:t>2023</w:t>
            </w:r>
            <w:r>
              <w:rPr>
                <w:rFonts w:hint="eastAsia"/>
              </w:rPr>
              <w:t>年</w:t>
            </w:r>
            <w:r>
              <w:rPr>
                <w:rFonts w:hint="eastAsia"/>
              </w:rPr>
              <w:t>11</w:t>
            </w:r>
            <w:r>
              <w:rPr>
                <w:rFonts w:hint="eastAsia"/>
              </w:rPr>
              <w:t>月至今，在重庆望变电气（集团）股份有限公司任独立董事。</w:t>
            </w:r>
          </w:p>
        </w:tc>
      </w:tr>
      <w:tr w:rsidR="00577D08" w14:paraId="1FA27AD1" w14:textId="77777777">
        <w:tc>
          <w:tcPr>
            <w:tcW w:w="1384" w:type="dxa"/>
          </w:tcPr>
          <w:p w14:paraId="090DB266" w14:textId="77777777" w:rsidR="00577D08" w:rsidRDefault="00330FC0">
            <w:r>
              <w:rPr>
                <w:rFonts w:hint="eastAsia"/>
              </w:rPr>
              <w:t>李代萍</w:t>
            </w:r>
          </w:p>
        </w:tc>
        <w:tc>
          <w:tcPr>
            <w:tcW w:w="12705" w:type="dxa"/>
          </w:tcPr>
          <w:p w14:paraId="6D81979E" w14:textId="77777777" w:rsidR="00577D08" w:rsidRDefault="00330FC0">
            <w:r>
              <w:rPr>
                <w:rFonts w:hint="eastAsia"/>
              </w:rPr>
              <w:t>1971</w:t>
            </w:r>
            <w:r>
              <w:rPr>
                <w:rFonts w:hint="eastAsia"/>
              </w:rPr>
              <w:t>年出生，中国国籍，无境外永久居留权，本科学历，高级会计师。</w:t>
            </w:r>
            <w:r>
              <w:rPr>
                <w:rFonts w:hint="eastAsia"/>
              </w:rPr>
              <w:t>1989</w:t>
            </w:r>
            <w:r>
              <w:rPr>
                <w:rFonts w:hint="eastAsia"/>
              </w:rPr>
              <w:t>年</w:t>
            </w:r>
            <w:r>
              <w:rPr>
                <w:rFonts w:hint="eastAsia"/>
              </w:rPr>
              <w:t>7</w:t>
            </w:r>
            <w:r>
              <w:rPr>
                <w:rFonts w:hint="eastAsia"/>
              </w:rPr>
              <w:t>月至</w:t>
            </w:r>
            <w:r>
              <w:rPr>
                <w:rFonts w:hint="eastAsia"/>
              </w:rPr>
              <w:t>2010</w:t>
            </w:r>
            <w:r>
              <w:rPr>
                <w:rFonts w:hint="eastAsia"/>
              </w:rPr>
              <w:t>年</w:t>
            </w:r>
            <w:r>
              <w:rPr>
                <w:rFonts w:hint="eastAsia"/>
              </w:rPr>
              <w:t>10</w:t>
            </w:r>
            <w:r>
              <w:rPr>
                <w:rFonts w:hint="eastAsia"/>
              </w:rPr>
              <w:t>月，在重庆建峰工业集团有限公司、重庆建峰股份有限公司先后担任会计、财务经理、集团公司财务部副部长、股份公司财务部长；</w:t>
            </w:r>
            <w:r>
              <w:rPr>
                <w:rFonts w:hint="eastAsia"/>
              </w:rPr>
              <w:t>2010</w:t>
            </w:r>
            <w:r>
              <w:rPr>
                <w:rFonts w:hint="eastAsia"/>
              </w:rPr>
              <w:t>年</w:t>
            </w:r>
            <w:r>
              <w:rPr>
                <w:rFonts w:hint="eastAsia"/>
              </w:rPr>
              <w:t>10</w:t>
            </w:r>
            <w:r>
              <w:rPr>
                <w:rFonts w:hint="eastAsia"/>
              </w:rPr>
              <w:t>月至</w:t>
            </w:r>
            <w:r>
              <w:rPr>
                <w:rFonts w:hint="eastAsia"/>
              </w:rPr>
              <w:t>2011</w:t>
            </w:r>
            <w:r>
              <w:rPr>
                <w:rFonts w:hint="eastAsia"/>
              </w:rPr>
              <w:t>年</w:t>
            </w:r>
            <w:r>
              <w:rPr>
                <w:rFonts w:hint="eastAsia"/>
              </w:rPr>
              <w:t>7</w:t>
            </w:r>
            <w:r>
              <w:rPr>
                <w:rFonts w:hint="eastAsia"/>
              </w:rPr>
              <w:t>月，在重庆众全农机连锁有限公司担任财务总监；</w:t>
            </w:r>
            <w:r>
              <w:rPr>
                <w:rFonts w:hint="eastAsia"/>
              </w:rPr>
              <w:t>2011</w:t>
            </w:r>
            <w:r>
              <w:rPr>
                <w:rFonts w:hint="eastAsia"/>
              </w:rPr>
              <w:t>年</w:t>
            </w:r>
            <w:r>
              <w:rPr>
                <w:rFonts w:hint="eastAsia"/>
              </w:rPr>
              <w:t>7</w:t>
            </w:r>
            <w:r>
              <w:rPr>
                <w:rFonts w:hint="eastAsia"/>
              </w:rPr>
              <w:t>月至</w:t>
            </w:r>
            <w:r>
              <w:rPr>
                <w:rFonts w:hint="eastAsia"/>
              </w:rPr>
              <w:t>2012</w:t>
            </w:r>
            <w:r>
              <w:rPr>
                <w:rFonts w:hint="eastAsia"/>
              </w:rPr>
              <w:t>年</w:t>
            </w:r>
            <w:r>
              <w:rPr>
                <w:rFonts w:hint="eastAsia"/>
              </w:rPr>
              <w:t>7</w:t>
            </w:r>
            <w:r>
              <w:rPr>
                <w:rFonts w:hint="eastAsia"/>
              </w:rPr>
              <w:t>月，在重庆鑫源汽车有限公司任财务总监；</w:t>
            </w:r>
            <w:r>
              <w:rPr>
                <w:rFonts w:hint="eastAsia"/>
              </w:rPr>
              <w:t>2012</w:t>
            </w:r>
            <w:r>
              <w:rPr>
                <w:rFonts w:hint="eastAsia"/>
              </w:rPr>
              <w:t>年</w:t>
            </w:r>
            <w:r>
              <w:rPr>
                <w:rFonts w:hint="eastAsia"/>
              </w:rPr>
              <w:t>11</w:t>
            </w:r>
            <w:r>
              <w:rPr>
                <w:rFonts w:hint="eastAsia"/>
              </w:rPr>
              <w:t>月至</w:t>
            </w:r>
            <w:r>
              <w:rPr>
                <w:rFonts w:hint="eastAsia"/>
              </w:rPr>
              <w:t>2013</w:t>
            </w:r>
            <w:r>
              <w:rPr>
                <w:rFonts w:hint="eastAsia"/>
              </w:rPr>
              <w:t>年</w:t>
            </w:r>
            <w:r>
              <w:rPr>
                <w:rFonts w:hint="eastAsia"/>
              </w:rPr>
              <w:t>11</w:t>
            </w:r>
            <w:r>
              <w:rPr>
                <w:rFonts w:hint="eastAsia"/>
              </w:rPr>
              <w:t>月，在重庆九鑫水泥有限公司任财务总监；</w:t>
            </w:r>
            <w:r>
              <w:rPr>
                <w:rFonts w:hint="eastAsia"/>
              </w:rPr>
              <w:t>2013</w:t>
            </w:r>
            <w:r>
              <w:rPr>
                <w:rFonts w:hint="eastAsia"/>
              </w:rPr>
              <w:t>年</w:t>
            </w:r>
            <w:r>
              <w:rPr>
                <w:rFonts w:hint="eastAsia"/>
              </w:rPr>
              <w:t>11</w:t>
            </w:r>
            <w:r>
              <w:rPr>
                <w:rFonts w:hint="eastAsia"/>
              </w:rPr>
              <w:t>月至</w:t>
            </w:r>
            <w:r>
              <w:rPr>
                <w:rFonts w:hint="eastAsia"/>
              </w:rPr>
              <w:t>2015</w:t>
            </w:r>
            <w:r>
              <w:rPr>
                <w:rFonts w:hint="eastAsia"/>
              </w:rPr>
              <w:t>年</w:t>
            </w:r>
            <w:r>
              <w:rPr>
                <w:rFonts w:hint="eastAsia"/>
              </w:rPr>
              <w:t>5</w:t>
            </w:r>
            <w:r>
              <w:rPr>
                <w:rFonts w:hint="eastAsia"/>
              </w:rPr>
              <w:t>月，在重庆中科建设（集团）有限公司担任财务总监；</w:t>
            </w:r>
            <w:r>
              <w:rPr>
                <w:rFonts w:hint="eastAsia"/>
              </w:rPr>
              <w:t>2015</w:t>
            </w:r>
            <w:r>
              <w:rPr>
                <w:rFonts w:hint="eastAsia"/>
              </w:rPr>
              <w:t>年</w:t>
            </w:r>
            <w:r>
              <w:rPr>
                <w:rFonts w:hint="eastAsia"/>
              </w:rPr>
              <w:t>5</w:t>
            </w:r>
            <w:r>
              <w:rPr>
                <w:rFonts w:hint="eastAsia"/>
              </w:rPr>
              <w:t>月至</w:t>
            </w:r>
            <w:r>
              <w:rPr>
                <w:rFonts w:hint="eastAsia"/>
              </w:rPr>
              <w:t>2016</w:t>
            </w:r>
            <w:r>
              <w:rPr>
                <w:rFonts w:hint="eastAsia"/>
              </w:rPr>
              <w:t>年</w:t>
            </w:r>
            <w:r>
              <w:rPr>
                <w:rFonts w:hint="eastAsia"/>
              </w:rPr>
              <w:t>9</w:t>
            </w:r>
            <w:r>
              <w:rPr>
                <w:rFonts w:hint="eastAsia"/>
              </w:rPr>
              <w:t>月，在四川可士可果业股份有限公司任财务总监；</w:t>
            </w:r>
            <w:r>
              <w:rPr>
                <w:rFonts w:hint="eastAsia"/>
              </w:rPr>
              <w:t>2016</w:t>
            </w:r>
            <w:r>
              <w:rPr>
                <w:rFonts w:hint="eastAsia"/>
              </w:rPr>
              <w:t>年</w:t>
            </w:r>
            <w:r>
              <w:rPr>
                <w:rFonts w:hint="eastAsia"/>
              </w:rPr>
              <w:t>9</w:t>
            </w:r>
            <w:r>
              <w:rPr>
                <w:rFonts w:hint="eastAsia"/>
              </w:rPr>
              <w:t>月至</w:t>
            </w:r>
            <w:r>
              <w:rPr>
                <w:rFonts w:hint="eastAsia"/>
              </w:rPr>
              <w:t>2017</w:t>
            </w:r>
            <w:r>
              <w:rPr>
                <w:rFonts w:hint="eastAsia"/>
              </w:rPr>
              <w:t>年</w:t>
            </w:r>
            <w:r>
              <w:rPr>
                <w:rFonts w:hint="eastAsia"/>
              </w:rPr>
              <w:t>7</w:t>
            </w:r>
            <w:r>
              <w:rPr>
                <w:rFonts w:hint="eastAsia"/>
              </w:rPr>
              <w:t>月，在重庆美心麦森门业有限公司任财务经理；</w:t>
            </w:r>
            <w:r>
              <w:rPr>
                <w:rFonts w:hint="eastAsia"/>
              </w:rPr>
              <w:t>2017</w:t>
            </w:r>
            <w:r>
              <w:rPr>
                <w:rFonts w:hint="eastAsia"/>
              </w:rPr>
              <w:t>年</w:t>
            </w:r>
            <w:r>
              <w:rPr>
                <w:rFonts w:hint="eastAsia"/>
              </w:rPr>
              <w:t>7</w:t>
            </w:r>
            <w:r>
              <w:rPr>
                <w:rFonts w:hint="eastAsia"/>
              </w:rPr>
              <w:t>月至</w:t>
            </w:r>
            <w:r>
              <w:rPr>
                <w:rFonts w:hint="eastAsia"/>
              </w:rPr>
              <w:t>2019</w:t>
            </w:r>
            <w:r>
              <w:rPr>
                <w:rFonts w:hint="eastAsia"/>
              </w:rPr>
              <w:t>年</w:t>
            </w:r>
            <w:r>
              <w:rPr>
                <w:rFonts w:hint="eastAsia"/>
              </w:rPr>
              <w:t>4</w:t>
            </w:r>
            <w:r>
              <w:rPr>
                <w:rFonts w:hint="eastAsia"/>
              </w:rPr>
              <w:t>月，在重庆望变电气（集团）股份有限公司任财务中心总经理；</w:t>
            </w:r>
            <w:r>
              <w:rPr>
                <w:rFonts w:hint="eastAsia"/>
              </w:rPr>
              <w:t>2022</w:t>
            </w:r>
            <w:r>
              <w:rPr>
                <w:rFonts w:hint="eastAsia"/>
              </w:rPr>
              <w:t>年</w:t>
            </w:r>
            <w:r>
              <w:rPr>
                <w:rFonts w:hint="eastAsia"/>
              </w:rPr>
              <w:t>7</w:t>
            </w:r>
            <w:r>
              <w:rPr>
                <w:rFonts w:hint="eastAsia"/>
              </w:rPr>
              <w:t>月至</w:t>
            </w:r>
            <w:r>
              <w:rPr>
                <w:rFonts w:hint="eastAsia"/>
              </w:rPr>
              <w:t>2023</w:t>
            </w:r>
            <w:r>
              <w:rPr>
                <w:rFonts w:hint="eastAsia"/>
              </w:rPr>
              <w:t>年</w:t>
            </w:r>
            <w:r>
              <w:rPr>
                <w:rFonts w:hint="eastAsia"/>
              </w:rPr>
              <w:t>11</w:t>
            </w:r>
            <w:r>
              <w:rPr>
                <w:rFonts w:hint="eastAsia"/>
              </w:rPr>
              <w:t>月在重庆望变电气（集团）股份有限公司任董事；</w:t>
            </w:r>
            <w:r>
              <w:rPr>
                <w:rFonts w:hint="eastAsia"/>
              </w:rPr>
              <w:t>2019</w:t>
            </w:r>
            <w:r>
              <w:rPr>
                <w:rFonts w:hint="eastAsia"/>
              </w:rPr>
              <w:t>年</w:t>
            </w:r>
            <w:r>
              <w:rPr>
                <w:rFonts w:hint="eastAsia"/>
              </w:rPr>
              <w:t>4</w:t>
            </w:r>
            <w:r>
              <w:rPr>
                <w:rFonts w:hint="eastAsia"/>
              </w:rPr>
              <w:t>月至</w:t>
            </w:r>
            <w:r>
              <w:rPr>
                <w:rFonts w:hint="eastAsia"/>
              </w:rPr>
              <w:t>2023</w:t>
            </w:r>
            <w:r>
              <w:rPr>
                <w:rFonts w:hint="eastAsia"/>
              </w:rPr>
              <w:t>年</w:t>
            </w:r>
            <w:r>
              <w:rPr>
                <w:rFonts w:hint="eastAsia"/>
              </w:rPr>
              <w:t>11</w:t>
            </w:r>
            <w:r>
              <w:rPr>
                <w:rFonts w:hint="eastAsia"/>
              </w:rPr>
              <w:t>月，在重庆望变电气（集团）股份有限公司任财务总监；</w:t>
            </w:r>
            <w:r>
              <w:rPr>
                <w:rFonts w:hint="eastAsia"/>
              </w:rPr>
              <w:t>2021</w:t>
            </w:r>
            <w:r>
              <w:rPr>
                <w:rFonts w:hint="eastAsia"/>
              </w:rPr>
              <w:t>年</w:t>
            </w:r>
            <w:r>
              <w:rPr>
                <w:rFonts w:hint="eastAsia"/>
              </w:rPr>
              <w:t>4</w:t>
            </w:r>
            <w:r>
              <w:rPr>
                <w:rFonts w:hint="eastAsia"/>
              </w:rPr>
              <w:t>月至今，在重庆望变电气（集团）股份有限公司任董事会秘书；</w:t>
            </w:r>
            <w:r>
              <w:rPr>
                <w:rFonts w:hint="eastAsia"/>
              </w:rPr>
              <w:t>2023</w:t>
            </w:r>
            <w:r>
              <w:rPr>
                <w:rFonts w:hint="eastAsia"/>
              </w:rPr>
              <w:t>年</w:t>
            </w:r>
            <w:r>
              <w:rPr>
                <w:rFonts w:hint="eastAsia"/>
              </w:rPr>
              <w:t>11</w:t>
            </w:r>
            <w:r>
              <w:rPr>
                <w:rFonts w:hint="eastAsia"/>
              </w:rPr>
              <w:t>月至今，在重庆望变电气（集团）股份有限公司任副总经理。</w:t>
            </w:r>
          </w:p>
        </w:tc>
      </w:tr>
      <w:tr w:rsidR="00577D08" w14:paraId="4D6CFB30" w14:textId="77777777">
        <w:tc>
          <w:tcPr>
            <w:tcW w:w="1384" w:type="dxa"/>
          </w:tcPr>
          <w:p w14:paraId="374E657D" w14:textId="77777777" w:rsidR="00577D08" w:rsidRDefault="00330FC0">
            <w:r>
              <w:rPr>
                <w:rFonts w:hint="eastAsia"/>
              </w:rPr>
              <w:t>刘柏林</w:t>
            </w:r>
          </w:p>
        </w:tc>
        <w:tc>
          <w:tcPr>
            <w:tcW w:w="12705" w:type="dxa"/>
          </w:tcPr>
          <w:p w14:paraId="559843C7" w14:textId="77777777" w:rsidR="00577D08" w:rsidRDefault="00330FC0">
            <w:r>
              <w:rPr>
                <w:rFonts w:hint="eastAsia"/>
              </w:rPr>
              <w:t>1987</w:t>
            </w:r>
            <w:r>
              <w:rPr>
                <w:rFonts w:hint="eastAsia"/>
              </w:rPr>
              <w:t>年出生，中国国籍，无境外永久居留权，硕士学历，高级工程师。</w:t>
            </w:r>
            <w:r>
              <w:rPr>
                <w:rFonts w:hint="eastAsia"/>
              </w:rPr>
              <w:t>2012</w:t>
            </w:r>
            <w:r>
              <w:rPr>
                <w:rFonts w:hint="eastAsia"/>
              </w:rPr>
              <w:t>年</w:t>
            </w:r>
            <w:r>
              <w:rPr>
                <w:rFonts w:hint="eastAsia"/>
              </w:rPr>
              <w:t>6</w:t>
            </w:r>
            <w:r>
              <w:rPr>
                <w:rFonts w:hint="eastAsia"/>
              </w:rPr>
              <w:t>月至</w:t>
            </w:r>
            <w:r>
              <w:rPr>
                <w:rFonts w:hint="eastAsia"/>
              </w:rPr>
              <w:t>2013</w:t>
            </w:r>
            <w:r>
              <w:rPr>
                <w:rFonts w:hint="eastAsia"/>
              </w:rPr>
              <w:t>年</w:t>
            </w:r>
            <w:r>
              <w:rPr>
                <w:rFonts w:hint="eastAsia"/>
              </w:rPr>
              <w:t>6</w:t>
            </w:r>
            <w:r>
              <w:rPr>
                <w:rFonts w:hint="eastAsia"/>
              </w:rPr>
              <w:t>月，在重庆长寿经济技术开发区开发投资集团有限公司行政人事部任职员；</w:t>
            </w:r>
            <w:r>
              <w:rPr>
                <w:rFonts w:hint="eastAsia"/>
              </w:rPr>
              <w:t>2013</w:t>
            </w:r>
            <w:r>
              <w:rPr>
                <w:rFonts w:hint="eastAsia"/>
              </w:rPr>
              <w:t>年</w:t>
            </w:r>
            <w:r>
              <w:rPr>
                <w:rFonts w:hint="eastAsia"/>
              </w:rPr>
              <w:t>6</w:t>
            </w:r>
            <w:r>
              <w:rPr>
                <w:rFonts w:hint="eastAsia"/>
              </w:rPr>
              <w:t>月至</w:t>
            </w:r>
            <w:r>
              <w:rPr>
                <w:rFonts w:hint="eastAsia"/>
              </w:rPr>
              <w:t>2019</w:t>
            </w:r>
            <w:r>
              <w:rPr>
                <w:rFonts w:hint="eastAsia"/>
              </w:rPr>
              <w:t>年</w:t>
            </w:r>
            <w:r>
              <w:rPr>
                <w:rFonts w:hint="eastAsia"/>
              </w:rPr>
              <w:t>8</w:t>
            </w:r>
            <w:r>
              <w:rPr>
                <w:rFonts w:hint="eastAsia"/>
              </w:rPr>
              <w:t>月，受重庆长寿经济技术开发区开发投资集团有限公司指派，在长寿经济技术开发区管理委员会办公室先后担任科员、副科长职务（非公务员），</w:t>
            </w:r>
            <w:r>
              <w:rPr>
                <w:rFonts w:hint="eastAsia"/>
              </w:rPr>
              <w:t>2019</w:t>
            </w:r>
            <w:r>
              <w:rPr>
                <w:rFonts w:hint="eastAsia"/>
              </w:rPr>
              <w:t>年</w:t>
            </w:r>
            <w:r>
              <w:rPr>
                <w:rFonts w:hint="eastAsia"/>
              </w:rPr>
              <w:t>8</w:t>
            </w:r>
            <w:r>
              <w:rPr>
                <w:rFonts w:hint="eastAsia"/>
              </w:rPr>
              <w:t>月至</w:t>
            </w:r>
            <w:r>
              <w:rPr>
                <w:rFonts w:hint="eastAsia"/>
              </w:rPr>
              <w:t>2023</w:t>
            </w:r>
            <w:r>
              <w:rPr>
                <w:rFonts w:hint="eastAsia"/>
              </w:rPr>
              <w:t>年</w:t>
            </w:r>
            <w:r>
              <w:rPr>
                <w:rFonts w:hint="eastAsia"/>
              </w:rPr>
              <w:t>11</w:t>
            </w:r>
            <w:r>
              <w:rPr>
                <w:rFonts w:hint="eastAsia"/>
              </w:rPr>
              <w:t>月在重庆望变电气（集团）股份有限公司历任集团党委书记、集团总经理助理、集团监事、行政中心负责人、企管中心负责人等职务；</w:t>
            </w:r>
            <w:r>
              <w:rPr>
                <w:rFonts w:hint="eastAsia"/>
              </w:rPr>
              <w:t>2023</w:t>
            </w:r>
            <w:r>
              <w:rPr>
                <w:rFonts w:hint="eastAsia"/>
              </w:rPr>
              <w:t>年</w:t>
            </w:r>
            <w:r>
              <w:rPr>
                <w:rFonts w:hint="eastAsia"/>
              </w:rPr>
              <w:t>11</w:t>
            </w:r>
            <w:r>
              <w:rPr>
                <w:rFonts w:hint="eastAsia"/>
              </w:rPr>
              <w:t>月至今，在重庆望变电气（集团）股份有限公司任党委书记、副总经理。</w:t>
            </w:r>
          </w:p>
        </w:tc>
      </w:tr>
      <w:tr w:rsidR="00577D08" w14:paraId="532DA5C5" w14:textId="77777777">
        <w:tc>
          <w:tcPr>
            <w:tcW w:w="1384" w:type="dxa"/>
          </w:tcPr>
          <w:p w14:paraId="68ED4EBB" w14:textId="77777777" w:rsidR="00577D08" w:rsidRDefault="00330FC0">
            <w:r>
              <w:rPr>
                <w:rFonts w:hint="eastAsia"/>
              </w:rPr>
              <w:t>肖永号</w:t>
            </w:r>
          </w:p>
        </w:tc>
        <w:tc>
          <w:tcPr>
            <w:tcW w:w="12705" w:type="dxa"/>
          </w:tcPr>
          <w:p w14:paraId="72F24428" w14:textId="77777777" w:rsidR="00577D08" w:rsidRDefault="00330FC0">
            <w:r>
              <w:rPr>
                <w:rFonts w:hint="eastAsia"/>
              </w:rPr>
              <w:t>1971</w:t>
            </w:r>
            <w:r>
              <w:rPr>
                <w:rFonts w:hint="eastAsia"/>
              </w:rPr>
              <w:t>年出生，中国国籍，无境外永久居留权，本科学历。</w:t>
            </w:r>
            <w:r>
              <w:rPr>
                <w:rFonts w:hint="eastAsia"/>
              </w:rPr>
              <w:t>1994</w:t>
            </w:r>
            <w:r>
              <w:rPr>
                <w:rFonts w:hint="eastAsia"/>
              </w:rPr>
              <w:t>年</w:t>
            </w:r>
            <w:r>
              <w:rPr>
                <w:rFonts w:hint="eastAsia"/>
              </w:rPr>
              <w:t>9</w:t>
            </w:r>
            <w:r>
              <w:rPr>
                <w:rFonts w:hint="eastAsia"/>
              </w:rPr>
              <w:t>月至</w:t>
            </w:r>
            <w:r>
              <w:rPr>
                <w:rFonts w:hint="eastAsia"/>
              </w:rPr>
              <w:t>1997</w:t>
            </w:r>
            <w:r>
              <w:rPr>
                <w:rFonts w:hint="eastAsia"/>
              </w:rPr>
              <w:t>年</w:t>
            </w:r>
            <w:r>
              <w:rPr>
                <w:rFonts w:hint="eastAsia"/>
              </w:rPr>
              <w:t>8</w:t>
            </w:r>
            <w:r>
              <w:rPr>
                <w:rFonts w:hint="eastAsia"/>
              </w:rPr>
              <w:t>月，在二〇三研究所担任技术员；</w:t>
            </w:r>
            <w:r>
              <w:rPr>
                <w:rFonts w:hint="eastAsia"/>
              </w:rPr>
              <w:t>1997</w:t>
            </w:r>
            <w:r>
              <w:rPr>
                <w:rFonts w:hint="eastAsia"/>
              </w:rPr>
              <w:t>年</w:t>
            </w:r>
            <w:r>
              <w:rPr>
                <w:rFonts w:hint="eastAsia"/>
              </w:rPr>
              <w:t>9</w:t>
            </w:r>
            <w:r>
              <w:rPr>
                <w:rFonts w:hint="eastAsia"/>
              </w:rPr>
              <w:t>月至</w:t>
            </w:r>
            <w:r>
              <w:rPr>
                <w:rFonts w:hint="eastAsia"/>
              </w:rPr>
              <w:t>2003</w:t>
            </w:r>
            <w:r>
              <w:rPr>
                <w:rFonts w:hint="eastAsia"/>
              </w:rPr>
              <w:lastRenderedPageBreak/>
              <w:t>年</w:t>
            </w:r>
            <w:r>
              <w:rPr>
                <w:rFonts w:hint="eastAsia"/>
              </w:rPr>
              <w:t>4</w:t>
            </w:r>
            <w:r>
              <w:rPr>
                <w:rFonts w:hint="eastAsia"/>
              </w:rPr>
              <w:t>月，在重庆富丰水泥集团担任技术员、电气工程师、机修车间主任；</w:t>
            </w:r>
            <w:r>
              <w:rPr>
                <w:rFonts w:hint="eastAsia"/>
              </w:rPr>
              <w:t>2004</w:t>
            </w:r>
            <w:r>
              <w:rPr>
                <w:rFonts w:hint="eastAsia"/>
              </w:rPr>
              <w:t>年</w:t>
            </w:r>
            <w:r>
              <w:rPr>
                <w:rFonts w:hint="eastAsia"/>
              </w:rPr>
              <w:t>5</w:t>
            </w:r>
            <w:r>
              <w:rPr>
                <w:rFonts w:hint="eastAsia"/>
              </w:rPr>
              <w:t>月至</w:t>
            </w:r>
            <w:r>
              <w:rPr>
                <w:rFonts w:hint="eastAsia"/>
              </w:rPr>
              <w:t>2016</w:t>
            </w:r>
            <w:r>
              <w:rPr>
                <w:rFonts w:hint="eastAsia"/>
              </w:rPr>
              <w:t>年</w:t>
            </w:r>
            <w:r>
              <w:rPr>
                <w:rFonts w:hint="eastAsia"/>
              </w:rPr>
              <w:t>7</w:t>
            </w:r>
            <w:r>
              <w:rPr>
                <w:rFonts w:hint="eastAsia"/>
              </w:rPr>
              <w:t>月，在重庆三圣建材集团担任设备部经理；</w:t>
            </w:r>
            <w:r>
              <w:rPr>
                <w:rFonts w:hint="eastAsia"/>
              </w:rPr>
              <w:t>2016</w:t>
            </w:r>
            <w:r>
              <w:rPr>
                <w:rFonts w:hint="eastAsia"/>
              </w:rPr>
              <w:t>年</w:t>
            </w:r>
            <w:r>
              <w:rPr>
                <w:rFonts w:hint="eastAsia"/>
              </w:rPr>
              <w:t>7</w:t>
            </w:r>
            <w:r>
              <w:rPr>
                <w:rFonts w:hint="eastAsia"/>
              </w:rPr>
              <w:t>月至</w:t>
            </w:r>
            <w:r>
              <w:rPr>
                <w:rFonts w:hint="eastAsia"/>
              </w:rPr>
              <w:t>2017</w:t>
            </w:r>
            <w:r>
              <w:rPr>
                <w:rFonts w:hint="eastAsia"/>
              </w:rPr>
              <w:t>年</w:t>
            </w:r>
            <w:r>
              <w:rPr>
                <w:rFonts w:hint="eastAsia"/>
              </w:rPr>
              <w:t>12</w:t>
            </w:r>
            <w:r>
              <w:rPr>
                <w:rFonts w:hint="eastAsia"/>
              </w:rPr>
              <w:t>月，在重庆望变电力工程有限公司担任项目经理；</w:t>
            </w:r>
            <w:r>
              <w:rPr>
                <w:rFonts w:hint="eastAsia"/>
              </w:rPr>
              <w:t>2018</w:t>
            </w:r>
            <w:r>
              <w:rPr>
                <w:rFonts w:hint="eastAsia"/>
              </w:rPr>
              <w:t>年</w:t>
            </w:r>
            <w:r>
              <w:rPr>
                <w:rFonts w:hint="eastAsia"/>
              </w:rPr>
              <w:t>1</w:t>
            </w:r>
            <w:r>
              <w:rPr>
                <w:rFonts w:hint="eastAsia"/>
              </w:rPr>
              <w:t>月至今，在重庆望变电气集团担任总经理助理、技术中心总经理、成套事业部总经理、制造中心总经理；</w:t>
            </w:r>
            <w:r>
              <w:rPr>
                <w:rFonts w:hint="eastAsia"/>
              </w:rPr>
              <w:t>2023</w:t>
            </w:r>
            <w:r>
              <w:rPr>
                <w:rFonts w:hint="eastAsia"/>
              </w:rPr>
              <w:t>年</w:t>
            </w:r>
            <w:r>
              <w:rPr>
                <w:rFonts w:hint="eastAsia"/>
              </w:rPr>
              <w:t>11</w:t>
            </w:r>
            <w:r>
              <w:rPr>
                <w:rFonts w:hint="eastAsia"/>
              </w:rPr>
              <w:t>月至今，在重庆望变电气（集团）股份有限公司任副总经理。</w:t>
            </w:r>
          </w:p>
        </w:tc>
      </w:tr>
      <w:tr w:rsidR="00577D08" w14:paraId="6CA339F9" w14:textId="77777777">
        <w:tc>
          <w:tcPr>
            <w:tcW w:w="1384" w:type="dxa"/>
          </w:tcPr>
          <w:p w14:paraId="193D5E7F" w14:textId="77777777" w:rsidR="00577D08" w:rsidRDefault="00330FC0">
            <w:r>
              <w:rPr>
                <w:rFonts w:hint="eastAsia"/>
              </w:rPr>
              <w:lastRenderedPageBreak/>
              <w:t>杨万华</w:t>
            </w:r>
          </w:p>
        </w:tc>
        <w:tc>
          <w:tcPr>
            <w:tcW w:w="12705" w:type="dxa"/>
          </w:tcPr>
          <w:p w14:paraId="625EDF23" w14:textId="77777777" w:rsidR="00577D08" w:rsidRDefault="00330FC0">
            <w:r>
              <w:rPr>
                <w:rFonts w:hint="eastAsia"/>
              </w:rPr>
              <w:t>1987</w:t>
            </w:r>
            <w:r>
              <w:rPr>
                <w:rFonts w:hint="eastAsia"/>
              </w:rPr>
              <w:t>年出生，中国国籍，无境外永久居留权，本科学历，工商管理学士学位，高级会计师。</w:t>
            </w:r>
            <w:r>
              <w:rPr>
                <w:rFonts w:hint="eastAsia"/>
              </w:rPr>
              <w:t>2013</w:t>
            </w:r>
            <w:r>
              <w:rPr>
                <w:rFonts w:hint="eastAsia"/>
              </w:rPr>
              <w:t>年</w:t>
            </w:r>
            <w:r>
              <w:rPr>
                <w:rFonts w:hint="eastAsia"/>
              </w:rPr>
              <w:t>1</w:t>
            </w:r>
            <w:r>
              <w:rPr>
                <w:rFonts w:hint="eastAsia"/>
              </w:rPr>
              <w:t>月</w:t>
            </w:r>
            <w:r>
              <w:rPr>
                <w:rFonts w:hint="eastAsia"/>
              </w:rPr>
              <w:t>-2015</w:t>
            </w:r>
            <w:r>
              <w:rPr>
                <w:rFonts w:hint="eastAsia"/>
              </w:rPr>
              <w:t>年</w:t>
            </w:r>
            <w:r>
              <w:rPr>
                <w:rFonts w:hint="eastAsia"/>
              </w:rPr>
              <w:t>12</w:t>
            </w:r>
            <w:r>
              <w:rPr>
                <w:rFonts w:hint="eastAsia"/>
              </w:rPr>
              <w:t>月，在重庆望变电气（集团）股份有限公司历任销售内勤、采购专员；</w:t>
            </w:r>
            <w:r>
              <w:rPr>
                <w:rFonts w:hint="eastAsia"/>
              </w:rPr>
              <w:t>2016</w:t>
            </w:r>
            <w:r>
              <w:rPr>
                <w:rFonts w:hint="eastAsia"/>
              </w:rPr>
              <w:t>年</w:t>
            </w:r>
            <w:r>
              <w:rPr>
                <w:rFonts w:hint="eastAsia"/>
              </w:rPr>
              <w:t>1</w:t>
            </w:r>
            <w:r>
              <w:rPr>
                <w:rFonts w:hint="eastAsia"/>
              </w:rPr>
              <w:t>月</w:t>
            </w:r>
            <w:r>
              <w:rPr>
                <w:rFonts w:hint="eastAsia"/>
              </w:rPr>
              <w:t>-2016</w:t>
            </w:r>
            <w:r>
              <w:rPr>
                <w:rFonts w:hint="eastAsia"/>
              </w:rPr>
              <w:t>年</w:t>
            </w:r>
            <w:r>
              <w:rPr>
                <w:rFonts w:hint="eastAsia"/>
              </w:rPr>
              <w:t>5</w:t>
            </w:r>
            <w:r>
              <w:rPr>
                <w:rFonts w:hint="eastAsia"/>
              </w:rPr>
              <w:t>月，脱产参加财务会计知识培训；</w:t>
            </w:r>
            <w:r>
              <w:rPr>
                <w:rFonts w:hint="eastAsia"/>
              </w:rPr>
              <w:t>2016</w:t>
            </w:r>
            <w:r>
              <w:rPr>
                <w:rFonts w:hint="eastAsia"/>
              </w:rPr>
              <w:t>年</w:t>
            </w:r>
            <w:r>
              <w:rPr>
                <w:rFonts w:hint="eastAsia"/>
              </w:rPr>
              <w:t>6</w:t>
            </w:r>
            <w:r>
              <w:rPr>
                <w:rFonts w:hint="eastAsia"/>
              </w:rPr>
              <w:t>月至今，在重庆望变电气（集团）股份有限公司历任财务部成本会计、财务部总账主管、财务管理部副经理、财务管理部经理、财务中心副总经理。</w:t>
            </w:r>
            <w:r>
              <w:rPr>
                <w:rFonts w:hint="eastAsia"/>
              </w:rPr>
              <w:t>2023</w:t>
            </w:r>
            <w:r>
              <w:rPr>
                <w:rFonts w:hint="eastAsia"/>
              </w:rPr>
              <w:t>年</w:t>
            </w:r>
            <w:r>
              <w:rPr>
                <w:rFonts w:hint="eastAsia"/>
              </w:rPr>
              <w:t>11</w:t>
            </w:r>
            <w:r>
              <w:rPr>
                <w:rFonts w:hint="eastAsia"/>
              </w:rPr>
              <w:t>月至今，在重庆望变电气（集团）股份有限公司任财务总监。</w:t>
            </w:r>
          </w:p>
        </w:tc>
      </w:tr>
      <w:tr w:rsidR="00577D08" w14:paraId="7BF4E7B2" w14:textId="77777777">
        <w:tc>
          <w:tcPr>
            <w:tcW w:w="1384" w:type="dxa"/>
          </w:tcPr>
          <w:p w14:paraId="4CF3F3C0" w14:textId="77777777" w:rsidR="00577D08" w:rsidRDefault="00330FC0">
            <w:r>
              <w:rPr>
                <w:rFonts w:hint="eastAsia"/>
              </w:rPr>
              <w:t>杨宏伟</w:t>
            </w:r>
          </w:p>
        </w:tc>
        <w:tc>
          <w:tcPr>
            <w:tcW w:w="12705" w:type="dxa"/>
          </w:tcPr>
          <w:p w14:paraId="45DAF4FA" w14:textId="77777777" w:rsidR="00577D08" w:rsidRDefault="00330FC0">
            <w:r>
              <w:rPr>
                <w:rFonts w:hint="eastAsia"/>
              </w:rPr>
              <w:t>1966</w:t>
            </w:r>
            <w:r>
              <w:rPr>
                <w:rFonts w:hint="eastAsia"/>
              </w:rPr>
              <w:t>年出生，中国国籍，无境外永久居留权，大学本科学历。</w:t>
            </w:r>
            <w:r>
              <w:rPr>
                <w:rFonts w:hint="eastAsia"/>
              </w:rPr>
              <w:t>1984</w:t>
            </w:r>
            <w:r>
              <w:rPr>
                <w:rFonts w:hint="eastAsia"/>
              </w:rPr>
              <w:t>年</w:t>
            </w:r>
            <w:r>
              <w:rPr>
                <w:rFonts w:hint="eastAsia"/>
              </w:rPr>
              <w:t>9</w:t>
            </w:r>
            <w:r>
              <w:rPr>
                <w:rFonts w:hint="eastAsia"/>
              </w:rPr>
              <w:t>月至</w:t>
            </w:r>
            <w:r>
              <w:rPr>
                <w:rFonts w:hint="eastAsia"/>
              </w:rPr>
              <w:t>1988</w:t>
            </w:r>
            <w:r>
              <w:rPr>
                <w:rFonts w:hint="eastAsia"/>
              </w:rPr>
              <w:t>年</w:t>
            </w:r>
            <w:r>
              <w:rPr>
                <w:rFonts w:hint="eastAsia"/>
              </w:rPr>
              <w:t>7</w:t>
            </w:r>
            <w:r>
              <w:rPr>
                <w:rFonts w:hint="eastAsia"/>
              </w:rPr>
              <w:t>月，在浙江大学电机工程系电机专业学习；</w:t>
            </w:r>
            <w:r>
              <w:rPr>
                <w:rFonts w:hint="eastAsia"/>
              </w:rPr>
              <w:t>1988</w:t>
            </w:r>
            <w:r>
              <w:rPr>
                <w:rFonts w:hint="eastAsia"/>
              </w:rPr>
              <w:t>年</w:t>
            </w:r>
            <w:r>
              <w:rPr>
                <w:rFonts w:hint="eastAsia"/>
              </w:rPr>
              <w:t>7</w:t>
            </w:r>
            <w:r>
              <w:rPr>
                <w:rFonts w:hint="eastAsia"/>
              </w:rPr>
              <w:t>月至</w:t>
            </w:r>
            <w:r>
              <w:rPr>
                <w:rFonts w:hint="eastAsia"/>
              </w:rPr>
              <w:t>2010</w:t>
            </w:r>
            <w:r>
              <w:rPr>
                <w:rFonts w:hint="eastAsia"/>
              </w:rPr>
              <w:t>年</w:t>
            </w:r>
            <w:r>
              <w:rPr>
                <w:rFonts w:hint="eastAsia"/>
              </w:rPr>
              <w:t>8</w:t>
            </w:r>
            <w:r>
              <w:rPr>
                <w:rFonts w:hint="eastAsia"/>
              </w:rPr>
              <w:t>月，在云南变压器电气股份有限公司历任设计员、副部长、处长、副总经理兼总工程师；</w:t>
            </w:r>
            <w:r>
              <w:rPr>
                <w:rFonts w:hint="eastAsia"/>
              </w:rPr>
              <w:t>2010</w:t>
            </w:r>
            <w:r>
              <w:rPr>
                <w:rFonts w:hint="eastAsia"/>
              </w:rPr>
              <w:t>年</w:t>
            </w:r>
            <w:r>
              <w:rPr>
                <w:rFonts w:hint="eastAsia"/>
              </w:rPr>
              <w:t>8</w:t>
            </w:r>
            <w:r>
              <w:rPr>
                <w:rFonts w:hint="eastAsia"/>
              </w:rPr>
              <w:t>月至</w:t>
            </w:r>
            <w:r>
              <w:rPr>
                <w:rFonts w:hint="eastAsia"/>
              </w:rPr>
              <w:t>2016</w:t>
            </w:r>
            <w:r>
              <w:rPr>
                <w:rFonts w:hint="eastAsia"/>
              </w:rPr>
              <w:t>年</w:t>
            </w:r>
            <w:r>
              <w:rPr>
                <w:rFonts w:hint="eastAsia"/>
              </w:rPr>
              <w:t>1</w:t>
            </w:r>
            <w:r>
              <w:rPr>
                <w:rFonts w:hint="eastAsia"/>
              </w:rPr>
              <w:t>月，在天威云南变压器股份有限公司任总工程师、副总经理；</w:t>
            </w:r>
            <w:r>
              <w:rPr>
                <w:rFonts w:hint="eastAsia"/>
              </w:rPr>
              <w:t>2016</w:t>
            </w:r>
            <w:r>
              <w:rPr>
                <w:rFonts w:hint="eastAsia"/>
              </w:rPr>
              <w:t>年</w:t>
            </w:r>
            <w:r>
              <w:rPr>
                <w:rFonts w:hint="eastAsia"/>
              </w:rPr>
              <w:t>1</w:t>
            </w:r>
            <w:r>
              <w:rPr>
                <w:rFonts w:hint="eastAsia"/>
              </w:rPr>
              <w:t>月至</w:t>
            </w:r>
            <w:r>
              <w:rPr>
                <w:rFonts w:hint="eastAsia"/>
              </w:rPr>
              <w:t>2024</w:t>
            </w:r>
            <w:r>
              <w:rPr>
                <w:rFonts w:hint="eastAsia"/>
              </w:rPr>
              <w:t>年</w:t>
            </w:r>
            <w:r>
              <w:rPr>
                <w:rFonts w:hint="eastAsia"/>
              </w:rPr>
              <w:t>2</w:t>
            </w:r>
            <w:r>
              <w:rPr>
                <w:rFonts w:hint="eastAsia"/>
              </w:rPr>
              <w:t>月，在云南变压器电气股份有限公司任副总经理、总工程师；</w:t>
            </w:r>
            <w:r>
              <w:rPr>
                <w:rFonts w:hint="eastAsia"/>
              </w:rPr>
              <w:t>2024</w:t>
            </w:r>
            <w:r>
              <w:rPr>
                <w:rFonts w:hint="eastAsia"/>
              </w:rPr>
              <w:t>年</w:t>
            </w:r>
            <w:r>
              <w:rPr>
                <w:rFonts w:hint="eastAsia"/>
              </w:rPr>
              <w:t>4</w:t>
            </w:r>
            <w:r>
              <w:rPr>
                <w:rFonts w:hint="eastAsia"/>
              </w:rPr>
              <w:t>月至今，在重庆望变电气（集团）股份有限公司任副总经理。</w:t>
            </w:r>
          </w:p>
        </w:tc>
      </w:tr>
    </w:tbl>
    <w:p w14:paraId="7D697F70" w14:textId="77777777" w:rsidR="00577D08" w:rsidRDefault="00577D08"/>
    <w:bookmarkEnd w:id="167"/>
    <w:p w14:paraId="534ADB8E" w14:textId="77777777" w:rsidR="00577D08" w:rsidRDefault="00330FC0">
      <w:r>
        <w:t>其它情况说明</w:t>
      </w:r>
    </w:p>
    <w:sdt>
      <w:sdtPr>
        <w:alias w:val="是否适用：董事、监事 和高级管理人员持股变动及报酬情况其他情况说明[双击切换]"/>
        <w:tag w:val="_GBC_9b04f21816b544bc9606e29c2556c9ba"/>
        <w:id w:val="-697080468"/>
        <w:placeholder>
          <w:docPart w:val="GBC22222222222222222222222222222"/>
        </w:placeholder>
      </w:sdtPr>
      <w:sdtContent>
        <w:p w14:paraId="79D5B7C4"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64"/>
    <w:p w14:paraId="16F7CA99" w14:textId="77777777" w:rsidR="00577D08" w:rsidRDefault="00577D08"/>
    <w:p w14:paraId="3B2414BE" w14:textId="77777777" w:rsidR="00577D08" w:rsidRDefault="00577D08">
      <w:pPr>
        <w:sectPr w:rsidR="00577D08">
          <w:pgSz w:w="16838" w:h="11906" w:orient="landscape"/>
          <w:pgMar w:top="1797" w:right="1525" w:bottom="1276" w:left="1440" w:header="855" w:footer="992" w:gutter="0"/>
          <w:cols w:space="425"/>
          <w:docGrid w:linePitch="312"/>
        </w:sectPr>
      </w:pPr>
    </w:p>
    <w:p w14:paraId="723C8999" w14:textId="77777777" w:rsidR="00577D08" w:rsidRDefault="00330FC0">
      <w:pPr>
        <w:pStyle w:val="3"/>
        <w:numPr>
          <w:ilvl w:val="0"/>
          <w:numId w:val="19"/>
        </w:numPr>
        <w:ind w:left="0" w:firstLine="0"/>
      </w:pPr>
      <w:r>
        <w:rPr>
          <w:rFonts w:hint="eastAsia"/>
        </w:rPr>
        <w:lastRenderedPageBreak/>
        <w:t>现任及报告期内离任董事和高级管理人员的任职情况</w:t>
      </w:r>
    </w:p>
    <w:p w14:paraId="1777A4DA" w14:textId="77777777" w:rsidR="00577D08" w:rsidRDefault="00330FC0">
      <w:pPr>
        <w:pStyle w:val="4"/>
        <w:numPr>
          <w:ilvl w:val="0"/>
          <w:numId w:val="20"/>
        </w:numPr>
        <w:rPr>
          <w:rFonts w:hint="eastAsia"/>
        </w:rPr>
      </w:pPr>
      <w:r>
        <w:t>在股东单位任职情况</w:t>
      </w:r>
    </w:p>
    <w:sdt>
      <w:sdtPr>
        <w:alias w:val="是否适用：在股东单位任职情况[双击切换]"/>
        <w:tag w:val="_GBC_c450b54d9ea443cf85cc614c8528526b"/>
        <w:id w:val="-722517634"/>
        <w:placeholder>
          <w:docPart w:val="GBC22222222222222222222222222222"/>
        </w:placeholder>
      </w:sdtPr>
      <w:sdtContent>
        <w:p w14:paraId="63FBF2D2"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39F41E6" w14:textId="77777777" w:rsidR="00577D08" w:rsidRDefault="00330FC0">
      <w:pPr>
        <w:pStyle w:val="4"/>
        <w:numPr>
          <w:ilvl w:val="0"/>
          <w:numId w:val="20"/>
        </w:numPr>
        <w:rPr>
          <w:rFonts w:ascii="宋体" w:hAnsi="宋体" w:cs="宋体" w:hint="eastAsia"/>
          <w:kern w:val="0"/>
          <w:szCs w:val="24"/>
        </w:rPr>
      </w:pPr>
      <w:r>
        <w:rPr>
          <w:rFonts w:ascii="宋体" w:hAnsi="宋体" w:cs="宋体"/>
          <w:kern w:val="0"/>
          <w:szCs w:val="24"/>
        </w:rPr>
        <w:t>在其他单位任职情况</w:t>
      </w:r>
    </w:p>
    <w:sdt>
      <w:sdtPr>
        <w:alias w:val="是否适用：在其他单位任职情况[双击切换]"/>
        <w:tag w:val="_GBC_31c17de709bb42fdb7ba137e843fe054"/>
        <w:id w:val="-2109032196"/>
        <w:placeholder>
          <w:docPart w:val="GBC22222222222222222222222222222"/>
        </w:placeholder>
      </w:sdtPr>
      <w:sdtContent>
        <w:p w14:paraId="1FAFE5B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1809"/>
        <w:gridCol w:w="2357"/>
        <w:gridCol w:w="1820"/>
        <w:gridCol w:w="1526"/>
        <w:gridCol w:w="1536"/>
      </w:tblGrid>
      <w:tr w:rsidR="00577D08" w14:paraId="46C54E31" w14:textId="77777777">
        <w:trPr>
          <w:trHeight w:val="120"/>
        </w:trPr>
        <w:sdt>
          <w:sdtPr>
            <w:tag w:val="_PLD_84cb4ce7fc4643b1be607267619a4b88"/>
            <w:id w:val="-34582641"/>
          </w:sdtPr>
          <w:sdtContent>
            <w:tc>
              <w:tcPr>
                <w:tcW w:w="1809" w:type="dxa"/>
                <w:vAlign w:val="center"/>
              </w:tcPr>
              <w:p w14:paraId="3A0BF95E" w14:textId="77777777" w:rsidR="00577D08" w:rsidRDefault="00330FC0">
                <w:pPr>
                  <w:jc w:val="center"/>
                </w:pPr>
                <w:r>
                  <w:t>任职人员姓名</w:t>
                </w:r>
              </w:p>
            </w:tc>
          </w:sdtContent>
        </w:sdt>
        <w:sdt>
          <w:sdtPr>
            <w:tag w:val="_PLD_9c5aac001d5a4c2eb3cc0bf1e1f66afe"/>
            <w:id w:val="1823546439"/>
          </w:sdtPr>
          <w:sdtContent>
            <w:tc>
              <w:tcPr>
                <w:tcW w:w="2357" w:type="dxa"/>
                <w:vAlign w:val="center"/>
              </w:tcPr>
              <w:p w14:paraId="786A4FDB" w14:textId="77777777" w:rsidR="00577D08" w:rsidRDefault="00330FC0">
                <w:pPr>
                  <w:jc w:val="center"/>
                </w:pPr>
                <w:r>
                  <w:t>其他单位名称</w:t>
                </w:r>
              </w:p>
            </w:tc>
          </w:sdtContent>
        </w:sdt>
        <w:sdt>
          <w:sdtPr>
            <w:tag w:val="_PLD_a3a2822cc76542afbd1a58b94268af1d"/>
            <w:id w:val="805278840"/>
          </w:sdtPr>
          <w:sdtContent>
            <w:tc>
              <w:tcPr>
                <w:tcW w:w="1820" w:type="dxa"/>
                <w:vAlign w:val="center"/>
              </w:tcPr>
              <w:p w14:paraId="2186740E" w14:textId="77777777" w:rsidR="00577D08" w:rsidRDefault="00330FC0">
                <w:pPr>
                  <w:jc w:val="center"/>
                </w:pPr>
                <w:r>
                  <w:t>在其他单位担任的职务</w:t>
                </w:r>
              </w:p>
            </w:tc>
          </w:sdtContent>
        </w:sdt>
        <w:sdt>
          <w:sdtPr>
            <w:tag w:val="_PLD_1afbd86b2e47420ca2c5a75f01567f2a"/>
            <w:id w:val="802360893"/>
          </w:sdtPr>
          <w:sdtContent>
            <w:tc>
              <w:tcPr>
                <w:tcW w:w="1526" w:type="dxa"/>
                <w:vAlign w:val="center"/>
              </w:tcPr>
              <w:p w14:paraId="3E1EFB5A" w14:textId="77777777" w:rsidR="00577D08" w:rsidRDefault="00330FC0">
                <w:pPr>
                  <w:jc w:val="center"/>
                </w:pPr>
                <w:r>
                  <w:t>任期起始日期</w:t>
                </w:r>
              </w:p>
            </w:tc>
          </w:sdtContent>
        </w:sdt>
        <w:sdt>
          <w:sdtPr>
            <w:tag w:val="_PLD_677dde6ffbf24692a6c508831a24eef8"/>
            <w:id w:val="-2116750802"/>
          </w:sdtPr>
          <w:sdtContent>
            <w:tc>
              <w:tcPr>
                <w:tcW w:w="1536" w:type="dxa"/>
                <w:vAlign w:val="center"/>
              </w:tcPr>
              <w:p w14:paraId="459D835D" w14:textId="77777777" w:rsidR="00577D08" w:rsidRDefault="00330FC0">
                <w:pPr>
                  <w:jc w:val="center"/>
                </w:pPr>
                <w:r>
                  <w:t>任期终止日期</w:t>
                </w:r>
              </w:p>
            </w:tc>
          </w:sdtContent>
        </w:sdt>
      </w:tr>
      <w:tr w:rsidR="00577D08" w14:paraId="60CAD1DF" w14:textId="77777777">
        <w:trPr>
          <w:trHeight w:val="147"/>
        </w:trPr>
        <w:tc>
          <w:tcPr>
            <w:tcW w:w="1809" w:type="dxa"/>
            <w:vAlign w:val="center"/>
          </w:tcPr>
          <w:p w14:paraId="1A558B9D" w14:textId="77777777" w:rsidR="00577D08" w:rsidRDefault="00330FC0">
            <w:pPr>
              <w:jc w:val="center"/>
            </w:pPr>
            <w:bookmarkStart w:id="168" w:name="OLE_LINK17"/>
            <w:bookmarkStart w:id="169" w:name="OLE_LINK15"/>
            <w:r>
              <w:rPr>
                <w:rFonts w:hint="eastAsia"/>
              </w:rPr>
              <w:t>杨泽民</w:t>
            </w:r>
          </w:p>
        </w:tc>
        <w:tc>
          <w:tcPr>
            <w:tcW w:w="2357" w:type="dxa"/>
            <w:vAlign w:val="center"/>
          </w:tcPr>
          <w:p w14:paraId="5ED9C965" w14:textId="77777777" w:rsidR="00577D08" w:rsidRDefault="00330FC0">
            <w:r>
              <w:rPr>
                <w:rFonts w:hint="eastAsia"/>
              </w:rPr>
              <w:t>重庆能投长寿经开区售电有限公司</w:t>
            </w:r>
          </w:p>
        </w:tc>
        <w:tc>
          <w:tcPr>
            <w:tcW w:w="1820" w:type="dxa"/>
            <w:vAlign w:val="center"/>
          </w:tcPr>
          <w:p w14:paraId="64100CD8" w14:textId="77777777" w:rsidR="00577D08" w:rsidRDefault="00330FC0">
            <w:pPr>
              <w:jc w:val="center"/>
            </w:pPr>
            <w:r>
              <w:rPr>
                <w:rFonts w:hint="eastAsia"/>
              </w:rPr>
              <w:t>董事</w:t>
            </w:r>
          </w:p>
        </w:tc>
        <w:tc>
          <w:tcPr>
            <w:tcW w:w="1526" w:type="dxa"/>
            <w:vAlign w:val="center"/>
          </w:tcPr>
          <w:p w14:paraId="56C99C8C" w14:textId="77777777" w:rsidR="00577D08" w:rsidRDefault="00330FC0">
            <w:pPr>
              <w:jc w:val="right"/>
            </w:pPr>
            <w:r>
              <w:rPr>
                <w:rFonts w:hint="eastAsia"/>
              </w:rPr>
              <w:t>2016.04</w:t>
            </w:r>
          </w:p>
        </w:tc>
        <w:tc>
          <w:tcPr>
            <w:tcW w:w="1536" w:type="dxa"/>
            <w:vAlign w:val="center"/>
          </w:tcPr>
          <w:p w14:paraId="0F879E26" w14:textId="77777777" w:rsidR="00577D08" w:rsidRDefault="00330FC0">
            <w:pPr>
              <w:jc w:val="right"/>
            </w:pPr>
            <w:r>
              <w:rPr>
                <w:rFonts w:hint="eastAsia"/>
              </w:rPr>
              <w:t>-</w:t>
            </w:r>
          </w:p>
        </w:tc>
      </w:tr>
      <w:tr w:rsidR="00577D08" w14:paraId="30556FDF" w14:textId="77777777">
        <w:trPr>
          <w:trHeight w:val="147"/>
        </w:trPr>
        <w:tc>
          <w:tcPr>
            <w:tcW w:w="1809" w:type="dxa"/>
            <w:vMerge w:val="restart"/>
            <w:vAlign w:val="center"/>
          </w:tcPr>
          <w:p w14:paraId="5FE24F72" w14:textId="77777777" w:rsidR="00577D08" w:rsidRDefault="00330FC0">
            <w:pPr>
              <w:jc w:val="center"/>
            </w:pPr>
            <w:r>
              <w:rPr>
                <w:rFonts w:hint="eastAsia"/>
              </w:rPr>
              <w:t>王勇</w:t>
            </w:r>
          </w:p>
        </w:tc>
        <w:tc>
          <w:tcPr>
            <w:tcW w:w="2357" w:type="dxa"/>
            <w:vAlign w:val="center"/>
          </w:tcPr>
          <w:p w14:paraId="080EB6CA" w14:textId="77777777" w:rsidR="00577D08" w:rsidRDefault="00330FC0">
            <w:r>
              <w:rPr>
                <w:rFonts w:hint="eastAsia"/>
              </w:rPr>
              <w:t>重庆海平会计师事务所有限公司</w:t>
            </w:r>
          </w:p>
        </w:tc>
        <w:tc>
          <w:tcPr>
            <w:tcW w:w="1820" w:type="dxa"/>
            <w:vAlign w:val="center"/>
          </w:tcPr>
          <w:p w14:paraId="378705DA" w14:textId="77777777" w:rsidR="00577D08" w:rsidRDefault="00330FC0">
            <w:pPr>
              <w:jc w:val="center"/>
            </w:pPr>
            <w:r>
              <w:rPr>
                <w:rFonts w:hint="eastAsia"/>
              </w:rPr>
              <w:t>主任会计师</w:t>
            </w:r>
          </w:p>
        </w:tc>
        <w:tc>
          <w:tcPr>
            <w:tcW w:w="1526" w:type="dxa"/>
            <w:vAlign w:val="center"/>
          </w:tcPr>
          <w:p w14:paraId="51F844F3" w14:textId="77777777" w:rsidR="00577D08" w:rsidRDefault="00330FC0">
            <w:pPr>
              <w:jc w:val="right"/>
            </w:pPr>
            <w:r>
              <w:rPr>
                <w:rFonts w:hint="eastAsia"/>
              </w:rPr>
              <w:t>2012.01</w:t>
            </w:r>
          </w:p>
        </w:tc>
        <w:tc>
          <w:tcPr>
            <w:tcW w:w="1536" w:type="dxa"/>
            <w:vAlign w:val="center"/>
          </w:tcPr>
          <w:p w14:paraId="3C7A066E" w14:textId="77777777" w:rsidR="00577D08" w:rsidRDefault="00330FC0">
            <w:pPr>
              <w:jc w:val="right"/>
            </w:pPr>
            <w:r>
              <w:rPr>
                <w:rFonts w:hint="eastAsia"/>
              </w:rPr>
              <w:t>-</w:t>
            </w:r>
          </w:p>
        </w:tc>
      </w:tr>
      <w:tr w:rsidR="00577D08" w14:paraId="5134CE2E" w14:textId="77777777">
        <w:trPr>
          <w:trHeight w:val="147"/>
        </w:trPr>
        <w:tc>
          <w:tcPr>
            <w:tcW w:w="1809" w:type="dxa"/>
            <w:vMerge/>
            <w:vAlign w:val="center"/>
          </w:tcPr>
          <w:p w14:paraId="58B1838B" w14:textId="77777777" w:rsidR="00577D08" w:rsidRDefault="00577D08">
            <w:pPr>
              <w:jc w:val="center"/>
            </w:pPr>
          </w:p>
        </w:tc>
        <w:tc>
          <w:tcPr>
            <w:tcW w:w="2357" w:type="dxa"/>
            <w:vAlign w:val="center"/>
          </w:tcPr>
          <w:p w14:paraId="2D105AEA" w14:textId="77777777" w:rsidR="00577D08" w:rsidRDefault="00330FC0">
            <w:r>
              <w:rPr>
                <w:rFonts w:hint="eastAsia"/>
              </w:rPr>
              <w:t>重庆海安税务师事务所有限责任公司</w:t>
            </w:r>
          </w:p>
        </w:tc>
        <w:tc>
          <w:tcPr>
            <w:tcW w:w="1820" w:type="dxa"/>
            <w:vAlign w:val="center"/>
          </w:tcPr>
          <w:p w14:paraId="677CA0AB" w14:textId="77777777" w:rsidR="00577D08" w:rsidRDefault="00330FC0">
            <w:pPr>
              <w:jc w:val="center"/>
            </w:pPr>
            <w:r>
              <w:rPr>
                <w:rFonts w:hint="eastAsia"/>
              </w:rPr>
              <w:t>注册税务师</w:t>
            </w:r>
          </w:p>
        </w:tc>
        <w:tc>
          <w:tcPr>
            <w:tcW w:w="1526" w:type="dxa"/>
            <w:vAlign w:val="center"/>
          </w:tcPr>
          <w:p w14:paraId="332C9BE9" w14:textId="77777777" w:rsidR="00577D08" w:rsidRDefault="00330FC0">
            <w:pPr>
              <w:jc w:val="right"/>
            </w:pPr>
            <w:r>
              <w:rPr>
                <w:rFonts w:hint="eastAsia"/>
              </w:rPr>
              <w:t>2012.01</w:t>
            </w:r>
          </w:p>
        </w:tc>
        <w:tc>
          <w:tcPr>
            <w:tcW w:w="1536" w:type="dxa"/>
            <w:vAlign w:val="center"/>
          </w:tcPr>
          <w:p w14:paraId="516600AD" w14:textId="77777777" w:rsidR="00577D08" w:rsidRDefault="00330FC0">
            <w:pPr>
              <w:jc w:val="right"/>
            </w:pPr>
            <w:r>
              <w:rPr>
                <w:rFonts w:hint="eastAsia"/>
              </w:rPr>
              <w:t>-</w:t>
            </w:r>
          </w:p>
        </w:tc>
      </w:tr>
      <w:tr w:rsidR="00577D08" w14:paraId="0C40CF29" w14:textId="77777777">
        <w:trPr>
          <w:trHeight w:val="147"/>
        </w:trPr>
        <w:tc>
          <w:tcPr>
            <w:tcW w:w="1809" w:type="dxa"/>
            <w:vAlign w:val="center"/>
          </w:tcPr>
          <w:p w14:paraId="71D692AD" w14:textId="77777777" w:rsidR="00577D08" w:rsidRDefault="00330FC0">
            <w:pPr>
              <w:jc w:val="center"/>
            </w:pPr>
            <w:r>
              <w:rPr>
                <w:rFonts w:hint="eastAsia"/>
              </w:rPr>
              <w:t>李长平</w:t>
            </w:r>
          </w:p>
        </w:tc>
        <w:tc>
          <w:tcPr>
            <w:tcW w:w="2357" w:type="dxa"/>
            <w:vAlign w:val="center"/>
          </w:tcPr>
          <w:p w14:paraId="4FC5DA21" w14:textId="77777777" w:rsidR="00577D08" w:rsidRDefault="00330FC0">
            <w:r>
              <w:rPr>
                <w:rFonts w:hint="eastAsia"/>
              </w:rPr>
              <w:t>重庆能投长寿经开区售电有限公司</w:t>
            </w:r>
          </w:p>
        </w:tc>
        <w:tc>
          <w:tcPr>
            <w:tcW w:w="1820" w:type="dxa"/>
            <w:vAlign w:val="center"/>
          </w:tcPr>
          <w:p w14:paraId="744DF163" w14:textId="77777777" w:rsidR="00577D08" w:rsidRDefault="00330FC0">
            <w:pPr>
              <w:jc w:val="center"/>
            </w:pPr>
            <w:r>
              <w:rPr>
                <w:rFonts w:hint="eastAsia"/>
              </w:rPr>
              <w:t>监事</w:t>
            </w:r>
          </w:p>
        </w:tc>
        <w:tc>
          <w:tcPr>
            <w:tcW w:w="1526" w:type="dxa"/>
            <w:vAlign w:val="center"/>
          </w:tcPr>
          <w:p w14:paraId="6D325527" w14:textId="77777777" w:rsidR="00577D08" w:rsidRDefault="00330FC0">
            <w:pPr>
              <w:jc w:val="right"/>
            </w:pPr>
            <w:r>
              <w:rPr>
                <w:rFonts w:hint="eastAsia"/>
              </w:rPr>
              <w:t>2016.04</w:t>
            </w:r>
          </w:p>
        </w:tc>
        <w:tc>
          <w:tcPr>
            <w:tcW w:w="1536" w:type="dxa"/>
            <w:vAlign w:val="center"/>
          </w:tcPr>
          <w:p w14:paraId="3EF9B27A" w14:textId="77777777" w:rsidR="00577D08" w:rsidRDefault="00330FC0">
            <w:pPr>
              <w:jc w:val="right"/>
            </w:pPr>
            <w:r>
              <w:rPr>
                <w:rFonts w:hint="eastAsia"/>
              </w:rPr>
              <w:t>-</w:t>
            </w:r>
          </w:p>
        </w:tc>
      </w:tr>
      <w:tr w:rsidR="00577D08" w14:paraId="7C934E6D" w14:textId="77777777">
        <w:trPr>
          <w:trHeight w:val="147"/>
        </w:trPr>
        <w:tc>
          <w:tcPr>
            <w:tcW w:w="1809" w:type="dxa"/>
            <w:vMerge w:val="restart"/>
            <w:vAlign w:val="center"/>
          </w:tcPr>
          <w:p w14:paraId="2D580D65" w14:textId="77777777" w:rsidR="00577D08" w:rsidRDefault="00330FC0">
            <w:pPr>
              <w:jc w:val="center"/>
            </w:pPr>
            <w:r>
              <w:rPr>
                <w:rFonts w:hint="eastAsia"/>
              </w:rPr>
              <w:t>沈江</w:t>
            </w:r>
          </w:p>
        </w:tc>
        <w:tc>
          <w:tcPr>
            <w:tcW w:w="2357" w:type="dxa"/>
            <w:vAlign w:val="center"/>
          </w:tcPr>
          <w:p w14:paraId="2606A9B2" w14:textId="77777777" w:rsidR="00577D08" w:rsidRDefault="00330FC0">
            <w:r>
              <w:rPr>
                <w:rFonts w:hint="eastAsia"/>
              </w:rPr>
              <w:t>中国电器工业协会</w:t>
            </w:r>
          </w:p>
        </w:tc>
        <w:tc>
          <w:tcPr>
            <w:tcW w:w="1820" w:type="dxa"/>
            <w:vAlign w:val="center"/>
          </w:tcPr>
          <w:p w14:paraId="68A8C882" w14:textId="77777777" w:rsidR="00577D08" w:rsidRDefault="00330FC0">
            <w:pPr>
              <w:jc w:val="center"/>
            </w:pPr>
            <w:r>
              <w:rPr>
                <w:rFonts w:hint="eastAsia"/>
              </w:rPr>
              <w:t>副会长</w:t>
            </w:r>
          </w:p>
        </w:tc>
        <w:tc>
          <w:tcPr>
            <w:tcW w:w="1526" w:type="dxa"/>
            <w:vAlign w:val="center"/>
          </w:tcPr>
          <w:p w14:paraId="2E2121EF" w14:textId="77777777" w:rsidR="00577D08" w:rsidRDefault="00330FC0">
            <w:pPr>
              <w:jc w:val="right"/>
            </w:pPr>
            <w:r>
              <w:rPr>
                <w:rFonts w:hint="eastAsia"/>
              </w:rPr>
              <w:t>2021.02</w:t>
            </w:r>
          </w:p>
        </w:tc>
        <w:tc>
          <w:tcPr>
            <w:tcW w:w="1536" w:type="dxa"/>
            <w:vAlign w:val="center"/>
          </w:tcPr>
          <w:p w14:paraId="481F8738" w14:textId="77777777" w:rsidR="00577D08" w:rsidRDefault="00330FC0">
            <w:pPr>
              <w:jc w:val="right"/>
            </w:pPr>
            <w:r>
              <w:rPr>
                <w:rFonts w:hint="eastAsia"/>
              </w:rPr>
              <w:t>-</w:t>
            </w:r>
          </w:p>
        </w:tc>
      </w:tr>
      <w:tr w:rsidR="00577D08" w14:paraId="22C2E8A6" w14:textId="77777777">
        <w:trPr>
          <w:trHeight w:val="147"/>
        </w:trPr>
        <w:tc>
          <w:tcPr>
            <w:tcW w:w="1809" w:type="dxa"/>
            <w:vMerge/>
            <w:vAlign w:val="center"/>
          </w:tcPr>
          <w:p w14:paraId="3A3498B2" w14:textId="77777777" w:rsidR="00577D08" w:rsidRDefault="00577D08">
            <w:pPr>
              <w:jc w:val="center"/>
            </w:pPr>
          </w:p>
        </w:tc>
        <w:tc>
          <w:tcPr>
            <w:tcW w:w="2357" w:type="dxa"/>
            <w:vAlign w:val="center"/>
          </w:tcPr>
          <w:p w14:paraId="0ED2AA20" w14:textId="77777777" w:rsidR="00577D08" w:rsidRDefault="00330FC0">
            <w:r>
              <w:rPr>
                <w:rFonts w:hint="eastAsia"/>
              </w:rPr>
              <w:t>西安高压电器研究院股份有限公司</w:t>
            </w:r>
          </w:p>
        </w:tc>
        <w:tc>
          <w:tcPr>
            <w:tcW w:w="1820" w:type="dxa"/>
            <w:vAlign w:val="center"/>
          </w:tcPr>
          <w:p w14:paraId="42D54FB6" w14:textId="77777777" w:rsidR="00577D08" w:rsidRDefault="00330FC0">
            <w:pPr>
              <w:jc w:val="center"/>
            </w:pPr>
            <w:r>
              <w:rPr>
                <w:rFonts w:hint="eastAsia"/>
              </w:rPr>
              <w:t>独立董事</w:t>
            </w:r>
          </w:p>
        </w:tc>
        <w:tc>
          <w:tcPr>
            <w:tcW w:w="1526" w:type="dxa"/>
            <w:vAlign w:val="center"/>
          </w:tcPr>
          <w:p w14:paraId="0C5FDAE7" w14:textId="77777777" w:rsidR="00577D08" w:rsidRDefault="00330FC0">
            <w:pPr>
              <w:jc w:val="right"/>
            </w:pPr>
            <w:r>
              <w:rPr>
                <w:rFonts w:hint="eastAsia"/>
              </w:rPr>
              <w:t>2021.12</w:t>
            </w:r>
          </w:p>
        </w:tc>
        <w:tc>
          <w:tcPr>
            <w:tcW w:w="1536" w:type="dxa"/>
            <w:vAlign w:val="center"/>
          </w:tcPr>
          <w:p w14:paraId="545D84F7" w14:textId="77777777" w:rsidR="00577D08" w:rsidRDefault="00330FC0">
            <w:pPr>
              <w:jc w:val="right"/>
            </w:pPr>
            <w:r>
              <w:rPr>
                <w:rFonts w:hint="eastAsia"/>
              </w:rPr>
              <w:t>2025.5</w:t>
            </w:r>
          </w:p>
        </w:tc>
      </w:tr>
      <w:tr w:rsidR="00577D08" w14:paraId="28F14F14" w14:textId="77777777">
        <w:trPr>
          <w:trHeight w:val="147"/>
        </w:trPr>
        <w:tc>
          <w:tcPr>
            <w:tcW w:w="1809" w:type="dxa"/>
            <w:vAlign w:val="center"/>
          </w:tcPr>
          <w:p w14:paraId="2A63F7E1" w14:textId="77777777" w:rsidR="00577D08" w:rsidRDefault="00330FC0">
            <w:pPr>
              <w:jc w:val="center"/>
            </w:pPr>
            <w:r>
              <w:rPr>
                <w:rFonts w:hint="eastAsia"/>
              </w:rPr>
              <w:t>王海波</w:t>
            </w:r>
          </w:p>
        </w:tc>
        <w:tc>
          <w:tcPr>
            <w:tcW w:w="2357" w:type="dxa"/>
            <w:vAlign w:val="center"/>
          </w:tcPr>
          <w:p w14:paraId="582948D4" w14:textId="77777777" w:rsidR="00577D08" w:rsidRDefault="00330FC0">
            <w:r>
              <w:rPr>
                <w:rFonts w:hint="eastAsia"/>
              </w:rPr>
              <w:t>望变万家（贵州）科技有限公司</w:t>
            </w:r>
          </w:p>
        </w:tc>
        <w:tc>
          <w:tcPr>
            <w:tcW w:w="1820" w:type="dxa"/>
            <w:vAlign w:val="center"/>
          </w:tcPr>
          <w:p w14:paraId="42DBE1E7" w14:textId="77777777" w:rsidR="00577D08" w:rsidRDefault="00330FC0">
            <w:pPr>
              <w:jc w:val="center"/>
            </w:pPr>
            <w:r>
              <w:rPr>
                <w:rFonts w:hint="eastAsia"/>
              </w:rPr>
              <w:t>董事</w:t>
            </w:r>
          </w:p>
        </w:tc>
        <w:tc>
          <w:tcPr>
            <w:tcW w:w="1526" w:type="dxa"/>
            <w:vAlign w:val="center"/>
          </w:tcPr>
          <w:p w14:paraId="0876428C" w14:textId="77777777" w:rsidR="00577D08" w:rsidRDefault="00330FC0">
            <w:pPr>
              <w:jc w:val="right"/>
            </w:pPr>
            <w:r>
              <w:rPr>
                <w:rFonts w:hint="eastAsia"/>
              </w:rPr>
              <w:t>2024.12</w:t>
            </w:r>
          </w:p>
        </w:tc>
        <w:tc>
          <w:tcPr>
            <w:tcW w:w="1536" w:type="dxa"/>
            <w:vAlign w:val="center"/>
          </w:tcPr>
          <w:p w14:paraId="3BE3B05A" w14:textId="77777777" w:rsidR="00577D08" w:rsidRDefault="00330FC0">
            <w:pPr>
              <w:jc w:val="right"/>
            </w:pPr>
            <w:r>
              <w:rPr>
                <w:rFonts w:hint="eastAsia"/>
              </w:rPr>
              <w:t>-</w:t>
            </w:r>
          </w:p>
        </w:tc>
      </w:tr>
      <w:bookmarkEnd w:id="168"/>
      <w:bookmarkEnd w:id="169"/>
      <w:tr w:rsidR="00577D08" w14:paraId="28E55B65" w14:textId="77777777">
        <w:trPr>
          <w:trHeight w:val="150"/>
        </w:trPr>
        <w:tc>
          <w:tcPr>
            <w:tcW w:w="1809" w:type="dxa"/>
            <w:vAlign w:val="center"/>
          </w:tcPr>
          <w:p w14:paraId="4C7378B3" w14:textId="77777777" w:rsidR="00577D08" w:rsidRDefault="00330FC0">
            <w:r>
              <w:rPr>
                <w:rFonts w:hint="eastAsia"/>
              </w:rPr>
              <w:t>在其他单位任职情况的说明</w:t>
            </w:r>
          </w:p>
        </w:tc>
        <w:tc>
          <w:tcPr>
            <w:tcW w:w="7239" w:type="dxa"/>
            <w:gridSpan w:val="4"/>
            <w:vAlign w:val="center"/>
          </w:tcPr>
          <w:p w14:paraId="04EA3AFB" w14:textId="77777777" w:rsidR="00577D08" w:rsidRDefault="00330FC0">
            <w:r>
              <w:rPr>
                <w:rFonts w:hint="eastAsia"/>
              </w:rPr>
              <w:t>-</w:t>
            </w:r>
          </w:p>
        </w:tc>
      </w:tr>
    </w:tbl>
    <w:p w14:paraId="01EFEB9D" w14:textId="77777777" w:rsidR="00577D08" w:rsidRDefault="00330FC0">
      <w:pPr>
        <w:pStyle w:val="3"/>
        <w:numPr>
          <w:ilvl w:val="0"/>
          <w:numId w:val="19"/>
        </w:numPr>
        <w:ind w:left="0" w:firstLine="0"/>
      </w:pPr>
      <w:r>
        <w:t>董事</w:t>
      </w:r>
      <w:r>
        <w:rPr>
          <w:rFonts w:hint="eastAsia"/>
        </w:rPr>
        <w:t>、</w:t>
      </w:r>
      <w:r>
        <w:t>高级管理人员</w:t>
      </w:r>
      <w:r>
        <w:rPr>
          <w:rFonts w:hint="eastAsia"/>
        </w:rPr>
        <w:t>薪</w:t>
      </w:r>
      <w:r>
        <w:t>酬情况</w:t>
      </w:r>
    </w:p>
    <w:sdt>
      <w:sdtPr>
        <w:alias w:val="是否适用：董事、监事、高级管理人员报酬情况[双击切换]"/>
        <w:tag w:val="_GBC_670a12b9c1e34498888f2aafd9509848"/>
        <w:id w:val="886606528"/>
        <w:placeholder>
          <w:docPart w:val="GBC22222222222222222222222222222"/>
        </w:placeholder>
      </w:sdtPr>
      <w:sdtContent>
        <w:p w14:paraId="6C2EA92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2800"/>
        <w:gridCol w:w="6248"/>
      </w:tblGrid>
      <w:tr w:rsidR="00577D08" w14:paraId="3ABD85D6" w14:textId="77777777">
        <w:trPr>
          <w:trHeight w:val="120"/>
        </w:trPr>
        <w:sdt>
          <w:sdtPr>
            <w:tag w:val="_PLD_9e63d19b4bb64b9f8ebbe91d33a629c4"/>
            <w:id w:val="1189411074"/>
          </w:sdtPr>
          <w:sdtContent>
            <w:tc>
              <w:tcPr>
                <w:tcW w:w="2800" w:type="dxa"/>
                <w:vAlign w:val="center"/>
              </w:tcPr>
              <w:p w14:paraId="551CCD3C" w14:textId="77777777" w:rsidR="00577D08" w:rsidRDefault="00330FC0">
                <w:r>
                  <w:t>董事、高级管理人员薪酬的决策程序</w:t>
                </w:r>
              </w:p>
            </w:tc>
          </w:sdtContent>
        </w:sdt>
        <w:sdt>
          <w:sdtPr>
            <w:rPr>
              <w:rFonts w:hint="eastAsia"/>
            </w:rPr>
            <w:alias w:val="董事、监事、高级管理人员报酬的决策程序"/>
            <w:tag w:val="_GBC_bf64cad6b5d7435388a8e69e2c05dea2"/>
            <w:id w:val="1005707014"/>
          </w:sdtPr>
          <w:sdtContent>
            <w:tc>
              <w:tcPr>
                <w:tcW w:w="6248" w:type="dxa"/>
                <w:vAlign w:val="center"/>
              </w:tcPr>
              <w:p w14:paraId="4CFA55E1" w14:textId="77777777" w:rsidR="00577D08" w:rsidRDefault="00330FC0">
                <w:r>
                  <w:rPr>
                    <w:rFonts w:hint="eastAsia"/>
                  </w:rPr>
                  <w:t>董事的报酬经股东会决议通过；高级管理人员的报酬经董事会决议通过。</w:t>
                </w:r>
              </w:p>
            </w:tc>
          </w:sdtContent>
        </w:sdt>
      </w:tr>
      <w:tr w:rsidR="00577D08" w14:paraId="2CFC9C9A" w14:textId="77777777">
        <w:trPr>
          <w:trHeight w:val="120"/>
        </w:trPr>
        <w:tc>
          <w:tcPr>
            <w:tcW w:w="2800" w:type="dxa"/>
            <w:vAlign w:val="center"/>
          </w:tcPr>
          <w:p w14:paraId="13C42834" w14:textId="77777777" w:rsidR="00577D08" w:rsidRDefault="00330FC0">
            <w:r>
              <w:rPr>
                <w:rFonts w:hint="eastAsia"/>
              </w:rPr>
              <w:t>董事在董事会讨论本人薪酬事项时是否回避</w:t>
            </w:r>
          </w:p>
        </w:tc>
        <w:sdt>
          <w:sdtPr>
            <w:alias w:val="董事在董事会讨论本人薪酬事项时是否回避"/>
            <w:tag w:val="_GBC_5e64defbd18444939e9dface4daa0619"/>
            <w:id w:val="-1815632517"/>
            <w:comboBox>
              <w:listItem w:displayText="是" w:value="是"/>
              <w:listItem w:displayText="否" w:value="否"/>
            </w:comboBox>
          </w:sdtPr>
          <w:sdtContent>
            <w:tc>
              <w:tcPr>
                <w:tcW w:w="6248" w:type="dxa"/>
                <w:vAlign w:val="center"/>
              </w:tcPr>
              <w:p w14:paraId="674714FA" w14:textId="77777777" w:rsidR="00577D08" w:rsidRDefault="00330FC0">
                <w:r>
                  <w:t>是</w:t>
                </w:r>
              </w:p>
            </w:tc>
          </w:sdtContent>
        </w:sdt>
      </w:tr>
      <w:tr w:rsidR="00577D08" w14:paraId="5C246078" w14:textId="77777777">
        <w:trPr>
          <w:trHeight w:val="120"/>
        </w:trPr>
        <w:sdt>
          <w:sdtPr>
            <w:tag w:val="_PLD_6b3a77d73be749829b418349bda4ea19"/>
            <w:id w:val="-760834963"/>
          </w:sdtPr>
          <w:sdtContent>
            <w:tc>
              <w:tcPr>
                <w:tcW w:w="2800" w:type="dxa"/>
                <w:vAlign w:val="center"/>
              </w:tcPr>
              <w:p w14:paraId="72109B5B" w14:textId="77777777" w:rsidR="00577D08" w:rsidRDefault="00330FC0">
                <w:r>
                  <w:rPr>
                    <w:rFonts w:hint="eastAsia"/>
                  </w:rPr>
                  <w:t>薪酬与考核委员会或独立董事专门会议关于董事、高级管理人员薪酬事项发表建议的具体情况</w:t>
                </w:r>
              </w:p>
            </w:tc>
          </w:sdtContent>
        </w:sdt>
        <w:tc>
          <w:tcPr>
            <w:tcW w:w="6248" w:type="dxa"/>
            <w:vAlign w:val="center"/>
          </w:tcPr>
          <w:p w14:paraId="0224E2FB" w14:textId="77777777" w:rsidR="00577D08" w:rsidRDefault="00330FC0">
            <w:r>
              <w:rPr>
                <w:rFonts w:hint="eastAsia"/>
              </w:rPr>
              <w:t>薪酬与考核委员会以</w:t>
            </w:r>
            <w:r>
              <w:rPr>
                <w:rFonts w:hint="eastAsia"/>
              </w:rPr>
              <w:t>3</w:t>
            </w:r>
            <w:r>
              <w:rPr>
                <w:rFonts w:hint="eastAsia"/>
              </w:rPr>
              <w:t>票全票通过公司</w:t>
            </w:r>
            <w:r>
              <w:rPr>
                <w:rFonts w:hint="eastAsia"/>
              </w:rPr>
              <w:t>2025</w:t>
            </w:r>
            <w:r>
              <w:rPr>
                <w:rFonts w:hint="eastAsia"/>
              </w:rPr>
              <w:t>年《关于审议高级管理人员薪酬的议案》《关于审议董事薪酬的议案》，认为</w:t>
            </w:r>
            <w:r>
              <w:rPr>
                <w:rFonts w:hint="eastAsia"/>
              </w:rPr>
              <w:t>2025</w:t>
            </w:r>
            <w:r>
              <w:rPr>
                <w:rFonts w:hint="eastAsia"/>
              </w:rPr>
              <w:t>年度董事、高级管理人员的薪酬严格按照公司薪酬及考核制度的规定发放，不存在损害公司及股东利益的情况。</w:t>
            </w:r>
          </w:p>
        </w:tc>
      </w:tr>
      <w:tr w:rsidR="00577D08" w14:paraId="2E6A359F" w14:textId="77777777">
        <w:trPr>
          <w:trHeight w:val="165"/>
        </w:trPr>
        <w:sdt>
          <w:sdtPr>
            <w:tag w:val="_PLD_a1d35038246146c0a95c36f146481091"/>
            <w:id w:val="-2055451857"/>
          </w:sdtPr>
          <w:sdtContent>
            <w:tc>
              <w:tcPr>
                <w:tcW w:w="2800" w:type="dxa"/>
                <w:vAlign w:val="center"/>
              </w:tcPr>
              <w:p w14:paraId="7A95B8A7" w14:textId="77777777" w:rsidR="00577D08" w:rsidRDefault="00330FC0">
                <w:r>
                  <w:t>董事、高级管理人员薪酬确定依据</w:t>
                </w:r>
              </w:p>
            </w:tc>
          </w:sdtContent>
        </w:sdt>
        <w:tc>
          <w:tcPr>
            <w:tcW w:w="6248" w:type="dxa"/>
            <w:vAlign w:val="center"/>
          </w:tcPr>
          <w:p w14:paraId="5CD9E670" w14:textId="77777777" w:rsidR="00577D08" w:rsidRDefault="00330FC0">
            <w:r>
              <w:rPr>
                <w:rFonts w:hint="eastAsia"/>
              </w:rPr>
              <w:t>在公司承担具体工作职责的董事、高级管理人员报酬根据《公司章程》的规定及参考岗位工作内容、复杂程度和公司内部的考核制度及方案确定。</w:t>
            </w:r>
          </w:p>
        </w:tc>
      </w:tr>
      <w:tr w:rsidR="00577D08" w14:paraId="67B3F406" w14:textId="77777777">
        <w:trPr>
          <w:trHeight w:val="165"/>
        </w:trPr>
        <w:sdt>
          <w:sdtPr>
            <w:tag w:val="_PLD_3ba8e874dcd84394a94e693e06b2269b"/>
            <w:id w:val="-1739084156"/>
          </w:sdtPr>
          <w:sdtContent>
            <w:tc>
              <w:tcPr>
                <w:tcW w:w="2800" w:type="dxa"/>
                <w:vAlign w:val="center"/>
              </w:tcPr>
              <w:p w14:paraId="3B97F3EC" w14:textId="77777777" w:rsidR="00577D08" w:rsidRDefault="00330FC0">
                <w:r>
                  <w:t>董事和高级管理人员薪酬的</w:t>
                </w:r>
                <w:r>
                  <w:rPr>
                    <w:rFonts w:hint="eastAsia"/>
                  </w:rPr>
                  <w:t>实际支付</w:t>
                </w:r>
                <w:r>
                  <w:t>情况</w:t>
                </w:r>
              </w:p>
            </w:tc>
          </w:sdtContent>
        </w:sdt>
        <w:tc>
          <w:tcPr>
            <w:tcW w:w="6248" w:type="dxa"/>
            <w:vAlign w:val="center"/>
          </w:tcPr>
          <w:p w14:paraId="4F75726F" w14:textId="77777777" w:rsidR="00577D08" w:rsidRDefault="00330FC0">
            <w:r>
              <w:rPr>
                <w:rFonts w:hint="eastAsia"/>
              </w:rPr>
              <w:t>已支付</w:t>
            </w:r>
          </w:p>
        </w:tc>
      </w:tr>
      <w:tr w:rsidR="00577D08" w14:paraId="77458014" w14:textId="77777777">
        <w:trPr>
          <w:trHeight w:val="135"/>
        </w:trPr>
        <w:tc>
          <w:tcPr>
            <w:tcW w:w="2800" w:type="dxa"/>
            <w:vAlign w:val="center"/>
          </w:tcPr>
          <w:sdt>
            <w:sdtPr>
              <w:tag w:val="_PLD_3506ff73678e423b9d58c6066ded1f49"/>
              <w:id w:val="1518726067"/>
            </w:sdtPr>
            <w:sdtContent>
              <w:p w14:paraId="7DA57300" w14:textId="77777777" w:rsidR="00577D08" w:rsidRDefault="00330FC0">
                <w:r>
                  <w:t>报告期末全体董事和高级管理人员实际获得的薪酬合计</w:t>
                </w:r>
              </w:p>
            </w:sdtContent>
          </w:sdt>
        </w:tc>
        <w:tc>
          <w:tcPr>
            <w:tcW w:w="6248" w:type="dxa"/>
            <w:vAlign w:val="center"/>
          </w:tcPr>
          <w:p w14:paraId="4F39CB9F" w14:textId="77777777" w:rsidR="00577D08" w:rsidRDefault="00330FC0">
            <w:r>
              <w:t>794.77</w:t>
            </w:r>
            <w:r>
              <w:rPr>
                <w:rFonts w:hint="eastAsia"/>
              </w:rPr>
              <w:t>万元</w:t>
            </w:r>
          </w:p>
        </w:tc>
      </w:tr>
      <w:tr w:rsidR="00577D08" w14:paraId="7BD5DF11" w14:textId="77777777">
        <w:trPr>
          <w:trHeight w:val="135"/>
        </w:trPr>
        <w:sdt>
          <w:sdtPr>
            <w:tag w:val="_PLD_85864ecdd4a347afb8769104bf1ae7bd"/>
            <w:id w:val="-1812854631"/>
          </w:sdtPr>
          <w:sdtContent>
            <w:tc>
              <w:tcPr>
                <w:tcW w:w="2800" w:type="dxa"/>
                <w:vAlign w:val="center"/>
              </w:tcPr>
              <w:p w14:paraId="404F7FFE" w14:textId="77777777" w:rsidR="00577D08" w:rsidRDefault="00330FC0">
                <w:r>
                  <w:rPr>
                    <w:rFonts w:hint="eastAsia"/>
                  </w:rPr>
                  <w:t>报告期末全体董事和高级管理人员实际获得薪酬的考核依据和完成情况</w:t>
                </w:r>
              </w:p>
            </w:tc>
          </w:sdtContent>
        </w:sdt>
        <w:tc>
          <w:tcPr>
            <w:tcW w:w="6248" w:type="dxa"/>
            <w:vAlign w:val="center"/>
          </w:tcPr>
          <w:p w14:paraId="44EE0F83" w14:textId="77777777" w:rsidR="00577D08" w:rsidRDefault="00330FC0">
            <w:r>
              <w:rPr>
                <w:rFonts w:hint="eastAsia"/>
              </w:rPr>
              <w:t>报告期内，董事、高级管理人员报酬依据公司实际经营情况、所处行业地位及公司经营业绩目标等综合因素，同时参照行业薪酬水平来制定，公司经营管理层的薪酬由固定薪酬和考核薪酬两部分组成，实际薪酬系根据</w:t>
            </w:r>
            <w:r>
              <w:rPr>
                <w:rFonts w:hint="eastAsia"/>
              </w:rPr>
              <w:t>2025</w:t>
            </w:r>
            <w:r>
              <w:rPr>
                <w:rFonts w:hint="eastAsia"/>
              </w:rPr>
              <w:t>年度营运目标责任书进行综合绩效考评。</w:t>
            </w:r>
          </w:p>
        </w:tc>
      </w:tr>
      <w:tr w:rsidR="00577D08" w14:paraId="6C317A0D" w14:textId="77777777">
        <w:trPr>
          <w:trHeight w:val="135"/>
        </w:trPr>
        <w:sdt>
          <w:sdtPr>
            <w:tag w:val="_PLD_ea4b026a8e8c4af8961acc0223312d80"/>
            <w:id w:val="329026439"/>
          </w:sdtPr>
          <w:sdtContent>
            <w:tc>
              <w:tcPr>
                <w:tcW w:w="2800" w:type="dxa"/>
                <w:vAlign w:val="center"/>
              </w:tcPr>
              <w:p w14:paraId="56DB7E25" w14:textId="77777777" w:rsidR="00577D08" w:rsidRDefault="00330FC0">
                <w:r>
                  <w:rPr>
                    <w:rFonts w:hint="eastAsia"/>
                  </w:rPr>
                  <w:t>报告期末全体董事和高级管理人员实际获得薪酬的递延支付安排</w:t>
                </w:r>
              </w:p>
            </w:tc>
          </w:sdtContent>
        </w:sdt>
        <w:tc>
          <w:tcPr>
            <w:tcW w:w="6248" w:type="dxa"/>
            <w:vAlign w:val="center"/>
          </w:tcPr>
          <w:p w14:paraId="3D832BBB" w14:textId="77777777" w:rsidR="00577D08" w:rsidRDefault="00330FC0">
            <w:r>
              <w:rPr>
                <w:rFonts w:hint="eastAsia"/>
              </w:rPr>
              <w:t>无</w:t>
            </w:r>
          </w:p>
        </w:tc>
      </w:tr>
      <w:tr w:rsidR="00577D08" w14:paraId="139C8891" w14:textId="77777777">
        <w:trPr>
          <w:trHeight w:val="135"/>
        </w:trPr>
        <w:sdt>
          <w:sdtPr>
            <w:tag w:val="_PLD_a6fa328d324e4ee4affdd57274599360"/>
            <w:id w:val="256869225"/>
          </w:sdtPr>
          <w:sdtContent>
            <w:tc>
              <w:tcPr>
                <w:tcW w:w="2800" w:type="dxa"/>
                <w:vAlign w:val="center"/>
              </w:tcPr>
              <w:p w14:paraId="41242BC0" w14:textId="77777777" w:rsidR="00577D08" w:rsidRDefault="00330FC0">
                <w:r>
                  <w:rPr>
                    <w:rFonts w:hint="eastAsia"/>
                  </w:rPr>
                  <w:t>报告期末全体董事和高级管</w:t>
                </w:r>
                <w:r>
                  <w:rPr>
                    <w:rFonts w:hint="eastAsia"/>
                  </w:rPr>
                  <w:lastRenderedPageBreak/>
                  <w:t>理人员实际获得薪酬的止付追索情况</w:t>
                </w:r>
              </w:p>
            </w:tc>
          </w:sdtContent>
        </w:sdt>
        <w:tc>
          <w:tcPr>
            <w:tcW w:w="6248" w:type="dxa"/>
            <w:vAlign w:val="center"/>
          </w:tcPr>
          <w:p w14:paraId="23AF354D" w14:textId="77777777" w:rsidR="00577D08" w:rsidRDefault="00330FC0">
            <w:r>
              <w:rPr>
                <w:rFonts w:hint="eastAsia"/>
              </w:rPr>
              <w:lastRenderedPageBreak/>
              <w:t>无</w:t>
            </w:r>
          </w:p>
        </w:tc>
      </w:tr>
    </w:tbl>
    <w:p w14:paraId="772FE1FD" w14:textId="77777777" w:rsidR="00577D08" w:rsidRDefault="00330FC0">
      <w:pPr>
        <w:pStyle w:val="3"/>
        <w:numPr>
          <w:ilvl w:val="0"/>
          <w:numId w:val="19"/>
        </w:numPr>
        <w:ind w:left="0" w:firstLine="0"/>
      </w:pPr>
      <w:r>
        <w:t>公司董事、高级管理人员变动情况</w:t>
      </w:r>
    </w:p>
    <w:sdt>
      <w:sdtPr>
        <w:alias w:val="是否适用：公司董事、监事、高级管理人员变动情况[双击切换]"/>
        <w:tag w:val="_GBC_a00df019796e4666a1adff20d55baa46"/>
        <w:id w:val="-1462952855"/>
        <w:placeholder>
          <w:docPart w:val="GBC22222222222222222222222222222"/>
        </w:placeholder>
      </w:sdtPr>
      <w:sdtContent>
        <w:p w14:paraId="02FD936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2262"/>
        <w:gridCol w:w="2262"/>
        <w:gridCol w:w="2262"/>
        <w:gridCol w:w="2262"/>
      </w:tblGrid>
      <w:tr w:rsidR="00577D08" w14:paraId="390136E5" w14:textId="77777777">
        <w:trPr>
          <w:trHeight w:val="210"/>
        </w:trPr>
        <w:sdt>
          <w:sdtPr>
            <w:tag w:val="_PLD_10c0965136c84bf6abfceaef8557ae99"/>
            <w:id w:val="625433333"/>
          </w:sdtPr>
          <w:sdtContent>
            <w:tc>
              <w:tcPr>
                <w:tcW w:w="2262" w:type="dxa"/>
                <w:vAlign w:val="center"/>
              </w:tcPr>
              <w:p w14:paraId="550CD738" w14:textId="77777777" w:rsidR="00577D08" w:rsidRDefault="00330FC0">
                <w:pPr>
                  <w:jc w:val="center"/>
                </w:pPr>
                <w:r>
                  <w:t>姓名</w:t>
                </w:r>
              </w:p>
            </w:tc>
          </w:sdtContent>
        </w:sdt>
        <w:sdt>
          <w:sdtPr>
            <w:tag w:val="_PLD_b53cc0c0661e4cffa4f7fa4f6423187d"/>
            <w:id w:val="-1328664439"/>
          </w:sdtPr>
          <w:sdtContent>
            <w:tc>
              <w:tcPr>
                <w:tcW w:w="2262" w:type="dxa"/>
                <w:vAlign w:val="center"/>
              </w:tcPr>
              <w:p w14:paraId="68A96266" w14:textId="77777777" w:rsidR="00577D08" w:rsidRDefault="00330FC0">
                <w:pPr>
                  <w:jc w:val="center"/>
                </w:pPr>
                <w:r>
                  <w:t>担任的职务</w:t>
                </w:r>
              </w:p>
            </w:tc>
          </w:sdtContent>
        </w:sdt>
        <w:sdt>
          <w:sdtPr>
            <w:tag w:val="_PLD_012859f523ec430da1dfc6a86c6dde35"/>
            <w:id w:val="1432085746"/>
          </w:sdtPr>
          <w:sdtContent>
            <w:tc>
              <w:tcPr>
                <w:tcW w:w="2262" w:type="dxa"/>
                <w:vAlign w:val="center"/>
              </w:tcPr>
              <w:p w14:paraId="4530D8D8" w14:textId="77777777" w:rsidR="00577D08" w:rsidRDefault="00330FC0">
                <w:pPr>
                  <w:jc w:val="center"/>
                </w:pPr>
                <w:r>
                  <w:t>变动情形</w:t>
                </w:r>
              </w:p>
            </w:tc>
          </w:sdtContent>
        </w:sdt>
        <w:sdt>
          <w:sdtPr>
            <w:tag w:val="_PLD_bf76757c55de435a9638407bd56b5199"/>
            <w:id w:val="-1898496750"/>
          </w:sdtPr>
          <w:sdtContent>
            <w:tc>
              <w:tcPr>
                <w:tcW w:w="2262" w:type="dxa"/>
                <w:vAlign w:val="center"/>
              </w:tcPr>
              <w:p w14:paraId="7DFB9E9F" w14:textId="77777777" w:rsidR="00577D08" w:rsidRDefault="00330FC0">
                <w:pPr>
                  <w:jc w:val="center"/>
                </w:pPr>
                <w:r>
                  <w:t>变动原因</w:t>
                </w:r>
              </w:p>
            </w:tc>
          </w:sdtContent>
        </w:sdt>
      </w:tr>
      <w:tr w:rsidR="00577D08" w14:paraId="785FCE06" w14:textId="77777777">
        <w:trPr>
          <w:trHeight w:val="105"/>
        </w:trPr>
        <w:tc>
          <w:tcPr>
            <w:tcW w:w="2262" w:type="dxa"/>
            <w:vAlign w:val="center"/>
          </w:tcPr>
          <w:p w14:paraId="7EA3AFDA" w14:textId="77777777" w:rsidR="00577D08" w:rsidRDefault="00330FC0">
            <w:r>
              <w:rPr>
                <w:rFonts w:hint="eastAsia"/>
              </w:rPr>
              <w:t>王海波</w:t>
            </w:r>
          </w:p>
        </w:tc>
        <w:tc>
          <w:tcPr>
            <w:tcW w:w="2262" w:type="dxa"/>
            <w:vAlign w:val="center"/>
          </w:tcPr>
          <w:p w14:paraId="689E3508" w14:textId="77777777" w:rsidR="00577D08" w:rsidRDefault="00330FC0">
            <w:r>
              <w:rPr>
                <w:rFonts w:hint="eastAsia"/>
              </w:rPr>
              <w:t>职工董事</w:t>
            </w:r>
          </w:p>
        </w:tc>
        <w:sdt>
          <w:sdtPr>
            <w:alias w:val="公司董事、监事、高级管理人员的变动情形"/>
            <w:tag w:val="_GBC_258f9ad482344d5fbc1587e6faf0ed7b"/>
            <w:id w:val="956382522"/>
            <w:comboBox>
              <w:listItem w:displayText="选举" w:value="选举"/>
              <w:listItem w:displayText="离任" w:value="离任"/>
              <w:listItem w:displayText="聘任" w:value="聘任"/>
              <w:listItem w:displayText="解聘" w:value="解聘"/>
            </w:comboBox>
          </w:sdtPr>
          <w:sdtContent>
            <w:tc>
              <w:tcPr>
                <w:tcW w:w="2262" w:type="dxa"/>
                <w:vAlign w:val="center"/>
              </w:tcPr>
              <w:p w14:paraId="1865510B" w14:textId="77777777" w:rsidR="00577D08" w:rsidRDefault="00330FC0">
                <w:r>
                  <w:t>选举</w:t>
                </w:r>
              </w:p>
            </w:tc>
          </w:sdtContent>
        </w:sdt>
        <w:sdt>
          <w:sdtPr>
            <w:alias w:val="在报告期内离任的董事、监事、高级管理人员离任原因"/>
            <w:tag w:val="_GBC_d73defdbf41845d2bd043c385b151039"/>
            <w:id w:val="690958520"/>
            <w:comboBox>
              <w:listItem w:displayText="换届" w:value="换届"/>
              <w:listItem w:displayText="退休" w:value="退休"/>
              <w:listItem w:displayText="工作调动" w:value="工作调动"/>
              <w:listItem w:displayText="解聘" w:value="解聘"/>
              <w:listItem w:displayText="个人原因" w:value="个人原因"/>
            </w:comboBox>
          </w:sdtPr>
          <w:sdtContent>
            <w:tc>
              <w:tcPr>
                <w:tcW w:w="2262" w:type="dxa"/>
                <w:vAlign w:val="center"/>
              </w:tcPr>
              <w:p w14:paraId="01E2E45F" w14:textId="77777777" w:rsidR="00577D08" w:rsidRDefault="00330FC0">
                <w:r>
                  <w:t>工作调动</w:t>
                </w:r>
              </w:p>
            </w:tc>
          </w:sdtContent>
        </w:sdt>
      </w:tr>
      <w:tr w:rsidR="00577D08" w14:paraId="724575E2" w14:textId="77777777">
        <w:trPr>
          <w:trHeight w:val="105"/>
        </w:trPr>
        <w:tc>
          <w:tcPr>
            <w:tcW w:w="2262" w:type="dxa"/>
            <w:vAlign w:val="center"/>
          </w:tcPr>
          <w:p w14:paraId="0E6FC142" w14:textId="77777777" w:rsidR="00577D08" w:rsidRDefault="00330FC0">
            <w:r>
              <w:rPr>
                <w:rFonts w:hint="eastAsia"/>
              </w:rPr>
              <w:t>李长平</w:t>
            </w:r>
          </w:p>
        </w:tc>
        <w:tc>
          <w:tcPr>
            <w:tcW w:w="2262" w:type="dxa"/>
            <w:vAlign w:val="center"/>
          </w:tcPr>
          <w:p w14:paraId="7055BBF1" w14:textId="77777777" w:rsidR="00577D08" w:rsidRDefault="00330FC0">
            <w:r>
              <w:rPr>
                <w:rFonts w:hint="eastAsia"/>
              </w:rPr>
              <w:t>监事会主席</w:t>
            </w:r>
          </w:p>
        </w:tc>
        <w:tc>
          <w:tcPr>
            <w:tcW w:w="2262" w:type="dxa"/>
            <w:vAlign w:val="center"/>
          </w:tcPr>
          <w:p w14:paraId="24180AE2" w14:textId="77777777" w:rsidR="00577D08" w:rsidRDefault="00330FC0">
            <w:r>
              <w:rPr>
                <w:rFonts w:hint="eastAsia"/>
              </w:rPr>
              <w:t>离任</w:t>
            </w:r>
          </w:p>
        </w:tc>
        <w:tc>
          <w:tcPr>
            <w:tcW w:w="2262" w:type="dxa"/>
            <w:vAlign w:val="center"/>
          </w:tcPr>
          <w:p w14:paraId="49663D2B" w14:textId="77777777" w:rsidR="00577D08" w:rsidRDefault="00330FC0">
            <w:bookmarkStart w:id="170" w:name="OLE_LINK27"/>
            <w:bookmarkStart w:id="171" w:name="OLE_LINK28"/>
            <w:r>
              <w:rPr>
                <w:rFonts w:hint="eastAsia"/>
              </w:rPr>
              <w:t>工作调动</w:t>
            </w:r>
            <w:bookmarkEnd w:id="170"/>
            <w:bookmarkEnd w:id="171"/>
          </w:p>
        </w:tc>
      </w:tr>
      <w:tr w:rsidR="00577D08" w14:paraId="188D1F91" w14:textId="77777777">
        <w:trPr>
          <w:trHeight w:val="105"/>
        </w:trPr>
        <w:tc>
          <w:tcPr>
            <w:tcW w:w="2262" w:type="dxa"/>
            <w:vAlign w:val="center"/>
          </w:tcPr>
          <w:p w14:paraId="6DC84214" w14:textId="77777777" w:rsidR="00577D08" w:rsidRDefault="00330FC0">
            <w:r>
              <w:rPr>
                <w:rFonts w:hint="eastAsia"/>
              </w:rPr>
              <w:t>张玲</w:t>
            </w:r>
          </w:p>
        </w:tc>
        <w:tc>
          <w:tcPr>
            <w:tcW w:w="2262" w:type="dxa"/>
            <w:vAlign w:val="center"/>
          </w:tcPr>
          <w:p w14:paraId="369BF785" w14:textId="77777777" w:rsidR="00577D08" w:rsidRDefault="00330FC0">
            <w:r>
              <w:rPr>
                <w:rFonts w:hint="eastAsia"/>
              </w:rPr>
              <w:t>监事</w:t>
            </w:r>
          </w:p>
        </w:tc>
        <w:tc>
          <w:tcPr>
            <w:tcW w:w="2262" w:type="dxa"/>
            <w:vAlign w:val="center"/>
          </w:tcPr>
          <w:p w14:paraId="187385B5" w14:textId="77777777" w:rsidR="00577D08" w:rsidRDefault="00330FC0">
            <w:r>
              <w:rPr>
                <w:rFonts w:hint="eastAsia"/>
              </w:rPr>
              <w:t>离任</w:t>
            </w:r>
          </w:p>
        </w:tc>
        <w:tc>
          <w:tcPr>
            <w:tcW w:w="2262" w:type="dxa"/>
            <w:vAlign w:val="center"/>
          </w:tcPr>
          <w:p w14:paraId="22DD22CF" w14:textId="77777777" w:rsidR="00577D08" w:rsidRDefault="00330FC0">
            <w:r>
              <w:rPr>
                <w:rFonts w:hint="eastAsia"/>
              </w:rPr>
              <w:t>工作调动</w:t>
            </w:r>
          </w:p>
        </w:tc>
      </w:tr>
      <w:tr w:rsidR="00577D08" w14:paraId="633EA8F6" w14:textId="77777777">
        <w:trPr>
          <w:trHeight w:val="105"/>
        </w:trPr>
        <w:tc>
          <w:tcPr>
            <w:tcW w:w="2262" w:type="dxa"/>
            <w:vAlign w:val="center"/>
          </w:tcPr>
          <w:p w14:paraId="7900B246" w14:textId="77777777" w:rsidR="00577D08" w:rsidRDefault="00330FC0">
            <w:r>
              <w:rPr>
                <w:rFonts w:hint="eastAsia"/>
              </w:rPr>
              <w:t>朱林</w:t>
            </w:r>
          </w:p>
        </w:tc>
        <w:tc>
          <w:tcPr>
            <w:tcW w:w="2262" w:type="dxa"/>
            <w:vAlign w:val="center"/>
          </w:tcPr>
          <w:p w14:paraId="2AC414E7" w14:textId="77777777" w:rsidR="00577D08" w:rsidRDefault="00330FC0">
            <w:r>
              <w:rPr>
                <w:rFonts w:hint="eastAsia"/>
              </w:rPr>
              <w:t>职工监事</w:t>
            </w:r>
          </w:p>
        </w:tc>
        <w:tc>
          <w:tcPr>
            <w:tcW w:w="2262" w:type="dxa"/>
            <w:vAlign w:val="center"/>
          </w:tcPr>
          <w:p w14:paraId="3F62A3EE" w14:textId="77777777" w:rsidR="00577D08" w:rsidRDefault="00330FC0">
            <w:r>
              <w:rPr>
                <w:rFonts w:hint="eastAsia"/>
              </w:rPr>
              <w:t>离任</w:t>
            </w:r>
          </w:p>
        </w:tc>
        <w:tc>
          <w:tcPr>
            <w:tcW w:w="2262" w:type="dxa"/>
            <w:vAlign w:val="center"/>
          </w:tcPr>
          <w:p w14:paraId="4637BC46" w14:textId="77777777" w:rsidR="00577D08" w:rsidRDefault="00330FC0">
            <w:r>
              <w:rPr>
                <w:rFonts w:hint="eastAsia"/>
              </w:rPr>
              <w:t>工作调动</w:t>
            </w:r>
          </w:p>
        </w:tc>
      </w:tr>
    </w:tbl>
    <w:p w14:paraId="75E4D5E8" w14:textId="77777777" w:rsidR="00577D08" w:rsidRDefault="00330FC0">
      <w:pPr>
        <w:pStyle w:val="3"/>
        <w:numPr>
          <w:ilvl w:val="0"/>
          <w:numId w:val="19"/>
        </w:numPr>
        <w:ind w:left="0" w:firstLine="0"/>
      </w:pPr>
      <w:r>
        <w:rPr>
          <w:rFonts w:hint="eastAsia"/>
        </w:rPr>
        <w:t>近三年受证券监管机构处罚的情况说明</w:t>
      </w:r>
    </w:p>
    <w:sdt>
      <w:sdtPr>
        <w:alias w:val="是否适用：近三年受证券监管机构处罚的情况说明[双击切换]"/>
        <w:tag w:val="_GBC_7955674a80d94ddc9e00915de353286e"/>
        <w:id w:val="1338733510"/>
        <w:placeholder>
          <w:docPart w:val="GBC22222222222222222222222222222"/>
        </w:placeholder>
      </w:sdtPr>
      <w:sdtContent>
        <w:p w14:paraId="66EF1EBD"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E7B236E" w14:textId="77777777" w:rsidR="00577D08" w:rsidRDefault="00330FC0">
      <w:pPr>
        <w:pStyle w:val="3"/>
        <w:numPr>
          <w:ilvl w:val="0"/>
          <w:numId w:val="19"/>
        </w:numPr>
        <w:ind w:left="0" w:firstLine="0"/>
      </w:pPr>
      <w:bookmarkStart w:id="172" w:name="_Hlk89182759"/>
      <w:r>
        <w:rPr>
          <w:rFonts w:hint="eastAsia"/>
        </w:rPr>
        <w:t>其他</w:t>
      </w:r>
    </w:p>
    <w:sdt>
      <w:sdtPr>
        <w:rPr>
          <w:rFonts w:hint="eastAsia"/>
          <w:bCs/>
        </w:rPr>
        <w:alias w:val="是否适用：其他董事、监事、高级管理人员情况说明[双击切换]"/>
        <w:tag w:val="_GBC_6698e1cba7354d29b0fcdbb38e7287d6"/>
        <w:id w:val="-250508902"/>
        <w:placeholder>
          <w:docPart w:val="GBC22222222222222222222222222222"/>
        </w:placeholder>
      </w:sdtPr>
      <w:sdtContent>
        <w:p w14:paraId="550B2CF1" w14:textId="77777777" w:rsidR="00577D08" w:rsidRDefault="00330FC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bookmarkEnd w:id="172"/>
    <w:p w14:paraId="28C80EAA" w14:textId="77777777" w:rsidR="00577D08" w:rsidRDefault="00330FC0">
      <w:pPr>
        <w:pStyle w:val="2"/>
        <w:numPr>
          <w:ilvl w:val="0"/>
          <w:numId w:val="18"/>
        </w:numPr>
      </w:pPr>
      <w:r>
        <w:t>董事履行职责情况</w:t>
      </w:r>
    </w:p>
    <w:p w14:paraId="1DE765EE" w14:textId="77777777" w:rsidR="00577D08" w:rsidRDefault="00330FC0">
      <w:pPr>
        <w:pStyle w:val="3"/>
        <w:numPr>
          <w:ilvl w:val="0"/>
          <w:numId w:val="21"/>
        </w:numPr>
      </w:pPr>
      <w:r>
        <w:t>董事参加董事会和</w:t>
      </w:r>
      <w:sdt>
        <w:sdtPr>
          <w:tag w:val="_PLD_47828a77321a429297b4f49878c0e2f1"/>
          <w:id w:val="-1470349758"/>
        </w:sdtPr>
        <w:sdtContent>
          <w:r>
            <w:t>股东会</w:t>
          </w:r>
        </w:sdtContent>
      </w:sdt>
      <w:r>
        <w:t>的情况</w:t>
      </w:r>
    </w:p>
    <w:tbl>
      <w:tblPr>
        <w:tblStyle w:val="aff2"/>
        <w:tblW w:w="9046" w:type="dxa"/>
        <w:tblLayout w:type="fixed"/>
        <w:tblLook w:val="04A0" w:firstRow="1" w:lastRow="0" w:firstColumn="1" w:lastColumn="0" w:noHBand="0" w:noVBand="1"/>
      </w:tblPr>
      <w:tblGrid>
        <w:gridCol w:w="979"/>
        <w:gridCol w:w="845"/>
        <w:gridCol w:w="1098"/>
        <w:gridCol w:w="852"/>
        <w:gridCol w:w="968"/>
        <w:gridCol w:w="904"/>
        <w:gridCol w:w="845"/>
        <w:gridCol w:w="1294"/>
        <w:gridCol w:w="1261"/>
      </w:tblGrid>
      <w:tr w:rsidR="00577D08" w14:paraId="56BCE09E" w14:textId="77777777">
        <w:trPr>
          <w:trHeight w:val="561"/>
        </w:trPr>
        <w:sdt>
          <w:sdtPr>
            <w:tag w:val="_PLD_fdf987702b2e46a4aaa1e3f20787a76c"/>
            <w:id w:val="-1323955433"/>
          </w:sdtPr>
          <w:sdtContent>
            <w:tc>
              <w:tcPr>
                <w:tcW w:w="979" w:type="dxa"/>
                <w:vMerge w:val="restart"/>
                <w:vAlign w:val="center"/>
              </w:tcPr>
              <w:p w14:paraId="513E0A97" w14:textId="77777777" w:rsidR="00577D08" w:rsidRDefault="00330FC0">
                <w:pPr>
                  <w:jc w:val="center"/>
                </w:pPr>
                <w:r>
                  <w:rPr>
                    <w:rFonts w:hint="eastAsia"/>
                  </w:rPr>
                  <w:t>董事</w:t>
                </w:r>
              </w:p>
              <w:p w14:paraId="5429265C" w14:textId="77777777" w:rsidR="00577D08" w:rsidRDefault="00330FC0">
                <w:pPr>
                  <w:jc w:val="center"/>
                </w:pPr>
                <w:r>
                  <w:rPr>
                    <w:rFonts w:hint="eastAsia"/>
                  </w:rPr>
                  <w:t>姓名</w:t>
                </w:r>
              </w:p>
            </w:tc>
          </w:sdtContent>
        </w:sdt>
        <w:sdt>
          <w:sdtPr>
            <w:tag w:val="_PLD_8c944f740a3a4784938038ab19e3a6ed"/>
            <w:id w:val="-1136178338"/>
          </w:sdtPr>
          <w:sdtContent>
            <w:tc>
              <w:tcPr>
                <w:tcW w:w="845" w:type="dxa"/>
                <w:vMerge w:val="restart"/>
                <w:vAlign w:val="center"/>
              </w:tcPr>
              <w:p w14:paraId="49B179A7" w14:textId="77777777" w:rsidR="00577D08" w:rsidRDefault="00330FC0">
                <w:pPr>
                  <w:jc w:val="center"/>
                </w:pPr>
                <w:r>
                  <w:t>是否独立董事</w:t>
                </w:r>
              </w:p>
            </w:tc>
          </w:sdtContent>
        </w:sdt>
        <w:sdt>
          <w:sdtPr>
            <w:tag w:val="_PLD_41002b55426142459adadb76d790d586"/>
            <w:id w:val="-1646741730"/>
          </w:sdtPr>
          <w:sdtContent>
            <w:tc>
              <w:tcPr>
                <w:tcW w:w="5961" w:type="dxa"/>
                <w:gridSpan w:val="6"/>
                <w:vAlign w:val="center"/>
              </w:tcPr>
              <w:p w14:paraId="3894DA87" w14:textId="77777777" w:rsidR="00577D08" w:rsidRDefault="00330FC0">
                <w:pPr>
                  <w:jc w:val="center"/>
                </w:pPr>
                <w:r>
                  <w:t>参加董事会情况</w:t>
                </w:r>
              </w:p>
            </w:tc>
          </w:sdtContent>
        </w:sdt>
        <w:sdt>
          <w:sdtPr>
            <w:tag w:val="_PLD_a86ab0ba65874193bf46821cd6a13f4f"/>
            <w:id w:val="1666746732"/>
          </w:sdtPr>
          <w:sdtContent>
            <w:tc>
              <w:tcPr>
                <w:tcW w:w="1261" w:type="dxa"/>
                <w:vAlign w:val="center"/>
              </w:tcPr>
              <w:p w14:paraId="4190453C" w14:textId="77777777" w:rsidR="00577D08" w:rsidRDefault="00330FC0">
                <w:pPr>
                  <w:jc w:val="center"/>
                </w:pPr>
                <w:r>
                  <w:t>参加股东会情况</w:t>
                </w:r>
              </w:p>
            </w:tc>
          </w:sdtContent>
        </w:sdt>
      </w:tr>
      <w:tr w:rsidR="00577D08" w14:paraId="2588EF3E" w14:textId="77777777">
        <w:trPr>
          <w:trHeight w:val="120"/>
        </w:trPr>
        <w:tc>
          <w:tcPr>
            <w:tcW w:w="979" w:type="dxa"/>
            <w:vMerge/>
            <w:vAlign w:val="center"/>
          </w:tcPr>
          <w:p w14:paraId="2701F4BA" w14:textId="77777777" w:rsidR="00577D08" w:rsidRDefault="00577D08">
            <w:pPr>
              <w:jc w:val="center"/>
            </w:pPr>
          </w:p>
        </w:tc>
        <w:tc>
          <w:tcPr>
            <w:tcW w:w="845" w:type="dxa"/>
            <w:vMerge/>
            <w:vAlign w:val="center"/>
          </w:tcPr>
          <w:p w14:paraId="1116498E" w14:textId="77777777" w:rsidR="00577D08" w:rsidRDefault="00577D08">
            <w:pPr>
              <w:jc w:val="center"/>
            </w:pPr>
          </w:p>
        </w:tc>
        <w:sdt>
          <w:sdtPr>
            <w:tag w:val="_PLD_1be3bc3a3d894e22b017b70a7c691233"/>
            <w:id w:val="1513336334"/>
          </w:sdtPr>
          <w:sdtContent>
            <w:tc>
              <w:tcPr>
                <w:tcW w:w="1098" w:type="dxa"/>
                <w:vAlign w:val="center"/>
              </w:tcPr>
              <w:p w14:paraId="1F109917" w14:textId="77777777" w:rsidR="00577D08" w:rsidRDefault="00330FC0">
                <w:pPr>
                  <w:jc w:val="center"/>
                </w:pPr>
                <w:r>
                  <w:t>本年应参加董事会次数</w:t>
                </w:r>
              </w:p>
            </w:tc>
          </w:sdtContent>
        </w:sdt>
        <w:sdt>
          <w:sdtPr>
            <w:tag w:val="_PLD_3e45fc9802f241cb8e17735983417e9b"/>
            <w:id w:val="-1351791101"/>
          </w:sdtPr>
          <w:sdtContent>
            <w:tc>
              <w:tcPr>
                <w:tcW w:w="852" w:type="dxa"/>
                <w:vAlign w:val="center"/>
              </w:tcPr>
              <w:p w14:paraId="5ACDCC4A" w14:textId="77777777" w:rsidR="00577D08" w:rsidRDefault="00330FC0">
                <w:pPr>
                  <w:jc w:val="center"/>
                </w:pPr>
                <w:r>
                  <w:t>亲自出席次数</w:t>
                </w:r>
              </w:p>
            </w:tc>
          </w:sdtContent>
        </w:sdt>
        <w:sdt>
          <w:sdtPr>
            <w:tag w:val="_PLD_5b2f1e699fe34def868fe8b765d768ba"/>
            <w:id w:val="250099521"/>
          </w:sdtPr>
          <w:sdtContent>
            <w:tc>
              <w:tcPr>
                <w:tcW w:w="968" w:type="dxa"/>
                <w:vAlign w:val="center"/>
              </w:tcPr>
              <w:p w14:paraId="242310EB" w14:textId="77777777" w:rsidR="00577D08" w:rsidRDefault="00330FC0">
                <w:pPr>
                  <w:jc w:val="center"/>
                </w:pPr>
                <w:r>
                  <w:t>以通讯方式参加次数</w:t>
                </w:r>
              </w:p>
            </w:tc>
          </w:sdtContent>
        </w:sdt>
        <w:sdt>
          <w:sdtPr>
            <w:tag w:val="_PLD_981a0cb863d94703a5482c1ca67d4cb5"/>
            <w:id w:val="223348677"/>
          </w:sdtPr>
          <w:sdtContent>
            <w:tc>
              <w:tcPr>
                <w:tcW w:w="904" w:type="dxa"/>
                <w:vAlign w:val="center"/>
              </w:tcPr>
              <w:p w14:paraId="704CDFA2" w14:textId="77777777" w:rsidR="00577D08" w:rsidRDefault="00330FC0">
                <w:pPr>
                  <w:jc w:val="center"/>
                </w:pPr>
                <w:r>
                  <w:t>委托出席次数</w:t>
                </w:r>
              </w:p>
            </w:tc>
          </w:sdtContent>
        </w:sdt>
        <w:sdt>
          <w:sdtPr>
            <w:tag w:val="_PLD_e955143b8973461bb11aa6e64e6bb542"/>
            <w:id w:val="1676230673"/>
          </w:sdtPr>
          <w:sdtContent>
            <w:tc>
              <w:tcPr>
                <w:tcW w:w="845" w:type="dxa"/>
                <w:vAlign w:val="center"/>
              </w:tcPr>
              <w:p w14:paraId="502C4901" w14:textId="77777777" w:rsidR="00577D08" w:rsidRDefault="00330FC0">
                <w:pPr>
                  <w:jc w:val="center"/>
                </w:pPr>
                <w:r>
                  <w:t>缺席</w:t>
                </w:r>
              </w:p>
              <w:p w14:paraId="4DF98EA5" w14:textId="77777777" w:rsidR="00577D08" w:rsidRDefault="00330FC0">
                <w:pPr>
                  <w:jc w:val="center"/>
                </w:pPr>
                <w:r>
                  <w:t>次数</w:t>
                </w:r>
              </w:p>
            </w:tc>
          </w:sdtContent>
        </w:sdt>
        <w:sdt>
          <w:sdtPr>
            <w:tag w:val="_PLD_c94de7a455d94af5b8ffe4cc736c4b46"/>
            <w:id w:val="431251269"/>
          </w:sdtPr>
          <w:sdtContent>
            <w:tc>
              <w:tcPr>
                <w:tcW w:w="1294" w:type="dxa"/>
                <w:vAlign w:val="center"/>
              </w:tcPr>
              <w:p w14:paraId="79E21D44" w14:textId="77777777" w:rsidR="00577D08" w:rsidRDefault="00330FC0">
                <w:pPr>
                  <w:jc w:val="center"/>
                </w:pPr>
                <w:r>
                  <w:t>是否连续两次未亲自参加会议</w:t>
                </w:r>
              </w:p>
            </w:tc>
          </w:sdtContent>
        </w:sdt>
        <w:sdt>
          <w:sdtPr>
            <w:tag w:val="_PLD_7f17c2a5ff9540709fafff9460b0756d"/>
            <w:id w:val="739144303"/>
          </w:sdtPr>
          <w:sdtContent>
            <w:tc>
              <w:tcPr>
                <w:tcW w:w="1261" w:type="dxa"/>
                <w:vAlign w:val="center"/>
              </w:tcPr>
              <w:p w14:paraId="7289A4EC" w14:textId="77777777" w:rsidR="00577D08" w:rsidRDefault="00330FC0">
                <w:pPr>
                  <w:jc w:val="center"/>
                  <w:rPr>
                    <w:b/>
                  </w:rPr>
                </w:pPr>
                <w:r>
                  <w:t>出席股东会的次数</w:t>
                </w:r>
              </w:p>
            </w:tc>
          </w:sdtContent>
        </w:sdt>
      </w:tr>
      <w:tr w:rsidR="00577D08" w14:paraId="16989E88" w14:textId="77777777">
        <w:trPr>
          <w:trHeight w:val="77"/>
        </w:trPr>
        <w:tc>
          <w:tcPr>
            <w:tcW w:w="979" w:type="dxa"/>
          </w:tcPr>
          <w:p w14:paraId="114EDA98" w14:textId="77777777" w:rsidR="00577D08" w:rsidRDefault="00330FC0">
            <w:r>
              <w:rPr>
                <w:rFonts w:hint="eastAsia"/>
              </w:rPr>
              <w:t>杨泽民</w:t>
            </w:r>
          </w:p>
        </w:tc>
        <w:sdt>
          <w:sdtPr>
            <w:rPr>
              <w:rFonts w:hint="eastAsia"/>
            </w:rPr>
            <w:alias w:val="董事参加董事会的出席情况明细-是否独立董事"/>
            <w:tag w:val="_GBC_8f65cf2d483747a58ee92c8a36ee6375"/>
            <w:id w:val="1487356964"/>
            <w:comboBox>
              <w:listItem w:displayText="是" w:value="true"/>
              <w:listItem w:displayText="否" w:value="false"/>
            </w:comboBox>
          </w:sdtPr>
          <w:sdtContent>
            <w:tc>
              <w:tcPr>
                <w:tcW w:w="845" w:type="dxa"/>
                <w:vAlign w:val="center"/>
              </w:tcPr>
              <w:p w14:paraId="1924AE1F" w14:textId="77777777" w:rsidR="00577D08" w:rsidRDefault="00330FC0">
                <w:r>
                  <w:rPr>
                    <w:rFonts w:hint="eastAsia"/>
                  </w:rPr>
                  <w:t>否</w:t>
                </w:r>
              </w:p>
            </w:tc>
          </w:sdtContent>
        </w:sdt>
        <w:tc>
          <w:tcPr>
            <w:tcW w:w="1098" w:type="dxa"/>
            <w:vAlign w:val="center"/>
          </w:tcPr>
          <w:p w14:paraId="2F3897E1" w14:textId="77777777" w:rsidR="00577D08" w:rsidRDefault="00330FC0">
            <w:pPr>
              <w:jc w:val="right"/>
            </w:pPr>
            <w:r>
              <w:rPr>
                <w:rFonts w:hint="eastAsia"/>
              </w:rPr>
              <w:t>6</w:t>
            </w:r>
          </w:p>
        </w:tc>
        <w:tc>
          <w:tcPr>
            <w:tcW w:w="852" w:type="dxa"/>
            <w:vAlign w:val="center"/>
          </w:tcPr>
          <w:p w14:paraId="29276A8E" w14:textId="77777777" w:rsidR="00577D08" w:rsidRDefault="00330FC0">
            <w:pPr>
              <w:jc w:val="right"/>
            </w:pPr>
            <w:r>
              <w:rPr>
                <w:rFonts w:hint="eastAsia"/>
              </w:rPr>
              <w:t>2</w:t>
            </w:r>
          </w:p>
        </w:tc>
        <w:tc>
          <w:tcPr>
            <w:tcW w:w="968" w:type="dxa"/>
            <w:vAlign w:val="center"/>
          </w:tcPr>
          <w:p w14:paraId="682F9EED" w14:textId="77777777" w:rsidR="00577D08" w:rsidRDefault="00330FC0">
            <w:pPr>
              <w:jc w:val="right"/>
            </w:pPr>
            <w:r>
              <w:t>2</w:t>
            </w:r>
          </w:p>
        </w:tc>
        <w:tc>
          <w:tcPr>
            <w:tcW w:w="904" w:type="dxa"/>
            <w:vAlign w:val="center"/>
          </w:tcPr>
          <w:p w14:paraId="05F0E608" w14:textId="77777777" w:rsidR="00577D08" w:rsidRDefault="00330FC0">
            <w:pPr>
              <w:jc w:val="right"/>
            </w:pPr>
            <w:r>
              <w:t>4</w:t>
            </w:r>
          </w:p>
        </w:tc>
        <w:tc>
          <w:tcPr>
            <w:tcW w:w="845" w:type="dxa"/>
            <w:vAlign w:val="center"/>
          </w:tcPr>
          <w:p w14:paraId="05B58505" w14:textId="77777777" w:rsidR="00577D08" w:rsidRDefault="00330FC0">
            <w:pPr>
              <w:jc w:val="right"/>
            </w:pPr>
            <w:r>
              <w:rPr>
                <w:rFonts w:hint="eastAsia"/>
              </w:rPr>
              <w:t>0</w:t>
            </w:r>
          </w:p>
        </w:tc>
        <w:tc>
          <w:tcPr>
            <w:tcW w:w="1294" w:type="dxa"/>
            <w:vAlign w:val="center"/>
          </w:tcPr>
          <w:sdt>
            <w:sdtPr>
              <w:rPr>
                <w:sz w:val="20"/>
                <w:szCs w:val="20"/>
              </w:rPr>
              <w:alias w:val="董事参加董事会的出席情况明细-是否连续两次未亲自参加会议"/>
              <w:tag w:val="_GBC_4748dc7c4f9b495f9d97d5c22a5e08e6"/>
              <w:id w:val="1123803490"/>
              <w:comboBox>
                <w:listItem w:displayText="是" w:value="true"/>
                <w:listItem w:displayText="否" w:value="false"/>
              </w:comboBox>
            </w:sdtPr>
            <w:sdtContent>
              <w:p w14:paraId="1FBCC891" w14:textId="77777777" w:rsidR="00577D08" w:rsidRDefault="00330FC0">
                <w:pPr>
                  <w:jc w:val="center"/>
                </w:pPr>
                <w:r>
                  <w:rPr>
                    <w:sz w:val="20"/>
                    <w:szCs w:val="20"/>
                  </w:rPr>
                  <w:t>否</w:t>
                </w:r>
              </w:p>
            </w:sdtContent>
          </w:sdt>
        </w:tc>
        <w:tc>
          <w:tcPr>
            <w:tcW w:w="1261" w:type="dxa"/>
            <w:vAlign w:val="center"/>
          </w:tcPr>
          <w:p w14:paraId="28671B8C" w14:textId="77777777" w:rsidR="00577D08" w:rsidRDefault="00330FC0">
            <w:pPr>
              <w:jc w:val="right"/>
            </w:pPr>
            <w:r>
              <w:rPr>
                <w:rFonts w:hint="eastAsia"/>
              </w:rPr>
              <w:t>2</w:t>
            </w:r>
          </w:p>
        </w:tc>
      </w:tr>
      <w:tr w:rsidR="00577D08" w14:paraId="2BDEE0B8" w14:textId="77777777">
        <w:trPr>
          <w:trHeight w:val="77"/>
        </w:trPr>
        <w:tc>
          <w:tcPr>
            <w:tcW w:w="979" w:type="dxa"/>
          </w:tcPr>
          <w:p w14:paraId="7806849F" w14:textId="77777777" w:rsidR="00577D08" w:rsidRDefault="00330FC0">
            <w:bookmarkStart w:id="173" w:name="_Hlk225965088"/>
            <w:r>
              <w:rPr>
                <w:rFonts w:hint="eastAsia"/>
              </w:rPr>
              <w:t>杨林</w:t>
            </w:r>
          </w:p>
        </w:tc>
        <w:tc>
          <w:tcPr>
            <w:tcW w:w="845" w:type="dxa"/>
            <w:vAlign w:val="center"/>
          </w:tcPr>
          <w:p w14:paraId="2D1AB0F6" w14:textId="77777777" w:rsidR="00577D08" w:rsidRDefault="00330FC0">
            <w:r>
              <w:rPr>
                <w:rFonts w:hint="eastAsia"/>
              </w:rPr>
              <w:t>否</w:t>
            </w:r>
          </w:p>
        </w:tc>
        <w:tc>
          <w:tcPr>
            <w:tcW w:w="1098" w:type="dxa"/>
            <w:vAlign w:val="center"/>
          </w:tcPr>
          <w:p w14:paraId="7403A81A" w14:textId="77777777" w:rsidR="00577D08" w:rsidRDefault="00330FC0">
            <w:pPr>
              <w:jc w:val="right"/>
            </w:pPr>
            <w:r>
              <w:rPr>
                <w:rFonts w:hint="eastAsia"/>
              </w:rPr>
              <w:t>6</w:t>
            </w:r>
          </w:p>
        </w:tc>
        <w:tc>
          <w:tcPr>
            <w:tcW w:w="852" w:type="dxa"/>
            <w:vAlign w:val="center"/>
          </w:tcPr>
          <w:p w14:paraId="4B54EC60" w14:textId="77777777" w:rsidR="00577D08" w:rsidRDefault="00330FC0">
            <w:pPr>
              <w:jc w:val="right"/>
            </w:pPr>
            <w:r>
              <w:rPr>
                <w:rFonts w:hint="eastAsia"/>
              </w:rPr>
              <w:t>6</w:t>
            </w:r>
          </w:p>
        </w:tc>
        <w:tc>
          <w:tcPr>
            <w:tcW w:w="968" w:type="dxa"/>
            <w:vAlign w:val="center"/>
          </w:tcPr>
          <w:p w14:paraId="13FCED54" w14:textId="77777777" w:rsidR="00577D08" w:rsidRDefault="00330FC0">
            <w:pPr>
              <w:jc w:val="right"/>
            </w:pPr>
            <w:r>
              <w:t>3</w:t>
            </w:r>
          </w:p>
        </w:tc>
        <w:tc>
          <w:tcPr>
            <w:tcW w:w="904" w:type="dxa"/>
            <w:vAlign w:val="center"/>
          </w:tcPr>
          <w:p w14:paraId="692969CF" w14:textId="77777777" w:rsidR="00577D08" w:rsidRDefault="00330FC0">
            <w:pPr>
              <w:jc w:val="right"/>
            </w:pPr>
            <w:r>
              <w:rPr>
                <w:rFonts w:hint="eastAsia"/>
              </w:rPr>
              <w:t>0</w:t>
            </w:r>
          </w:p>
        </w:tc>
        <w:tc>
          <w:tcPr>
            <w:tcW w:w="845" w:type="dxa"/>
            <w:vAlign w:val="center"/>
          </w:tcPr>
          <w:p w14:paraId="74CD102C" w14:textId="77777777" w:rsidR="00577D08" w:rsidRDefault="00330FC0">
            <w:pPr>
              <w:jc w:val="right"/>
            </w:pPr>
            <w:r>
              <w:rPr>
                <w:rFonts w:hint="eastAsia"/>
              </w:rPr>
              <w:t>0</w:t>
            </w:r>
          </w:p>
        </w:tc>
        <w:tc>
          <w:tcPr>
            <w:tcW w:w="1294" w:type="dxa"/>
            <w:vAlign w:val="center"/>
          </w:tcPr>
          <w:p w14:paraId="79F2705A" w14:textId="77777777" w:rsidR="00577D08" w:rsidRDefault="00330FC0">
            <w:pPr>
              <w:jc w:val="center"/>
            </w:pPr>
            <w:r>
              <w:rPr>
                <w:rFonts w:ascii="宋体" w:hAnsi="宋体" w:hint="eastAsia"/>
                <w:sz w:val="20"/>
                <w:szCs w:val="20"/>
              </w:rPr>
              <w:t>否</w:t>
            </w:r>
          </w:p>
        </w:tc>
        <w:tc>
          <w:tcPr>
            <w:tcW w:w="1261" w:type="dxa"/>
            <w:vAlign w:val="center"/>
          </w:tcPr>
          <w:p w14:paraId="64CD1D03" w14:textId="77777777" w:rsidR="00577D08" w:rsidRDefault="00330FC0">
            <w:pPr>
              <w:jc w:val="right"/>
            </w:pPr>
            <w:r>
              <w:rPr>
                <w:rFonts w:hint="eastAsia"/>
              </w:rPr>
              <w:t>2</w:t>
            </w:r>
          </w:p>
        </w:tc>
      </w:tr>
      <w:tr w:rsidR="00577D08" w14:paraId="144C047E" w14:textId="77777777">
        <w:trPr>
          <w:trHeight w:val="77"/>
        </w:trPr>
        <w:tc>
          <w:tcPr>
            <w:tcW w:w="979" w:type="dxa"/>
          </w:tcPr>
          <w:p w14:paraId="205FCA83" w14:textId="77777777" w:rsidR="00577D08" w:rsidRDefault="00330FC0">
            <w:r>
              <w:rPr>
                <w:rFonts w:hint="eastAsia"/>
              </w:rPr>
              <w:t>胡守天</w:t>
            </w:r>
          </w:p>
        </w:tc>
        <w:tc>
          <w:tcPr>
            <w:tcW w:w="845" w:type="dxa"/>
            <w:vAlign w:val="center"/>
          </w:tcPr>
          <w:p w14:paraId="15E8CB00" w14:textId="77777777" w:rsidR="00577D08" w:rsidRDefault="00330FC0">
            <w:r>
              <w:rPr>
                <w:rFonts w:hint="eastAsia"/>
              </w:rPr>
              <w:t>否</w:t>
            </w:r>
          </w:p>
        </w:tc>
        <w:tc>
          <w:tcPr>
            <w:tcW w:w="1098" w:type="dxa"/>
            <w:vAlign w:val="center"/>
          </w:tcPr>
          <w:p w14:paraId="1EC07673" w14:textId="77777777" w:rsidR="00577D08" w:rsidRDefault="00330FC0">
            <w:pPr>
              <w:jc w:val="right"/>
            </w:pPr>
            <w:r>
              <w:rPr>
                <w:rFonts w:hint="eastAsia"/>
              </w:rPr>
              <w:t>6</w:t>
            </w:r>
          </w:p>
        </w:tc>
        <w:tc>
          <w:tcPr>
            <w:tcW w:w="852" w:type="dxa"/>
            <w:vAlign w:val="center"/>
          </w:tcPr>
          <w:p w14:paraId="588CDD23" w14:textId="77777777" w:rsidR="00577D08" w:rsidRDefault="00330FC0">
            <w:pPr>
              <w:jc w:val="right"/>
            </w:pPr>
            <w:r>
              <w:rPr>
                <w:rFonts w:hint="eastAsia"/>
              </w:rPr>
              <w:t>6</w:t>
            </w:r>
          </w:p>
        </w:tc>
        <w:tc>
          <w:tcPr>
            <w:tcW w:w="968" w:type="dxa"/>
            <w:vAlign w:val="center"/>
          </w:tcPr>
          <w:p w14:paraId="2F0C6CDF" w14:textId="77777777" w:rsidR="00577D08" w:rsidRDefault="00330FC0">
            <w:pPr>
              <w:jc w:val="right"/>
            </w:pPr>
            <w:r>
              <w:t>2</w:t>
            </w:r>
          </w:p>
        </w:tc>
        <w:tc>
          <w:tcPr>
            <w:tcW w:w="904" w:type="dxa"/>
            <w:vAlign w:val="center"/>
          </w:tcPr>
          <w:p w14:paraId="0AB962BC" w14:textId="77777777" w:rsidR="00577D08" w:rsidRDefault="00330FC0">
            <w:pPr>
              <w:jc w:val="right"/>
            </w:pPr>
            <w:r>
              <w:rPr>
                <w:rFonts w:hint="eastAsia"/>
              </w:rPr>
              <w:t>0</w:t>
            </w:r>
          </w:p>
        </w:tc>
        <w:tc>
          <w:tcPr>
            <w:tcW w:w="845" w:type="dxa"/>
            <w:vAlign w:val="center"/>
          </w:tcPr>
          <w:p w14:paraId="050D70DC" w14:textId="77777777" w:rsidR="00577D08" w:rsidRDefault="00330FC0">
            <w:pPr>
              <w:jc w:val="right"/>
            </w:pPr>
            <w:r>
              <w:rPr>
                <w:rFonts w:hint="eastAsia"/>
              </w:rPr>
              <w:t>0</w:t>
            </w:r>
          </w:p>
        </w:tc>
        <w:tc>
          <w:tcPr>
            <w:tcW w:w="1294" w:type="dxa"/>
            <w:vAlign w:val="center"/>
          </w:tcPr>
          <w:p w14:paraId="6FAF61FD" w14:textId="77777777" w:rsidR="00577D08" w:rsidRDefault="00330FC0">
            <w:pPr>
              <w:jc w:val="center"/>
            </w:pPr>
            <w:r>
              <w:rPr>
                <w:rFonts w:ascii="宋体" w:hAnsi="宋体" w:hint="eastAsia"/>
                <w:sz w:val="20"/>
                <w:szCs w:val="20"/>
              </w:rPr>
              <w:t>否</w:t>
            </w:r>
          </w:p>
        </w:tc>
        <w:tc>
          <w:tcPr>
            <w:tcW w:w="1261" w:type="dxa"/>
            <w:vAlign w:val="center"/>
          </w:tcPr>
          <w:p w14:paraId="364F1E59" w14:textId="77777777" w:rsidR="00577D08" w:rsidRDefault="00330FC0">
            <w:pPr>
              <w:jc w:val="right"/>
            </w:pPr>
            <w:r>
              <w:rPr>
                <w:rFonts w:hint="eastAsia"/>
              </w:rPr>
              <w:t>1</w:t>
            </w:r>
          </w:p>
        </w:tc>
      </w:tr>
      <w:tr w:rsidR="00577D08" w14:paraId="2C145C6B" w14:textId="77777777">
        <w:trPr>
          <w:trHeight w:val="77"/>
        </w:trPr>
        <w:tc>
          <w:tcPr>
            <w:tcW w:w="979" w:type="dxa"/>
          </w:tcPr>
          <w:p w14:paraId="4355062D" w14:textId="77777777" w:rsidR="00577D08" w:rsidRDefault="00330FC0">
            <w:r>
              <w:rPr>
                <w:rFonts w:hint="eastAsia"/>
              </w:rPr>
              <w:t>付康</w:t>
            </w:r>
          </w:p>
        </w:tc>
        <w:tc>
          <w:tcPr>
            <w:tcW w:w="845" w:type="dxa"/>
            <w:vAlign w:val="center"/>
          </w:tcPr>
          <w:p w14:paraId="2FDAD33A" w14:textId="77777777" w:rsidR="00577D08" w:rsidRDefault="00330FC0">
            <w:r>
              <w:rPr>
                <w:rFonts w:hint="eastAsia"/>
              </w:rPr>
              <w:t>否</w:t>
            </w:r>
          </w:p>
        </w:tc>
        <w:tc>
          <w:tcPr>
            <w:tcW w:w="1098" w:type="dxa"/>
            <w:vAlign w:val="center"/>
          </w:tcPr>
          <w:p w14:paraId="78E61A9A" w14:textId="77777777" w:rsidR="00577D08" w:rsidRDefault="00330FC0">
            <w:pPr>
              <w:jc w:val="right"/>
            </w:pPr>
            <w:r>
              <w:rPr>
                <w:rFonts w:hint="eastAsia"/>
              </w:rPr>
              <w:t>6</w:t>
            </w:r>
          </w:p>
        </w:tc>
        <w:tc>
          <w:tcPr>
            <w:tcW w:w="852" w:type="dxa"/>
            <w:vAlign w:val="center"/>
          </w:tcPr>
          <w:p w14:paraId="2E97918A" w14:textId="77777777" w:rsidR="00577D08" w:rsidRDefault="00330FC0">
            <w:pPr>
              <w:jc w:val="right"/>
            </w:pPr>
            <w:r>
              <w:rPr>
                <w:rFonts w:hint="eastAsia"/>
              </w:rPr>
              <w:t>6</w:t>
            </w:r>
          </w:p>
        </w:tc>
        <w:tc>
          <w:tcPr>
            <w:tcW w:w="968" w:type="dxa"/>
            <w:vAlign w:val="center"/>
          </w:tcPr>
          <w:p w14:paraId="07B71DE6" w14:textId="77777777" w:rsidR="00577D08" w:rsidRDefault="00330FC0">
            <w:pPr>
              <w:jc w:val="right"/>
            </w:pPr>
            <w:r>
              <w:t>3</w:t>
            </w:r>
          </w:p>
        </w:tc>
        <w:tc>
          <w:tcPr>
            <w:tcW w:w="904" w:type="dxa"/>
            <w:vAlign w:val="center"/>
          </w:tcPr>
          <w:p w14:paraId="1702ADF7" w14:textId="77777777" w:rsidR="00577D08" w:rsidRDefault="00330FC0">
            <w:pPr>
              <w:jc w:val="right"/>
            </w:pPr>
            <w:r>
              <w:rPr>
                <w:rFonts w:hint="eastAsia"/>
              </w:rPr>
              <w:t>0</w:t>
            </w:r>
          </w:p>
        </w:tc>
        <w:tc>
          <w:tcPr>
            <w:tcW w:w="845" w:type="dxa"/>
            <w:vAlign w:val="center"/>
          </w:tcPr>
          <w:p w14:paraId="5CD8930D" w14:textId="77777777" w:rsidR="00577D08" w:rsidRDefault="00330FC0">
            <w:pPr>
              <w:jc w:val="right"/>
            </w:pPr>
            <w:r>
              <w:rPr>
                <w:rFonts w:hint="eastAsia"/>
              </w:rPr>
              <w:t>0</w:t>
            </w:r>
          </w:p>
        </w:tc>
        <w:tc>
          <w:tcPr>
            <w:tcW w:w="1294" w:type="dxa"/>
            <w:vAlign w:val="center"/>
          </w:tcPr>
          <w:p w14:paraId="7B8E4E02" w14:textId="77777777" w:rsidR="00577D08" w:rsidRDefault="00330FC0">
            <w:pPr>
              <w:jc w:val="center"/>
            </w:pPr>
            <w:r>
              <w:rPr>
                <w:rFonts w:ascii="宋体" w:hAnsi="宋体" w:hint="eastAsia"/>
                <w:sz w:val="20"/>
                <w:szCs w:val="20"/>
              </w:rPr>
              <w:t>否</w:t>
            </w:r>
          </w:p>
        </w:tc>
        <w:tc>
          <w:tcPr>
            <w:tcW w:w="1261" w:type="dxa"/>
            <w:vAlign w:val="center"/>
          </w:tcPr>
          <w:p w14:paraId="1D539F56" w14:textId="77777777" w:rsidR="00577D08" w:rsidRDefault="00330FC0">
            <w:pPr>
              <w:jc w:val="right"/>
            </w:pPr>
            <w:r>
              <w:rPr>
                <w:rFonts w:hint="eastAsia"/>
              </w:rPr>
              <w:t>2</w:t>
            </w:r>
          </w:p>
        </w:tc>
      </w:tr>
      <w:tr w:rsidR="00577D08" w14:paraId="65407FCD" w14:textId="77777777">
        <w:trPr>
          <w:trHeight w:val="77"/>
        </w:trPr>
        <w:tc>
          <w:tcPr>
            <w:tcW w:w="979" w:type="dxa"/>
          </w:tcPr>
          <w:p w14:paraId="242A34DD" w14:textId="77777777" w:rsidR="00577D08" w:rsidRDefault="00330FC0">
            <w:r>
              <w:rPr>
                <w:rFonts w:hint="eastAsia"/>
              </w:rPr>
              <w:t>王海波</w:t>
            </w:r>
          </w:p>
        </w:tc>
        <w:tc>
          <w:tcPr>
            <w:tcW w:w="845" w:type="dxa"/>
            <w:vAlign w:val="center"/>
          </w:tcPr>
          <w:p w14:paraId="023ABA69" w14:textId="77777777" w:rsidR="00577D08" w:rsidRDefault="00330FC0">
            <w:r>
              <w:rPr>
                <w:rFonts w:hint="eastAsia"/>
              </w:rPr>
              <w:t>否</w:t>
            </w:r>
          </w:p>
        </w:tc>
        <w:tc>
          <w:tcPr>
            <w:tcW w:w="1098" w:type="dxa"/>
            <w:vAlign w:val="center"/>
          </w:tcPr>
          <w:p w14:paraId="220E037F" w14:textId="77777777" w:rsidR="00577D08" w:rsidRDefault="00330FC0">
            <w:pPr>
              <w:jc w:val="right"/>
            </w:pPr>
            <w:r>
              <w:rPr>
                <w:rFonts w:hint="eastAsia"/>
              </w:rPr>
              <w:t>6</w:t>
            </w:r>
          </w:p>
        </w:tc>
        <w:tc>
          <w:tcPr>
            <w:tcW w:w="852" w:type="dxa"/>
            <w:vAlign w:val="center"/>
          </w:tcPr>
          <w:p w14:paraId="0EA8DF35" w14:textId="77777777" w:rsidR="00577D08" w:rsidRDefault="00330FC0">
            <w:pPr>
              <w:jc w:val="right"/>
            </w:pPr>
            <w:r>
              <w:rPr>
                <w:rFonts w:hint="eastAsia"/>
              </w:rPr>
              <w:t>6</w:t>
            </w:r>
          </w:p>
        </w:tc>
        <w:tc>
          <w:tcPr>
            <w:tcW w:w="968" w:type="dxa"/>
            <w:vAlign w:val="center"/>
          </w:tcPr>
          <w:p w14:paraId="7F87A3FB" w14:textId="77777777" w:rsidR="00577D08" w:rsidRDefault="00330FC0">
            <w:pPr>
              <w:jc w:val="right"/>
            </w:pPr>
            <w:r>
              <w:t>5</w:t>
            </w:r>
          </w:p>
        </w:tc>
        <w:tc>
          <w:tcPr>
            <w:tcW w:w="904" w:type="dxa"/>
            <w:vAlign w:val="center"/>
          </w:tcPr>
          <w:p w14:paraId="11AAC913" w14:textId="77777777" w:rsidR="00577D08" w:rsidRDefault="00330FC0">
            <w:pPr>
              <w:jc w:val="right"/>
            </w:pPr>
            <w:r>
              <w:rPr>
                <w:rFonts w:hint="eastAsia"/>
              </w:rPr>
              <w:t>0</w:t>
            </w:r>
          </w:p>
        </w:tc>
        <w:tc>
          <w:tcPr>
            <w:tcW w:w="845" w:type="dxa"/>
            <w:vAlign w:val="center"/>
          </w:tcPr>
          <w:p w14:paraId="5FF09F2A" w14:textId="77777777" w:rsidR="00577D08" w:rsidRDefault="00330FC0">
            <w:pPr>
              <w:jc w:val="right"/>
            </w:pPr>
            <w:r>
              <w:rPr>
                <w:rFonts w:hint="eastAsia"/>
              </w:rPr>
              <w:t>0</w:t>
            </w:r>
          </w:p>
        </w:tc>
        <w:tc>
          <w:tcPr>
            <w:tcW w:w="1294" w:type="dxa"/>
            <w:vAlign w:val="center"/>
          </w:tcPr>
          <w:p w14:paraId="2D16F01E" w14:textId="77777777" w:rsidR="00577D08" w:rsidRDefault="00330FC0">
            <w:pPr>
              <w:jc w:val="center"/>
            </w:pPr>
            <w:r>
              <w:rPr>
                <w:rFonts w:ascii="宋体" w:hAnsi="宋体" w:hint="eastAsia"/>
                <w:sz w:val="20"/>
                <w:szCs w:val="20"/>
              </w:rPr>
              <w:t>否</w:t>
            </w:r>
          </w:p>
        </w:tc>
        <w:tc>
          <w:tcPr>
            <w:tcW w:w="1261" w:type="dxa"/>
            <w:vAlign w:val="center"/>
          </w:tcPr>
          <w:p w14:paraId="64066AEA" w14:textId="77777777" w:rsidR="00577D08" w:rsidRDefault="00330FC0">
            <w:pPr>
              <w:jc w:val="right"/>
            </w:pPr>
            <w:r>
              <w:rPr>
                <w:rFonts w:hint="eastAsia"/>
              </w:rPr>
              <w:t>2</w:t>
            </w:r>
          </w:p>
        </w:tc>
      </w:tr>
      <w:tr w:rsidR="00577D08" w14:paraId="1F1DFAFC" w14:textId="77777777">
        <w:trPr>
          <w:trHeight w:val="77"/>
        </w:trPr>
        <w:tc>
          <w:tcPr>
            <w:tcW w:w="979" w:type="dxa"/>
          </w:tcPr>
          <w:p w14:paraId="7673D1C8" w14:textId="77777777" w:rsidR="00577D08" w:rsidRDefault="00330FC0">
            <w:bookmarkStart w:id="174" w:name="OLE_LINK58"/>
            <w:bookmarkEnd w:id="173"/>
            <w:r>
              <w:rPr>
                <w:rFonts w:hint="eastAsia"/>
              </w:rPr>
              <w:t>皮统政</w:t>
            </w:r>
            <w:bookmarkEnd w:id="174"/>
          </w:p>
        </w:tc>
        <w:tc>
          <w:tcPr>
            <w:tcW w:w="845" w:type="dxa"/>
            <w:vAlign w:val="center"/>
          </w:tcPr>
          <w:p w14:paraId="5443DE97" w14:textId="77777777" w:rsidR="00577D08" w:rsidRDefault="00330FC0">
            <w:r>
              <w:rPr>
                <w:rFonts w:hint="eastAsia"/>
              </w:rPr>
              <w:t>否</w:t>
            </w:r>
          </w:p>
        </w:tc>
        <w:tc>
          <w:tcPr>
            <w:tcW w:w="1098" w:type="dxa"/>
            <w:vAlign w:val="center"/>
          </w:tcPr>
          <w:p w14:paraId="4ABF274A" w14:textId="77777777" w:rsidR="00577D08" w:rsidRDefault="00330FC0">
            <w:pPr>
              <w:jc w:val="right"/>
            </w:pPr>
            <w:r>
              <w:rPr>
                <w:rFonts w:hint="eastAsia"/>
              </w:rPr>
              <w:t>6</w:t>
            </w:r>
          </w:p>
        </w:tc>
        <w:tc>
          <w:tcPr>
            <w:tcW w:w="852" w:type="dxa"/>
            <w:vAlign w:val="center"/>
          </w:tcPr>
          <w:p w14:paraId="225312F5" w14:textId="77777777" w:rsidR="00577D08" w:rsidRDefault="00330FC0">
            <w:pPr>
              <w:jc w:val="right"/>
            </w:pPr>
            <w:r>
              <w:rPr>
                <w:rFonts w:hint="eastAsia"/>
              </w:rPr>
              <w:t>6</w:t>
            </w:r>
          </w:p>
        </w:tc>
        <w:tc>
          <w:tcPr>
            <w:tcW w:w="968" w:type="dxa"/>
            <w:vAlign w:val="center"/>
          </w:tcPr>
          <w:p w14:paraId="680B0902" w14:textId="77777777" w:rsidR="00577D08" w:rsidRDefault="00330FC0">
            <w:pPr>
              <w:jc w:val="right"/>
            </w:pPr>
            <w:r>
              <w:t>4</w:t>
            </w:r>
          </w:p>
        </w:tc>
        <w:tc>
          <w:tcPr>
            <w:tcW w:w="904" w:type="dxa"/>
            <w:vAlign w:val="center"/>
          </w:tcPr>
          <w:p w14:paraId="0A6580EC" w14:textId="77777777" w:rsidR="00577D08" w:rsidRDefault="00330FC0">
            <w:pPr>
              <w:jc w:val="right"/>
            </w:pPr>
            <w:r>
              <w:rPr>
                <w:rFonts w:hint="eastAsia"/>
              </w:rPr>
              <w:t>0</w:t>
            </w:r>
          </w:p>
        </w:tc>
        <w:tc>
          <w:tcPr>
            <w:tcW w:w="845" w:type="dxa"/>
            <w:vAlign w:val="center"/>
          </w:tcPr>
          <w:p w14:paraId="730FA67D" w14:textId="77777777" w:rsidR="00577D08" w:rsidRDefault="00330FC0">
            <w:pPr>
              <w:jc w:val="right"/>
            </w:pPr>
            <w:r>
              <w:rPr>
                <w:rFonts w:hint="eastAsia"/>
              </w:rPr>
              <w:t>0</w:t>
            </w:r>
          </w:p>
        </w:tc>
        <w:tc>
          <w:tcPr>
            <w:tcW w:w="1294" w:type="dxa"/>
            <w:vAlign w:val="center"/>
          </w:tcPr>
          <w:p w14:paraId="3A72F190" w14:textId="77777777" w:rsidR="00577D08" w:rsidRDefault="00330FC0">
            <w:pPr>
              <w:jc w:val="center"/>
            </w:pPr>
            <w:r>
              <w:rPr>
                <w:rFonts w:ascii="宋体" w:hAnsi="宋体" w:hint="eastAsia"/>
                <w:sz w:val="20"/>
                <w:szCs w:val="20"/>
              </w:rPr>
              <w:t>否</w:t>
            </w:r>
          </w:p>
        </w:tc>
        <w:tc>
          <w:tcPr>
            <w:tcW w:w="1261" w:type="dxa"/>
            <w:vAlign w:val="center"/>
          </w:tcPr>
          <w:p w14:paraId="66A9E75E" w14:textId="77777777" w:rsidR="00577D08" w:rsidRDefault="00330FC0">
            <w:pPr>
              <w:jc w:val="right"/>
            </w:pPr>
            <w:r>
              <w:rPr>
                <w:rFonts w:hint="eastAsia"/>
              </w:rPr>
              <w:t>2</w:t>
            </w:r>
          </w:p>
        </w:tc>
      </w:tr>
      <w:tr w:rsidR="00577D08" w14:paraId="3A9DB93B" w14:textId="77777777">
        <w:trPr>
          <w:trHeight w:val="77"/>
        </w:trPr>
        <w:tc>
          <w:tcPr>
            <w:tcW w:w="979" w:type="dxa"/>
          </w:tcPr>
          <w:p w14:paraId="5C32565C" w14:textId="77777777" w:rsidR="00577D08" w:rsidRDefault="00330FC0">
            <w:r>
              <w:rPr>
                <w:rFonts w:hint="eastAsia"/>
              </w:rPr>
              <w:t>赵宇</w:t>
            </w:r>
          </w:p>
        </w:tc>
        <w:tc>
          <w:tcPr>
            <w:tcW w:w="845" w:type="dxa"/>
            <w:vAlign w:val="center"/>
          </w:tcPr>
          <w:p w14:paraId="1227E5D6" w14:textId="77777777" w:rsidR="00577D08" w:rsidRDefault="00330FC0">
            <w:r>
              <w:rPr>
                <w:rFonts w:hint="eastAsia"/>
              </w:rPr>
              <w:t>是</w:t>
            </w:r>
          </w:p>
        </w:tc>
        <w:tc>
          <w:tcPr>
            <w:tcW w:w="1098" w:type="dxa"/>
            <w:vAlign w:val="center"/>
          </w:tcPr>
          <w:p w14:paraId="1FA8F120" w14:textId="77777777" w:rsidR="00577D08" w:rsidRDefault="00330FC0">
            <w:pPr>
              <w:jc w:val="right"/>
            </w:pPr>
            <w:r>
              <w:rPr>
                <w:rFonts w:hint="eastAsia"/>
              </w:rPr>
              <w:t>6</w:t>
            </w:r>
          </w:p>
        </w:tc>
        <w:tc>
          <w:tcPr>
            <w:tcW w:w="852" w:type="dxa"/>
            <w:vAlign w:val="center"/>
          </w:tcPr>
          <w:p w14:paraId="2F371CD0" w14:textId="77777777" w:rsidR="00577D08" w:rsidRDefault="00330FC0">
            <w:pPr>
              <w:jc w:val="right"/>
            </w:pPr>
            <w:r>
              <w:rPr>
                <w:rFonts w:hint="eastAsia"/>
              </w:rPr>
              <w:t>6</w:t>
            </w:r>
          </w:p>
        </w:tc>
        <w:tc>
          <w:tcPr>
            <w:tcW w:w="968" w:type="dxa"/>
            <w:vAlign w:val="center"/>
          </w:tcPr>
          <w:p w14:paraId="70591646" w14:textId="77777777" w:rsidR="00577D08" w:rsidRDefault="00330FC0">
            <w:pPr>
              <w:jc w:val="right"/>
            </w:pPr>
            <w:r>
              <w:t>6</w:t>
            </w:r>
          </w:p>
        </w:tc>
        <w:tc>
          <w:tcPr>
            <w:tcW w:w="904" w:type="dxa"/>
            <w:vAlign w:val="center"/>
          </w:tcPr>
          <w:p w14:paraId="24B87CE8" w14:textId="77777777" w:rsidR="00577D08" w:rsidRDefault="00330FC0">
            <w:pPr>
              <w:jc w:val="right"/>
            </w:pPr>
            <w:r>
              <w:rPr>
                <w:rFonts w:hint="eastAsia"/>
              </w:rPr>
              <w:t>0</w:t>
            </w:r>
          </w:p>
        </w:tc>
        <w:tc>
          <w:tcPr>
            <w:tcW w:w="845" w:type="dxa"/>
            <w:vAlign w:val="center"/>
          </w:tcPr>
          <w:p w14:paraId="549CA553" w14:textId="77777777" w:rsidR="00577D08" w:rsidRDefault="00330FC0">
            <w:pPr>
              <w:jc w:val="right"/>
            </w:pPr>
            <w:r>
              <w:rPr>
                <w:rFonts w:hint="eastAsia"/>
              </w:rPr>
              <w:t>0</w:t>
            </w:r>
          </w:p>
        </w:tc>
        <w:tc>
          <w:tcPr>
            <w:tcW w:w="1294" w:type="dxa"/>
            <w:vAlign w:val="center"/>
          </w:tcPr>
          <w:p w14:paraId="187F4137" w14:textId="77777777" w:rsidR="00577D08" w:rsidRDefault="00330FC0">
            <w:pPr>
              <w:jc w:val="center"/>
            </w:pPr>
            <w:r>
              <w:rPr>
                <w:rFonts w:ascii="宋体" w:hAnsi="宋体" w:hint="eastAsia"/>
                <w:sz w:val="20"/>
                <w:szCs w:val="20"/>
              </w:rPr>
              <w:t>否</w:t>
            </w:r>
          </w:p>
        </w:tc>
        <w:tc>
          <w:tcPr>
            <w:tcW w:w="1261" w:type="dxa"/>
            <w:vAlign w:val="center"/>
          </w:tcPr>
          <w:p w14:paraId="64F58936" w14:textId="77777777" w:rsidR="00577D08" w:rsidRDefault="00330FC0">
            <w:pPr>
              <w:jc w:val="right"/>
            </w:pPr>
            <w:r>
              <w:rPr>
                <w:rFonts w:hint="eastAsia"/>
              </w:rPr>
              <w:t>2</w:t>
            </w:r>
          </w:p>
        </w:tc>
      </w:tr>
      <w:tr w:rsidR="00577D08" w14:paraId="3E680D21" w14:textId="77777777">
        <w:trPr>
          <w:trHeight w:val="77"/>
        </w:trPr>
        <w:tc>
          <w:tcPr>
            <w:tcW w:w="979" w:type="dxa"/>
          </w:tcPr>
          <w:p w14:paraId="4FD7D364" w14:textId="77777777" w:rsidR="00577D08" w:rsidRDefault="00330FC0">
            <w:r>
              <w:rPr>
                <w:rFonts w:hint="eastAsia"/>
              </w:rPr>
              <w:t>沈江</w:t>
            </w:r>
          </w:p>
        </w:tc>
        <w:tc>
          <w:tcPr>
            <w:tcW w:w="845" w:type="dxa"/>
            <w:vAlign w:val="center"/>
          </w:tcPr>
          <w:p w14:paraId="25D57DB2" w14:textId="77777777" w:rsidR="00577D08" w:rsidRDefault="00330FC0">
            <w:r>
              <w:rPr>
                <w:rFonts w:hint="eastAsia"/>
              </w:rPr>
              <w:t>是</w:t>
            </w:r>
          </w:p>
        </w:tc>
        <w:tc>
          <w:tcPr>
            <w:tcW w:w="1098" w:type="dxa"/>
            <w:vAlign w:val="center"/>
          </w:tcPr>
          <w:p w14:paraId="0A43CB64" w14:textId="77777777" w:rsidR="00577D08" w:rsidRDefault="00330FC0">
            <w:pPr>
              <w:jc w:val="right"/>
            </w:pPr>
            <w:r>
              <w:rPr>
                <w:rFonts w:hint="eastAsia"/>
              </w:rPr>
              <w:t>6</w:t>
            </w:r>
          </w:p>
        </w:tc>
        <w:tc>
          <w:tcPr>
            <w:tcW w:w="852" w:type="dxa"/>
            <w:vAlign w:val="center"/>
          </w:tcPr>
          <w:p w14:paraId="65DE77DE" w14:textId="77777777" w:rsidR="00577D08" w:rsidRDefault="00330FC0">
            <w:pPr>
              <w:jc w:val="right"/>
            </w:pPr>
            <w:r>
              <w:rPr>
                <w:rFonts w:hint="eastAsia"/>
              </w:rPr>
              <w:t>6</w:t>
            </w:r>
          </w:p>
        </w:tc>
        <w:tc>
          <w:tcPr>
            <w:tcW w:w="968" w:type="dxa"/>
            <w:vAlign w:val="center"/>
          </w:tcPr>
          <w:p w14:paraId="22A976DD" w14:textId="77777777" w:rsidR="00577D08" w:rsidRDefault="00330FC0">
            <w:pPr>
              <w:jc w:val="right"/>
            </w:pPr>
            <w:r>
              <w:t>5</w:t>
            </w:r>
          </w:p>
        </w:tc>
        <w:tc>
          <w:tcPr>
            <w:tcW w:w="904" w:type="dxa"/>
            <w:vAlign w:val="center"/>
          </w:tcPr>
          <w:p w14:paraId="5A41AF63" w14:textId="77777777" w:rsidR="00577D08" w:rsidRDefault="00330FC0">
            <w:pPr>
              <w:jc w:val="right"/>
            </w:pPr>
            <w:r>
              <w:rPr>
                <w:rFonts w:hint="eastAsia"/>
              </w:rPr>
              <w:t>0</w:t>
            </w:r>
          </w:p>
        </w:tc>
        <w:tc>
          <w:tcPr>
            <w:tcW w:w="845" w:type="dxa"/>
            <w:vAlign w:val="center"/>
          </w:tcPr>
          <w:p w14:paraId="24F23E29" w14:textId="77777777" w:rsidR="00577D08" w:rsidRDefault="00330FC0">
            <w:pPr>
              <w:jc w:val="right"/>
            </w:pPr>
            <w:r>
              <w:rPr>
                <w:rFonts w:hint="eastAsia"/>
              </w:rPr>
              <w:t>0</w:t>
            </w:r>
          </w:p>
        </w:tc>
        <w:tc>
          <w:tcPr>
            <w:tcW w:w="1294" w:type="dxa"/>
            <w:vAlign w:val="center"/>
          </w:tcPr>
          <w:p w14:paraId="7C477286" w14:textId="77777777" w:rsidR="00577D08" w:rsidRDefault="00330FC0">
            <w:pPr>
              <w:jc w:val="center"/>
            </w:pPr>
            <w:r>
              <w:rPr>
                <w:rFonts w:ascii="宋体" w:hAnsi="宋体" w:hint="eastAsia"/>
                <w:sz w:val="20"/>
                <w:szCs w:val="20"/>
              </w:rPr>
              <w:t>否</w:t>
            </w:r>
          </w:p>
        </w:tc>
        <w:tc>
          <w:tcPr>
            <w:tcW w:w="1261" w:type="dxa"/>
            <w:vAlign w:val="center"/>
          </w:tcPr>
          <w:p w14:paraId="5C017165" w14:textId="77777777" w:rsidR="00577D08" w:rsidRDefault="00330FC0">
            <w:pPr>
              <w:jc w:val="right"/>
            </w:pPr>
            <w:r>
              <w:rPr>
                <w:rFonts w:hint="eastAsia"/>
              </w:rPr>
              <w:t>1</w:t>
            </w:r>
          </w:p>
        </w:tc>
      </w:tr>
      <w:tr w:rsidR="00577D08" w14:paraId="70BBFBE9" w14:textId="77777777">
        <w:trPr>
          <w:trHeight w:val="77"/>
        </w:trPr>
        <w:tc>
          <w:tcPr>
            <w:tcW w:w="979" w:type="dxa"/>
          </w:tcPr>
          <w:p w14:paraId="38CC71DF" w14:textId="77777777" w:rsidR="00577D08" w:rsidRDefault="00330FC0">
            <w:r>
              <w:rPr>
                <w:rFonts w:hint="eastAsia"/>
              </w:rPr>
              <w:t>王勇</w:t>
            </w:r>
          </w:p>
        </w:tc>
        <w:sdt>
          <w:sdtPr>
            <w:rPr>
              <w:rFonts w:hint="eastAsia"/>
            </w:rPr>
            <w:alias w:val="董事参加董事会的出席情况明细-是否独立董事"/>
            <w:tag w:val="_GBC_8f65cf2d483747a58ee92c8a36ee6375"/>
            <w:id w:val="-194933980"/>
            <w:comboBox>
              <w:listItem w:displayText="是" w:value="true"/>
              <w:listItem w:displayText="否" w:value="false"/>
            </w:comboBox>
          </w:sdtPr>
          <w:sdtContent>
            <w:tc>
              <w:tcPr>
                <w:tcW w:w="845" w:type="dxa"/>
                <w:vAlign w:val="center"/>
              </w:tcPr>
              <w:p w14:paraId="16394B69" w14:textId="77777777" w:rsidR="00577D08" w:rsidRDefault="00330FC0">
                <w:r>
                  <w:rPr>
                    <w:rFonts w:hint="eastAsia"/>
                  </w:rPr>
                  <w:t>是</w:t>
                </w:r>
              </w:p>
            </w:tc>
          </w:sdtContent>
        </w:sdt>
        <w:tc>
          <w:tcPr>
            <w:tcW w:w="1098" w:type="dxa"/>
            <w:vAlign w:val="center"/>
          </w:tcPr>
          <w:p w14:paraId="2F0EB4FE" w14:textId="77777777" w:rsidR="00577D08" w:rsidRDefault="00330FC0">
            <w:pPr>
              <w:jc w:val="right"/>
            </w:pPr>
            <w:r>
              <w:rPr>
                <w:rFonts w:hint="eastAsia"/>
              </w:rPr>
              <w:t>6</w:t>
            </w:r>
          </w:p>
        </w:tc>
        <w:tc>
          <w:tcPr>
            <w:tcW w:w="852" w:type="dxa"/>
            <w:vAlign w:val="center"/>
          </w:tcPr>
          <w:p w14:paraId="62423070" w14:textId="77777777" w:rsidR="00577D08" w:rsidRDefault="00330FC0">
            <w:pPr>
              <w:jc w:val="right"/>
            </w:pPr>
            <w:r>
              <w:rPr>
                <w:rFonts w:hint="eastAsia"/>
              </w:rPr>
              <w:t>6</w:t>
            </w:r>
          </w:p>
        </w:tc>
        <w:tc>
          <w:tcPr>
            <w:tcW w:w="968" w:type="dxa"/>
            <w:vAlign w:val="center"/>
          </w:tcPr>
          <w:p w14:paraId="2049336C" w14:textId="77777777" w:rsidR="00577D08" w:rsidRDefault="00330FC0">
            <w:pPr>
              <w:jc w:val="right"/>
            </w:pPr>
            <w:r>
              <w:t>6</w:t>
            </w:r>
          </w:p>
        </w:tc>
        <w:tc>
          <w:tcPr>
            <w:tcW w:w="904" w:type="dxa"/>
            <w:vAlign w:val="center"/>
          </w:tcPr>
          <w:p w14:paraId="33467DF1" w14:textId="77777777" w:rsidR="00577D08" w:rsidRDefault="00330FC0">
            <w:pPr>
              <w:jc w:val="right"/>
            </w:pPr>
            <w:r>
              <w:rPr>
                <w:rFonts w:hint="eastAsia"/>
              </w:rPr>
              <w:t>0</w:t>
            </w:r>
          </w:p>
        </w:tc>
        <w:tc>
          <w:tcPr>
            <w:tcW w:w="845" w:type="dxa"/>
            <w:vAlign w:val="center"/>
          </w:tcPr>
          <w:p w14:paraId="325A59DF" w14:textId="77777777" w:rsidR="00577D08" w:rsidRDefault="00330FC0">
            <w:pPr>
              <w:jc w:val="right"/>
            </w:pPr>
            <w:r>
              <w:rPr>
                <w:rFonts w:hint="eastAsia"/>
              </w:rPr>
              <w:t>0</w:t>
            </w:r>
          </w:p>
        </w:tc>
        <w:tc>
          <w:tcPr>
            <w:tcW w:w="1294" w:type="dxa"/>
            <w:vAlign w:val="center"/>
          </w:tcPr>
          <w:sdt>
            <w:sdtPr>
              <w:rPr>
                <w:sz w:val="20"/>
                <w:szCs w:val="20"/>
              </w:rPr>
              <w:alias w:val="董事参加董事会的出席情况明细-是否连续两次未亲自参加会议"/>
              <w:tag w:val="_GBC_4748dc7c4f9b495f9d97d5c22a5e08e6"/>
              <w:id w:val="2130200568"/>
              <w:comboBox>
                <w:listItem w:displayText="是" w:value="true"/>
                <w:listItem w:displayText="否" w:value="false"/>
              </w:comboBox>
            </w:sdtPr>
            <w:sdtContent>
              <w:p w14:paraId="4F369940" w14:textId="77777777" w:rsidR="00577D08" w:rsidRDefault="00330FC0">
                <w:pPr>
                  <w:jc w:val="center"/>
                </w:pPr>
                <w:r>
                  <w:rPr>
                    <w:sz w:val="20"/>
                    <w:szCs w:val="20"/>
                  </w:rPr>
                  <w:t>否</w:t>
                </w:r>
              </w:p>
            </w:sdtContent>
          </w:sdt>
        </w:tc>
        <w:tc>
          <w:tcPr>
            <w:tcW w:w="1261" w:type="dxa"/>
            <w:vAlign w:val="center"/>
          </w:tcPr>
          <w:p w14:paraId="7CA212E6" w14:textId="77777777" w:rsidR="00577D08" w:rsidRDefault="00330FC0">
            <w:pPr>
              <w:jc w:val="right"/>
            </w:pPr>
            <w:r>
              <w:rPr>
                <w:rFonts w:hint="eastAsia"/>
              </w:rPr>
              <w:t>2</w:t>
            </w:r>
          </w:p>
        </w:tc>
      </w:tr>
    </w:tbl>
    <w:p w14:paraId="76BC0B4F" w14:textId="77777777" w:rsidR="00577D08" w:rsidRDefault="00330FC0">
      <w:r>
        <w:t>连续两次未亲自出席董事会会议的说明</w:t>
      </w:r>
    </w:p>
    <w:sdt>
      <w:sdtPr>
        <w:alias w:val="是否适用：连续两次未亲自出席董事会会议的说明[双击切换]"/>
        <w:tag w:val="_GBC_866534c9760844d1a6f6fa69c39ae52d"/>
        <w:id w:val="-625704188"/>
        <w:placeholder>
          <w:docPart w:val="GBC22222222222222222222222222222"/>
        </w:placeholder>
      </w:sdtPr>
      <w:sdtContent>
        <w:p w14:paraId="270AC4AB"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327AE68" w14:textId="77777777" w:rsidR="00577D08" w:rsidRDefault="00577D08"/>
    <w:tbl>
      <w:tblPr>
        <w:tblStyle w:val="aff2"/>
        <w:tblW w:w="0" w:type="auto"/>
        <w:tblLayout w:type="fixed"/>
        <w:tblLook w:val="04A0" w:firstRow="1" w:lastRow="0" w:firstColumn="1" w:lastColumn="0" w:noHBand="0" w:noVBand="1"/>
      </w:tblPr>
      <w:tblGrid>
        <w:gridCol w:w="4524"/>
        <w:gridCol w:w="4525"/>
      </w:tblGrid>
      <w:tr w:rsidR="00577D08" w14:paraId="4367B29F" w14:textId="77777777">
        <w:sdt>
          <w:sdtPr>
            <w:tag w:val="_PLD_0fc68bf164f04edda97a907df4cc747d"/>
            <w:id w:val="1451125585"/>
          </w:sdtPr>
          <w:sdtEndPr>
            <w:rPr>
              <w:szCs w:val="20"/>
            </w:rPr>
          </w:sdtEndPr>
          <w:sdtContent>
            <w:tc>
              <w:tcPr>
                <w:tcW w:w="4524" w:type="dxa"/>
                <w:vAlign w:val="center"/>
              </w:tcPr>
              <w:p w14:paraId="045AC744" w14:textId="77777777" w:rsidR="00577D08" w:rsidRDefault="00330FC0">
                <w:r>
                  <w:t>年内召开董事会会议次数</w:t>
                </w:r>
              </w:p>
            </w:tc>
          </w:sdtContent>
        </w:sdt>
        <w:sdt>
          <w:sdtPr>
            <w:rPr>
              <w:rFonts w:hint="eastAsia"/>
            </w:rPr>
            <w:alias w:val="报告期内召开董事会会议次数"/>
            <w:tag w:val="_GBC_cabd294ab90e40d0afb59e61df002667"/>
            <w:id w:val="1628043533"/>
          </w:sdtPr>
          <w:sdtContent>
            <w:tc>
              <w:tcPr>
                <w:tcW w:w="4525" w:type="dxa"/>
                <w:vAlign w:val="center"/>
              </w:tcPr>
              <w:p w14:paraId="299B3C5E" w14:textId="77777777" w:rsidR="00577D08" w:rsidRDefault="00330FC0">
                <w:pPr>
                  <w:jc w:val="right"/>
                </w:pPr>
                <w:r>
                  <w:t>6</w:t>
                </w:r>
              </w:p>
            </w:tc>
          </w:sdtContent>
        </w:sdt>
      </w:tr>
      <w:tr w:rsidR="00577D08" w14:paraId="63556632" w14:textId="77777777">
        <w:tc>
          <w:tcPr>
            <w:tcW w:w="4524" w:type="dxa"/>
            <w:vAlign w:val="center"/>
          </w:tcPr>
          <w:p w14:paraId="7C3C5ABF" w14:textId="77777777" w:rsidR="00577D08" w:rsidRDefault="00330FC0">
            <w:r>
              <w:t>其中：现场会议次数</w:t>
            </w:r>
          </w:p>
        </w:tc>
        <w:tc>
          <w:tcPr>
            <w:tcW w:w="4525" w:type="dxa"/>
            <w:vAlign w:val="center"/>
          </w:tcPr>
          <w:p w14:paraId="32723B30" w14:textId="77777777" w:rsidR="00577D08" w:rsidRDefault="00330FC0">
            <w:pPr>
              <w:jc w:val="right"/>
            </w:pPr>
            <w:r>
              <w:rPr>
                <w:rFonts w:hint="eastAsia"/>
              </w:rPr>
              <w:t>6</w:t>
            </w:r>
          </w:p>
        </w:tc>
      </w:tr>
      <w:tr w:rsidR="00577D08" w14:paraId="370120A5" w14:textId="77777777">
        <w:tc>
          <w:tcPr>
            <w:tcW w:w="4524" w:type="dxa"/>
            <w:vAlign w:val="center"/>
          </w:tcPr>
          <w:p w14:paraId="5E3E6A1F" w14:textId="77777777" w:rsidR="00577D08" w:rsidRDefault="00330FC0">
            <w:r>
              <w:t>通讯方式召开会议次数</w:t>
            </w:r>
          </w:p>
        </w:tc>
        <w:tc>
          <w:tcPr>
            <w:tcW w:w="4525" w:type="dxa"/>
            <w:vAlign w:val="center"/>
          </w:tcPr>
          <w:p w14:paraId="1B7A1EED" w14:textId="77777777" w:rsidR="00577D08" w:rsidRDefault="00330FC0">
            <w:pPr>
              <w:jc w:val="right"/>
            </w:pPr>
            <w:r>
              <w:rPr>
                <w:rFonts w:hint="eastAsia"/>
              </w:rPr>
              <w:t>0</w:t>
            </w:r>
          </w:p>
        </w:tc>
      </w:tr>
      <w:tr w:rsidR="00577D08" w14:paraId="13AF7FCA" w14:textId="77777777">
        <w:tc>
          <w:tcPr>
            <w:tcW w:w="4524" w:type="dxa"/>
            <w:vAlign w:val="center"/>
          </w:tcPr>
          <w:p w14:paraId="414E3CC6" w14:textId="77777777" w:rsidR="00577D08" w:rsidRDefault="00330FC0">
            <w:r>
              <w:t>现场结合通讯方式召开会议次数</w:t>
            </w:r>
          </w:p>
        </w:tc>
        <w:tc>
          <w:tcPr>
            <w:tcW w:w="4525" w:type="dxa"/>
            <w:vAlign w:val="center"/>
          </w:tcPr>
          <w:p w14:paraId="717E41CE" w14:textId="77777777" w:rsidR="00577D08" w:rsidRDefault="00330FC0">
            <w:pPr>
              <w:jc w:val="right"/>
            </w:pPr>
            <w:r>
              <w:rPr>
                <w:rFonts w:hint="eastAsia"/>
              </w:rPr>
              <w:t>6</w:t>
            </w:r>
          </w:p>
        </w:tc>
      </w:tr>
    </w:tbl>
    <w:p w14:paraId="4EC616EA" w14:textId="77777777" w:rsidR="00577D08" w:rsidRDefault="00330FC0">
      <w:pPr>
        <w:pStyle w:val="3"/>
        <w:numPr>
          <w:ilvl w:val="0"/>
          <w:numId w:val="21"/>
        </w:numPr>
        <w:rPr>
          <w:szCs w:val="21"/>
        </w:rPr>
      </w:pPr>
      <w:r>
        <w:rPr>
          <w:szCs w:val="21"/>
        </w:rPr>
        <w:t>董事对公司有关事项提出异议的情况</w:t>
      </w:r>
    </w:p>
    <w:sdt>
      <w:sdtPr>
        <w:alias w:val="是否适用：独立董事对公司有关事项提出异议的情况[双击切换]"/>
        <w:tag w:val="_GBC_1369df39a53747ff843be7f892cb0cbd"/>
        <w:id w:val="-589151854"/>
        <w:placeholder>
          <w:docPart w:val="GBC22222222222222222222222222222"/>
        </w:placeholder>
      </w:sdtPr>
      <w:sdtContent>
        <w:p w14:paraId="2069E122"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8EE8BD4" w14:textId="77777777" w:rsidR="00577D08" w:rsidRDefault="00330FC0">
      <w:pPr>
        <w:pStyle w:val="3"/>
        <w:numPr>
          <w:ilvl w:val="0"/>
          <w:numId w:val="21"/>
        </w:numPr>
        <w:rPr>
          <w:szCs w:val="21"/>
        </w:rPr>
      </w:pPr>
      <w:r>
        <w:rPr>
          <w:szCs w:val="21"/>
        </w:rPr>
        <w:t>其他</w:t>
      </w:r>
    </w:p>
    <w:sdt>
      <w:sdtPr>
        <w:rPr>
          <w:rFonts w:hint="eastAsia"/>
        </w:rPr>
        <w:alias w:val="是否适用：其他董事履行职责情况说明[双击切换]"/>
        <w:tag w:val="_GBC_ba1a70dda14046559f72c5b524ca1125"/>
        <w:id w:val="-1292519276"/>
        <w:placeholder>
          <w:docPart w:val="GBC22222222222222222222222222222"/>
        </w:placeholder>
      </w:sdtPr>
      <w:sdtContent>
        <w:p w14:paraId="1276F98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94F0AF3" w14:textId="77777777" w:rsidR="00577D08" w:rsidRDefault="00330FC0">
      <w:pPr>
        <w:pStyle w:val="2"/>
        <w:numPr>
          <w:ilvl w:val="0"/>
          <w:numId w:val="18"/>
        </w:numPr>
      </w:pPr>
      <w:r>
        <w:rPr>
          <w:rFonts w:hint="eastAsia"/>
        </w:rPr>
        <w:t>董事会下设专门委员会情况</w:t>
      </w:r>
    </w:p>
    <w:sdt>
      <w:sdtPr>
        <w:rPr>
          <w:rFonts w:hint="eastAsia"/>
        </w:rPr>
        <w:alias w:val="是否适用：董事会下设专门委员会情况[双击切换]"/>
        <w:tag w:val="_GBC_88389a2d52e44644a2332ba32500fe69"/>
        <w:id w:val="664605092"/>
        <w:lock w:val="contentLocked"/>
        <w:placeholder>
          <w:docPart w:val="GBC22222222222222222222222222222"/>
        </w:placeholder>
      </w:sdtPr>
      <w:sdtContent>
        <w:p w14:paraId="68640FD9"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1C0F689" w14:textId="77777777" w:rsidR="00577D08" w:rsidRDefault="00330FC0">
      <w:pPr>
        <w:pStyle w:val="3"/>
        <w:numPr>
          <w:ilvl w:val="0"/>
          <w:numId w:val="22"/>
        </w:numPr>
      </w:pPr>
      <w:r>
        <w:rPr>
          <w:rFonts w:hint="eastAsia"/>
        </w:rPr>
        <w:lastRenderedPageBreak/>
        <w:t>董事会下设专门委员会成员情况</w:t>
      </w:r>
    </w:p>
    <w:tbl>
      <w:tblPr>
        <w:tblW w:w="9051" w:type="dxa"/>
        <w:jc w:val="center"/>
        <w:tblLayout w:type="fixed"/>
        <w:tblLook w:val="04A0" w:firstRow="1" w:lastRow="0" w:firstColumn="1" w:lastColumn="0" w:noHBand="0" w:noVBand="1"/>
      </w:tblPr>
      <w:tblGrid>
        <w:gridCol w:w="2586"/>
        <w:gridCol w:w="6465"/>
      </w:tblGrid>
      <w:tr w:rsidR="00577D08" w14:paraId="1A2DD7B9" w14:textId="77777777">
        <w:trPr>
          <w:trHeight w:val="270"/>
          <w:jc w:val="center"/>
        </w:trPr>
        <w:sdt>
          <w:sdtPr>
            <w:tag w:val="_PLD_d469fc77cfdc44b0b043e0b1ab52e604"/>
            <w:id w:val="376127671"/>
          </w:sdtPr>
          <w:sdtContent>
            <w:tc>
              <w:tcPr>
                <w:tcW w:w="2586" w:type="dxa"/>
                <w:tcBorders>
                  <w:top w:val="single" w:sz="4" w:space="0" w:color="auto"/>
                  <w:left w:val="single" w:sz="4" w:space="0" w:color="auto"/>
                  <w:bottom w:val="single" w:sz="4" w:space="0" w:color="auto"/>
                  <w:right w:val="single" w:sz="4" w:space="0" w:color="auto"/>
                </w:tcBorders>
                <w:noWrap/>
                <w:vAlign w:val="center"/>
              </w:tcPr>
              <w:p w14:paraId="42BEC587" w14:textId="77777777" w:rsidR="00577D08" w:rsidRDefault="00330FC0">
                <w:pPr>
                  <w:jc w:val="center"/>
                  <w:rPr>
                    <w:color w:val="000000"/>
                  </w:rPr>
                </w:pPr>
                <w:r>
                  <w:rPr>
                    <w:rFonts w:hint="eastAsia"/>
                    <w:color w:val="000000"/>
                  </w:rPr>
                  <w:t>专门委员会类别</w:t>
                </w:r>
              </w:p>
            </w:tc>
          </w:sdtContent>
        </w:sdt>
        <w:sdt>
          <w:sdtPr>
            <w:tag w:val="_PLD_32d037161ea94d0eb907c4e766b75044"/>
            <w:id w:val="-110370356"/>
          </w:sdtPr>
          <w:sdtContent>
            <w:tc>
              <w:tcPr>
                <w:tcW w:w="6465" w:type="dxa"/>
                <w:tcBorders>
                  <w:top w:val="single" w:sz="4" w:space="0" w:color="auto"/>
                  <w:left w:val="nil"/>
                  <w:bottom w:val="single" w:sz="4" w:space="0" w:color="auto"/>
                  <w:right w:val="single" w:sz="4" w:space="0" w:color="auto"/>
                </w:tcBorders>
                <w:noWrap/>
                <w:vAlign w:val="center"/>
              </w:tcPr>
              <w:p w14:paraId="2BACAB21" w14:textId="77777777" w:rsidR="00577D08" w:rsidRDefault="00330FC0">
                <w:pPr>
                  <w:jc w:val="center"/>
                  <w:rPr>
                    <w:color w:val="000000"/>
                  </w:rPr>
                </w:pPr>
                <w:r>
                  <w:rPr>
                    <w:rFonts w:hint="eastAsia"/>
                    <w:color w:val="000000"/>
                  </w:rPr>
                  <w:t>成员姓名</w:t>
                </w:r>
              </w:p>
            </w:tc>
          </w:sdtContent>
        </w:sdt>
      </w:tr>
      <w:tr w:rsidR="00577D08" w14:paraId="6C408E2F"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6BB999AA" w14:textId="77777777" w:rsidR="00577D08" w:rsidRDefault="00330FC0">
            <w:pPr>
              <w:rPr>
                <w:color w:val="000000"/>
              </w:rPr>
            </w:pPr>
            <w:r>
              <w:rPr>
                <w:rFonts w:hint="eastAsia"/>
                <w:color w:val="000000"/>
              </w:rPr>
              <w:t>战略发展委员会</w:t>
            </w:r>
          </w:p>
        </w:tc>
        <w:tc>
          <w:tcPr>
            <w:tcW w:w="6465" w:type="dxa"/>
            <w:tcBorders>
              <w:top w:val="nil"/>
              <w:left w:val="nil"/>
              <w:bottom w:val="single" w:sz="4" w:space="0" w:color="auto"/>
              <w:right w:val="single" w:sz="4" w:space="0" w:color="auto"/>
            </w:tcBorders>
            <w:noWrap/>
          </w:tcPr>
          <w:p w14:paraId="4A48F735" w14:textId="77777777" w:rsidR="00577D08" w:rsidRDefault="00330FC0">
            <w:r>
              <w:rPr>
                <w:rFonts w:hint="eastAsia"/>
              </w:rPr>
              <w:t>杨泽民（主任委员）、胡守天、王海波</w:t>
            </w:r>
          </w:p>
        </w:tc>
      </w:tr>
      <w:tr w:rsidR="00577D08" w14:paraId="66322FB5"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039B8A6D" w14:textId="77777777" w:rsidR="00577D08" w:rsidRDefault="00330FC0">
            <w:pPr>
              <w:rPr>
                <w:color w:val="000000"/>
              </w:rPr>
            </w:pPr>
            <w:r>
              <w:rPr>
                <w:rFonts w:hint="eastAsia"/>
                <w:color w:val="000000"/>
              </w:rPr>
              <w:t>审计委员会</w:t>
            </w:r>
          </w:p>
        </w:tc>
        <w:tc>
          <w:tcPr>
            <w:tcW w:w="6465" w:type="dxa"/>
            <w:tcBorders>
              <w:top w:val="nil"/>
              <w:left w:val="nil"/>
              <w:bottom w:val="single" w:sz="4" w:space="0" w:color="auto"/>
              <w:right w:val="single" w:sz="4" w:space="0" w:color="auto"/>
            </w:tcBorders>
            <w:noWrap/>
          </w:tcPr>
          <w:p w14:paraId="011A3A10" w14:textId="77777777" w:rsidR="00577D08" w:rsidRDefault="00330FC0">
            <w:r>
              <w:rPr>
                <w:rFonts w:hint="eastAsia"/>
              </w:rPr>
              <w:t>王勇（主任委员）、付康、沈江</w:t>
            </w:r>
          </w:p>
        </w:tc>
      </w:tr>
      <w:tr w:rsidR="00577D08" w14:paraId="71462C38"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2E5D1FED" w14:textId="77777777" w:rsidR="00577D08" w:rsidRDefault="00330FC0">
            <w:pPr>
              <w:rPr>
                <w:color w:val="000000"/>
              </w:rPr>
            </w:pPr>
            <w:r>
              <w:rPr>
                <w:rFonts w:hint="eastAsia"/>
                <w:color w:val="000000"/>
              </w:rPr>
              <w:t>提名委员会</w:t>
            </w:r>
          </w:p>
        </w:tc>
        <w:tc>
          <w:tcPr>
            <w:tcW w:w="6465" w:type="dxa"/>
            <w:tcBorders>
              <w:top w:val="nil"/>
              <w:left w:val="nil"/>
              <w:bottom w:val="single" w:sz="4" w:space="0" w:color="auto"/>
              <w:right w:val="single" w:sz="4" w:space="0" w:color="auto"/>
            </w:tcBorders>
            <w:noWrap/>
          </w:tcPr>
          <w:p w14:paraId="459E9EFD" w14:textId="77777777" w:rsidR="00577D08" w:rsidRDefault="00330FC0">
            <w:r>
              <w:rPr>
                <w:rFonts w:hint="eastAsia"/>
              </w:rPr>
              <w:t>赵宇（主任委员）、沈江、杨林</w:t>
            </w:r>
          </w:p>
        </w:tc>
      </w:tr>
      <w:tr w:rsidR="00577D08" w14:paraId="334342EA" w14:textId="77777777">
        <w:trPr>
          <w:trHeight w:val="270"/>
          <w:jc w:val="center"/>
        </w:trPr>
        <w:tc>
          <w:tcPr>
            <w:tcW w:w="2586" w:type="dxa"/>
            <w:tcBorders>
              <w:top w:val="single" w:sz="4" w:space="0" w:color="auto"/>
              <w:left w:val="single" w:sz="4" w:space="0" w:color="auto"/>
              <w:bottom w:val="single" w:sz="4" w:space="0" w:color="auto"/>
              <w:right w:val="single" w:sz="4" w:space="0" w:color="auto"/>
            </w:tcBorders>
            <w:noWrap/>
            <w:vAlign w:val="center"/>
          </w:tcPr>
          <w:p w14:paraId="2C1B5828" w14:textId="77777777" w:rsidR="00577D08" w:rsidRDefault="00330FC0">
            <w:pPr>
              <w:rPr>
                <w:color w:val="000000"/>
              </w:rPr>
            </w:pPr>
            <w:r>
              <w:rPr>
                <w:rFonts w:hint="eastAsia"/>
                <w:color w:val="000000"/>
              </w:rPr>
              <w:t>薪酬与考核委员会</w:t>
            </w:r>
          </w:p>
        </w:tc>
        <w:tc>
          <w:tcPr>
            <w:tcW w:w="6465" w:type="dxa"/>
            <w:tcBorders>
              <w:top w:val="single" w:sz="4" w:space="0" w:color="auto"/>
              <w:left w:val="nil"/>
              <w:bottom w:val="single" w:sz="4" w:space="0" w:color="auto"/>
              <w:right w:val="single" w:sz="4" w:space="0" w:color="auto"/>
            </w:tcBorders>
            <w:noWrap/>
          </w:tcPr>
          <w:p w14:paraId="3011BB18" w14:textId="77777777" w:rsidR="00577D08" w:rsidRDefault="00330FC0">
            <w:r>
              <w:rPr>
                <w:rFonts w:hint="eastAsia"/>
              </w:rPr>
              <w:t>沈江（主任委员）、赵宇、皮统政</w:t>
            </w:r>
          </w:p>
        </w:tc>
      </w:tr>
    </w:tbl>
    <w:p w14:paraId="366AD184" w14:textId="77777777" w:rsidR="00577D08" w:rsidRDefault="00577D08"/>
    <w:p w14:paraId="3AF48BDF" w14:textId="77777777" w:rsidR="00577D08" w:rsidRDefault="00330FC0">
      <w:pPr>
        <w:pStyle w:val="3"/>
        <w:numPr>
          <w:ilvl w:val="0"/>
          <w:numId w:val="22"/>
        </w:numPr>
        <w:rPr>
          <w:rFonts w:ascii="宋体" w:hAnsi="宋体" w:cs="宋体" w:hint="eastAsia"/>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936896359"/>
          <w:placeholder>
            <w:docPart w:val="GBC22222222222222222222222222222"/>
          </w:placeholder>
        </w:sdtPr>
        <w:sdtContent>
          <w:r>
            <w:rPr>
              <w:rFonts w:ascii="宋体" w:hAnsi="宋体" w:cs="宋体" w:hint="eastAsia"/>
              <w:kern w:val="0"/>
              <w:szCs w:val="24"/>
            </w:rPr>
            <w:t>董事会战略发展</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338613763"/>
          <w:placeholder>
            <w:docPart w:val="GBC22222222222222222222222222222"/>
          </w:placeholder>
        </w:sdtPr>
        <w:sdtContent>
          <w:r>
            <w:rPr>
              <w:rFonts w:ascii="宋体" w:hAnsi="宋体" w:cs="宋体"/>
              <w:kern w:val="0"/>
              <w:szCs w:val="24"/>
            </w:rPr>
            <w:t>3</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3742"/>
        <w:gridCol w:w="2208"/>
      </w:tblGrid>
      <w:tr w:rsidR="00577D08" w14:paraId="1C070997" w14:textId="77777777">
        <w:trPr>
          <w:trHeight w:val="397"/>
        </w:trPr>
        <w:sdt>
          <w:sdtPr>
            <w:rPr>
              <w:rFonts w:ascii="宋体" w:hAnsi="宋体"/>
              <w:sz w:val="18"/>
              <w:szCs w:val="18"/>
            </w:rPr>
            <w:tag w:val="_PLD_81aefc289fbf48b1865138608d8bd14f"/>
            <w:id w:val="793562076"/>
          </w:sdtPr>
          <w:sdtContent>
            <w:tc>
              <w:tcPr>
                <w:tcW w:w="1242" w:type="dxa"/>
                <w:vAlign w:val="center"/>
              </w:tcPr>
              <w:p w14:paraId="52A6B876" w14:textId="77777777" w:rsidR="00577D08" w:rsidRDefault="00330FC0">
                <w:pPr>
                  <w:widowControl w:val="0"/>
                  <w:jc w:val="center"/>
                  <w:rPr>
                    <w:rFonts w:ascii="宋体" w:hAnsi="宋体" w:hint="eastAsia"/>
                    <w:sz w:val="18"/>
                    <w:szCs w:val="18"/>
                  </w:rPr>
                </w:pPr>
                <w:r>
                  <w:rPr>
                    <w:rFonts w:ascii="宋体" w:hAnsi="宋体" w:hint="eastAsia"/>
                    <w:sz w:val="18"/>
                    <w:szCs w:val="18"/>
                  </w:rPr>
                  <w:t>召开日期</w:t>
                </w:r>
              </w:p>
            </w:tc>
          </w:sdtContent>
        </w:sdt>
        <w:sdt>
          <w:sdtPr>
            <w:rPr>
              <w:rFonts w:ascii="宋体" w:hAnsi="宋体"/>
              <w:sz w:val="18"/>
              <w:szCs w:val="18"/>
            </w:rPr>
            <w:tag w:val="_PLD_9d24b601ec70414eb969daf6b393edc8"/>
            <w:id w:val="598685482"/>
          </w:sdtPr>
          <w:sdtContent>
            <w:tc>
              <w:tcPr>
                <w:tcW w:w="1843" w:type="dxa"/>
                <w:vAlign w:val="center"/>
              </w:tcPr>
              <w:p w14:paraId="60FF6786" w14:textId="77777777" w:rsidR="00577D08" w:rsidRDefault="00330FC0">
                <w:pPr>
                  <w:widowControl w:val="0"/>
                  <w:jc w:val="center"/>
                  <w:rPr>
                    <w:rFonts w:ascii="宋体" w:hAnsi="宋体" w:hint="eastAsia"/>
                    <w:sz w:val="18"/>
                    <w:szCs w:val="18"/>
                  </w:rPr>
                </w:pPr>
                <w:r>
                  <w:rPr>
                    <w:rFonts w:ascii="宋体" w:hAnsi="宋体" w:hint="eastAsia"/>
                    <w:sz w:val="18"/>
                    <w:szCs w:val="18"/>
                  </w:rPr>
                  <w:t>会议内容</w:t>
                </w:r>
              </w:p>
            </w:tc>
          </w:sdtContent>
        </w:sdt>
        <w:sdt>
          <w:sdtPr>
            <w:rPr>
              <w:rFonts w:ascii="宋体" w:hAnsi="宋体"/>
              <w:sz w:val="18"/>
              <w:szCs w:val="18"/>
            </w:rPr>
            <w:tag w:val="_PLD_6ea19dadc3684e98a6d98faaf035a9d9"/>
            <w:id w:val="-1802220369"/>
          </w:sdtPr>
          <w:sdtContent>
            <w:tc>
              <w:tcPr>
                <w:tcW w:w="3742" w:type="dxa"/>
                <w:vAlign w:val="center"/>
              </w:tcPr>
              <w:p w14:paraId="413365A8" w14:textId="77777777" w:rsidR="00577D08" w:rsidRDefault="00330FC0">
                <w:pPr>
                  <w:widowControl w:val="0"/>
                  <w:jc w:val="center"/>
                  <w:rPr>
                    <w:rFonts w:ascii="宋体" w:hAnsi="宋体" w:hint="eastAsia"/>
                    <w:sz w:val="18"/>
                    <w:szCs w:val="18"/>
                  </w:rPr>
                </w:pPr>
                <w:r>
                  <w:rPr>
                    <w:rFonts w:ascii="宋体" w:hAnsi="宋体" w:hint="eastAsia"/>
                    <w:sz w:val="18"/>
                    <w:szCs w:val="18"/>
                  </w:rPr>
                  <w:t>重要意见和建议</w:t>
                </w:r>
              </w:p>
            </w:tc>
          </w:sdtContent>
        </w:sdt>
        <w:sdt>
          <w:sdtPr>
            <w:rPr>
              <w:rFonts w:ascii="宋体" w:hAnsi="宋体"/>
              <w:sz w:val="18"/>
              <w:szCs w:val="18"/>
            </w:rPr>
            <w:tag w:val="_PLD_ef03d3ffb00740008011022cb6a96805"/>
            <w:id w:val="773990330"/>
          </w:sdtPr>
          <w:sdtContent>
            <w:tc>
              <w:tcPr>
                <w:tcW w:w="2208" w:type="dxa"/>
                <w:vAlign w:val="center"/>
              </w:tcPr>
              <w:p w14:paraId="6BCFC009" w14:textId="77777777" w:rsidR="00577D08" w:rsidRDefault="00330FC0">
                <w:pPr>
                  <w:widowControl w:val="0"/>
                  <w:jc w:val="center"/>
                  <w:rPr>
                    <w:rFonts w:ascii="宋体" w:hAnsi="宋体" w:hint="eastAsia"/>
                    <w:sz w:val="18"/>
                    <w:szCs w:val="18"/>
                  </w:rPr>
                </w:pPr>
                <w:r>
                  <w:rPr>
                    <w:rFonts w:ascii="宋体" w:hAnsi="宋体" w:hint="eastAsia"/>
                    <w:sz w:val="18"/>
                    <w:szCs w:val="18"/>
                  </w:rPr>
                  <w:t>其他履行职责情况</w:t>
                </w:r>
              </w:p>
            </w:tc>
          </w:sdtContent>
        </w:sdt>
      </w:tr>
      <w:tr w:rsidR="00577D08" w14:paraId="21D2D53B" w14:textId="77777777">
        <w:tc>
          <w:tcPr>
            <w:tcW w:w="1242" w:type="dxa"/>
            <w:vAlign w:val="center"/>
          </w:tcPr>
          <w:p w14:paraId="5507A41F" w14:textId="77777777" w:rsidR="00577D08" w:rsidRDefault="00330FC0">
            <w:pPr>
              <w:widowControl w:val="0"/>
              <w:jc w:val="both"/>
              <w:rPr>
                <w:rFonts w:ascii="宋体" w:hAnsi="宋体" w:hint="eastAsia"/>
                <w:sz w:val="18"/>
                <w:szCs w:val="18"/>
              </w:rPr>
            </w:pPr>
            <w:r>
              <w:rPr>
                <w:rFonts w:ascii="宋体" w:hAnsi="宋体"/>
                <w:sz w:val="18"/>
                <w:szCs w:val="18"/>
              </w:rPr>
              <w:t>2025.03.04</w:t>
            </w:r>
          </w:p>
        </w:tc>
        <w:tc>
          <w:tcPr>
            <w:tcW w:w="1843" w:type="dxa"/>
            <w:vAlign w:val="center"/>
          </w:tcPr>
          <w:p w14:paraId="213010EE"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第四届董事会战略发展委员会第三次会议</w:t>
            </w:r>
          </w:p>
        </w:tc>
        <w:tc>
          <w:tcPr>
            <w:tcW w:w="3742" w:type="dxa"/>
            <w:vAlign w:val="center"/>
          </w:tcPr>
          <w:p w14:paraId="4C0641DE"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审议如下议案：《关于对外投资设立境外全资子公司的议案》</w:t>
            </w:r>
          </w:p>
        </w:tc>
        <w:tc>
          <w:tcPr>
            <w:tcW w:w="2208" w:type="dxa"/>
            <w:vAlign w:val="center"/>
          </w:tcPr>
          <w:p w14:paraId="2719BF76"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64E8AFA3" w14:textId="77777777">
        <w:tc>
          <w:tcPr>
            <w:tcW w:w="1242" w:type="dxa"/>
            <w:vAlign w:val="center"/>
          </w:tcPr>
          <w:p w14:paraId="304AF73A" w14:textId="77777777" w:rsidR="00577D08" w:rsidRDefault="00330FC0">
            <w:pPr>
              <w:widowControl w:val="0"/>
              <w:jc w:val="both"/>
              <w:rPr>
                <w:rFonts w:ascii="宋体" w:hAnsi="宋体" w:hint="eastAsia"/>
                <w:sz w:val="18"/>
                <w:szCs w:val="18"/>
              </w:rPr>
            </w:pPr>
            <w:r>
              <w:rPr>
                <w:rFonts w:ascii="宋体" w:hAnsi="宋体"/>
                <w:sz w:val="18"/>
                <w:szCs w:val="18"/>
              </w:rPr>
              <w:t>2025.08.27</w:t>
            </w:r>
          </w:p>
        </w:tc>
        <w:tc>
          <w:tcPr>
            <w:tcW w:w="1843" w:type="dxa"/>
            <w:vAlign w:val="center"/>
          </w:tcPr>
          <w:p w14:paraId="46FB27CA"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第四届董事会战略发展委员会第四次会议</w:t>
            </w:r>
          </w:p>
        </w:tc>
        <w:tc>
          <w:tcPr>
            <w:tcW w:w="3742" w:type="dxa"/>
            <w:vAlign w:val="center"/>
          </w:tcPr>
          <w:p w14:paraId="2C32414F"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审议如下议案：《关于投资新建兆瓦级智能超充网络建设项目的议案》</w:t>
            </w:r>
          </w:p>
        </w:tc>
        <w:tc>
          <w:tcPr>
            <w:tcW w:w="2208" w:type="dxa"/>
            <w:vAlign w:val="center"/>
          </w:tcPr>
          <w:p w14:paraId="1F002DC5"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09F37813" w14:textId="77777777">
        <w:tc>
          <w:tcPr>
            <w:tcW w:w="1242" w:type="dxa"/>
            <w:vAlign w:val="center"/>
          </w:tcPr>
          <w:p w14:paraId="4DA6EE95" w14:textId="77777777" w:rsidR="00577D08" w:rsidRDefault="00330FC0">
            <w:pPr>
              <w:widowControl w:val="0"/>
              <w:jc w:val="both"/>
              <w:rPr>
                <w:rFonts w:ascii="宋体" w:hAnsi="宋体" w:hint="eastAsia"/>
                <w:sz w:val="18"/>
                <w:szCs w:val="18"/>
              </w:rPr>
            </w:pPr>
            <w:r>
              <w:rPr>
                <w:rFonts w:ascii="宋体" w:hAnsi="宋体"/>
                <w:sz w:val="18"/>
                <w:szCs w:val="18"/>
              </w:rPr>
              <w:t>2025.12.09</w:t>
            </w:r>
          </w:p>
        </w:tc>
        <w:tc>
          <w:tcPr>
            <w:tcW w:w="1843" w:type="dxa"/>
            <w:vAlign w:val="center"/>
          </w:tcPr>
          <w:p w14:paraId="181BB953"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第四届董事会战略发展委员会第五次会议</w:t>
            </w:r>
          </w:p>
        </w:tc>
        <w:tc>
          <w:tcPr>
            <w:tcW w:w="3742" w:type="dxa"/>
            <w:vAlign w:val="center"/>
          </w:tcPr>
          <w:p w14:paraId="7AA16DE8"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1E02456F" w14:textId="77777777" w:rsidR="00577D08" w:rsidRDefault="00330FC0">
            <w:pPr>
              <w:widowControl w:val="0"/>
              <w:jc w:val="both"/>
              <w:rPr>
                <w:rFonts w:ascii="宋体" w:hAnsi="宋体" w:hint="eastAsia"/>
                <w:sz w:val="18"/>
                <w:szCs w:val="18"/>
              </w:rPr>
            </w:pPr>
            <w:r>
              <w:rPr>
                <w:rFonts w:ascii="宋体" w:hAnsi="宋体" w:hint="eastAsia"/>
                <w:sz w:val="18"/>
                <w:szCs w:val="18"/>
              </w:rPr>
              <w:t>《关于预计2026年度向银行等金融机构申请综合授信额度及为子公司提供融资担保额度的议案》</w:t>
            </w:r>
          </w:p>
        </w:tc>
        <w:tc>
          <w:tcPr>
            <w:tcW w:w="2208" w:type="dxa"/>
            <w:vAlign w:val="center"/>
          </w:tcPr>
          <w:p w14:paraId="582E7962"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bl>
    <w:p w14:paraId="5C5231B7" w14:textId="77777777" w:rsidR="00577D08" w:rsidRDefault="00330FC0">
      <w:pPr>
        <w:pStyle w:val="3"/>
        <w:numPr>
          <w:ilvl w:val="0"/>
          <w:numId w:val="22"/>
        </w:numPr>
        <w:rPr>
          <w:rFonts w:ascii="宋体" w:hAnsi="宋体" w:cs="宋体" w:hint="eastAsia"/>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87630213"/>
          <w:placeholder>
            <w:docPart w:val="204DBCAD0E474523AB9CFB5F139E6F43"/>
          </w:placeholder>
        </w:sdtPr>
        <w:sdtContent>
          <w:r>
            <w:rPr>
              <w:rFonts w:ascii="宋体" w:hAnsi="宋体" w:cs="宋体" w:hint="eastAsia"/>
              <w:kern w:val="0"/>
              <w:szCs w:val="24"/>
            </w:rPr>
            <w:t>董事会审计</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1872417759"/>
          <w:placeholder>
            <w:docPart w:val="204DBCAD0E474523AB9CFB5F139E6F43"/>
          </w:placeholder>
        </w:sdtPr>
        <w:sdtContent>
          <w:r>
            <w:rPr>
              <w:rFonts w:ascii="宋体" w:hAnsi="宋体" w:cs="宋体"/>
              <w:kern w:val="0"/>
              <w:szCs w:val="24"/>
            </w:rPr>
            <w:t>5</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3742"/>
        <w:gridCol w:w="2208"/>
      </w:tblGrid>
      <w:tr w:rsidR="00577D08" w14:paraId="5A276427" w14:textId="77777777">
        <w:trPr>
          <w:trHeight w:val="397"/>
        </w:trPr>
        <w:sdt>
          <w:sdtPr>
            <w:rPr>
              <w:rFonts w:ascii="宋体" w:hAnsi="宋体"/>
              <w:sz w:val="18"/>
              <w:szCs w:val="18"/>
            </w:rPr>
            <w:tag w:val="_PLD_81aefc289fbf48b1865138608d8bd14f"/>
            <w:id w:val="2016795361"/>
          </w:sdtPr>
          <w:sdtContent>
            <w:tc>
              <w:tcPr>
                <w:tcW w:w="1242" w:type="dxa"/>
                <w:vAlign w:val="center"/>
              </w:tcPr>
              <w:p w14:paraId="584A17E4" w14:textId="77777777" w:rsidR="00577D08" w:rsidRDefault="00330FC0">
                <w:pPr>
                  <w:widowControl w:val="0"/>
                  <w:jc w:val="center"/>
                  <w:rPr>
                    <w:rFonts w:ascii="宋体" w:hAnsi="宋体" w:hint="eastAsia"/>
                    <w:sz w:val="18"/>
                    <w:szCs w:val="18"/>
                  </w:rPr>
                </w:pPr>
                <w:r>
                  <w:rPr>
                    <w:rFonts w:ascii="宋体" w:hAnsi="宋体" w:hint="eastAsia"/>
                    <w:sz w:val="18"/>
                    <w:szCs w:val="18"/>
                  </w:rPr>
                  <w:t>召开日期</w:t>
                </w:r>
              </w:p>
            </w:tc>
          </w:sdtContent>
        </w:sdt>
        <w:sdt>
          <w:sdtPr>
            <w:rPr>
              <w:rFonts w:ascii="宋体" w:hAnsi="宋体"/>
              <w:sz w:val="18"/>
              <w:szCs w:val="18"/>
            </w:rPr>
            <w:tag w:val="_PLD_9d24b601ec70414eb969daf6b393edc8"/>
            <w:id w:val="1681625818"/>
          </w:sdtPr>
          <w:sdtContent>
            <w:tc>
              <w:tcPr>
                <w:tcW w:w="1843" w:type="dxa"/>
                <w:vAlign w:val="center"/>
              </w:tcPr>
              <w:p w14:paraId="2D835A93" w14:textId="77777777" w:rsidR="00577D08" w:rsidRDefault="00330FC0">
                <w:pPr>
                  <w:widowControl w:val="0"/>
                  <w:jc w:val="center"/>
                  <w:rPr>
                    <w:rFonts w:ascii="宋体" w:hAnsi="宋体" w:hint="eastAsia"/>
                    <w:sz w:val="18"/>
                    <w:szCs w:val="18"/>
                  </w:rPr>
                </w:pPr>
                <w:r>
                  <w:rPr>
                    <w:rFonts w:ascii="宋体" w:hAnsi="宋体" w:hint="eastAsia"/>
                    <w:sz w:val="18"/>
                    <w:szCs w:val="18"/>
                  </w:rPr>
                  <w:t>会议内容</w:t>
                </w:r>
              </w:p>
            </w:tc>
          </w:sdtContent>
        </w:sdt>
        <w:sdt>
          <w:sdtPr>
            <w:rPr>
              <w:rFonts w:ascii="宋体" w:hAnsi="宋体"/>
              <w:sz w:val="18"/>
              <w:szCs w:val="18"/>
            </w:rPr>
            <w:tag w:val="_PLD_6ea19dadc3684e98a6d98faaf035a9d9"/>
            <w:id w:val="316085554"/>
          </w:sdtPr>
          <w:sdtContent>
            <w:tc>
              <w:tcPr>
                <w:tcW w:w="3742" w:type="dxa"/>
                <w:vAlign w:val="center"/>
              </w:tcPr>
              <w:p w14:paraId="23367D97" w14:textId="77777777" w:rsidR="00577D08" w:rsidRDefault="00330FC0">
                <w:pPr>
                  <w:widowControl w:val="0"/>
                  <w:jc w:val="center"/>
                  <w:rPr>
                    <w:rFonts w:ascii="宋体" w:hAnsi="宋体" w:hint="eastAsia"/>
                    <w:sz w:val="18"/>
                    <w:szCs w:val="18"/>
                  </w:rPr>
                </w:pPr>
                <w:r>
                  <w:rPr>
                    <w:rFonts w:ascii="宋体" w:hAnsi="宋体" w:hint="eastAsia"/>
                    <w:sz w:val="18"/>
                    <w:szCs w:val="18"/>
                  </w:rPr>
                  <w:t>重要意见和建议</w:t>
                </w:r>
              </w:p>
            </w:tc>
          </w:sdtContent>
        </w:sdt>
        <w:sdt>
          <w:sdtPr>
            <w:rPr>
              <w:rFonts w:ascii="宋体" w:hAnsi="宋体"/>
              <w:sz w:val="18"/>
              <w:szCs w:val="18"/>
            </w:rPr>
            <w:tag w:val="_PLD_ef03d3ffb00740008011022cb6a96805"/>
            <w:id w:val="2023195418"/>
          </w:sdtPr>
          <w:sdtContent>
            <w:tc>
              <w:tcPr>
                <w:tcW w:w="2208" w:type="dxa"/>
                <w:vAlign w:val="center"/>
              </w:tcPr>
              <w:p w14:paraId="7C7CC891" w14:textId="77777777" w:rsidR="00577D08" w:rsidRDefault="00330FC0">
                <w:pPr>
                  <w:widowControl w:val="0"/>
                  <w:jc w:val="center"/>
                  <w:rPr>
                    <w:rFonts w:ascii="宋体" w:hAnsi="宋体" w:hint="eastAsia"/>
                    <w:sz w:val="18"/>
                    <w:szCs w:val="18"/>
                  </w:rPr>
                </w:pPr>
                <w:r>
                  <w:rPr>
                    <w:rFonts w:ascii="宋体" w:hAnsi="宋体" w:hint="eastAsia"/>
                    <w:sz w:val="18"/>
                    <w:szCs w:val="18"/>
                  </w:rPr>
                  <w:t>其他履行职责情况</w:t>
                </w:r>
              </w:p>
            </w:tc>
          </w:sdtContent>
        </w:sdt>
      </w:tr>
      <w:tr w:rsidR="00577D08" w14:paraId="514842D8" w14:textId="77777777">
        <w:tc>
          <w:tcPr>
            <w:tcW w:w="1242" w:type="dxa"/>
            <w:vAlign w:val="center"/>
          </w:tcPr>
          <w:p w14:paraId="343A0136" w14:textId="77777777" w:rsidR="00577D08" w:rsidRDefault="00330FC0">
            <w:pPr>
              <w:widowControl w:val="0"/>
              <w:jc w:val="both"/>
              <w:rPr>
                <w:rFonts w:ascii="宋体" w:hAnsi="宋体" w:hint="eastAsia"/>
                <w:sz w:val="18"/>
                <w:szCs w:val="18"/>
              </w:rPr>
            </w:pPr>
            <w:r>
              <w:rPr>
                <w:rFonts w:ascii="宋体" w:hAnsi="宋体" w:hint="eastAsia"/>
                <w:sz w:val="18"/>
                <w:szCs w:val="18"/>
              </w:rPr>
              <w:t>2025.01.20</w:t>
            </w:r>
          </w:p>
        </w:tc>
        <w:tc>
          <w:tcPr>
            <w:tcW w:w="1843" w:type="dxa"/>
            <w:vAlign w:val="center"/>
          </w:tcPr>
          <w:p w14:paraId="304D54AD"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第四届董事会审计委员会第六次会议</w:t>
            </w:r>
          </w:p>
        </w:tc>
        <w:tc>
          <w:tcPr>
            <w:tcW w:w="3742" w:type="dxa"/>
            <w:tcBorders>
              <w:top w:val="single" w:sz="4" w:space="0" w:color="000000"/>
              <w:left w:val="single" w:sz="4" w:space="0" w:color="000000"/>
              <w:bottom w:val="single" w:sz="4" w:space="0" w:color="000000"/>
              <w:right w:val="single" w:sz="4" w:space="0" w:color="000000"/>
            </w:tcBorders>
            <w:vAlign w:val="center"/>
          </w:tcPr>
          <w:p w14:paraId="21B64572"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6892DCA9" w14:textId="77777777" w:rsidR="00577D08" w:rsidRDefault="00330FC0">
            <w:pPr>
              <w:widowControl w:val="0"/>
              <w:jc w:val="both"/>
              <w:rPr>
                <w:rFonts w:ascii="宋体" w:hAnsi="宋体" w:hint="eastAsia"/>
                <w:sz w:val="18"/>
                <w:szCs w:val="18"/>
              </w:rPr>
            </w:pPr>
            <w:r>
              <w:rPr>
                <w:rStyle w:val="font11"/>
                <w:rFonts w:ascii="宋体" w:hAnsi="宋体"/>
                <w:sz w:val="18"/>
                <w:szCs w:val="18"/>
              </w:rPr>
              <w:t>1.</w:t>
            </w:r>
            <w:r>
              <w:rPr>
                <w:rStyle w:val="font21"/>
                <w:rFonts w:hint="default"/>
                <w:sz w:val="18"/>
                <w:szCs w:val="18"/>
              </w:rPr>
              <w:t>《关于会计政策变更的议案》</w:t>
            </w:r>
            <w:r>
              <w:rPr>
                <w:rFonts w:ascii="宋体" w:hAnsi="宋体" w:hint="eastAsia"/>
                <w:color w:val="000000"/>
                <w:sz w:val="18"/>
                <w:szCs w:val="18"/>
              </w:rPr>
              <w:br/>
            </w:r>
            <w:r>
              <w:rPr>
                <w:rStyle w:val="font11"/>
                <w:rFonts w:ascii="宋体" w:hAnsi="宋体"/>
                <w:sz w:val="18"/>
                <w:szCs w:val="18"/>
              </w:rPr>
              <w:t>2.</w:t>
            </w:r>
            <w:r>
              <w:rPr>
                <w:rStyle w:val="font21"/>
                <w:rFonts w:hint="default"/>
                <w:sz w:val="18"/>
                <w:szCs w:val="18"/>
              </w:rPr>
              <w:t>《关于</w:t>
            </w:r>
            <w:r>
              <w:rPr>
                <w:rStyle w:val="font11"/>
                <w:rFonts w:ascii="宋体" w:hAnsi="宋体"/>
                <w:sz w:val="18"/>
                <w:szCs w:val="18"/>
              </w:rPr>
              <w:t>2025</w:t>
            </w:r>
            <w:r>
              <w:rPr>
                <w:rStyle w:val="font21"/>
                <w:rFonts w:hint="default"/>
                <w:sz w:val="18"/>
                <w:szCs w:val="18"/>
              </w:rPr>
              <w:t>年年度财务预算报告的议案》</w:t>
            </w:r>
          </w:p>
        </w:tc>
        <w:tc>
          <w:tcPr>
            <w:tcW w:w="2208" w:type="dxa"/>
            <w:vAlign w:val="center"/>
          </w:tcPr>
          <w:p w14:paraId="65282CB7"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7BF52313" w14:textId="77777777">
        <w:tc>
          <w:tcPr>
            <w:tcW w:w="1242" w:type="dxa"/>
            <w:vAlign w:val="center"/>
          </w:tcPr>
          <w:p w14:paraId="5C39348E" w14:textId="77777777" w:rsidR="00577D08" w:rsidRDefault="00330FC0">
            <w:pPr>
              <w:widowControl w:val="0"/>
              <w:jc w:val="both"/>
              <w:rPr>
                <w:rFonts w:ascii="宋体" w:hAnsi="宋体" w:hint="eastAsia"/>
                <w:sz w:val="18"/>
                <w:szCs w:val="18"/>
              </w:rPr>
            </w:pPr>
            <w:r>
              <w:rPr>
                <w:rFonts w:ascii="宋体" w:hAnsi="宋体"/>
                <w:sz w:val="18"/>
                <w:szCs w:val="18"/>
              </w:rPr>
              <w:t>2025.04.24</w:t>
            </w:r>
          </w:p>
        </w:tc>
        <w:tc>
          <w:tcPr>
            <w:tcW w:w="1843" w:type="dxa"/>
            <w:vAlign w:val="center"/>
          </w:tcPr>
          <w:p w14:paraId="19A20E7E"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第四届董事会审计委员会第七次会议</w:t>
            </w:r>
          </w:p>
        </w:tc>
        <w:tc>
          <w:tcPr>
            <w:tcW w:w="3742" w:type="dxa"/>
            <w:tcBorders>
              <w:top w:val="single" w:sz="4" w:space="0" w:color="000000"/>
              <w:left w:val="single" w:sz="4" w:space="0" w:color="000000"/>
              <w:bottom w:val="single" w:sz="4" w:space="0" w:color="000000"/>
              <w:right w:val="single" w:sz="4" w:space="0" w:color="000000"/>
            </w:tcBorders>
            <w:vAlign w:val="center"/>
          </w:tcPr>
          <w:p w14:paraId="7912C89E"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60A75539" w14:textId="77777777" w:rsidR="00577D08" w:rsidRDefault="00330FC0">
            <w:pPr>
              <w:widowControl w:val="0"/>
              <w:jc w:val="both"/>
              <w:rPr>
                <w:rFonts w:ascii="宋体" w:hAnsi="宋体" w:hint="eastAsia"/>
                <w:sz w:val="18"/>
                <w:szCs w:val="18"/>
              </w:rPr>
            </w:pPr>
            <w:r>
              <w:rPr>
                <w:rStyle w:val="font11"/>
                <w:rFonts w:ascii="宋体" w:hAnsi="宋体"/>
                <w:sz w:val="18"/>
                <w:szCs w:val="18"/>
              </w:rPr>
              <w:t>1.</w:t>
            </w:r>
            <w:r>
              <w:rPr>
                <w:rStyle w:val="font21"/>
                <w:rFonts w:hint="default"/>
                <w:sz w:val="18"/>
                <w:szCs w:val="18"/>
              </w:rPr>
              <w:t>《关于公司</w:t>
            </w:r>
            <w:r>
              <w:rPr>
                <w:rStyle w:val="font11"/>
                <w:rFonts w:ascii="宋体" w:hAnsi="宋体"/>
                <w:sz w:val="18"/>
                <w:szCs w:val="18"/>
              </w:rPr>
              <w:t>2024</w:t>
            </w:r>
            <w:r>
              <w:rPr>
                <w:rStyle w:val="font21"/>
                <w:rFonts w:hint="default"/>
                <w:sz w:val="18"/>
                <w:szCs w:val="18"/>
              </w:rPr>
              <w:t>年度审计委员会履职报告的议案》</w:t>
            </w:r>
            <w:r>
              <w:rPr>
                <w:rFonts w:ascii="宋体" w:hAnsi="宋体" w:hint="eastAsia"/>
                <w:color w:val="000000"/>
                <w:sz w:val="18"/>
                <w:szCs w:val="18"/>
              </w:rPr>
              <w:br/>
            </w:r>
            <w:r>
              <w:rPr>
                <w:rStyle w:val="font11"/>
                <w:rFonts w:ascii="宋体" w:hAnsi="宋体"/>
                <w:sz w:val="18"/>
                <w:szCs w:val="18"/>
              </w:rPr>
              <w:t>2.</w:t>
            </w:r>
            <w:r>
              <w:rPr>
                <w:rStyle w:val="font21"/>
                <w:rFonts w:hint="default"/>
                <w:sz w:val="18"/>
                <w:szCs w:val="18"/>
              </w:rPr>
              <w:t>《关于</w:t>
            </w:r>
            <w:r>
              <w:rPr>
                <w:rStyle w:val="font11"/>
                <w:rFonts w:ascii="宋体" w:hAnsi="宋体"/>
                <w:sz w:val="18"/>
                <w:szCs w:val="18"/>
              </w:rPr>
              <w:t>2024</w:t>
            </w:r>
            <w:r>
              <w:rPr>
                <w:rStyle w:val="font21"/>
                <w:rFonts w:hint="default"/>
                <w:sz w:val="18"/>
                <w:szCs w:val="18"/>
              </w:rPr>
              <w:t>年度会计师事务所履职情况评估报告的议案》</w:t>
            </w:r>
            <w:r>
              <w:rPr>
                <w:rFonts w:ascii="宋体" w:hAnsi="宋体" w:hint="eastAsia"/>
                <w:color w:val="000000"/>
                <w:sz w:val="18"/>
                <w:szCs w:val="18"/>
              </w:rPr>
              <w:br/>
            </w:r>
            <w:r>
              <w:rPr>
                <w:rStyle w:val="font11"/>
                <w:rFonts w:ascii="宋体" w:hAnsi="宋体"/>
                <w:sz w:val="18"/>
                <w:szCs w:val="18"/>
              </w:rPr>
              <w:t>3.</w:t>
            </w:r>
            <w:r>
              <w:rPr>
                <w:rStyle w:val="font21"/>
                <w:rFonts w:hint="default"/>
                <w:sz w:val="18"/>
                <w:szCs w:val="18"/>
              </w:rPr>
              <w:t>《关于公司</w:t>
            </w:r>
            <w:r>
              <w:rPr>
                <w:rStyle w:val="font11"/>
                <w:rFonts w:ascii="宋体" w:hAnsi="宋体"/>
                <w:sz w:val="18"/>
                <w:szCs w:val="18"/>
              </w:rPr>
              <w:t>2024</w:t>
            </w:r>
            <w:r>
              <w:rPr>
                <w:rStyle w:val="font21"/>
                <w:rFonts w:hint="default"/>
                <w:sz w:val="18"/>
                <w:szCs w:val="18"/>
              </w:rPr>
              <w:t>年度内部控制自我评价报告的议案》</w:t>
            </w:r>
            <w:r>
              <w:rPr>
                <w:rFonts w:ascii="宋体" w:hAnsi="宋体" w:hint="eastAsia"/>
                <w:color w:val="000000"/>
                <w:sz w:val="18"/>
                <w:szCs w:val="18"/>
              </w:rPr>
              <w:br/>
            </w:r>
            <w:r>
              <w:rPr>
                <w:rStyle w:val="font11"/>
                <w:rFonts w:ascii="宋体" w:hAnsi="宋体"/>
                <w:sz w:val="18"/>
                <w:szCs w:val="18"/>
              </w:rPr>
              <w:t>4.</w:t>
            </w:r>
            <w:r>
              <w:rPr>
                <w:rStyle w:val="font21"/>
                <w:rFonts w:hint="default"/>
                <w:sz w:val="18"/>
                <w:szCs w:val="18"/>
              </w:rPr>
              <w:t>《关于公司</w:t>
            </w:r>
            <w:r>
              <w:rPr>
                <w:rStyle w:val="font11"/>
                <w:rFonts w:ascii="宋体" w:hAnsi="宋体"/>
                <w:sz w:val="18"/>
                <w:szCs w:val="18"/>
              </w:rPr>
              <w:t>2024</w:t>
            </w:r>
            <w:r>
              <w:rPr>
                <w:rStyle w:val="font21"/>
                <w:rFonts w:hint="default"/>
                <w:sz w:val="18"/>
                <w:szCs w:val="18"/>
              </w:rPr>
              <w:t>年度财务决算报告的议案》</w:t>
            </w:r>
            <w:r>
              <w:rPr>
                <w:rStyle w:val="font11"/>
                <w:rFonts w:ascii="宋体" w:hAnsi="宋体"/>
                <w:sz w:val="18"/>
                <w:szCs w:val="18"/>
              </w:rPr>
              <w:t xml:space="preserve"> </w:t>
            </w:r>
            <w:r>
              <w:rPr>
                <w:rFonts w:ascii="宋体" w:hAnsi="宋体"/>
                <w:color w:val="000000"/>
                <w:sz w:val="18"/>
                <w:szCs w:val="18"/>
              </w:rPr>
              <w:br/>
            </w:r>
            <w:r>
              <w:rPr>
                <w:rStyle w:val="font11"/>
                <w:rFonts w:ascii="宋体" w:hAnsi="宋体"/>
                <w:sz w:val="18"/>
                <w:szCs w:val="18"/>
              </w:rPr>
              <w:t>5.</w:t>
            </w:r>
            <w:r>
              <w:rPr>
                <w:rStyle w:val="font21"/>
                <w:rFonts w:hint="default"/>
                <w:sz w:val="18"/>
                <w:szCs w:val="18"/>
              </w:rPr>
              <w:t>《关于公司</w:t>
            </w:r>
            <w:r>
              <w:rPr>
                <w:rStyle w:val="font11"/>
                <w:rFonts w:ascii="宋体" w:hAnsi="宋体"/>
                <w:sz w:val="18"/>
                <w:szCs w:val="18"/>
              </w:rPr>
              <w:t>2024</w:t>
            </w:r>
            <w:r>
              <w:rPr>
                <w:rStyle w:val="font21"/>
                <w:rFonts w:hint="default"/>
                <w:sz w:val="18"/>
                <w:szCs w:val="18"/>
              </w:rPr>
              <w:t>年年度报告全文及其摘要的议案》</w:t>
            </w:r>
            <w:r>
              <w:rPr>
                <w:rFonts w:ascii="宋体" w:hAnsi="宋体" w:hint="eastAsia"/>
                <w:color w:val="000000"/>
                <w:sz w:val="18"/>
                <w:szCs w:val="18"/>
              </w:rPr>
              <w:br/>
            </w:r>
            <w:r>
              <w:rPr>
                <w:rStyle w:val="font11"/>
                <w:rFonts w:ascii="宋体" w:hAnsi="宋体"/>
                <w:sz w:val="18"/>
                <w:szCs w:val="18"/>
              </w:rPr>
              <w:t>6.</w:t>
            </w:r>
            <w:r>
              <w:rPr>
                <w:rStyle w:val="font21"/>
                <w:rFonts w:hint="default"/>
                <w:sz w:val="18"/>
                <w:szCs w:val="18"/>
              </w:rPr>
              <w:t>《关于减少注册资本并修订</w:t>
            </w:r>
            <w:r>
              <w:rPr>
                <w:rStyle w:val="font11"/>
                <w:rFonts w:ascii="宋体" w:hAnsi="宋体"/>
                <w:sz w:val="18"/>
                <w:szCs w:val="18"/>
              </w:rPr>
              <w:t>&lt;</w:t>
            </w:r>
            <w:r>
              <w:rPr>
                <w:rStyle w:val="font21"/>
                <w:rFonts w:hint="default"/>
                <w:sz w:val="18"/>
                <w:szCs w:val="18"/>
              </w:rPr>
              <w:t>公司章程</w:t>
            </w:r>
            <w:r>
              <w:rPr>
                <w:rStyle w:val="font11"/>
                <w:rFonts w:ascii="宋体" w:hAnsi="宋体"/>
                <w:sz w:val="18"/>
                <w:szCs w:val="18"/>
              </w:rPr>
              <w:t>&gt;</w:t>
            </w:r>
            <w:r>
              <w:rPr>
                <w:rStyle w:val="font21"/>
                <w:rFonts w:hint="default"/>
                <w:sz w:val="18"/>
                <w:szCs w:val="18"/>
              </w:rPr>
              <w:t>的议案》</w:t>
            </w:r>
            <w:r>
              <w:rPr>
                <w:rFonts w:ascii="宋体" w:hAnsi="宋体" w:hint="eastAsia"/>
                <w:color w:val="000000"/>
                <w:sz w:val="18"/>
                <w:szCs w:val="18"/>
              </w:rPr>
              <w:br/>
            </w:r>
            <w:r>
              <w:rPr>
                <w:rStyle w:val="font11"/>
                <w:rFonts w:ascii="宋体" w:hAnsi="宋体"/>
                <w:sz w:val="18"/>
                <w:szCs w:val="18"/>
              </w:rPr>
              <w:t>7.</w:t>
            </w:r>
            <w:r>
              <w:rPr>
                <w:rStyle w:val="font21"/>
                <w:rFonts w:hint="default"/>
                <w:sz w:val="18"/>
                <w:szCs w:val="18"/>
              </w:rPr>
              <w:t>《关于公司</w:t>
            </w:r>
            <w:r>
              <w:rPr>
                <w:rStyle w:val="font11"/>
                <w:rFonts w:ascii="宋体" w:hAnsi="宋体"/>
                <w:sz w:val="18"/>
                <w:szCs w:val="18"/>
              </w:rPr>
              <w:t>2025</w:t>
            </w:r>
            <w:r>
              <w:rPr>
                <w:rStyle w:val="font21"/>
                <w:rFonts w:hint="default"/>
                <w:sz w:val="18"/>
                <w:szCs w:val="18"/>
              </w:rPr>
              <w:t>年第一季度报告的议案》</w:t>
            </w:r>
            <w:r>
              <w:rPr>
                <w:rFonts w:ascii="宋体" w:hAnsi="宋体" w:hint="eastAsia"/>
                <w:color w:val="000000"/>
                <w:sz w:val="18"/>
                <w:szCs w:val="18"/>
              </w:rPr>
              <w:br/>
            </w:r>
            <w:r>
              <w:rPr>
                <w:rStyle w:val="font11"/>
                <w:rFonts w:ascii="宋体" w:hAnsi="宋体"/>
                <w:sz w:val="18"/>
                <w:szCs w:val="18"/>
              </w:rPr>
              <w:t>8</w:t>
            </w:r>
            <w:r>
              <w:rPr>
                <w:rStyle w:val="font11"/>
                <w:rFonts w:ascii="宋体" w:hAnsi="宋体" w:hint="eastAsia"/>
                <w:sz w:val="18"/>
                <w:szCs w:val="18"/>
              </w:rPr>
              <w:t>.</w:t>
            </w:r>
            <w:r>
              <w:rPr>
                <w:rStyle w:val="font21"/>
                <w:rFonts w:hint="default"/>
                <w:sz w:val="18"/>
                <w:szCs w:val="18"/>
              </w:rPr>
              <w:t>《关于续聘会计师事务所的议案》</w:t>
            </w:r>
          </w:p>
        </w:tc>
        <w:tc>
          <w:tcPr>
            <w:tcW w:w="2208" w:type="dxa"/>
            <w:vAlign w:val="center"/>
          </w:tcPr>
          <w:p w14:paraId="0E7D676B"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72FB3E80" w14:textId="77777777">
        <w:tc>
          <w:tcPr>
            <w:tcW w:w="1242" w:type="dxa"/>
            <w:vAlign w:val="center"/>
          </w:tcPr>
          <w:p w14:paraId="064F7A61" w14:textId="77777777" w:rsidR="00577D08" w:rsidRDefault="00330FC0">
            <w:pPr>
              <w:widowControl w:val="0"/>
              <w:jc w:val="both"/>
              <w:rPr>
                <w:rFonts w:ascii="宋体" w:hAnsi="宋体" w:hint="eastAsia"/>
                <w:sz w:val="18"/>
                <w:szCs w:val="18"/>
              </w:rPr>
            </w:pPr>
            <w:r>
              <w:rPr>
                <w:rFonts w:ascii="宋体" w:hAnsi="宋体"/>
                <w:sz w:val="18"/>
                <w:szCs w:val="18"/>
              </w:rPr>
              <w:t>2025.08.27</w:t>
            </w:r>
          </w:p>
        </w:tc>
        <w:tc>
          <w:tcPr>
            <w:tcW w:w="1843" w:type="dxa"/>
            <w:vAlign w:val="center"/>
          </w:tcPr>
          <w:p w14:paraId="32169310"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第四届董事会审计委员会第八次会议</w:t>
            </w:r>
          </w:p>
        </w:tc>
        <w:tc>
          <w:tcPr>
            <w:tcW w:w="3742" w:type="dxa"/>
            <w:tcBorders>
              <w:top w:val="single" w:sz="4" w:space="0" w:color="000000"/>
              <w:left w:val="single" w:sz="4" w:space="0" w:color="000000"/>
              <w:bottom w:val="single" w:sz="4" w:space="0" w:color="000000"/>
              <w:right w:val="single" w:sz="4" w:space="0" w:color="000000"/>
            </w:tcBorders>
            <w:vAlign w:val="center"/>
          </w:tcPr>
          <w:p w14:paraId="27148CA7"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5A64B337" w14:textId="77777777" w:rsidR="00577D08" w:rsidRDefault="00330FC0">
            <w:pPr>
              <w:widowControl w:val="0"/>
              <w:jc w:val="both"/>
              <w:rPr>
                <w:rFonts w:ascii="宋体" w:hAnsi="宋体" w:hint="eastAsia"/>
                <w:sz w:val="18"/>
                <w:szCs w:val="18"/>
              </w:rPr>
            </w:pPr>
            <w:r>
              <w:rPr>
                <w:rStyle w:val="font11"/>
                <w:rFonts w:ascii="宋体" w:hAnsi="宋体"/>
                <w:sz w:val="18"/>
                <w:szCs w:val="18"/>
              </w:rPr>
              <w:t>1.</w:t>
            </w:r>
            <w:r>
              <w:rPr>
                <w:rStyle w:val="font21"/>
                <w:rFonts w:hint="default"/>
                <w:sz w:val="18"/>
                <w:szCs w:val="18"/>
              </w:rPr>
              <w:t>《关于公司</w:t>
            </w:r>
            <w:r>
              <w:rPr>
                <w:rStyle w:val="font11"/>
                <w:rFonts w:ascii="宋体" w:hAnsi="宋体"/>
                <w:sz w:val="18"/>
                <w:szCs w:val="18"/>
              </w:rPr>
              <w:t>&lt;2025</w:t>
            </w:r>
            <w:r>
              <w:rPr>
                <w:rStyle w:val="font21"/>
                <w:rFonts w:hint="default"/>
                <w:sz w:val="18"/>
                <w:szCs w:val="18"/>
              </w:rPr>
              <w:t>年半年度报告</w:t>
            </w:r>
            <w:r>
              <w:rPr>
                <w:rStyle w:val="font11"/>
                <w:rFonts w:ascii="宋体" w:hAnsi="宋体"/>
                <w:sz w:val="18"/>
                <w:szCs w:val="18"/>
              </w:rPr>
              <w:t>&gt;</w:t>
            </w:r>
            <w:r>
              <w:rPr>
                <w:rStyle w:val="font21"/>
                <w:rFonts w:hint="default"/>
                <w:sz w:val="18"/>
                <w:szCs w:val="18"/>
              </w:rPr>
              <w:t>及其摘要的议案》</w:t>
            </w:r>
            <w:r>
              <w:rPr>
                <w:rFonts w:ascii="宋体" w:hAnsi="宋体" w:hint="eastAsia"/>
                <w:color w:val="000000"/>
                <w:sz w:val="18"/>
                <w:szCs w:val="18"/>
              </w:rPr>
              <w:br/>
            </w:r>
            <w:r>
              <w:rPr>
                <w:rStyle w:val="font11"/>
                <w:rFonts w:ascii="宋体" w:hAnsi="宋体"/>
                <w:sz w:val="18"/>
                <w:szCs w:val="18"/>
              </w:rPr>
              <w:t xml:space="preserve">2. </w:t>
            </w:r>
            <w:r>
              <w:rPr>
                <w:rStyle w:val="font21"/>
                <w:rFonts w:hint="default"/>
                <w:sz w:val="18"/>
                <w:szCs w:val="18"/>
              </w:rPr>
              <w:t>《关于公司</w:t>
            </w:r>
            <w:r>
              <w:rPr>
                <w:rStyle w:val="font11"/>
                <w:rFonts w:ascii="宋体" w:hAnsi="宋体"/>
                <w:sz w:val="18"/>
                <w:szCs w:val="18"/>
              </w:rPr>
              <w:t>&lt;2025</w:t>
            </w:r>
            <w:r>
              <w:rPr>
                <w:rStyle w:val="font21"/>
                <w:rFonts w:hint="default"/>
                <w:sz w:val="18"/>
                <w:szCs w:val="18"/>
              </w:rPr>
              <w:t>年半年度募集资金存放与使用情况的专项报告</w:t>
            </w:r>
            <w:r>
              <w:rPr>
                <w:rStyle w:val="font11"/>
                <w:rFonts w:ascii="宋体" w:hAnsi="宋体"/>
                <w:sz w:val="18"/>
                <w:szCs w:val="18"/>
              </w:rPr>
              <w:t>&gt;</w:t>
            </w:r>
            <w:r>
              <w:rPr>
                <w:rStyle w:val="font21"/>
                <w:rFonts w:hint="default"/>
                <w:sz w:val="18"/>
                <w:szCs w:val="18"/>
              </w:rPr>
              <w:t>的议案》</w:t>
            </w:r>
          </w:p>
        </w:tc>
        <w:tc>
          <w:tcPr>
            <w:tcW w:w="2208" w:type="dxa"/>
            <w:vAlign w:val="center"/>
          </w:tcPr>
          <w:p w14:paraId="643C28EF"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40A5B340" w14:textId="77777777">
        <w:tc>
          <w:tcPr>
            <w:tcW w:w="1242" w:type="dxa"/>
            <w:vAlign w:val="center"/>
          </w:tcPr>
          <w:p w14:paraId="2B99A0FF" w14:textId="77777777" w:rsidR="00577D08" w:rsidRDefault="00330FC0">
            <w:pPr>
              <w:widowControl w:val="0"/>
              <w:jc w:val="both"/>
              <w:rPr>
                <w:rFonts w:ascii="宋体" w:hAnsi="宋体" w:hint="eastAsia"/>
                <w:sz w:val="18"/>
                <w:szCs w:val="18"/>
              </w:rPr>
            </w:pPr>
            <w:r>
              <w:rPr>
                <w:rFonts w:ascii="宋体" w:hAnsi="宋体" w:hint="eastAsia"/>
                <w:sz w:val="18"/>
                <w:szCs w:val="18"/>
              </w:rPr>
              <w:t>2025.</w:t>
            </w:r>
            <w:r>
              <w:rPr>
                <w:rFonts w:ascii="宋体" w:hAnsi="宋体"/>
                <w:sz w:val="18"/>
                <w:szCs w:val="18"/>
              </w:rPr>
              <w:t>10.28</w:t>
            </w:r>
          </w:p>
        </w:tc>
        <w:tc>
          <w:tcPr>
            <w:tcW w:w="1843" w:type="dxa"/>
            <w:vAlign w:val="center"/>
          </w:tcPr>
          <w:p w14:paraId="3FC23113"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第四届董事会审计委员会第九次会议</w:t>
            </w:r>
          </w:p>
        </w:tc>
        <w:tc>
          <w:tcPr>
            <w:tcW w:w="3742" w:type="dxa"/>
            <w:tcBorders>
              <w:top w:val="single" w:sz="4" w:space="0" w:color="000000"/>
              <w:left w:val="single" w:sz="4" w:space="0" w:color="000000"/>
              <w:bottom w:val="single" w:sz="4" w:space="0" w:color="000000"/>
              <w:right w:val="single" w:sz="4" w:space="0" w:color="000000"/>
            </w:tcBorders>
            <w:vAlign w:val="center"/>
          </w:tcPr>
          <w:p w14:paraId="17E188F6"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424FFDCA" w14:textId="77777777" w:rsidR="00577D08" w:rsidRDefault="00330FC0">
            <w:pPr>
              <w:widowControl w:val="0"/>
              <w:jc w:val="both"/>
              <w:rPr>
                <w:rFonts w:ascii="宋体" w:hAnsi="宋体" w:hint="eastAsia"/>
                <w:sz w:val="18"/>
                <w:szCs w:val="18"/>
              </w:rPr>
            </w:pPr>
            <w:r>
              <w:rPr>
                <w:rFonts w:ascii="宋体" w:hAnsi="宋体"/>
                <w:color w:val="000000"/>
                <w:sz w:val="18"/>
                <w:szCs w:val="18"/>
              </w:rPr>
              <w:t>《关于公司&lt;2025年第三季度报告&gt;的议案》</w:t>
            </w:r>
          </w:p>
        </w:tc>
        <w:tc>
          <w:tcPr>
            <w:tcW w:w="2208" w:type="dxa"/>
            <w:vAlign w:val="center"/>
          </w:tcPr>
          <w:p w14:paraId="11C7FF9C"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0F57C2EE" w14:textId="77777777">
        <w:tc>
          <w:tcPr>
            <w:tcW w:w="1242" w:type="dxa"/>
            <w:vAlign w:val="center"/>
          </w:tcPr>
          <w:p w14:paraId="2FDA8534" w14:textId="77777777" w:rsidR="00577D08" w:rsidRDefault="00330FC0">
            <w:pPr>
              <w:widowControl w:val="0"/>
              <w:jc w:val="both"/>
              <w:rPr>
                <w:rFonts w:ascii="宋体" w:hAnsi="宋体" w:hint="eastAsia"/>
                <w:sz w:val="18"/>
                <w:szCs w:val="18"/>
              </w:rPr>
            </w:pPr>
            <w:r>
              <w:rPr>
                <w:rFonts w:ascii="宋体" w:hAnsi="宋体" w:hint="eastAsia"/>
                <w:sz w:val="18"/>
                <w:szCs w:val="18"/>
              </w:rPr>
              <w:t>2</w:t>
            </w:r>
            <w:r>
              <w:rPr>
                <w:rFonts w:ascii="宋体" w:hAnsi="宋体"/>
                <w:sz w:val="18"/>
                <w:szCs w:val="18"/>
              </w:rPr>
              <w:t>025.12.09</w:t>
            </w:r>
          </w:p>
        </w:tc>
        <w:tc>
          <w:tcPr>
            <w:tcW w:w="1843" w:type="dxa"/>
            <w:vAlign w:val="center"/>
          </w:tcPr>
          <w:p w14:paraId="6D34E565"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第四届董事会审计委员会第十次会议</w:t>
            </w:r>
          </w:p>
        </w:tc>
        <w:tc>
          <w:tcPr>
            <w:tcW w:w="3742" w:type="dxa"/>
            <w:tcBorders>
              <w:top w:val="single" w:sz="4" w:space="0" w:color="000000"/>
              <w:left w:val="single" w:sz="4" w:space="0" w:color="000000"/>
              <w:bottom w:val="single" w:sz="4" w:space="0" w:color="000000"/>
              <w:right w:val="single" w:sz="4" w:space="0" w:color="000000"/>
            </w:tcBorders>
            <w:vAlign w:val="center"/>
          </w:tcPr>
          <w:p w14:paraId="215134CD"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43635F89" w14:textId="77777777" w:rsidR="00577D08" w:rsidRDefault="00330FC0">
            <w:pPr>
              <w:widowControl w:val="0"/>
              <w:jc w:val="both"/>
              <w:rPr>
                <w:rFonts w:ascii="宋体" w:hAnsi="宋体" w:hint="eastAsia"/>
                <w:sz w:val="18"/>
                <w:szCs w:val="18"/>
              </w:rPr>
            </w:pPr>
            <w:r>
              <w:rPr>
                <w:rStyle w:val="font11"/>
                <w:rFonts w:ascii="宋体" w:hAnsi="宋体"/>
                <w:sz w:val="18"/>
                <w:szCs w:val="18"/>
              </w:rPr>
              <w:t>1.</w:t>
            </w:r>
            <w:r>
              <w:rPr>
                <w:rStyle w:val="font21"/>
                <w:rFonts w:hint="default"/>
                <w:sz w:val="18"/>
                <w:szCs w:val="18"/>
              </w:rPr>
              <w:t>《关于取消监事会并修订</w:t>
            </w:r>
            <w:r>
              <w:rPr>
                <w:rStyle w:val="font11"/>
                <w:rFonts w:ascii="宋体" w:hAnsi="宋体"/>
                <w:sz w:val="18"/>
                <w:szCs w:val="18"/>
              </w:rPr>
              <w:t>&lt;</w:t>
            </w:r>
            <w:r>
              <w:rPr>
                <w:rStyle w:val="font21"/>
                <w:rFonts w:hint="default"/>
                <w:sz w:val="18"/>
                <w:szCs w:val="18"/>
              </w:rPr>
              <w:t>公司章程</w:t>
            </w:r>
            <w:r>
              <w:rPr>
                <w:rStyle w:val="font11"/>
                <w:rFonts w:ascii="宋体" w:hAnsi="宋体"/>
                <w:sz w:val="18"/>
                <w:szCs w:val="18"/>
              </w:rPr>
              <w:t>&gt;</w:t>
            </w:r>
            <w:r>
              <w:rPr>
                <w:rStyle w:val="font21"/>
                <w:rFonts w:hint="default"/>
                <w:sz w:val="18"/>
                <w:szCs w:val="18"/>
              </w:rPr>
              <w:t>及其附件的议案》</w:t>
            </w:r>
            <w:r>
              <w:rPr>
                <w:rFonts w:ascii="宋体" w:hAnsi="宋体" w:hint="eastAsia"/>
                <w:color w:val="000000"/>
                <w:sz w:val="18"/>
                <w:szCs w:val="18"/>
              </w:rPr>
              <w:br/>
            </w:r>
            <w:r>
              <w:rPr>
                <w:rStyle w:val="font11"/>
                <w:rFonts w:ascii="宋体" w:hAnsi="宋体"/>
                <w:sz w:val="18"/>
                <w:szCs w:val="18"/>
              </w:rPr>
              <w:t>2.</w:t>
            </w:r>
            <w:r>
              <w:rPr>
                <w:rStyle w:val="font21"/>
                <w:rFonts w:hint="default"/>
                <w:sz w:val="18"/>
                <w:szCs w:val="18"/>
              </w:rPr>
              <w:t>《关于修订、制定部分公司治理制度的议案》</w:t>
            </w:r>
            <w:r>
              <w:rPr>
                <w:rFonts w:ascii="宋体" w:hAnsi="宋体" w:hint="eastAsia"/>
                <w:color w:val="000000"/>
                <w:sz w:val="18"/>
                <w:szCs w:val="18"/>
              </w:rPr>
              <w:br/>
            </w:r>
            <w:r>
              <w:rPr>
                <w:rStyle w:val="font11"/>
                <w:rFonts w:ascii="宋体" w:hAnsi="宋体"/>
                <w:sz w:val="18"/>
                <w:szCs w:val="18"/>
              </w:rPr>
              <w:t>3.</w:t>
            </w:r>
            <w:r>
              <w:rPr>
                <w:rStyle w:val="font21"/>
                <w:rFonts w:hint="default"/>
                <w:sz w:val="18"/>
                <w:szCs w:val="18"/>
              </w:rPr>
              <w:t>《关于首次公开发行股票募投项目结项并将节余募集资金永久补流及注销募集资金专户的议案》</w:t>
            </w:r>
            <w:r>
              <w:rPr>
                <w:rFonts w:ascii="宋体" w:hAnsi="宋体" w:hint="eastAsia"/>
                <w:color w:val="000000"/>
                <w:sz w:val="18"/>
                <w:szCs w:val="18"/>
              </w:rPr>
              <w:br/>
            </w:r>
            <w:r>
              <w:rPr>
                <w:rStyle w:val="font11"/>
                <w:rFonts w:ascii="宋体" w:hAnsi="宋体"/>
                <w:sz w:val="18"/>
                <w:szCs w:val="18"/>
              </w:rPr>
              <w:t>4.</w:t>
            </w:r>
            <w:r>
              <w:rPr>
                <w:rStyle w:val="font21"/>
                <w:rFonts w:hint="default"/>
                <w:sz w:val="18"/>
                <w:szCs w:val="18"/>
              </w:rPr>
              <w:t>《关于终止实施</w:t>
            </w:r>
            <w:r>
              <w:rPr>
                <w:rStyle w:val="font11"/>
                <w:rFonts w:ascii="宋体" w:hAnsi="宋体"/>
                <w:sz w:val="18"/>
                <w:szCs w:val="18"/>
              </w:rPr>
              <w:t>2024</w:t>
            </w:r>
            <w:r>
              <w:rPr>
                <w:rStyle w:val="font21"/>
                <w:rFonts w:hint="default"/>
                <w:sz w:val="18"/>
                <w:szCs w:val="18"/>
              </w:rPr>
              <w:t>年限制性股票激励计划暨回购注销相关股票并调整回购价格的议案》</w:t>
            </w:r>
            <w:r>
              <w:rPr>
                <w:rFonts w:ascii="宋体" w:hAnsi="宋体" w:hint="eastAsia"/>
                <w:color w:val="000000"/>
                <w:sz w:val="18"/>
                <w:szCs w:val="18"/>
              </w:rPr>
              <w:br/>
            </w:r>
            <w:r>
              <w:rPr>
                <w:rStyle w:val="font11"/>
                <w:rFonts w:ascii="宋体" w:hAnsi="宋体"/>
                <w:sz w:val="18"/>
                <w:szCs w:val="18"/>
              </w:rPr>
              <w:lastRenderedPageBreak/>
              <w:t>5.</w:t>
            </w:r>
            <w:r>
              <w:rPr>
                <w:rStyle w:val="font21"/>
                <w:rFonts w:hint="default"/>
                <w:sz w:val="18"/>
                <w:szCs w:val="18"/>
              </w:rPr>
              <w:t>《关于注销公司已回购未使用股票的议案》</w:t>
            </w:r>
            <w:r>
              <w:rPr>
                <w:rFonts w:ascii="宋体" w:hAnsi="宋体" w:hint="eastAsia"/>
                <w:color w:val="000000"/>
                <w:sz w:val="18"/>
                <w:szCs w:val="18"/>
              </w:rPr>
              <w:br/>
            </w:r>
            <w:r>
              <w:rPr>
                <w:rStyle w:val="font11"/>
                <w:rFonts w:ascii="宋体" w:hAnsi="宋体"/>
                <w:sz w:val="18"/>
                <w:szCs w:val="18"/>
              </w:rPr>
              <w:t>6.</w:t>
            </w:r>
            <w:r>
              <w:rPr>
                <w:rStyle w:val="font21"/>
                <w:rFonts w:hint="default"/>
                <w:sz w:val="18"/>
                <w:szCs w:val="18"/>
              </w:rPr>
              <w:t>《关于</w:t>
            </w:r>
            <w:r>
              <w:rPr>
                <w:rStyle w:val="font11"/>
                <w:rFonts w:ascii="宋体" w:hAnsi="宋体"/>
                <w:sz w:val="18"/>
                <w:szCs w:val="18"/>
              </w:rPr>
              <w:t>2026</w:t>
            </w:r>
            <w:r>
              <w:rPr>
                <w:rStyle w:val="font21"/>
                <w:rFonts w:hint="default"/>
                <w:sz w:val="18"/>
                <w:szCs w:val="18"/>
              </w:rPr>
              <w:t>年度财务预算报告的议案》</w:t>
            </w:r>
            <w:r>
              <w:rPr>
                <w:rFonts w:ascii="宋体" w:hAnsi="宋体" w:hint="eastAsia"/>
                <w:color w:val="000000"/>
                <w:sz w:val="18"/>
                <w:szCs w:val="18"/>
              </w:rPr>
              <w:br/>
            </w:r>
            <w:r>
              <w:rPr>
                <w:rStyle w:val="font11"/>
                <w:rFonts w:ascii="宋体" w:hAnsi="宋体"/>
                <w:sz w:val="18"/>
                <w:szCs w:val="18"/>
              </w:rPr>
              <w:t>7.</w:t>
            </w:r>
            <w:r>
              <w:rPr>
                <w:rStyle w:val="font21"/>
                <w:rFonts w:hint="default"/>
                <w:sz w:val="18"/>
                <w:szCs w:val="18"/>
              </w:rPr>
              <w:t>《关于预计</w:t>
            </w:r>
            <w:r>
              <w:rPr>
                <w:rStyle w:val="font11"/>
                <w:rFonts w:ascii="宋体" w:hAnsi="宋体"/>
                <w:sz w:val="18"/>
                <w:szCs w:val="18"/>
              </w:rPr>
              <w:t>2026</w:t>
            </w:r>
            <w:r>
              <w:rPr>
                <w:rStyle w:val="font21"/>
                <w:rFonts w:hint="default"/>
                <w:sz w:val="18"/>
                <w:szCs w:val="18"/>
              </w:rPr>
              <w:t>年度向银行等金融机构申请综合授信额度及为子公司提供融资担保额度的议案》</w:t>
            </w:r>
            <w:r>
              <w:rPr>
                <w:rFonts w:ascii="宋体" w:hAnsi="宋体" w:hint="eastAsia"/>
                <w:color w:val="000000"/>
                <w:sz w:val="18"/>
                <w:szCs w:val="18"/>
              </w:rPr>
              <w:br/>
            </w:r>
            <w:r>
              <w:rPr>
                <w:rStyle w:val="font11"/>
                <w:rFonts w:ascii="宋体" w:hAnsi="宋体"/>
                <w:sz w:val="18"/>
                <w:szCs w:val="18"/>
              </w:rPr>
              <w:t>8.</w:t>
            </w:r>
            <w:r>
              <w:rPr>
                <w:rStyle w:val="font21"/>
                <w:rFonts w:hint="default"/>
                <w:sz w:val="18"/>
                <w:szCs w:val="18"/>
              </w:rPr>
              <w:t>《关于预计</w:t>
            </w:r>
            <w:r>
              <w:rPr>
                <w:rStyle w:val="font11"/>
                <w:rFonts w:ascii="宋体" w:hAnsi="宋体"/>
                <w:sz w:val="18"/>
                <w:szCs w:val="18"/>
              </w:rPr>
              <w:t>2026</w:t>
            </w:r>
            <w:r>
              <w:rPr>
                <w:rStyle w:val="font21"/>
                <w:rFonts w:hint="default"/>
                <w:sz w:val="18"/>
                <w:szCs w:val="18"/>
              </w:rPr>
              <w:t>年度日常关联交易的议案》</w:t>
            </w:r>
            <w:r>
              <w:rPr>
                <w:rFonts w:ascii="宋体" w:hAnsi="宋体" w:hint="eastAsia"/>
                <w:color w:val="000000"/>
                <w:sz w:val="18"/>
                <w:szCs w:val="18"/>
              </w:rPr>
              <w:br/>
            </w:r>
            <w:r>
              <w:rPr>
                <w:rStyle w:val="font11"/>
                <w:rFonts w:ascii="宋体" w:hAnsi="宋体"/>
                <w:sz w:val="18"/>
                <w:szCs w:val="18"/>
              </w:rPr>
              <w:t>9.</w:t>
            </w:r>
            <w:r>
              <w:rPr>
                <w:rStyle w:val="font21"/>
                <w:rFonts w:hint="default"/>
                <w:sz w:val="18"/>
                <w:szCs w:val="18"/>
              </w:rPr>
              <w:t>《关于预计</w:t>
            </w:r>
            <w:r>
              <w:rPr>
                <w:rStyle w:val="font11"/>
                <w:rFonts w:ascii="宋体" w:hAnsi="宋体"/>
                <w:sz w:val="18"/>
                <w:szCs w:val="18"/>
              </w:rPr>
              <w:t>2026</w:t>
            </w:r>
            <w:r>
              <w:rPr>
                <w:rStyle w:val="font21"/>
                <w:rFonts w:hint="default"/>
                <w:sz w:val="18"/>
                <w:szCs w:val="18"/>
              </w:rPr>
              <w:t>年度使用闲置自有资金进行现金管理的议案》</w:t>
            </w:r>
            <w:r>
              <w:rPr>
                <w:rFonts w:ascii="宋体" w:hAnsi="宋体" w:hint="eastAsia"/>
                <w:color w:val="000000"/>
                <w:sz w:val="18"/>
                <w:szCs w:val="18"/>
              </w:rPr>
              <w:br/>
            </w:r>
            <w:r>
              <w:rPr>
                <w:rStyle w:val="font11"/>
                <w:rFonts w:ascii="宋体" w:hAnsi="宋体"/>
                <w:sz w:val="18"/>
                <w:szCs w:val="18"/>
              </w:rPr>
              <w:t>10.</w:t>
            </w:r>
            <w:r>
              <w:rPr>
                <w:rStyle w:val="font21"/>
                <w:rFonts w:hint="default"/>
                <w:sz w:val="18"/>
                <w:szCs w:val="18"/>
              </w:rPr>
              <w:t>《关于预计</w:t>
            </w:r>
            <w:r>
              <w:rPr>
                <w:rStyle w:val="font11"/>
                <w:rFonts w:ascii="宋体" w:hAnsi="宋体"/>
                <w:sz w:val="18"/>
                <w:szCs w:val="18"/>
              </w:rPr>
              <w:t>2026</w:t>
            </w:r>
            <w:r>
              <w:rPr>
                <w:rStyle w:val="font21"/>
                <w:rFonts w:hint="default"/>
                <w:sz w:val="18"/>
                <w:szCs w:val="18"/>
              </w:rPr>
              <w:t>年度开展外汇套期保值业务的议案》</w:t>
            </w:r>
          </w:p>
        </w:tc>
        <w:tc>
          <w:tcPr>
            <w:tcW w:w="2208" w:type="dxa"/>
            <w:vAlign w:val="center"/>
          </w:tcPr>
          <w:p w14:paraId="5654D40C" w14:textId="77777777" w:rsidR="00577D08" w:rsidRDefault="00330FC0">
            <w:pPr>
              <w:widowControl w:val="0"/>
              <w:jc w:val="both"/>
              <w:rPr>
                <w:rFonts w:ascii="宋体" w:hAnsi="宋体" w:hint="eastAsia"/>
                <w:sz w:val="18"/>
                <w:szCs w:val="18"/>
              </w:rPr>
            </w:pPr>
            <w:r>
              <w:rPr>
                <w:rFonts w:ascii="宋体" w:hAnsi="宋体" w:hint="eastAsia"/>
                <w:sz w:val="18"/>
                <w:szCs w:val="18"/>
              </w:rPr>
              <w:lastRenderedPageBreak/>
              <w:t>审议通过本次会议议案后提交董事会审议</w:t>
            </w:r>
          </w:p>
        </w:tc>
      </w:tr>
    </w:tbl>
    <w:p w14:paraId="34DDCD86" w14:textId="77777777" w:rsidR="00577D08" w:rsidRDefault="00330FC0">
      <w:pPr>
        <w:pStyle w:val="3"/>
        <w:numPr>
          <w:ilvl w:val="0"/>
          <w:numId w:val="22"/>
        </w:numPr>
        <w:rPr>
          <w:rFonts w:ascii="宋体" w:hAnsi="宋体" w:cs="宋体" w:hint="eastAsia"/>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1054814726"/>
          <w:placeholder>
            <w:docPart w:val="30169DAF192B4B0AA1A69B2098A1161B"/>
          </w:placeholder>
        </w:sdtPr>
        <w:sdtContent>
          <w:r>
            <w:rPr>
              <w:rFonts w:ascii="宋体" w:hAnsi="宋体" w:cs="宋体" w:hint="eastAsia"/>
              <w:kern w:val="0"/>
              <w:szCs w:val="24"/>
            </w:rPr>
            <w:t>董事会薪酬与考核</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1447048119"/>
          <w:placeholder>
            <w:docPart w:val="30169DAF192B4B0AA1A69B2098A1161B"/>
          </w:placeholder>
        </w:sdtPr>
        <w:sdtContent>
          <w:r>
            <w:rPr>
              <w:rFonts w:ascii="宋体" w:hAnsi="宋体" w:cs="宋体"/>
              <w:kern w:val="0"/>
              <w:szCs w:val="24"/>
            </w:rPr>
            <w:t>3</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3742"/>
        <w:gridCol w:w="2208"/>
      </w:tblGrid>
      <w:tr w:rsidR="00577D08" w14:paraId="1EEACA33" w14:textId="77777777">
        <w:trPr>
          <w:trHeight w:val="397"/>
        </w:trPr>
        <w:sdt>
          <w:sdtPr>
            <w:rPr>
              <w:rFonts w:ascii="宋体" w:hAnsi="宋体"/>
              <w:sz w:val="18"/>
              <w:szCs w:val="18"/>
            </w:rPr>
            <w:tag w:val="_PLD_81aefc289fbf48b1865138608d8bd14f"/>
            <w:id w:val="1367486553"/>
          </w:sdtPr>
          <w:sdtContent>
            <w:tc>
              <w:tcPr>
                <w:tcW w:w="1242" w:type="dxa"/>
                <w:vAlign w:val="center"/>
              </w:tcPr>
              <w:p w14:paraId="3C2255D6" w14:textId="77777777" w:rsidR="00577D08" w:rsidRDefault="00330FC0">
                <w:pPr>
                  <w:widowControl w:val="0"/>
                  <w:jc w:val="center"/>
                  <w:rPr>
                    <w:rFonts w:ascii="宋体" w:hAnsi="宋体" w:hint="eastAsia"/>
                    <w:sz w:val="18"/>
                    <w:szCs w:val="18"/>
                  </w:rPr>
                </w:pPr>
                <w:r>
                  <w:rPr>
                    <w:rFonts w:ascii="宋体" w:hAnsi="宋体" w:hint="eastAsia"/>
                    <w:sz w:val="18"/>
                    <w:szCs w:val="18"/>
                  </w:rPr>
                  <w:t>召开日期</w:t>
                </w:r>
              </w:p>
            </w:tc>
          </w:sdtContent>
        </w:sdt>
        <w:sdt>
          <w:sdtPr>
            <w:rPr>
              <w:rFonts w:ascii="宋体" w:hAnsi="宋体"/>
              <w:sz w:val="18"/>
              <w:szCs w:val="18"/>
            </w:rPr>
            <w:tag w:val="_PLD_9d24b601ec70414eb969daf6b393edc8"/>
            <w:id w:val="594596047"/>
          </w:sdtPr>
          <w:sdtContent>
            <w:tc>
              <w:tcPr>
                <w:tcW w:w="1843" w:type="dxa"/>
                <w:vAlign w:val="center"/>
              </w:tcPr>
              <w:p w14:paraId="0C43C983" w14:textId="77777777" w:rsidR="00577D08" w:rsidRDefault="00330FC0">
                <w:pPr>
                  <w:widowControl w:val="0"/>
                  <w:jc w:val="center"/>
                  <w:rPr>
                    <w:rFonts w:ascii="宋体" w:hAnsi="宋体" w:hint="eastAsia"/>
                    <w:sz w:val="18"/>
                    <w:szCs w:val="18"/>
                  </w:rPr>
                </w:pPr>
                <w:r>
                  <w:rPr>
                    <w:rFonts w:ascii="宋体" w:hAnsi="宋体" w:hint="eastAsia"/>
                    <w:sz w:val="18"/>
                    <w:szCs w:val="18"/>
                  </w:rPr>
                  <w:t>会议内容</w:t>
                </w:r>
              </w:p>
            </w:tc>
          </w:sdtContent>
        </w:sdt>
        <w:sdt>
          <w:sdtPr>
            <w:rPr>
              <w:rFonts w:ascii="宋体" w:hAnsi="宋体"/>
              <w:sz w:val="18"/>
              <w:szCs w:val="18"/>
            </w:rPr>
            <w:tag w:val="_PLD_6ea19dadc3684e98a6d98faaf035a9d9"/>
            <w:id w:val="46964664"/>
          </w:sdtPr>
          <w:sdtContent>
            <w:tc>
              <w:tcPr>
                <w:tcW w:w="3742" w:type="dxa"/>
                <w:vAlign w:val="center"/>
              </w:tcPr>
              <w:p w14:paraId="1F96671B" w14:textId="77777777" w:rsidR="00577D08" w:rsidRDefault="00330FC0">
                <w:pPr>
                  <w:widowControl w:val="0"/>
                  <w:jc w:val="center"/>
                  <w:rPr>
                    <w:rFonts w:ascii="宋体" w:hAnsi="宋体" w:hint="eastAsia"/>
                    <w:sz w:val="18"/>
                    <w:szCs w:val="18"/>
                  </w:rPr>
                </w:pPr>
                <w:r>
                  <w:rPr>
                    <w:rFonts w:ascii="宋体" w:hAnsi="宋体" w:hint="eastAsia"/>
                    <w:sz w:val="18"/>
                    <w:szCs w:val="18"/>
                  </w:rPr>
                  <w:t>重要意见和建议</w:t>
                </w:r>
              </w:p>
            </w:tc>
          </w:sdtContent>
        </w:sdt>
        <w:sdt>
          <w:sdtPr>
            <w:rPr>
              <w:rFonts w:ascii="宋体" w:hAnsi="宋体"/>
              <w:sz w:val="18"/>
              <w:szCs w:val="18"/>
            </w:rPr>
            <w:tag w:val="_PLD_ef03d3ffb00740008011022cb6a96805"/>
            <w:id w:val="-1507745435"/>
          </w:sdtPr>
          <w:sdtContent>
            <w:tc>
              <w:tcPr>
                <w:tcW w:w="2208" w:type="dxa"/>
                <w:vAlign w:val="center"/>
              </w:tcPr>
              <w:p w14:paraId="67FE3958" w14:textId="77777777" w:rsidR="00577D08" w:rsidRDefault="00330FC0">
                <w:pPr>
                  <w:widowControl w:val="0"/>
                  <w:jc w:val="center"/>
                  <w:rPr>
                    <w:rFonts w:ascii="宋体" w:hAnsi="宋体" w:hint="eastAsia"/>
                    <w:sz w:val="18"/>
                    <w:szCs w:val="18"/>
                  </w:rPr>
                </w:pPr>
                <w:r>
                  <w:rPr>
                    <w:rFonts w:ascii="宋体" w:hAnsi="宋体" w:hint="eastAsia"/>
                    <w:sz w:val="18"/>
                    <w:szCs w:val="18"/>
                  </w:rPr>
                  <w:t>其他履行职责情况</w:t>
                </w:r>
              </w:p>
            </w:tc>
          </w:sdtContent>
        </w:sdt>
      </w:tr>
      <w:tr w:rsidR="00577D08" w14:paraId="15A4F1F1" w14:textId="77777777">
        <w:tc>
          <w:tcPr>
            <w:tcW w:w="1242" w:type="dxa"/>
            <w:vAlign w:val="center"/>
          </w:tcPr>
          <w:p w14:paraId="305BC937" w14:textId="77777777" w:rsidR="00577D08" w:rsidRDefault="00330FC0">
            <w:pPr>
              <w:widowControl w:val="0"/>
              <w:jc w:val="both"/>
              <w:rPr>
                <w:rFonts w:ascii="宋体" w:hAnsi="宋体" w:hint="eastAsia"/>
                <w:sz w:val="18"/>
                <w:szCs w:val="18"/>
              </w:rPr>
            </w:pPr>
            <w:bookmarkStart w:id="175" w:name="OLE_LINK23"/>
            <w:r>
              <w:rPr>
                <w:rFonts w:ascii="宋体" w:hAnsi="宋体"/>
                <w:sz w:val="18"/>
                <w:szCs w:val="18"/>
              </w:rPr>
              <w:t>2025.01.20</w:t>
            </w:r>
          </w:p>
        </w:tc>
        <w:tc>
          <w:tcPr>
            <w:tcW w:w="1843" w:type="dxa"/>
            <w:vAlign w:val="center"/>
          </w:tcPr>
          <w:p w14:paraId="4C430FC8"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第四届董事会薪酬与考核委员会第四次会议</w:t>
            </w:r>
          </w:p>
        </w:tc>
        <w:tc>
          <w:tcPr>
            <w:tcW w:w="3742" w:type="dxa"/>
          </w:tcPr>
          <w:p w14:paraId="43C14C77"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699F3EC7" w14:textId="77777777" w:rsidR="00577D08" w:rsidRDefault="00330FC0">
            <w:pPr>
              <w:widowControl w:val="0"/>
              <w:jc w:val="both"/>
              <w:rPr>
                <w:rFonts w:ascii="宋体" w:hAnsi="宋体" w:hint="eastAsia"/>
                <w:sz w:val="18"/>
                <w:szCs w:val="18"/>
              </w:rPr>
            </w:pPr>
            <w:r>
              <w:rPr>
                <w:rFonts w:ascii="宋体" w:hAnsi="宋体" w:hint="eastAsia"/>
                <w:sz w:val="18"/>
                <w:szCs w:val="18"/>
              </w:rPr>
              <w:t>《关于向2024年限制性股票激励计划激励对象授予预留部分限制性股票的议案》</w:t>
            </w:r>
          </w:p>
        </w:tc>
        <w:tc>
          <w:tcPr>
            <w:tcW w:w="2208" w:type="dxa"/>
            <w:vAlign w:val="center"/>
          </w:tcPr>
          <w:p w14:paraId="1D38586C"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7F6C6931" w14:textId="77777777">
        <w:tc>
          <w:tcPr>
            <w:tcW w:w="1242" w:type="dxa"/>
            <w:vAlign w:val="center"/>
          </w:tcPr>
          <w:p w14:paraId="73E261B2" w14:textId="77777777" w:rsidR="00577D08" w:rsidRDefault="00330FC0">
            <w:pPr>
              <w:widowControl w:val="0"/>
              <w:jc w:val="both"/>
              <w:rPr>
                <w:rFonts w:ascii="宋体" w:hAnsi="宋体" w:hint="eastAsia"/>
                <w:sz w:val="18"/>
                <w:szCs w:val="18"/>
              </w:rPr>
            </w:pPr>
            <w:r>
              <w:rPr>
                <w:rFonts w:ascii="宋体" w:hAnsi="宋体"/>
                <w:sz w:val="18"/>
                <w:szCs w:val="18"/>
              </w:rPr>
              <w:t>2025.04.24</w:t>
            </w:r>
          </w:p>
        </w:tc>
        <w:tc>
          <w:tcPr>
            <w:tcW w:w="1843" w:type="dxa"/>
            <w:vAlign w:val="center"/>
          </w:tcPr>
          <w:p w14:paraId="4ECADDE1"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第四届董事会薪酬与考核委员会第五次会议</w:t>
            </w:r>
          </w:p>
        </w:tc>
        <w:tc>
          <w:tcPr>
            <w:tcW w:w="3742" w:type="dxa"/>
          </w:tcPr>
          <w:p w14:paraId="57AED016" w14:textId="77777777" w:rsidR="00577D08" w:rsidRDefault="00330FC0">
            <w:pPr>
              <w:widowControl w:val="0"/>
              <w:jc w:val="both"/>
              <w:rPr>
                <w:rFonts w:ascii="宋体" w:hAnsi="宋体" w:hint="eastAsia"/>
                <w:sz w:val="18"/>
                <w:szCs w:val="18"/>
              </w:rPr>
            </w:pPr>
            <w:r>
              <w:rPr>
                <w:rFonts w:ascii="宋体" w:hAnsi="宋体" w:hint="eastAsia"/>
                <w:sz w:val="18"/>
                <w:szCs w:val="18"/>
              </w:rPr>
              <w:t>审议如下议案：</w:t>
            </w:r>
          </w:p>
          <w:p w14:paraId="6871C38A" w14:textId="77777777" w:rsidR="00577D08" w:rsidRDefault="00330FC0">
            <w:pPr>
              <w:widowControl w:val="0"/>
              <w:jc w:val="both"/>
              <w:rPr>
                <w:rFonts w:ascii="宋体" w:hAnsi="宋体" w:hint="eastAsia"/>
                <w:sz w:val="18"/>
                <w:szCs w:val="18"/>
              </w:rPr>
            </w:pPr>
            <w:r>
              <w:rPr>
                <w:rFonts w:ascii="宋体" w:hAnsi="宋体" w:hint="eastAsia"/>
                <w:sz w:val="18"/>
                <w:szCs w:val="18"/>
              </w:rPr>
              <w:t>1.《关于2024年限制性股票激励计划首次授予部分第一个解除限售期解除限售条件未成就暨回购注销部分限制性股票并调整回购价格的议案》</w:t>
            </w:r>
          </w:p>
          <w:p w14:paraId="6F678662" w14:textId="77777777" w:rsidR="00577D08" w:rsidRDefault="00330FC0">
            <w:pPr>
              <w:widowControl w:val="0"/>
              <w:jc w:val="both"/>
              <w:rPr>
                <w:rFonts w:ascii="宋体" w:hAnsi="宋体" w:hint="eastAsia"/>
                <w:sz w:val="18"/>
                <w:szCs w:val="18"/>
              </w:rPr>
            </w:pPr>
            <w:r>
              <w:rPr>
                <w:rFonts w:ascii="宋体" w:hAnsi="宋体" w:hint="eastAsia"/>
                <w:sz w:val="18"/>
                <w:szCs w:val="18"/>
              </w:rPr>
              <w:t>2.《关于审议2025年度高级管理人员薪酬的议案》</w:t>
            </w:r>
          </w:p>
          <w:p w14:paraId="719B441A" w14:textId="77777777" w:rsidR="00577D08" w:rsidRDefault="00330FC0">
            <w:pPr>
              <w:widowControl w:val="0"/>
              <w:jc w:val="both"/>
              <w:rPr>
                <w:rFonts w:ascii="宋体" w:hAnsi="宋体" w:hint="eastAsia"/>
                <w:sz w:val="18"/>
                <w:szCs w:val="18"/>
              </w:rPr>
            </w:pPr>
            <w:r>
              <w:rPr>
                <w:rFonts w:ascii="宋体" w:hAnsi="宋体" w:hint="eastAsia"/>
                <w:sz w:val="18"/>
                <w:szCs w:val="18"/>
              </w:rPr>
              <w:t>3.《关于审议2025年度董事薪酬的议案》</w:t>
            </w:r>
          </w:p>
        </w:tc>
        <w:tc>
          <w:tcPr>
            <w:tcW w:w="2208" w:type="dxa"/>
            <w:vAlign w:val="center"/>
          </w:tcPr>
          <w:p w14:paraId="6C9085DD"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r w:rsidR="00577D08" w14:paraId="2F74D908" w14:textId="77777777">
        <w:tc>
          <w:tcPr>
            <w:tcW w:w="1242" w:type="dxa"/>
            <w:vAlign w:val="center"/>
          </w:tcPr>
          <w:p w14:paraId="7D0C6B04" w14:textId="77777777" w:rsidR="00577D08" w:rsidRDefault="00330FC0">
            <w:pPr>
              <w:widowControl w:val="0"/>
              <w:jc w:val="both"/>
              <w:rPr>
                <w:rFonts w:ascii="宋体" w:hAnsi="宋体" w:hint="eastAsia"/>
                <w:sz w:val="18"/>
                <w:szCs w:val="18"/>
              </w:rPr>
            </w:pPr>
            <w:r>
              <w:rPr>
                <w:rFonts w:ascii="宋体" w:hAnsi="宋体"/>
                <w:sz w:val="18"/>
                <w:szCs w:val="18"/>
              </w:rPr>
              <w:t>2025.12.09</w:t>
            </w:r>
          </w:p>
        </w:tc>
        <w:tc>
          <w:tcPr>
            <w:tcW w:w="1843" w:type="dxa"/>
            <w:vAlign w:val="center"/>
          </w:tcPr>
          <w:p w14:paraId="60728026" w14:textId="77777777" w:rsidR="00577D08" w:rsidRDefault="00330FC0">
            <w:pPr>
              <w:widowControl w:val="0"/>
              <w:jc w:val="both"/>
              <w:rPr>
                <w:rFonts w:ascii="宋体" w:hAnsi="宋体" w:hint="eastAsia"/>
                <w:sz w:val="18"/>
                <w:szCs w:val="18"/>
              </w:rPr>
            </w:pPr>
            <w:r>
              <w:rPr>
                <w:rFonts w:ascii="宋体" w:hAnsi="宋体" w:hint="eastAsia"/>
                <w:sz w:val="18"/>
                <w:szCs w:val="18"/>
              </w:rPr>
              <w:t>第四届董事会薪酬与考核委员会第六次会议</w:t>
            </w:r>
          </w:p>
        </w:tc>
        <w:tc>
          <w:tcPr>
            <w:tcW w:w="3742" w:type="dxa"/>
          </w:tcPr>
          <w:p w14:paraId="23AB09D9" w14:textId="77777777" w:rsidR="00577D08" w:rsidRDefault="00330FC0">
            <w:pPr>
              <w:widowControl w:val="0"/>
              <w:jc w:val="both"/>
              <w:rPr>
                <w:rFonts w:ascii="宋体" w:hAnsi="宋体" w:hint="eastAsia"/>
                <w:sz w:val="18"/>
                <w:szCs w:val="18"/>
              </w:rPr>
            </w:pPr>
            <w:r>
              <w:rPr>
                <w:rFonts w:ascii="宋体" w:hAnsi="宋体" w:hint="eastAsia"/>
                <w:sz w:val="18"/>
                <w:szCs w:val="18"/>
              </w:rPr>
              <w:t>1.《关于终止实施2024年限制性股票激励计划暨回购注销相关股票并调整回购价格的议案》</w:t>
            </w:r>
          </w:p>
          <w:p w14:paraId="73A58DB7" w14:textId="77777777" w:rsidR="00577D08" w:rsidRDefault="00330FC0">
            <w:pPr>
              <w:widowControl w:val="0"/>
              <w:jc w:val="both"/>
              <w:rPr>
                <w:rFonts w:ascii="宋体" w:hAnsi="宋体" w:hint="eastAsia"/>
                <w:sz w:val="18"/>
                <w:szCs w:val="18"/>
              </w:rPr>
            </w:pPr>
            <w:r>
              <w:rPr>
                <w:rFonts w:ascii="宋体" w:hAnsi="宋体" w:hint="eastAsia"/>
                <w:sz w:val="18"/>
                <w:szCs w:val="18"/>
              </w:rPr>
              <w:t>2.《关于注销公司已回购未使用股票的议案》</w:t>
            </w:r>
          </w:p>
        </w:tc>
        <w:tc>
          <w:tcPr>
            <w:tcW w:w="2208" w:type="dxa"/>
            <w:vAlign w:val="center"/>
          </w:tcPr>
          <w:p w14:paraId="313A950D" w14:textId="77777777" w:rsidR="00577D08" w:rsidRDefault="00330FC0">
            <w:pPr>
              <w:widowControl w:val="0"/>
              <w:jc w:val="both"/>
              <w:rPr>
                <w:rFonts w:ascii="宋体" w:hAnsi="宋体" w:hint="eastAsia"/>
                <w:sz w:val="18"/>
                <w:szCs w:val="18"/>
              </w:rPr>
            </w:pPr>
            <w:r>
              <w:rPr>
                <w:rFonts w:ascii="宋体" w:hAnsi="宋体" w:hint="eastAsia"/>
                <w:sz w:val="18"/>
                <w:szCs w:val="18"/>
              </w:rPr>
              <w:t>审议通过本次会议议案后提交董事会审议</w:t>
            </w:r>
          </w:p>
        </w:tc>
      </w:tr>
    </w:tbl>
    <w:bookmarkEnd w:id="175"/>
    <w:p w14:paraId="30B6E26C" w14:textId="77777777" w:rsidR="00577D08" w:rsidRDefault="00330FC0">
      <w:pPr>
        <w:pStyle w:val="3"/>
        <w:numPr>
          <w:ilvl w:val="0"/>
          <w:numId w:val="22"/>
        </w:numPr>
        <w:rPr>
          <w:rFonts w:ascii="宋体" w:hAnsi="宋体" w:cs="宋体" w:hint="eastAsia"/>
          <w:kern w:val="0"/>
          <w:szCs w:val="24"/>
        </w:rPr>
      </w:pPr>
      <w:r>
        <w:rPr>
          <w:rFonts w:ascii="宋体" w:hAnsi="宋体" w:cs="宋体" w:hint="eastAsia"/>
          <w:kern w:val="0"/>
          <w:szCs w:val="24"/>
        </w:rPr>
        <w:t>存在异议事项的具体情况</w:t>
      </w:r>
    </w:p>
    <w:sdt>
      <w:sdtPr>
        <w:rPr>
          <w:rFonts w:hint="eastAsia"/>
        </w:rPr>
        <w:alias w:val="是否适用：董事会下设专门委员会在报告期内履行职责时所提出的重要意见和建议[双击切换]"/>
        <w:tag w:val="_GBC_f61de8443c9e4bc6b27047ea31f34f46"/>
        <w:id w:val="1493063442"/>
        <w:placeholder>
          <w:docPart w:val="GBC22222222222222222222222222222"/>
        </w:placeholder>
      </w:sdtPr>
      <w:sdtContent>
        <w:p w14:paraId="73190CE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31087DB" w14:textId="77777777" w:rsidR="00577D08" w:rsidRDefault="00330FC0">
      <w:pPr>
        <w:pStyle w:val="2"/>
        <w:numPr>
          <w:ilvl w:val="0"/>
          <w:numId w:val="18"/>
        </w:numPr>
      </w:pPr>
      <w:r>
        <w:rPr>
          <w:rFonts w:hint="eastAsia"/>
        </w:rPr>
        <w:t>审计委员会</w:t>
      </w:r>
      <w:r>
        <w:t>发现公司存在风险的说明</w:t>
      </w:r>
    </w:p>
    <w:sdt>
      <w:sdtPr>
        <w:alias w:val="是否适用：监事会发现公司存在风险的说明[双击切换]"/>
        <w:tag w:val="_GBC_987bc6e795084351a58e9d0bca47f246"/>
        <w:id w:val="-609353112"/>
        <w:placeholder>
          <w:docPart w:val="GBC22222222222222222222222222222"/>
        </w:placeholder>
      </w:sdtPr>
      <w:sdtContent>
        <w:p w14:paraId="4C38AE4E"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583C6B2" w14:textId="77777777" w:rsidR="00577D08" w:rsidRDefault="00000000">
      <w:sdt>
        <w:sdtPr>
          <w:tag w:val="_PLD_3da969a146b34cc99cc693934187219d"/>
          <w:id w:val="239225975"/>
        </w:sdtPr>
        <w:sdtContent>
          <w:r w:rsidR="00330FC0">
            <w:rPr>
              <w:rFonts w:hint="eastAsia"/>
            </w:rPr>
            <w:t>审计委员会</w:t>
          </w:r>
        </w:sdtContent>
      </w:sdt>
      <w:r w:rsidR="00330FC0">
        <w:rPr>
          <w:rFonts w:hint="eastAsia"/>
        </w:rPr>
        <w:t>对报告期内的监督事项</w:t>
      </w:r>
      <w:sdt>
        <w:sdtPr>
          <w:tag w:val="_PLD_66086d7fdf9245bb81102da5ce6dd63d"/>
          <w:id w:val="-715579106"/>
        </w:sdtPr>
        <w:sdtContent>
          <w:r w:rsidR="00330FC0">
            <w:rPr>
              <w:rFonts w:hint="eastAsia"/>
            </w:rPr>
            <w:t>无异议</w:t>
          </w:r>
        </w:sdtContent>
      </w:sdt>
      <w:r w:rsidR="00330FC0">
        <w:rPr>
          <w:rFonts w:hint="eastAsia"/>
        </w:rPr>
        <w:t>。</w:t>
      </w:r>
    </w:p>
    <w:p w14:paraId="1B6A64C5" w14:textId="77777777" w:rsidR="00577D08" w:rsidRDefault="00330FC0">
      <w:pPr>
        <w:pStyle w:val="2"/>
        <w:numPr>
          <w:ilvl w:val="0"/>
          <w:numId w:val="18"/>
        </w:numPr>
        <w:rPr>
          <w:rFonts w:ascii="宋体" w:hAnsi="宋体" w:cs="宋体" w:hint="eastAsia"/>
          <w:kern w:val="0"/>
          <w:szCs w:val="24"/>
        </w:rPr>
      </w:pPr>
      <w:r>
        <w:rPr>
          <w:rFonts w:ascii="宋体" w:hAnsi="宋体" w:cs="宋体" w:hint="eastAsia"/>
          <w:kern w:val="0"/>
          <w:szCs w:val="24"/>
        </w:rPr>
        <w:t>报告期末</w:t>
      </w:r>
      <w:r>
        <w:rPr>
          <w:rFonts w:ascii="宋体" w:hAnsi="宋体" w:cs="宋体"/>
          <w:kern w:val="0"/>
          <w:szCs w:val="24"/>
        </w:rPr>
        <w:t>母公司和主要子公司的员工情况</w:t>
      </w:r>
    </w:p>
    <w:p w14:paraId="5BA8A5B1" w14:textId="77777777" w:rsidR="00577D08" w:rsidRDefault="00330FC0">
      <w:pPr>
        <w:pStyle w:val="3"/>
        <w:numPr>
          <w:ilvl w:val="0"/>
          <w:numId w:val="23"/>
        </w:numPr>
        <w:rPr>
          <w:szCs w:val="21"/>
        </w:rPr>
      </w:pPr>
      <w:bookmarkStart w:id="176" w:name="_Hlk89184114"/>
      <w:r>
        <w:rPr>
          <w:szCs w:val="21"/>
        </w:rPr>
        <w:t>员工情况</w:t>
      </w:r>
    </w:p>
    <w:tbl>
      <w:tblPr>
        <w:tblStyle w:val="aff2"/>
        <w:tblW w:w="0" w:type="auto"/>
        <w:tblLayout w:type="fixed"/>
        <w:tblLook w:val="04A0" w:firstRow="1" w:lastRow="0" w:firstColumn="1" w:lastColumn="0" w:noHBand="0" w:noVBand="1"/>
      </w:tblPr>
      <w:tblGrid>
        <w:gridCol w:w="4524"/>
        <w:gridCol w:w="4525"/>
      </w:tblGrid>
      <w:tr w:rsidR="00577D08" w14:paraId="4FCCA7AD" w14:textId="77777777">
        <w:trPr>
          <w:trHeight w:val="120"/>
        </w:trPr>
        <w:sdt>
          <w:sdtPr>
            <w:tag w:val="_PLD_cff5d8823807446facbb16ac3f50949e"/>
            <w:id w:val="-1507431733"/>
          </w:sdtPr>
          <w:sdtContent>
            <w:tc>
              <w:tcPr>
                <w:tcW w:w="4524" w:type="dxa"/>
                <w:vAlign w:val="center"/>
              </w:tcPr>
              <w:p w14:paraId="6FE9661E" w14:textId="77777777" w:rsidR="00577D08" w:rsidRDefault="00330FC0">
                <w:r>
                  <w:t>母公司在职员工的数量</w:t>
                </w:r>
              </w:p>
            </w:tc>
          </w:sdtContent>
        </w:sdt>
        <w:sdt>
          <w:sdtPr>
            <w:alias w:val="母公司在职员工的数量"/>
            <w:tag w:val="_GBC_abd1eca65c1c4a43937ae4fdd8599b5b"/>
            <w:id w:val="1325463402"/>
          </w:sdtPr>
          <w:sdtContent>
            <w:tc>
              <w:tcPr>
                <w:tcW w:w="4525" w:type="dxa"/>
                <w:vAlign w:val="center"/>
              </w:tcPr>
              <w:p w14:paraId="67FF7F89" w14:textId="77777777" w:rsidR="00577D08" w:rsidRDefault="00330FC0">
                <w:pPr>
                  <w:jc w:val="right"/>
                </w:pPr>
                <w:r>
                  <w:t>1,488</w:t>
                </w:r>
              </w:p>
            </w:tc>
          </w:sdtContent>
        </w:sdt>
      </w:tr>
      <w:tr w:rsidR="00577D08" w14:paraId="50DC519E" w14:textId="77777777">
        <w:trPr>
          <w:trHeight w:val="195"/>
        </w:trPr>
        <w:tc>
          <w:tcPr>
            <w:tcW w:w="4524" w:type="dxa"/>
            <w:vAlign w:val="center"/>
          </w:tcPr>
          <w:p w14:paraId="794969D1" w14:textId="77777777" w:rsidR="00577D08" w:rsidRDefault="00330FC0">
            <w:r>
              <w:t>主要子公司在职员工的数量</w:t>
            </w:r>
          </w:p>
        </w:tc>
        <w:tc>
          <w:tcPr>
            <w:tcW w:w="4525" w:type="dxa"/>
            <w:vAlign w:val="center"/>
          </w:tcPr>
          <w:p w14:paraId="106D6C31" w14:textId="77777777" w:rsidR="00577D08" w:rsidRDefault="00330FC0">
            <w:pPr>
              <w:jc w:val="right"/>
            </w:pPr>
            <w:r>
              <w:rPr>
                <w:rFonts w:hint="eastAsia"/>
              </w:rPr>
              <w:t>7</w:t>
            </w:r>
            <w:r>
              <w:t>65</w:t>
            </w:r>
          </w:p>
        </w:tc>
      </w:tr>
      <w:tr w:rsidR="00577D08" w14:paraId="5CD253F8" w14:textId="77777777">
        <w:trPr>
          <w:trHeight w:val="116"/>
        </w:trPr>
        <w:tc>
          <w:tcPr>
            <w:tcW w:w="4524" w:type="dxa"/>
            <w:vAlign w:val="center"/>
          </w:tcPr>
          <w:p w14:paraId="2F33EE9F" w14:textId="77777777" w:rsidR="00577D08" w:rsidRDefault="00330FC0">
            <w:r>
              <w:t>在职员工的数量合计</w:t>
            </w:r>
          </w:p>
        </w:tc>
        <w:tc>
          <w:tcPr>
            <w:tcW w:w="4525" w:type="dxa"/>
            <w:vAlign w:val="center"/>
          </w:tcPr>
          <w:p w14:paraId="76560387" w14:textId="77777777" w:rsidR="00577D08" w:rsidRDefault="00330FC0">
            <w:pPr>
              <w:jc w:val="right"/>
            </w:pPr>
            <w:r>
              <w:t>2,253</w:t>
            </w:r>
          </w:p>
        </w:tc>
      </w:tr>
      <w:tr w:rsidR="00577D08" w14:paraId="5CDF1746" w14:textId="77777777">
        <w:trPr>
          <w:trHeight w:val="180"/>
        </w:trPr>
        <w:tc>
          <w:tcPr>
            <w:tcW w:w="4524" w:type="dxa"/>
            <w:vAlign w:val="center"/>
          </w:tcPr>
          <w:p w14:paraId="0BEC29BD" w14:textId="77777777" w:rsidR="00577D08" w:rsidRDefault="00330FC0">
            <w:r>
              <w:t>母公司及主要子公司需承担费用的离退休职工人数</w:t>
            </w:r>
          </w:p>
        </w:tc>
        <w:tc>
          <w:tcPr>
            <w:tcW w:w="4525" w:type="dxa"/>
            <w:vAlign w:val="center"/>
          </w:tcPr>
          <w:p w14:paraId="7E09E690" w14:textId="77777777" w:rsidR="00577D08" w:rsidRDefault="00330FC0">
            <w:pPr>
              <w:jc w:val="right"/>
            </w:pPr>
            <w:r>
              <w:rPr>
                <w:rFonts w:hint="eastAsia"/>
              </w:rPr>
              <w:t>5</w:t>
            </w:r>
          </w:p>
        </w:tc>
      </w:tr>
      <w:tr w:rsidR="00577D08" w14:paraId="34BEEEC9" w14:textId="77777777">
        <w:trPr>
          <w:trHeight w:val="101"/>
        </w:trPr>
        <w:sdt>
          <w:sdtPr>
            <w:tag w:val="_PLD_f37d0297c6bb44dea272632ad4d910e4"/>
            <w:id w:val="388851701"/>
          </w:sdtPr>
          <w:sdtContent>
            <w:tc>
              <w:tcPr>
                <w:tcW w:w="9049" w:type="dxa"/>
                <w:gridSpan w:val="2"/>
                <w:vAlign w:val="center"/>
              </w:tcPr>
              <w:p w14:paraId="758CC719" w14:textId="77777777" w:rsidR="00577D08" w:rsidRDefault="00330FC0">
                <w:pPr>
                  <w:jc w:val="center"/>
                </w:pPr>
                <w:r>
                  <w:t>专业构成</w:t>
                </w:r>
              </w:p>
            </w:tc>
          </w:sdtContent>
        </w:sdt>
      </w:tr>
      <w:tr w:rsidR="00577D08" w14:paraId="49B57C9C" w14:textId="77777777">
        <w:trPr>
          <w:trHeight w:val="150"/>
        </w:trPr>
        <w:sdt>
          <w:sdtPr>
            <w:tag w:val="_PLD_90bef974c0c14508b11a7e84e6f364c5"/>
            <w:id w:val="-1959558854"/>
          </w:sdtPr>
          <w:sdtContent>
            <w:tc>
              <w:tcPr>
                <w:tcW w:w="4524" w:type="dxa"/>
                <w:vAlign w:val="center"/>
              </w:tcPr>
              <w:p w14:paraId="1BDB73A8" w14:textId="77777777" w:rsidR="00577D08" w:rsidRDefault="00330FC0">
                <w:pPr>
                  <w:jc w:val="center"/>
                </w:pPr>
                <w:r>
                  <w:t>专业构成类别</w:t>
                </w:r>
              </w:p>
            </w:tc>
          </w:sdtContent>
        </w:sdt>
        <w:sdt>
          <w:sdtPr>
            <w:tag w:val="_PLD_a5f175a6b2a94ee7a70936fbe5cbc8da"/>
            <w:id w:val="-569112752"/>
          </w:sdtPr>
          <w:sdtContent>
            <w:tc>
              <w:tcPr>
                <w:tcW w:w="4525" w:type="dxa"/>
                <w:vAlign w:val="center"/>
              </w:tcPr>
              <w:p w14:paraId="4CF0B751" w14:textId="77777777" w:rsidR="00577D08" w:rsidRDefault="00330FC0">
                <w:pPr>
                  <w:jc w:val="center"/>
                </w:pPr>
                <w:r>
                  <w:t>专业构成人数</w:t>
                </w:r>
              </w:p>
            </w:tc>
          </w:sdtContent>
        </w:sdt>
      </w:tr>
      <w:tr w:rsidR="00577D08" w14:paraId="1C03E0B1" w14:textId="77777777">
        <w:trPr>
          <w:trHeight w:val="150"/>
        </w:trPr>
        <w:tc>
          <w:tcPr>
            <w:tcW w:w="4524" w:type="dxa"/>
          </w:tcPr>
          <w:p w14:paraId="527A52E0" w14:textId="77777777" w:rsidR="00577D08" w:rsidRDefault="00330FC0">
            <w:pPr>
              <w:jc w:val="center"/>
            </w:pPr>
            <w:r>
              <w:rPr>
                <w:rFonts w:hint="eastAsia"/>
              </w:rPr>
              <w:t>生产人员</w:t>
            </w:r>
          </w:p>
        </w:tc>
        <w:tc>
          <w:tcPr>
            <w:tcW w:w="4525" w:type="dxa"/>
          </w:tcPr>
          <w:p w14:paraId="39CA2BEC" w14:textId="77777777" w:rsidR="00577D08" w:rsidRDefault="00330FC0">
            <w:pPr>
              <w:jc w:val="right"/>
            </w:pPr>
            <w:r>
              <w:t>1,491</w:t>
            </w:r>
          </w:p>
        </w:tc>
      </w:tr>
      <w:tr w:rsidR="00577D08" w14:paraId="5E4A8FD8" w14:textId="77777777">
        <w:trPr>
          <w:trHeight w:val="150"/>
        </w:trPr>
        <w:tc>
          <w:tcPr>
            <w:tcW w:w="4524" w:type="dxa"/>
          </w:tcPr>
          <w:p w14:paraId="5BCFA59D" w14:textId="77777777" w:rsidR="00577D08" w:rsidRDefault="00330FC0">
            <w:pPr>
              <w:jc w:val="center"/>
            </w:pPr>
            <w:r>
              <w:rPr>
                <w:rFonts w:hint="eastAsia"/>
              </w:rPr>
              <w:t>营销人员</w:t>
            </w:r>
          </w:p>
        </w:tc>
        <w:tc>
          <w:tcPr>
            <w:tcW w:w="4525" w:type="dxa"/>
          </w:tcPr>
          <w:p w14:paraId="48116488" w14:textId="77777777" w:rsidR="00577D08" w:rsidRDefault="00330FC0">
            <w:pPr>
              <w:jc w:val="right"/>
            </w:pPr>
            <w:r>
              <w:t>333</w:t>
            </w:r>
          </w:p>
        </w:tc>
      </w:tr>
      <w:tr w:rsidR="00577D08" w14:paraId="0CDAC188" w14:textId="77777777">
        <w:trPr>
          <w:trHeight w:val="101"/>
        </w:trPr>
        <w:tc>
          <w:tcPr>
            <w:tcW w:w="4524" w:type="dxa"/>
          </w:tcPr>
          <w:p w14:paraId="6D7D3486" w14:textId="77777777" w:rsidR="00577D08" w:rsidRDefault="00330FC0">
            <w:pPr>
              <w:jc w:val="center"/>
            </w:pPr>
            <w:r>
              <w:rPr>
                <w:rFonts w:hint="eastAsia"/>
              </w:rPr>
              <w:t>技术人员</w:t>
            </w:r>
          </w:p>
        </w:tc>
        <w:tc>
          <w:tcPr>
            <w:tcW w:w="4525" w:type="dxa"/>
          </w:tcPr>
          <w:p w14:paraId="7754D776" w14:textId="77777777" w:rsidR="00577D08" w:rsidRDefault="00330FC0">
            <w:pPr>
              <w:jc w:val="right"/>
            </w:pPr>
            <w:r>
              <w:t>161</w:t>
            </w:r>
          </w:p>
        </w:tc>
      </w:tr>
      <w:tr w:rsidR="00577D08" w14:paraId="5F71F0BA" w14:textId="77777777">
        <w:trPr>
          <w:trHeight w:val="116"/>
        </w:trPr>
        <w:tc>
          <w:tcPr>
            <w:tcW w:w="4524" w:type="dxa"/>
          </w:tcPr>
          <w:p w14:paraId="3F3F3508" w14:textId="77777777" w:rsidR="00577D08" w:rsidRDefault="00330FC0">
            <w:pPr>
              <w:jc w:val="center"/>
            </w:pPr>
            <w:r>
              <w:rPr>
                <w:rFonts w:hint="eastAsia"/>
              </w:rPr>
              <w:t>财务人员</w:t>
            </w:r>
          </w:p>
        </w:tc>
        <w:tc>
          <w:tcPr>
            <w:tcW w:w="4525" w:type="dxa"/>
          </w:tcPr>
          <w:p w14:paraId="76E23757" w14:textId="77777777" w:rsidR="00577D08" w:rsidRDefault="00330FC0">
            <w:pPr>
              <w:jc w:val="right"/>
            </w:pPr>
            <w:r>
              <w:t>45</w:t>
            </w:r>
          </w:p>
        </w:tc>
      </w:tr>
      <w:tr w:rsidR="00577D08" w14:paraId="6C287F31" w14:textId="77777777">
        <w:trPr>
          <w:trHeight w:val="165"/>
        </w:trPr>
        <w:tc>
          <w:tcPr>
            <w:tcW w:w="4524" w:type="dxa"/>
          </w:tcPr>
          <w:p w14:paraId="312CED9B" w14:textId="77777777" w:rsidR="00577D08" w:rsidRDefault="00330FC0">
            <w:pPr>
              <w:jc w:val="center"/>
            </w:pPr>
            <w:r>
              <w:rPr>
                <w:rFonts w:hint="eastAsia"/>
              </w:rPr>
              <w:t>行政人员</w:t>
            </w:r>
          </w:p>
        </w:tc>
        <w:tc>
          <w:tcPr>
            <w:tcW w:w="4525" w:type="dxa"/>
          </w:tcPr>
          <w:p w14:paraId="23A42B94" w14:textId="77777777" w:rsidR="00577D08" w:rsidRDefault="00330FC0">
            <w:pPr>
              <w:jc w:val="right"/>
            </w:pPr>
            <w:r>
              <w:t>140</w:t>
            </w:r>
          </w:p>
        </w:tc>
      </w:tr>
      <w:tr w:rsidR="00577D08" w14:paraId="0415C9FA" w14:textId="77777777">
        <w:trPr>
          <w:trHeight w:val="131"/>
        </w:trPr>
        <w:tc>
          <w:tcPr>
            <w:tcW w:w="4524" w:type="dxa"/>
          </w:tcPr>
          <w:p w14:paraId="68A45E01" w14:textId="77777777" w:rsidR="00577D08" w:rsidRDefault="00330FC0">
            <w:pPr>
              <w:jc w:val="center"/>
            </w:pPr>
            <w:r>
              <w:rPr>
                <w:rFonts w:hint="eastAsia"/>
              </w:rPr>
              <w:t>管理人员</w:t>
            </w:r>
          </w:p>
        </w:tc>
        <w:tc>
          <w:tcPr>
            <w:tcW w:w="4525" w:type="dxa"/>
          </w:tcPr>
          <w:p w14:paraId="04B73917" w14:textId="77777777" w:rsidR="00577D08" w:rsidRDefault="00330FC0">
            <w:pPr>
              <w:jc w:val="right"/>
            </w:pPr>
            <w:r>
              <w:t>83</w:t>
            </w:r>
          </w:p>
        </w:tc>
      </w:tr>
      <w:tr w:rsidR="00577D08" w14:paraId="710D6C23" w14:textId="77777777">
        <w:trPr>
          <w:trHeight w:val="146"/>
        </w:trPr>
        <w:tc>
          <w:tcPr>
            <w:tcW w:w="4524" w:type="dxa"/>
            <w:vAlign w:val="center"/>
          </w:tcPr>
          <w:p w14:paraId="52F22C26" w14:textId="77777777" w:rsidR="00577D08" w:rsidRDefault="00330FC0">
            <w:pPr>
              <w:jc w:val="center"/>
            </w:pPr>
            <w:r>
              <w:t>合计</w:t>
            </w:r>
          </w:p>
        </w:tc>
        <w:tc>
          <w:tcPr>
            <w:tcW w:w="4525" w:type="dxa"/>
            <w:vAlign w:val="center"/>
          </w:tcPr>
          <w:p w14:paraId="2F948DB7" w14:textId="77777777" w:rsidR="00577D08" w:rsidRDefault="00330FC0">
            <w:pPr>
              <w:jc w:val="right"/>
            </w:pPr>
            <w:r>
              <w:t>2,253</w:t>
            </w:r>
          </w:p>
        </w:tc>
      </w:tr>
      <w:tr w:rsidR="00577D08" w14:paraId="62312A65" w14:textId="77777777">
        <w:trPr>
          <w:trHeight w:val="101"/>
        </w:trPr>
        <w:sdt>
          <w:sdtPr>
            <w:tag w:val="_PLD_ea58f2d9c900463a8694fdc78940295e"/>
            <w:id w:val="-977373368"/>
          </w:sdtPr>
          <w:sdtContent>
            <w:tc>
              <w:tcPr>
                <w:tcW w:w="9049" w:type="dxa"/>
                <w:gridSpan w:val="2"/>
                <w:vAlign w:val="center"/>
              </w:tcPr>
              <w:p w14:paraId="2AFA5F92" w14:textId="77777777" w:rsidR="00577D08" w:rsidRDefault="00330FC0">
                <w:pPr>
                  <w:jc w:val="center"/>
                </w:pPr>
                <w:r>
                  <w:t>教育程度</w:t>
                </w:r>
              </w:p>
            </w:tc>
          </w:sdtContent>
        </w:sdt>
      </w:tr>
      <w:tr w:rsidR="00577D08" w14:paraId="6C6CC446" w14:textId="77777777">
        <w:trPr>
          <w:trHeight w:val="116"/>
        </w:trPr>
        <w:sdt>
          <w:sdtPr>
            <w:tag w:val="_PLD_92fefeded22c454881177d08c5c97d97"/>
            <w:id w:val="1839274986"/>
          </w:sdtPr>
          <w:sdtContent>
            <w:tc>
              <w:tcPr>
                <w:tcW w:w="4524" w:type="dxa"/>
                <w:vAlign w:val="center"/>
              </w:tcPr>
              <w:p w14:paraId="1334540A" w14:textId="77777777" w:rsidR="00577D08" w:rsidRDefault="00330FC0">
                <w:pPr>
                  <w:jc w:val="center"/>
                </w:pPr>
                <w:r>
                  <w:t>教育程度类别</w:t>
                </w:r>
              </w:p>
            </w:tc>
          </w:sdtContent>
        </w:sdt>
        <w:sdt>
          <w:sdtPr>
            <w:tag w:val="_PLD_2a8ff2c52daa4348bedf7a0e6951a5c6"/>
            <w:id w:val="1028604664"/>
          </w:sdtPr>
          <w:sdtContent>
            <w:tc>
              <w:tcPr>
                <w:tcW w:w="4525" w:type="dxa"/>
                <w:vAlign w:val="center"/>
              </w:tcPr>
              <w:p w14:paraId="5988B3F6" w14:textId="77777777" w:rsidR="00577D08" w:rsidRDefault="00330FC0">
                <w:pPr>
                  <w:jc w:val="center"/>
                </w:pPr>
                <w:r>
                  <w:t>数量（人）</w:t>
                </w:r>
              </w:p>
            </w:tc>
          </w:sdtContent>
        </w:sdt>
      </w:tr>
      <w:tr w:rsidR="00577D08" w14:paraId="35BD9AEE" w14:textId="77777777">
        <w:trPr>
          <w:trHeight w:val="131"/>
        </w:trPr>
        <w:tc>
          <w:tcPr>
            <w:tcW w:w="4524" w:type="dxa"/>
            <w:vAlign w:val="center"/>
          </w:tcPr>
          <w:p w14:paraId="23B29E74" w14:textId="77777777" w:rsidR="00577D08" w:rsidRDefault="00330FC0">
            <w:pPr>
              <w:jc w:val="center"/>
            </w:pPr>
            <w:r>
              <w:rPr>
                <w:rFonts w:hint="eastAsia"/>
              </w:rPr>
              <w:t>本科及本科以上学历</w:t>
            </w:r>
          </w:p>
        </w:tc>
        <w:tc>
          <w:tcPr>
            <w:tcW w:w="4525" w:type="dxa"/>
          </w:tcPr>
          <w:p w14:paraId="167586B5" w14:textId="77777777" w:rsidR="00577D08" w:rsidRDefault="00330FC0">
            <w:pPr>
              <w:jc w:val="right"/>
            </w:pPr>
            <w:r>
              <w:t>490</w:t>
            </w:r>
          </w:p>
        </w:tc>
      </w:tr>
      <w:tr w:rsidR="00577D08" w14:paraId="22B74F4E" w14:textId="77777777">
        <w:trPr>
          <w:trHeight w:val="131"/>
        </w:trPr>
        <w:tc>
          <w:tcPr>
            <w:tcW w:w="4524" w:type="dxa"/>
            <w:vAlign w:val="center"/>
          </w:tcPr>
          <w:p w14:paraId="45ED79BF" w14:textId="77777777" w:rsidR="00577D08" w:rsidRDefault="00330FC0">
            <w:pPr>
              <w:jc w:val="center"/>
            </w:pPr>
            <w:r>
              <w:rPr>
                <w:rFonts w:hint="eastAsia"/>
              </w:rPr>
              <w:t>专科</w:t>
            </w:r>
          </w:p>
        </w:tc>
        <w:tc>
          <w:tcPr>
            <w:tcW w:w="4525" w:type="dxa"/>
          </w:tcPr>
          <w:p w14:paraId="426473B2" w14:textId="77777777" w:rsidR="00577D08" w:rsidRDefault="00330FC0">
            <w:pPr>
              <w:jc w:val="right"/>
            </w:pPr>
            <w:r>
              <w:t>601</w:t>
            </w:r>
          </w:p>
        </w:tc>
      </w:tr>
      <w:tr w:rsidR="00577D08" w14:paraId="74C90C0F" w14:textId="77777777">
        <w:trPr>
          <w:trHeight w:val="131"/>
        </w:trPr>
        <w:tc>
          <w:tcPr>
            <w:tcW w:w="4524" w:type="dxa"/>
            <w:vAlign w:val="center"/>
          </w:tcPr>
          <w:p w14:paraId="6D6A1C6E" w14:textId="77777777" w:rsidR="00577D08" w:rsidRDefault="00330FC0">
            <w:pPr>
              <w:jc w:val="center"/>
            </w:pPr>
            <w:r>
              <w:rPr>
                <w:rFonts w:hint="eastAsia"/>
              </w:rPr>
              <w:t>中专、高中及以下</w:t>
            </w:r>
          </w:p>
        </w:tc>
        <w:tc>
          <w:tcPr>
            <w:tcW w:w="4525" w:type="dxa"/>
          </w:tcPr>
          <w:p w14:paraId="1AD1918A" w14:textId="77777777" w:rsidR="00577D08" w:rsidRDefault="00330FC0">
            <w:pPr>
              <w:jc w:val="right"/>
            </w:pPr>
            <w:r>
              <w:t>1,162</w:t>
            </w:r>
          </w:p>
        </w:tc>
      </w:tr>
      <w:tr w:rsidR="00577D08" w14:paraId="1BF5BDC1" w14:textId="77777777">
        <w:trPr>
          <w:trHeight w:val="165"/>
        </w:trPr>
        <w:tc>
          <w:tcPr>
            <w:tcW w:w="4524" w:type="dxa"/>
            <w:tcBorders>
              <w:bottom w:val="single" w:sz="4" w:space="0" w:color="auto"/>
            </w:tcBorders>
            <w:vAlign w:val="center"/>
          </w:tcPr>
          <w:p w14:paraId="5FE08CBD" w14:textId="77777777" w:rsidR="00577D08" w:rsidRDefault="00330FC0">
            <w:pPr>
              <w:jc w:val="center"/>
            </w:pPr>
            <w:r>
              <w:t>合计</w:t>
            </w:r>
          </w:p>
        </w:tc>
        <w:tc>
          <w:tcPr>
            <w:tcW w:w="4525" w:type="dxa"/>
            <w:tcBorders>
              <w:bottom w:val="single" w:sz="4" w:space="0" w:color="auto"/>
            </w:tcBorders>
            <w:vAlign w:val="center"/>
          </w:tcPr>
          <w:p w14:paraId="44842113" w14:textId="77777777" w:rsidR="00577D08" w:rsidRDefault="00330FC0">
            <w:pPr>
              <w:jc w:val="right"/>
            </w:pPr>
            <w:r>
              <w:t>2,253</w:t>
            </w:r>
          </w:p>
        </w:tc>
      </w:tr>
    </w:tbl>
    <w:bookmarkEnd w:id="176"/>
    <w:p w14:paraId="3D7D6583" w14:textId="77777777" w:rsidR="00577D08" w:rsidRDefault="00330FC0">
      <w:pPr>
        <w:pStyle w:val="3"/>
        <w:numPr>
          <w:ilvl w:val="0"/>
          <w:numId w:val="23"/>
        </w:numPr>
        <w:rPr>
          <w:szCs w:val="21"/>
        </w:rPr>
      </w:pPr>
      <w:r>
        <w:t>薪</w:t>
      </w:r>
      <w:r>
        <w:rPr>
          <w:szCs w:val="21"/>
        </w:rPr>
        <w:t>酬政策</w:t>
      </w:r>
    </w:p>
    <w:sdt>
      <w:sdtPr>
        <w:rPr>
          <w:rFonts w:hint="eastAsia"/>
        </w:rPr>
        <w:alias w:val="是否适用：薪酬政策[双击切换]"/>
        <w:tag w:val="_GBC_13404877597d44c38f554884f31b3123"/>
        <w:id w:val="1687173238"/>
        <w:placeholder>
          <w:docPart w:val="GBC22222222222222222222222222222"/>
        </w:placeholder>
      </w:sdtPr>
      <w:sdtContent>
        <w:p w14:paraId="0EAC289C"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员工薪酬政策"/>
        <w:tag w:val="_GBC_c66914a8847a42b2b50437dbe93cdad1"/>
        <w:id w:val="1513485594"/>
        <w:placeholder>
          <w:docPart w:val="GBC22222222222222222222222222222"/>
        </w:placeholder>
      </w:sdtPr>
      <w:sdtContent>
        <w:p w14:paraId="7D9EB03A" w14:textId="77777777" w:rsidR="00577D08" w:rsidRDefault="00330FC0">
          <w:pPr>
            <w:spacing w:line="360" w:lineRule="exact"/>
            <w:ind w:firstLineChars="200" w:firstLine="420"/>
          </w:pPr>
          <w:r>
            <w:rPr>
              <w:rFonts w:hint="eastAsia"/>
            </w:rPr>
            <w:t>2025</w:t>
          </w:r>
          <w:r>
            <w:rPr>
              <w:rFonts w:hint="eastAsia"/>
            </w:rPr>
            <w:t>年</w:t>
          </w:r>
          <w:r>
            <w:rPr>
              <w:rFonts w:hint="eastAsia"/>
            </w:rPr>
            <w:t>12</w:t>
          </w:r>
          <w:r>
            <w:rPr>
              <w:rFonts w:hint="eastAsia"/>
            </w:rPr>
            <w:t>月</w:t>
          </w:r>
          <w:r>
            <w:rPr>
              <w:rFonts w:hint="eastAsia"/>
            </w:rPr>
            <w:t>9</w:t>
          </w:r>
          <w:r>
            <w:rPr>
              <w:rFonts w:hint="eastAsia"/>
            </w:rPr>
            <w:t>日公司第四届董事会审计委员会第十次会议和第四届董事会第十五次会议审议通过了《关于修订、制定部分公司治理制度的议案》，公司同意制定《董事、高级管理人员薪酬管理制度》，该制度已提交公司于</w:t>
          </w:r>
          <w:r>
            <w:rPr>
              <w:rFonts w:hint="eastAsia"/>
            </w:rPr>
            <w:t>2026</w:t>
          </w:r>
          <w:r>
            <w:rPr>
              <w:rFonts w:hint="eastAsia"/>
            </w:rPr>
            <w:t>年</w:t>
          </w:r>
          <w:r>
            <w:rPr>
              <w:rFonts w:hint="eastAsia"/>
            </w:rPr>
            <w:t>12</w:t>
          </w:r>
          <w:r>
            <w:rPr>
              <w:rFonts w:hint="eastAsia"/>
            </w:rPr>
            <w:t>月</w:t>
          </w:r>
          <w:r>
            <w:rPr>
              <w:rFonts w:hint="eastAsia"/>
            </w:rPr>
            <w:t>26</w:t>
          </w:r>
          <w:r>
            <w:rPr>
              <w:rFonts w:hint="eastAsia"/>
            </w:rPr>
            <w:t>日召开的</w:t>
          </w:r>
          <w:r>
            <w:rPr>
              <w:rFonts w:hint="eastAsia"/>
            </w:rPr>
            <w:t>2025</w:t>
          </w:r>
          <w:r>
            <w:rPr>
              <w:rFonts w:hint="eastAsia"/>
            </w:rPr>
            <w:t>年第一次临时股东会审议通过。该制度自</w:t>
          </w:r>
          <w:r>
            <w:rPr>
              <w:rFonts w:hint="eastAsia"/>
            </w:rPr>
            <w:t>2025</w:t>
          </w:r>
          <w:r>
            <w:rPr>
              <w:rFonts w:hint="eastAsia"/>
            </w:rPr>
            <w:t>年</w:t>
          </w:r>
          <w:r>
            <w:rPr>
              <w:rFonts w:hint="eastAsia"/>
            </w:rPr>
            <w:t>12</w:t>
          </w:r>
          <w:r>
            <w:rPr>
              <w:rFonts w:hint="eastAsia"/>
            </w:rPr>
            <w:t>月</w:t>
          </w:r>
          <w:r>
            <w:rPr>
              <w:rFonts w:hint="eastAsia"/>
            </w:rPr>
            <w:t>26</w:t>
          </w:r>
          <w:r>
            <w:rPr>
              <w:rFonts w:hint="eastAsia"/>
            </w:rPr>
            <w:t>日起生效实施，自此公司董事、高管薪酬按《董事、高级管理人员薪酬管理制度》执行。</w:t>
          </w:r>
        </w:p>
        <w:p w14:paraId="4BDB8CD1" w14:textId="77777777" w:rsidR="00577D08" w:rsidRDefault="00330FC0">
          <w:pPr>
            <w:spacing w:line="360" w:lineRule="exact"/>
            <w:ind w:firstLineChars="200" w:firstLine="420"/>
          </w:pPr>
          <w:r>
            <w:rPr>
              <w:rFonts w:hint="eastAsia"/>
            </w:rPr>
            <w:t>报告期，公司其他员工薪酬管理机制一贯坚持以效益和效率提升为导向，坚持“按岗位价值付薪、按工作绩效付薪、按个人贡献付薪”的薪酬管理理念，持续优化完善薪酬管理体系。同时，根据不同岗位类别员工的工作性质与特点，有针对性地制定并实施相应的薪酬激励政策。公司建立了健全中长期激励机制，且会随着企业战略目标的调整而变化，使薪酬的调整具备战略导向性。也建立了周期性薪资调整机制，使薪资增幅与国民经济发展速度相适应，不断引导关键岗位核心人才创造更多增量价值，形成激励机制有效发挥作用的良性循环。保证员工生活水平不断提高，从而增强员工对企业的忠诚度。</w:t>
          </w:r>
        </w:p>
      </w:sdtContent>
    </w:sdt>
    <w:p w14:paraId="40B60F8F" w14:textId="77777777" w:rsidR="00577D08" w:rsidRDefault="00330FC0">
      <w:pPr>
        <w:pStyle w:val="3"/>
        <w:numPr>
          <w:ilvl w:val="0"/>
          <w:numId w:val="23"/>
        </w:numPr>
        <w:rPr>
          <w:szCs w:val="21"/>
        </w:rPr>
      </w:pPr>
      <w:r>
        <w:rPr>
          <w:szCs w:val="21"/>
        </w:rPr>
        <w:t>培训计划</w:t>
      </w:r>
    </w:p>
    <w:sdt>
      <w:sdtPr>
        <w:rPr>
          <w:rFonts w:hint="eastAsia"/>
        </w:rPr>
        <w:alias w:val="是否适用：培训计划[双击切换]"/>
        <w:tag w:val="_GBC_123cfa2c006d4970ae10b316c2c1f95a"/>
        <w:id w:val="1703274136"/>
        <w:placeholder>
          <w:docPart w:val="GBC22222222222222222222222222222"/>
        </w:placeholder>
      </w:sdtPr>
      <w:sdtContent>
        <w:p w14:paraId="237FAE6D"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员工培训计划"/>
        <w:tag w:val="_GBC_266f6e1d93824387ae96645a471738b7"/>
        <w:id w:val="-905442221"/>
        <w:placeholder>
          <w:docPart w:val="GBC22222222222222222222222222222"/>
        </w:placeholder>
      </w:sdtPr>
      <w:sdtContent>
        <w:p w14:paraId="74535E64" w14:textId="77777777" w:rsidR="00577D08" w:rsidRDefault="00330FC0">
          <w:pPr>
            <w:spacing w:line="360" w:lineRule="exact"/>
            <w:ind w:firstLineChars="200" w:firstLine="420"/>
          </w:pPr>
          <w:r>
            <w:rPr>
              <w:rFonts w:hint="eastAsia"/>
            </w:rPr>
            <w:t>2025</w:t>
          </w:r>
          <w:r>
            <w:rPr>
              <w:rFonts w:hint="eastAsia"/>
            </w:rPr>
            <w:t>年人才培养工作围绕公司发展战略及生产经营，以企业战略为导向，适应多基地管理要求，突出改革创新支撑，聚焦核心能力提升，强化解决问题导向，按照以“分层分类”的原则及充分考虑员工自我发展的需要来开展人才培养工作。</w:t>
          </w:r>
        </w:p>
      </w:sdtContent>
    </w:sdt>
    <w:p w14:paraId="3D591784" w14:textId="77777777" w:rsidR="00577D08" w:rsidRDefault="00330FC0">
      <w:pPr>
        <w:pStyle w:val="3"/>
        <w:numPr>
          <w:ilvl w:val="0"/>
          <w:numId w:val="23"/>
        </w:numPr>
        <w:ind w:left="420" w:hanging="420"/>
        <w:rPr>
          <w:szCs w:val="21"/>
        </w:rPr>
      </w:pPr>
      <w:bookmarkStart w:id="177" w:name="_Hlk184285495"/>
      <w:r>
        <w:rPr>
          <w:szCs w:val="21"/>
        </w:rPr>
        <w:t>劳务外包情况</w:t>
      </w:r>
    </w:p>
    <w:sdt>
      <w:sdtPr>
        <w:alias w:val="是否适用：劳务外包情况[双击切换]"/>
        <w:tag w:val="_GBC_7647f15955ca4a4f9916c280d684fbc0"/>
        <w:id w:val="622349047"/>
        <w:placeholder>
          <w:docPart w:val="GBC22222222222222222222222222222"/>
        </w:placeholder>
      </w:sdtPr>
      <w:sdtContent>
        <w:p w14:paraId="1DE80017"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77"/>
    <w:p w14:paraId="685843BA" w14:textId="77777777" w:rsidR="00577D08" w:rsidRDefault="00330FC0">
      <w:pPr>
        <w:pStyle w:val="2"/>
        <w:numPr>
          <w:ilvl w:val="0"/>
          <w:numId w:val="18"/>
        </w:numPr>
        <w:ind w:left="450" w:hanging="450"/>
      </w:pPr>
      <w:r>
        <w:t>利润分配或资本公积金转增预案</w:t>
      </w:r>
    </w:p>
    <w:p w14:paraId="1D2B1A74" w14:textId="77777777" w:rsidR="00577D08" w:rsidRDefault="00330FC0">
      <w:pPr>
        <w:pStyle w:val="3"/>
        <w:numPr>
          <w:ilvl w:val="0"/>
          <w:numId w:val="24"/>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2108338512"/>
        <w:placeholder>
          <w:docPart w:val="GBC22222222222222222222222222222"/>
        </w:placeholder>
      </w:sdtPr>
      <w:sdtContent>
        <w:p w14:paraId="19A28C7D"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现金分红政策的执行情况"/>
        <w:tag w:val="_GBC_0ba57968760941749cc2f420644f2599"/>
        <w:id w:val="309145103"/>
        <w:placeholder>
          <w:docPart w:val="GBC22222222222222222222222222222"/>
        </w:placeholder>
      </w:sdtPr>
      <w:sdtEndPr>
        <w:rPr>
          <w:rFonts w:asciiTheme="minorEastAsia" w:eastAsiaTheme="minorEastAsia" w:hAnsiTheme="minorEastAsia"/>
        </w:rPr>
      </w:sdtEndPr>
      <w:sdtContent>
        <w:p w14:paraId="0BF461AB" w14:textId="77777777" w:rsidR="00577D08" w:rsidRDefault="00330FC0">
          <w:pPr>
            <w:spacing w:line="360" w:lineRule="exact"/>
            <w:jc w:val="both"/>
            <w:rPr>
              <w:rFonts w:asciiTheme="minorEastAsia" w:eastAsiaTheme="minorEastAsia" w:hAnsiTheme="minorEastAsia" w:hint="eastAsia"/>
            </w:rPr>
          </w:pPr>
          <w:r>
            <w:rPr>
              <w:rFonts w:asciiTheme="minorEastAsia" w:eastAsiaTheme="minorEastAsia" w:hAnsiTheme="minorEastAsia" w:hint="eastAsia"/>
            </w:rPr>
            <w:t>（一）现金分红政策</w:t>
          </w:r>
        </w:p>
        <w:p w14:paraId="395390D3"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公司重视股东稳定回报，每年根据当期盈利情况及资金需求计划，充分考虑股东回报，实行持续、稳定的分红政策。根据证监会发布的《上市公司监管指引第3号-上市公司现金分红》以及上海证券交易所的要求，公司在《公司章程》第一百六十三条规定现金分红政策如下：</w:t>
          </w:r>
        </w:p>
        <w:p w14:paraId="55E7AEDD" w14:textId="77777777" w:rsidR="00577D08" w:rsidRDefault="00330FC0">
          <w:pPr>
            <w:spacing w:line="360" w:lineRule="exact"/>
            <w:jc w:val="both"/>
            <w:rPr>
              <w:rFonts w:asciiTheme="minorEastAsia" w:eastAsiaTheme="minorEastAsia" w:hAnsiTheme="minorEastAsia" w:hint="eastAsia"/>
            </w:rPr>
          </w:pPr>
          <w:r>
            <w:rPr>
              <w:rFonts w:asciiTheme="minorEastAsia" w:eastAsiaTheme="minorEastAsia" w:hAnsiTheme="minorEastAsia" w:hint="eastAsia"/>
            </w:rPr>
            <w:t>公司的现金股利政策目标为：公司每年以现金方式分配的利润原则上不少于当年度实现的可供分配利润的百分之二十。公司在实施上述现金分红的同时，可以派发股票股利。</w:t>
          </w:r>
        </w:p>
        <w:p w14:paraId="342C47AD" w14:textId="77777777" w:rsidR="00577D08" w:rsidRDefault="00330FC0">
          <w:pPr>
            <w:spacing w:line="360" w:lineRule="exact"/>
            <w:jc w:val="both"/>
            <w:rPr>
              <w:rFonts w:asciiTheme="minorEastAsia" w:eastAsiaTheme="minorEastAsia" w:hAnsiTheme="minorEastAsia" w:hint="eastAsia"/>
            </w:rPr>
          </w:pPr>
          <w:r>
            <w:rPr>
              <w:rFonts w:asciiTheme="minorEastAsia" w:eastAsiaTheme="minorEastAsia" w:hAnsiTheme="minorEastAsia" w:hint="eastAsia"/>
            </w:rPr>
            <w:t>公司董事会应当综合考虑所处行业特点、发展阶段、自身经营模式、盈利水平以及是否有重大资金支出安排等因素，区分下列情形，并按照公司章程规定的程序，提出差异化的现金分红政策：</w:t>
          </w:r>
        </w:p>
        <w:p w14:paraId="21C68733"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1、公司发展阶段属成熟期且无重大资金支出安排的，进行利润分配时，现金分红在本次利润分配中所占比例最低应达到百分之八十；</w:t>
          </w:r>
        </w:p>
        <w:p w14:paraId="583D70B7"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lastRenderedPageBreak/>
            <w:t>2、公司发展阶段属成熟期且有重大资金支出安排的，进行利润分配时，现金分红在本次利润分配中所占比例最低应达到百分之四十；</w:t>
          </w:r>
        </w:p>
        <w:p w14:paraId="4819F75E"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3、公司发展阶段属成长期且有重大资金支出安排的，进行利润分配时，现金分红在本次利润分配中所占比例最低应达到百分之二十；</w:t>
          </w:r>
        </w:p>
        <w:p w14:paraId="2733B7A7"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公司发展阶段不易区分但有重大资金支出安排的，可以按照前项规定处理。</w:t>
          </w:r>
        </w:p>
        <w:p w14:paraId="061947BB"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重大投资计划或者重大现金支出是指：公司未来十二个月内拟对外投资、收购资产或者购买设备、建筑物的累计支出达到或者超过公司最近一期经审计净资产的百分之十，且绝对值达到三千万元。</w:t>
          </w:r>
        </w:p>
        <w:p w14:paraId="12E17E0B"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公司目前处于成长期且未来有重大资金支出安排的发展阶段，因此现阶段进行利润分配时，现金方式分配的利润在每次利润分配中所占比例最低应达到百分之二十。随着公司的不断发展，公司董事会认为公司的发展阶段属于成熟期的，则根据公司有无重大资金支出安排计划，由董事会按照公司章程规定的利润分配政策调整的程序提请股东会决议提高现金方式分配的利润在每次利润分配中的最低比例。</w:t>
          </w:r>
        </w:p>
        <w:p w14:paraId="6FAD2CCE"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在满足现金分红条件、保证公司正常经营和长远发展的前提下，公司原则上每年年度股东会召开后进行一次现金分红，公司可以根据公司的盈利状况及资金需求状况进行中期现金分红。</w:t>
          </w:r>
        </w:p>
        <w:p w14:paraId="619CDF9B"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（二）202</w:t>
          </w:r>
          <w:r>
            <w:rPr>
              <w:rFonts w:asciiTheme="minorEastAsia" w:eastAsiaTheme="minorEastAsia" w:hAnsiTheme="minorEastAsia"/>
            </w:rPr>
            <w:t>4</w:t>
          </w:r>
          <w:r>
            <w:rPr>
              <w:rFonts w:asciiTheme="minorEastAsia" w:eastAsiaTheme="minorEastAsia" w:hAnsiTheme="minorEastAsia" w:hint="eastAsia"/>
            </w:rPr>
            <w:t>年利润分配执行情况</w:t>
          </w:r>
        </w:p>
        <w:p w14:paraId="5A3B386A"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公司以实施权益分派股权登记日登记的总股本扣除届时回购专用证券账户上的股份数量、2024年限制性股票激励计划未满足解除限售条件的股份数量及回购因原激励对象离职而不符合激励条件的股份数量为基数，向全体股东每10股派发现金红利0.5元（含税），不进行资本公积金转增股本和送红股。截至权益分派股权登记日，公司总股本333,167,407股，回购专用证券账户上的股份数量为72,768股，因未满足解除限售条件而需回购的限制性股票765,000股，回购因原激励对象离职而不符合激励条件的限制性股票49,000股，故公司派发现金红利1,661.40万元（含税），占公司2024年度归属于母公司所有者的净利润比例为25.49%。</w:t>
          </w:r>
        </w:p>
        <w:p w14:paraId="2CF0250F"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（三）202</w:t>
          </w:r>
          <w:r>
            <w:rPr>
              <w:rFonts w:asciiTheme="minorEastAsia" w:eastAsiaTheme="minorEastAsia" w:hAnsiTheme="minorEastAsia"/>
            </w:rPr>
            <w:t>5</w:t>
          </w:r>
          <w:r>
            <w:rPr>
              <w:rFonts w:asciiTheme="minorEastAsia" w:eastAsiaTheme="minorEastAsia" w:hAnsiTheme="minorEastAsia" w:hint="eastAsia"/>
            </w:rPr>
            <w:t>年利润分配预案</w:t>
          </w:r>
        </w:p>
        <w:p w14:paraId="13CA6F2B"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经天健会计师事务所（特殊普通合伙）审计，公司2025年度归属于母公司所有者的净利润为6,924.32万元，截至2025年12月31日，母公司经审计可供分配利润为101,047.62万元。</w:t>
          </w:r>
        </w:p>
        <w:p w14:paraId="5817795F"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公司拟以实施权益分派股权登记日登记的总股本为基数，向全体股东每10股派发现金红利0.5元（含税）。截至目前，公司总股本329,964,639股，以此计算拟派发现金红利1,649.82万元（含税），占公司2025年度归属于母公司所有者的净利润比例为23.83%。</w:t>
          </w:r>
        </w:p>
        <w:p w14:paraId="1798068F"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如在本利润分配预案披露之日起至实施权益分派股权登记日期间，公司总股本发生变动的，公司拟维持每股分配比例不变，以实施分配方案时股权登记日的总股本为基数，相应调整分配总额。如后续公司总股本发生变化，将在相关公告中披露。</w:t>
          </w:r>
        </w:p>
        <w:p w14:paraId="3E4055A5"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本预案经公司第四届董事会第十八次会议审议通过，尚需提交公司股东会审议。</w:t>
          </w:r>
        </w:p>
      </w:sdtContent>
    </w:sdt>
    <w:p w14:paraId="45226F89" w14:textId="77777777" w:rsidR="00577D08" w:rsidRDefault="00330FC0">
      <w:pPr>
        <w:pStyle w:val="3"/>
        <w:numPr>
          <w:ilvl w:val="0"/>
          <w:numId w:val="24"/>
        </w:numPr>
        <w:ind w:left="450" w:hanging="450"/>
      </w:pPr>
      <w:bookmarkStart w:id="178" w:name="_Hlk89446160"/>
      <w:r>
        <w:t>现金分红政策的专项说明</w:t>
      </w:r>
    </w:p>
    <w:sdt>
      <w:sdtPr>
        <w:alias w:val="是否适用：现金分红政策的专项说明 [双击切换]"/>
        <w:tag w:val="_GBC_715d8b6c04924cf19dcd2347ae32471f"/>
        <w:id w:val="1228649090"/>
        <w:placeholder>
          <w:docPart w:val="GBC22222222222222222222222222222"/>
        </w:placeholder>
      </w:sdtPr>
      <w:sdtContent>
        <w:p w14:paraId="551DB76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1994"/>
      </w:tblGrid>
      <w:tr w:rsidR="00577D08" w14:paraId="5B773A4C" w14:textId="77777777">
        <w:sdt>
          <w:sdtPr>
            <w:tag w:val="_PLD_be5b642d619e47719375899ad34c31f6"/>
            <w:id w:val="-2006666142"/>
          </w:sdtPr>
          <w:sdtContent>
            <w:tc>
              <w:tcPr>
                <w:tcW w:w="7054" w:type="dxa"/>
                <w:vAlign w:val="center"/>
              </w:tcPr>
              <w:p w14:paraId="7010F18E" w14:textId="77777777" w:rsidR="00577D08" w:rsidRDefault="00330FC0">
                <w:r>
                  <w:rPr>
                    <w:rFonts w:hint="eastAsia"/>
                  </w:rPr>
                  <w:t>是否符合公司章程的规定或股东会决议的要求</w:t>
                </w:r>
              </w:p>
            </w:tc>
          </w:sdtContent>
        </w:sdt>
        <w:sdt>
          <w:sdtPr>
            <w:rPr>
              <w:rFonts w:asciiTheme="minorEastAsia" w:eastAsiaTheme="minorEastAsia" w:hAnsiTheme="minorEastAsia"/>
            </w:rPr>
            <w:alias w:val="是否符合公司章程的规定或股东大会决议的要求[双击切换]"/>
            <w:tag w:val="_GBC_c4c31977f51f4fa0a4f1f65cff248b5c"/>
            <w:id w:val="1864638264"/>
          </w:sdtPr>
          <w:sdtContent>
            <w:tc>
              <w:tcPr>
                <w:tcW w:w="1994" w:type="dxa"/>
                <w:vAlign w:val="center"/>
              </w:tcPr>
              <w:p w14:paraId="550FD550"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77D08" w14:paraId="141CD19A" w14:textId="77777777">
        <w:tc>
          <w:tcPr>
            <w:tcW w:w="7054" w:type="dxa"/>
            <w:vAlign w:val="center"/>
          </w:tcPr>
          <w:p w14:paraId="08046675" w14:textId="77777777" w:rsidR="00577D08" w:rsidRDefault="00330FC0">
            <w:r>
              <w:rPr>
                <w:rFonts w:hint="eastAsia"/>
              </w:rPr>
              <w:t>分红标准和比例是否明确和清晰</w:t>
            </w:r>
          </w:p>
        </w:tc>
        <w:sdt>
          <w:sdtPr>
            <w:rPr>
              <w:rFonts w:asciiTheme="minorEastAsia" w:eastAsiaTheme="minorEastAsia" w:hAnsiTheme="minorEastAsia"/>
            </w:rPr>
            <w:alias w:val="分红标准和比例是否明确和清晰[双击切换]"/>
            <w:tag w:val="_GBC_c8bbad0601c544fca3faeac3b11ee218"/>
            <w:id w:val="-206334389"/>
          </w:sdtPr>
          <w:sdtContent>
            <w:tc>
              <w:tcPr>
                <w:tcW w:w="1994" w:type="dxa"/>
                <w:vAlign w:val="center"/>
              </w:tcPr>
              <w:p w14:paraId="2BDB38BF"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77D08" w14:paraId="797E32BE" w14:textId="77777777">
        <w:tc>
          <w:tcPr>
            <w:tcW w:w="7054" w:type="dxa"/>
            <w:tcBorders>
              <w:top w:val="single" w:sz="4" w:space="0" w:color="auto"/>
              <w:left w:val="single" w:sz="4" w:space="0" w:color="auto"/>
              <w:bottom w:val="single" w:sz="4" w:space="0" w:color="auto"/>
              <w:right w:val="single" w:sz="4" w:space="0" w:color="auto"/>
            </w:tcBorders>
            <w:vAlign w:val="center"/>
          </w:tcPr>
          <w:p w14:paraId="30A1CF19" w14:textId="77777777" w:rsidR="00577D08" w:rsidRDefault="00330FC0">
            <w:r>
              <w:rPr>
                <w:rFonts w:hint="eastAsia"/>
              </w:rPr>
              <w:t>相关的决策程序和机制是否完备</w:t>
            </w:r>
          </w:p>
        </w:tc>
        <w:sdt>
          <w:sdtPr>
            <w:rPr>
              <w:rFonts w:asciiTheme="minorEastAsia" w:eastAsiaTheme="minorEastAsia" w:hAnsiTheme="minorEastAsia"/>
            </w:rPr>
            <w:alias w:val="相关的决策程序和机制是否完备[双击切换]"/>
            <w:tag w:val="_GBC_b2d0d75abb6f4f14a51595902d0ad7b9"/>
            <w:id w:val="445125854"/>
          </w:sdtPr>
          <w:sdtContent>
            <w:tc>
              <w:tcPr>
                <w:tcW w:w="1994" w:type="dxa"/>
                <w:tcBorders>
                  <w:top w:val="single" w:sz="4" w:space="0" w:color="auto"/>
                  <w:left w:val="single" w:sz="4" w:space="0" w:color="auto"/>
                  <w:bottom w:val="single" w:sz="4" w:space="0" w:color="auto"/>
                  <w:right w:val="single" w:sz="4" w:space="0" w:color="auto"/>
                </w:tcBorders>
                <w:vAlign w:val="center"/>
              </w:tcPr>
              <w:p w14:paraId="4A92B6DE"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77D08" w14:paraId="5F2C57C1" w14:textId="77777777">
        <w:tc>
          <w:tcPr>
            <w:tcW w:w="7054" w:type="dxa"/>
            <w:tcBorders>
              <w:top w:val="single" w:sz="4" w:space="0" w:color="auto"/>
              <w:left w:val="single" w:sz="4" w:space="0" w:color="auto"/>
              <w:bottom w:val="single" w:sz="4" w:space="0" w:color="auto"/>
              <w:right w:val="single" w:sz="4" w:space="0" w:color="auto"/>
            </w:tcBorders>
            <w:vAlign w:val="center"/>
          </w:tcPr>
          <w:p w14:paraId="796DA9E4" w14:textId="77777777" w:rsidR="00577D08" w:rsidRDefault="00330FC0">
            <w:r>
              <w:rPr>
                <w:rFonts w:hint="eastAsia"/>
              </w:rPr>
              <w:t>独立董事是否履职尽责并发挥了应有的作用</w:t>
            </w:r>
          </w:p>
        </w:tc>
        <w:sdt>
          <w:sdtPr>
            <w:rPr>
              <w:rFonts w:asciiTheme="minorEastAsia" w:eastAsiaTheme="minorEastAsia" w:hAnsiTheme="minorEastAsia"/>
            </w:rPr>
            <w:alias w:val="独立董事是否履职尽责并发挥了应有的作用[双击切换]"/>
            <w:tag w:val="_GBC_0b8d249fbcc74af893077c4c7eee16ef"/>
            <w:id w:val="-743336252"/>
          </w:sdtPr>
          <w:sdtContent>
            <w:tc>
              <w:tcPr>
                <w:tcW w:w="1994" w:type="dxa"/>
                <w:tcBorders>
                  <w:top w:val="single" w:sz="4" w:space="0" w:color="auto"/>
                  <w:left w:val="single" w:sz="4" w:space="0" w:color="auto"/>
                  <w:bottom w:val="single" w:sz="4" w:space="0" w:color="auto"/>
                  <w:right w:val="single" w:sz="4" w:space="0" w:color="auto"/>
                </w:tcBorders>
                <w:vAlign w:val="center"/>
              </w:tcPr>
              <w:p w14:paraId="7F1B8E3B"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77D08" w14:paraId="1446A678" w14:textId="77777777">
        <w:tc>
          <w:tcPr>
            <w:tcW w:w="7054" w:type="dxa"/>
            <w:tcBorders>
              <w:top w:val="single" w:sz="4" w:space="0" w:color="auto"/>
              <w:left w:val="single" w:sz="4" w:space="0" w:color="auto"/>
              <w:bottom w:val="single" w:sz="4" w:space="0" w:color="auto"/>
              <w:right w:val="single" w:sz="4" w:space="0" w:color="auto"/>
            </w:tcBorders>
            <w:vAlign w:val="center"/>
          </w:tcPr>
          <w:p w14:paraId="432F7DBA" w14:textId="77777777" w:rsidR="00577D08" w:rsidRDefault="00330FC0">
            <w:r>
              <w:rPr>
                <w:rFonts w:hint="eastAsia"/>
              </w:rPr>
              <w:lastRenderedPageBreak/>
              <w:t>中小股东是否有充分表达意见和诉求的机会，其合法权益是否得到了充分保护</w:t>
            </w:r>
          </w:p>
        </w:tc>
        <w:sdt>
          <w:sdtPr>
            <w:rPr>
              <w:rFonts w:asciiTheme="minorEastAsia" w:eastAsiaTheme="minorEastAsia" w:hAnsiTheme="minorEastAsia"/>
            </w:rPr>
            <w:alias w:val="中小股东是否有充分表达意见和诉求的机会，其合法权益是否得到了充分保护[双击切换]"/>
            <w:tag w:val="_GBC_827122507d054bfd80b4c5e8d243a91b"/>
            <w:id w:val="1195194743"/>
          </w:sdtPr>
          <w:sdtContent>
            <w:tc>
              <w:tcPr>
                <w:tcW w:w="1994" w:type="dxa"/>
                <w:tcBorders>
                  <w:top w:val="single" w:sz="4" w:space="0" w:color="auto"/>
                  <w:left w:val="single" w:sz="4" w:space="0" w:color="auto"/>
                  <w:bottom w:val="single" w:sz="4" w:space="0" w:color="auto"/>
                  <w:right w:val="single" w:sz="4" w:space="0" w:color="auto"/>
                </w:tcBorders>
                <w:vAlign w:val="center"/>
              </w:tcPr>
              <w:p w14:paraId="0FF710A8"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bl>
    <w:bookmarkEnd w:id="178"/>
    <w:p w14:paraId="756D0E3A" w14:textId="77777777" w:rsidR="00577D08" w:rsidRDefault="00330FC0">
      <w:pPr>
        <w:pStyle w:val="3"/>
        <w:numPr>
          <w:ilvl w:val="0"/>
          <w:numId w:val="24"/>
        </w:numPr>
        <w:ind w:left="0" w:firstLine="0"/>
      </w:pPr>
      <w:r>
        <w:rPr>
          <w:rFonts w:hint="eastAsia"/>
        </w:rPr>
        <w:t>报告期内盈利且母公司可供股东分配利润为正，但未提出现金利润分配方案预案的，公司应当详细披露原因以及未分配利润的用途和使用计划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290135905"/>
        <w:placeholder>
          <w:docPart w:val="GBC22222222222222222222222222222"/>
        </w:placeholder>
      </w:sdtPr>
      <w:sdtContent>
        <w:p w14:paraId="73C7AF9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EA8430B" w14:textId="77777777" w:rsidR="00577D08" w:rsidRDefault="00330FC0">
      <w:pPr>
        <w:pStyle w:val="3"/>
        <w:numPr>
          <w:ilvl w:val="0"/>
          <w:numId w:val="24"/>
        </w:numPr>
        <w:ind w:left="450" w:hanging="450"/>
      </w:pPr>
      <w:r>
        <w:rPr>
          <w:rFonts w:hint="eastAsia"/>
        </w:rPr>
        <w:t>本报告期利润分配及资本公积金转增股本预案</w:t>
      </w:r>
    </w:p>
    <w:sdt>
      <w:sdtPr>
        <w:alias w:val="是否适用：利润分配及资本公积金转增股本情况[双击切换]"/>
        <w:tag w:val="_GBC_495a4ba42a0f42f09a8ad4b2fade6559"/>
        <w:id w:val="-1199929534"/>
        <w:placeholder>
          <w:docPart w:val="GBC22222222222222222222222222222"/>
        </w:placeholder>
      </w:sdtPr>
      <w:sdtContent>
        <w:p w14:paraId="2820DB55"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F8B19A8" w14:textId="77777777" w:rsidR="00577D08" w:rsidRDefault="00330FC0">
      <w:pPr>
        <w:jc w:val="right"/>
      </w:pPr>
      <w:r>
        <w:rPr>
          <w:rFonts w:hint="eastAsia"/>
        </w:rPr>
        <w:t>单位：</w:t>
      </w:r>
      <w:sdt>
        <w:sdtPr>
          <w:rPr>
            <w:rFonts w:hint="eastAsia"/>
          </w:rPr>
          <w:alias w:val="单位：利润分配及资本公积金转增股本情况"/>
          <w:tag w:val="_GBC_13401d941a944aa6845e12add2d0dd0e"/>
          <w:id w:val="122009806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w:t>
      </w:r>
      <w:r>
        <w:rPr>
          <w:rFonts w:hint="eastAsia"/>
        </w:rPr>
        <w:t>币种：</w:t>
      </w:r>
      <w:sdt>
        <w:sdtPr>
          <w:rPr>
            <w:rFonts w:hint="eastAsia"/>
          </w:rPr>
          <w:alias w:val="币种：利润分配及资本公积金转增股本情况"/>
          <w:tag w:val="_GBC_7b66af31a51f46208037a812a69070e9"/>
          <w:id w:val="-130743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527"/>
        <w:gridCol w:w="4531"/>
      </w:tblGrid>
      <w:tr w:rsidR="00577D08" w14:paraId="7D06478C" w14:textId="77777777">
        <w:trPr>
          <w:trHeight w:val="380"/>
        </w:trPr>
        <w:sdt>
          <w:sdtPr>
            <w:tag w:val="_PLD_28cd685f5155420cab6b327b3f81025e"/>
            <w:id w:val="1439412949"/>
          </w:sdtPr>
          <w:sdtContent>
            <w:tc>
              <w:tcPr>
                <w:tcW w:w="4527" w:type="dxa"/>
                <w:vAlign w:val="center"/>
              </w:tcPr>
              <w:p w14:paraId="66640A56" w14:textId="77777777" w:rsidR="00577D08" w:rsidRDefault="00330FC0">
                <w:r>
                  <w:t>每</w:t>
                </w:r>
                <w:r>
                  <w:t>10</w:t>
                </w:r>
                <w:r>
                  <w:t>股送红股数（股）</w:t>
                </w:r>
              </w:p>
            </w:tc>
          </w:sdtContent>
        </w:sdt>
        <w:sdt>
          <w:sdtPr>
            <w:alias w:val="每10股送红股数"/>
            <w:tag w:val="_GBC_58f0c45405b7481688ebf758a6c2771d"/>
            <w:id w:val="11893368"/>
            <w:showingPlcHdr/>
          </w:sdtPr>
          <w:sdtContent>
            <w:tc>
              <w:tcPr>
                <w:tcW w:w="4531" w:type="dxa"/>
                <w:vAlign w:val="center"/>
              </w:tcPr>
              <w:p w14:paraId="26ED69F3" w14:textId="77777777" w:rsidR="00577D08" w:rsidRDefault="00330FC0">
                <w:pPr>
                  <w:jc w:val="right"/>
                </w:pPr>
                <w:r>
                  <w:rPr>
                    <w:rFonts w:hint="eastAsia"/>
                  </w:rPr>
                  <w:t xml:space="preserve">　</w:t>
                </w:r>
              </w:p>
            </w:tc>
          </w:sdtContent>
        </w:sdt>
      </w:tr>
      <w:tr w:rsidR="00577D08" w14:paraId="0FA01E2B" w14:textId="77777777">
        <w:trPr>
          <w:trHeight w:val="340"/>
        </w:trPr>
        <w:tc>
          <w:tcPr>
            <w:tcW w:w="4527" w:type="dxa"/>
            <w:vAlign w:val="center"/>
          </w:tcPr>
          <w:p w14:paraId="74F3AF81" w14:textId="77777777" w:rsidR="00577D08" w:rsidRDefault="00330FC0">
            <w:r>
              <w:rPr>
                <w:rFonts w:hint="eastAsia"/>
              </w:rPr>
              <w:t>每</w:t>
            </w:r>
            <w:r>
              <w:t>10</w:t>
            </w:r>
            <w:r>
              <w:rPr>
                <w:rFonts w:hint="eastAsia"/>
              </w:rPr>
              <w:t>股派息数（元）（含税）</w:t>
            </w:r>
          </w:p>
        </w:tc>
        <w:tc>
          <w:tcPr>
            <w:tcW w:w="4531" w:type="dxa"/>
            <w:vAlign w:val="center"/>
          </w:tcPr>
          <w:p w14:paraId="43A0EC90" w14:textId="77777777" w:rsidR="00577D08" w:rsidRDefault="00330FC0">
            <w:pPr>
              <w:jc w:val="right"/>
            </w:pPr>
            <w:r>
              <w:rPr>
                <w:rFonts w:hint="eastAsia"/>
              </w:rPr>
              <w:t>0.5</w:t>
            </w:r>
          </w:p>
        </w:tc>
      </w:tr>
      <w:tr w:rsidR="00577D08" w14:paraId="47AF65EB" w14:textId="77777777">
        <w:trPr>
          <w:trHeight w:val="340"/>
        </w:trPr>
        <w:tc>
          <w:tcPr>
            <w:tcW w:w="4527" w:type="dxa"/>
            <w:vAlign w:val="center"/>
          </w:tcPr>
          <w:p w14:paraId="0CB20089" w14:textId="77777777" w:rsidR="00577D08" w:rsidRDefault="00330FC0">
            <w:r>
              <w:rPr>
                <w:rFonts w:hint="eastAsia"/>
              </w:rPr>
              <w:t>每</w:t>
            </w:r>
            <w:r>
              <w:t>10</w:t>
            </w:r>
            <w:r>
              <w:rPr>
                <w:rFonts w:hint="eastAsia"/>
              </w:rPr>
              <w:t>股转增数（股）</w:t>
            </w:r>
          </w:p>
        </w:tc>
        <w:tc>
          <w:tcPr>
            <w:tcW w:w="4531" w:type="dxa"/>
            <w:vAlign w:val="center"/>
          </w:tcPr>
          <w:p w14:paraId="23CB41FE" w14:textId="77777777" w:rsidR="00577D08" w:rsidRDefault="00577D08">
            <w:pPr>
              <w:jc w:val="right"/>
            </w:pPr>
          </w:p>
        </w:tc>
      </w:tr>
      <w:tr w:rsidR="00577D08" w14:paraId="6201BD57" w14:textId="77777777">
        <w:trPr>
          <w:trHeight w:val="340"/>
        </w:trPr>
        <w:tc>
          <w:tcPr>
            <w:tcW w:w="4527" w:type="dxa"/>
            <w:vAlign w:val="center"/>
          </w:tcPr>
          <w:p w14:paraId="2EE5CE80" w14:textId="77777777" w:rsidR="00577D08" w:rsidRDefault="00330FC0">
            <w:r>
              <w:rPr>
                <w:rFonts w:hint="eastAsia"/>
              </w:rPr>
              <w:t>现金分红金额（含税）</w:t>
            </w:r>
          </w:p>
        </w:tc>
        <w:tc>
          <w:tcPr>
            <w:tcW w:w="4531" w:type="dxa"/>
            <w:vAlign w:val="center"/>
          </w:tcPr>
          <w:p w14:paraId="412FCE14" w14:textId="77777777" w:rsidR="00577D08" w:rsidRDefault="00330FC0">
            <w:pPr>
              <w:jc w:val="right"/>
            </w:pPr>
            <w:r>
              <w:t>1,649.82</w:t>
            </w:r>
          </w:p>
        </w:tc>
      </w:tr>
      <w:tr w:rsidR="00577D08" w14:paraId="1AE745BB" w14:textId="77777777">
        <w:trPr>
          <w:trHeight w:val="340"/>
        </w:trPr>
        <w:tc>
          <w:tcPr>
            <w:tcW w:w="4527" w:type="dxa"/>
            <w:tcBorders>
              <w:top w:val="single" w:sz="4" w:space="0" w:color="auto"/>
              <w:left w:val="single" w:sz="4" w:space="0" w:color="auto"/>
              <w:bottom w:val="single" w:sz="4" w:space="0" w:color="auto"/>
              <w:right w:val="single" w:sz="4" w:space="0" w:color="auto"/>
            </w:tcBorders>
            <w:vAlign w:val="center"/>
          </w:tcPr>
          <w:p w14:paraId="77C997E8" w14:textId="77777777" w:rsidR="00577D08" w:rsidRDefault="00330FC0">
            <w:r>
              <w:t>合并报表中归属于上市公司</w:t>
            </w:r>
            <w:r>
              <w:rPr>
                <w:rFonts w:hint="eastAsia"/>
              </w:rPr>
              <w:t>普通股</w:t>
            </w:r>
            <w:r>
              <w:t>股东的净利润</w:t>
            </w:r>
          </w:p>
        </w:tc>
        <w:tc>
          <w:tcPr>
            <w:tcW w:w="4531" w:type="dxa"/>
            <w:tcBorders>
              <w:top w:val="single" w:sz="4" w:space="0" w:color="auto"/>
              <w:left w:val="single" w:sz="4" w:space="0" w:color="auto"/>
              <w:bottom w:val="single" w:sz="4" w:space="0" w:color="auto"/>
              <w:right w:val="single" w:sz="4" w:space="0" w:color="auto"/>
            </w:tcBorders>
            <w:vAlign w:val="center"/>
          </w:tcPr>
          <w:p w14:paraId="0BD58F4D" w14:textId="77777777" w:rsidR="00577D08" w:rsidRDefault="00330FC0">
            <w:pPr>
              <w:jc w:val="right"/>
            </w:pPr>
            <w:r>
              <w:t>6,924.32</w:t>
            </w:r>
          </w:p>
        </w:tc>
      </w:tr>
      <w:tr w:rsidR="00577D08" w14:paraId="75FCFF6E" w14:textId="77777777">
        <w:trPr>
          <w:trHeight w:val="340"/>
        </w:trPr>
        <w:tc>
          <w:tcPr>
            <w:tcW w:w="4527" w:type="dxa"/>
            <w:tcBorders>
              <w:top w:val="single" w:sz="4" w:space="0" w:color="auto"/>
              <w:left w:val="single" w:sz="4" w:space="0" w:color="auto"/>
              <w:bottom w:val="single" w:sz="4" w:space="0" w:color="auto"/>
              <w:right w:val="single" w:sz="4" w:space="0" w:color="auto"/>
            </w:tcBorders>
            <w:vAlign w:val="center"/>
          </w:tcPr>
          <w:p w14:paraId="356AD8B9" w14:textId="77777777" w:rsidR="00577D08" w:rsidRDefault="00330FC0">
            <w:r>
              <w:rPr>
                <w:rFonts w:hint="eastAsia"/>
              </w:rPr>
              <w:t>现金分红金额</w:t>
            </w:r>
            <w:r>
              <w:t>占合并报表中归属于上市公司</w:t>
            </w:r>
            <w:r>
              <w:rPr>
                <w:rFonts w:hint="eastAsia"/>
              </w:rPr>
              <w:t>普通股</w:t>
            </w:r>
            <w:r>
              <w:t>股东的净利润的比率</w:t>
            </w:r>
            <w:bookmarkStart w:id="179" w:name="OLE_LINK4"/>
            <w:r>
              <w:rPr>
                <w:rFonts w:hint="eastAsia"/>
              </w:rPr>
              <w:t>（</w:t>
            </w:r>
            <w:r>
              <w:rPr>
                <w:rFonts w:hint="eastAsia"/>
              </w:rPr>
              <w:t>%</w:t>
            </w:r>
            <w:r>
              <w:rPr>
                <w:rFonts w:hint="eastAsia"/>
              </w:rPr>
              <w:t>）</w:t>
            </w:r>
          </w:p>
        </w:tc>
        <w:bookmarkEnd w:id="179"/>
        <w:tc>
          <w:tcPr>
            <w:tcW w:w="4531" w:type="dxa"/>
            <w:tcBorders>
              <w:top w:val="single" w:sz="4" w:space="0" w:color="auto"/>
              <w:left w:val="single" w:sz="4" w:space="0" w:color="auto"/>
              <w:bottom w:val="single" w:sz="4" w:space="0" w:color="auto"/>
              <w:right w:val="single" w:sz="4" w:space="0" w:color="auto"/>
            </w:tcBorders>
            <w:vAlign w:val="center"/>
          </w:tcPr>
          <w:p w14:paraId="5F08F71D" w14:textId="77777777" w:rsidR="00577D08" w:rsidRDefault="00330FC0">
            <w:pPr>
              <w:jc w:val="right"/>
            </w:pPr>
            <w:r>
              <w:t>23.83</w:t>
            </w:r>
          </w:p>
        </w:tc>
      </w:tr>
      <w:tr w:rsidR="00577D08" w14:paraId="7E8B3F36" w14:textId="77777777">
        <w:trPr>
          <w:trHeight w:val="340"/>
        </w:trPr>
        <w:tc>
          <w:tcPr>
            <w:tcW w:w="4527" w:type="dxa"/>
            <w:vAlign w:val="center"/>
          </w:tcPr>
          <w:p w14:paraId="05E00E62" w14:textId="77777777" w:rsidR="00577D08" w:rsidRDefault="00330FC0">
            <w:r>
              <w:rPr>
                <w:rFonts w:hint="eastAsia"/>
              </w:rPr>
              <w:t>以</w:t>
            </w:r>
            <w:r>
              <w:t>现金方式回购股份计入现金分红的</w:t>
            </w:r>
            <w:r>
              <w:rPr>
                <w:rFonts w:hint="eastAsia"/>
              </w:rPr>
              <w:t>金额</w:t>
            </w:r>
          </w:p>
        </w:tc>
        <w:tc>
          <w:tcPr>
            <w:tcW w:w="4531" w:type="dxa"/>
            <w:vAlign w:val="center"/>
          </w:tcPr>
          <w:p w14:paraId="7F947CF8" w14:textId="77777777" w:rsidR="00577D08" w:rsidRDefault="00577D08">
            <w:pPr>
              <w:jc w:val="right"/>
            </w:pPr>
          </w:p>
        </w:tc>
      </w:tr>
      <w:tr w:rsidR="00577D08" w14:paraId="46FDA6DE" w14:textId="77777777">
        <w:trPr>
          <w:trHeight w:val="340"/>
        </w:trPr>
        <w:tc>
          <w:tcPr>
            <w:tcW w:w="4527" w:type="dxa"/>
            <w:vAlign w:val="center"/>
          </w:tcPr>
          <w:p w14:paraId="3F04E40B" w14:textId="77777777" w:rsidR="00577D08" w:rsidRDefault="00330FC0">
            <w:r>
              <w:rPr>
                <w:rFonts w:hint="eastAsia"/>
              </w:rPr>
              <w:t>合计分红金额（含税）</w:t>
            </w:r>
          </w:p>
        </w:tc>
        <w:tc>
          <w:tcPr>
            <w:tcW w:w="4531" w:type="dxa"/>
            <w:vAlign w:val="center"/>
          </w:tcPr>
          <w:p w14:paraId="39AD435A" w14:textId="77777777" w:rsidR="00577D08" w:rsidRDefault="00330FC0">
            <w:pPr>
              <w:jc w:val="right"/>
            </w:pPr>
            <w:r>
              <w:t>1,649.82</w:t>
            </w:r>
          </w:p>
        </w:tc>
      </w:tr>
      <w:tr w:rsidR="00577D08" w14:paraId="3717C53B" w14:textId="77777777">
        <w:trPr>
          <w:trHeight w:val="340"/>
        </w:trPr>
        <w:tc>
          <w:tcPr>
            <w:tcW w:w="4527" w:type="dxa"/>
            <w:vAlign w:val="center"/>
          </w:tcPr>
          <w:p w14:paraId="0BF75DF4" w14:textId="77777777" w:rsidR="00577D08" w:rsidRDefault="00330FC0">
            <w:r>
              <w:rPr>
                <w:rFonts w:hint="eastAsia"/>
              </w:rPr>
              <w:t>合计分红金额</w:t>
            </w:r>
            <w:r>
              <w:t>占合并报表中归属于上市公司</w:t>
            </w:r>
            <w:r>
              <w:rPr>
                <w:rFonts w:hint="eastAsia"/>
              </w:rPr>
              <w:t>普通股</w:t>
            </w:r>
            <w:r>
              <w:t>股东的净利润的比率</w:t>
            </w:r>
            <w:r>
              <w:rPr>
                <w:rFonts w:hint="eastAsia"/>
              </w:rPr>
              <w:t>（</w:t>
            </w:r>
            <w:r>
              <w:rPr>
                <w:rFonts w:hint="eastAsia"/>
              </w:rPr>
              <w:t>%</w:t>
            </w:r>
            <w:r>
              <w:rPr>
                <w:rFonts w:hint="eastAsia"/>
              </w:rPr>
              <w:t>）</w:t>
            </w:r>
          </w:p>
        </w:tc>
        <w:tc>
          <w:tcPr>
            <w:tcW w:w="4531" w:type="dxa"/>
            <w:vAlign w:val="center"/>
          </w:tcPr>
          <w:p w14:paraId="2BDC222C" w14:textId="77777777" w:rsidR="00577D08" w:rsidRDefault="00330FC0">
            <w:pPr>
              <w:jc w:val="right"/>
            </w:pPr>
            <w:r>
              <w:t>23.83</w:t>
            </w:r>
          </w:p>
        </w:tc>
      </w:tr>
    </w:tbl>
    <w:p w14:paraId="25F63AB5" w14:textId="77777777" w:rsidR="00577D08" w:rsidRDefault="00330FC0">
      <w:pPr>
        <w:pStyle w:val="3"/>
        <w:numPr>
          <w:ilvl w:val="0"/>
          <w:numId w:val="24"/>
        </w:numPr>
        <w:ind w:left="450" w:hanging="450"/>
      </w:pPr>
      <w:bookmarkStart w:id="180" w:name="_Hlk183089680"/>
      <w:r>
        <w:rPr>
          <w:rFonts w:hint="eastAsia"/>
        </w:rPr>
        <w:t>最近三个会计年度现金分红情况</w:t>
      </w:r>
    </w:p>
    <w:sdt>
      <w:sdtPr>
        <w:rPr>
          <w:rFonts w:hint="eastAsia"/>
        </w:rPr>
        <w:alias w:val="是否适用：最近三个会计年度现金分红情况[双击切换]"/>
        <w:tag w:val="_GBC_28e549783f2141f4b4d8c360788bf33d"/>
        <w:id w:val="-1656684681"/>
        <w:placeholder>
          <w:docPart w:val="GBC22222222222222222222222222222"/>
        </w:placeholder>
      </w:sdtPr>
      <w:sdtContent>
        <w:p w14:paraId="7236F629" w14:textId="77777777" w:rsidR="00577D08" w:rsidRDefault="00330FC0">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418E7CE1" w14:textId="77777777" w:rsidR="00577D08" w:rsidRDefault="00330FC0">
      <w:pPr>
        <w:jc w:val="right"/>
      </w:pPr>
      <w:r>
        <w:rPr>
          <w:rFonts w:hint="eastAsia"/>
        </w:rPr>
        <w:t>单位：</w:t>
      </w:r>
      <w:sdt>
        <w:sdtPr>
          <w:rPr>
            <w:rFonts w:hint="eastAsia"/>
          </w:rPr>
          <w:alias w:val="单位：最近三个会计年度现金分红情况"/>
          <w:tag w:val="_GBC_b8634c7351cc405bb925f28f0a63105b"/>
          <w:id w:val="-70925983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w:t>
      </w:r>
      <w:r>
        <w:rPr>
          <w:rFonts w:hint="eastAsia"/>
        </w:rPr>
        <w:t>币种：</w:t>
      </w:r>
      <w:sdt>
        <w:sdtPr>
          <w:rPr>
            <w:rFonts w:hint="eastAsia"/>
          </w:rPr>
          <w:alias w:val="币种：最近三个会计年度现金分红情况"/>
          <w:tag w:val="_GBC_f92d810bf34147c190eacf6f794855d7"/>
          <w:id w:val="-8358401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5075"/>
        <w:gridCol w:w="3978"/>
      </w:tblGrid>
      <w:tr w:rsidR="00577D08" w14:paraId="1C3E5243" w14:textId="77777777">
        <w:trPr>
          <w:trHeight w:val="340"/>
        </w:trPr>
        <w:sdt>
          <w:sdtPr>
            <w:tag w:val="_PLD_f2d866feb6ed4bba8cf4399521757247"/>
            <w:id w:val="-1775244797"/>
          </w:sdtPr>
          <w:sdtContent>
            <w:tc>
              <w:tcPr>
                <w:tcW w:w="5075" w:type="dxa"/>
                <w:vAlign w:val="center"/>
              </w:tcPr>
              <w:p w14:paraId="1259927E" w14:textId="77777777" w:rsidR="00577D08" w:rsidRDefault="00330FC0">
                <w:r>
                  <w:rPr>
                    <w:rFonts w:hint="eastAsia"/>
                  </w:rPr>
                  <w:t>最近三个会计年度累计现金分红金额（含税）</w:t>
                </w:r>
                <w:r>
                  <w:rPr>
                    <w:rFonts w:hint="eastAsia"/>
                  </w:rPr>
                  <w:t>(1)</w:t>
                </w:r>
              </w:p>
            </w:tc>
          </w:sdtContent>
        </w:sdt>
        <w:sdt>
          <w:sdtPr>
            <w:rPr>
              <w:rFonts w:hint="eastAsia"/>
            </w:rPr>
            <w:alias w:val="最近三个会计年度累计现金分红金额"/>
            <w:tag w:val="_GBC_7995ca7746b5435e81fa91542e8c70a3"/>
            <w:id w:val="-660382916"/>
          </w:sdtPr>
          <w:sdtContent>
            <w:tc>
              <w:tcPr>
                <w:tcW w:w="3978" w:type="dxa"/>
                <w:vAlign w:val="center"/>
              </w:tcPr>
              <w:p w14:paraId="11559B95" w14:textId="77777777" w:rsidR="00577D08" w:rsidRDefault="00330FC0">
                <w:pPr>
                  <w:jc w:val="right"/>
                </w:pPr>
                <w:r>
                  <w:t>8,298.95</w:t>
                </w:r>
              </w:p>
            </w:tc>
          </w:sdtContent>
        </w:sdt>
      </w:tr>
      <w:tr w:rsidR="00577D08" w14:paraId="7D84D8DD" w14:textId="77777777">
        <w:trPr>
          <w:trHeight w:val="340"/>
        </w:trPr>
        <w:tc>
          <w:tcPr>
            <w:tcW w:w="5075" w:type="dxa"/>
            <w:vAlign w:val="center"/>
          </w:tcPr>
          <w:p w14:paraId="1DE6917C" w14:textId="77777777" w:rsidR="00577D08" w:rsidRDefault="00330FC0">
            <w:r>
              <w:rPr>
                <w:rFonts w:hint="eastAsia"/>
              </w:rPr>
              <w:t>最近三个会计年度累计回购并注销金额</w:t>
            </w:r>
            <w:r>
              <w:t>(</w:t>
            </w:r>
            <w:r>
              <w:rPr>
                <w:rFonts w:hint="eastAsia"/>
              </w:rPr>
              <w:t>2</w:t>
            </w:r>
            <w:r>
              <w:t>)</w:t>
            </w:r>
          </w:p>
        </w:tc>
        <w:tc>
          <w:tcPr>
            <w:tcW w:w="3978" w:type="dxa"/>
            <w:vAlign w:val="center"/>
          </w:tcPr>
          <w:p w14:paraId="3167FDEA" w14:textId="77777777" w:rsidR="00577D08" w:rsidRDefault="00330FC0">
            <w:pPr>
              <w:jc w:val="right"/>
            </w:pPr>
            <w:r>
              <w:t>5,029.35</w:t>
            </w:r>
          </w:p>
        </w:tc>
      </w:tr>
      <w:tr w:rsidR="00577D08" w14:paraId="341DC45F" w14:textId="77777777">
        <w:trPr>
          <w:trHeight w:val="340"/>
        </w:trPr>
        <w:tc>
          <w:tcPr>
            <w:tcW w:w="5075" w:type="dxa"/>
            <w:vAlign w:val="center"/>
          </w:tcPr>
          <w:p w14:paraId="6C8094D6" w14:textId="77777777" w:rsidR="00577D08" w:rsidRDefault="00330FC0">
            <w:r>
              <w:rPr>
                <w:rFonts w:hint="eastAsia"/>
              </w:rPr>
              <w:t>最近三个会计年度现金分红和回购并注销累计金额</w:t>
            </w:r>
            <w:r>
              <w:t>(</w:t>
            </w:r>
            <w:r>
              <w:rPr>
                <w:rFonts w:hint="eastAsia"/>
              </w:rPr>
              <w:t>3</w:t>
            </w:r>
            <w:r>
              <w:t>)=(1)+(</w:t>
            </w:r>
            <w:r>
              <w:rPr>
                <w:rFonts w:hint="eastAsia"/>
              </w:rPr>
              <w:t>2</w:t>
            </w:r>
            <w:r>
              <w:t>)</w:t>
            </w:r>
          </w:p>
        </w:tc>
        <w:tc>
          <w:tcPr>
            <w:tcW w:w="3978" w:type="dxa"/>
            <w:vAlign w:val="center"/>
          </w:tcPr>
          <w:p w14:paraId="1BDACE01" w14:textId="77777777" w:rsidR="00577D08" w:rsidRDefault="00330FC0">
            <w:pPr>
              <w:jc w:val="right"/>
            </w:pPr>
            <w:r>
              <w:t>13,328.29</w:t>
            </w:r>
          </w:p>
        </w:tc>
      </w:tr>
      <w:tr w:rsidR="00577D08" w14:paraId="16047A6F" w14:textId="77777777">
        <w:trPr>
          <w:trHeight w:val="340"/>
        </w:trPr>
        <w:tc>
          <w:tcPr>
            <w:tcW w:w="5075" w:type="dxa"/>
            <w:vAlign w:val="center"/>
          </w:tcPr>
          <w:p w14:paraId="75033957" w14:textId="77777777" w:rsidR="00577D08" w:rsidRDefault="00330FC0">
            <w:r>
              <w:rPr>
                <w:rFonts w:hint="eastAsia"/>
              </w:rPr>
              <w:t>最近三个会计年度年均净利润金额</w:t>
            </w:r>
            <w:r>
              <w:t>(</w:t>
            </w:r>
            <w:r>
              <w:rPr>
                <w:rFonts w:hint="eastAsia"/>
              </w:rPr>
              <w:t>4</w:t>
            </w:r>
            <w:r>
              <w:t>)</w:t>
            </w:r>
          </w:p>
        </w:tc>
        <w:tc>
          <w:tcPr>
            <w:tcW w:w="3978" w:type="dxa"/>
            <w:vAlign w:val="center"/>
          </w:tcPr>
          <w:p w14:paraId="17BBADBA" w14:textId="77777777" w:rsidR="00577D08" w:rsidRDefault="00330FC0">
            <w:pPr>
              <w:jc w:val="right"/>
            </w:pPr>
            <w:r>
              <w:t>12,299.88</w:t>
            </w:r>
          </w:p>
        </w:tc>
      </w:tr>
      <w:tr w:rsidR="00577D08" w14:paraId="4FCCDEC4" w14:textId="77777777">
        <w:trPr>
          <w:trHeight w:val="340"/>
        </w:trPr>
        <w:tc>
          <w:tcPr>
            <w:tcW w:w="5075" w:type="dxa"/>
            <w:vAlign w:val="center"/>
          </w:tcPr>
          <w:p w14:paraId="44D9C133" w14:textId="77777777" w:rsidR="00577D08" w:rsidRDefault="00330FC0">
            <w:r>
              <w:rPr>
                <w:rFonts w:hint="eastAsia"/>
              </w:rPr>
              <w:t>最近三个会计年度现金分红比例（</w:t>
            </w:r>
            <w:r>
              <w:rPr>
                <w:rFonts w:hint="eastAsia"/>
              </w:rPr>
              <w:t>%</w:t>
            </w:r>
            <w:r>
              <w:rPr>
                <w:rFonts w:hint="eastAsia"/>
              </w:rPr>
              <w:t>）</w:t>
            </w:r>
            <w:r>
              <w:t>(5)=(3)/(4)</w:t>
            </w:r>
          </w:p>
        </w:tc>
        <w:tc>
          <w:tcPr>
            <w:tcW w:w="3978" w:type="dxa"/>
            <w:vAlign w:val="center"/>
          </w:tcPr>
          <w:p w14:paraId="70D5A94D" w14:textId="77777777" w:rsidR="00577D08" w:rsidRDefault="00330FC0">
            <w:pPr>
              <w:jc w:val="right"/>
            </w:pPr>
            <w:r>
              <w:t xml:space="preserve"> 108.36 </w:t>
            </w:r>
          </w:p>
        </w:tc>
      </w:tr>
      <w:tr w:rsidR="00577D08" w14:paraId="6BD77312" w14:textId="77777777">
        <w:trPr>
          <w:trHeight w:val="340"/>
        </w:trPr>
        <w:tc>
          <w:tcPr>
            <w:tcW w:w="5075" w:type="dxa"/>
            <w:vAlign w:val="center"/>
          </w:tcPr>
          <w:p w14:paraId="018ADF59" w14:textId="77777777" w:rsidR="00577D08" w:rsidRDefault="00330FC0">
            <w:r>
              <w:rPr>
                <w:rFonts w:hint="eastAsia"/>
              </w:rPr>
              <w:t>最近一个会计年度</w:t>
            </w:r>
            <w:r>
              <w:t>合并报表</w:t>
            </w:r>
            <w:r>
              <w:rPr>
                <w:rFonts w:hint="eastAsia"/>
              </w:rPr>
              <w:t>中</w:t>
            </w:r>
            <w:r>
              <w:t>归属于上市公司</w:t>
            </w:r>
            <w:r>
              <w:rPr>
                <w:rFonts w:hint="eastAsia"/>
              </w:rPr>
              <w:t>普通股</w:t>
            </w:r>
            <w:r>
              <w:t>股东的净利润</w:t>
            </w:r>
          </w:p>
        </w:tc>
        <w:tc>
          <w:tcPr>
            <w:tcW w:w="3978" w:type="dxa"/>
            <w:vAlign w:val="center"/>
          </w:tcPr>
          <w:p w14:paraId="47A6FA27" w14:textId="77777777" w:rsidR="00577D08" w:rsidRDefault="00330FC0">
            <w:pPr>
              <w:jc w:val="right"/>
            </w:pPr>
            <w:r>
              <w:t>6,924.32</w:t>
            </w:r>
          </w:p>
        </w:tc>
      </w:tr>
      <w:tr w:rsidR="00577D08" w14:paraId="34E3BAF5" w14:textId="77777777">
        <w:trPr>
          <w:trHeight w:val="340"/>
        </w:trPr>
        <w:tc>
          <w:tcPr>
            <w:tcW w:w="5075" w:type="dxa"/>
            <w:vAlign w:val="center"/>
          </w:tcPr>
          <w:p w14:paraId="43667B17" w14:textId="77777777" w:rsidR="00577D08" w:rsidRDefault="00330FC0">
            <w:r>
              <w:rPr>
                <w:rFonts w:hint="eastAsia"/>
              </w:rPr>
              <w:t>最近一个会计年度母公司报表年度末未分配利润</w:t>
            </w:r>
          </w:p>
        </w:tc>
        <w:tc>
          <w:tcPr>
            <w:tcW w:w="3978" w:type="dxa"/>
            <w:vAlign w:val="center"/>
          </w:tcPr>
          <w:p w14:paraId="4D8CFD71" w14:textId="77777777" w:rsidR="00577D08" w:rsidRDefault="00330FC0">
            <w:pPr>
              <w:jc w:val="right"/>
            </w:pPr>
            <w:r>
              <w:t>101,047.62</w:t>
            </w:r>
          </w:p>
        </w:tc>
      </w:tr>
    </w:tbl>
    <w:p w14:paraId="1F8819DB" w14:textId="77777777" w:rsidR="00577D08" w:rsidRDefault="00577D08"/>
    <w:p w14:paraId="435499A9" w14:textId="77777777" w:rsidR="00577D08" w:rsidRDefault="00330FC0">
      <w:pPr>
        <w:pStyle w:val="2"/>
        <w:numPr>
          <w:ilvl w:val="0"/>
          <w:numId w:val="18"/>
        </w:numPr>
        <w:ind w:left="450" w:hanging="450"/>
      </w:pPr>
      <w:bookmarkStart w:id="181" w:name="_Toc342491956"/>
      <w:bookmarkStart w:id="182" w:name="_Toc342565948"/>
      <w:bookmarkEnd w:id="180"/>
      <w:r>
        <w:rPr>
          <w:rFonts w:hint="eastAsia"/>
        </w:rPr>
        <w:t>公司股权激励计划、员工持股计划或其他员工激励措施的情况及其影响</w:t>
      </w:r>
      <w:bookmarkEnd w:id="181"/>
      <w:bookmarkEnd w:id="182"/>
    </w:p>
    <w:p w14:paraId="1F97BD97" w14:textId="77777777" w:rsidR="00577D08" w:rsidRDefault="00330FC0">
      <w:pPr>
        <w:pStyle w:val="3"/>
        <w:numPr>
          <w:ilvl w:val="1"/>
          <w:numId w:val="25"/>
        </w:numPr>
        <w:rPr>
          <w:kern w:val="44"/>
          <w:szCs w:val="21"/>
        </w:rPr>
      </w:pPr>
      <w:bookmarkStart w:id="183" w:name="_Toc342565949"/>
      <w:bookmarkStart w:id="184" w:name="_Toc342491957"/>
      <w:r>
        <w:rPr>
          <w:rFonts w:hint="eastAsia"/>
          <w:kern w:val="44"/>
          <w:szCs w:val="21"/>
        </w:rPr>
        <w:t>相关激励事项已在临时公告披露且后续实施无进展或变化的</w:t>
      </w:r>
      <w:bookmarkEnd w:id="183"/>
      <w:bookmarkEnd w:id="184"/>
    </w:p>
    <w:sdt>
      <w:sdtPr>
        <w:alias w:val="是否适用：相关激励事项已在临时公告披露且后续实施无进展或变化的[双击切换]"/>
        <w:tag w:val="_GBC_0af9dca2858d42619c57d7878f3a7792"/>
        <w:id w:val="1843816065"/>
        <w:placeholder>
          <w:docPart w:val="GBC22222222222222222222222222222"/>
        </w:placeholder>
      </w:sdtPr>
      <w:sdtContent>
        <w:p w14:paraId="1B51117D"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1"/>
        <w:gridCol w:w="5797"/>
      </w:tblGrid>
      <w:tr w:rsidR="00577D08" w14:paraId="64EBDCCD" w14:textId="77777777">
        <w:trPr>
          <w:trHeight w:val="397"/>
        </w:trPr>
        <w:sdt>
          <w:sdtPr>
            <w:tag w:val="_PLD_2decbe6d8ce743f4b13927063683e8b3"/>
            <w:id w:val="-1061707322"/>
          </w:sdtPr>
          <w:sdtContent>
            <w:tc>
              <w:tcPr>
                <w:tcW w:w="3171" w:type="dxa"/>
                <w:vAlign w:val="center"/>
              </w:tcPr>
              <w:p w14:paraId="1018B4C4" w14:textId="77777777" w:rsidR="00577D08" w:rsidRDefault="00330FC0">
                <w:pPr>
                  <w:jc w:val="center"/>
                  <w:rPr>
                    <w:bCs/>
                    <w:kern w:val="44"/>
                  </w:rPr>
                </w:pPr>
                <w:r>
                  <w:rPr>
                    <w:rFonts w:hint="eastAsia"/>
                    <w:bCs/>
                    <w:kern w:val="44"/>
                  </w:rPr>
                  <w:t>事项概述</w:t>
                </w:r>
              </w:p>
            </w:tc>
          </w:sdtContent>
        </w:sdt>
        <w:sdt>
          <w:sdtPr>
            <w:tag w:val="_PLD_6c5a6ae67a584eab9a29fd8b549ac825"/>
            <w:id w:val="-1957715666"/>
          </w:sdtPr>
          <w:sdtContent>
            <w:tc>
              <w:tcPr>
                <w:tcW w:w="5797" w:type="dxa"/>
                <w:vAlign w:val="center"/>
              </w:tcPr>
              <w:p w14:paraId="1EDB7A34" w14:textId="77777777" w:rsidR="00577D08" w:rsidRDefault="00330FC0">
                <w:pPr>
                  <w:jc w:val="center"/>
                  <w:rPr>
                    <w:bCs/>
                    <w:kern w:val="44"/>
                  </w:rPr>
                </w:pPr>
                <w:r>
                  <w:rPr>
                    <w:rFonts w:hint="eastAsia"/>
                    <w:bCs/>
                    <w:kern w:val="44"/>
                  </w:rPr>
                  <w:t>查询索引</w:t>
                </w:r>
              </w:p>
            </w:tc>
          </w:sdtContent>
        </w:sdt>
      </w:tr>
      <w:tr w:rsidR="00577D08" w14:paraId="3CBAE4D8" w14:textId="77777777" w:rsidTr="00E6534C">
        <w:tc>
          <w:tcPr>
            <w:tcW w:w="3171" w:type="dxa"/>
            <w:vAlign w:val="center"/>
          </w:tcPr>
          <w:p w14:paraId="4782A25A" w14:textId="77777777" w:rsidR="00577D08" w:rsidRDefault="00330FC0">
            <w:pPr>
              <w:rPr>
                <w:bCs/>
                <w:kern w:val="44"/>
              </w:rPr>
            </w:pPr>
            <w:r>
              <w:rPr>
                <w:rFonts w:hint="eastAsia"/>
                <w:bCs/>
                <w:kern w:val="44"/>
              </w:rPr>
              <w:t>2025</w:t>
            </w:r>
            <w:r>
              <w:rPr>
                <w:rFonts w:hint="eastAsia"/>
                <w:bCs/>
                <w:kern w:val="44"/>
              </w:rPr>
              <w:t>年</w:t>
            </w:r>
            <w:r>
              <w:rPr>
                <w:rFonts w:hint="eastAsia"/>
                <w:bCs/>
                <w:kern w:val="44"/>
              </w:rPr>
              <w:t>1</w:t>
            </w:r>
            <w:r>
              <w:rPr>
                <w:rFonts w:hint="eastAsia"/>
                <w:bCs/>
                <w:kern w:val="44"/>
              </w:rPr>
              <w:t>月</w:t>
            </w:r>
            <w:r>
              <w:rPr>
                <w:rFonts w:hint="eastAsia"/>
                <w:bCs/>
                <w:kern w:val="44"/>
              </w:rPr>
              <w:t>20</w:t>
            </w:r>
            <w:r>
              <w:rPr>
                <w:rFonts w:hint="eastAsia"/>
                <w:bCs/>
                <w:kern w:val="44"/>
              </w:rPr>
              <w:t>日，公司召开第四届董事会第十次会议审议通过了《关于向</w:t>
            </w:r>
            <w:r>
              <w:rPr>
                <w:rFonts w:hint="eastAsia"/>
                <w:bCs/>
                <w:kern w:val="44"/>
              </w:rPr>
              <w:t>2024</w:t>
            </w:r>
            <w:r>
              <w:rPr>
                <w:rFonts w:hint="eastAsia"/>
                <w:bCs/>
                <w:kern w:val="44"/>
              </w:rPr>
              <w:t>年限制性股票激励计划激励对象授予预留部分限制性股票的议案》，并于</w:t>
            </w:r>
            <w:r>
              <w:rPr>
                <w:rFonts w:hint="eastAsia"/>
                <w:bCs/>
                <w:kern w:val="44"/>
              </w:rPr>
              <w:lastRenderedPageBreak/>
              <w:t>2025</w:t>
            </w:r>
            <w:r>
              <w:rPr>
                <w:rFonts w:hint="eastAsia"/>
                <w:bCs/>
                <w:kern w:val="44"/>
              </w:rPr>
              <w:t>年</w:t>
            </w:r>
            <w:r>
              <w:rPr>
                <w:rFonts w:hint="eastAsia"/>
                <w:bCs/>
                <w:kern w:val="44"/>
              </w:rPr>
              <w:t>1</w:t>
            </w:r>
            <w:r>
              <w:rPr>
                <w:rFonts w:hint="eastAsia"/>
                <w:bCs/>
                <w:kern w:val="44"/>
              </w:rPr>
              <w:t>月</w:t>
            </w:r>
            <w:r>
              <w:rPr>
                <w:rFonts w:hint="eastAsia"/>
                <w:bCs/>
                <w:kern w:val="44"/>
              </w:rPr>
              <w:t>22</w:t>
            </w:r>
            <w:r>
              <w:rPr>
                <w:rFonts w:hint="eastAsia"/>
                <w:bCs/>
                <w:kern w:val="44"/>
              </w:rPr>
              <w:t>日披露了《关于向</w:t>
            </w:r>
            <w:r>
              <w:rPr>
                <w:rFonts w:hint="eastAsia"/>
                <w:bCs/>
                <w:kern w:val="44"/>
              </w:rPr>
              <w:t>2024</w:t>
            </w:r>
            <w:r>
              <w:rPr>
                <w:rFonts w:hint="eastAsia"/>
                <w:bCs/>
                <w:kern w:val="44"/>
              </w:rPr>
              <w:t>年限制性股票激励计划激励对象授予预留部分限制性股票的公告》（公告编号：</w:t>
            </w:r>
            <w:r>
              <w:rPr>
                <w:rFonts w:hint="eastAsia"/>
                <w:bCs/>
                <w:kern w:val="44"/>
              </w:rPr>
              <w:t>2025-006</w:t>
            </w:r>
            <w:r>
              <w:rPr>
                <w:rFonts w:hint="eastAsia"/>
                <w:bCs/>
                <w:kern w:val="44"/>
              </w:rPr>
              <w:t>）。</w:t>
            </w:r>
          </w:p>
          <w:p w14:paraId="799B3687" w14:textId="77777777" w:rsidR="00577D08" w:rsidRDefault="00330FC0">
            <w:pPr>
              <w:rPr>
                <w:bCs/>
                <w:kern w:val="44"/>
              </w:rPr>
            </w:pPr>
            <w:r>
              <w:rPr>
                <w:rFonts w:hint="eastAsia"/>
                <w:bCs/>
                <w:kern w:val="44"/>
              </w:rPr>
              <w:t>2025</w:t>
            </w:r>
            <w:r>
              <w:rPr>
                <w:rFonts w:hint="eastAsia"/>
                <w:bCs/>
                <w:kern w:val="44"/>
              </w:rPr>
              <w:t>年</w:t>
            </w:r>
            <w:r>
              <w:rPr>
                <w:rFonts w:hint="eastAsia"/>
                <w:bCs/>
                <w:kern w:val="44"/>
              </w:rPr>
              <w:t>2</w:t>
            </w:r>
            <w:r>
              <w:rPr>
                <w:rFonts w:hint="eastAsia"/>
                <w:bCs/>
                <w:kern w:val="44"/>
              </w:rPr>
              <w:t>月</w:t>
            </w:r>
            <w:r>
              <w:rPr>
                <w:rFonts w:hint="eastAsia"/>
                <w:bCs/>
                <w:kern w:val="44"/>
              </w:rPr>
              <w:t>19</w:t>
            </w:r>
            <w:r>
              <w:rPr>
                <w:rFonts w:hint="eastAsia"/>
                <w:bCs/>
                <w:kern w:val="44"/>
              </w:rPr>
              <w:t>日公司在中国结算上海分公司办理完成了公司</w:t>
            </w:r>
            <w:r>
              <w:rPr>
                <w:rFonts w:hint="eastAsia"/>
                <w:bCs/>
                <w:kern w:val="44"/>
              </w:rPr>
              <w:t>2024</w:t>
            </w:r>
            <w:r>
              <w:rPr>
                <w:rFonts w:hint="eastAsia"/>
                <w:bCs/>
                <w:kern w:val="44"/>
              </w:rPr>
              <w:t>年限制性股票激励计划预留部分限制性股票授予登记工作，授予</w:t>
            </w:r>
            <w:r>
              <w:rPr>
                <w:rFonts w:hint="eastAsia"/>
                <w:bCs/>
                <w:kern w:val="44"/>
              </w:rPr>
              <w:t>31</w:t>
            </w:r>
            <w:r>
              <w:rPr>
                <w:rFonts w:hint="eastAsia"/>
                <w:bCs/>
                <w:kern w:val="44"/>
              </w:rPr>
              <w:t>人共计</w:t>
            </w:r>
            <w:r>
              <w:rPr>
                <w:rFonts w:hint="eastAsia"/>
                <w:bCs/>
                <w:kern w:val="44"/>
              </w:rPr>
              <w:t>58</w:t>
            </w:r>
            <w:r>
              <w:rPr>
                <w:rFonts w:hint="eastAsia"/>
                <w:bCs/>
                <w:kern w:val="44"/>
              </w:rPr>
              <w:t>万股限制性股票。</w:t>
            </w:r>
          </w:p>
        </w:tc>
        <w:tc>
          <w:tcPr>
            <w:tcW w:w="5797" w:type="dxa"/>
            <w:vAlign w:val="bottom"/>
          </w:tcPr>
          <w:p w14:paraId="62BF6454" w14:textId="77777777" w:rsidR="00E6534C" w:rsidRDefault="00330FC0">
            <w:pPr>
              <w:rPr>
                <w:bCs/>
                <w:kern w:val="44"/>
              </w:rPr>
            </w:pPr>
            <w:r>
              <w:rPr>
                <w:rFonts w:hint="eastAsia"/>
                <w:bCs/>
                <w:kern w:val="44"/>
              </w:rPr>
              <w:lastRenderedPageBreak/>
              <w:t>分别详见公司于</w:t>
            </w:r>
            <w:r>
              <w:rPr>
                <w:rFonts w:hint="eastAsia"/>
                <w:bCs/>
                <w:kern w:val="44"/>
              </w:rPr>
              <w:t>2025</w:t>
            </w:r>
            <w:r>
              <w:rPr>
                <w:rFonts w:hint="eastAsia"/>
                <w:bCs/>
                <w:kern w:val="44"/>
              </w:rPr>
              <w:t>年</w:t>
            </w:r>
            <w:r>
              <w:rPr>
                <w:rFonts w:hint="eastAsia"/>
                <w:bCs/>
                <w:kern w:val="44"/>
              </w:rPr>
              <w:t>1</w:t>
            </w:r>
            <w:r>
              <w:rPr>
                <w:rFonts w:hint="eastAsia"/>
                <w:bCs/>
                <w:kern w:val="44"/>
              </w:rPr>
              <w:t>月</w:t>
            </w:r>
            <w:r>
              <w:rPr>
                <w:rFonts w:hint="eastAsia"/>
                <w:bCs/>
                <w:kern w:val="44"/>
              </w:rPr>
              <w:t>22</w:t>
            </w:r>
            <w:r>
              <w:rPr>
                <w:rFonts w:hint="eastAsia"/>
                <w:bCs/>
                <w:kern w:val="44"/>
              </w:rPr>
              <w:t>日和</w:t>
            </w:r>
            <w:r>
              <w:rPr>
                <w:rFonts w:hint="eastAsia"/>
                <w:bCs/>
                <w:kern w:val="44"/>
              </w:rPr>
              <w:t>2025</w:t>
            </w:r>
            <w:r>
              <w:rPr>
                <w:rFonts w:hint="eastAsia"/>
                <w:bCs/>
                <w:kern w:val="44"/>
              </w:rPr>
              <w:t>年</w:t>
            </w:r>
            <w:r>
              <w:rPr>
                <w:rFonts w:hint="eastAsia"/>
                <w:bCs/>
                <w:kern w:val="44"/>
              </w:rPr>
              <w:t>2</w:t>
            </w:r>
            <w:r>
              <w:rPr>
                <w:rFonts w:hint="eastAsia"/>
                <w:bCs/>
                <w:kern w:val="44"/>
              </w:rPr>
              <w:t>月</w:t>
            </w:r>
            <w:r>
              <w:rPr>
                <w:rFonts w:hint="eastAsia"/>
                <w:bCs/>
                <w:kern w:val="44"/>
              </w:rPr>
              <w:t>19</w:t>
            </w:r>
            <w:r>
              <w:rPr>
                <w:rFonts w:hint="eastAsia"/>
                <w:bCs/>
                <w:kern w:val="44"/>
              </w:rPr>
              <w:t>日刊登于上海证券交易所网站及《上海证券报》《中国证券报》《证券时报》《证券日报》和《经济参考报》的《第四届董事会第十次会议决议公告》（公告编号：</w:t>
            </w:r>
            <w:r>
              <w:rPr>
                <w:rFonts w:hint="eastAsia"/>
                <w:bCs/>
                <w:kern w:val="44"/>
              </w:rPr>
              <w:t>2025-004</w:t>
            </w:r>
            <w:r>
              <w:rPr>
                <w:rFonts w:hint="eastAsia"/>
                <w:bCs/>
                <w:kern w:val="44"/>
              </w:rPr>
              <w:t>）及《关</w:t>
            </w:r>
          </w:p>
          <w:p w14:paraId="5287BF18" w14:textId="0C0624D3" w:rsidR="00577D08" w:rsidRDefault="00330FC0">
            <w:pPr>
              <w:rPr>
                <w:bCs/>
                <w:kern w:val="44"/>
              </w:rPr>
            </w:pPr>
            <w:r>
              <w:rPr>
                <w:rFonts w:hint="eastAsia"/>
                <w:bCs/>
                <w:kern w:val="44"/>
              </w:rPr>
              <w:lastRenderedPageBreak/>
              <w:t>于向</w:t>
            </w:r>
            <w:r>
              <w:rPr>
                <w:rFonts w:hint="eastAsia"/>
                <w:bCs/>
                <w:kern w:val="44"/>
              </w:rPr>
              <w:t>2024</w:t>
            </w:r>
            <w:r>
              <w:rPr>
                <w:rFonts w:hint="eastAsia"/>
                <w:bCs/>
                <w:kern w:val="44"/>
              </w:rPr>
              <w:t>年限制性股票激励计划激励对象授予预留部分限制性股票的公告》（公告编号：</w:t>
            </w:r>
            <w:r>
              <w:rPr>
                <w:rFonts w:hint="eastAsia"/>
                <w:bCs/>
                <w:kern w:val="44"/>
              </w:rPr>
              <w:t>2025-006</w:t>
            </w:r>
            <w:r>
              <w:rPr>
                <w:rFonts w:hint="eastAsia"/>
                <w:bCs/>
                <w:kern w:val="44"/>
              </w:rPr>
              <w:t>）。</w:t>
            </w:r>
          </w:p>
        </w:tc>
      </w:tr>
      <w:tr w:rsidR="00577D08" w14:paraId="565808C2" w14:textId="77777777">
        <w:tc>
          <w:tcPr>
            <w:tcW w:w="3171" w:type="dxa"/>
            <w:vAlign w:val="center"/>
          </w:tcPr>
          <w:p w14:paraId="68EA063D" w14:textId="77777777" w:rsidR="00577D08" w:rsidRDefault="00330FC0">
            <w:pPr>
              <w:rPr>
                <w:bCs/>
                <w:kern w:val="44"/>
              </w:rPr>
            </w:pPr>
            <w:r>
              <w:rPr>
                <w:rFonts w:hint="eastAsia"/>
                <w:bCs/>
                <w:kern w:val="44"/>
              </w:rPr>
              <w:lastRenderedPageBreak/>
              <w:t>2025</w:t>
            </w:r>
            <w:r>
              <w:rPr>
                <w:rFonts w:hint="eastAsia"/>
                <w:bCs/>
                <w:kern w:val="44"/>
              </w:rPr>
              <w:t>年</w:t>
            </w:r>
            <w:r>
              <w:rPr>
                <w:rFonts w:hint="eastAsia"/>
                <w:bCs/>
                <w:kern w:val="44"/>
              </w:rPr>
              <w:t>12</w:t>
            </w:r>
            <w:r>
              <w:rPr>
                <w:rFonts w:hint="eastAsia"/>
                <w:bCs/>
                <w:kern w:val="44"/>
              </w:rPr>
              <w:t>月</w:t>
            </w:r>
            <w:r>
              <w:rPr>
                <w:rFonts w:hint="eastAsia"/>
                <w:bCs/>
                <w:kern w:val="44"/>
              </w:rPr>
              <w:t>9</w:t>
            </w:r>
            <w:r>
              <w:rPr>
                <w:rFonts w:hint="eastAsia"/>
                <w:bCs/>
                <w:kern w:val="44"/>
              </w:rPr>
              <w:t>日，公司召开第四届董事会第十五次会议审议通过了《关于终止实施</w:t>
            </w:r>
            <w:r>
              <w:rPr>
                <w:rFonts w:hint="eastAsia"/>
                <w:bCs/>
                <w:kern w:val="44"/>
              </w:rPr>
              <w:t>2024</w:t>
            </w:r>
            <w:r>
              <w:rPr>
                <w:rFonts w:hint="eastAsia"/>
                <w:bCs/>
                <w:kern w:val="44"/>
              </w:rPr>
              <w:t>年限制性股票激励计划暨回购注销相关限制性股票并调整回购价格的议案》，并于</w:t>
            </w:r>
            <w:r>
              <w:rPr>
                <w:rFonts w:hint="eastAsia"/>
                <w:bCs/>
                <w:kern w:val="44"/>
              </w:rPr>
              <w:t>2025</w:t>
            </w:r>
            <w:r>
              <w:rPr>
                <w:rFonts w:hint="eastAsia"/>
                <w:bCs/>
                <w:kern w:val="44"/>
              </w:rPr>
              <w:t>年</w:t>
            </w:r>
            <w:r>
              <w:rPr>
                <w:rFonts w:hint="eastAsia"/>
                <w:bCs/>
                <w:kern w:val="44"/>
              </w:rPr>
              <w:t>12</w:t>
            </w:r>
            <w:r>
              <w:rPr>
                <w:rFonts w:hint="eastAsia"/>
                <w:bCs/>
                <w:kern w:val="44"/>
              </w:rPr>
              <w:t>月</w:t>
            </w:r>
            <w:r>
              <w:rPr>
                <w:rFonts w:hint="eastAsia"/>
                <w:bCs/>
                <w:kern w:val="44"/>
              </w:rPr>
              <w:t>11</w:t>
            </w:r>
            <w:r>
              <w:rPr>
                <w:rFonts w:hint="eastAsia"/>
                <w:bCs/>
                <w:kern w:val="44"/>
              </w:rPr>
              <w:t>日披露了《关于终止实施</w:t>
            </w:r>
            <w:r>
              <w:rPr>
                <w:rFonts w:hint="eastAsia"/>
                <w:bCs/>
                <w:kern w:val="44"/>
              </w:rPr>
              <w:t>2024</w:t>
            </w:r>
            <w:r>
              <w:rPr>
                <w:rFonts w:hint="eastAsia"/>
                <w:bCs/>
                <w:kern w:val="44"/>
              </w:rPr>
              <w:t>年限制性股票激励计划暨回购注销相关股票并调整回购价格的公告》（公告编号：</w:t>
            </w:r>
            <w:r>
              <w:rPr>
                <w:rFonts w:hint="eastAsia"/>
                <w:bCs/>
                <w:kern w:val="44"/>
              </w:rPr>
              <w:t>2025-059</w:t>
            </w:r>
            <w:r>
              <w:rPr>
                <w:rFonts w:hint="eastAsia"/>
                <w:bCs/>
                <w:kern w:val="44"/>
              </w:rPr>
              <w:t>）。</w:t>
            </w:r>
          </w:p>
        </w:tc>
        <w:tc>
          <w:tcPr>
            <w:tcW w:w="5797" w:type="dxa"/>
            <w:vAlign w:val="center"/>
          </w:tcPr>
          <w:p w14:paraId="74FE2ED8" w14:textId="77777777" w:rsidR="00577D08" w:rsidRDefault="00330FC0">
            <w:pPr>
              <w:rPr>
                <w:bCs/>
                <w:kern w:val="44"/>
              </w:rPr>
            </w:pPr>
            <w:r>
              <w:rPr>
                <w:rFonts w:hint="eastAsia"/>
                <w:bCs/>
                <w:kern w:val="44"/>
              </w:rPr>
              <w:t>分别详见公司于</w:t>
            </w:r>
            <w:r>
              <w:rPr>
                <w:rFonts w:hint="eastAsia"/>
                <w:bCs/>
                <w:kern w:val="44"/>
              </w:rPr>
              <w:t>2025</w:t>
            </w:r>
            <w:r>
              <w:rPr>
                <w:rFonts w:hint="eastAsia"/>
                <w:bCs/>
                <w:kern w:val="44"/>
              </w:rPr>
              <w:t>年</w:t>
            </w:r>
            <w:r>
              <w:rPr>
                <w:rFonts w:hint="eastAsia"/>
                <w:bCs/>
                <w:kern w:val="44"/>
              </w:rPr>
              <w:t>12</w:t>
            </w:r>
            <w:r>
              <w:rPr>
                <w:rFonts w:hint="eastAsia"/>
                <w:bCs/>
                <w:kern w:val="44"/>
              </w:rPr>
              <w:t>月</w:t>
            </w:r>
            <w:r>
              <w:rPr>
                <w:rFonts w:hint="eastAsia"/>
                <w:bCs/>
                <w:kern w:val="44"/>
              </w:rPr>
              <w:t>11</w:t>
            </w:r>
            <w:r>
              <w:rPr>
                <w:rFonts w:hint="eastAsia"/>
                <w:bCs/>
                <w:kern w:val="44"/>
              </w:rPr>
              <w:t>日刊登于上海证券交易所网站及《上海证券报》《中国证券报》《证券时报》《证券日报》和《经济参考报》的《第四届董事会第十五次会议决议公告》（公告编号：</w:t>
            </w:r>
            <w:r>
              <w:rPr>
                <w:rFonts w:hint="eastAsia"/>
                <w:bCs/>
                <w:kern w:val="44"/>
              </w:rPr>
              <w:t>2025-055</w:t>
            </w:r>
            <w:r>
              <w:rPr>
                <w:rFonts w:hint="eastAsia"/>
                <w:bCs/>
                <w:kern w:val="44"/>
              </w:rPr>
              <w:t>）及《关于终止实施</w:t>
            </w:r>
            <w:r>
              <w:rPr>
                <w:rFonts w:hint="eastAsia"/>
                <w:bCs/>
                <w:kern w:val="44"/>
              </w:rPr>
              <w:t>2024</w:t>
            </w:r>
            <w:r>
              <w:rPr>
                <w:rFonts w:hint="eastAsia"/>
                <w:bCs/>
                <w:kern w:val="44"/>
              </w:rPr>
              <w:t>年限制性股票激励计划暨回购注销相关股票并调整回购价格的公告》（公告编号：</w:t>
            </w:r>
            <w:r>
              <w:rPr>
                <w:rFonts w:hint="eastAsia"/>
                <w:bCs/>
                <w:kern w:val="44"/>
              </w:rPr>
              <w:t>2025-059</w:t>
            </w:r>
            <w:r>
              <w:rPr>
                <w:rFonts w:hint="eastAsia"/>
                <w:bCs/>
                <w:kern w:val="44"/>
              </w:rPr>
              <w:t>）。</w:t>
            </w:r>
          </w:p>
        </w:tc>
      </w:tr>
    </w:tbl>
    <w:p w14:paraId="0A54D0B9" w14:textId="77777777" w:rsidR="00577D08" w:rsidRDefault="00330FC0">
      <w:pPr>
        <w:pStyle w:val="3"/>
        <w:numPr>
          <w:ilvl w:val="1"/>
          <w:numId w:val="25"/>
        </w:numPr>
        <w:rPr>
          <w:kern w:val="44"/>
          <w:szCs w:val="21"/>
        </w:rPr>
      </w:pPr>
      <w:r>
        <w:rPr>
          <w:rFonts w:hint="eastAsia"/>
          <w:kern w:val="44"/>
          <w:szCs w:val="21"/>
        </w:rPr>
        <w:t>临时公告未披露或有后续进展的激励情况</w:t>
      </w:r>
    </w:p>
    <w:p w14:paraId="72D7FF4D" w14:textId="77777777" w:rsidR="00577D08" w:rsidRDefault="00330FC0">
      <w:r>
        <w:rPr>
          <w:rFonts w:hint="eastAsia"/>
        </w:rPr>
        <w:t>股权激励情况</w:t>
      </w:r>
    </w:p>
    <w:p w14:paraId="636A32B8" w14:textId="77777777" w:rsidR="00577D08" w:rsidRDefault="00000000">
      <w:sdt>
        <w:sdtPr>
          <w:alias w:val="是否适用：股权激励情况[双击切换]"/>
          <w:tag w:val="_GBC_002ad948ce1449c2a805bfbb132b2202"/>
          <w:id w:val="-1035651857"/>
          <w:placeholder>
            <w:docPart w:val="GBC22222222222222222222222222222"/>
          </w:placeholder>
        </w:sdtPr>
        <w:sdtContent>
          <w:r w:rsidR="00330FC0">
            <w:rPr>
              <w:rFonts w:ascii="宋体" w:hAnsi="宋体"/>
            </w:rPr>
            <w:fldChar w:fldCharType="begin"/>
          </w:r>
          <w:r w:rsidR="00330FC0">
            <w:rPr>
              <w:rFonts w:ascii="宋体" w:hAnsi="宋体"/>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7C289F85" w14:textId="77777777" w:rsidR="00577D08" w:rsidRDefault="00330FC0">
      <w:r>
        <w:rPr>
          <w:rFonts w:hint="eastAsia"/>
        </w:rPr>
        <w:t>其他说明：</w:t>
      </w:r>
    </w:p>
    <w:sdt>
      <w:sdtPr>
        <w:rPr>
          <w:rFonts w:hint="eastAsia"/>
        </w:rPr>
        <w:alias w:val="是否适用：股权激励情况的说明[双击切换]"/>
        <w:tag w:val="_GBC_67421581adf34d0f9f06e3042b8d7199"/>
        <w:id w:val="1922447046"/>
        <w:placeholder>
          <w:docPart w:val="GBC22222222222222222222222222222"/>
        </w:placeholder>
      </w:sdtPr>
      <w:sdtContent>
        <w:p w14:paraId="3D7CB9FC"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4F7DE5F" w14:textId="77777777" w:rsidR="00577D08" w:rsidRDefault="00330FC0">
      <w:pPr>
        <w:rPr>
          <w:bCs/>
        </w:rPr>
      </w:pPr>
      <w:r>
        <w:rPr>
          <w:rFonts w:hint="eastAsia"/>
          <w:bCs/>
        </w:rPr>
        <w:t>员工持股计划情况</w:t>
      </w:r>
    </w:p>
    <w:sdt>
      <w:sdtPr>
        <w:rPr>
          <w:rFonts w:hint="eastAsia"/>
          <w:bCs/>
        </w:rPr>
        <w:alias w:val="是否适用：员工持股计划情况[双击切换]"/>
        <w:tag w:val="_GBC_58bc54aaaba24427a2a569de76f7f83e"/>
        <w:id w:val="-1456401288"/>
        <w:placeholder>
          <w:docPart w:val="GBC22222222222222222222222222222"/>
        </w:placeholder>
      </w:sdtPr>
      <w:sdtContent>
        <w:p w14:paraId="641ADCF1" w14:textId="77777777" w:rsidR="00577D08" w:rsidRDefault="00330FC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759B0242" w14:textId="77777777" w:rsidR="00577D08" w:rsidRDefault="00330FC0">
      <w:pPr>
        <w:rPr>
          <w:bCs/>
        </w:rPr>
      </w:pPr>
      <w:r>
        <w:rPr>
          <w:rFonts w:hint="eastAsia"/>
          <w:bCs/>
        </w:rPr>
        <w:t>其他激励措施</w:t>
      </w:r>
    </w:p>
    <w:sdt>
      <w:sdtPr>
        <w:alias w:val="是否适用：其他激励措施[双击切换]"/>
        <w:tag w:val="_GBC_1273f753309d4658962c7982b10fa010"/>
        <w:id w:val="-498577702"/>
        <w:placeholder>
          <w:docPart w:val="GBC22222222222222222222222222222"/>
        </w:placeholder>
      </w:sdtPr>
      <w:sdtContent>
        <w:p w14:paraId="56B28FB7" w14:textId="77777777" w:rsidR="00577D08" w:rsidRDefault="00330FC0">
          <w:pPr>
            <w:rPr>
              <w:bCs/>
            </w:rPr>
          </w:pPr>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B40557F" w14:textId="77777777" w:rsidR="00577D08" w:rsidRDefault="00330FC0">
      <w:pPr>
        <w:pStyle w:val="3"/>
        <w:numPr>
          <w:ilvl w:val="1"/>
          <w:numId w:val="25"/>
        </w:numPr>
        <w:rPr>
          <w:szCs w:val="21"/>
        </w:rPr>
      </w:pPr>
      <w:bookmarkStart w:id="185" w:name="_Toc342566005"/>
      <w:bookmarkStart w:id="186" w:name="_Toc342057945"/>
      <w:r>
        <w:rPr>
          <w:rFonts w:hint="eastAsia"/>
          <w:szCs w:val="21"/>
        </w:rPr>
        <w:t>董事、高级管理人员报告期内被授予的</w:t>
      </w:r>
      <w:r>
        <w:rPr>
          <w:rFonts w:hint="eastAsia"/>
          <w:kern w:val="44"/>
          <w:szCs w:val="21"/>
        </w:rPr>
        <w:t>股权</w:t>
      </w:r>
      <w:r>
        <w:rPr>
          <w:rFonts w:hint="eastAsia"/>
          <w:szCs w:val="21"/>
        </w:rPr>
        <w:t>激励情况</w:t>
      </w:r>
      <w:bookmarkEnd w:id="185"/>
      <w:bookmarkEnd w:id="186"/>
    </w:p>
    <w:p w14:paraId="0E1C9FD6" w14:textId="77777777" w:rsidR="00577D08" w:rsidRDefault="00000000">
      <w:pPr>
        <w:kinsoku w:val="0"/>
        <w:overflowPunct w:val="0"/>
        <w:autoSpaceDE w:val="0"/>
        <w:autoSpaceDN w:val="0"/>
        <w:adjustRightInd w:val="0"/>
        <w:snapToGrid w:val="0"/>
      </w:pPr>
      <w:sdt>
        <w:sdtPr>
          <w:rPr>
            <w:rFonts w:hint="eastAsia"/>
          </w:rPr>
          <w:alias w:val="是否适用：董事、监事、高级管理人员报告期内被授予的股权激励情况[双击切换]"/>
          <w:tag w:val="_GBC_c2d0a53ac8044ce0b5022c6f5ccdc0a9"/>
          <w:id w:val="488451255"/>
          <w:placeholder>
            <w:docPart w:val="GBC22222222222222222222222222222"/>
          </w:placeholder>
        </w:sdtPr>
        <w:sdtContent>
          <w:r w:rsidR="00330FC0">
            <w:rPr>
              <w:rFonts w:ascii="宋体" w:hAnsi="宋体"/>
            </w:rPr>
            <w:fldChar w:fldCharType="begin"/>
          </w:r>
          <w:r w:rsidR="00330FC0">
            <w:rPr>
              <w:rFonts w:ascii="宋体" w:hAnsi="宋体"/>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7B2C9F25" w14:textId="77777777" w:rsidR="00577D08" w:rsidRDefault="00330FC0">
      <w:pPr>
        <w:pStyle w:val="3"/>
        <w:numPr>
          <w:ilvl w:val="1"/>
          <w:numId w:val="25"/>
        </w:numPr>
      </w:pPr>
      <w:r>
        <w:t>报告期内对高级管理人员的考评机制，以及激励机制的建立、实施情况</w:t>
      </w:r>
    </w:p>
    <w:sdt>
      <w:sdtPr>
        <w:rPr>
          <w:rFonts w:hint="eastAsia"/>
        </w:rPr>
        <w:alias w:val="是否适用：报告期内对高级管理人员的考评机制，以及激励机制的建立、实施情况[双击切换]"/>
        <w:tag w:val="_GBC_f7215667d17c45e88748740889bab9b8"/>
        <w:id w:val="-1714182373"/>
        <w:placeholder>
          <w:docPart w:val="GBC22222222222222222222222222222"/>
        </w:placeholder>
      </w:sdtPr>
      <w:sdtContent>
        <w:p w14:paraId="79E23670"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对高级管理人员的考评及激励情况"/>
        <w:tag w:val="_GBC_ff8dc93589b2464ba735502bf6a2a8ca"/>
        <w:id w:val="396016386"/>
        <w:placeholder>
          <w:docPart w:val="GBC22222222222222222222222222222"/>
        </w:placeholder>
      </w:sdtPr>
      <w:sdtContent>
        <w:p w14:paraId="764F6B62" w14:textId="77777777" w:rsidR="00577D08" w:rsidRDefault="00330FC0">
          <w:pPr>
            <w:spacing w:line="360" w:lineRule="exact"/>
            <w:ind w:firstLineChars="200" w:firstLine="420"/>
            <w:jc w:val="both"/>
          </w:pPr>
          <w:r>
            <w:rPr>
              <w:rFonts w:hint="eastAsia"/>
            </w:rPr>
            <w:t>2025</w:t>
          </w:r>
          <w:r>
            <w:rPr>
              <w:rFonts w:hint="eastAsia"/>
            </w:rPr>
            <w:t>年</w:t>
          </w:r>
          <w:r>
            <w:rPr>
              <w:rFonts w:hint="eastAsia"/>
            </w:rPr>
            <w:t>12</w:t>
          </w:r>
          <w:r>
            <w:rPr>
              <w:rFonts w:hint="eastAsia"/>
            </w:rPr>
            <w:t>月</w:t>
          </w:r>
          <w:r>
            <w:rPr>
              <w:rFonts w:hint="eastAsia"/>
            </w:rPr>
            <w:t>9</w:t>
          </w:r>
          <w:r>
            <w:rPr>
              <w:rFonts w:hint="eastAsia"/>
            </w:rPr>
            <w:t>日公司第四届董事会审计委员会第十次会议和第四届董事会第十五次会议审议通过了《关于修订、制定部分公司治理制度的议案》，公司同意制定《董事、高级管理人员薪酬管理制度》，该制度已提交公司于</w:t>
          </w:r>
          <w:r>
            <w:rPr>
              <w:rFonts w:hint="eastAsia"/>
            </w:rPr>
            <w:t>2026</w:t>
          </w:r>
          <w:r>
            <w:rPr>
              <w:rFonts w:hint="eastAsia"/>
            </w:rPr>
            <w:t>年</w:t>
          </w:r>
          <w:r>
            <w:rPr>
              <w:rFonts w:hint="eastAsia"/>
            </w:rPr>
            <w:t>12</w:t>
          </w:r>
          <w:r>
            <w:rPr>
              <w:rFonts w:hint="eastAsia"/>
            </w:rPr>
            <w:t>月</w:t>
          </w:r>
          <w:r>
            <w:rPr>
              <w:rFonts w:hint="eastAsia"/>
            </w:rPr>
            <w:t>26</w:t>
          </w:r>
          <w:r>
            <w:rPr>
              <w:rFonts w:hint="eastAsia"/>
            </w:rPr>
            <w:t>日召开的</w:t>
          </w:r>
          <w:r>
            <w:rPr>
              <w:rFonts w:hint="eastAsia"/>
            </w:rPr>
            <w:t>2025</w:t>
          </w:r>
          <w:r>
            <w:rPr>
              <w:rFonts w:hint="eastAsia"/>
            </w:rPr>
            <w:t>年第一次临时股东会审议通过。该制度自</w:t>
          </w:r>
          <w:r>
            <w:rPr>
              <w:rFonts w:hint="eastAsia"/>
            </w:rPr>
            <w:t>2025</w:t>
          </w:r>
          <w:r>
            <w:rPr>
              <w:rFonts w:hint="eastAsia"/>
            </w:rPr>
            <w:t>年</w:t>
          </w:r>
          <w:r>
            <w:rPr>
              <w:rFonts w:hint="eastAsia"/>
            </w:rPr>
            <w:t>12</w:t>
          </w:r>
          <w:r>
            <w:rPr>
              <w:rFonts w:hint="eastAsia"/>
            </w:rPr>
            <w:t>月</w:t>
          </w:r>
          <w:r>
            <w:rPr>
              <w:rFonts w:hint="eastAsia"/>
            </w:rPr>
            <w:t>26</w:t>
          </w:r>
          <w:r>
            <w:rPr>
              <w:rFonts w:hint="eastAsia"/>
            </w:rPr>
            <w:t>日起生效实施。</w:t>
          </w:r>
        </w:p>
        <w:p w14:paraId="5FD782D0" w14:textId="77777777" w:rsidR="00577D08" w:rsidRDefault="00330FC0">
          <w:pPr>
            <w:spacing w:line="360" w:lineRule="exact"/>
            <w:ind w:firstLineChars="200" w:firstLine="420"/>
            <w:jc w:val="both"/>
          </w:pPr>
          <w:r>
            <w:rPr>
              <w:rFonts w:hint="eastAsia"/>
            </w:rPr>
            <w:t>自此公司建立了较为完善的高级管理人员绩效考评体系和薪酬制度，依据经营目标完成情况及业绩表现等，对高级管理人员的工作进行评估、考核。</w:t>
          </w:r>
        </w:p>
        <w:p w14:paraId="69C25B46" w14:textId="77777777" w:rsidR="00577D08" w:rsidRDefault="00330FC0">
          <w:pPr>
            <w:spacing w:line="360" w:lineRule="exact"/>
            <w:ind w:firstLineChars="200" w:firstLine="420"/>
            <w:jc w:val="both"/>
          </w:pPr>
          <w:r>
            <w:rPr>
              <w:rFonts w:hint="eastAsia"/>
            </w:rPr>
            <w:t>另外公司高级管理人员全部由董事会聘任，对董事会负责，承担董事会下达的经营目标和具体指标，董事会下设的薪酬与考核委员会负责制定薪酬方案报公司董事会审批。公司根据高级管理人员所任职位的价值、责任、能力、市场薪资行情等因素确定年度的基本报酬；并以公司年度目标绩效奖金为基础，与公司年度经营绩效相挂钩，年终根据当年年度述职及工作能力、履职情况、责任目标完成情况考核并统算兑付。</w:t>
          </w:r>
        </w:p>
        <w:p w14:paraId="603473FB" w14:textId="77777777" w:rsidR="00577D08" w:rsidRDefault="00330FC0">
          <w:pPr>
            <w:spacing w:line="360" w:lineRule="exact"/>
            <w:ind w:firstLineChars="200" w:firstLine="420"/>
            <w:jc w:val="both"/>
          </w:pPr>
          <w:r>
            <w:rPr>
              <w:rFonts w:hint="eastAsia"/>
            </w:rPr>
            <w:lastRenderedPageBreak/>
            <w:t>公司高级管理人员的聘任程序公开、透明，符合相关法律法规及《公司章程》的规定。经过严格、规范考评，公司董事会认为，报告期内，公司高管人员勤勉、尽责地履行了工作职责，业绩考核合格，基本完成本年度确定的各项任务。</w:t>
          </w:r>
        </w:p>
      </w:sdtContent>
    </w:sdt>
    <w:p w14:paraId="57523F12" w14:textId="77777777" w:rsidR="00577D08" w:rsidRDefault="00330FC0">
      <w:pPr>
        <w:pStyle w:val="2"/>
        <w:numPr>
          <w:ilvl w:val="0"/>
          <w:numId w:val="18"/>
        </w:numPr>
      </w:pPr>
      <w:r>
        <w:rPr>
          <w:rFonts w:hint="eastAsia"/>
        </w:rPr>
        <w:t>报告期内的内部控制制度建设及实施情况</w:t>
      </w:r>
    </w:p>
    <w:sdt>
      <w:sdtPr>
        <w:alias w:val="是否适用：报告期内的内部控制制度建设及实施情况[双击切换]"/>
        <w:tag w:val="_GBC_f76747fb26ee47cfb00fc8ad5592b038"/>
        <w:id w:val="-1848008432"/>
        <w:placeholder>
          <w:docPart w:val="GBC22222222222222222222222222222"/>
        </w:placeholder>
      </w:sdtPr>
      <w:sdtContent>
        <w:p w14:paraId="094A7C0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内部控制自我评价报告"/>
        <w:tag w:val="_GBC_7ec2120247b647e18f5670c0a1211280"/>
        <w:id w:val="1172074449"/>
        <w:placeholder>
          <w:docPart w:val="GBC22222222222222222222222222222"/>
        </w:placeholder>
      </w:sdtPr>
      <w:sdtContent>
        <w:p w14:paraId="0985780F" w14:textId="77777777" w:rsidR="00577D08" w:rsidRDefault="00330FC0">
          <w:pPr>
            <w:spacing w:line="360" w:lineRule="exact"/>
            <w:ind w:firstLineChars="200" w:firstLine="420"/>
            <w:jc w:val="both"/>
          </w:pPr>
          <w:r>
            <w:rPr>
              <w:rFonts w:hint="eastAsia"/>
            </w:rPr>
            <w:t>本年度公司基于外部监管要求变化和组织架构调整的实际情况，对原有的内部控制体系手册及内部控制制度进行了一定的修订，对相关的内部控制管理流程进行了更新，确保公司内部控制与公司的经营规模、业务范围、竞争情况和风险水平相适应。同时，公司积极引导各部门、各单位对各业务流程中的关键控制点进行持续的自我监督检查，主动发现实施过程中的缺陷与不足，实现内控管理的持续性。</w:t>
          </w:r>
        </w:p>
      </w:sdtContent>
    </w:sdt>
    <w:p w14:paraId="605B848E" w14:textId="77777777" w:rsidR="00577D08" w:rsidRDefault="00577D08"/>
    <w:p w14:paraId="31F922C3" w14:textId="77777777" w:rsidR="00577D08" w:rsidRDefault="00330FC0">
      <w:pPr>
        <w:tabs>
          <w:tab w:val="left" w:pos="2760"/>
        </w:tabs>
      </w:pPr>
      <w:r>
        <w:rPr>
          <w:rFonts w:hint="eastAsia"/>
        </w:rPr>
        <w:t>报告期内部控制存在重大缺陷情况的说明</w:t>
      </w:r>
    </w:p>
    <w:sdt>
      <w:sdtPr>
        <w:alias w:val="是否适用：报告期内部控制存在重大缺陷情况的说明[双击切换]"/>
        <w:tag w:val="_GBC_cad036bd9fe3409f906985f824010f6a"/>
        <w:id w:val="-151603469"/>
        <w:placeholder>
          <w:docPart w:val="GBC22222222222222222222222222222"/>
        </w:placeholder>
      </w:sdtPr>
      <w:sdtContent>
        <w:p w14:paraId="3DB77140"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18078FE" w14:textId="77777777" w:rsidR="00577D08" w:rsidRDefault="00330FC0">
      <w:pPr>
        <w:pStyle w:val="2"/>
        <w:numPr>
          <w:ilvl w:val="0"/>
          <w:numId w:val="18"/>
        </w:numPr>
      </w:pPr>
      <w:r>
        <w:rPr>
          <w:rFonts w:hint="eastAsia"/>
        </w:rPr>
        <w:t>报告期内对子公司的管理控制情况</w:t>
      </w:r>
    </w:p>
    <w:sdt>
      <w:sdtPr>
        <w:rPr>
          <w:rFonts w:hint="eastAsia"/>
        </w:rPr>
        <w:alias w:val="是否适用：报告期内对子公司的管理控制情况[双击切换]"/>
        <w:tag w:val="_GBC_3c41db66329f4aabb0fd91423cfeac3f"/>
        <w:id w:val="-556002170"/>
        <w:placeholder>
          <w:docPart w:val="GBC22222222222222222222222222222"/>
        </w:placeholder>
      </w:sdtPr>
      <w:sdtContent>
        <w:p w14:paraId="78AE92D1"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对子公司的管理控制情况"/>
        <w:tag w:val="_GBC_c42acb3ad0ff45a1891fd8fa03ee78a2"/>
        <w:id w:val="-1232546735"/>
        <w:placeholder>
          <w:docPart w:val="GBC22222222222222222222222222222"/>
        </w:placeholder>
      </w:sdtPr>
      <w:sdtContent>
        <w:p w14:paraId="5C43675E" w14:textId="77777777" w:rsidR="00577D08" w:rsidRDefault="00330FC0">
          <w:pPr>
            <w:spacing w:line="360" w:lineRule="exact"/>
            <w:ind w:firstLineChars="200" w:firstLine="420"/>
            <w:jc w:val="both"/>
          </w:pPr>
          <w:r>
            <w:rPr>
              <w:rFonts w:hint="eastAsia"/>
            </w:rPr>
            <w:t>公司根据《公司法》《公司章程》等相关法律法规与规章制度的规定制定了《控股子公司管理制度》，报告期内公司严格按照《控股子公司管理制度》对子公司进行了管理。</w:t>
          </w:r>
        </w:p>
      </w:sdtContent>
    </w:sdt>
    <w:p w14:paraId="20E15C57" w14:textId="77777777" w:rsidR="00577D08" w:rsidRDefault="00330FC0">
      <w:pPr>
        <w:tabs>
          <w:tab w:val="left" w:pos="2760"/>
        </w:tabs>
      </w:pPr>
      <w:bookmarkStart w:id="187" w:name="_Hlk190432193"/>
      <w:r>
        <w:rPr>
          <w:rFonts w:hint="eastAsia"/>
        </w:rPr>
        <w:t>对子公司的管理控制存在异常的风险提示</w:t>
      </w:r>
    </w:p>
    <w:sdt>
      <w:sdtPr>
        <w:rPr>
          <w:rFonts w:hint="eastAsia"/>
        </w:rPr>
        <w:alias w:val="是否适用：对子公司的管理控制存在异常的风险提示[双击切换]"/>
        <w:tag w:val="_GBC_edc1e7805eef4d0d8cc96ae5ea6f3fa6"/>
        <w:id w:val="-2010673524"/>
        <w:placeholder>
          <w:docPart w:val="GBC22222222222222222222222222222"/>
        </w:placeholder>
      </w:sdtPr>
      <w:sdtContent>
        <w:p w14:paraId="00A02B42" w14:textId="77777777" w:rsidR="00577D08" w:rsidRDefault="00330FC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187"/>
    <w:p w14:paraId="1BA8388E" w14:textId="77777777" w:rsidR="00577D08" w:rsidRDefault="00330FC0">
      <w:pPr>
        <w:pStyle w:val="2"/>
        <w:numPr>
          <w:ilvl w:val="0"/>
          <w:numId w:val="18"/>
        </w:numPr>
      </w:pPr>
      <w:r>
        <w:rPr>
          <w:rFonts w:hint="eastAsia"/>
        </w:rPr>
        <w:t>内部控制审计报告的相关情况说明</w:t>
      </w:r>
    </w:p>
    <w:sdt>
      <w:sdtPr>
        <w:rPr>
          <w:rFonts w:hint="eastAsia"/>
        </w:rPr>
        <w:alias w:val="是否适用：内部控制审计报告的相关情况说明[双击切换]"/>
        <w:tag w:val="_GBC_f9211f94ca4347ababf36cfb6829169a"/>
        <w:id w:val="1177078548"/>
        <w:placeholder>
          <w:docPart w:val="GBC22222222222222222222222222222"/>
        </w:placeholder>
      </w:sdtPr>
      <w:sdtContent>
        <w:p w14:paraId="1F8E4E3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15A9265" w14:textId="77777777" w:rsidR="00577D08" w:rsidRDefault="00330FC0">
      <w:pPr>
        <w:spacing w:line="360" w:lineRule="exact"/>
      </w:pPr>
      <w:r>
        <w:t>是否披露内部控制审计报告：</w:t>
      </w:r>
      <w:sdt>
        <w:sdtPr>
          <w:alias w:val="审计机构是否对公司内部控制出具核实评价意见"/>
          <w:tag w:val="_GBC_c9f332f7c06944ebbd339ca86944d1e2"/>
          <w:id w:val="952374793"/>
          <w:lock w:val="sdtLocked"/>
          <w:placeholder>
            <w:docPart w:val="GBC22222222222222222222222222222"/>
          </w:placeholder>
          <w:comboBox>
            <w:listItem w:displayText="是" w:value="true"/>
            <w:listItem w:displayText="否" w:value="false"/>
          </w:comboBox>
        </w:sdtPr>
        <w:sdtContent>
          <w:r>
            <w:t>是</w:t>
          </w:r>
        </w:sdtContent>
      </w:sdt>
    </w:p>
    <w:p w14:paraId="7AAEEDB0" w14:textId="77777777" w:rsidR="00577D08" w:rsidRDefault="00330FC0">
      <w:pPr>
        <w:spacing w:line="360" w:lineRule="exact"/>
        <w:rPr>
          <w:lang w:val="zh-CN"/>
        </w:rPr>
      </w:pPr>
      <w:r>
        <w:rPr>
          <w:rFonts w:hint="eastAsia"/>
          <w:lang w:val="zh-CN"/>
        </w:rPr>
        <w:t>内部控制审计报告意见类型：</w:t>
      </w:r>
      <w:sdt>
        <w:sdtPr>
          <w:rPr>
            <w:rFonts w:hint="eastAsia"/>
            <w:lang w:val="zh-CN"/>
          </w:rPr>
          <w:alias w:val="内部控制审计意见类型"/>
          <w:tag w:val="_GBC_70262b41c723466c879c062e5326eee3"/>
          <w:id w:val="-1855486474"/>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否定意见" w:value="否定意见"/>
            <w:listItem w:displayText="无法表示意见" w:value="无法表示意见"/>
          </w:comboBox>
        </w:sdtPr>
        <w:sdtContent>
          <w:r>
            <w:rPr>
              <w:rFonts w:hint="eastAsia"/>
              <w:lang w:val="zh-CN"/>
            </w:rPr>
            <w:t>标准的无保留意见</w:t>
          </w:r>
        </w:sdtContent>
      </w:sdt>
    </w:p>
    <w:p w14:paraId="23E17BF4" w14:textId="77777777" w:rsidR="00577D08" w:rsidRDefault="00330FC0">
      <w:bookmarkStart w:id="188" w:name="_Hlk219122302"/>
      <w:r>
        <w:rPr>
          <w:rFonts w:hint="eastAsia"/>
        </w:rPr>
        <w:t>报告期或上年度是否被出具内部控制非标准审计意见</w:t>
      </w:r>
    </w:p>
    <w:p w14:paraId="1C5CF704" w14:textId="77777777" w:rsidR="00577D08" w:rsidRDefault="00000000">
      <w:sdt>
        <w:sdtPr>
          <w:rPr>
            <w:rFonts w:hint="eastAsia"/>
          </w:rPr>
          <w:alias w:val="报告期或上年度是否被出具内部控制非标准审计意见[双击切换]"/>
          <w:tag w:val="_GBC_36a55dc92df44223953ae0ab74b84a2c"/>
          <w:id w:val="-1847387794"/>
          <w:placeholder>
            <w:docPart w:val="GBC22222222222222222222222222222"/>
          </w:placeholder>
        </w:sdtPr>
        <w:sdtContent>
          <w:r w:rsidR="00330FC0">
            <w:rPr>
              <w:rFonts w:ascii="宋体" w:hAnsi="宋体"/>
            </w:rPr>
            <w:fldChar w:fldCharType="begin"/>
          </w:r>
          <w:r w:rsidR="00330FC0">
            <w:rPr>
              <w:rFonts w:ascii="宋体" w:hAnsi="宋体"/>
            </w:rPr>
            <w:instrText xml:space="preserve"> MACROBUTTON  SnrToggleCheckbox □是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√否 </w:instrText>
          </w:r>
          <w:r w:rsidR="00330FC0">
            <w:rPr>
              <w:rFonts w:ascii="宋体" w:hAnsi="宋体"/>
            </w:rPr>
            <w:fldChar w:fldCharType="end"/>
          </w:r>
        </w:sdtContent>
      </w:sdt>
    </w:p>
    <w:p w14:paraId="357D10D9" w14:textId="77777777" w:rsidR="00577D08" w:rsidRDefault="00330FC0">
      <w:pPr>
        <w:pStyle w:val="2"/>
        <w:numPr>
          <w:ilvl w:val="0"/>
          <w:numId w:val="18"/>
        </w:numPr>
        <w:ind w:left="420" w:hanging="420"/>
        <w:rPr>
          <w:rFonts w:ascii="宋体" w:hAnsi="宋体" w:cs="宋体" w:hint="eastAsia"/>
          <w:kern w:val="0"/>
          <w:szCs w:val="24"/>
        </w:rPr>
      </w:pPr>
      <w:bookmarkStart w:id="189" w:name="_Hlk40625163"/>
      <w:bookmarkStart w:id="190" w:name="_Hlk40625199"/>
      <w:bookmarkEnd w:id="188"/>
      <w:r>
        <w:rPr>
          <w:rFonts w:ascii="宋体" w:hAnsi="宋体" w:cs="宋体"/>
          <w:kern w:val="0"/>
          <w:szCs w:val="24"/>
        </w:rPr>
        <w:t>上市公司治理专项行动自查问题整改情况</w:t>
      </w:r>
    </w:p>
    <w:sdt>
      <w:sdtPr>
        <w:alias w:val="上市公司治理专项行动自查问题整改情况"/>
        <w:tag w:val="_GBC_05eb1501ffbf4b83acf20965ad06a2e0"/>
        <w:id w:val="-418094651"/>
        <w:placeholder>
          <w:docPart w:val="GBC22222222222222222222222222222"/>
        </w:placeholder>
      </w:sdtPr>
      <w:sdtContent>
        <w:p w14:paraId="19FC17BF" w14:textId="77777777" w:rsidR="00577D08" w:rsidRDefault="00330FC0">
          <w:r>
            <w:rPr>
              <w:rFonts w:hint="eastAsia"/>
            </w:rPr>
            <w:t>无</w:t>
          </w:r>
        </w:p>
      </w:sdtContent>
    </w:sdt>
    <w:p w14:paraId="7727B5BA" w14:textId="77777777" w:rsidR="00577D08" w:rsidRDefault="00330FC0">
      <w:pPr>
        <w:pStyle w:val="2"/>
        <w:numPr>
          <w:ilvl w:val="0"/>
          <w:numId w:val="18"/>
        </w:numPr>
        <w:ind w:left="420" w:hanging="420"/>
        <w:rPr>
          <w:rFonts w:ascii="宋体" w:hAnsi="宋体" w:cs="宋体" w:hint="eastAsia"/>
          <w:kern w:val="0"/>
          <w:szCs w:val="24"/>
        </w:rPr>
      </w:pPr>
      <w:bookmarkStart w:id="191" w:name="_Hlk217315508"/>
      <w:bookmarkStart w:id="192" w:name="_Hlk200011887"/>
      <w:bookmarkStart w:id="193" w:name="_Hlk89187025"/>
      <w:bookmarkStart w:id="194" w:name="_Hlk89187063"/>
      <w:bookmarkEnd w:id="189"/>
      <w:bookmarkEnd w:id="190"/>
      <w:r>
        <w:rPr>
          <w:rFonts w:ascii="宋体" w:hAnsi="宋体" w:cs="宋体"/>
          <w:kern w:val="0"/>
          <w:szCs w:val="24"/>
        </w:rPr>
        <w:t>纳入环境信息依法披露企业名单的上市公司及其</w:t>
      </w:r>
      <w:r>
        <w:rPr>
          <w:rFonts w:ascii="宋体" w:hAnsi="宋体" w:cs="宋体" w:hint="eastAsia"/>
          <w:kern w:val="0"/>
          <w:szCs w:val="24"/>
        </w:rPr>
        <w:t>主要</w:t>
      </w:r>
      <w:r>
        <w:rPr>
          <w:rFonts w:ascii="宋体" w:hAnsi="宋体" w:cs="宋体"/>
          <w:kern w:val="0"/>
          <w:szCs w:val="24"/>
        </w:rPr>
        <w:t>子公司的环</w:t>
      </w:r>
      <w:r>
        <w:rPr>
          <w:rFonts w:ascii="宋体" w:hAnsi="宋体" w:cs="宋体" w:hint="eastAsia"/>
          <w:kern w:val="0"/>
          <w:szCs w:val="24"/>
        </w:rPr>
        <w:t>境</w:t>
      </w:r>
      <w:r>
        <w:rPr>
          <w:rFonts w:ascii="宋体" w:hAnsi="宋体" w:cs="宋体"/>
          <w:kern w:val="0"/>
          <w:szCs w:val="24"/>
        </w:rPr>
        <w:t>信息情况</w:t>
      </w:r>
    </w:p>
    <w:sdt>
      <w:sdtPr>
        <w:rPr>
          <w:rFonts w:hint="eastAsia"/>
          <w:color w:val="000000"/>
        </w:rPr>
        <w:alias w:val="是否适用：纳入环境信息依法披露企业名单的上市公司及其主要子公司的环境信息情况[双击切换]"/>
        <w:tag w:val="_GBC_6553e3da66c54f77a89d044d325fe993"/>
        <w:id w:val="215249685"/>
        <w:placeholder>
          <w:docPart w:val="GBC22222222222222222222222222222"/>
        </w:placeholder>
      </w:sdtPr>
      <w:sdtContent>
        <w:p w14:paraId="49739B61" w14:textId="77777777" w:rsidR="00577D08" w:rsidRDefault="00330FC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2"/>
        <w:gridCol w:w="3582"/>
      </w:tblGrid>
      <w:tr w:rsidR="00577D08" w14:paraId="670BEAE8" w14:textId="77777777">
        <w:trPr>
          <w:trHeight w:val="270"/>
        </w:trPr>
        <w:sdt>
          <w:sdtPr>
            <w:tag w:val="_PLD_e65592890892416c8d7c50ff79b106ab"/>
            <w:id w:val="1294254322"/>
          </w:sdtPr>
          <w:sdtEndPr>
            <w:rPr>
              <w:rFonts w:hint="eastAsia"/>
            </w:rPr>
          </w:sdtEndPr>
          <w:sdtContent>
            <w:tc>
              <w:tcPr>
                <w:tcW w:w="2970" w:type="pct"/>
                <w:gridSpan w:val="2"/>
                <w:vAlign w:val="center"/>
              </w:tcPr>
              <w:p w14:paraId="731CA6FC" w14:textId="77777777" w:rsidR="00577D08" w:rsidRDefault="00330FC0">
                <w:pPr>
                  <w:rPr>
                    <w:color w:val="000000"/>
                  </w:rPr>
                </w:pPr>
                <w:r>
                  <w:rPr>
                    <w:color w:val="000000"/>
                  </w:rPr>
                  <w:t>纳入环境信息依法披露企业名单中的企业数量</w:t>
                </w:r>
                <w:r>
                  <w:rPr>
                    <w:rFonts w:hint="eastAsia"/>
                    <w:color w:val="000000"/>
                  </w:rPr>
                  <w:t>（个）</w:t>
                </w:r>
              </w:p>
            </w:tc>
          </w:sdtContent>
        </w:sdt>
        <w:sdt>
          <w:sdtPr>
            <w:rPr>
              <w:rFonts w:hint="eastAsia"/>
              <w:color w:val="000000"/>
            </w:rPr>
            <w:alias w:val="纳入环境信息依法披露企业名单中的企业数量"/>
            <w:tag w:val="_GBC_7baa182ec31f4a64ab363ea9eeb644b7"/>
            <w:id w:val="1990440138"/>
            <w:showingPlcHdr/>
          </w:sdtPr>
          <w:sdtContent>
            <w:tc>
              <w:tcPr>
                <w:tcW w:w="2030" w:type="pct"/>
                <w:vAlign w:val="center"/>
              </w:tcPr>
              <w:p w14:paraId="2D3F0E14" w14:textId="77777777" w:rsidR="00577D08" w:rsidRDefault="00330FC0">
                <w:pPr>
                  <w:rPr>
                    <w:color w:val="000000"/>
                  </w:rPr>
                </w:pPr>
                <w:r>
                  <w:rPr>
                    <w:rFonts w:hint="eastAsia"/>
                  </w:rPr>
                  <w:t xml:space="preserve">　</w:t>
                </w:r>
              </w:p>
            </w:tc>
          </w:sdtContent>
        </w:sdt>
      </w:tr>
      <w:tr w:rsidR="00577D08" w14:paraId="13F74414" w14:textId="77777777">
        <w:trPr>
          <w:trHeight w:val="90"/>
        </w:trPr>
        <w:sdt>
          <w:sdtPr>
            <w:tag w:val="_PLD_aa5264c7cdd741a288e8817aeed291ec"/>
            <w:id w:val="219409858"/>
          </w:sdtPr>
          <w:sdtContent>
            <w:tc>
              <w:tcPr>
                <w:tcW w:w="640" w:type="pct"/>
              </w:tcPr>
              <w:p w14:paraId="4F3FB7B9" w14:textId="77777777" w:rsidR="00577D08" w:rsidRDefault="00330FC0">
                <w:pPr>
                  <w:jc w:val="center"/>
                  <w:rPr>
                    <w:color w:val="000000"/>
                  </w:rPr>
                </w:pPr>
                <w:r>
                  <w:rPr>
                    <w:rFonts w:hint="eastAsia"/>
                    <w:color w:val="000000"/>
                  </w:rPr>
                  <w:t>序号</w:t>
                </w:r>
              </w:p>
            </w:tc>
          </w:sdtContent>
        </w:sdt>
        <w:sdt>
          <w:sdtPr>
            <w:tag w:val="_PLD_ea61f68d8edd490bba2d24075e39baf4"/>
            <w:id w:val="-2055618384"/>
          </w:sdtPr>
          <w:sdtContent>
            <w:tc>
              <w:tcPr>
                <w:tcW w:w="2330" w:type="pct"/>
                <w:vAlign w:val="center"/>
              </w:tcPr>
              <w:p w14:paraId="5A780E32" w14:textId="77777777" w:rsidR="00577D08" w:rsidRDefault="00330FC0">
                <w:pPr>
                  <w:jc w:val="center"/>
                  <w:rPr>
                    <w:color w:val="000000"/>
                  </w:rPr>
                </w:pPr>
                <w:r>
                  <w:rPr>
                    <w:rFonts w:hint="eastAsia"/>
                    <w:color w:val="000000"/>
                  </w:rPr>
                  <w:t>企业名称</w:t>
                </w:r>
              </w:p>
            </w:tc>
          </w:sdtContent>
        </w:sdt>
        <w:sdt>
          <w:sdtPr>
            <w:tag w:val="_PLD_ea32e24ff0034b8f8356ec47b456df6a"/>
            <w:id w:val="2082022990"/>
          </w:sdtPr>
          <w:sdtContent>
            <w:tc>
              <w:tcPr>
                <w:tcW w:w="2030" w:type="pct"/>
                <w:vAlign w:val="center"/>
              </w:tcPr>
              <w:p w14:paraId="4AC573C6" w14:textId="77777777" w:rsidR="00577D08" w:rsidRDefault="00330FC0">
                <w:pPr>
                  <w:jc w:val="center"/>
                  <w:rPr>
                    <w:iCs/>
                    <w:color w:val="000000"/>
                  </w:rPr>
                </w:pPr>
                <w:r>
                  <w:rPr>
                    <w:rFonts w:hint="eastAsia"/>
                    <w:iCs/>
                    <w:color w:val="000000"/>
                  </w:rPr>
                  <w:t>环境信息依法披露报告的查询索引</w:t>
                </w:r>
              </w:p>
            </w:tc>
          </w:sdtContent>
        </w:sdt>
      </w:tr>
      <w:tr w:rsidR="00577D08" w14:paraId="5A3E624F" w14:textId="77777777">
        <w:trPr>
          <w:trHeight w:val="270"/>
        </w:trPr>
        <w:tc>
          <w:tcPr>
            <w:tcW w:w="640" w:type="pct"/>
            <w:vAlign w:val="center"/>
          </w:tcPr>
          <w:p w14:paraId="0FFB823E" w14:textId="77777777" w:rsidR="00577D08" w:rsidRDefault="00330FC0">
            <w:r>
              <w:rPr>
                <w:rFonts w:hint="eastAsia"/>
              </w:rPr>
              <w:t>1</w:t>
            </w:r>
          </w:p>
        </w:tc>
        <w:tc>
          <w:tcPr>
            <w:tcW w:w="2330" w:type="pct"/>
            <w:vAlign w:val="center"/>
          </w:tcPr>
          <w:p w14:paraId="3EC0493C" w14:textId="77777777" w:rsidR="00577D08" w:rsidRDefault="00330FC0" w:rsidP="00E6534C">
            <w:pPr>
              <w:jc w:val="center"/>
            </w:pPr>
            <w:r>
              <w:rPr>
                <w:rFonts w:ascii="宋体" w:hAnsi="宋体" w:hint="eastAsia"/>
                <w:sz w:val="20"/>
                <w:szCs w:val="20"/>
              </w:rPr>
              <w:t>望变电气</w:t>
            </w:r>
          </w:p>
        </w:tc>
        <w:tc>
          <w:tcPr>
            <w:tcW w:w="2030" w:type="pct"/>
            <w:vAlign w:val="center"/>
          </w:tcPr>
          <w:p w14:paraId="71C64BED" w14:textId="77777777" w:rsidR="00577D08" w:rsidRDefault="00330FC0">
            <w:pPr>
              <w:pStyle w:val="Style44"/>
              <w:rPr>
                <w:sz w:val="20"/>
                <w:szCs w:val="20"/>
              </w:rPr>
            </w:pPr>
            <w:r>
              <w:rPr>
                <w:sz w:val="20"/>
                <w:szCs w:val="20"/>
              </w:rPr>
              <w:t>1</w:t>
            </w:r>
            <w:r>
              <w:rPr>
                <w:rFonts w:ascii="宋体" w:hAnsi="宋体" w:hint="eastAsia"/>
                <w:sz w:val="20"/>
                <w:szCs w:val="20"/>
              </w:rPr>
              <w:t>、</w:t>
            </w:r>
            <w:r>
              <w:rPr>
                <w:sz w:val="20"/>
                <w:szCs w:val="20"/>
              </w:rPr>
              <w:t>permit.mee.gov.cn   </w:t>
            </w:r>
            <w:r>
              <w:rPr>
                <w:rFonts w:ascii="宋体" w:hAnsi="宋体"/>
                <w:sz w:val="20"/>
                <w:szCs w:val="20"/>
              </w:rPr>
              <w:t>全国排污许可证管理信息平台</w:t>
            </w:r>
          </w:p>
          <w:p w14:paraId="5F5BA7BA" w14:textId="77777777" w:rsidR="00577D08" w:rsidRDefault="00330FC0">
            <w:r>
              <w:rPr>
                <w:sz w:val="20"/>
                <w:szCs w:val="20"/>
              </w:rPr>
              <w:t>2</w:t>
            </w:r>
            <w:r>
              <w:rPr>
                <w:rFonts w:ascii="宋体" w:hAnsi="宋体" w:hint="eastAsia"/>
                <w:sz w:val="20"/>
                <w:szCs w:val="20"/>
              </w:rPr>
              <w:t>、</w:t>
            </w:r>
            <w:r>
              <w:rPr>
                <w:sz w:val="20"/>
                <w:szCs w:val="20"/>
              </w:rPr>
              <w:t>https://byzf.cqree.cn/   </w:t>
            </w:r>
            <w:r>
              <w:rPr>
                <w:rFonts w:ascii="宋体" w:hAnsi="宋体"/>
                <w:sz w:val="20"/>
                <w:szCs w:val="20"/>
              </w:rPr>
              <w:t>巴渝治废管理信息系统</w:t>
            </w:r>
            <w:r>
              <w:rPr>
                <w:sz w:val="20"/>
                <w:szCs w:val="20"/>
              </w:rPr>
              <w:br/>
              <w:t>3</w:t>
            </w:r>
            <w:r>
              <w:rPr>
                <w:rFonts w:ascii="宋体" w:hAnsi="宋体" w:hint="eastAsia"/>
                <w:sz w:val="20"/>
                <w:szCs w:val="20"/>
              </w:rPr>
              <w:t>、</w:t>
            </w:r>
            <w:r>
              <w:rPr>
                <w:sz w:val="20"/>
                <w:szCs w:val="20"/>
              </w:rPr>
              <w:t>https://hjtj.cnemc.cn/htqy   </w:t>
            </w:r>
            <w:r>
              <w:rPr>
                <w:rFonts w:ascii="宋体" w:hAnsi="宋体"/>
                <w:sz w:val="20"/>
                <w:szCs w:val="20"/>
              </w:rPr>
              <w:t>环境统计业务系统</w:t>
            </w:r>
            <w:r>
              <w:rPr>
                <w:sz w:val="20"/>
                <w:szCs w:val="20"/>
              </w:rPr>
              <w:br/>
              <w:t>4</w:t>
            </w:r>
            <w:r>
              <w:rPr>
                <w:rFonts w:ascii="宋体" w:hAnsi="宋体" w:hint="eastAsia"/>
                <w:sz w:val="20"/>
                <w:szCs w:val="20"/>
              </w:rPr>
              <w:t>、</w:t>
            </w:r>
            <w:r>
              <w:rPr>
                <w:rFonts w:ascii="宋体" w:hAnsi="宋体"/>
                <w:sz w:val="20"/>
                <w:szCs w:val="20"/>
              </w:rPr>
              <w:t>企业环境信息依法披露系统</w:t>
            </w:r>
            <w:r>
              <w:rPr>
                <w:sz w:val="20"/>
                <w:szCs w:val="20"/>
              </w:rPr>
              <w:t>  http://183.66.66.47:10001/eps/</w:t>
            </w:r>
          </w:p>
        </w:tc>
      </w:tr>
      <w:tr w:rsidR="00577D08" w14:paraId="380AB4D5" w14:textId="77777777">
        <w:trPr>
          <w:trHeight w:val="270"/>
        </w:trPr>
        <w:tc>
          <w:tcPr>
            <w:tcW w:w="640" w:type="pct"/>
            <w:vAlign w:val="center"/>
          </w:tcPr>
          <w:p w14:paraId="264E6570" w14:textId="77777777" w:rsidR="00577D08" w:rsidRDefault="00330FC0">
            <w:r>
              <w:rPr>
                <w:rFonts w:hint="eastAsia"/>
              </w:rPr>
              <w:t>2</w:t>
            </w:r>
          </w:p>
        </w:tc>
        <w:tc>
          <w:tcPr>
            <w:tcW w:w="2330" w:type="pct"/>
            <w:vAlign w:val="center"/>
          </w:tcPr>
          <w:p w14:paraId="28965361" w14:textId="77777777" w:rsidR="00577D08" w:rsidRDefault="00330FC0" w:rsidP="00E6534C">
            <w:pPr>
              <w:jc w:val="center"/>
            </w:pPr>
            <w:r>
              <w:rPr>
                <w:rFonts w:ascii="宋体" w:hAnsi="宋体" w:hint="eastAsia"/>
                <w:sz w:val="20"/>
                <w:szCs w:val="20"/>
              </w:rPr>
              <w:t>云变电气</w:t>
            </w:r>
          </w:p>
        </w:tc>
        <w:tc>
          <w:tcPr>
            <w:tcW w:w="2030" w:type="pct"/>
            <w:vAlign w:val="center"/>
          </w:tcPr>
          <w:p w14:paraId="2A0973FA" w14:textId="77777777" w:rsidR="00577D08" w:rsidRDefault="00330FC0">
            <w:pPr>
              <w:pStyle w:val="Style44"/>
              <w:rPr>
                <w:sz w:val="20"/>
                <w:szCs w:val="20"/>
              </w:rPr>
            </w:pPr>
            <w:r>
              <w:rPr>
                <w:sz w:val="20"/>
                <w:szCs w:val="20"/>
              </w:rPr>
              <w:t>1</w:t>
            </w:r>
            <w:r>
              <w:rPr>
                <w:rFonts w:ascii="宋体" w:hAnsi="宋体"/>
                <w:sz w:val="20"/>
                <w:szCs w:val="20"/>
              </w:rPr>
              <w:t>、</w:t>
            </w:r>
            <w:r>
              <w:rPr>
                <w:sz w:val="20"/>
                <w:szCs w:val="20"/>
              </w:rPr>
              <w:t>permit.mee.gov.cn   </w:t>
            </w:r>
            <w:r>
              <w:rPr>
                <w:rFonts w:ascii="宋体" w:hAnsi="宋体"/>
                <w:sz w:val="20"/>
                <w:szCs w:val="20"/>
              </w:rPr>
              <w:t>全国排污许可证管理信息平台</w:t>
            </w:r>
          </w:p>
          <w:p w14:paraId="47B2F917" w14:textId="77777777" w:rsidR="00577D08" w:rsidRDefault="00330FC0">
            <w:r>
              <w:rPr>
                <w:rFonts w:hint="eastAsia"/>
                <w:sz w:val="20"/>
                <w:szCs w:val="20"/>
              </w:rPr>
              <w:t>2</w:t>
            </w:r>
            <w:r>
              <w:rPr>
                <w:rFonts w:ascii="宋体" w:hAnsi="宋体" w:hint="eastAsia"/>
                <w:sz w:val="20"/>
                <w:szCs w:val="20"/>
              </w:rPr>
              <w:t>、</w:t>
            </w:r>
            <w:r>
              <w:rPr>
                <w:sz w:val="20"/>
                <w:szCs w:val="20"/>
              </w:rPr>
              <w:t>https://gfmh.meescc.cn</w:t>
            </w:r>
            <w:r>
              <w:rPr>
                <w:rFonts w:hint="eastAsia"/>
                <w:sz w:val="20"/>
                <w:szCs w:val="20"/>
              </w:rPr>
              <w:t xml:space="preserve"> </w:t>
            </w:r>
            <w:r>
              <w:rPr>
                <w:rFonts w:ascii="宋体" w:hAnsi="宋体"/>
                <w:sz w:val="20"/>
                <w:szCs w:val="20"/>
              </w:rPr>
              <w:t>全国固体废物（危险废物）管理信息系统</w:t>
            </w:r>
          </w:p>
        </w:tc>
      </w:tr>
    </w:tbl>
    <w:p w14:paraId="0DC8222E" w14:textId="77777777" w:rsidR="00577D08" w:rsidRDefault="00330FC0">
      <w:pPr>
        <w:rPr>
          <w:color w:val="000000"/>
        </w:rPr>
      </w:pPr>
      <w:r>
        <w:rPr>
          <w:rFonts w:hint="eastAsia"/>
          <w:color w:val="000000"/>
        </w:rPr>
        <w:lastRenderedPageBreak/>
        <w:t>其他说明</w:t>
      </w:r>
    </w:p>
    <w:sdt>
      <w:sdtPr>
        <w:rPr>
          <w:rFonts w:hint="eastAsia"/>
          <w:color w:val="000000"/>
        </w:rPr>
        <w:alias w:val="是否适用：纳入环境信息依法披露企业名单的上市公司及其主要子公司的环境信息情况其他说明[双击切换]"/>
        <w:tag w:val="_GBC_abd5627e0eb0427eb278825f1b086dc3"/>
        <w:id w:val="-988938090"/>
        <w:placeholder>
          <w:docPart w:val="GBC22222222222222222222222222222"/>
        </w:placeholder>
      </w:sdtPr>
      <w:sdtContent>
        <w:p w14:paraId="51D3E72C" w14:textId="77777777" w:rsidR="00577D08" w:rsidRDefault="00330FC0">
          <w:pPr>
            <w:rPr>
              <w:color w:val="000000"/>
            </w:rPr>
          </w:pPr>
          <w:r>
            <w:rPr>
              <w:rFonts w:ascii="宋体" w:hAnsi="宋体" w:hint="eastAsia"/>
              <w:color w:val="000000"/>
            </w:rPr>
            <w:fldChar w:fldCharType="begin"/>
          </w:r>
          <w:r>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color w:val="000000"/>
            </w:rPr>
            <w:instrText xml:space="preserve"> MACROBUTTON  SnrToggleCheckbox √不适用 </w:instrText>
          </w:r>
          <w:r>
            <w:rPr>
              <w:rFonts w:ascii="宋体" w:hAnsi="宋体" w:hint="eastAsia"/>
              <w:color w:val="000000"/>
            </w:rPr>
            <w:fldChar w:fldCharType="end"/>
          </w:r>
        </w:p>
      </w:sdtContent>
    </w:sdt>
    <w:bookmarkEnd w:id="191"/>
    <w:bookmarkEnd w:id="192"/>
    <w:p w14:paraId="4958601F" w14:textId="77777777" w:rsidR="00577D08" w:rsidRDefault="00330FC0">
      <w:pPr>
        <w:pStyle w:val="2"/>
        <w:numPr>
          <w:ilvl w:val="0"/>
          <w:numId w:val="18"/>
        </w:numPr>
        <w:ind w:left="420" w:hanging="420"/>
        <w:rPr>
          <w:rFonts w:ascii="宋体" w:hAnsi="宋体" w:cs="宋体" w:hint="eastAsia"/>
          <w:kern w:val="0"/>
          <w:szCs w:val="24"/>
        </w:rPr>
      </w:pPr>
      <w:r>
        <w:rPr>
          <w:rFonts w:ascii="宋体" w:hAnsi="宋体" w:cs="宋体"/>
          <w:kern w:val="0"/>
          <w:szCs w:val="24"/>
        </w:rPr>
        <w:t>社会责任工作情况</w:t>
      </w:r>
    </w:p>
    <w:p w14:paraId="5E6C56A2" w14:textId="77777777" w:rsidR="00577D08" w:rsidRDefault="00330FC0">
      <w:pPr>
        <w:pStyle w:val="3"/>
        <w:numPr>
          <w:ilvl w:val="0"/>
          <w:numId w:val="26"/>
        </w:numPr>
        <w:rPr>
          <w:rFonts w:ascii="宋体" w:hAnsi="宋体" w:hint="eastAsia"/>
        </w:rPr>
      </w:pPr>
      <w:r>
        <w:rPr>
          <w:rFonts w:ascii="宋体" w:hAnsi="宋体" w:hint="eastAsia"/>
        </w:rPr>
        <w:t>是否单独披露社会责任报告、可持续发展报告或ESG报告</w:t>
      </w:r>
    </w:p>
    <w:sdt>
      <w:sdtPr>
        <w:alias w:val="是否适用：是否单独披露社会责任报告、可持续发展报告或ESG报告[双击切换]"/>
        <w:tag w:val="_GBC_9e7dd53d4e6f44ea9f272442eb9babac"/>
        <w:id w:val="1884749765"/>
        <w:placeholder>
          <w:docPart w:val="GBC22222222222222222222222222222"/>
        </w:placeholder>
      </w:sdtPr>
      <w:sdtContent>
        <w:p w14:paraId="7D4468BA"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472ACA5" w14:textId="77777777" w:rsidR="00577D08" w:rsidRDefault="00330FC0">
      <w:pPr>
        <w:pStyle w:val="3"/>
        <w:numPr>
          <w:ilvl w:val="0"/>
          <w:numId w:val="26"/>
        </w:numPr>
        <w:rPr>
          <w:rFonts w:ascii="宋体" w:hAnsi="宋体" w:hint="eastAsia"/>
        </w:rPr>
      </w:pPr>
      <w:r>
        <w:rPr>
          <w:rFonts w:ascii="宋体" w:hAnsi="宋体" w:hint="eastAsia"/>
        </w:rPr>
        <w:t>社会责任工作具体情况</w:t>
      </w:r>
    </w:p>
    <w:sdt>
      <w:sdtPr>
        <w:alias w:val="是否适用：社会责任工作具体情况[双击切换]"/>
        <w:tag w:val="_GBC_2bbbff88e2744d6dbb21a0a502bf51cf"/>
        <w:id w:val="-548139108"/>
        <w:placeholder>
          <w:docPart w:val="GBC22222222222222222222222222222"/>
        </w:placeholder>
      </w:sdtPr>
      <w:sdtContent>
        <w:p w14:paraId="7E56003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2338"/>
        <w:gridCol w:w="3695"/>
      </w:tblGrid>
      <w:tr w:rsidR="00577D08" w14:paraId="7BCE8002" w14:textId="77777777">
        <w:sdt>
          <w:sdtPr>
            <w:tag w:val="_PLD_8ccd1f20d787452283cca30b8be75dc8"/>
            <w:id w:val="828257204"/>
          </w:sdtPr>
          <w:sdtContent>
            <w:tc>
              <w:tcPr>
                <w:tcW w:w="3016" w:type="dxa"/>
                <w:vAlign w:val="center"/>
              </w:tcPr>
              <w:p w14:paraId="4452583A" w14:textId="77777777" w:rsidR="00577D08" w:rsidRDefault="00330FC0">
                <w:pPr>
                  <w:widowControl w:val="0"/>
                  <w:jc w:val="center"/>
                </w:pPr>
                <w:r>
                  <w:rPr>
                    <w:rFonts w:hint="eastAsia"/>
                  </w:rPr>
                  <w:t>对外捐赠、公益项目</w:t>
                </w:r>
              </w:p>
            </w:tc>
          </w:sdtContent>
        </w:sdt>
        <w:sdt>
          <w:sdtPr>
            <w:tag w:val="_PLD_8451b9cc95c641c39056391d3348179e"/>
            <w:id w:val="-688145800"/>
          </w:sdtPr>
          <w:sdtContent>
            <w:tc>
              <w:tcPr>
                <w:tcW w:w="2338" w:type="dxa"/>
                <w:vAlign w:val="center"/>
              </w:tcPr>
              <w:p w14:paraId="260F8FCD" w14:textId="77777777" w:rsidR="00577D08" w:rsidRDefault="00330FC0">
                <w:pPr>
                  <w:widowControl w:val="0"/>
                  <w:jc w:val="center"/>
                </w:pPr>
                <w:r>
                  <w:rPr>
                    <w:rFonts w:hint="eastAsia"/>
                  </w:rPr>
                  <w:t>数量</w:t>
                </w:r>
                <w:r>
                  <w:rPr>
                    <w:rFonts w:hint="eastAsia"/>
                  </w:rPr>
                  <w:t>/</w:t>
                </w:r>
                <w:r>
                  <w:rPr>
                    <w:rFonts w:hint="eastAsia"/>
                  </w:rPr>
                  <w:t>内容</w:t>
                </w:r>
              </w:p>
            </w:tc>
          </w:sdtContent>
        </w:sdt>
        <w:sdt>
          <w:sdtPr>
            <w:tag w:val="_PLD_681dc2272e304ef499f420c283e82d02"/>
            <w:id w:val="-194621951"/>
          </w:sdtPr>
          <w:sdtContent>
            <w:tc>
              <w:tcPr>
                <w:tcW w:w="3695" w:type="dxa"/>
                <w:vAlign w:val="center"/>
              </w:tcPr>
              <w:p w14:paraId="3E0C6013" w14:textId="77777777" w:rsidR="00577D08" w:rsidRDefault="00330FC0">
                <w:pPr>
                  <w:widowControl w:val="0"/>
                  <w:jc w:val="center"/>
                </w:pPr>
                <w:r>
                  <w:rPr>
                    <w:rFonts w:hint="eastAsia"/>
                  </w:rPr>
                  <w:t>情况说明</w:t>
                </w:r>
              </w:p>
            </w:tc>
          </w:sdtContent>
        </w:sdt>
      </w:tr>
      <w:tr w:rsidR="00577D08" w14:paraId="5EB23B91" w14:textId="77777777">
        <w:tc>
          <w:tcPr>
            <w:tcW w:w="3016" w:type="dxa"/>
            <w:vAlign w:val="center"/>
          </w:tcPr>
          <w:p w14:paraId="3C11B507" w14:textId="77777777" w:rsidR="00577D08" w:rsidRDefault="00000000">
            <w:pPr>
              <w:widowControl w:val="0"/>
              <w:jc w:val="both"/>
            </w:pPr>
            <w:sdt>
              <w:sdtPr>
                <w:tag w:val="_PLD_0d7064bea05840f68cf6fa5a0fdfd98b"/>
                <w:id w:val="-922184425"/>
              </w:sdtPr>
              <w:sdtContent>
                <w:r w:rsidR="00330FC0">
                  <w:rPr>
                    <w:rFonts w:hint="eastAsia"/>
                  </w:rPr>
                  <w:t>总投入</w:t>
                </w:r>
              </w:sdtContent>
            </w:sdt>
            <w:r w:rsidR="00330FC0">
              <w:rPr>
                <w:rFonts w:hint="eastAsia"/>
              </w:rPr>
              <w:t>（</w:t>
            </w:r>
            <w:sdt>
              <w:sdtPr>
                <w:rPr>
                  <w:rFonts w:hint="eastAsia"/>
                </w:rPr>
                <w:alias w:val="单位：对外捐赠、公益项目总投入"/>
                <w:tag w:val="_GBC_aab341873e5d4b8da4321e41124d111c"/>
                <w:id w:val="-19016825"/>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shd w:val="solid" w:color="FFFFFF" w:fill="auto"/>
                </w:rPr>
              </w:sdtEndPr>
              <w:sdtContent>
                <w:r w:rsidR="00330FC0">
                  <w:rPr>
                    <w:rFonts w:hint="eastAsia"/>
                  </w:rPr>
                  <w:t>万元</w:t>
                </w:r>
              </w:sdtContent>
            </w:sdt>
            <w:r w:rsidR="00330FC0">
              <w:rPr>
                <w:rFonts w:hint="eastAsia"/>
              </w:rPr>
              <w:t>）</w:t>
            </w:r>
          </w:p>
        </w:tc>
        <w:tc>
          <w:tcPr>
            <w:tcW w:w="2338" w:type="dxa"/>
            <w:vAlign w:val="center"/>
          </w:tcPr>
          <w:p w14:paraId="0E5AA164" w14:textId="77777777" w:rsidR="00577D08" w:rsidRDefault="00330FC0">
            <w:pPr>
              <w:widowControl w:val="0"/>
              <w:jc w:val="right"/>
            </w:pPr>
            <w:r>
              <w:t>236.70</w:t>
            </w:r>
          </w:p>
        </w:tc>
        <w:tc>
          <w:tcPr>
            <w:tcW w:w="3695" w:type="dxa"/>
            <w:vAlign w:val="center"/>
          </w:tcPr>
          <w:p w14:paraId="45EE369F" w14:textId="77777777" w:rsidR="00577D08" w:rsidRDefault="00577D08">
            <w:pPr>
              <w:widowControl w:val="0"/>
              <w:jc w:val="both"/>
            </w:pPr>
          </w:p>
        </w:tc>
      </w:tr>
      <w:tr w:rsidR="00577D08" w14:paraId="521DD454" w14:textId="77777777">
        <w:tc>
          <w:tcPr>
            <w:tcW w:w="3016" w:type="dxa"/>
            <w:vAlign w:val="center"/>
          </w:tcPr>
          <w:p w14:paraId="76A4004A" w14:textId="77777777" w:rsidR="00577D08" w:rsidRDefault="00000000">
            <w:pPr>
              <w:widowControl w:val="0"/>
              <w:jc w:val="both"/>
            </w:pPr>
            <w:sdt>
              <w:sdtPr>
                <w:tag w:val="_PLD_74e68264673c4597881c5410d63b6c6f"/>
                <w:id w:val="1271896236"/>
              </w:sdtPr>
              <w:sdtContent>
                <w:r w:rsidR="00330FC0">
                  <w:rPr>
                    <w:rFonts w:hint="eastAsia"/>
                  </w:rPr>
                  <w:t>其中：资金</w:t>
                </w:r>
              </w:sdtContent>
            </w:sdt>
            <w:r w:rsidR="00330FC0">
              <w:rPr>
                <w:rFonts w:hint="eastAsia"/>
              </w:rPr>
              <w:t>（</w:t>
            </w:r>
            <w:sdt>
              <w:sdtPr>
                <w:rPr>
                  <w:rFonts w:hint="eastAsia"/>
                </w:rPr>
                <w:alias w:val="单位：对外捐赠、公益项目资金"/>
                <w:tag w:val="_GBC_cdf539ba1e6842ba87837cc093e99d8c"/>
                <w:id w:val="1426223949"/>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sidR="00330FC0">
                  <w:rPr>
                    <w:rFonts w:hint="eastAsia"/>
                  </w:rPr>
                  <w:t>万元</w:t>
                </w:r>
              </w:sdtContent>
            </w:sdt>
            <w:r w:rsidR="00330FC0">
              <w:rPr>
                <w:rFonts w:hint="eastAsia"/>
              </w:rPr>
              <w:t>）</w:t>
            </w:r>
          </w:p>
        </w:tc>
        <w:tc>
          <w:tcPr>
            <w:tcW w:w="2338" w:type="dxa"/>
            <w:vAlign w:val="center"/>
          </w:tcPr>
          <w:p w14:paraId="0CAC1630" w14:textId="77777777" w:rsidR="00577D08" w:rsidRDefault="00330FC0">
            <w:pPr>
              <w:widowControl w:val="0"/>
              <w:jc w:val="right"/>
            </w:pPr>
            <w:r>
              <w:t>236.70</w:t>
            </w:r>
          </w:p>
        </w:tc>
        <w:tc>
          <w:tcPr>
            <w:tcW w:w="3695" w:type="dxa"/>
            <w:vAlign w:val="center"/>
          </w:tcPr>
          <w:p w14:paraId="40DBFA4B" w14:textId="77777777" w:rsidR="00577D08" w:rsidRDefault="00577D08">
            <w:pPr>
              <w:widowControl w:val="0"/>
              <w:jc w:val="both"/>
            </w:pPr>
          </w:p>
        </w:tc>
      </w:tr>
      <w:tr w:rsidR="00577D08" w14:paraId="453E6A72" w14:textId="77777777">
        <w:tc>
          <w:tcPr>
            <w:tcW w:w="3016" w:type="dxa"/>
            <w:vAlign w:val="center"/>
          </w:tcPr>
          <w:p w14:paraId="5D67867C" w14:textId="77777777" w:rsidR="00577D08" w:rsidRDefault="00000000">
            <w:pPr>
              <w:widowControl w:val="0"/>
              <w:ind w:firstLineChars="300" w:firstLine="630"/>
              <w:jc w:val="both"/>
            </w:pPr>
            <w:sdt>
              <w:sdtPr>
                <w:tag w:val="_PLD_0011a929cca44c63ae225eb40c179693"/>
                <w:id w:val="-1212499045"/>
              </w:sdtPr>
              <w:sdtContent>
                <w:r w:rsidR="00330FC0">
                  <w:rPr>
                    <w:rFonts w:hint="eastAsia"/>
                  </w:rPr>
                  <w:t>物资折款</w:t>
                </w:r>
              </w:sdtContent>
            </w:sdt>
            <w:r w:rsidR="00330FC0">
              <w:rPr>
                <w:rFonts w:hint="eastAsia"/>
              </w:rPr>
              <w:t>（</w:t>
            </w:r>
            <w:sdt>
              <w:sdtPr>
                <w:rPr>
                  <w:rFonts w:hint="eastAsia"/>
                </w:rPr>
                <w:alias w:val="单位：对外捐赠、公益项目物资折款"/>
                <w:tag w:val="_GBC_f0b7b13642c94169a98099a684129ab4"/>
                <w:id w:val="-2036330503"/>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sidR="00330FC0">
                  <w:rPr>
                    <w:rFonts w:hint="eastAsia"/>
                  </w:rPr>
                  <w:t>万元</w:t>
                </w:r>
              </w:sdtContent>
            </w:sdt>
            <w:r w:rsidR="00330FC0">
              <w:rPr>
                <w:rFonts w:hint="eastAsia"/>
              </w:rPr>
              <w:t>）</w:t>
            </w:r>
          </w:p>
        </w:tc>
        <w:tc>
          <w:tcPr>
            <w:tcW w:w="2338" w:type="dxa"/>
            <w:vAlign w:val="center"/>
          </w:tcPr>
          <w:p w14:paraId="679F396E" w14:textId="77777777" w:rsidR="00577D08" w:rsidRDefault="00577D08">
            <w:pPr>
              <w:widowControl w:val="0"/>
              <w:jc w:val="right"/>
            </w:pPr>
          </w:p>
        </w:tc>
        <w:tc>
          <w:tcPr>
            <w:tcW w:w="3695" w:type="dxa"/>
            <w:vAlign w:val="center"/>
          </w:tcPr>
          <w:p w14:paraId="626B30DD" w14:textId="77777777" w:rsidR="00577D08" w:rsidRDefault="00577D08">
            <w:pPr>
              <w:widowControl w:val="0"/>
              <w:jc w:val="both"/>
            </w:pPr>
          </w:p>
        </w:tc>
      </w:tr>
      <w:tr w:rsidR="00577D08" w14:paraId="25A64557" w14:textId="77777777">
        <w:tc>
          <w:tcPr>
            <w:tcW w:w="3016" w:type="dxa"/>
            <w:vAlign w:val="center"/>
          </w:tcPr>
          <w:p w14:paraId="0686814B" w14:textId="77777777" w:rsidR="00577D08" w:rsidRDefault="00330FC0">
            <w:pPr>
              <w:widowControl w:val="0"/>
              <w:jc w:val="both"/>
            </w:pPr>
            <w:r>
              <w:rPr>
                <w:rFonts w:hint="eastAsia"/>
              </w:rPr>
              <w:t>惠及人数（人）</w:t>
            </w:r>
          </w:p>
        </w:tc>
        <w:tc>
          <w:tcPr>
            <w:tcW w:w="2338" w:type="dxa"/>
            <w:vAlign w:val="center"/>
          </w:tcPr>
          <w:p w14:paraId="711AC09B" w14:textId="77777777" w:rsidR="00577D08" w:rsidRDefault="00330FC0">
            <w:pPr>
              <w:widowControl w:val="0"/>
              <w:jc w:val="right"/>
            </w:pPr>
            <w:r>
              <w:rPr>
                <w:rFonts w:hint="eastAsia"/>
              </w:rPr>
              <w:t>若干</w:t>
            </w:r>
          </w:p>
        </w:tc>
        <w:tc>
          <w:tcPr>
            <w:tcW w:w="3695" w:type="dxa"/>
            <w:vAlign w:val="center"/>
          </w:tcPr>
          <w:p w14:paraId="2A5BFA83" w14:textId="77777777" w:rsidR="00577D08" w:rsidRDefault="00577D08">
            <w:pPr>
              <w:widowControl w:val="0"/>
              <w:jc w:val="both"/>
            </w:pPr>
          </w:p>
        </w:tc>
      </w:tr>
    </w:tbl>
    <w:p w14:paraId="76BED499" w14:textId="77777777" w:rsidR="00577D08" w:rsidRDefault="00330FC0">
      <w:r>
        <w:rPr>
          <w:rFonts w:hint="eastAsia"/>
        </w:rPr>
        <w:t>具体说明</w:t>
      </w:r>
    </w:p>
    <w:sdt>
      <w:sdtPr>
        <w:rPr>
          <w:rFonts w:hint="eastAsia"/>
        </w:rPr>
        <w:alias w:val="是否适用：社会责任工作情况[双击切换]"/>
        <w:tag w:val="_GBC_193e5fab56724eddabaa8d0d74a4b129"/>
        <w:id w:val="34002941"/>
        <w:placeholder>
          <w:docPart w:val="GBC22222222222222222222222222222"/>
        </w:placeholder>
      </w:sdtPr>
      <w:sdtContent>
        <w:p w14:paraId="11EEE20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462D8ED" w14:textId="77777777" w:rsidR="00577D08" w:rsidRDefault="00330FC0">
      <w:pPr>
        <w:pStyle w:val="2"/>
        <w:numPr>
          <w:ilvl w:val="0"/>
          <w:numId w:val="18"/>
        </w:numPr>
        <w:ind w:left="420" w:hanging="420"/>
        <w:rPr>
          <w:rFonts w:ascii="宋体" w:hAnsi="宋体" w:cs="宋体" w:hint="eastAsia"/>
          <w:kern w:val="0"/>
          <w:szCs w:val="24"/>
        </w:rPr>
      </w:pPr>
      <w:r>
        <w:rPr>
          <w:rFonts w:ascii="宋体" w:hAnsi="宋体" w:cs="宋体" w:hint="eastAsia"/>
          <w:kern w:val="0"/>
          <w:szCs w:val="24"/>
        </w:rPr>
        <w:t>巩固拓展脱贫攻坚成果、乡村振兴等工作具体情况</w:t>
      </w:r>
    </w:p>
    <w:sdt>
      <w:sdtPr>
        <w:alias w:val="是否适用：巩固拓展脱贫攻坚成果、乡村振兴工作具体情况[双击切换]"/>
        <w:tag w:val="_GBC_94f5c59c87964f1f83743f3f44109e91"/>
        <w:id w:val="-246188422"/>
        <w:placeholder>
          <w:docPart w:val="GBC22222222222222222222222222222"/>
        </w:placeholder>
      </w:sdtPr>
      <w:sdtContent>
        <w:p w14:paraId="2F28CB86"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7"/>
        <w:gridCol w:w="3695"/>
      </w:tblGrid>
      <w:tr w:rsidR="00577D08" w14:paraId="2B69976C" w14:textId="77777777">
        <w:sdt>
          <w:sdtPr>
            <w:tag w:val="_PLD_d29d252d89d54e55bc5bc96bc0b5b469"/>
            <w:id w:val="2000769004"/>
          </w:sdtPr>
          <w:sdtContent>
            <w:tc>
              <w:tcPr>
                <w:tcW w:w="3085" w:type="dxa"/>
                <w:vAlign w:val="center"/>
              </w:tcPr>
              <w:p w14:paraId="4B149BD6" w14:textId="77777777" w:rsidR="00577D08" w:rsidRDefault="00330FC0">
                <w:pPr>
                  <w:widowControl w:val="0"/>
                  <w:jc w:val="center"/>
                </w:pPr>
                <w:r>
                  <w:rPr>
                    <w:rFonts w:hint="eastAsia"/>
                  </w:rPr>
                  <w:t>扶贫及乡村振兴项目</w:t>
                </w:r>
              </w:p>
            </w:tc>
          </w:sdtContent>
        </w:sdt>
        <w:sdt>
          <w:sdtPr>
            <w:tag w:val="_PLD_a6391e1627b241d296ea0039eb1df6ec"/>
            <w:id w:val="1426462275"/>
          </w:sdtPr>
          <w:sdtContent>
            <w:tc>
              <w:tcPr>
                <w:tcW w:w="2267" w:type="dxa"/>
                <w:vAlign w:val="center"/>
              </w:tcPr>
              <w:p w14:paraId="70AB3782" w14:textId="77777777" w:rsidR="00577D08" w:rsidRDefault="00330FC0">
                <w:pPr>
                  <w:widowControl w:val="0"/>
                  <w:jc w:val="center"/>
                </w:pPr>
                <w:r>
                  <w:rPr>
                    <w:rFonts w:hint="eastAsia"/>
                  </w:rPr>
                  <w:t>数量</w:t>
                </w:r>
                <w:r>
                  <w:rPr>
                    <w:rFonts w:hint="eastAsia"/>
                  </w:rPr>
                  <w:t>/</w:t>
                </w:r>
                <w:r>
                  <w:rPr>
                    <w:rFonts w:hint="eastAsia"/>
                  </w:rPr>
                  <w:t>内容</w:t>
                </w:r>
              </w:p>
            </w:tc>
          </w:sdtContent>
        </w:sdt>
        <w:sdt>
          <w:sdtPr>
            <w:tag w:val="_PLD_a8d1c4a093dd414b9639e1cb3e55c142"/>
            <w:id w:val="1232198078"/>
          </w:sdtPr>
          <w:sdtContent>
            <w:tc>
              <w:tcPr>
                <w:tcW w:w="3695" w:type="dxa"/>
                <w:vAlign w:val="center"/>
              </w:tcPr>
              <w:p w14:paraId="737D5D1A" w14:textId="77777777" w:rsidR="00577D08" w:rsidRDefault="00330FC0">
                <w:pPr>
                  <w:widowControl w:val="0"/>
                  <w:jc w:val="center"/>
                </w:pPr>
                <w:r>
                  <w:rPr>
                    <w:rFonts w:hint="eastAsia"/>
                  </w:rPr>
                  <w:t>情况说明</w:t>
                </w:r>
              </w:p>
            </w:tc>
          </w:sdtContent>
        </w:sdt>
      </w:tr>
      <w:tr w:rsidR="00577D08" w14:paraId="4B28321C" w14:textId="77777777">
        <w:tc>
          <w:tcPr>
            <w:tcW w:w="3085" w:type="dxa"/>
            <w:vAlign w:val="center"/>
          </w:tcPr>
          <w:p w14:paraId="0CE2D025" w14:textId="77777777" w:rsidR="00577D08" w:rsidRDefault="00000000">
            <w:pPr>
              <w:widowControl w:val="0"/>
            </w:pPr>
            <w:sdt>
              <w:sdtPr>
                <w:tag w:val="_PLD_dae771cda9a1484bba73d2b716e9e1d0"/>
                <w:id w:val="-1317793589"/>
              </w:sdtPr>
              <w:sdtContent>
                <w:r w:rsidR="00330FC0">
                  <w:rPr>
                    <w:rFonts w:hint="eastAsia"/>
                  </w:rPr>
                  <w:t>总投入</w:t>
                </w:r>
              </w:sdtContent>
            </w:sdt>
            <w:r w:rsidR="00330FC0">
              <w:rPr>
                <w:rFonts w:hint="eastAsia"/>
              </w:rPr>
              <w:t>（</w:t>
            </w:r>
            <w:sdt>
              <w:sdtPr>
                <w:rPr>
                  <w:rFonts w:hint="eastAsia"/>
                </w:rPr>
                <w:alias w:val="单位：扶贫总体投入"/>
                <w:tag w:val="_GBC_5f0221b7e67c41f098047fc332d7fdb0"/>
                <w:id w:val="-1858962466"/>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sidR="00330FC0">
                  <w:rPr>
                    <w:rFonts w:hint="eastAsia"/>
                  </w:rPr>
                  <w:t>万元</w:t>
                </w:r>
              </w:sdtContent>
            </w:sdt>
            <w:r w:rsidR="00330FC0">
              <w:rPr>
                <w:rFonts w:hint="eastAsia"/>
              </w:rPr>
              <w:t>）</w:t>
            </w:r>
          </w:p>
        </w:tc>
        <w:tc>
          <w:tcPr>
            <w:tcW w:w="2267" w:type="dxa"/>
            <w:vAlign w:val="center"/>
          </w:tcPr>
          <w:p w14:paraId="7457E0F9" w14:textId="77777777" w:rsidR="00577D08" w:rsidRDefault="00330FC0">
            <w:pPr>
              <w:widowControl w:val="0"/>
              <w:jc w:val="right"/>
            </w:pPr>
            <w:r>
              <w:t>0.30</w:t>
            </w:r>
          </w:p>
        </w:tc>
        <w:tc>
          <w:tcPr>
            <w:tcW w:w="3695" w:type="dxa"/>
            <w:vAlign w:val="center"/>
          </w:tcPr>
          <w:p w14:paraId="6A5E9FE0" w14:textId="77777777" w:rsidR="00577D08" w:rsidRDefault="00577D08">
            <w:pPr>
              <w:widowControl w:val="0"/>
            </w:pPr>
          </w:p>
        </w:tc>
      </w:tr>
      <w:tr w:rsidR="00577D08" w14:paraId="09C5E9CB" w14:textId="77777777">
        <w:tc>
          <w:tcPr>
            <w:tcW w:w="3085" w:type="dxa"/>
            <w:vAlign w:val="center"/>
          </w:tcPr>
          <w:p w14:paraId="60173EED" w14:textId="77777777" w:rsidR="00577D08" w:rsidRDefault="00000000">
            <w:pPr>
              <w:widowControl w:val="0"/>
            </w:pPr>
            <w:sdt>
              <w:sdtPr>
                <w:tag w:val="_PLD_69ea38aa090e4fbbb17554804e8f1815"/>
                <w:id w:val="1451126818"/>
              </w:sdtPr>
              <w:sdtContent>
                <w:r w:rsidR="00330FC0">
                  <w:rPr>
                    <w:rFonts w:hint="eastAsia"/>
                  </w:rPr>
                  <w:t>其中：资金</w:t>
                </w:r>
              </w:sdtContent>
            </w:sdt>
            <w:r w:rsidR="00330FC0">
              <w:rPr>
                <w:rFonts w:hint="eastAsia"/>
              </w:rPr>
              <w:t>（</w:t>
            </w:r>
            <w:sdt>
              <w:sdtPr>
                <w:rPr>
                  <w:rFonts w:hint="eastAsia"/>
                </w:rPr>
                <w:alias w:val="单位：扶贫总体资金"/>
                <w:tag w:val="_GBC_ee2e74bc2b774ca490d2bc701194ed12"/>
                <w:id w:val="774603192"/>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sidR="00330FC0">
                  <w:rPr>
                    <w:rFonts w:hint="eastAsia"/>
                  </w:rPr>
                  <w:t>万元</w:t>
                </w:r>
              </w:sdtContent>
            </w:sdt>
            <w:r w:rsidR="00330FC0">
              <w:rPr>
                <w:rFonts w:hint="eastAsia"/>
              </w:rPr>
              <w:t>）</w:t>
            </w:r>
          </w:p>
        </w:tc>
        <w:tc>
          <w:tcPr>
            <w:tcW w:w="2267" w:type="dxa"/>
            <w:vAlign w:val="center"/>
          </w:tcPr>
          <w:p w14:paraId="76D5F35E" w14:textId="77777777" w:rsidR="00577D08" w:rsidRDefault="00330FC0">
            <w:pPr>
              <w:widowControl w:val="0"/>
              <w:jc w:val="right"/>
            </w:pPr>
            <w:r>
              <w:t>0.30</w:t>
            </w:r>
          </w:p>
        </w:tc>
        <w:tc>
          <w:tcPr>
            <w:tcW w:w="3695" w:type="dxa"/>
            <w:vAlign w:val="center"/>
          </w:tcPr>
          <w:p w14:paraId="08E66539" w14:textId="77777777" w:rsidR="00577D08" w:rsidRDefault="00577D08">
            <w:pPr>
              <w:widowControl w:val="0"/>
            </w:pPr>
          </w:p>
        </w:tc>
      </w:tr>
      <w:tr w:rsidR="00577D08" w14:paraId="464BEA80" w14:textId="77777777">
        <w:tc>
          <w:tcPr>
            <w:tcW w:w="3085" w:type="dxa"/>
            <w:vAlign w:val="center"/>
          </w:tcPr>
          <w:p w14:paraId="08A6B910" w14:textId="77777777" w:rsidR="00577D08" w:rsidRDefault="00000000">
            <w:pPr>
              <w:widowControl w:val="0"/>
              <w:ind w:firstLineChars="300" w:firstLine="630"/>
              <w:jc w:val="both"/>
            </w:pPr>
            <w:sdt>
              <w:sdtPr>
                <w:tag w:val="_PLD_0ceb41eb583e412ea04995521d22af44"/>
                <w:id w:val="-980995483"/>
              </w:sdtPr>
              <w:sdtContent>
                <w:r w:rsidR="00330FC0">
                  <w:rPr>
                    <w:rFonts w:hint="eastAsia"/>
                  </w:rPr>
                  <w:t>物资折款</w:t>
                </w:r>
              </w:sdtContent>
            </w:sdt>
            <w:r w:rsidR="00330FC0">
              <w:rPr>
                <w:rFonts w:hint="eastAsia"/>
              </w:rPr>
              <w:t>（</w:t>
            </w:r>
            <w:sdt>
              <w:sdtPr>
                <w:rPr>
                  <w:rFonts w:hint="eastAsia"/>
                </w:rPr>
                <w:alias w:val="单位：扶贫物资折款"/>
                <w:tag w:val="_GBC_e913f66999ce4abcba46d8007b91edcb"/>
                <w:id w:val="-1371614101"/>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sidR="00330FC0">
                  <w:rPr>
                    <w:rFonts w:hint="eastAsia"/>
                  </w:rPr>
                  <w:t>万元</w:t>
                </w:r>
              </w:sdtContent>
            </w:sdt>
            <w:r w:rsidR="00330FC0">
              <w:rPr>
                <w:rFonts w:hint="eastAsia"/>
              </w:rPr>
              <w:t>）</w:t>
            </w:r>
          </w:p>
        </w:tc>
        <w:tc>
          <w:tcPr>
            <w:tcW w:w="2267" w:type="dxa"/>
            <w:vAlign w:val="center"/>
          </w:tcPr>
          <w:p w14:paraId="7F1643A5" w14:textId="77777777" w:rsidR="00577D08" w:rsidRDefault="00577D08">
            <w:pPr>
              <w:widowControl w:val="0"/>
              <w:jc w:val="right"/>
            </w:pPr>
          </w:p>
        </w:tc>
        <w:tc>
          <w:tcPr>
            <w:tcW w:w="3695" w:type="dxa"/>
            <w:vAlign w:val="center"/>
          </w:tcPr>
          <w:p w14:paraId="142E10EC" w14:textId="77777777" w:rsidR="00577D08" w:rsidRDefault="00577D08">
            <w:pPr>
              <w:widowControl w:val="0"/>
            </w:pPr>
          </w:p>
        </w:tc>
      </w:tr>
      <w:tr w:rsidR="00577D08" w14:paraId="138C378B" w14:textId="77777777">
        <w:tc>
          <w:tcPr>
            <w:tcW w:w="3085" w:type="dxa"/>
            <w:vAlign w:val="center"/>
          </w:tcPr>
          <w:p w14:paraId="69701640" w14:textId="77777777" w:rsidR="00577D08" w:rsidRDefault="00330FC0">
            <w:pPr>
              <w:widowControl w:val="0"/>
            </w:pPr>
            <w:r>
              <w:rPr>
                <w:rFonts w:hint="eastAsia"/>
              </w:rPr>
              <w:t>惠及人数（人）</w:t>
            </w:r>
          </w:p>
        </w:tc>
        <w:tc>
          <w:tcPr>
            <w:tcW w:w="2267" w:type="dxa"/>
            <w:vAlign w:val="center"/>
          </w:tcPr>
          <w:p w14:paraId="0C1288B8" w14:textId="77777777" w:rsidR="00577D08" w:rsidRDefault="00330FC0">
            <w:pPr>
              <w:widowControl w:val="0"/>
              <w:jc w:val="right"/>
            </w:pPr>
            <w:r>
              <w:rPr>
                <w:rFonts w:hint="eastAsia"/>
              </w:rPr>
              <w:t>若干</w:t>
            </w:r>
          </w:p>
        </w:tc>
        <w:tc>
          <w:tcPr>
            <w:tcW w:w="3695" w:type="dxa"/>
            <w:vAlign w:val="center"/>
          </w:tcPr>
          <w:p w14:paraId="3E13AACC" w14:textId="77777777" w:rsidR="00577D08" w:rsidRDefault="00577D08">
            <w:pPr>
              <w:widowControl w:val="0"/>
            </w:pPr>
          </w:p>
        </w:tc>
      </w:tr>
      <w:tr w:rsidR="00577D08" w14:paraId="4C8E4651" w14:textId="77777777">
        <w:tc>
          <w:tcPr>
            <w:tcW w:w="3085" w:type="dxa"/>
            <w:vAlign w:val="center"/>
          </w:tcPr>
          <w:p w14:paraId="053B8466" w14:textId="77777777" w:rsidR="00577D08" w:rsidRDefault="00330FC0">
            <w:pPr>
              <w:widowControl w:val="0"/>
            </w:pPr>
            <w:r>
              <w:rPr>
                <w:rFonts w:hint="eastAsia"/>
              </w:rPr>
              <w:t>帮扶形式（如产业扶贫、就业扶贫、教育扶贫等）</w:t>
            </w:r>
          </w:p>
        </w:tc>
        <w:tc>
          <w:tcPr>
            <w:tcW w:w="2267" w:type="dxa"/>
            <w:vAlign w:val="center"/>
          </w:tcPr>
          <w:p w14:paraId="5752F9AC" w14:textId="77777777" w:rsidR="00577D08" w:rsidRDefault="00330FC0">
            <w:pPr>
              <w:widowControl w:val="0"/>
              <w:jc w:val="right"/>
            </w:pPr>
            <w:r>
              <w:rPr>
                <w:rFonts w:hint="eastAsia"/>
              </w:rPr>
              <w:t>产业扶贫</w:t>
            </w:r>
          </w:p>
        </w:tc>
        <w:tc>
          <w:tcPr>
            <w:tcW w:w="3695" w:type="dxa"/>
            <w:vAlign w:val="center"/>
          </w:tcPr>
          <w:p w14:paraId="2541134D" w14:textId="77777777" w:rsidR="00577D08" w:rsidRDefault="00577D08">
            <w:pPr>
              <w:widowControl w:val="0"/>
            </w:pPr>
          </w:p>
        </w:tc>
      </w:tr>
    </w:tbl>
    <w:p w14:paraId="092C66FF" w14:textId="77777777" w:rsidR="00577D08" w:rsidRDefault="00330FC0">
      <w:r>
        <w:t>具体说明</w:t>
      </w:r>
    </w:p>
    <w:sdt>
      <w:sdtPr>
        <w:alias w:val="是否适用：巩固拓展脱贫攻坚成果、乡村振兴等工作具体情况其他说明[双击切换]"/>
        <w:tag w:val="_GBC_da0a87234d174e509f00e24b4a8320dc"/>
        <w:id w:val="1695963749"/>
        <w:placeholder>
          <w:docPart w:val="GBC22222222222222222222222222222"/>
        </w:placeholder>
      </w:sdtPr>
      <w:sdtContent>
        <w:p w14:paraId="077808C0"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2F46580" w14:textId="77777777" w:rsidR="00577D08" w:rsidRDefault="00330FC0">
      <w:pPr>
        <w:pStyle w:val="2"/>
        <w:numPr>
          <w:ilvl w:val="0"/>
          <w:numId w:val="18"/>
        </w:numPr>
      </w:pPr>
      <w:r>
        <w:t>其他</w:t>
      </w:r>
    </w:p>
    <w:sdt>
      <w:sdtPr>
        <w:rPr>
          <w:rFonts w:hint="eastAsia"/>
        </w:rPr>
        <w:alias w:val="是否适用：其他公司治理情况说明[双击切换]"/>
        <w:tag w:val="_GBC_dc91085943bb4d4ab22a79a9ba7014df"/>
        <w:id w:val="-86540479"/>
        <w:placeholder>
          <w:docPart w:val="GBC22222222222222222222222222222"/>
        </w:placeholder>
      </w:sdtPr>
      <w:sdtContent>
        <w:p w14:paraId="14E69860"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D70492E" w14:textId="77777777" w:rsidR="00577D08" w:rsidRDefault="00577D08"/>
    <w:p w14:paraId="07B44D4B" w14:textId="77777777" w:rsidR="00577D08" w:rsidRDefault="00577D08">
      <w:pPr>
        <w:sectPr w:rsidR="00577D08">
          <w:pgSz w:w="11906" w:h="16838"/>
          <w:pgMar w:top="1525" w:right="1276" w:bottom="1440" w:left="1797" w:header="851" w:footer="992" w:gutter="0"/>
          <w:cols w:space="425"/>
          <w:docGrid w:linePitch="312"/>
        </w:sectPr>
      </w:pPr>
    </w:p>
    <w:bookmarkEnd w:id="193"/>
    <w:p w14:paraId="2B05F929" w14:textId="77777777" w:rsidR="00577D08" w:rsidRDefault="00577D08"/>
    <w:p w14:paraId="1F34553D" w14:textId="77777777" w:rsidR="00577D08" w:rsidRDefault="00330FC0">
      <w:pPr>
        <w:pStyle w:val="1"/>
        <w:numPr>
          <w:ilvl w:val="0"/>
          <w:numId w:val="2"/>
        </w:numPr>
      </w:pPr>
      <w:bookmarkStart w:id="195" w:name="_Toc191024260"/>
      <w:bookmarkStart w:id="196" w:name="_Hlk90554245"/>
      <w:bookmarkEnd w:id="194"/>
      <w:r>
        <w:rPr>
          <w:rFonts w:hint="eastAsia"/>
        </w:rPr>
        <w:t>重要事项</w:t>
      </w:r>
    </w:p>
    <w:bookmarkEnd w:id="195"/>
    <w:p w14:paraId="35B6D99B" w14:textId="77777777" w:rsidR="00577D08" w:rsidRDefault="00330FC0">
      <w:pPr>
        <w:pStyle w:val="2"/>
        <w:numPr>
          <w:ilvl w:val="0"/>
          <w:numId w:val="27"/>
        </w:numPr>
      </w:pPr>
      <w:r>
        <w:rPr>
          <w:rFonts w:hint="eastAsia"/>
        </w:rPr>
        <w:t>承诺事项履行情况</w:t>
      </w:r>
    </w:p>
    <w:p w14:paraId="42C6DDFC" w14:textId="77777777" w:rsidR="00577D08" w:rsidRDefault="00330FC0">
      <w:pPr>
        <w:pStyle w:val="3"/>
        <w:numPr>
          <w:ilvl w:val="1"/>
          <w:numId w:val="28"/>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803187366"/>
        <w:placeholder>
          <w:docPart w:val="GBC22222222222222222222222222222"/>
        </w:placeholder>
      </w:sdtPr>
      <w:sdtContent>
        <w:p w14:paraId="623EDBB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6"/>
        <w:gridCol w:w="1234"/>
        <w:gridCol w:w="1270"/>
        <w:gridCol w:w="1324"/>
        <w:gridCol w:w="1358"/>
        <w:gridCol w:w="1358"/>
        <w:gridCol w:w="1335"/>
        <w:gridCol w:w="1335"/>
        <w:gridCol w:w="1541"/>
        <w:gridCol w:w="1234"/>
      </w:tblGrid>
      <w:tr w:rsidR="00577D08" w14:paraId="3BB8BFC4" w14:textId="77777777">
        <w:sdt>
          <w:sdtPr>
            <w:tag w:val="_PLD_415cfb23b46b41fba9f0b895a1088fd6"/>
            <w:id w:val="1767581740"/>
          </w:sdtPr>
          <w:sdtContent>
            <w:tc>
              <w:tcPr>
                <w:tcW w:w="2076" w:type="dxa"/>
                <w:vAlign w:val="center"/>
              </w:tcPr>
              <w:p w14:paraId="20810801" w14:textId="77777777" w:rsidR="00577D08" w:rsidRDefault="00330FC0">
                <w:pPr>
                  <w:jc w:val="center"/>
                </w:pPr>
                <w:r>
                  <w:rPr>
                    <w:rFonts w:hint="eastAsia"/>
                  </w:rPr>
                  <w:t>承诺背景</w:t>
                </w:r>
              </w:p>
            </w:tc>
          </w:sdtContent>
        </w:sdt>
        <w:sdt>
          <w:sdtPr>
            <w:tag w:val="_PLD_6d89eb5533974f2f9b788e2563589a7c"/>
            <w:id w:val="1829018852"/>
          </w:sdtPr>
          <w:sdtContent>
            <w:tc>
              <w:tcPr>
                <w:tcW w:w="1234" w:type="dxa"/>
                <w:vAlign w:val="center"/>
              </w:tcPr>
              <w:p w14:paraId="111CCB22" w14:textId="77777777" w:rsidR="00577D08" w:rsidRDefault="00330FC0">
                <w:pPr>
                  <w:jc w:val="center"/>
                </w:pPr>
                <w:r>
                  <w:rPr>
                    <w:rFonts w:hint="eastAsia"/>
                  </w:rPr>
                  <w:t>承诺</w:t>
                </w:r>
              </w:p>
              <w:p w14:paraId="18A996BE" w14:textId="77777777" w:rsidR="00577D08" w:rsidRDefault="00330FC0">
                <w:pPr>
                  <w:jc w:val="center"/>
                </w:pPr>
                <w:r>
                  <w:rPr>
                    <w:rFonts w:hint="eastAsia"/>
                  </w:rPr>
                  <w:t>类型</w:t>
                </w:r>
              </w:p>
            </w:tc>
          </w:sdtContent>
        </w:sdt>
        <w:sdt>
          <w:sdtPr>
            <w:tag w:val="_PLD_4e3459cf954648c5ade489d7f239c9b2"/>
            <w:id w:val="717947007"/>
          </w:sdtPr>
          <w:sdtContent>
            <w:tc>
              <w:tcPr>
                <w:tcW w:w="1270" w:type="dxa"/>
                <w:vAlign w:val="center"/>
              </w:tcPr>
              <w:p w14:paraId="3D08C420" w14:textId="77777777" w:rsidR="00577D08" w:rsidRDefault="00330FC0">
                <w:pPr>
                  <w:jc w:val="center"/>
                </w:pPr>
                <w:r>
                  <w:rPr>
                    <w:rFonts w:hint="eastAsia"/>
                  </w:rPr>
                  <w:t>承诺方</w:t>
                </w:r>
              </w:p>
            </w:tc>
          </w:sdtContent>
        </w:sdt>
        <w:sdt>
          <w:sdtPr>
            <w:tag w:val="_PLD_b7ba969a5a9f484b969e33829f8fee27"/>
            <w:id w:val="1496374206"/>
          </w:sdtPr>
          <w:sdtContent>
            <w:tc>
              <w:tcPr>
                <w:tcW w:w="1324" w:type="dxa"/>
                <w:vAlign w:val="center"/>
              </w:tcPr>
              <w:p w14:paraId="1458D5F2" w14:textId="77777777" w:rsidR="00577D08" w:rsidRDefault="00330FC0">
                <w:pPr>
                  <w:jc w:val="center"/>
                </w:pPr>
                <w:r>
                  <w:rPr>
                    <w:rFonts w:hint="eastAsia"/>
                  </w:rPr>
                  <w:t>承诺</w:t>
                </w:r>
              </w:p>
              <w:p w14:paraId="2F1461FB" w14:textId="77777777" w:rsidR="00577D08" w:rsidRDefault="00330FC0">
                <w:pPr>
                  <w:jc w:val="center"/>
                </w:pPr>
                <w:r>
                  <w:rPr>
                    <w:rFonts w:hint="eastAsia"/>
                  </w:rPr>
                  <w:t>内容</w:t>
                </w:r>
              </w:p>
            </w:tc>
          </w:sdtContent>
        </w:sdt>
        <w:sdt>
          <w:sdtPr>
            <w:tag w:val="_PLD_080af5a89fc040bc90935cec09ab2cd1"/>
            <w:id w:val="2123497760"/>
          </w:sdtPr>
          <w:sdtContent>
            <w:tc>
              <w:tcPr>
                <w:tcW w:w="1358" w:type="dxa"/>
                <w:vAlign w:val="center"/>
              </w:tcPr>
              <w:p w14:paraId="3BFFB572" w14:textId="77777777" w:rsidR="00577D08" w:rsidRDefault="00330FC0">
                <w:pPr>
                  <w:jc w:val="center"/>
                </w:pPr>
                <w:r>
                  <w:rPr>
                    <w:rFonts w:hint="eastAsia"/>
                  </w:rPr>
                  <w:t>承诺时间</w:t>
                </w:r>
              </w:p>
            </w:tc>
          </w:sdtContent>
        </w:sdt>
        <w:sdt>
          <w:sdtPr>
            <w:tag w:val="_PLD_81953845df7c406091c017485ffe89d0"/>
            <w:id w:val="1677155286"/>
          </w:sdtPr>
          <w:sdtContent>
            <w:tc>
              <w:tcPr>
                <w:tcW w:w="1358" w:type="dxa"/>
                <w:vAlign w:val="center"/>
              </w:tcPr>
              <w:p w14:paraId="5BE0B965" w14:textId="77777777" w:rsidR="00577D08" w:rsidRDefault="00330FC0">
                <w:pPr>
                  <w:jc w:val="center"/>
                </w:pPr>
                <w:r>
                  <w:rPr>
                    <w:rFonts w:hint="eastAsia"/>
                  </w:rPr>
                  <w:t>是否有履行期限</w:t>
                </w:r>
              </w:p>
            </w:tc>
          </w:sdtContent>
        </w:sdt>
        <w:sdt>
          <w:sdtPr>
            <w:tag w:val="_PLD_95bd18790c864943ab7728a2218411a4"/>
            <w:id w:val="1032619228"/>
          </w:sdtPr>
          <w:sdtContent>
            <w:tc>
              <w:tcPr>
                <w:tcW w:w="1335" w:type="dxa"/>
                <w:vAlign w:val="center"/>
              </w:tcPr>
              <w:p w14:paraId="57352F82" w14:textId="77777777" w:rsidR="00577D08" w:rsidRDefault="00330FC0">
                <w:pPr>
                  <w:jc w:val="center"/>
                </w:pPr>
                <w:r>
                  <w:rPr>
                    <w:rFonts w:hint="eastAsia"/>
                  </w:rPr>
                  <w:t>承诺期限</w:t>
                </w:r>
              </w:p>
            </w:tc>
          </w:sdtContent>
        </w:sdt>
        <w:sdt>
          <w:sdtPr>
            <w:tag w:val="_PLD_f70c8d8e3e374db7a8e212809462bcc0"/>
            <w:id w:val="1071615434"/>
          </w:sdtPr>
          <w:sdtContent>
            <w:tc>
              <w:tcPr>
                <w:tcW w:w="1335" w:type="dxa"/>
                <w:vAlign w:val="center"/>
              </w:tcPr>
              <w:p w14:paraId="2E6C6392" w14:textId="77777777" w:rsidR="00577D08" w:rsidRDefault="00330FC0">
                <w:pPr>
                  <w:jc w:val="center"/>
                </w:pPr>
                <w:r>
                  <w:rPr>
                    <w:rFonts w:hint="eastAsia"/>
                  </w:rPr>
                  <w:t>是否及时严格履行</w:t>
                </w:r>
              </w:p>
            </w:tc>
          </w:sdtContent>
        </w:sdt>
        <w:sdt>
          <w:sdtPr>
            <w:tag w:val="_PLD_30da9c1a74564266bdab010410b3cfc4"/>
            <w:id w:val="-649056356"/>
          </w:sdtPr>
          <w:sdtContent>
            <w:tc>
              <w:tcPr>
                <w:tcW w:w="1541" w:type="dxa"/>
                <w:vAlign w:val="center"/>
              </w:tcPr>
              <w:p w14:paraId="0F34AD9C" w14:textId="77777777" w:rsidR="00577D08" w:rsidRDefault="00330FC0">
                <w:pPr>
                  <w:jc w:val="center"/>
                </w:pPr>
                <w:r>
                  <w:rPr>
                    <w:rFonts w:hint="eastAsia"/>
                  </w:rPr>
                  <w:t>如未能及时履行应说明未完成履行的具体原因</w:t>
                </w:r>
              </w:p>
            </w:tc>
          </w:sdtContent>
        </w:sdt>
        <w:sdt>
          <w:sdtPr>
            <w:tag w:val="_PLD_885166d72adc442aaa68aa0f496582ae"/>
            <w:id w:val="-952939010"/>
          </w:sdtPr>
          <w:sdtContent>
            <w:tc>
              <w:tcPr>
                <w:tcW w:w="1234" w:type="dxa"/>
                <w:vAlign w:val="center"/>
              </w:tcPr>
              <w:p w14:paraId="72F4FDC7" w14:textId="77777777" w:rsidR="00577D08" w:rsidRDefault="00330FC0">
                <w:pPr>
                  <w:jc w:val="center"/>
                </w:pPr>
                <w:r>
                  <w:rPr>
                    <w:rFonts w:hint="eastAsia"/>
                  </w:rPr>
                  <w:t>如未能及时履行应说明下一步计划</w:t>
                </w:r>
              </w:p>
            </w:tc>
          </w:sdtContent>
        </w:sdt>
      </w:tr>
      <w:tr w:rsidR="00577D08" w14:paraId="7103C4F0" w14:textId="77777777">
        <w:tc>
          <w:tcPr>
            <w:tcW w:w="2076" w:type="dxa"/>
            <w:vMerge w:val="restart"/>
            <w:vAlign w:val="center"/>
          </w:tcPr>
          <w:p w14:paraId="39A1A170" w14:textId="77777777" w:rsidR="00577D08" w:rsidRDefault="00330FC0">
            <w:pPr>
              <w:jc w:val="both"/>
            </w:pPr>
            <w:r>
              <w:rPr>
                <w:rFonts w:hint="eastAsia"/>
              </w:rPr>
              <w:t>与首次公开发行相关的承诺</w:t>
            </w:r>
          </w:p>
        </w:tc>
        <w:sdt>
          <w:sdtPr>
            <w:alias w:val="与首次公开发行相关的承诺-承诺类型"/>
            <w:tag w:val="_GBC_544118bad2864ee8b5a42608e3d695de"/>
            <w:id w:val="367422937"/>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1234" w:type="dxa"/>
                <w:vAlign w:val="center"/>
              </w:tcPr>
              <w:p w14:paraId="08BB1A5C" w14:textId="77777777" w:rsidR="00577D08" w:rsidRDefault="00330FC0">
                <w:pPr>
                  <w:rPr>
                    <w:color w:val="FFC000"/>
                  </w:rPr>
                </w:pPr>
                <w:r>
                  <w:t>股份限售</w:t>
                </w:r>
              </w:p>
            </w:tc>
          </w:sdtContent>
        </w:sdt>
        <w:tc>
          <w:tcPr>
            <w:tcW w:w="1270" w:type="dxa"/>
          </w:tcPr>
          <w:p w14:paraId="0CEEF8A4" w14:textId="77777777" w:rsidR="00577D08" w:rsidRDefault="00330FC0">
            <w:r>
              <w:rPr>
                <w:rFonts w:hint="eastAsia"/>
              </w:rPr>
              <w:t>公司上市前股东</w:t>
            </w:r>
          </w:p>
        </w:tc>
        <w:tc>
          <w:tcPr>
            <w:tcW w:w="1324" w:type="dxa"/>
          </w:tcPr>
          <w:p w14:paraId="46C56E6A" w14:textId="77777777" w:rsidR="00577D08" w:rsidRDefault="00330FC0">
            <w:r>
              <w:rPr>
                <w:rFonts w:hint="eastAsia"/>
              </w:rPr>
              <w:t>股份锁定的承诺，具体详见注</w:t>
            </w:r>
            <w:r>
              <w:rPr>
                <w:rFonts w:hint="eastAsia"/>
              </w:rPr>
              <w:t>1</w:t>
            </w:r>
          </w:p>
        </w:tc>
        <w:tc>
          <w:tcPr>
            <w:tcW w:w="1358" w:type="dxa"/>
            <w:vAlign w:val="center"/>
          </w:tcPr>
          <w:p w14:paraId="1F29B340" w14:textId="77777777" w:rsidR="00577D08" w:rsidRDefault="00330FC0">
            <w:pPr>
              <w:jc w:val="right"/>
            </w:pPr>
            <w:r>
              <w:rPr>
                <w:rFonts w:hint="eastAsia"/>
              </w:rPr>
              <w:t>注</w:t>
            </w:r>
            <w:r>
              <w:rPr>
                <w:rFonts w:hint="eastAsia"/>
              </w:rPr>
              <w:t>1</w:t>
            </w:r>
          </w:p>
        </w:tc>
        <w:tc>
          <w:tcPr>
            <w:tcW w:w="1358" w:type="dxa"/>
            <w:vAlign w:val="center"/>
          </w:tcPr>
          <w:p w14:paraId="1DCE5074" w14:textId="77777777" w:rsidR="00577D08" w:rsidRDefault="00330FC0">
            <w:pPr>
              <w:jc w:val="right"/>
              <w:rPr>
                <w:color w:val="FFC000"/>
              </w:rPr>
            </w:pPr>
            <w:r>
              <w:rPr>
                <w:rFonts w:hint="eastAsia"/>
              </w:rPr>
              <w:t>是</w:t>
            </w:r>
          </w:p>
        </w:tc>
        <w:tc>
          <w:tcPr>
            <w:tcW w:w="1335" w:type="dxa"/>
            <w:vAlign w:val="center"/>
          </w:tcPr>
          <w:p w14:paraId="0EF14072" w14:textId="77777777" w:rsidR="00577D08" w:rsidRDefault="00330FC0">
            <w:pPr>
              <w:jc w:val="right"/>
            </w:pPr>
            <w:r>
              <w:rPr>
                <w:rFonts w:hint="eastAsia"/>
              </w:rPr>
              <w:t>注</w:t>
            </w:r>
            <w:r>
              <w:rPr>
                <w:rFonts w:hint="eastAsia"/>
              </w:rPr>
              <w:t>1</w:t>
            </w:r>
          </w:p>
        </w:tc>
        <w:tc>
          <w:tcPr>
            <w:tcW w:w="1335" w:type="dxa"/>
            <w:vAlign w:val="center"/>
          </w:tcPr>
          <w:p w14:paraId="584201C5" w14:textId="77777777" w:rsidR="00577D08" w:rsidRDefault="00330FC0">
            <w:pPr>
              <w:jc w:val="right"/>
              <w:rPr>
                <w:color w:val="FFC000"/>
              </w:rPr>
            </w:pPr>
            <w:r>
              <w:rPr>
                <w:rFonts w:hint="eastAsia"/>
              </w:rPr>
              <w:t>是</w:t>
            </w:r>
          </w:p>
        </w:tc>
        <w:tc>
          <w:tcPr>
            <w:tcW w:w="1541" w:type="dxa"/>
            <w:vAlign w:val="center"/>
          </w:tcPr>
          <w:p w14:paraId="774AD0C8" w14:textId="77777777" w:rsidR="00577D08" w:rsidRDefault="00330FC0">
            <w:pPr>
              <w:jc w:val="right"/>
            </w:pPr>
            <w:bookmarkStart w:id="197" w:name="OLE_LINK14"/>
            <w:bookmarkStart w:id="198" w:name="OLE_LINK13"/>
            <w:bookmarkStart w:id="199" w:name="OLE_LINK21"/>
            <w:r>
              <w:rPr>
                <w:rFonts w:hint="eastAsia"/>
              </w:rPr>
              <w:t>不适用</w:t>
            </w:r>
            <w:bookmarkEnd w:id="197"/>
            <w:bookmarkEnd w:id="198"/>
            <w:bookmarkEnd w:id="199"/>
          </w:p>
        </w:tc>
        <w:tc>
          <w:tcPr>
            <w:tcW w:w="1234" w:type="dxa"/>
            <w:vAlign w:val="center"/>
          </w:tcPr>
          <w:p w14:paraId="0C389048" w14:textId="77777777" w:rsidR="00577D08" w:rsidRDefault="00330FC0">
            <w:pPr>
              <w:jc w:val="right"/>
            </w:pPr>
            <w:r>
              <w:rPr>
                <w:rFonts w:hint="eastAsia"/>
              </w:rPr>
              <w:t>不适用</w:t>
            </w:r>
          </w:p>
        </w:tc>
      </w:tr>
      <w:tr w:rsidR="00577D08" w14:paraId="41521192" w14:textId="77777777">
        <w:tc>
          <w:tcPr>
            <w:tcW w:w="2076" w:type="dxa"/>
            <w:vMerge/>
            <w:vAlign w:val="center"/>
          </w:tcPr>
          <w:p w14:paraId="38A72087" w14:textId="77777777" w:rsidR="00577D08" w:rsidRDefault="00577D08"/>
        </w:tc>
        <w:sdt>
          <w:sdtPr>
            <w:alias w:val="与首次公开发行相关的承诺-承诺类型"/>
            <w:tag w:val="_GBC_544118bad2864ee8b5a42608e3d695de"/>
            <w:id w:val="-1867511225"/>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1234" w:type="dxa"/>
                <w:vAlign w:val="center"/>
              </w:tcPr>
              <w:p w14:paraId="7E979FE6" w14:textId="77777777" w:rsidR="00577D08" w:rsidRDefault="00330FC0">
                <w:pPr>
                  <w:rPr>
                    <w:color w:val="FFC000"/>
                  </w:rPr>
                </w:pPr>
                <w:r>
                  <w:t>其他</w:t>
                </w:r>
              </w:p>
            </w:tc>
          </w:sdtContent>
        </w:sdt>
        <w:tc>
          <w:tcPr>
            <w:tcW w:w="1270" w:type="dxa"/>
          </w:tcPr>
          <w:p w14:paraId="19DE37FD" w14:textId="77777777" w:rsidR="00577D08" w:rsidRDefault="00330FC0">
            <w:r>
              <w:rPr>
                <w:rFonts w:hint="eastAsia"/>
              </w:rPr>
              <w:t>杨泽民、秦惠兰、杨耀、杨秦、杨厚群、皮天彬、秦勇、隆志钢、杨小林</w:t>
            </w:r>
          </w:p>
        </w:tc>
        <w:tc>
          <w:tcPr>
            <w:tcW w:w="1324" w:type="dxa"/>
          </w:tcPr>
          <w:p w14:paraId="7D169B14" w14:textId="77777777" w:rsidR="00577D08" w:rsidRDefault="00330FC0">
            <w:r>
              <w:rPr>
                <w:rFonts w:hint="eastAsia"/>
              </w:rPr>
              <w:t>5%</w:t>
            </w:r>
            <w:r>
              <w:rPr>
                <w:rFonts w:hint="eastAsia"/>
              </w:rPr>
              <w:t>以上股东的减持意向承诺，详见注</w:t>
            </w:r>
            <w:r>
              <w:rPr>
                <w:rFonts w:hint="eastAsia"/>
              </w:rPr>
              <w:t>2</w:t>
            </w:r>
          </w:p>
        </w:tc>
        <w:tc>
          <w:tcPr>
            <w:tcW w:w="1358" w:type="dxa"/>
            <w:vAlign w:val="center"/>
          </w:tcPr>
          <w:p w14:paraId="67485AFB" w14:textId="77777777" w:rsidR="00577D08" w:rsidRDefault="00330FC0">
            <w:pPr>
              <w:jc w:val="right"/>
            </w:pPr>
            <w:r>
              <w:rPr>
                <w:rFonts w:hint="eastAsia"/>
              </w:rPr>
              <w:t>注</w:t>
            </w:r>
            <w:r>
              <w:rPr>
                <w:rFonts w:hint="eastAsia"/>
              </w:rPr>
              <w:t>2</w:t>
            </w:r>
          </w:p>
        </w:tc>
        <w:tc>
          <w:tcPr>
            <w:tcW w:w="1358" w:type="dxa"/>
            <w:vAlign w:val="center"/>
          </w:tcPr>
          <w:p w14:paraId="5DD72DD1" w14:textId="77777777" w:rsidR="00577D08" w:rsidRDefault="00330FC0">
            <w:pPr>
              <w:jc w:val="right"/>
              <w:rPr>
                <w:color w:val="FFC000"/>
              </w:rPr>
            </w:pPr>
            <w:r>
              <w:rPr>
                <w:rFonts w:hint="eastAsia"/>
              </w:rPr>
              <w:t>是</w:t>
            </w:r>
          </w:p>
        </w:tc>
        <w:tc>
          <w:tcPr>
            <w:tcW w:w="1335" w:type="dxa"/>
            <w:vAlign w:val="center"/>
          </w:tcPr>
          <w:p w14:paraId="23059494" w14:textId="77777777" w:rsidR="00577D08" w:rsidRDefault="00330FC0">
            <w:pPr>
              <w:jc w:val="right"/>
            </w:pPr>
            <w:r>
              <w:rPr>
                <w:rFonts w:hint="eastAsia"/>
              </w:rPr>
              <w:t>注</w:t>
            </w:r>
            <w:r>
              <w:rPr>
                <w:rFonts w:hint="eastAsia"/>
              </w:rPr>
              <w:t>2</w:t>
            </w:r>
          </w:p>
        </w:tc>
        <w:tc>
          <w:tcPr>
            <w:tcW w:w="1335" w:type="dxa"/>
            <w:vAlign w:val="center"/>
          </w:tcPr>
          <w:p w14:paraId="2821A997" w14:textId="77777777" w:rsidR="00577D08" w:rsidRDefault="00330FC0">
            <w:pPr>
              <w:jc w:val="right"/>
              <w:rPr>
                <w:color w:val="FFC000"/>
              </w:rPr>
            </w:pPr>
            <w:r>
              <w:rPr>
                <w:rFonts w:hint="eastAsia"/>
              </w:rPr>
              <w:t>是</w:t>
            </w:r>
          </w:p>
        </w:tc>
        <w:tc>
          <w:tcPr>
            <w:tcW w:w="1541" w:type="dxa"/>
            <w:vAlign w:val="center"/>
          </w:tcPr>
          <w:p w14:paraId="2E73C5B2" w14:textId="77777777" w:rsidR="00577D08" w:rsidRDefault="00330FC0">
            <w:pPr>
              <w:jc w:val="right"/>
            </w:pPr>
            <w:r>
              <w:rPr>
                <w:rFonts w:hint="eastAsia"/>
              </w:rPr>
              <w:t>不适用</w:t>
            </w:r>
          </w:p>
        </w:tc>
        <w:tc>
          <w:tcPr>
            <w:tcW w:w="1234" w:type="dxa"/>
            <w:vAlign w:val="center"/>
          </w:tcPr>
          <w:p w14:paraId="2A740E37" w14:textId="77777777" w:rsidR="00577D08" w:rsidRDefault="00330FC0">
            <w:pPr>
              <w:jc w:val="right"/>
            </w:pPr>
            <w:r>
              <w:rPr>
                <w:rFonts w:hint="eastAsia"/>
              </w:rPr>
              <w:t>不适用</w:t>
            </w:r>
          </w:p>
        </w:tc>
      </w:tr>
      <w:tr w:rsidR="00577D08" w14:paraId="2C9DE818" w14:textId="77777777">
        <w:tc>
          <w:tcPr>
            <w:tcW w:w="2076" w:type="dxa"/>
            <w:vMerge/>
            <w:vAlign w:val="center"/>
          </w:tcPr>
          <w:p w14:paraId="0478F3B9" w14:textId="77777777" w:rsidR="00577D08" w:rsidRDefault="00577D08">
            <w:pPr>
              <w:jc w:val="both"/>
            </w:pPr>
          </w:p>
        </w:tc>
        <w:sdt>
          <w:sdtPr>
            <w:alias w:val="其他承诺相关方的承诺事项-承诺类型"/>
            <w:tag w:val="_GBC_1e6cdc3ff68c4d3ba573b65b281d79f3"/>
            <w:id w:val="66713532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1234" w:type="dxa"/>
                <w:vAlign w:val="center"/>
              </w:tcPr>
              <w:p w14:paraId="2F2A9FFA" w14:textId="77777777" w:rsidR="00577D08" w:rsidRDefault="00330FC0">
                <w:r>
                  <w:t>其他</w:t>
                </w:r>
              </w:p>
            </w:tc>
          </w:sdtContent>
        </w:sdt>
        <w:tc>
          <w:tcPr>
            <w:tcW w:w="1270" w:type="dxa"/>
          </w:tcPr>
          <w:p w14:paraId="11481443" w14:textId="77777777" w:rsidR="00577D08" w:rsidRDefault="00330FC0">
            <w:r>
              <w:rPr>
                <w:rFonts w:hint="eastAsia"/>
              </w:rPr>
              <w:t>公司、杨泽民、秦惠兰、杨耀、杨秦、董事、高级管理人员</w:t>
            </w:r>
          </w:p>
        </w:tc>
        <w:tc>
          <w:tcPr>
            <w:tcW w:w="1324" w:type="dxa"/>
          </w:tcPr>
          <w:p w14:paraId="153E0B09" w14:textId="77777777" w:rsidR="00577D08" w:rsidRDefault="00330FC0">
            <w:r>
              <w:rPr>
                <w:rFonts w:hint="eastAsia"/>
              </w:rPr>
              <w:t>摊薄即期回报采取填补措施的承诺，详见注</w:t>
            </w:r>
            <w:r>
              <w:rPr>
                <w:rFonts w:hint="eastAsia"/>
              </w:rPr>
              <w:t>3</w:t>
            </w:r>
          </w:p>
        </w:tc>
        <w:tc>
          <w:tcPr>
            <w:tcW w:w="1358" w:type="dxa"/>
            <w:vAlign w:val="center"/>
          </w:tcPr>
          <w:p w14:paraId="083A10B2" w14:textId="77777777" w:rsidR="00577D08" w:rsidRDefault="00330FC0">
            <w:pPr>
              <w:jc w:val="right"/>
            </w:pPr>
            <w:r>
              <w:rPr>
                <w:rFonts w:hint="eastAsia"/>
              </w:rPr>
              <w:t>注</w:t>
            </w:r>
            <w:r>
              <w:rPr>
                <w:rFonts w:hint="eastAsia"/>
              </w:rPr>
              <w:t>3</w:t>
            </w:r>
          </w:p>
        </w:tc>
        <w:tc>
          <w:tcPr>
            <w:tcW w:w="1358" w:type="dxa"/>
            <w:vAlign w:val="center"/>
          </w:tcPr>
          <w:p w14:paraId="369F2786" w14:textId="77777777" w:rsidR="00577D08" w:rsidRDefault="00330FC0">
            <w:pPr>
              <w:jc w:val="right"/>
            </w:pPr>
            <w:r>
              <w:rPr>
                <w:rFonts w:hint="eastAsia"/>
              </w:rPr>
              <w:t>否</w:t>
            </w:r>
          </w:p>
        </w:tc>
        <w:tc>
          <w:tcPr>
            <w:tcW w:w="1335" w:type="dxa"/>
            <w:vAlign w:val="center"/>
          </w:tcPr>
          <w:p w14:paraId="12BC15A0" w14:textId="77777777" w:rsidR="00577D08" w:rsidRDefault="00330FC0">
            <w:pPr>
              <w:jc w:val="right"/>
            </w:pPr>
            <w:r>
              <w:rPr>
                <w:rFonts w:hint="eastAsia"/>
              </w:rPr>
              <w:t>注</w:t>
            </w:r>
            <w:r>
              <w:rPr>
                <w:rFonts w:hint="eastAsia"/>
              </w:rPr>
              <w:t>3</w:t>
            </w:r>
          </w:p>
        </w:tc>
        <w:tc>
          <w:tcPr>
            <w:tcW w:w="1335" w:type="dxa"/>
            <w:vAlign w:val="center"/>
          </w:tcPr>
          <w:p w14:paraId="54965BB6" w14:textId="77777777" w:rsidR="00577D08" w:rsidRDefault="00330FC0">
            <w:pPr>
              <w:jc w:val="right"/>
            </w:pPr>
            <w:r>
              <w:rPr>
                <w:rFonts w:hint="eastAsia"/>
              </w:rPr>
              <w:t>是</w:t>
            </w:r>
          </w:p>
        </w:tc>
        <w:tc>
          <w:tcPr>
            <w:tcW w:w="1541" w:type="dxa"/>
            <w:vAlign w:val="center"/>
          </w:tcPr>
          <w:p w14:paraId="274944FD" w14:textId="77777777" w:rsidR="00577D08" w:rsidRDefault="00330FC0">
            <w:pPr>
              <w:jc w:val="right"/>
            </w:pPr>
            <w:r>
              <w:rPr>
                <w:rFonts w:hint="eastAsia"/>
              </w:rPr>
              <w:t>不适用</w:t>
            </w:r>
          </w:p>
        </w:tc>
        <w:tc>
          <w:tcPr>
            <w:tcW w:w="1234" w:type="dxa"/>
            <w:vAlign w:val="center"/>
          </w:tcPr>
          <w:p w14:paraId="40E858A7" w14:textId="77777777" w:rsidR="00577D08" w:rsidRDefault="00330FC0">
            <w:pPr>
              <w:jc w:val="right"/>
            </w:pPr>
            <w:r>
              <w:rPr>
                <w:rFonts w:hint="eastAsia"/>
              </w:rPr>
              <w:t>不适用</w:t>
            </w:r>
          </w:p>
        </w:tc>
      </w:tr>
      <w:tr w:rsidR="00577D08" w14:paraId="270B3C05" w14:textId="77777777">
        <w:tc>
          <w:tcPr>
            <w:tcW w:w="2076" w:type="dxa"/>
            <w:vMerge/>
            <w:vAlign w:val="center"/>
          </w:tcPr>
          <w:p w14:paraId="40DDAA00" w14:textId="77777777" w:rsidR="00577D08" w:rsidRDefault="00577D08">
            <w:pPr>
              <w:jc w:val="both"/>
            </w:pPr>
          </w:p>
        </w:tc>
        <w:tc>
          <w:tcPr>
            <w:tcW w:w="1234" w:type="dxa"/>
            <w:vAlign w:val="center"/>
          </w:tcPr>
          <w:p w14:paraId="12CF8E35" w14:textId="77777777" w:rsidR="00577D08" w:rsidRDefault="00330FC0">
            <w:r>
              <w:rPr>
                <w:rFonts w:hint="eastAsia"/>
              </w:rPr>
              <w:t>其他</w:t>
            </w:r>
          </w:p>
        </w:tc>
        <w:tc>
          <w:tcPr>
            <w:tcW w:w="1270" w:type="dxa"/>
          </w:tcPr>
          <w:p w14:paraId="3F8F3051" w14:textId="77777777" w:rsidR="00577D08" w:rsidRDefault="00330FC0">
            <w:r>
              <w:rPr>
                <w:rFonts w:hint="eastAsia"/>
              </w:rPr>
              <w:t>杨泽民、秦惠兰、杨耀、杨秦</w:t>
            </w:r>
          </w:p>
        </w:tc>
        <w:tc>
          <w:tcPr>
            <w:tcW w:w="1324" w:type="dxa"/>
          </w:tcPr>
          <w:p w14:paraId="733D5B94" w14:textId="77777777" w:rsidR="00577D08" w:rsidRDefault="00330FC0">
            <w:r>
              <w:rPr>
                <w:rFonts w:hint="eastAsia"/>
              </w:rPr>
              <w:t>避免同业竞争的承诺，详见注</w:t>
            </w:r>
            <w:r>
              <w:rPr>
                <w:rFonts w:hint="eastAsia"/>
              </w:rPr>
              <w:t>4</w:t>
            </w:r>
          </w:p>
        </w:tc>
        <w:tc>
          <w:tcPr>
            <w:tcW w:w="1358" w:type="dxa"/>
            <w:vAlign w:val="center"/>
          </w:tcPr>
          <w:p w14:paraId="13EF39E6" w14:textId="77777777" w:rsidR="00577D08" w:rsidRDefault="00330FC0">
            <w:pPr>
              <w:jc w:val="right"/>
            </w:pPr>
            <w:r>
              <w:rPr>
                <w:rFonts w:hint="eastAsia"/>
              </w:rPr>
              <w:t>注</w:t>
            </w:r>
            <w:r>
              <w:rPr>
                <w:rFonts w:hint="eastAsia"/>
              </w:rPr>
              <w:t>4</w:t>
            </w:r>
          </w:p>
        </w:tc>
        <w:tc>
          <w:tcPr>
            <w:tcW w:w="1358" w:type="dxa"/>
            <w:vAlign w:val="center"/>
          </w:tcPr>
          <w:p w14:paraId="5B8CED37" w14:textId="77777777" w:rsidR="00577D08" w:rsidRDefault="00330FC0">
            <w:pPr>
              <w:jc w:val="right"/>
            </w:pPr>
            <w:r>
              <w:rPr>
                <w:rFonts w:hint="eastAsia"/>
              </w:rPr>
              <w:t>否</w:t>
            </w:r>
          </w:p>
        </w:tc>
        <w:tc>
          <w:tcPr>
            <w:tcW w:w="1335" w:type="dxa"/>
            <w:vAlign w:val="center"/>
          </w:tcPr>
          <w:p w14:paraId="48754DD1" w14:textId="77777777" w:rsidR="00577D08" w:rsidRDefault="00330FC0">
            <w:pPr>
              <w:jc w:val="right"/>
            </w:pPr>
            <w:r>
              <w:rPr>
                <w:rFonts w:hint="eastAsia"/>
              </w:rPr>
              <w:t>注</w:t>
            </w:r>
            <w:r>
              <w:rPr>
                <w:rFonts w:hint="eastAsia"/>
              </w:rPr>
              <w:t>4</w:t>
            </w:r>
          </w:p>
        </w:tc>
        <w:tc>
          <w:tcPr>
            <w:tcW w:w="1335" w:type="dxa"/>
            <w:vAlign w:val="center"/>
          </w:tcPr>
          <w:p w14:paraId="573727E9" w14:textId="77777777" w:rsidR="00577D08" w:rsidRDefault="00330FC0">
            <w:pPr>
              <w:jc w:val="right"/>
            </w:pPr>
            <w:r>
              <w:rPr>
                <w:rFonts w:hint="eastAsia"/>
              </w:rPr>
              <w:t>是</w:t>
            </w:r>
          </w:p>
        </w:tc>
        <w:tc>
          <w:tcPr>
            <w:tcW w:w="1541" w:type="dxa"/>
            <w:vAlign w:val="center"/>
          </w:tcPr>
          <w:p w14:paraId="7A02FF71" w14:textId="77777777" w:rsidR="00577D08" w:rsidRDefault="00330FC0">
            <w:pPr>
              <w:jc w:val="right"/>
            </w:pPr>
            <w:r>
              <w:rPr>
                <w:rFonts w:hint="eastAsia"/>
              </w:rPr>
              <w:t>不适用</w:t>
            </w:r>
          </w:p>
        </w:tc>
        <w:tc>
          <w:tcPr>
            <w:tcW w:w="1234" w:type="dxa"/>
            <w:vAlign w:val="center"/>
          </w:tcPr>
          <w:p w14:paraId="600E7E2C" w14:textId="77777777" w:rsidR="00577D08" w:rsidRDefault="00330FC0">
            <w:pPr>
              <w:jc w:val="right"/>
            </w:pPr>
            <w:r>
              <w:rPr>
                <w:rFonts w:hint="eastAsia"/>
              </w:rPr>
              <w:t>不适用</w:t>
            </w:r>
          </w:p>
        </w:tc>
      </w:tr>
      <w:tr w:rsidR="00577D08" w14:paraId="114C0D91" w14:textId="77777777">
        <w:tc>
          <w:tcPr>
            <w:tcW w:w="2076" w:type="dxa"/>
            <w:vMerge/>
            <w:vAlign w:val="center"/>
          </w:tcPr>
          <w:p w14:paraId="750A6414" w14:textId="77777777" w:rsidR="00577D08" w:rsidRDefault="00577D08">
            <w:pPr>
              <w:jc w:val="both"/>
            </w:pPr>
          </w:p>
        </w:tc>
        <w:tc>
          <w:tcPr>
            <w:tcW w:w="1234" w:type="dxa"/>
            <w:vAlign w:val="center"/>
          </w:tcPr>
          <w:p w14:paraId="2AAE526C" w14:textId="77777777" w:rsidR="00577D08" w:rsidRDefault="00330FC0">
            <w:r>
              <w:rPr>
                <w:rFonts w:hint="eastAsia"/>
              </w:rPr>
              <w:t>其他</w:t>
            </w:r>
          </w:p>
        </w:tc>
        <w:tc>
          <w:tcPr>
            <w:tcW w:w="1270" w:type="dxa"/>
          </w:tcPr>
          <w:p w14:paraId="7C9CB626" w14:textId="77777777" w:rsidR="00577D08" w:rsidRDefault="00330FC0">
            <w:r>
              <w:rPr>
                <w:rFonts w:hint="eastAsia"/>
              </w:rPr>
              <w:t>杨泽民、秦惠兰、杨耀、杨秦和董监高</w:t>
            </w:r>
          </w:p>
        </w:tc>
        <w:tc>
          <w:tcPr>
            <w:tcW w:w="1324" w:type="dxa"/>
          </w:tcPr>
          <w:p w14:paraId="2304C37F" w14:textId="77777777" w:rsidR="00577D08" w:rsidRDefault="00330FC0">
            <w:r>
              <w:rPr>
                <w:rFonts w:hint="eastAsia"/>
              </w:rPr>
              <w:t>规范和减少关联交易的承诺，详见注</w:t>
            </w:r>
            <w:r>
              <w:rPr>
                <w:rFonts w:hint="eastAsia"/>
              </w:rPr>
              <w:t>5</w:t>
            </w:r>
          </w:p>
        </w:tc>
        <w:tc>
          <w:tcPr>
            <w:tcW w:w="1358" w:type="dxa"/>
            <w:vAlign w:val="center"/>
          </w:tcPr>
          <w:p w14:paraId="08CCA400" w14:textId="77777777" w:rsidR="00577D08" w:rsidRDefault="00330FC0">
            <w:pPr>
              <w:jc w:val="right"/>
            </w:pPr>
            <w:r>
              <w:rPr>
                <w:rFonts w:hint="eastAsia"/>
              </w:rPr>
              <w:t>注</w:t>
            </w:r>
            <w:r>
              <w:rPr>
                <w:rFonts w:hint="eastAsia"/>
              </w:rPr>
              <w:t>5</w:t>
            </w:r>
          </w:p>
        </w:tc>
        <w:tc>
          <w:tcPr>
            <w:tcW w:w="1358" w:type="dxa"/>
            <w:vAlign w:val="center"/>
          </w:tcPr>
          <w:p w14:paraId="2DBC44B4" w14:textId="77777777" w:rsidR="00577D08" w:rsidRDefault="00330FC0">
            <w:pPr>
              <w:jc w:val="right"/>
            </w:pPr>
            <w:r>
              <w:rPr>
                <w:rFonts w:hint="eastAsia"/>
              </w:rPr>
              <w:t>否</w:t>
            </w:r>
          </w:p>
        </w:tc>
        <w:tc>
          <w:tcPr>
            <w:tcW w:w="1335" w:type="dxa"/>
            <w:vAlign w:val="center"/>
          </w:tcPr>
          <w:p w14:paraId="2AA489C7" w14:textId="77777777" w:rsidR="00577D08" w:rsidRDefault="00330FC0">
            <w:pPr>
              <w:jc w:val="right"/>
            </w:pPr>
            <w:r>
              <w:rPr>
                <w:rFonts w:hint="eastAsia"/>
              </w:rPr>
              <w:t>注</w:t>
            </w:r>
            <w:r>
              <w:rPr>
                <w:rFonts w:hint="eastAsia"/>
              </w:rPr>
              <w:t>5</w:t>
            </w:r>
          </w:p>
        </w:tc>
        <w:tc>
          <w:tcPr>
            <w:tcW w:w="1335" w:type="dxa"/>
            <w:vAlign w:val="center"/>
          </w:tcPr>
          <w:p w14:paraId="05466FB6" w14:textId="77777777" w:rsidR="00577D08" w:rsidRDefault="00330FC0">
            <w:pPr>
              <w:jc w:val="right"/>
            </w:pPr>
            <w:r>
              <w:rPr>
                <w:rFonts w:hint="eastAsia"/>
              </w:rPr>
              <w:t>是</w:t>
            </w:r>
          </w:p>
        </w:tc>
        <w:tc>
          <w:tcPr>
            <w:tcW w:w="1541" w:type="dxa"/>
            <w:vAlign w:val="center"/>
          </w:tcPr>
          <w:p w14:paraId="7A38597A" w14:textId="77777777" w:rsidR="00577D08" w:rsidRDefault="00330FC0">
            <w:pPr>
              <w:jc w:val="right"/>
            </w:pPr>
            <w:r>
              <w:rPr>
                <w:rFonts w:hint="eastAsia"/>
              </w:rPr>
              <w:t>不适用</w:t>
            </w:r>
          </w:p>
        </w:tc>
        <w:tc>
          <w:tcPr>
            <w:tcW w:w="1234" w:type="dxa"/>
            <w:vAlign w:val="center"/>
          </w:tcPr>
          <w:p w14:paraId="5ECD9EA5" w14:textId="77777777" w:rsidR="00577D08" w:rsidRDefault="00330FC0">
            <w:pPr>
              <w:jc w:val="right"/>
            </w:pPr>
            <w:r>
              <w:rPr>
                <w:rFonts w:hint="eastAsia"/>
              </w:rPr>
              <w:t>不适用</w:t>
            </w:r>
          </w:p>
        </w:tc>
      </w:tr>
      <w:tr w:rsidR="00577D08" w14:paraId="04F12105" w14:textId="77777777">
        <w:tc>
          <w:tcPr>
            <w:tcW w:w="2076" w:type="dxa"/>
            <w:vMerge/>
            <w:vAlign w:val="center"/>
          </w:tcPr>
          <w:p w14:paraId="2DB11D30" w14:textId="77777777" w:rsidR="00577D08" w:rsidRDefault="00577D08">
            <w:pPr>
              <w:jc w:val="both"/>
            </w:pPr>
          </w:p>
        </w:tc>
        <w:tc>
          <w:tcPr>
            <w:tcW w:w="1234" w:type="dxa"/>
            <w:vAlign w:val="center"/>
          </w:tcPr>
          <w:p w14:paraId="7EB98609" w14:textId="77777777" w:rsidR="00577D08" w:rsidRDefault="00330FC0">
            <w:r>
              <w:rPr>
                <w:rFonts w:hint="eastAsia"/>
              </w:rPr>
              <w:t>其他</w:t>
            </w:r>
          </w:p>
        </w:tc>
        <w:tc>
          <w:tcPr>
            <w:tcW w:w="1270" w:type="dxa"/>
          </w:tcPr>
          <w:p w14:paraId="2E58120A" w14:textId="77777777" w:rsidR="00577D08" w:rsidRDefault="00330FC0">
            <w:r>
              <w:rPr>
                <w:rFonts w:hint="eastAsia"/>
              </w:rPr>
              <w:t>杨泽民、秦惠兰、杨耀、杨秦</w:t>
            </w:r>
          </w:p>
        </w:tc>
        <w:tc>
          <w:tcPr>
            <w:tcW w:w="1324" w:type="dxa"/>
          </w:tcPr>
          <w:p w14:paraId="03B8CC66" w14:textId="77777777" w:rsidR="00577D08" w:rsidRDefault="00330FC0">
            <w:r>
              <w:rPr>
                <w:rFonts w:hint="eastAsia"/>
              </w:rPr>
              <w:t>避免资金占用的承诺，详见注</w:t>
            </w:r>
            <w:r>
              <w:rPr>
                <w:rFonts w:hint="eastAsia"/>
              </w:rPr>
              <w:t>6</w:t>
            </w:r>
          </w:p>
        </w:tc>
        <w:tc>
          <w:tcPr>
            <w:tcW w:w="1358" w:type="dxa"/>
            <w:vAlign w:val="center"/>
          </w:tcPr>
          <w:p w14:paraId="63861276" w14:textId="77777777" w:rsidR="00577D08" w:rsidRDefault="00330FC0">
            <w:pPr>
              <w:jc w:val="right"/>
            </w:pPr>
            <w:r>
              <w:rPr>
                <w:rFonts w:hint="eastAsia"/>
              </w:rPr>
              <w:t>注</w:t>
            </w:r>
            <w:r>
              <w:rPr>
                <w:rFonts w:hint="eastAsia"/>
              </w:rPr>
              <w:t>6</w:t>
            </w:r>
          </w:p>
        </w:tc>
        <w:tc>
          <w:tcPr>
            <w:tcW w:w="1358" w:type="dxa"/>
            <w:vAlign w:val="center"/>
          </w:tcPr>
          <w:p w14:paraId="297F158E" w14:textId="77777777" w:rsidR="00577D08" w:rsidRDefault="00330FC0">
            <w:pPr>
              <w:jc w:val="right"/>
            </w:pPr>
            <w:r>
              <w:rPr>
                <w:rFonts w:hint="eastAsia"/>
              </w:rPr>
              <w:t>否</w:t>
            </w:r>
          </w:p>
        </w:tc>
        <w:tc>
          <w:tcPr>
            <w:tcW w:w="1335" w:type="dxa"/>
            <w:vAlign w:val="center"/>
          </w:tcPr>
          <w:p w14:paraId="0B6AB684" w14:textId="77777777" w:rsidR="00577D08" w:rsidRDefault="00330FC0">
            <w:pPr>
              <w:jc w:val="right"/>
            </w:pPr>
            <w:r>
              <w:rPr>
                <w:rFonts w:hint="eastAsia"/>
              </w:rPr>
              <w:t>注</w:t>
            </w:r>
            <w:r>
              <w:rPr>
                <w:rFonts w:hint="eastAsia"/>
              </w:rPr>
              <w:t>6</w:t>
            </w:r>
          </w:p>
        </w:tc>
        <w:tc>
          <w:tcPr>
            <w:tcW w:w="1335" w:type="dxa"/>
            <w:vAlign w:val="center"/>
          </w:tcPr>
          <w:p w14:paraId="17E895D6" w14:textId="77777777" w:rsidR="00577D08" w:rsidRDefault="00330FC0">
            <w:pPr>
              <w:jc w:val="right"/>
            </w:pPr>
            <w:r>
              <w:rPr>
                <w:rFonts w:hint="eastAsia"/>
              </w:rPr>
              <w:t>是</w:t>
            </w:r>
          </w:p>
        </w:tc>
        <w:tc>
          <w:tcPr>
            <w:tcW w:w="1541" w:type="dxa"/>
            <w:vAlign w:val="center"/>
          </w:tcPr>
          <w:p w14:paraId="50C8E8D7" w14:textId="77777777" w:rsidR="00577D08" w:rsidRDefault="00330FC0">
            <w:pPr>
              <w:jc w:val="right"/>
            </w:pPr>
            <w:r>
              <w:rPr>
                <w:rFonts w:hint="eastAsia"/>
              </w:rPr>
              <w:t>不适用</w:t>
            </w:r>
          </w:p>
        </w:tc>
        <w:tc>
          <w:tcPr>
            <w:tcW w:w="1234" w:type="dxa"/>
            <w:vAlign w:val="center"/>
          </w:tcPr>
          <w:p w14:paraId="46995F7D" w14:textId="77777777" w:rsidR="00577D08" w:rsidRDefault="00330FC0">
            <w:pPr>
              <w:jc w:val="right"/>
            </w:pPr>
            <w:r>
              <w:rPr>
                <w:rFonts w:hint="eastAsia"/>
              </w:rPr>
              <w:t>不适用</w:t>
            </w:r>
          </w:p>
        </w:tc>
      </w:tr>
      <w:tr w:rsidR="00577D08" w14:paraId="226F2BA5" w14:textId="77777777">
        <w:tc>
          <w:tcPr>
            <w:tcW w:w="2076" w:type="dxa"/>
            <w:vMerge/>
            <w:vAlign w:val="center"/>
          </w:tcPr>
          <w:p w14:paraId="318C71CB" w14:textId="77777777" w:rsidR="00577D08" w:rsidRDefault="00577D08">
            <w:pPr>
              <w:jc w:val="both"/>
            </w:pPr>
          </w:p>
        </w:tc>
        <w:tc>
          <w:tcPr>
            <w:tcW w:w="1234" w:type="dxa"/>
            <w:vAlign w:val="center"/>
          </w:tcPr>
          <w:p w14:paraId="73F63C54" w14:textId="77777777" w:rsidR="00577D08" w:rsidRDefault="00330FC0">
            <w:r>
              <w:rPr>
                <w:rFonts w:hint="eastAsia"/>
              </w:rPr>
              <w:t>其他</w:t>
            </w:r>
          </w:p>
        </w:tc>
        <w:tc>
          <w:tcPr>
            <w:tcW w:w="1270" w:type="dxa"/>
          </w:tcPr>
          <w:p w14:paraId="48755C93" w14:textId="77777777" w:rsidR="00577D08" w:rsidRDefault="00330FC0">
            <w:r>
              <w:rPr>
                <w:rFonts w:hint="eastAsia"/>
              </w:rPr>
              <w:t>公司、杨泽民、秦惠兰、杨耀、杨秦</w:t>
            </w:r>
          </w:p>
        </w:tc>
        <w:tc>
          <w:tcPr>
            <w:tcW w:w="1324" w:type="dxa"/>
          </w:tcPr>
          <w:p w14:paraId="596D4932" w14:textId="77777777" w:rsidR="00577D08" w:rsidRDefault="00330FC0">
            <w:r>
              <w:rPr>
                <w:rFonts w:hint="eastAsia"/>
              </w:rPr>
              <w:t>股份回购和股份购回的措施和承诺，详见注</w:t>
            </w:r>
            <w:r>
              <w:rPr>
                <w:rFonts w:hint="eastAsia"/>
              </w:rPr>
              <w:t>7</w:t>
            </w:r>
          </w:p>
        </w:tc>
        <w:tc>
          <w:tcPr>
            <w:tcW w:w="1358" w:type="dxa"/>
            <w:vAlign w:val="center"/>
          </w:tcPr>
          <w:p w14:paraId="509DDC2E" w14:textId="77777777" w:rsidR="00577D08" w:rsidRDefault="00330FC0">
            <w:pPr>
              <w:jc w:val="right"/>
            </w:pPr>
            <w:r>
              <w:rPr>
                <w:rFonts w:hint="eastAsia"/>
              </w:rPr>
              <w:t>注</w:t>
            </w:r>
            <w:r>
              <w:rPr>
                <w:rFonts w:hint="eastAsia"/>
              </w:rPr>
              <w:t>7</w:t>
            </w:r>
          </w:p>
        </w:tc>
        <w:tc>
          <w:tcPr>
            <w:tcW w:w="1358" w:type="dxa"/>
            <w:vAlign w:val="center"/>
          </w:tcPr>
          <w:p w14:paraId="5314A275" w14:textId="77777777" w:rsidR="00577D08" w:rsidRDefault="00330FC0">
            <w:pPr>
              <w:jc w:val="right"/>
            </w:pPr>
            <w:r>
              <w:rPr>
                <w:rFonts w:hint="eastAsia"/>
              </w:rPr>
              <w:t>否</w:t>
            </w:r>
          </w:p>
        </w:tc>
        <w:tc>
          <w:tcPr>
            <w:tcW w:w="1335" w:type="dxa"/>
            <w:vAlign w:val="center"/>
          </w:tcPr>
          <w:p w14:paraId="59A942DC" w14:textId="77777777" w:rsidR="00577D08" w:rsidRDefault="00330FC0">
            <w:pPr>
              <w:jc w:val="right"/>
            </w:pPr>
            <w:r>
              <w:rPr>
                <w:rFonts w:hint="eastAsia"/>
              </w:rPr>
              <w:t>注</w:t>
            </w:r>
            <w:r>
              <w:rPr>
                <w:rFonts w:hint="eastAsia"/>
              </w:rPr>
              <w:t>7</w:t>
            </w:r>
          </w:p>
        </w:tc>
        <w:tc>
          <w:tcPr>
            <w:tcW w:w="1335" w:type="dxa"/>
            <w:vAlign w:val="center"/>
          </w:tcPr>
          <w:p w14:paraId="4D76E264" w14:textId="77777777" w:rsidR="00577D08" w:rsidRDefault="00330FC0">
            <w:pPr>
              <w:jc w:val="right"/>
            </w:pPr>
            <w:r>
              <w:rPr>
                <w:rFonts w:hint="eastAsia"/>
              </w:rPr>
              <w:t>是</w:t>
            </w:r>
          </w:p>
        </w:tc>
        <w:tc>
          <w:tcPr>
            <w:tcW w:w="1541" w:type="dxa"/>
            <w:vAlign w:val="center"/>
          </w:tcPr>
          <w:p w14:paraId="64D7E274" w14:textId="77777777" w:rsidR="00577D08" w:rsidRDefault="00330FC0">
            <w:pPr>
              <w:jc w:val="right"/>
            </w:pPr>
            <w:r>
              <w:rPr>
                <w:rFonts w:hint="eastAsia"/>
              </w:rPr>
              <w:t>不适用</w:t>
            </w:r>
          </w:p>
        </w:tc>
        <w:tc>
          <w:tcPr>
            <w:tcW w:w="1234" w:type="dxa"/>
            <w:vAlign w:val="center"/>
          </w:tcPr>
          <w:p w14:paraId="49176AF6" w14:textId="77777777" w:rsidR="00577D08" w:rsidRDefault="00330FC0">
            <w:pPr>
              <w:jc w:val="right"/>
            </w:pPr>
            <w:r>
              <w:rPr>
                <w:rFonts w:hint="eastAsia"/>
              </w:rPr>
              <w:t>不适用</w:t>
            </w:r>
          </w:p>
        </w:tc>
      </w:tr>
      <w:tr w:rsidR="00577D08" w14:paraId="036C0F98" w14:textId="77777777">
        <w:tc>
          <w:tcPr>
            <w:tcW w:w="2076" w:type="dxa"/>
            <w:vMerge/>
            <w:vAlign w:val="center"/>
          </w:tcPr>
          <w:p w14:paraId="1DEA2F56" w14:textId="77777777" w:rsidR="00577D08" w:rsidRDefault="00577D08">
            <w:pPr>
              <w:jc w:val="both"/>
            </w:pPr>
          </w:p>
        </w:tc>
        <w:tc>
          <w:tcPr>
            <w:tcW w:w="1234" w:type="dxa"/>
            <w:vAlign w:val="center"/>
          </w:tcPr>
          <w:p w14:paraId="3C26BA47" w14:textId="77777777" w:rsidR="00577D08" w:rsidRDefault="00330FC0">
            <w:r>
              <w:rPr>
                <w:rFonts w:hint="eastAsia"/>
              </w:rPr>
              <w:t>其他</w:t>
            </w:r>
          </w:p>
        </w:tc>
        <w:tc>
          <w:tcPr>
            <w:tcW w:w="1270" w:type="dxa"/>
          </w:tcPr>
          <w:p w14:paraId="34C50CF0" w14:textId="77777777" w:rsidR="00577D08" w:rsidRDefault="00330FC0">
            <w:r>
              <w:rPr>
                <w:rFonts w:hint="eastAsia"/>
              </w:rPr>
              <w:t>公司、杨泽民、秦惠兰、杨耀、杨秦、董监高</w:t>
            </w:r>
          </w:p>
        </w:tc>
        <w:tc>
          <w:tcPr>
            <w:tcW w:w="1324" w:type="dxa"/>
          </w:tcPr>
          <w:p w14:paraId="068E102F" w14:textId="77777777" w:rsidR="00577D08" w:rsidRDefault="00330FC0">
            <w:r>
              <w:rPr>
                <w:rFonts w:hint="eastAsia"/>
              </w:rPr>
              <w:t>未履行承诺的约束措施的承诺，详见注</w:t>
            </w:r>
            <w:r>
              <w:rPr>
                <w:rFonts w:hint="eastAsia"/>
              </w:rPr>
              <w:t>8</w:t>
            </w:r>
          </w:p>
        </w:tc>
        <w:tc>
          <w:tcPr>
            <w:tcW w:w="1358" w:type="dxa"/>
            <w:vAlign w:val="center"/>
          </w:tcPr>
          <w:p w14:paraId="130F8902" w14:textId="77777777" w:rsidR="00577D08" w:rsidRDefault="00330FC0">
            <w:pPr>
              <w:jc w:val="right"/>
            </w:pPr>
            <w:r>
              <w:rPr>
                <w:rFonts w:hint="eastAsia"/>
              </w:rPr>
              <w:t>注</w:t>
            </w:r>
            <w:r>
              <w:rPr>
                <w:rFonts w:hint="eastAsia"/>
              </w:rPr>
              <w:t>8</w:t>
            </w:r>
          </w:p>
        </w:tc>
        <w:tc>
          <w:tcPr>
            <w:tcW w:w="1358" w:type="dxa"/>
            <w:vAlign w:val="center"/>
          </w:tcPr>
          <w:p w14:paraId="5607D277" w14:textId="77777777" w:rsidR="00577D08" w:rsidRDefault="00330FC0">
            <w:pPr>
              <w:jc w:val="right"/>
            </w:pPr>
            <w:r>
              <w:rPr>
                <w:rFonts w:hint="eastAsia"/>
              </w:rPr>
              <w:t>否</w:t>
            </w:r>
          </w:p>
        </w:tc>
        <w:tc>
          <w:tcPr>
            <w:tcW w:w="1335" w:type="dxa"/>
            <w:vAlign w:val="center"/>
          </w:tcPr>
          <w:p w14:paraId="0521F6AD" w14:textId="77777777" w:rsidR="00577D08" w:rsidRDefault="00330FC0">
            <w:pPr>
              <w:jc w:val="right"/>
            </w:pPr>
            <w:r>
              <w:rPr>
                <w:rFonts w:hint="eastAsia"/>
              </w:rPr>
              <w:t>注</w:t>
            </w:r>
            <w:r>
              <w:rPr>
                <w:rFonts w:hint="eastAsia"/>
              </w:rPr>
              <w:t>8</w:t>
            </w:r>
          </w:p>
        </w:tc>
        <w:tc>
          <w:tcPr>
            <w:tcW w:w="1335" w:type="dxa"/>
            <w:vAlign w:val="center"/>
          </w:tcPr>
          <w:p w14:paraId="0300FD5A" w14:textId="77777777" w:rsidR="00577D08" w:rsidRDefault="00330FC0">
            <w:pPr>
              <w:jc w:val="right"/>
            </w:pPr>
            <w:r>
              <w:rPr>
                <w:rFonts w:hint="eastAsia"/>
              </w:rPr>
              <w:t>是</w:t>
            </w:r>
          </w:p>
        </w:tc>
        <w:tc>
          <w:tcPr>
            <w:tcW w:w="1541" w:type="dxa"/>
            <w:vAlign w:val="center"/>
          </w:tcPr>
          <w:p w14:paraId="58042981" w14:textId="77777777" w:rsidR="00577D08" w:rsidRDefault="00330FC0">
            <w:pPr>
              <w:jc w:val="right"/>
            </w:pPr>
            <w:r>
              <w:rPr>
                <w:rFonts w:hint="eastAsia"/>
              </w:rPr>
              <w:t>不适用</w:t>
            </w:r>
          </w:p>
        </w:tc>
        <w:tc>
          <w:tcPr>
            <w:tcW w:w="1234" w:type="dxa"/>
            <w:vAlign w:val="center"/>
          </w:tcPr>
          <w:p w14:paraId="32B92277" w14:textId="77777777" w:rsidR="00577D08" w:rsidRDefault="00330FC0">
            <w:pPr>
              <w:jc w:val="right"/>
            </w:pPr>
            <w:r>
              <w:rPr>
                <w:rFonts w:hint="eastAsia"/>
              </w:rPr>
              <w:t>不适用</w:t>
            </w:r>
          </w:p>
        </w:tc>
      </w:tr>
      <w:tr w:rsidR="00577D08" w14:paraId="1469FE77" w14:textId="77777777">
        <w:tc>
          <w:tcPr>
            <w:tcW w:w="2076" w:type="dxa"/>
            <w:vMerge/>
            <w:vAlign w:val="center"/>
          </w:tcPr>
          <w:p w14:paraId="639EDDF5" w14:textId="77777777" w:rsidR="00577D08" w:rsidRDefault="00577D08">
            <w:pPr>
              <w:jc w:val="both"/>
            </w:pPr>
          </w:p>
        </w:tc>
        <w:tc>
          <w:tcPr>
            <w:tcW w:w="1234" w:type="dxa"/>
            <w:vAlign w:val="center"/>
          </w:tcPr>
          <w:p w14:paraId="60B5F27E" w14:textId="77777777" w:rsidR="00577D08" w:rsidRDefault="00330FC0">
            <w:r>
              <w:rPr>
                <w:rFonts w:hint="eastAsia"/>
              </w:rPr>
              <w:t>其他</w:t>
            </w:r>
          </w:p>
        </w:tc>
        <w:tc>
          <w:tcPr>
            <w:tcW w:w="1270" w:type="dxa"/>
          </w:tcPr>
          <w:p w14:paraId="3F24BA98" w14:textId="77777777" w:rsidR="00577D08" w:rsidRDefault="00330FC0">
            <w:r>
              <w:rPr>
                <w:rFonts w:hint="eastAsia"/>
              </w:rPr>
              <w:t>公司、杨泽民、秦惠兰、董事（不含独立董事）、高级管理人员</w:t>
            </w:r>
          </w:p>
        </w:tc>
        <w:tc>
          <w:tcPr>
            <w:tcW w:w="1324" w:type="dxa"/>
          </w:tcPr>
          <w:p w14:paraId="7F17257E" w14:textId="77777777" w:rsidR="00577D08" w:rsidRDefault="00330FC0">
            <w:r>
              <w:rPr>
                <w:rFonts w:hint="eastAsia"/>
              </w:rPr>
              <w:t>稳定股价及相应约束措施的承诺，详见注</w:t>
            </w:r>
            <w:r>
              <w:rPr>
                <w:rFonts w:hint="eastAsia"/>
              </w:rPr>
              <w:t>9</w:t>
            </w:r>
          </w:p>
        </w:tc>
        <w:tc>
          <w:tcPr>
            <w:tcW w:w="1358" w:type="dxa"/>
            <w:vAlign w:val="center"/>
          </w:tcPr>
          <w:p w14:paraId="36064F88" w14:textId="77777777" w:rsidR="00577D08" w:rsidRDefault="00330FC0">
            <w:pPr>
              <w:jc w:val="right"/>
            </w:pPr>
            <w:r>
              <w:rPr>
                <w:rFonts w:hint="eastAsia"/>
              </w:rPr>
              <w:t>注</w:t>
            </w:r>
            <w:r>
              <w:rPr>
                <w:rFonts w:hint="eastAsia"/>
              </w:rPr>
              <w:t>9</w:t>
            </w:r>
          </w:p>
        </w:tc>
        <w:tc>
          <w:tcPr>
            <w:tcW w:w="1358" w:type="dxa"/>
            <w:vAlign w:val="center"/>
          </w:tcPr>
          <w:p w14:paraId="2B25D885" w14:textId="77777777" w:rsidR="00577D08" w:rsidRDefault="00330FC0">
            <w:pPr>
              <w:jc w:val="right"/>
            </w:pPr>
            <w:r>
              <w:rPr>
                <w:rFonts w:hint="eastAsia"/>
              </w:rPr>
              <w:t>是</w:t>
            </w:r>
          </w:p>
        </w:tc>
        <w:tc>
          <w:tcPr>
            <w:tcW w:w="1335" w:type="dxa"/>
            <w:vAlign w:val="center"/>
          </w:tcPr>
          <w:p w14:paraId="65F01E10" w14:textId="77777777" w:rsidR="00577D08" w:rsidRDefault="00330FC0">
            <w:pPr>
              <w:jc w:val="right"/>
            </w:pPr>
            <w:r>
              <w:rPr>
                <w:rFonts w:hint="eastAsia"/>
              </w:rPr>
              <w:t>注</w:t>
            </w:r>
            <w:r>
              <w:rPr>
                <w:rFonts w:hint="eastAsia"/>
              </w:rPr>
              <w:t>9</w:t>
            </w:r>
          </w:p>
        </w:tc>
        <w:tc>
          <w:tcPr>
            <w:tcW w:w="1335" w:type="dxa"/>
            <w:vAlign w:val="center"/>
          </w:tcPr>
          <w:p w14:paraId="47BE2B0C" w14:textId="77777777" w:rsidR="00577D08" w:rsidRDefault="00330FC0">
            <w:pPr>
              <w:jc w:val="right"/>
            </w:pPr>
            <w:r>
              <w:rPr>
                <w:rFonts w:hint="eastAsia"/>
              </w:rPr>
              <w:t>是</w:t>
            </w:r>
          </w:p>
        </w:tc>
        <w:tc>
          <w:tcPr>
            <w:tcW w:w="1541" w:type="dxa"/>
            <w:vAlign w:val="center"/>
          </w:tcPr>
          <w:p w14:paraId="65864007" w14:textId="77777777" w:rsidR="00577D08" w:rsidRDefault="00330FC0">
            <w:pPr>
              <w:jc w:val="right"/>
            </w:pPr>
            <w:r>
              <w:rPr>
                <w:rFonts w:hint="eastAsia"/>
              </w:rPr>
              <w:t>不适用</w:t>
            </w:r>
          </w:p>
        </w:tc>
        <w:tc>
          <w:tcPr>
            <w:tcW w:w="1234" w:type="dxa"/>
            <w:vAlign w:val="center"/>
          </w:tcPr>
          <w:p w14:paraId="6A53301F" w14:textId="77777777" w:rsidR="00577D08" w:rsidRDefault="00330FC0">
            <w:pPr>
              <w:jc w:val="right"/>
            </w:pPr>
            <w:r>
              <w:rPr>
                <w:rFonts w:hint="eastAsia"/>
              </w:rPr>
              <w:t>不适用</w:t>
            </w:r>
          </w:p>
        </w:tc>
      </w:tr>
    </w:tbl>
    <w:p w14:paraId="4153CF9B" w14:textId="77777777" w:rsidR="00577D08" w:rsidRDefault="00577D08">
      <w:pPr>
        <w:sectPr w:rsidR="00577D08">
          <w:pgSz w:w="16838" w:h="11906" w:orient="landscape"/>
          <w:pgMar w:top="1797" w:right="1525" w:bottom="1276" w:left="1440" w:header="855" w:footer="992" w:gutter="0"/>
          <w:cols w:space="425"/>
          <w:docGrid w:linePitch="312"/>
        </w:sectPr>
      </w:pPr>
    </w:p>
    <w:p w14:paraId="475045E0" w14:textId="77777777" w:rsidR="00577D08" w:rsidRDefault="00330FC0">
      <w:pPr>
        <w:spacing w:line="360" w:lineRule="exact"/>
      </w:pPr>
      <w:r>
        <w:rPr>
          <w:rFonts w:hint="eastAsia"/>
        </w:rPr>
        <w:lastRenderedPageBreak/>
        <w:t>注</w:t>
      </w:r>
      <w:r>
        <w:rPr>
          <w:rFonts w:hint="eastAsia"/>
        </w:rPr>
        <w:t>1</w:t>
      </w:r>
      <w:r>
        <w:rPr>
          <w:rFonts w:hint="eastAsia"/>
        </w:rPr>
        <w:t>：关于股份锁定的承诺</w:t>
      </w:r>
    </w:p>
    <w:p w14:paraId="6D9570AC" w14:textId="77777777" w:rsidR="00577D08" w:rsidRDefault="00330FC0">
      <w:pPr>
        <w:spacing w:line="360" w:lineRule="exact"/>
      </w:pPr>
      <w:r>
        <w:rPr>
          <w:rFonts w:hint="eastAsia"/>
        </w:rPr>
        <w:t>1</w:t>
      </w:r>
      <w:r>
        <w:rPr>
          <w:rFonts w:hint="eastAsia"/>
        </w:rPr>
        <w:t>、公司控股股东、实际控制人、董事长、总经理杨泽民，公司股东、董事、公司实际控制人一致行动人杨厚群，公司股东、公司实际控制人一致行动人皮天彬分别承诺：“</w:t>
      </w:r>
      <w:r>
        <w:rPr>
          <w:rFonts w:hint="eastAsia"/>
        </w:rPr>
        <w:t>1</w:t>
      </w:r>
      <w:r>
        <w:rPr>
          <w:rFonts w:hint="eastAsia"/>
        </w:rPr>
        <w:t>、自公司股票上市之日起</w:t>
      </w:r>
      <w:r>
        <w:rPr>
          <w:rFonts w:hint="eastAsia"/>
        </w:rPr>
        <w:t>36</w:t>
      </w:r>
      <w:r>
        <w:rPr>
          <w:rFonts w:hint="eastAsia"/>
        </w:rPr>
        <w:t>个月内，不转让或者委托他人管理本人直接和间接持有的公司公开发行股票前已发行的股份，也不提议由公司回购本人直接或间接持有的公司公开发行股票前已发行的股份。</w:t>
      </w:r>
      <w:r>
        <w:rPr>
          <w:rFonts w:hint="eastAsia"/>
        </w:rPr>
        <w:t>2</w:t>
      </w:r>
      <w:r>
        <w:rPr>
          <w:rFonts w:hint="eastAsia"/>
        </w:rPr>
        <w:t>、本人所持公司上述股份在锁定期满后两年内减持的，减持价格不低于发行价。公司上市后</w:t>
      </w:r>
      <w:r>
        <w:rPr>
          <w:rFonts w:hint="eastAsia"/>
        </w:rPr>
        <w:t>6</w:t>
      </w:r>
      <w:r>
        <w:rPr>
          <w:rFonts w:hint="eastAsia"/>
        </w:rPr>
        <w:t>个月内如公司股票连续</w:t>
      </w:r>
      <w:r>
        <w:rPr>
          <w:rFonts w:hint="eastAsia"/>
        </w:rPr>
        <w:t>20</w:t>
      </w:r>
      <w:r>
        <w:rPr>
          <w:rFonts w:hint="eastAsia"/>
        </w:rPr>
        <w:t>个交易日的收盘价均低于发行价，或者上市后</w:t>
      </w:r>
      <w:r>
        <w:rPr>
          <w:rFonts w:hint="eastAsia"/>
        </w:rPr>
        <w:t>6</w:t>
      </w:r>
      <w:r>
        <w:rPr>
          <w:rFonts w:hint="eastAsia"/>
        </w:rPr>
        <w:t>个月期末（如该日不是交易日，则为该日后第一个交易日）收盘价低于发行价，本人所持上述股份的锁定期限自动延长</w:t>
      </w:r>
      <w:r>
        <w:rPr>
          <w:rFonts w:hint="eastAsia"/>
        </w:rPr>
        <w:t>6</w:t>
      </w:r>
      <w:r>
        <w:rPr>
          <w:rFonts w:hint="eastAsia"/>
        </w:rPr>
        <w:t>个月。在延长锁定期内，本人不转让或者委托他人管理本人直接或者间接持有的公司首次公开发行股票前已发行的股份，也不提议由公司回购该等股份。上述发行价指公司首次公开发行股票的发行价格，如果因派发现金红利、送股、转增股本、增发新股等原因进行除权、除息的，则按照相关规定作除权、除息处理。</w:t>
      </w:r>
      <w:r>
        <w:rPr>
          <w:rFonts w:hint="eastAsia"/>
        </w:rPr>
        <w:t>3</w:t>
      </w:r>
      <w:r>
        <w:rPr>
          <w:rFonts w:hint="eastAsia"/>
        </w:rPr>
        <w:t>、在上述锁定期满后，在本人担任公司董事或高级管理人员期间，本人将向公司申报所持有的公司股份及其变动情况，在任职期间每年转让的公司股份不超过本人持有的公司股份总数的</w:t>
      </w:r>
      <w:r>
        <w:rPr>
          <w:rFonts w:hint="eastAsia"/>
        </w:rPr>
        <w:t>25%</w:t>
      </w:r>
      <w:r>
        <w:rPr>
          <w:rFonts w:hint="eastAsia"/>
        </w:rPr>
        <w:t>；在任期届满前离职的，在本人就任时确定的任期内和任期届满后</w:t>
      </w:r>
      <w:r>
        <w:rPr>
          <w:rFonts w:hint="eastAsia"/>
        </w:rPr>
        <w:t>6</w:t>
      </w:r>
      <w:r>
        <w:rPr>
          <w:rFonts w:hint="eastAsia"/>
        </w:rPr>
        <w:t>个月内，遵守下列限制性规定：（</w:t>
      </w:r>
      <w:r>
        <w:rPr>
          <w:rFonts w:hint="eastAsia"/>
        </w:rPr>
        <w:t>1</w:t>
      </w:r>
      <w:r>
        <w:rPr>
          <w:rFonts w:hint="eastAsia"/>
        </w:rPr>
        <w:t>）每年转让的公司股份不超过本人持有的公司股份总数的</w:t>
      </w:r>
      <w:r>
        <w:rPr>
          <w:rFonts w:hint="eastAsia"/>
        </w:rPr>
        <w:t>25%</w:t>
      </w:r>
      <w:r>
        <w:rPr>
          <w:rFonts w:hint="eastAsia"/>
        </w:rPr>
        <w:t>；（</w:t>
      </w:r>
      <w:r>
        <w:rPr>
          <w:rFonts w:hint="eastAsia"/>
        </w:rPr>
        <w:t>2</w:t>
      </w:r>
      <w:r>
        <w:rPr>
          <w:rFonts w:hint="eastAsia"/>
        </w:rPr>
        <w:t>）自本人离职之日起</w:t>
      </w:r>
      <w:r>
        <w:rPr>
          <w:rFonts w:hint="eastAsia"/>
        </w:rPr>
        <w:t>6</w:t>
      </w:r>
      <w:r>
        <w:rPr>
          <w:rFonts w:hint="eastAsia"/>
        </w:rPr>
        <w:t>个月内，不转让本人持有的公司股份。</w:t>
      </w:r>
      <w:r>
        <w:rPr>
          <w:rFonts w:hint="eastAsia"/>
        </w:rPr>
        <w:t>4</w:t>
      </w:r>
      <w:r>
        <w:rPr>
          <w:rFonts w:hint="eastAsia"/>
        </w:rPr>
        <w:t>、本人不会因职务变更、离职等原因而拒绝履行上述承诺。</w:t>
      </w:r>
      <w:r>
        <w:rPr>
          <w:rFonts w:hint="eastAsia"/>
        </w:rPr>
        <w:t>5</w:t>
      </w:r>
      <w:r>
        <w:rPr>
          <w:rFonts w:hint="eastAsia"/>
        </w:rPr>
        <w:t>、法律、行政法规、中国证监会行政规章、证券交易所业务规则及其他规范性文件对本人转让公司股份存在其他限制的，本人承诺同意一并遵守。在本人持股期间，若股份锁定和减持的法律、法规、规范性文件、政策及证券监管机构的要求发生变化，则本人愿意自动适用变更后的法律、法规、规范性文件、政策及证券监管机构的要求。”</w:t>
      </w:r>
    </w:p>
    <w:p w14:paraId="19106F92" w14:textId="77777777" w:rsidR="00577D08" w:rsidRDefault="00577D08">
      <w:pPr>
        <w:spacing w:line="360" w:lineRule="exact"/>
      </w:pPr>
    </w:p>
    <w:p w14:paraId="2694FBE6" w14:textId="77777777" w:rsidR="00577D08" w:rsidRDefault="00330FC0">
      <w:pPr>
        <w:spacing w:line="360" w:lineRule="exact"/>
      </w:pPr>
      <w:r>
        <w:rPr>
          <w:rFonts w:hint="eastAsia"/>
        </w:rPr>
        <w:t>2</w:t>
      </w:r>
      <w:r>
        <w:rPr>
          <w:rFonts w:hint="eastAsia"/>
        </w:rPr>
        <w:t>、公司控股股东、实际控制人秦惠兰，公司持股</w:t>
      </w:r>
      <w:r>
        <w:rPr>
          <w:rFonts w:hint="eastAsia"/>
        </w:rPr>
        <w:t>5%</w:t>
      </w:r>
      <w:r>
        <w:rPr>
          <w:rFonts w:hint="eastAsia"/>
        </w:rPr>
        <w:t>以上股东、实际控制人杨耀、杨秦，公司实际控制人一致行动人秦勇、杨小林、隆志钢分别承诺：“</w:t>
      </w:r>
      <w:r>
        <w:rPr>
          <w:rFonts w:hint="eastAsia"/>
        </w:rPr>
        <w:t>1</w:t>
      </w:r>
      <w:r>
        <w:rPr>
          <w:rFonts w:hint="eastAsia"/>
        </w:rPr>
        <w:t>、自公司股票上市之日起</w:t>
      </w:r>
      <w:r>
        <w:rPr>
          <w:rFonts w:hint="eastAsia"/>
        </w:rPr>
        <w:t>36</w:t>
      </w:r>
      <w:r>
        <w:rPr>
          <w:rFonts w:hint="eastAsia"/>
        </w:rPr>
        <w:t>个月内，不转让或者委托他人管理本人直接和间接持有的公司公开发行股票前已发行的股份，也不提议由公司回购本人直接或间接持有的公司公开发行股票前已发行的股份。</w:t>
      </w:r>
      <w:r>
        <w:rPr>
          <w:rFonts w:hint="eastAsia"/>
        </w:rPr>
        <w:t>2</w:t>
      </w:r>
      <w:r>
        <w:rPr>
          <w:rFonts w:hint="eastAsia"/>
        </w:rPr>
        <w:t>、本人所持公司上述股份在锁定期满后两年内减持的，减持价格不低于发行价。公司上市后</w:t>
      </w:r>
      <w:r>
        <w:rPr>
          <w:rFonts w:hint="eastAsia"/>
        </w:rPr>
        <w:t>6</w:t>
      </w:r>
      <w:r>
        <w:rPr>
          <w:rFonts w:hint="eastAsia"/>
        </w:rPr>
        <w:t>个月内如公司股票连续</w:t>
      </w:r>
      <w:r>
        <w:rPr>
          <w:rFonts w:hint="eastAsia"/>
        </w:rPr>
        <w:t>20</w:t>
      </w:r>
      <w:r>
        <w:rPr>
          <w:rFonts w:hint="eastAsia"/>
        </w:rPr>
        <w:t>个交易日的收盘价均低于发行价，或者上市后</w:t>
      </w:r>
      <w:r>
        <w:rPr>
          <w:rFonts w:hint="eastAsia"/>
        </w:rPr>
        <w:t>6</w:t>
      </w:r>
      <w:r>
        <w:rPr>
          <w:rFonts w:hint="eastAsia"/>
        </w:rPr>
        <w:t>个月期末（如该日不是交易日，则为该日后第一个交易日）收盘价低于发行价，本人所持上述股份的锁定期限自动延长</w:t>
      </w:r>
      <w:r>
        <w:rPr>
          <w:rFonts w:hint="eastAsia"/>
        </w:rPr>
        <w:t>6</w:t>
      </w:r>
      <w:r>
        <w:rPr>
          <w:rFonts w:hint="eastAsia"/>
        </w:rPr>
        <w:t>个月。在延长锁定期内，本人不转让或者委托他人管理本人直接或者间接持有的公司首次公开发行股票前已发行的股份，也不提议由公司回购该等股份。上述发行价指公司首次公开发行股票的发行价格，如果因派发现金红利、送股、转增股本、增发新股等原因进行除权、除息的，则按照相关规定作除权、除息处理。</w:t>
      </w:r>
      <w:r>
        <w:rPr>
          <w:rFonts w:hint="eastAsia"/>
        </w:rPr>
        <w:t>3</w:t>
      </w:r>
      <w:r>
        <w:rPr>
          <w:rFonts w:hint="eastAsia"/>
        </w:rPr>
        <w:t>、法律、行政法规、中国证监会行政规章、证券交易所业务规则及其他规范性文件对本人转让公司股份存在其他限制的，本人承诺同意一并遵守。在本人持股期间，若股份锁定和减持的法律、法规、规范性文件、政策及证券监管机构的要求发生变化，则本人愿意自动适用变更后的法律、法规、规范性文件、政策及证券监管机构的要求。”</w:t>
      </w:r>
    </w:p>
    <w:p w14:paraId="3C906173" w14:textId="77777777" w:rsidR="00577D08" w:rsidRDefault="00577D08">
      <w:pPr>
        <w:spacing w:line="360" w:lineRule="exact"/>
      </w:pPr>
    </w:p>
    <w:p w14:paraId="09F749C7" w14:textId="77777777" w:rsidR="00577D08" w:rsidRDefault="00330FC0">
      <w:pPr>
        <w:spacing w:line="360" w:lineRule="exact"/>
      </w:pPr>
      <w:r>
        <w:rPr>
          <w:rFonts w:hint="eastAsia"/>
        </w:rPr>
        <w:lastRenderedPageBreak/>
        <w:t>3</w:t>
      </w:r>
      <w:r>
        <w:rPr>
          <w:rFonts w:hint="eastAsia"/>
        </w:rPr>
        <w:t>、公司持股董事、高级管理人员分别承诺：“</w:t>
      </w:r>
      <w:r>
        <w:rPr>
          <w:rFonts w:hint="eastAsia"/>
        </w:rPr>
        <w:t>1</w:t>
      </w:r>
      <w:r>
        <w:rPr>
          <w:rFonts w:hint="eastAsia"/>
        </w:rPr>
        <w:t>、自公司股票上市之日起</w:t>
      </w:r>
      <w:r>
        <w:rPr>
          <w:rFonts w:hint="eastAsia"/>
        </w:rPr>
        <w:t>12</w:t>
      </w:r>
      <w:r>
        <w:rPr>
          <w:rFonts w:hint="eastAsia"/>
        </w:rPr>
        <w:t>个月内，不转让或者委托他人管理本人持有的公司公开发行股票前已发行的股份，也不提议由公司回购本人持有的公司公开发行股票前已发行的股份。</w:t>
      </w:r>
      <w:r>
        <w:rPr>
          <w:rFonts w:hint="eastAsia"/>
        </w:rPr>
        <w:t>2</w:t>
      </w:r>
      <w:r>
        <w:rPr>
          <w:rFonts w:hint="eastAsia"/>
        </w:rPr>
        <w:t>、本人所持公司上述股份在锁定期满后两年内减持的，减持价格不低于发行价。公司上市后</w:t>
      </w:r>
      <w:r>
        <w:rPr>
          <w:rFonts w:hint="eastAsia"/>
        </w:rPr>
        <w:t>6</w:t>
      </w:r>
      <w:r>
        <w:rPr>
          <w:rFonts w:hint="eastAsia"/>
        </w:rPr>
        <w:t>个月内如公司股票连续</w:t>
      </w:r>
      <w:r>
        <w:rPr>
          <w:rFonts w:hint="eastAsia"/>
        </w:rPr>
        <w:t>20</w:t>
      </w:r>
      <w:r>
        <w:rPr>
          <w:rFonts w:hint="eastAsia"/>
        </w:rPr>
        <w:t>个交易日的收盘价均低于发行价，或者上市后</w:t>
      </w:r>
      <w:r>
        <w:rPr>
          <w:rFonts w:hint="eastAsia"/>
        </w:rPr>
        <w:t>6</w:t>
      </w:r>
      <w:r>
        <w:rPr>
          <w:rFonts w:hint="eastAsia"/>
        </w:rPr>
        <w:t>个月期末（如该日不是交易日，则为该日后第一个交易日）收盘价低于发行价，本人所持上述股份的锁定期限自动延长</w:t>
      </w:r>
      <w:r>
        <w:rPr>
          <w:rFonts w:hint="eastAsia"/>
        </w:rPr>
        <w:t>6</w:t>
      </w:r>
      <w:r>
        <w:rPr>
          <w:rFonts w:hint="eastAsia"/>
        </w:rPr>
        <w:t>个月。在延长锁定期内，本人不转让或者委托他人管理本人持有的公司首次公开发行股票前已发行的股份，也不提议由公司回购该等股份。上述发行价指公司首次公开发行股票的发行价格，如果因派发现金红利、送股、转增股本、增发新股等原因进行除权、除息的，则按照相关规定作除权、除息处理。</w:t>
      </w:r>
      <w:r>
        <w:rPr>
          <w:rFonts w:hint="eastAsia"/>
        </w:rPr>
        <w:t>3</w:t>
      </w:r>
      <w:r>
        <w:rPr>
          <w:rFonts w:hint="eastAsia"/>
        </w:rPr>
        <w:t>、在上述锁定期满后，在本人担任公司董事或高级管理人员期间，本人将向公司申报所持有的公司股份及其变动情况，在任职期间每年转让的公司股份不超过本人持有的公司股份总数的</w:t>
      </w:r>
      <w:r>
        <w:rPr>
          <w:rFonts w:hint="eastAsia"/>
        </w:rPr>
        <w:t>25%</w:t>
      </w:r>
      <w:r>
        <w:rPr>
          <w:rFonts w:hint="eastAsia"/>
        </w:rPr>
        <w:t>；在任期届满前离职的，在本人就任时确定的任期内和任期届满后</w:t>
      </w:r>
      <w:r>
        <w:rPr>
          <w:rFonts w:hint="eastAsia"/>
        </w:rPr>
        <w:t>6</w:t>
      </w:r>
      <w:r>
        <w:rPr>
          <w:rFonts w:hint="eastAsia"/>
        </w:rPr>
        <w:t>个月内，遵守下列限制性规定：（</w:t>
      </w:r>
      <w:r>
        <w:rPr>
          <w:rFonts w:hint="eastAsia"/>
        </w:rPr>
        <w:t>1</w:t>
      </w:r>
      <w:r>
        <w:rPr>
          <w:rFonts w:hint="eastAsia"/>
        </w:rPr>
        <w:t>）每年转让的公司股份不超过本人持有的公司股份总数的</w:t>
      </w:r>
      <w:r>
        <w:rPr>
          <w:rFonts w:hint="eastAsia"/>
        </w:rPr>
        <w:t>25%</w:t>
      </w:r>
      <w:r>
        <w:rPr>
          <w:rFonts w:hint="eastAsia"/>
        </w:rPr>
        <w:t>；（</w:t>
      </w:r>
      <w:r>
        <w:rPr>
          <w:rFonts w:hint="eastAsia"/>
        </w:rPr>
        <w:t>2</w:t>
      </w:r>
      <w:r>
        <w:rPr>
          <w:rFonts w:hint="eastAsia"/>
        </w:rPr>
        <w:t>）自本人离职之日起</w:t>
      </w:r>
      <w:r>
        <w:rPr>
          <w:rFonts w:hint="eastAsia"/>
        </w:rPr>
        <w:t>6</w:t>
      </w:r>
      <w:r>
        <w:rPr>
          <w:rFonts w:hint="eastAsia"/>
        </w:rPr>
        <w:t>个月内，不转让本人持有的公司股份。</w:t>
      </w:r>
      <w:r>
        <w:rPr>
          <w:rFonts w:hint="eastAsia"/>
        </w:rPr>
        <w:t>4</w:t>
      </w:r>
      <w:r>
        <w:rPr>
          <w:rFonts w:hint="eastAsia"/>
        </w:rPr>
        <w:t>、本人不会因职务变更、离职等原因而拒绝履行上述承诺。</w:t>
      </w:r>
      <w:r>
        <w:rPr>
          <w:rFonts w:hint="eastAsia"/>
        </w:rPr>
        <w:t>5</w:t>
      </w:r>
      <w:r>
        <w:rPr>
          <w:rFonts w:hint="eastAsia"/>
        </w:rPr>
        <w:t>、法律、行政法规、中国证监会行政规章、证券交易所业务规则及其他规范性文件对本人转让公司股份存在其他限制的，本人承诺同意一并遵守。在本人持股期间，若股份锁定和减持的法律、法规、规范性文件、政策及证券监管机构的要求发生变化，则本人愿意自动适用变更后的法律、法规、规范性文件、政策及证券监管机构的要求。”</w:t>
      </w:r>
    </w:p>
    <w:p w14:paraId="6ED61854" w14:textId="77777777" w:rsidR="00577D08" w:rsidRDefault="00577D08">
      <w:pPr>
        <w:spacing w:line="360" w:lineRule="exact"/>
      </w:pPr>
    </w:p>
    <w:p w14:paraId="267041D5" w14:textId="77777777" w:rsidR="00577D08" w:rsidRDefault="00330FC0">
      <w:pPr>
        <w:spacing w:line="360" w:lineRule="exact"/>
      </w:pPr>
      <w:r>
        <w:rPr>
          <w:rFonts w:hint="eastAsia"/>
        </w:rPr>
        <w:t>4</w:t>
      </w:r>
      <w:r>
        <w:rPr>
          <w:rFonts w:hint="eastAsia"/>
        </w:rPr>
        <w:t>、重庆长寿经济技术开发区开发投资集团有限公司承诺：“</w:t>
      </w:r>
      <w:r>
        <w:rPr>
          <w:rFonts w:hint="eastAsia"/>
        </w:rPr>
        <w:t>1</w:t>
      </w:r>
      <w:r>
        <w:rPr>
          <w:rFonts w:hint="eastAsia"/>
        </w:rPr>
        <w:t>、自公司股票上市之日起</w:t>
      </w:r>
      <w:r>
        <w:rPr>
          <w:rFonts w:hint="eastAsia"/>
        </w:rPr>
        <w:t>12</w:t>
      </w:r>
      <w:r>
        <w:rPr>
          <w:rFonts w:hint="eastAsia"/>
        </w:rPr>
        <w:t>个月内且本公司取得公司股份之日起</w:t>
      </w:r>
      <w:r>
        <w:rPr>
          <w:rFonts w:hint="eastAsia"/>
        </w:rPr>
        <w:t>36</w:t>
      </w:r>
      <w:r>
        <w:rPr>
          <w:rFonts w:hint="eastAsia"/>
        </w:rPr>
        <w:t>个月内，不转让或者委托他人管理本公司直接和间接持有的公司公开发行股票前已发行的股份，也不提议由公司回购本公司直接或间接持有的公司公开发行股票前已发行的股份。</w:t>
      </w:r>
      <w:r>
        <w:rPr>
          <w:rFonts w:hint="eastAsia"/>
        </w:rPr>
        <w:t>2</w:t>
      </w:r>
      <w:r>
        <w:rPr>
          <w:rFonts w:hint="eastAsia"/>
        </w:rPr>
        <w:t>、法律、行政法规、中国证监会行政规章、证券交易所业务规则及其他规范性文件对本公司转让公司股份存在其他限制的，本公司承诺同意一并遵守。在本公司持股期间，若股份锁定和减持的法律、法规、规范性文件、政策及证券监管机构的要求发生变化，则本公司愿意自动适用变更后的法律、法规、规范性文件、政策及证券监管机构的要求。”</w:t>
      </w:r>
    </w:p>
    <w:p w14:paraId="3B9A50D6" w14:textId="77777777" w:rsidR="00577D08" w:rsidRDefault="00577D08">
      <w:pPr>
        <w:spacing w:line="360" w:lineRule="exact"/>
      </w:pPr>
    </w:p>
    <w:p w14:paraId="2A1BEE05" w14:textId="77777777" w:rsidR="00577D08" w:rsidRDefault="00330FC0">
      <w:pPr>
        <w:spacing w:line="360" w:lineRule="exact"/>
      </w:pPr>
      <w:r>
        <w:rPr>
          <w:rFonts w:hint="eastAsia"/>
        </w:rPr>
        <w:t>5</w:t>
      </w:r>
      <w:r>
        <w:rPr>
          <w:rFonts w:hint="eastAsia"/>
        </w:rPr>
        <w:t>、除上述已出具承诺函的股东需按照承诺情况履行股份锁定义务外，杨泽民、秦惠兰、杨耀及杨秦自愿承诺：“基于对公司未来发展的信心，同时为增强广大投资者信心，切实维护投资者权益和资本市场的稳定，杨泽民先生、秦惠兰女士、杨秦女士、杨耀先生自愿承诺自</w:t>
      </w:r>
      <w:r>
        <w:rPr>
          <w:rFonts w:hint="eastAsia"/>
        </w:rPr>
        <w:t>2025</w:t>
      </w:r>
      <w:r>
        <w:rPr>
          <w:rFonts w:hint="eastAsia"/>
        </w:rPr>
        <w:t>年</w:t>
      </w:r>
      <w:r>
        <w:rPr>
          <w:rFonts w:hint="eastAsia"/>
        </w:rPr>
        <w:t>4</w:t>
      </w:r>
      <w:r>
        <w:rPr>
          <w:rFonts w:hint="eastAsia"/>
        </w:rPr>
        <w:t>月</w:t>
      </w:r>
      <w:r>
        <w:rPr>
          <w:rFonts w:hint="eastAsia"/>
        </w:rPr>
        <w:t>28</w:t>
      </w:r>
      <w:r>
        <w:rPr>
          <w:rFonts w:hint="eastAsia"/>
        </w:rPr>
        <w:t>日起</w:t>
      </w:r>
      <w:r>
        <w:rPr>
          <w:rFonts w:hint="eastAsia"/>
        </w:rPr>
        <w:t>12</w:t>
      </w:r>
      <w:r>
        <w:rPr>
          <w:rFonts w:hint="eastAsia"/>
        </w:rPr>
        <w:t>个月内不通过二级市场集中竞价、大宗交易的方式减持所持有的公司股份。在上述承诺期间内，如发生资本公积转增股本、派送股票红利、配股等产生新增股份，亦遵守该不减持承诺。”</w:t>
      </w:r>
    </w:p>
    <w:p w14:paraId="0C870C36" w14:textId="77777777" w:rsidR="00577D08" w:rsidRDefault="00577D08">
      <w:pPr>
        <w:spacing w:line="360" w:lineRule="exact"/>
      </w:pPr>
    </w:p>
    <w:p w14:paraId="33EC37A7" w14:textId="77777777" w:rsidR="00577D08" w:rsidRDefault="00330FC0">
      <w:pPr>
        <w:spacing w:line="360" w:lineRule="exact"/>
      </w:pPr>
      <w:r>
        <w:rPr>
          <w:rFonts w:hint="eastAsia"/>
        </w:rPr>
        <w:t>注</w:t>
      </w:r>
      <w:r>
        <w:rPr>
          <w:rFonts w:hint="eastAsia"/>
        </w:rPr>
        <w:t>2</w:t>
      </w:r>
      <w:r>
        <w:rPr>
          <w:rFonts w:hint="eastAsia"/>
        </w:rPr>
        <w:t>：关于持股</w:t>
      </w:r>
      <w:r>
        <w:rPr>
          <w:rFonts w:hint="eastAsia"/>
        </w:rPr>
        <w:t>5%</w:t>
      </w:r>
      <w:r>
        <w:rPr>
          <w:rFonts w:hint="eastAsia"/>
        </w:rPr>
        <w:t>以上股东的减持意向承诺</w:t>
      </w:r>
    </w:p>
    <w:p w14:paraId="081FD8D0" w14:textId="77777777" w:rsidR="00577D08" w:rsidRDefault="00330FC0">
      <w:pPr>
        <w:spacing w:line="360" w:lineRule="exact"/>
      </w:pPr>
      <w:r>
        <w:rPr>
          <w:rFonts w:hint="eastAsia"/>
        </w:rPr>
        <w:t>1</w:t>
      </w:r>
      <w:r>
        <w:rPr>
          <w:rFonts w:hint="eastAsia"/>
        </w:rPr>
        <w:t>、公司控股股东、实际控制人杨泽民、秦惠兰，公司持股</w:t>
      </w:r>
      <w:r>
        <w:rPr>
          <w:rFonts w:hint="eastAsia"/>
        </w:rPr>
        <w:t>5%</w:t>
      </w:r>
      <w:r>
        <w:rPr>
          <w:rFonts w:hint="eastAsia"/>
        </w:rPr>
        <w:t>以上股东、实际控制人杨耀、杨秦，公司实际控制人一致行动人杨厚群、秦勇、杨小林、皮天彬、隆志钢分别承诺：“</w:t>
      </w:r>
      <w:r>
        <w:rPr>
          <w:rFonts w:hint="eastAsia"/>
        </w:rPr>
        <w:t>1</w:t>
      </w:r>
      <w:r>
        <w:rPr>
          <w:rFonts w:hint="eastAsia"/>
        </w:rPr>
        <w:t>、本人持续看好公司业务前景，拟长期持有公司股票。</w:t>
      </w:r>
      <w:r>
        <w:rPr>
          <w:rFonts w:hint="eastAsia"/>
        </w:rPr>
        <w:t>2</w:t>
      </w:r>
      <w:r>
        <w:rPr>
          <w:rFonts w:hint="eastAsia"/>
        </w:rPr>
        <w:t>、减持前提：如果在锁定期满后拟减持股票</w:t>
      </w:r>
      <w:r>
        <w:rPr>
          <w:rFonts w:hint="eastAsia"/>
        </w:rPr>
        <w:lastRenderedPageBreak/>
        <w:t>的，将认真遵守中国证监会、证券交易所关于股东减持的相关规定，结合公司稳定股价、开展经营、资本运作的需要，审慎制定股票减持计划，在股票锁定期满后逐步减持，且不违反在公司首次公开发行时所作出的公开承诺。</w:t>
      </w:r>
      <w:r>
        <w:rPr>
          <w:rFonts w:hint="eastAsia"/>
        </w:rPr>
        <w:t>3</w:t>
      </w:r>
      <w:r>
        <w:rPr>
          <w:rFonts w:hint="eastAsia"/>
        </w:rPr>
        <w:t>、减持方式：本人减持所持有的公司股份的方式应符合届时适用的相关法律、法规、规章及规范性文件的规定，包括但不限于二级市场集中竞价交易、大宗交易、协议转让等。</w:t>
      </w:r>
      <w:r>
        <w:rPr>
          <w:rFonts w:hint="eastAsia"/>
        </w:rPr>
        <w:t>4</w:t>
      </w:r>
      <w:r>
        <w:rPr>
          <w:rFonts w:hint="eastAsia"/>
        </w:rPr>
        <w:t>、减持价格：本人所持股票在锁定期满后两年内减持的，减持价格不低于公司首次公开发行股票时的发行价，若公司自股票上市至本人减持前有派息、送股、资本公积金转增股本、增发、配股等除权、除息事项，减持价格下限和股份数将相应进行调整。若本人所持股票在锁定期满后两年内减持价格低于发行价的，则减持价格与发行价之间的差额由公司在现金分红时从本人应获得分配的当年及以后年度的现金分红中予以先行扣除，且扣除的现金分红归公司所有。</w:t>
      </w:r>
      <w:r>
        <w:rPr>
          <w:rFonts w:hint="eastAsia"/>
        </w:rPr>
        <w:t>5</w:t>
      </w:r>
      <w:r>
        <w:rPr>
          <w:rFonts w:hint="eastAsia"/>
        </w:rPr>
        <w:t>、减持公告：本人通过集中竞价交易方式减持的，应在首次卖出股份的</w:t>
      </w:r>
      <w:r>
        <w:rPr>
          <w:rFonts w:hint="eastAsia"/>
        </w:rPr>
        <w:t>15</w:t>
      </w:r>
      <w:r>
        <w:rPr>
          <w:rFonts w:hint="eastAsia"/>
        </w:rPr>
        <w:t>个交易日前向证券交易所报告备案减持计划，并予以公告。但届时本人持有公司股份比例低于</w:t>
      </w:r>
      <w:r>
        <w:rPr>
          <w:rFonts w:hint="eastAsia"/>
        </w:rPr>
        <w:t>5%</w:t>
      </w:r>
      <w:r>
        <w:rPr>
          <w:rFonts w:hint="eastAsia"/>
        </w:rPr>
        <w:t>时除外。本人通过其他方式减持公司股票，将提前</w:t>
      </w:r>
      <w:r>
        <w:rPr>
          <w:rFonts w:hint="eastAsia"/>
        </w:rPr>
        <w:t>3</w:t>
      </w:r>
      <w:r>
        <w:rPr>
          <w:rFonts w:hint="eastAsia"/>
        </w:rPr>
        <w:t>个交易日，并按照证券监管机构、证券交易所届时适用的规则及时、准确地履行信息披露义务。</w:t>
      </w:r>
      <w:r>
        <w:rPr>
          <w:rFonts w:hint="eastAsia"/>
        </w:rPr>
        <w:t>6</w:t>
      </w:r>
      <w:r>
        <w:rPr>
          <w:rFonts w:hint="eastAsia"/>
        </w:rPr>
        <w:t>、除上述限制外，本次发行上市后本人所持有公司股份的持股变动及申报工作将严格遵守《中华人民共和国公司法》《上海证券交易所股票上市规则》《上海证券交易所上市公司股东及董事、监事、高级管理人员减持股份实施细则》及其他法律、行政法规及规范性文件的相关规定。</w:t>
      </w:r>
      <w:r>
        <w:rPr>
          <w:rFonts w:hint="eastAsia"/>
        </w:rPr>
        <w:t>7</w:t>
      </w:r>
      <w:r>
        <w:rPr>
          <w:rFonts w:hint="eastAsia"/>
        </w:rPr>
        <w:t>、本人如未履行上述减持意向的承诺事项，将在公司股东大会及中国证监会指定的披露媒体上公开说明未履行承诺的具体原因并向公司的其他股东和社会公众投资者道歉；因违反上述承诺减持股票获得的收益归公司所有。”</w:t>
      </w:r>
    </w:p>
    <w:p w14:paraId="48CD608E" w14:textId="77777777" w:rsidR="00577D08" w:rsidRDefault="00577D08">
      <w:pPr>
        <w:spacing w:line="360" w:lineRule="exact"/>
      </w:pPr>
    </w:p>
    <w:p w14:paraId="09FDFBE2" w14:textId="77777777" w:rsidR="00577D08" w:rsidRDefault="00330FC0">
      <w:pPr>
        <w:spacing w:line="360" w:lineRule="exact"/>
      </w:pPr>
      <w:r>
        <w:rPr>
          <w:rFonts w:hint="eastAsia"/>
        </w:rPr>
        <w:t>注</w:t>
      </w:r>
      <w:r>
        <w:rPr>
          <w:rFonts w:hint="eastAsia"/>
        </w:rPr>
        <w:t>3</w:t>
      </w:r>
      <w:r>
        <w:rPr>
          <w:rFonts w:hint="eastAsia"/>
        </w:rPr>
        <w:t>：关于摊薄即期回报采取填补措施的承诺</w:t>
      </w:r>
    </w:p>
    <w:p w14:paraId="6FB4CDD6" w14:textId="77777777" w:rsidR="00577D08" w:rsidRDefault="00330FC0">
      <w:pPr>
        <w:spacing w:line="360" w:lineRule="exact"/>
      </w:pPr>
      <w:r>
        <w:rPr>
          <w:rFonts w:hint="eastAsia"/>
        </w:rPr>
        <w:t>1</w:t>
      </w:r>
      <w:r>
        <w:rPr>
          <w:rFonts w:hint="eastAsia"/>
        </w:rPr>
        <w:t>、公司承诺：“</w:t>
      </w:r>
      <w:r>
        <w:rPr>
          <w:rFonts w:hint="eastAsia"/>
        </w:rPr>
        <w:t>1</w:t>
      </w:r>
      <w:r>
        <w:rPr>
          <w:rFonts w:hint="eastAsia"/>
        </w:rPr>
        <w:t>、迅速提升公司整体实力，扩大公司业务规模</w:t>
      </w:r>
    </w:p>
    <w:p w14:paraId="0649888D" w14:textId="77777777" w:rsidR="00577D08" w:rsidRDefault="00330FC0">
      <w:pPr>
        <w:spacing w:line="360" w:lineRule="exact"/>
      </w:pPr>
      <w:r>
        <w:rPr>
          <w:rFonts w:hint="eastAsia"/>
        </w:rPr>
        <w:t>公司首次公开发行股票并上市完成后，公司的总资产将大幅度增加，抗风险能力和综合实力明显增强，市场价值明显提升。公司将借助资本市场和良好的发展机遇，不断拓展公司主营业务规模，充分发挥公司在客户忠诚度领域的优势地位，推动公司持续、健康、稳定的发展。</w:t>
      </w:r>
    </w:p>
    <w:p w14:paraId="4E083BCC" w14:textId="77777777" w:rsidR="00577D08" w:rsidRDefault="00330FC0">
      <w:pPr>
        <w:spacing w:line="360" w:lineRule="exact"/>
      </w:pPr>
      <w:r>
        <w:rPr>
          <w:rFonts w:hint="eastAsia"/>
        </w:rPr>
        <w:t>2</w:t>
      </w:r>
      <w:r>
        <w:rPr>
          <w:rFonts w:hint="eastAsia"/>
        </w:rPr>
        <w:t>、全面提升公司管理水平，提高资金使用效率</w:t>
      </w:r>
    </w:p>
    <w:p w14:paraId="2CEAF241" w14:textId="77777777" w:rsidR="00577D08" w:rsidRDefault="00330FC0">
      <w:pPr>
        <w:spacing w:line="360" w:lineRule="exact"/>
      </w:pPr>
      <w:r>
        <w:rPr>
          <w:rFonts w:hint="eastAsia"/>
        </w:rPr>
        <w:t>公司将采取措施努力提高运营效率，加强预算管理，控制公司的各项费用支出，提升资金使用效率，全面有效地控制公司经营和管理风险，提升公司的经营效率和盈利能力。此外，公司将积极完善薪酬和激励机制，引进市场优秀人才，最大限度地激发员工工作的积极性，充分提升员工创新意识，发挥员工的创造力。通过以上措施，公司将全面提升公司的运营效率，降低成本，进一步提升公司的经营业绩。</w:t>
      </w:r>
    </w:p>
    <w:p w14:paraId="4C5C65BA" w14:textId="77777777" w:rsidR="00577D08" w:rsidRDefault="00330FC0">
      <w:pPr>
        <w:spacing w:line="360" w:lineRule="exact"/>
      </w:pPr>
      <w:r>
        <w:rPr>
          <w:rFonts w:hint="eastAsia"/>
        </w:rPr>
        <w:t>3</w:t>
      </w:r>
      <w:r>
        <w:rPr>
          <w:rFonts w:hint="eastAsia"/>
        </w:rPr>
        <w:t>、加快募集资金投资项目建设，加强募集资金管理</w:t>
      </w:r>
    </w:p>
    <w:p w14:paraId="0FB780AB" w14:textId="77777777" w:rsidR="00577D08" w:rsidRDefault="00330FC0">
      <w:pPr>
        <w:spacing w:line="360" w:lineRule="exact"/>
      </w:pPr>
      <w:r>
        <w:rPr>
          <w:rFonts w:hint="eastAsia"/>
        </w:rPr>
        <w:t>公司本次发行募集资金投资项目符合国家产业政策和公司的发展战略，具有良好的市场前景和经济效益。公司将结合自身的实际情况和需要，积极实施募集资金投资项目建设，争取早日建成并实现预期效益，增强以后年度的股东回报，降低本次发行导致的股东即期回报被摊薄的风险。公司将严格按照上海证券交易所关于募集资金管理的相关规定，将募集资金存放于董事会指定的专项账户，专户存储，专款专用，严格规范募集资金的管理和使用，保障募集资金得到充分、有效的利用。</w:t>
      </w:r>
    </w:p>
    <w:p w14:paraId="0DCFC969" w14:textId="77777777" w:rsidR="00577D08" w:rsidRDefault="00330FC0">
      <w:pPr>
        <w:spacing w:line="360" w:lineRule="exact"/>
      </w:pPr>
      <w:r>
        <w:rPr>
          <w:rFonts w:hint="eastAsia"/>
        </w:rPr>
        <w:t>4</w:t>
      </w:r>
      <w:r>
        <w:rPr>
          <w:rFonts w:hint="eastAsia"/>
        </w:rPr>
        <w:t>、完善利润分配机制，强化投资者回报</w:t>
      </w:r>
    </w:p>
    <w:p w14:paraId="776E77D7" w14:textId="77777777" w:rsidR="00577D08" w:rsidRDefault="00330FC0">
      <w:pPr>
        <w:spacing w:line="360" w:lineRule="exact"/>
      </w:pPr>
      <w:r>
        <w:rPr>
          <w:rFonts w:hint="eastAsia"/>
        </w:rPr>
        <w:lastRenderedPageBreak/>
        <w:t>公司已根据中国证监会的相关规定制定了《重庆望变电气（集团）股份有限公司上市后三年股东分红回报规划》，明确了分红的原则、形式、条件、比例、决策程序和机制等，建立了较为完善的利润分配制度。未来，公司将进一步按照中国证监会的要求和公司自身的实际情况完善利润分配机制，强化投资者回报。”</w:t>
      </w:r>
    </w:p>
    <w:p w14:paraId="63F863DF" w14:textId="77777777" w:rsidR="00577D08" w:rsidRDefault="00577D08">
      <w:pPr>
        <w:spacing w:line="360" w:lineRule="exact"/>
      </w:pPr>
    </w:p>
    <w:p w14:paraId="4B1C4A16" w14:textId="77777777" w:rsidR="00577D08" w:rsidRDefault="00330FC0">
      <w:pPr>
        <w:spacing w:line="360" w:lineRule="exact"/>
      </w:pPr>
      <w:r>
        <w:rPr>
          <w:rFonts w:hint="eastAsia"/>
        </w:rPr>
        <w:t>2</w:t>
      </w:r>
      <w:r>
        <w:rPr>
          <w:rFonts w:hint="eastAsia"/>
        </w:rPr>
        <w:t>、公司控股股东、实际控制人、董事长、总经理杨泽民承诺：</w:t>
      </w:r>
    </w:p>
    <w:p w14:paraId="1753134C" w14:textId="77777777" w:rsidR="00577D08" w:rsidRDefault="00330FC0">
      <w:pPr>
        <w:spacing w:line="360" w:lineRule="exact"/>
      </w:pPr>
      <w:r>
        <w:rPr>
          <w:rFonts w:hint="eastAsia"/>
        </w:rPr>
        <w:t>“</w:t>
      </w:r>
      <w:r>
        <w:rPr>
          <w:rFonts w:hint="eastAsia"/>
        </w:rPr>
        <w:t>1</w:t>
      </w:r>
      <w:r>
        <w:rPr>
          <w:rFonts w:hint="eastAsia"/>
        </w:rPr>
        <w:t>、承诺将严格执行关于上市公司治理的各项法律、法规、规章制度，保护公司和公众利益，加强公司独立性，完善公司治理，不越权干预公司经营管理活动；</w:t>
      </w:r>
      <w:r>
        <w:rPr>
          <w:rFonts w:hint="eastAsia"/>
        </w:rPr>
        <w:t>2</w:t>
      </w:r>
      <w:r>
        <w:rPr>
          <w:rFonts w:hint="eastAsia"/>
        </w:rPr>
        <w:t>、承诺不以任何方式侵占公司利益；</w:t>
      </w:r>
      <w:r>
        <w:rPr>
          <w:rFonts w:hint="eastAsia"/>
        </w:rPr>
        <w:t>3</w:t>
      </w:r>
      <w:r>
        <w:rPr>
          <w:rFonts w:hint="eastAsia"/>
        </w:rPr>
        <w:t>、不无偿或以不公平条件向其他单位或者个人输送利益，也不采用其他方式损害公司利益；</w:t>
      </w:r>
      <w:r>
        <w:rPr>
          <w:rFonts w:hint="eastAsia"/>
        </w:rPr>
        <w:t>4</w:t>
      </w:r>
      <w:r>
        <w:rPr>
          <w:rFonts w:hint="eastAsia"/>
        </w:rPr>
        <w:t>、对职务消费行为进行约束；</w:t>
      </w:r>
      <w:r>
        <w:rPr>
          <w:rFonts w:hint="eastAsia"/>
        </w:rPr>
        <w:t>5</w:t>
      </w:r>
      <w:r>
        <w:rPr>
          <w:rFonts w:hint="eastAsia"/>
        </w:rPr>
        <w:t>、不动用公司资产从事与履行职责无关的投资、消费活动；</w:t>
      </w:r>
      <w:r>
        <w:rPr>
          <w:rFonts w:hint="eastAsia"/>
        </w:rPr>
        <w:t>6</w:t>
      </w:r>
      <w:r>
        <w:rPr>
          <w:rFonts w:hint="eastAsia"/>
        </w:rPr>
        <w:t>、在自身职责和权限范围内，全力促使公司董事会或者薪酬与考核委员会制定的薪酬制度与公司填补回报措施的执行情况相挂钩，并对公司董事会和股东大会审议的相关议案投票赞成（如有表决权）；</w:t>
      </w:r>
      <w:r>
        <w:rPr>
          <w:rFonts w:hint="eastAsia"/>
        </w:rPr>
        <w:t>7</w:t>
      </w:r>
      <w:r>
        <w:rPr>
          <w:rFonts w:hint="eastAsia"/>
        </w:rPr>
        <w:t>、如果公司未来拟实施股权激励，在自身职责和权限范围内，全力促使公司拟公布的股权激励行权条件与公司填补回报措施的执行情况相挂钩，并对公司董事会和股东大会审议的相关议案投票赞成（如有表决权）；</w:t>
      </w:r>
      <w:r>
        <w:rPr>
          <w:rFonts w:hint="eastAsia"/>
        </w:rPr>
        <w:t>8</w:t>
      </w:r>
      <w:r>
        <w:rPr>
          <w:rFonts w:hint="eastAsia"/>
        </w:rPr>
        <w:t>、在中国证监会、证券交易所另行发布摊薄即期填补回报措施及其承诺的相关意见及实施细则后，使得公司的相关规定及上述承诺与该等规定不符时，承诺将立即按照中国证监会及证券交易所的规定出具补充承诺，并积极推进公司作出新的规定，以符合中国证监会及证券交易所的要求；</w:t>
      </w:r>
      <w:r>
        <w:rPr>
          <w:rFonts w:hint="eastAsia"/>
        </w:rPr>
        <w:t>9</w:t>
      </w:r>
      <w:r>
        <w:rPr>
          <w:rFonts w:hint="eastAsia"/>
        </w:rPr>
        <w:t>、全面、完整、及时履行公司制定的有关填补被摊薄即期回报措施以及公司对此作出的任何有关填补被摊薄即期回报措施的承诺；</w:t>
      </w:r>
      <w:r>
        <w:rPr>
          <w:rFonts w:hint="eastAsia"/>
        </w:rPr>
        <w:t>10</w:t>
      </w:r>
      <w:r>
        <w:rPr>
          <w:rFonts w:hint="eastAsia"/>
        </w:rPr>
        <w:t>、若本人违反前述承诺或拒不履行前述承诺的，本人将在公司股东大会及中国证监会指定媒体上公开说明未履行承诺的具体原因并向股东和社会公众投资者道歉；对公司或其他股东造成损失的，本人将依法给予赔偿；</w:t>
      </w:r>
      <w:r>
        <w:rPr>
          <w:rFonts w:hint="eastAsia"/>
        </w:rPr>
        <w:t>11</w:t>
      </w:r>
      <w:r>
        <w:rPr>
          <w:rFonts w:hint="eastAsia"/>
        </w:rPr>
        <w:t>、若上述承诺适用的法律、法规、规范性文件、政策及证券监管机构的要求发生变化，则本人愿意自动适用变更后的法律、法规、规范性文件、政策及证券监管机构的要求。”</w:t>
      </w:r>
    </w:p>
    <w:p w14:paraId="69181443" w14:textId="77777777" w:rsidR="00577D08" w:rsidRDefault="00577D08">
      <w:pPr>
        <w:spacing w:line="360" w:lineRule="exact"/>
      </w:pPr>
    </w:p>
    <w:p w14:paraId="5BCE3D62" w14:textId="77777777" w:rsidR="00577D08" w:rsidRDefault="00330FC0">
      <w:pPr>
        <w:spacing w:line="360" w:lineRule="exact"/>
      </w:pPr>
      <w:r>
        <w:rPr>
          <w:rFonts w:hint="eastAsia"/>
        </w:rPr>
        <w:t>3</w:t>
      </w:r>
      <w:r>
        <w:rPr>
          <w:rFonts w:hint="eastAsia"/>
        </w:rPr>
        <w:t>、公司控股股东、实际控制人秦惠兰，公司实际控制人杨耀、杨秦分别承诺：</w:t>
      </w:r>
    </w:p>
    <w:p w14:paraId="1215B9C9" w14:textId="77777777" w:rsidR="00577D08" w:rsidRDefault="00330FC0">
      <w:pPr>
        <w:spacing w:line="360" w:lineRule="exact"/>
      </w:pPr>
      <w:r>
        <w:rPr>
          <w:rFonts w:hint="eastAsia"/>
        </w:rPr>
        <w:t>“</w:t>
      </w:r>
      <w:r>
        <w:rPr>
          <w:rFonts w:hint="eastAsia"/>
        </w:rPr>
        <w:t>1</w:t>
      </w:r>
      <w:r>
        <w:rPr>
          <w:rFonts w:hint="eastAsia"/>
        </w:rPr>
        <w:t>、承诺将严格执行关于上市公司治理的各项法律、法规、规章制度，保护公司和公众利益，加强公司独立性，完善公司治理，不越权干预公司经营管理活动；</w:t>
      </w:r>
      <w:r>
        <w:rPr>
          <w:rFonts w:hint="eastAsia"/>
        </w:rPr>
        <w:t>2</w:t>
      </w:r>
      <w:r>
        <w:rPr>
          <w:rFonts w:hint="eastAsia"/>
        </w:rPr>
        <w:t>、承诺不以任何方式侵占公司利益；</w:t>
      </w:r>
      <w:r>
        <w:rPr>
          <w:rFonts w:hint="eastAsia"/>
        </w:rPr>
        <w:t>3</w:t>
      </w:r>
      <w:r>
        <w:rPr>
          <w:rFonts w:hint="eastAsia"/>
        </w:rPr>
        <w:t>、若本人违反前述承诺或拒不履行前述承诺的，本人将在公司股东大会及中国证监会指定媒体上公开说明未履行承诺的具体原因并向股东和社会公众投资者道歉；对公司或其他股东造成损失的，本人将依法给予赔偿；</w:t>
      </w:r>
      <w:r>
        <w:rPr>
          <w:rFonts w:hint="eastAsia"/>
        </w:rPr>
        <w:t>4</w:t>
      </w:r>
      <w:r>
        <w:rPr>
          <w:rFonts w:hint="eastAsia"/>
        </w:rPr>
        <w:t>、若上述承诺适用的法律、法规、规范性文件、政策及证券监管机构的要求发生变化，则本人愿意自动适用变更后的法律、法规、规范性文件、政策及证券监管机构的要求。”</w:t>
      </w:r>
    </w:p>
    <w:p w14:paraId="66851E0C" w14:textId="77777777" w:rsidR="00577D08" w:rsidRDefault="00577D08">
      <w:pPr>
        <w:spacing w:line="360" w:lineRule="exact"/>
      </w:pPr>
    </w:p>
    <w:p w14:paraId="1BDE9DE2" w14:textId="77777777" w:rsidR="00577D08" w:rsidRDefault="00330FC0">
      <w:pPr>
        <w:spacing w:line="360" w:lineRule="exact"/>
      </w:pPr>
      <w:r>
        <w:rPr>
          <w:rFonts w:hint="eastAsia"/>
        </w:rPr>
        <w:t>4</w:t>
      </w:r>
      <w:r>
        <w:rPr>
          <w:rFonts w:hint="eastAsia"/>
        </w:rPr>
        <w:t>、公司全体董事（杨泽民除外）、高级管理人员分别承诺：</w:t>
      </w:r>
    </w:p>
    <w:p w14:paraId="465BB3AE" w14:textId="77777777" w:rsidR="00577D08" w:rsidRDefault="00330FC0">
      <w:pPr>
        <w:spacing w:line="360" w:lineRule="exact"/>
      </w:pPr>
      <w:r>
        <w:rPr>
          <w:rFonts w:hint="eastAsia"/>
        </w:rPr>
        <w:t>“</w:t>
      </w:r>
      <w:r>
        <w:rPr>
          <w:rFonts w:hint="eastAsia"/>
        </w:rPr>
        <w:t>1</w:t>
      </w:r>
      <w:r>
        <w:rPr>
          <w:rFonts w:hint="eastAsia"/>
        </w:rPr>
        <w:t>、不无偿或以不公平条件向其他单位或者个人输送利益，也不采用其他方式损害公司利益；</w:t>
      </w:r>
      <w:r>
        <w:rPr>
          <w:rFonts w:hint="eastAsia"/>
        </w:rPr>
        <w:t>2</w:t>
      </w:r>
      <w:r>
        <w:rPr>
          <w:rFonts w:hint="eastAsia"/>
        </w:rPr>
        <w:t>、对职务消费行为进行约束；</w:t>
      </w:r>
      <w:r>
        <w:rPr>
          <w:rFonts w:hint="eastAsia"/>
        </w:rPr>
        <w:t>3</w:t>
      </w:r>
      <w:r>
        <w:rPr>
          <w:rFonts w:hint="eastAsia"/>
        </w:rPr>
        <w:t>、不动用公司资产从事与履行职责无关的投资、消费活动；</w:t>
      </w:r>
      <w:r>
        <w:rPr>
          <w:rFonts w:hint="eastAsia"/>
        </w:rPr>
        <w:t>4</w:t>
      </w:r>
      <w:r>
        <w:rPr>
          <w:rFonts w:hint="eastAsia"/>
        </w:rPr>
        <w:t>、在自身职责和权限范围内，全力促使公司董事会或者薪酬与考核委员会制定的薪酬制度与公司填补回报措施的执行情况相挂钩，并对公司董事会和股东大会审议的相关议案投票赞成（如有表决</w:t>
      </w:r>
      <w:r>
        <w:rPr>
          <w:rFonts w:hint="eastAsia"/>
        </w:rPr>
        <w:lastRenderedPageBreak/>
        <w:t>权）；</w:t>
      </w:r>
      <w:r>
        <w:rPr>
          <w:rFonts w:hint="eastAsia"/>
        </w:rPr>
        <w:t>5</w:t>
      </w:r>
      <w:r>
        <w:rPr>
          <w:rFonts w:hint="eastAsia"/>
        </w:rPr>
        <w:t>、如果公司未来拟实施股权激励，在自身职责和权限范围内，全力促使公司拟公布的股权激励行权条件与公司填补回报措施的执行情况相挂钩，并对公司董事会和股东大会审议的相关议案投票赞成（如有表决权）；</w:t>
      </w:r>
      <w:r>
        <w:rPr>
          <w:rFonts w:hint="eastAsia"/>
        </w:rPr>
        <w:t>6</w:t>
      </w:r>
      <w:r>
        <w:rPr>
          <w:rFonts w:hint="eastAsia"/>
        </w:rPr>
        <w:t>、在中国证监会、证券交易所另行发布摊薄即期填补回报措施及其承诺的相关意见及实施细则后，使得公司的相关规定及上述承诺与该等规定不符时，承诺将立即按照中国证监会及证券交易所的规定出具补充承诺，并积极推进公司作出新的规定，以符合中国证监会及证券交易所的要求；</w:t>
      </w:r>
      <w:r>
        <w:rPr>
          <w:rFonts w:hint="eastAsia"/>
        </w:rPr>
        <w:t>7</w:t>
      </w:r>
      <w:r>
        <w:rPr>
          <w:rFonts w:hint="eastAsia"/>
        </w:rPr>
        <w:t>、全面、完整、及时履行公司制定的有关填补被摊薄即期回报措施以及公司对此作出的任何有关填补被摊薄即期回报措施的承诺。</w:t>
      </w:r>
    </w:p>
    <w:p w14:paraId="4708E61D" w14:textId="77777777" w:rsidR="00577D08" w:rsidRDefault="00330FC0">
      <w:pPr>
        <w:spacing w:line="360" w:lineRule="exact"/>
      </w:pPr>
      <w:r>
        <w:rPr>
          <w:rFonts w:hint="eastAsia"/>
        </w:rPr>
        <w:t>如违反上述承诺或拒不履行上述承诺，本人同意按照中国证监会和证券交易所等证券监管机构制定或发布的有关规定、规则，对本人作出相关处罚或采取相关管理措施。”</w:t>
      </w:r>
    </w:p>
    <w:p w14:paraId="3B70C073" w14:textId="77777777" w:rsidR="00577D08" w:rsidRDefault="00577D08">
      <w:pPr>
        <w:spacing w:line="360" w:lineRule="exact"/>
      </w:pPr>
    </w:p>
    <w:p w14:paraId="6F93D46A" w14:textId="77777777" w:rsidR="00577D08" w:rsidRDefault="00330FC0">
      <w:pPr>
        <w:spacing w:line="360" w:lineRule="exact"/>
      </w:pPr>
      <w:r>
        <w:rPr>
          <w:rFonts w:hint="eastAsia"/>
        </w:rPr>
        <w:t>注</w:t>
      </w:r>
      <w:r>
        <w:rPr>
          <w:rFonts w:hint="eastAsia"/>
        </w:rPr>
        <w:t>4</w:t>
      </w:r>
      <w:r>
        <w:rPr>
          <w:rFonts w:hint="eastAsia"/>
        </w:rPr>
        <w:t>：关于避免同业竞争的承诺</w:t>
      </w:r>
    </w:p>
    <w:p w14:paraId="1548E224" w14:textId="77777777" w:rsidR="00577D08" w:rsidRDefault="00330FC0">
      <w:pPr>
        <w:spacing w:line="360" w:lineRule="exact"/>
      </w:pPr>
      <w:r>
        <w:rPr>
          <w:rFonts w:hint="eastAsia"/>
        </w:rPr>
        <w:t>公司控股股东、实际控制人杨泽民、秦惠兰，公司实际控制人杨耀、杨秦分别承诺：“</w:t>
      </w:r>
      <w:r>
        <w:rPr>
          <w:rFonts w:hint="eastAsia"/>
        </w:rPr>
        <w:t>1</w:t>
      </w:r>
      <w:r>
        <w:rPr>
          <w:rFonts w:hint="eastAsia"/>
        </w:rPr>
        <w:t>、本人及本人所控制的其他企业目前没有以任何形式于中国境内和境外从事与望变电气及其控制企业所从事的主营业务构成或可能构成直接或间接竞争关系的业务或活动。</w:t>
      </w:r>
      <w:r>
        <w:rPr>
          <w:rFonts w:hint="eastAsia"/>
        </w:rPr>
        <w:t>2</w:t>
      </w:r>
      <w:r>
        <w:rPr>
          <w:rFonts w:hint="eastAsia"/>
        </w:rPr>
        <w:t>、自本承诺函签署之日起，本人及本人所控制的其他企业在中国境内和境外将继续不直接或间接从事或参与对望变电气及其控制企业从事的主营业务构成直接或间接竞争关系的业务或活动。</w:t>
      </w:r>
      <w:r>
        <w:rPr>
          <w:rFonts w:hint="eastAsia"/>
        </w:rPr>
        <w:t>3</w:t>
      </w:r>
      <w:r>
        <w:rPr>
          <w:rFonts w:hint="eastAsia"/>
        </w:rPr>
        <w:t>、对本人直接或间接控制的其他企业，本人将通过各公司的股东（大）会、董事会（执行董事）等公司治理机制和派出机构及人员（包括但不限于董事、高级管理人员）敦促该等企业履行本承诺项下的义务，并愿意对违反上述承诺而给望变电气或其控制企业造成的经济损失承担赔偿责任。</w:t>
      </w:r>
      <w:r>
        <w:rPr>
          <w:rFonts w:hint="eastAsia"/>
        </w:rPr>
        <w:t>4</w:t>
      </w:r>
      <w:r>
        <w:rPr>
          <w:rFonts w:hint="eastAsia"/>
        </w:rPr>
        <w:t>、本人保证不为自身或者他人谋取属于望变电气或其控制企业的商业机会，自营或者为他人经营与望变电气或其控制企业从事的主营业务。如从任何第三方获得的商业机会与望变电气或其控制企业经营的主营业务构成竞争或可能构成竞争，本人将立即通知望变电气，并应促成将该商业机会让予望变电气及其控制企业或采用任何其他可以被监管部门所认可的方案，以最终排除本承诺人对该等商业机会所涉及资产</w:t>
      </w:r>
      <w:r>
        <w:rPr>
          <w:rFonts w:hint="eastAsia"/>
        </w:rPr>
        <w:t>/</w:t>
      </w:r>
      <w:r>
        <w:rPr>
          <w:rFonts w:hint="eastAsia"/>
        </w:rPr>
        <w:t>股权</w:t>
      </w:r>
      <w:r>
        <w:rPr>
          <w:rFonts w:hint="eastAsia"/>
        </w:rPr>
        <w:t>/</w:t>
      </w:r>
      <w:r>
        <w:rPr>
          <w:rFonts w:hint="eastAsia"/>
        </w:rPr>
        <w:t>业务之实际管理、运营权，从而避免与望变电气及其控制企业所从事主营业务形成同业竞争的情况。</w:t>
      </w:r>
      <w:r>
        <w:rPr>
          <w:rFonts w:hint="eastAsia"/>
        </w:rPr>
        <w:t>5</w:t>
      </w:r>
      <w:r>
        <w:rPr>
          <w:rFonts w:hint="eastAsia"/>
        </w:rPr>
        <w:t>、本人保证有权签署本承诺函，且本承诺函一经本人签署，即对本人构成有效的、合法的、具有约束力的责任。本承诺函所载承诺事项在本人作为望变电气控股股东</w:t>
      </w:r>
      <w:r>
        <w:rPr>
          <w:rFonts w:hint="eastAsia"/>
        </w:rPr>
        <w:t>/</w:t>
      </w:r>
      <w:r>
        <w:rPr>
          <w:rFonts w:hint="eastAsia"/>
        </w:rPr>
        <w:t>实际控制人期间持续有效，且不可撤销。如违反以上承诺，本人愿意承担由此产生的全部责任，充分赔偿或补偿由此给望变电气及其控制企业造成的所有直接或间接损失。”</w:t>
      </w:r>
    </w:p>
    <w:p w14:paraId="28184DD4" w14:textId="77777777" w:rsidR="00577D08" w:rsidRDefault="00577D08">
      <w:pPr>
        <w:spacing w:line="360" w:lineRule="exact"/>
      </w:pPr>
    </w:p>
    <w:p w14:paraId="476E942F" w14:textId="77777777" w:rsidR="00577D08" w:rsidRDefault="00330FC0">
      <w:pPr>
        <w:spacing w:line="360" w:lineRule="exact"/>
      </w:pPr>
      <w:r>
        <w:rPr>
          <w:rFonts w:hint="eastAsia"/>
        </w:rPr>
        <w:t>注</w:t>
      </w:r>
      <w:r>
        <w:rPr>
          <w:rFonts w:hint="eastAsia"/>
        </w:rPr>
        <w:t>5</w:t>
      </w:r>
      <w:r>
        <w:rPr>
          <w:rFonts w:hint="eastAsia"/>
        </w:rPr>
        <w:t>：关于规范和减少关联交易的承诺</w:t>
      </w:r>
    </w:p>
    <w:p w14:paraId="7837A490" w14:textId="77777777" w:rsidR="00577D08" w:rsidRDefault="00330FC0">
      <w:pPr>
        <w:spacing w:line="360" w:lineRule="exact"/>
      </w:pPr>
      <w:r>
        <w:rPr>
          <w:rFonts w:hint="eastAsia"/>
        </w:rPr>
        <w:t>1</w:t>
      </w:r>
      <w:r>
        <w:rPr>
          <w:rFonts w:hint="eastAsia"/>
        </w:rPr>
        <w:t>、公司控股股东、实际控制人杨泽民、秦惠兰，公司实际控制人杨耀、杨秦分别承诺：“</w:t>
      </w:r>
      <w:r>
        <w:rPr>
          <w:rFonts w:hint="eastAsia"/>
        </w:rPr>
        <w:t>1</w:t>
      </w:r>
      <w:r>
        <w:rPr>
          <w:rFonts w:hint="eastAsia"/>
        </w:rPr>
        <w:t>、本人控制的其他企业与公司及其控股子公司之间不存在严重影响独立性或者显失公平的关联交易；本人及本人控制的其他企业将尽量减少并避免与公司及其控股子公司之间的关联交易；对于确有必要且无法避免的关联交易，保证按照公平、公允和等价有偿的原则进行，依法签署相关交易协议，并按相关法律法规以及规范性文件的规定履行交易程序及信息披露义务，保证不通过关联交易损害公司及其他股东的合法权益。</w:t>
      </w:r>
      <w:r>
        <w:rPr>
          <w:rFonts w:hint="eastAsia"/>
        </w:rPr>
        <w:t>2</w:t>
      </w:r>
      <w:r>
        <w:rPr>
          <w:rFonts w:hint="eastAsia"/>
        </w:rPr>
        <w:t>、不利用自身对望变电气的重大影响，谋求望变电气在业务合作等方面给予本人及本人所控制的企业优于市场第三方的权利或与望变电气达成交易的优先权利。</w:t>
      </w:r>
      <w:r>
        <w:rPr>
          <w:rFonts w:hint="eastAsia"/>
        </w:rPr>
        <w:t>3</w:t>
      </w:r>
      <w:r>
        <w:rPr>
          <w:rFonts w:hint="eastAsia"/>
        </w:rPr>
        <w:t>、不利用自身对望变电气的重大影响公司的独立性，保证不利用关联交易非法转移公司</w:t>
      </w:r>
      <w:r>
        <w:rPr>
          <w:rFonts w:hint="eastAsia"/>
        </w:rPr>
        <w:lastRenderedPageBreak/>
        <w:t>的资金、利润、谋取其他任何不正当利益或使公司承担任何不正当的义务。</w:t>
      </w:r>
      <w:r>
        <w:rPr>
          <w:rFonts w:hint="eastAsia"/>
        </w:rPr>
        <w:t>4</w:t>
      </w:r>
      <w:r>
        <w:rPr>
          <w:rFonts w:hint="eastAsia"/>
        </w:rPr>
        <w:t>、本人保证有权签署本承诺函，且本承诺函一经本人签署，即依上述所述前提对本人构成有效的、合法的、具有约束力的责任，且依上述所述前提持续有效，不可撤销。若由于本人的上述承诺与实际不符给公司或其投资人造成损失的，本人将依法承担相应的法律责任。”</w:t>
      </w:r>
    </w:p>
    <w:p w14:paraId="09B1322F" w14:textId="77777777" w:rsidR="00577D08" w:rsidRDefault="00577D08">
      <w:pPr>
        <w:spacing w:line="360" w:lineRule="exact"/>
      </w:pPr>
    </w:p>
    <w:p w14:paraId="6DDEF0F1" w14:textId="77777777" w:rsidR="00577D08" w:rsidRDefault="00330FC0">
      <w:pPr>
        <w:spacing w:line="360" w:lineRule="exact"/>
      </w:pPr>
      <w:r>
        <w:rPr>
          <w:rFonts w:hint="eastAsia"/>
        </w:rPr>
        <w:t>2</w:t>
      </w:r>
      <w:r>
        <w:rPr>
          <w:rFonts w:hint="eastAsia"/>
        </w:rPr>
        <w:t>、公司全体董事、监事、高级管理人员承诺：</w:t>
      </w:r>
    </w:p>
    <w:p w14:paraId="1CCE2C6A" w14:textId="77777777" w:rsidR="00577D08" w:rsidRDefault="00330FC0">
      <w:pPr>
        <w:spacing w:line="360" w:lineRule="exact"/>
      </w:pPr>
      <w:r>
        <w:rPr>
          <w:rFonts w:hint="eastAsia"/>
        </w:rPr>
        <w:t>“</w:t>
      </w:r>
      <w:r>
        <w:rPr>
          <w:rFonts w:hint="eastAsia"/>
        </w:rPr>
        <w:t>1</w:t>
      </w:r>
      <w:r>
        <w:rPr>
          <w:rFonts w:hint="eastAsia"/>
        </w:rPr>
        <w:t>、本人控制的其他企业与公司及其控股子公司之间不存在严重影响独立性或者显失公平的关联交易；本人及本人控制的其他企业将尽量减少并避免与公司及其控股子公司之间的关联交易；对于确有必要且无法避免的关联交易，保证按照公平、公允和等价有偿的原则进行，依法签署相关交易协议，并按相关法律法规以及规范性文件的规定履行交易程序及信息披露义务，保证不通过关联交易损害公司及其他股东的合法权益。</w:t>
      </w:r>
      <w:r>
        <w:rPr>
          <w:rFonts w:hint="eastAsia"/>
        </w:rPr>
        <w:t>2</w:t>
      </w:r>
      <w:r>
        <w:rPr>
          <w:rFonts w:hint="eastAsia"/>
        </w:rPr>
        <w:t>、不利用自身对望变电气的重大影响，谋求望变电气在业务合作等方面给予本人及本人所控制的企业优于市场第三方的权利或与望变电气达成交易的优先权利。</w:t>
      </w:r>
      <w:r>
        <w:rPr>
          <w:rFonts w:hint="eastAsia"/>
        </w:rPr>
        <w:t>3</w:t>
      </w:r>
      <w:r>
        <w:rPr>
          <w:rFonts w:hint="eastAsia"/>
        </w:rPr>
        <w:t>、不利用自身对望变电气的重大影响公司的独立性，保证不利用关联交易非法转移公司的资金、利润、谋取其他任何不正当利益或使公司承担任何不正当的义务。</w:t>
      </w:r>
      <w:r>
        <w:rPr>
          <w:rFonts w:hint="eastAsia"/>
        </w:rPr>
        <w:t>4</w:t>
      </w:r>
      <w:r>
        <w:rPr>
          <w:rFonts w:hint="eastAsia"/>
        </w:rPr>
        <w:t>、本人保证有权签署本承诺函，且本承诺函一经本人签署，即依上述所述前提对本人构成有效的、合法的、具有约束力的责任，且依上述所述前提持续有效，不可撤销。若由于本人的上述承诺与实际不符给公司或其投资人造成损失的，本人将依法承担相应的法律责任。”</w:t>
      </w:r>
    </w:p>
    <w:p w14:paraId="2C8A907D" w14:textId="77777777" w:rsidR="00577D08" w:rsidRDefault="00577D08">
      <w:pPr>
        <w:spacing w:line="360" w:lineRule="exact"/>
      </w:pPr>
    </w:p>
    <w:p w14:paraId="5AD5C4CE" w14:textId="77777777" w:rsidR="00577D08" w:rsidRDefault="00330FC0">
      <w:pPr>
        <w:spacing w:line="360" w:lineRule="exact"/>
      </w:pPr>
      <w:r>
        <w:rPr>
          <w:rFonts w:hint="eastAsia"/>
        </w:rPr>
        <w:t>注</w:t>
      </w:r>
      <w:r>
        <w:rPr>
          <w:rFonts w:hint="eastAsia"/>
        </w:rPr>
        <w:t>6</w:t>
      </w:r>
      <w:r>
        <w:rPr>
          <w:rFonts w:hint="eastAsia"/>
        </w:rPr>
        <w:t>：关于避免资金占用的承诺</w:t>
      </w:r>
    </w:p>
    <w:p w14:paraId="55EBF1EB" w14:textId="77777777" w:rsidR="00577D08" w:rsidRDefault="00330FC0">
      <w:pPr>
        <w:spacing w:line="360" w:lineRule="exact"/>
      </w:pPr>
      <w:r>
        <w:rPr>
          <w:rFonts w:hint="eastAsia"/>
        </w:rPr>
        <w:t>公司控股股东、实际控制人杨泽民、秦惠兰，公司实际控制人杨耀、杨秦分别承诺：“</w:t>
      </w:r>
      <w:r>
        <w:rPr>
          <w:rFonts w:hint="eastAsia"/>
        </w:rPr>
        <w:t>1</w:t>
      </w:r>
      <w:r>
        <w:rPr>
          <w:rFonts w:hint="eastAsia"/>
        </w:rPr>
        <w:t>、截至本承诺函出具之日，本人及本人直接或间接控制的企业（以下简称‘本人控制的企业’）不存在占用望变电气及其子公司资金的情况。</w:t>
      </w:r>
      <w:r>
        <w:rPr>
          <w:rFonts w:hint="eastAsia"/>
        </w:rPr>
        <w:t>2</w:t>
      </w:r>
      <w:r>
        <w:rPr>
          <w:rFonts w:hint="eastAsia"/>
        </w:rPr>
        <w:t>、自本承诺函出具之日起，本人及本人控制的企业将不以借款、代偿债务、代垫款项或其他任何方式占用望变电气及其子公司的资金，且将严格遵守法律、法规关于上市公司法人治理的相关规定，避免与望变电气及其子公司发生与正常生产经营无关的资金往来。</w:t>
      </w:r>
      <w:r>
        <w:rPr>
          <w:rFonts w:hint="eastAsia"/>
        </w:rPr>
        <w:t>3</w:t>
      </w:r>
      <w:r>
        <w:rPr>
          <w:rFonts w:hint="eastAsia"/>
        </w:rPr>
        <w:t>、若本人违反本承诺函给望变电气造成损失的，本人愿意承担由此产生的全部责任，充分赔偿或补偿由此给望变电气造成的所有直接或间接损失。”</w:t>
      </w:r>
    </w:p>
    <w:p w14:paraId="57ACB177" w14:textId="77777777" w:rsidR="00577D08" w:rsidRDefault="00577D08">
      <w:pPr>
        <w:spacing w:line="360" w:lineRule="exact"/>
      </w:pPr>
    </w:p>
    <w:p w14:paraId="17210E0E" w14:textId="77777777" w:rsidR="00577D08" w:rsidRDefault="00330FC0">
      <w:pPr>
        <w:spacing w:line="360" w:lineRule="exact"/>
      </w:pPr>
      <w:r>
        <w:rPr>
          <w:rFonts w:hint="eastAsia"/>
        </w:rPr>
        <w:t>注</w:t>
      </w:r>
      <w:r>
        <w:rPr>
          <w:rFonts w:hint="eastAsia"/>
        </w:rPr>
        <w:t>7</w:t>
      </w:r>
      <w:r>
        <w:rPr>
          <w:rFonts w:hint="eastAsia"/>
        </w:rPr>
        <w:t>：关于股份回购和股份购回的措施和承诺</w:t>
      </w:r>
    </w:p>
    <w:p w14:paraId="6A24F12C" w14:textId="77777777" w:rsidR="00577D08" w:rsidRDefault="00330FC0">
      <w:pPr>
        <w:spacing w:line="360" w:lineRule="exact"/>
      </w:pPr>
      <w:r>
        <w:rPr>
          <w:rFonts w:hint="eastAsia"/>
        </w:rPr>
        <w:t>1</w:t>
      </w:r>
      <w:r>
        <w:rPr>
          <w:rFonts w:hint="eastAsia"/>
        </w:rPr>
        <w:t>、公司承诺：“</w:t>
      </w:r>
      <w:r>
        <w:rPr>
          <w:rFonts w:hint="eastAsia"/>
        </w:rPr>
        <w:t>1</w:t>
      </w:r>
      <w:r>
        <w:rPr>
          <w:rFonts w:hint="eastAsia"/>
        </w:rPr>
        <w:t>、启动股份回购及购回措施的条件本次公开发行完成后，如本次公开发行的招股说明书及其他申报文件被中国证监会、证券交易所或司法机关认定为有虚假记载、误导性陈述或者重大遗漏的，对判断发行人是否符合法律规定的发行条件构成重大且实质性影响的，公司将依法从投资者手中回购及购回本次公开发行的股票以及转让的限售股。</w:t>
      </w:r>
    </w:p>
    <w:p w14:paraId="264506C5" w14:textId="77777777" w:rsidR="00577D08" w:rsidRDefault="00330FC0">
      <w:pPr>
        <w:spacing w:line="360" w:lineRule="exact"/>
      </w:pPr>
      <w:r>
        <w:rPr>
          <w:rFonts w:hint="eastAsia"/>
        </w:rPr>
        <w:t>2</w:t>
      </w:r>
      <w:r>
        <w:rPr>
          <w:rFonts w:hint="eastAsia"/>
        </w:rPr>
        <w:t>、股份回购及购回措施的启动程序</w:t>
      </w:r>
    </w:p>
    <w:p w14:paraId="4121689E" w14:textId="77777777" w:rsidR="00577D08" w:rsidRDefault="00330FC0">
      <w:pPr>
        <w:spacing w:line="360" w:lineRule="exact"/>
      </w:pPr>
      <w:r>
        <w:rPr>
          <w:rFonts w:hint="eastAsia"/>
        </w:rPr>
        <w:t>（</w:t>
      </w:r>
      <w:r>
        <w:rPr>
          <w:rFonts w:hint="eastAsia"/>
        </w:rPr>
        <w:t>1</w:t>
      </w:r>
      <w:r>
        <w:rPr>
          <w:rFonts w:hint="eastAsia"/>
        </w:rPr>
        <w:t>）若上述情形发生于公司本次公开发行的新股已完成发行但未上市交易的阶段内，则公司将于上述情形发生之日起</w:t>
      </w:r>
      <w:r>
        <w:rPr>
          <w:rFonts w:hint="eastAsia"/>
        </w:rPr>
        <w:t>5</w:t>
      </w:r>
      <w:r>
        <w:rPr>
          <w:rFonts w:hint="eastAsia"/>
        </w:rPr>
        <w:t>个工作日内，将本次公开发行的募集资金，按照发行价并加算银行同期存款利息返还已缴纳股票申购款的投资者。</w:t>
      </w:r>
    </w:p>
    <w:p w14:paraId="39B73FF4" w14:textId="77777777" w:rsidR="00577D08" w:rsidRDefault="00330FC0">
      <w:pPr>
        <w:spacing w:line="360" w:lineRule="exact"/>
      </w:pPr>
      <w:r>
        <w:rPr>
          <w:rFonts w:hint="eastAsia"/>
        </w:rPr>
        <w:t>（</w:t>
      </w:r>
      <w:r>
        <w:rPr>
          <w:rFonts w:hint="eastAsia"/>
        </w:rPr>
        <w:t>2</w:t>
      </w:r>
      <w:r>
        <w:rPr>
          <w:rFonts w:hint="eastAsia"/>
        </w:rPr>
        <w:t>）若上述情形发生于公司本次公开发行的新股已完成上市交易之后，公司董事会将在中国证监会或其他有权部门依法对上述事实作出最终认定或处罚决定后</w:t>
      </w:r>
      <w:r>
        <w:rPr>
          <w:rFonts w:hint="eastAsia"/>
        </w:rPr>
        <w:t>10</w:t>
      </w:r>
      <w:r>
        <w:rPr>
          <w:rFonts w:hint="eastAsia"/>
        </w:rPr>
        <w:t>个工作日内，制订股份回购</w:t>
      </w:r>
      <w:r>
        <w:rPr>
          <w:rFonts w:hint="eastAsia"/>
        </w:rPr>
        <w:lastRenderedPageBreak/>
        <w:t>方案并提交股东大会审议批准，依法回购本次公开发行的全部新股，按照发行价格加新股上市日至回购日期间的同期银行活期存款利息，或不低于中国证监会对公司招股说明书及其他信息披露材料存在虚假记载、误导性陈述或者重大遗漏问题进行立案稽查之日前</w:t>
      </w:r>
      <w:r>
        <w:rPr>
          <w:rFonts w:hint="eastAsia"/>
        </w:rPr>
        <w:t>30</w:t>
      </w:r>
      <w:r>
        <w:rPr>
          <w:rFonts w:hint="eastAsia"/>
        </w:rPr>
        <w:t>个交易日公司股票的每日加权平均价格的算术平均值（公司如有分红、派息、送股、资本公积金转增股本、配股等除权除息事项，前述价格应相应调整），或中国证监会认可的其他价格，通过证券交易所交易系统回购公司本次公开发行的全部新股。</w:t>
      </w:r>
    </w:p>
    <w:p w14:paraId="461D4337" w14:textId="77777777" w:rsidR="00577D08" w:rsidRDefault="00330FC0">
      <w:pPr>
        <w:spacing w:line="360" w:lineRule="exact"/>
      </w:pPr>
      <w:r>
        <w:rPr>
          <w:rFonts w:hint="eastAsia"/>
        </w:rPr>
        <w:t>（</w:t>
      </w:r>
      <w:r>
        <w:rPr>
          <w:rFonts w:hint="eastAsia"/>
        </w:rPr>
        <w:t>3</w:t>
      </w:r>
      <w:r>
        <w:rPr>
          <w:rFonts w:hint="eastAsia"/>
        </w:rPr>
        <w:t>）当公司未来涉及股份回购时，公司应同时遵守中国证监会及证券交易所等证券监管机构的相关规定。</w:t>
      </w:r>
    </w:p>
    <w:p w14:paraId="6BA86B12" w14:textId="77777777" w:rsidR="00577D08" w:rsidRDefault="00330FC0">
      <w:pPr>
        <w:spacing w:line="360" w:lineRule="exact"/>
      </w:pPr>
      <w:r>
        <w:rPr>
          <w:rFonts w:hint="eastAsia"/>
        </w:rPr>
        <w:t>3</w:t>
      </w:r>
      <w:r>
        <w:rPr>
          <w:rFonts w:hint="eastAsia"/>
        </w:rPr>
        <w:t>、约束措施</w:t>
      </w:r>
    </w:p>
    <w:p w14:paraId="3720866E" w14:textId="77777777" w:rsidR="00577D08" w:rsidRDefault="00330FC0">
      <w:pPr>
        <w:spacing w:line="360" w:lineRule="exact"/>
      </w:pPr>
      <w:r>
        <w:rPr>
          <w:rFonts w:hint="eastAsia"/>
        </w:rPr>
        <w:t>（</w:t>
      </w:r>
      <w:r>
        <w:rPr>
          <w:rFonts w:hint="eastAsia"/>
        </w:rPr>
        <w:t>1</w:t>
      </w:r>
      <w:r>
        <w:rPr>
          <w:rFonts w:hint="eastAsia"/>
        </w:rPr>
        <w:t>）公司将严格履行在本次发行时已作出的关于股份回购、购回措施的相应承诺。</w:t>
      </w:r>
    </w:p>
    <w:p w14:paraId="75D1EB38" w14:textId="77777777" w:rsidR="00577D08" w:rsidRDefault="00330FC0">
      <w:pPr>
        <w:spacing w:line="360" w:lineRule="exact"/>
      </w:pPr>
      <w:r>
        <w:rPr>
          <w:rFonts w:hint="eastAsia"/>
        </w:rPr>
        <w:t>（</w:t>
      </w:r>
      <w:r>
        <w:rPr>
          <w:rFonts w:hint="eastAsia"/>
        </w:rPr>
        <w:t>2</w:t>
      </w:r>
      <w:r>
        <w:rPr>
          <w:rFonts w:hint="eastAsia"/>
        </w:rPr>
        <w:t>）公司自愿接受中国证监会及证券交易所等证券监管机构对股份回购、购回预案的制定、实施等进行监督，并承担法律责任。在启动股份回购、购回措施的条件满足时，如果公司未采取上述股份回购、购回的具体措施的，公司承诺接受以下约束措施：</w:t>
      </w:r>
    </w:p>
    <w:p w14:paraId="1139CB91" w14:textId="77777777" w:rsidR="00577D08" w:rsidRDefault="00330FC0">
      <w:pPr>
        <w:spacing w:line="360" w:lineRule="exact"/>
      </w:pPr>
      <w:r>
        <w:rPr>
          <w:rFonts w:hint="eastAsia"/>
        </w:rPr>
        <w:t>1</w:t>
      </w:r>
      <w:r>
        <w:rPr>
          <w:rFonts w:hint="eastAsia"/>
        </w:rPr>
        <w:t>）在中国证监会指定媒体上公开说明承诺未能履行、无法履行或无法按期履行的具体原因，并提出补充承诺或替代承诺，以尽可能保护投资者的权益。</w:t>
      </w:r>
    </w:p>
    <w:p w14:paraId="714335D7" w14:textId="77777777" w:rsidR="00577D08" w:rsidRDefault="00330FC0">
      <w:pPr>
        <w:spacing w:line="360" w:lineRule="exact"/>
      </w:pPr>
      <w:r>
        <w:rPr>
          <w:rFonts w:hint="eastAsia"/>
        </w:rPr>
        <w:t>2</w:t>
      </w:r>
      <w:r>
        <w:rPr>
          <w:rFonts w:hint="eastAsia"/>
        </w:rPr>
        <w:t>）因未能履行该项承诺造成投资者损失的，公司将依据证券监管部门或司法机关认定的方式及金额进行赔偿。”</w:t>
      </w:r>
    </w:p>
    <w:p w14:paraId="3A7573D7" w14:textId="77777777" w:rsidR="00577D08" w:rsidRDefault="00577D08">
      <w:pPr>
        <w:spacing w:line="360" w:lineRule="exact"/>
      </w:pPr>
    </w:p>
    <w:p w14:paraId="46E9C6F6" w14:textId="77777777" w:rsidR="00577D08" w:rsidRDefault="00330FC0">
      <w:pPr>
        <w:spacing w:line="360" w:lineRule="exact"/>
      </w:pPr>
      <w:r>
        <w:rPr>
          <w:rFonts w:hint="eastAsia"/>
        </w:rPr>
        <w:t>2</w:t>
      </w:r>
      <w:r>
        <w:rPr>
          <w:rFonts w:hint="eastAsia"/>
        </w:rPr>
        <w:t>、公司实际控制人杨泽民、秦惠兰、杨耀、杨秦分别承诺：</w:t>
      </w:r>
    </w:p>
    <w:p w14:paraId="1182ACA1" w14:textId="77777777" w:rsidR="00577D08" w:rsidRDefault="00330FC0">
      <w:pPr>
        <w:spacing w:line="360" w:lineRule="exact"/>
      </w:pPr>
      <w:r>
        <w:rPr>
          <w:rFonts w:hint="eastAsia"/>
        </w:rPr>
        <w:t>“</w:t>
      </w:r>
      <w:r>
        <w:rPr>
          <w:rFonts w:hint="eastAsia"/>
        </w:rPr>
        <w:t>1</w:t>
      </w:r>
      <w:r>
        <w:rPr>
          <w:rFonts w:hint="eastAsia"/>
        </w:rPr>
        <w:t>、本次公开发行完成后，如本次公开发行的招股说明书及其他申报文件被中国证监会、证券交易所或司法机关认定为有虚假记载、误导性陈述或者重大遗漏的，对判断发行人是否符合法律规定的发行条件构成重大且实质性影响的，则本人承诺将极力督促望变电气依法从投资者手中回购及购回本次公开发行的股票以及转让的限售股。</w:t>
      </w:r>
      <w:r>
        <w:rPr>
          <w:rFonts w:hint="eastAsia"/>
        </w:rPr>
        <w:t>2</w:t>
      </w:r>
      <w:r>
        <w:rPr>
          <w:rFonts w:hint="eastAsia"/>
        </w:rPr>
        <w:t>、若中国证监会或其他有权部门认定招股说明书及其他信息披露材料所载之内容存在任何虚假记载、误导性陈述或者重大遗漏之情形，致使投资者在证券交易中遭受损失的，本人将依据证券监管部门或司法机关认定的方式及金额进行赔偿。”</w:t>
      </w:r>
    </w:p>
    <w:p w14:paraId="5D25471F" w14:textId="77777777" w:rsidR="00577D08" w:rsidRDefault="00577D08">
      <w:pPr>
        <w:spacing w:line="360" w:lineRule="exact"/>
      </w:pPr>
    </w:p>
    <w:p w14:paraId="7A2657A9" w14:textId="77777777" w:rsidR="00577D08" w:rsidRDefault="00330FC0">
      <w:pPr>
        <w:spacing w:line="360" w:lineRule="exact"/>
      </w:pPr>
      <w:r>
        <w:rPr>
          <w:rFonts w:hint="eastAsia"/>
        </w:rPr>
        <w:t>注</w:t>
      </w:r>
      <w:r>
        <w:rPr>
          <w:rFonts w:hint="eastAsia"/>
        </w:rPr>
        <w:t>8</w:t>
      </w:r>
      <w:r>
        <w:rPr>
          <w:rFonts w:hint="eastAsia"/>
        </w:rPr>
        <w:t>：关于未履行承诺的约束措施的承诺</w:t>
      </w:r>
    </w:p>
    <w:p w14:paraId="2BFDE1B6" w14:textId="77777777" w:rsidR="00577D08" w:rsidRDefault="00330FC0">
      <w:pPr>
        <w:spacing w:line="360" w:lineRule="exact"/>
      </w:pPr>
      <w:r>
        <w:rPr>
          <w:rFonts w:hint="eastAsia"/>
        </w:rPr>
        <w:t>1</w:t>
      </w:r>
      <w:r>
        <w:rPr>
          <w:rFonts w:hint="eastAsia"/>
        </w:rPr>
        <w:t>、公司承诺：“</w:t>
      </w:r>
      <w:r>
        <w:rPr>
          <w:rFonts w:hint="eastAsia"/>
        </w:rPr>
        <w:t>1</w:t>
      </w:r>
      <w:r>
        <w:rPr>
          <w:rFonts w:hint="eastAsia"/>
        </w:rPr>
        <w:t>、本公司在招股说明书中公开作出的相关承诺中已经包含约束措施的，则以该等承诺中的约束措施为准；若本公司违反该等承诺，本公司同意采取该等承诺中已经明确的约束措施；</w:t>
      </w:r>
      <w:r>
        <w:rPr>
          <w:rFonts w:hint="eastAsia"/>
        </w:rPr>
        <w:t>2</w:t>
      </w:r>
      <w:r>
        <w:rPr>
          <w:rFonts w:hint="eastAsia"/>
        </w:rPr>
        <w:t>、本公司在招股说明书中公开作出的相关承诺未包含约束措施的，如本公司非因不可抗力原因导致未能履行公开承诺事项的，需提出新的承诺（相关承诺需按法律、法规、公司章程的规定履行相关审批程序）并接受如下约束措施，直至新的承诺履行完毕或相应补救措施实施完毕：</w:t>
      </w:r>
    </w:p>
    <w:p w14:paraId="45C8CB93" w14:textId="77777777" w:rsidR="00577D08" w:rsidRDefault="00330FC0">
      <w:pPr>
        <w:spacing w:line="360" w:lineRule="exact"/>
      </w:pPr>
      <w:r>
        <w:rPr>
          <w:rFonts w:hint="eastAsia"/>
        </w:rPr>
        <w:t>（</w:t>
      </w:r>
      <w:r>
        <w:rPr>
          <w:rFonts w:hint="eastAsia"/>
        </w:rPr>
        <w:t>1</w:t>
      </w:r>
      <w:r>
        <w:rPr>
          <w:rFonts w:hint="eastAsia"/>
        </w:rPr>
        <w:t>）本公司将在股东大会及中国证监会指定报刊上公开说明未履行承诺的具体原因并向股东和社会公众投资者道歉；</w:t>
      </w:r>
    </w:p>
    <w:p w14:paraId="433692AE" w14:textId="77777777" w:rsidR="00577D08" w:rsidRDefault="00330FC0">
      <w:pPr>
        <w:spacing w:line="360" w:lineRule="exact"/>
      </w:pPr>
      <w:r>
        <w:rPr>
          <w:rFonts w:hint="eastAsia"/>
        </w:rPr>
        <w:t>（</w:t>
      </w:r>
      <w:r>
        <w:rPr>
          <w:rFonts w:hint="eastAsia"/>
        </w:rPr>
        <w:t>2</w:t>
      </w:r>
      <w:r>
        <w:rPr>
          <w:rFonts w:hint="eastAsia"/>
        </w:rPr>
        <w:t>）及时、充分披露相关承诺未能履行、确已无法履行或无法按期履行的具体原因；</w:t>
      </w:r>
    </w:p>
    <w:p w14:paraId="1FA5F39B" w14:textId="77777777" w:rsidR="00577D08" w:rsidRDefault="00330FC0">
      <w:pPr>
        <w:spacing w:line="360" w:lineRule="exact"/>
      </w:pPr>
      <w:r>
        <w:rPr>
          <w:rFonts w:hint="eastAsia"/>
        </w:rPr>
        <w:lastRenderedPageBreak/>
        <w:t>（</w:t>
      </w:r>
      <w:r>
        <w:rPr>
          <w:rFonts w:hint="eastAsia"/>
        </w:rPr>
        <w:t>3</w:t>
      </w:r>
      <w:r>
        <w:rPr>
          <w:rFonts w:hint="eastAsia"/>
        </w:rPr>
        <w:t>）对该等未履行承诺的行为负有个人责任的董事、监事、高级管理人员调减或停发薪酬或津贴；</w:t>
      </w:r>
    </w:p>
    <w:p w14:paraId="3C7F4558" w14:textId="77777777" w:rsidR="00577D08" w:rsidRDefault="00330FC0">
      <w:pPr>
        <w:spacing w:line="360" w:lineRule="exact"/>
      </w:pPr>
      <w:r>
        <w:rPr>
          <w:rFonts w:hint="eastAsia"/>
        </w:rPr>
        <w:t>（</w:t>
      </w:r>
      <w:r>
        <w:rPr>
          <w:rFonts w:hint="eastAsia"/>
        </w:rPr>
        <w:t>4</w:t>
      </w:r>
      <w:r>
        <w:rPr>
          <w:rFonts w:hint="eastAsia"/>
        </w:rPr>
        <w:t>）向投资者提出补充承诺或替代承诺，以尽可能保护投资者的权益；并同意将上述补充承诺或替代承诺提交股东大会审议；</w:t>
      </w:r>
    </w:p>
    <w:p w14:paraId="7994181B" w14:textId="77777777" w:rsidR="00577D08" w:rsidRDefault="00330FC0">
      <w:pPr>
        <w:spacing w:line="360" w:lineRule="exact"/>
      </w:pPr>
      <w:r>
        <w:rPr>
          <w:rFonts w:hint="eastAsia"/>
        </w:rPr>
        <w:t>（</w:t>
      </w:r>
      <w:r>
        <w:rPr>
          <w:rFonts w:hint="eastAsia"/>
        </w:rPr>
        <w:t>5</w:t>
      </w:r>
      <w:r>
        <w:rPr>
          <w:rFonts w:hint="eastAsia"/>
        </w:rPr>
        <w:t>）如违反相关承诺给投资者造成损失的，将依法赔偿投资者的损失。如该等已违反的承诺仍可继续履行，本公司将继续履行该等承诺。”</w:t>
      </w:r>
    </w:p>
    <w:p w14:paraId="416DCD87" w14:textId="77777777" w:rsidR="00577D08" w:rsidRDefault="00577D08">
      <w:pPr>
        <w:spacing w:line="360" w:lineRule="exact"/>
      </w:pPr>
    </w:p>
    <w:p w14:paraId="2C72887D" w14:textId="77777777" w:rsidR="00577D08" w:rsidRDefault="00330FC0">
      <w:pPr>
        <w:spacing w:line="360" w:lineRule="exact"/>
      </w:pPr>
      <w:r>
        <w:rPr>
          <w:rFonts w:hint="eastAsia"/>
        </w:rPr>
        <w:t>2</w:t>
      </w:r>
      <w:r>
        <w:rPr>
          <w:rFonts w:hint="eastAsia"/>
        </w:rPr>
        <w:t>、公司实际控制人杨泽民、秦惠兰、杨耀、杨秦，全体董事、监事、高级管理人员分别承诺：</w:t>
      </w:r>
    </w:p>
    <w:p w14:paraId="40EAF216" w14:textId="77777777" w:rsidR="00577D08" w:rsidRDefault="00330FC0">
      <w:pPr>
        <w:spacing w:line="360" w:lineRule="exact"/>
      </w:pPr>
      <w:r>
        <w:rPr>
          <w:rFonts w:hint="eastAsia"/>
        </w:rPr>
        <w:t>“</w:t>
      </w:r>
      <w:r>
        <w:rPr>
          <w:rFonts w:hint="eastAsia"/>
        </w:rPr>
        <w:t>1</w:t>
      </w:r>
      <w:r>
        <w:rPr>
          <w:rFonts w:hint="eastAsia"/>
        </w:rPr>
        <w:t>、本人在招股说明书中公开作出的相关承诺中已经包含约束措施的，则以该等承诺中的约束措施为准；若本人违反该等承诺，本人同意采取该等承诺中已经明确的约束措施；</w:t>
      </w:r>
      <w:r>
        <w:rPr>
          <w:rFonts w:hint="eastAsia"/>
        </w:rPr>
        <w:t>2</w:t>
      </w:r>
      <w:r>
        <w:rPr>
          <w:rFonts w:hint="eastAsia"/>
        </w:rPr>
        <w:t>、本人在招股说明书中公开作出的相关承诺未包含约束措施的，如本人非因不可抗力原因导致未能履行公开承诺事项的，需提出新的承诺（相关承诺需按法律、法规、公司章程的规定履行相关审批程序）并接受如下约束措施，直至新的承诺履行完毕或相应补救措施实施完毕：</w:t>
      </w:r>
    </w:p>
    <w:p w14:paraId="10560532" w14:textId="77777777" w:rsidR="00577D08" w:rsidRDefault="00330FC0">
      <w:pPr>
        <w:spacing w:line="360" w:lineRule="exact"/>
      </w:pPr>
      <w:r>
        <w:rPr>
          <w:rFonts w:hint="eastAsia"/>
        </w:rPr>
        <w:t>（</w:t>
      </w:r>
      <w:r>
        <w:rPr>
          <w:rFonts w:hint="eastAsia"/>
        </w:rPr>
        <w:t>1</w:t>
      </w:r>
      <w:r>
        <w:rPr>
          <w:rFonts w:hint="eastAsia"/>
        </w:rPr>
        <w:t>）本人将在股东大会及中国证监会指定报刊上公开说明未履行承诺的具体原因并向股东和社会公众投资者道歉；</w:t>
      </w:r>
    </w:p>
    <w:p w14:paraId="4F12026A" w14:textId="77777777" w:rsidR="00577D08" w:rsidRDefault="00330FC0">
      <w:pPr>
        <w:spacing w:line="360" w:lineRule="exact"/>
      </w:pPr>
      <w:r>
        <w:rPr>
          <w:rFonts w:hint="eastAsia"/>
        </w:rPr>
        <w:t>（</w:t>
      </w:r>
      <w:r>
        <w:rPr>
          <w:rFonts w:hint="eastAsia"/>
        </w:rPr>
        <w:t>2</w:t>
      </w:r>
      <w:r>
        <w:rPr>
          <w:rFonts w:hint="eastAsia"/>
        </w:rPr>
        <w:t>）及时、充分披露相关承诺未能履行、确已无法履行或无法按期履行的具体原因；</w:t>
      </w:r>
    </w:p>
    <w:p w14:paraId="00F37FA4" w14:textId="77777777" w:rsidR="00577D08" w:rsidRDefault="00330FC0">
      <w:pPr>
        <w:spacing w:line="360" w:lineRule="exact"/>
      </w:pPr>
      <w:r>
        <w:rPr>
          <w:rFonts w:hint="eastAsia"/>
        </w:rPr>
        <w:t>（</w:t>
      </w:r>
      <w:r>
        <w:rPr>
          <w:rFonts w:hint="eastAsia"/>
        </w:rPr>
        <w:t>3</w:t>
      </w:r>
      <w:r>
        <w:rPr>
          <w:rFonts w:hint="eastAsia"/>
        </w:rPr>
        <w:t>）如本人未能履行相关承诺事项，公司有权在前述事项发生之日起</w:t>
      </w:r>
      <w:r>
        <w:rPr>
          <w:rFonts w:hint="eastAsia"/>
        </w:rPr>
        <w:t>10</w:t>
      </w:r>
      <w:r>
        <w:rPr>
          <w:rFonts w:hint="eastAsia"/>
        </w:rPr>
        <w:t>个交易日内，停止对本人进行现金分红，并停发本人应在公司领取的薪酬、津贴（如有），直至本人履行相关承诺；</w:t>
      </w:r>
    </w:p>
    <w:p w14:paraId="187475F8" w14:textId="77777777" w:rsidR="00577D08" w:rsidRDefault="00330FC0">
      <w:pPr>
        <w:spacing w:line="360" w:lineRule="exact"/>
      </w:pPr>
      <w:r>
        <w:rPr>
          <w:rFonts w:hint="eastAsia"/>
        </w:rPr>
        <w:t>（</w:t>
      </w:r>
      <w:r>
        <w:rPr>
          <w:rFonts w:hint="eastAsia"/>
        </w:rPr>
        <w:t>4</w:t>
      </w:r>
      <w:r>
        <w:rPr>
          <w:rFonts w:hint="eastAsia"/>
        </w:rPr>
        <w:t>）不转让直接或间接持有的发行人的股份（如持有）。因继承、被强制执行、上市公司重组、为履行保护投资者利益承诺等必须转股的情形除外；</w:t>
      </w:r>
    </w:p>
    <w:p w14:paraId="46DE7832" w14:textId="77777777" w:rsidR="00577D08" w:rsidRDefault="00330FC0">
      <w:pPr>
        <w:spacing w:line="360" w:lineRule="exact"/>
      </w:pPr>
      <w:r>
        <w:rPr>
          <w:rFonts w:hint="eastAsia"/>
        </w:rPr>
        <w:t>（</w:t>
      </w:r>
      <w:r>
        <w:rPr>
          <w:rFonts w:hint="eastAsia"/>
        </w:rPr>
        <w:t>5</w:t>
      </w:r>
      <w:r>
        <w:rPr>
          <w:rFonts w:hint="eastAsia"/>
        </w:rPr>
        <w:t>）向投资者提出补充承诺或替代承诺，以尽可能保护投资者的权益；并同意将上述补充承诺或替代承诺提交股东大会审议；</w:t>
      </w:r>
    </w:p>
    <w:p w14:paraId="5FB5F7FB" w14:textId="77777777" w:rsidR="00577D08" w:rsidRDefault="00330FC0">
      <w:pPr>
        <w:spacing w:line="360" w:lineRule="exact"/>
      </w:pPr>
      <w:r>
        <w:rPr>
          <w:rFonts w:hint="eastAsia"/>
        </w:rPr>
        <w:t>（</w:t>
      </w:r>
      <w:r>
        <w:rPr>
          <w:rFonts w:hint="eastAsia"/>
        </w:rPr>
        <w:t>6</w:t>
      </w:r>
      <w:r>
        <w:rPr>
          <w:rFonts w:hint="eastAsia"/>
        </w:rPr>
        <w:t>）如违反相关承诺给投资者造成损失的，将依法赔偿投资者的损失。如该等已违反的承诺仍可继续履行，本人将继续履行该等承诺。”</w:t>
      </w:r>
    </w:p>
    <w:p w14:paraId="62F74A39" w14:textId="77777777" w:rsidR="00577D08" w:rsidRDefault="00577D08">
      <w:pPr>
        <w:spacing w:line="360" w:lineRule="exact"/>
      </w:pPr>
    </w:p>
    <w:p w14:paraId="43E75814" w14:textId="77777777" w:rsidR="00577D08" w:rsidRDefault="00330FC0">
      <w:pPr>
        <w:spacing w:line="360" w:lineRule="exact"/>
      </w:pPr>
      <w:r>
        <w:rPr>
          <w:rFonts w:hint="eastAsia"/>
        </w:rPr>
        <w:t>注</w:t>
      </w:r>
      <w:r>
        <w:rPr>
          <w:rFonts w:hint="eastAsia"/>
        </w:rPr>
        <w:t>9</w:t>
      </w:r>
      <w:r>
        <w:rPr>
          <w:rFonts w:hint="eastAsia"/>
        </w:rPr>
        <w:t>：稳定股价及相应约束措施的承诺</w:t>
      </w:r>
    </w:p>
    <w:p w14:paraId="1D2ADC45" w14:textId="77777777" w:rsidR="00577D08" w:rsidRDefault="00330FC0">
      <w:pPr>
        <w:spacing w:line="360" w:lineRule="exact"/>
      </w:pPr>
      <w:r>
        <w:rPr>
          <w:rFonts w:hint="eastAsia"/>
        </w:rPr>
        <w:t>1.</w:t>
      </w:r>
      <w:r>
        <w:rPr>
          <w:rFonts w:hint="eastAsia"/>
        </w:rPr>
        <w:t>公司承诺“自公司股票上市之日起</w:t>
      </w:r>
      <w:r>
        <w:rPr>
          <w:rFonts w:hint="eastAsia"/>
        </w:rPr>
        <w:t>3</w:t>
      </w:r>
      <w:r>
        <w:rPr>
          <w:rFonts w:hint="eastAsia"/>
        </w:rPr>
        <w:t>年内，当公司股票连续</w:t>
      </w:r>
      <w:r>
        <w:rPr>
          <w:rFonts w:hint="eastAsia"/>
        </w:rPr>
        <w:t>20</w:t>
      </w:r>
      <w:r>
        <w:rPr>
          <w:rFonts w:hint="eastAsia"/>
        </w:rPr>
        <w:t>个交易日的收盘价均低于公司最近一期经审计的每股净资产时，应实施相关稳定股价的措施。</w:t>
      </w:r>
    </w:p>
    <w:p w14:paraId="10511737" w14:textId="77777777" w:rsidR="00577D08" w:rsidRDefault="00330FC0">
      <w:pPr>
        <w:spacing w:line="360" w:lineRule="exact"/>
      </w:pPr>
      <w:r>
        <w:rPr>
          <w:rFonts w:hint="eastAsia"/>
        </w:rPr>
        <w:t>公司将提示及督促公司的控股股东、董事、高级管理人员（包括公司现任董事、高级管理人员，以及在本预案承诺签署时尚未就任的或者未来新选举或聘任的董事、高级管理人员）严格履行在公司首次公开发行股票并上市时公司、控股股东、董事、高级管理人员已作出的关于股价稳定措施的相应承诺。本公司将通过合法自有资金履行股份回购义务，同时保证回购结果不会导致本公司的股权分布不符合上市条件。若公司违反上市后三年内稳定股价预案中的承诺，则公司应：</w:t>
      </w:r>
      <w:r>
        <w:rPr>
          <w:rFonts w:hint="eastAsia"/>
        </w:rPr>
        <w:t>(1)</w:t>
      </w:r>
      <w:r>
        <w:rPr>
          <w:rFonts w:hint="eastAsia"/>
        </w:rPr>
        <w:t>在公司股东大会及中国证监会指定媒体上公开说明未履行承诺的具体原因并向股东和社会公众投资者道歉，并提出补充承诺或替代承诺，以尽可能保护投资者的权益；</w:t>
      </w:r>
      <w:r>
        <w:rPr>
          <w:rFonts w:hint="eastAsia"/>
        </w:rPr>
        <w:t>(2)</w:t>
      </w:r>
      <w:r>
        <w:rPr>
          <w:rFonts w:hint="eastAsia"/>
        </w:rPr>
        <w:t>因未能履行该项承诺造成投资者损失的，公司将依法向投资者进行赔偿。”</w:t>
      </w:r>
    </w:p>
    <w:p w14:paraId="11F44BC9" w14:textId="77777777" w:rsidR="00577D08" w:rsidRDefault="00577D08">
      <w:pPr>
        <w:spacing w:line="360" w:lineRule="exact"/>
      </w:pPr>
    </w:p>
    <w:p w14:paraId="640C1756" w14:textId="77777777" w:rsidR="00577D08" w:rsidRDefault="00330FC0">
      <w:pPr>
        <w:spacing w:line="360" w:lineRule="exact"/>
      </w:pPr>
      <w:r>
        <w:rPr>
          <w:rFonts w:hint="eastAsia"/>
        </w:rPr>
        <w:t>2</w:t>
      </w:r>
      <w:r>
        <w:rPr>
          <w:rFonts w:hint="eastAsia"/>
        </w:rPr>
        <w:t>、控股股东承诺</w:t>
      </w:r>
    </w:p>
    <w:p w14:paraId="3EE83CB9" w14:textId="77777777" w:rsidR="00577D08" w:rsidRDefault="00330FC0">
      <w:pPr>
        <w:spacing w:line="360" w:lineRule="exact"/>
      </w:pPr>
      <w:r>
        <w:rPr>
          <w:rFonts w:hint="eastAsia"/>
        </w:rPr>
        <w:lastRenderedPageBreak/>
        <w:t>“自公司股票上市之日起</w:t>
      </w:r>
      <w:r>
        <w:rPr>
          <w:rFonts w:hint="eastAsia"/>
        </w:rPr>
        <w:t>3</w:t>
      </w:r>
      <w:r>
        <w:rPr>
          <w:rFonts w:hint="eastAsia"/>
        </w:rPr>
        <w:t>年内，当公司股票连续</w:t>
      </w:r>
      <w:r>
        <w:rPr>
          <w:rFonts w:hint="eastAsia"/>
        </w:rPr>
        <w:t>20</w:t>
      </w:r>
      <w:r>
        <w:rPr>
          <w:rFonts w:hint="eastAsia"/>
        </w:rPr>
        <w:t>个交易日的收盘价均低于公司最近一期经审计的每股净资产时，且因</w:t>
      </w:r>
      <w:r>
        <w:rPr>
          <w:rFonts w:hint="eastAsia"/>
        </w:rPr>
        <w:t>(1)</w:t>
      </w:r>
      <w:r>
        <w:rPr>
          <w:rFonts w:hint="eastAsia"/>
        </w:rPr>
        <w:t>公司无法实施回购股票或回购股票议案未获得公司股东大会批准；（</w:t>
      </w:r>
      <w:r>
        <w:rPr>
          <w:rFonts w:hint="eastAsia"/>
        </w:rPr>
        <w:t>2</w:t>
      </w:r>
      <w:r>
        <w:rPr>
          <w:rFonts w:hint="eastAsia"/>
        </w:rPr>
        <w:t>）公司虽实施股票回购计划但仍未满足“公司股票连续</w:t>
      </w:r>
      <w:r>
        <w:rPr>
          <w:rFonts w:hint="eastAsia"/>
        </w:rPr>
        <w:t>3</w:t>
      </w:r>
      <w:r>
        <w:rPr>
          <w:rFonts w:hint="eastAsia"/>
        </w:rPr>
        <w:t>个交易日的收盘价均已高于最近一期经审计的每股净资产”之条件时，控股股东将在符合《上市公司收购管理办法》及中国证监会相关规定的前提下增持公司股票。</w:t>
      </w:r>
    </w:p>
    <w:p w14:paraId="6E6E500F" w14:textId="77777777" w:rsidR="00577D08" w:rsidRDefault="00330FC0">
      <w:pPr>
        <w:spacing w:line="360" w:lineRule="exact"/>
      </w:pPr>
      <w:r>
        <w:rPr>
          <w:rFonts w:hint="eastAsia"/>
        </w:rPr>
        <w:t>若本人</w:t>
      </w:r>
      <w:r>
        <w:rPr>
          <w:rFonts w:hint="eastAsia"/>
        </w:rPr>
        <w:t>/</w:t>
      </w:r>
      <w:r>
        <w:rPr>
          <w:rFonts w:hint="eastAsia"/>
        </w:rPr>
        <w:t>本公司违反上市后三年内稳定股价预案中的承诺，则控股股东应：（</w:t>
      </w:r>
      <w:r>
        <w:rPr>
          <w:rFonts w:hint="eastAsia"/>
        </w:rPr>
        <w:t>1</w:t>
      </w:r>
      <w:r>
        <w:rPr>
          <w:rFonts w:hint="eastAsia"/>
        </w:rPr>
        <w:t>）在公司股东大会及中国证监会指定媒体上公开说明未履行承诺的具体原因并向其他股东和社会公众投资者道歉，并提出补充承诺或者替代承诺，以尽可能保护投资者的权益；（</w:t>
      </w:r>
      <w:r>
        <w:rPr>
          <w:rFonts w:hint="eastAsia"/>
        </w:rPr>
        <w:t>2</w:t>
      </w:r>
      <w:r>
        <w:rPr>
          <w:rFonts w:hint="eastAsia"/>
        </w:rPr>
        <w:t>）控股股东所持限售股锁定期自期满后延长六个月，并将其在最近一个会计年度从公司分得的税后现金股利返还给公司。如未按期返还，公司可以从之后发放的现金股利中扣发，直至扣减金额累计达到应履行稳定股价义务的最近一个会计年度从公司已分得的税后现金股利总额。”</w:t>
      </w:r>
    </w:p>
    <w:p w14:paraId="19023AE6" w14:textId="77777777" w:rsidR="00577D08" w:rsidRDefault="00577D08">
      <w:pPr>
        <w:spacing w:line="360" w:lineRule="exact"/>
      </w:pPr>
    </w:p>
    <w:p w14:paraId="059A4F51" w14:textId="77777777" w:rsidR="00577D08" w:rsidRDefault="00330FC0">
      <w:pPr>
        <w:spacing w:line="360" w:lineRule="exact"/>
      </w:pPr>
      <w:r>
        <w:rPr>
          <w:rFonts w:hint="eastAsia"/>
        </w:rPr>
        <w:t>3</w:t>
      </w:r>
      <w:r>
        <w:rPr>
          <w:rFonts w:hint="eastAsia"/>
        </w:rPr>
        <w:t>、董事（不含独立董事，下同）、高级管理人员承诺：</w:t>
      </w:r>
    </w:p>
    <w:p w14:paraId="0BE18E07" w14:textId="77777777" w:rsidR="00577D08" w:rsidRDefault="00330FC0">
      <w:pPr>
        <w:spacing w:line="360" w:lineRule="exact"/>
      </w:pPr>
      <w:r>
        <w:rPr>
          <w:rFonts w:hint="eastAsia"/>
        </w:rPr>
        <w:t>“在公司控股股东增持公司股票方案实施完成后，如公司股票仍未满足“公司股票连续</w:t>
      </w:r>
      <w:r>
        <w:rPr>
          <w:rFonts w:hint="eastAsia"/>
        </w:rPr>
        <w:t>3</w:t>
      </w:r>
      <w:r>
        <w:rPr>
          <w:rFonts w:hint="eastAsia"/>
        </w:rPr>
        <w:t>个交易日的收盘价均已高于公司最近一期经审计的每股净资产”之条件，并且董事和高级管理人员增持公司股票不会致使公司将不满足法定上市条件或促使控股股东履行要约收购义务时，董事或高级管理人员将在控股股东增持公司股票方案实施完成后</w:t>
      </w:r>
      <w:r>
        <w:rPr>
          <w:rFonts w:hint="eastAsia"/>
        </w:rPr>
        <w:t>90</w:t>
      </w:r>
      <w:r>
        <w:rPr>
          <w:rFonts w:hint="eastAsia"/>
        </w:rPr>
        <w:t>日内增持公司股票。在公司控股股东增持公司股票方案实施完成后，如公司股票仍未满足“公司股票连续</w:t>
      </w:r>
      <w:r>
        <w:rPr>
          <w:rFonts w:hint="eastAsia"/>
        </w:rPr>
        <w:t>3</w:t>
      </w:r>
      <w:r>
        <w:rPr>
          <w:rFonts w:hint="eastAsia"/>
        </w:rPr>
        <w:t>个交易日的收盘价均已高于公司最近一期经审计的每股净资产”之条件，并且董事和高级管理人员增持公司股票不会致使公司将不满足法定上市条件或促使控股股东履行要约收购义务时，董事或高级管理人员将在控股股东增持公司股票方案实施完成后</w:t>
      </w:r>
      <w:r>
        <w:rPr>
          <w:rFonts w:hint="eastAsia"/>
        </w:rPr>
        <w:t>90</w:t>
      </w:r>
      <w:r>
        <w:rPr>
          <w:rFonts w:hint="eastAsia"/>
        </w:rPr>
        <w:t>日内增持公司股票。若本人违反上市后三年内稳定股价预案中的承诺，则应：（</w:t>
      </w:r>
      <w:r>
        <w:rPr>
          <w:rFonts w:hint="eastAsia"/>
        </w:rPr>
        <w:t>1</w:t>
      </w:r>
      <w:r>
        <w:rPr>
          <w:rFonts w:hint="eastAsia"/>
        </w:rPr>
        <w:t>）在公司股东大会及中国证监会指定媒体上公开说明未履行承诺的具体原因并向股东和社会公众投资者道歉，并提出补充承诺或替代承诺，以尽可能保护投资者的权益；（</w:t>
      </w:r>
      <w:r>
        <w:rPr>
          <w:rFonts w:hint="eastAsia"/>
        </w:rPr>
        <w:t>2</w:t>
      </w:r>
      <w:r>
        <w:rPr>
          <w:rFonts w:hint="eastAsia"/>
        </w:rPr>
        <w:t>）公司应当自本人未能履行稳定股价承诺当月起，扣减本人每月税后薪酬的</w:t>
      </w:r>
      <w:r>
        <w:rPr>
          <w:rFonts w:hint="eastAsia"/>
        </w:rPr>
        <w:t>20%</w:t>
      </w:r>
      <w:r>
        <w:rPr>
          <w:rFonts w:hint="eastAsia"/>
        </w:rPr>
        <w:t>，直至累计扣减金额达到应履行稳定股价义务的最近一个会计年度从公司已获得税后薪酬的</w:t>
      </w:r>
      <w:r>
        <w:rPr>
          <w:rFonts w:hint="eastAsia"/>
        </w:rPr>
        <w:t>20%</w:t>
      </w:r>
      <w:r>
        <w:rPr>
          <w:rFonts w:hint="eastAsia"/>
        </w:rPr>
        <w:t>。”</w:t>
      </w:r>
    </w:p>
    <w:p w14:paraId="67124D7A" w14:textId="77777777" w:rsidR="00577D08" w:rsidRDefault="00330FC0">
      <w:pPr>
        <w:pStyle w:val="3"/>
        <w:numPr>
          <w:ilvl w:val="1"/>
          <w:numId w:val="28"/>
        </w:numPr>
        <w:ind w:left="0" w:firstLine="0"/>
        <w:rPr>
          <w:rFonts w:ascii="宋体" w:hAnsi="宋体" w:cs="宋体" w:hint="eastAsia"/>
          <w:kern w:val="0"/>
          <w:szCs w:val="21"/>
        </w:rPr>
      </w:pPr>
      <w:r>
        <w:rPr>
          <w:rFonts w:ascii="宋体" w:hAnsi="宋体" w:cs="宋体"/>
          <w:kern w:val="0"/>
          <w:szCs w:val="21"/>
        </w:rPr>
        <w:t>公司资产或项目存在盈利预测，且报告期仍处在盈利预测期间，公司就资产或项目</w:t>
      </w:r>
      <w:r>
        <w:rPr>
          <w:rFonts w:ascii="宋体" w:hAnsi="宋体" w:cs="宋体" w:hint="eastAsia"/>
          <w:kern w:val="0"/>
          <w:szCs w:val="21"/>
        </w:rPr>
        <w:t>是否达到原盈利预测及其原因作出说明</w:t>
      </w:r>
    </w:p>
    <w:sdt>
      <w:sdtPr>
        <w:rPr>
          <w:rFonts w:asciiTheme="minorEastAsia" w:eastAsiaTheme="minorEastAsia" w:hAnsiTheme="minorEastAsia"/>
        </w:rPr>
        <w:alias w:val="是否适用：公司就资产或项目是否达到原盈利预测及其原因作出说明"/>
        <w:tag w:val="_GBC_f8fa889013a24cb79a6ed52423d2c5a8"/>
        <w:id w:val="803277949"/>
        <w:placeholder>
          <w:docPart w:val="GBC22222222222222222222222222222"/>
        </w:placeholder>
      </w:sdtPr>
      <w:sdtContent>
        <w:p w14:paraId="44331E3B" w14:textId="77777777" w:rsidR="00577D08" w:rsidRDefault="00330FC0">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□已达到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□未达到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√不适用 </w:instrText>
          </w:r>
          <w:r>
            <w:rPr>
              <w:rFonts w:asciiTheme="minorEastAsia" w:eastAsiaTheme="minorEastAsia" w:hAnsiTheme="minorEastAsia"/>
            </w:rPr>
            <w:fldChar w:fldCharType="end"/>
          </w:r>
        </w:p>
      </w:sdtContent>
    </w:sdt>
    <w:p w14:paraId="781BA043" w14:textId="77777777" w:rsidR="00577D08" w:rsidRDefault="00330FC0">
      <w:pPr>
        <w:pStyle w:val="3"/>
        <w:numPr>
          <w:ilvl w:val="1"/>
          <w:numId w:val="28"/>
        </w:numPr>
        <w:ind w:left="0" w:firstLine="0"/>
        <w:rPr>
          <w:szCs w:val="21"/>
        </w:rPr>
      </w:pPr>
      <w:bookmarkStart w:id="200" w:name="_Hlk190432639"/>
      <w:bookmarkStart w:id="201" w:name="OLE_LINK7"/>
      <w:r>
        <w:rPr>
          <w:rFonts w:hint="eastAsia"/>
          <w:szCs w:val="21"/>
        </w:rPr>
        <w:t>业绩承诺情况</w:t>
      </w:r>
    </w:p>
    <w:bookmarkEnd w:id="201" w:displacedByCustomXml="next"/>
    <w:sdt>
      <w:sdtPr>
        <w:rPr>
          <w:rFonts w:hint="eastAsia"/>
        </w:rPr>
        <w:alias w:val="是否适用：业绩承诺情况[双击切换]"/>
        <w:tag w:val="_GBC_4bc1b1ef9a5943f1bc075242961e8bbe"/>
        <w:id w:val="-78451519"/>
        <w:placeholder>
          <w:docPart w:val="GBC22222222222222222222222222222"/>
        </w:placeholder>
      </w:sdtPr>
      <w:sdtContent>
        <w:p w14:paraId="56E01A95" w14:textId="77777777" w:rsidR="00577D08" w:rsidRDefault="00330FC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6E68A3DD" w14:textId="77777777" w:rsidR="00577D08" w:rsidRDefault="00330FC0">
      <w:r>
        <w:rPr>
          <w:rFonts w:ascii="Calibri" w:hAnsi="Calibri" w:hint="eastAsia"/>
          <w:bCs/>
          <w:kern w:val="2"/>
        </w:rPr>
        <w:t>业绩承诺变更情况</w:t>
      </w:r>
    </w:p>
    <w:sdt>
      <w:sdtPr>
        <w:rPr>
          <w:rFonts w:hint="eastAsia"/>
        </w:rPr>
        <w:alias w:val="是否适用：业绩承诺变更情况[双击切换]"/>
        <w:tag w:val="_GBC_8bb44889d76e41f78196a5f39e535c73"/>
        <w:id w:val="-1139257229"/>
        <w:placeholder>
          <w:docPart w:val="GBC22222222222222222222222222222"/>
        </w:placeholder>
      </w:sdtPr>
      <w:sdtContent>
        <w:p w14:paraId="3F63380B" w14:textId="77777777" w:rsidR="00577D08" w:rsidRDefault="00330FC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5C69C10E" w14:textId="77777777" w:rsidR="00577D08" w:rsidRDefault="00330FC0">
      <w:bookmarkStart w:id="202" w:name="_Hlk533667679"/>
      <w:bookmarkStart w:id="203" w:name="_Hlk191039168"/>
      <w:bookmarkEnd w:id="202"/>
      <w:r>
        <w:rPr>
          <w:rFonts w:hint="eastAsia"/>
          <w:bCs/>
        </w:rPr>
        <w:t>其他说明</w:t>
      </w:r>
    </w:p>
    <w:p w14:paraId="602025BA" w14:textId="77777777" w:rsidR="00577D08" w:rsidRDefault="00000000">
      <w:sdt>
        <w:sdtPr>
          <w:rPr>
            <w:rFonts w:hint="eastAsia"/>
            <w:b/>
          </w:rPr>
          <w:alias w:val="是否适用：承诺事项-商誉减值测试的影响[双击切换]"/>
          <w:tag w:val="_GBC_bbcebd5eccb545a982a878b392419b4e"/>
          <w:id w:val="-1627467072"/>
          <w:placeholder>
            <w:docPart w:val="GBC22222222222222222222222222222"/>
          </w:placeholder>
        </w:sdtPr>
        <w:sdtContent>
          <w:r w:rsidR="00330FC0">
            <w:rPr>
              <w:rFonts w:ascii="宋体" w:hAnsi="宋体"/>
            </w:rPr>
            <w:fldChar w:fldCharType="begin"/>
          </w:r>
          <w:r w:rsidR="00330FC0">
            <w:rPr>
              <w:rFonts w:ascii="宋体" w:hAnsi="宋体"/>
            </w:rPr>
            <w:instrText xml:space="preserve"> 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4C544323" w14:textId="77777777" w:rsidR="00577D08" w:rsidRDefault="00330FC0">
      <w:pPr>
        <w:pStyle w:val="2"/>
        <w:numPr>
          <w:ilvl w:val="0"/>
          <w:numId w:val="27"/>
        </w:numPr>
        <w:rPr>
          <w:rFonts w:ascii="宋体" w:hAnsi="宋体" w:hint="eastAsia"/>
        </w:rPr>
      </w:pPr>
      <w:bookmarkStart w:id="204" w:name="_Hlk89336052"/>
      <w:bookmarkEnd w:id="200"/>
      <w:bookmarkEnd w:id="203"/>
      <w:r>
        <w:rPr>
          <w:rFonts w:ascii="宋体" w:hAnsi="宋体" w:hint="eastAsia"/>
        </w:rPr>
        <w:t>报</w:t>
      </w:r>
      <w:r>
        <w:rPr>
          <w:rFonts w:ascii="宋体" w:hAnsi="宋体"/>
        </w:rPr>
        <w:t>告期内</w:t>
      </w:r>
      <w:r>
        <w:rPr>
          <w:rFonts w:ascii="宋体" w:hAnsi="宋体" w:hint="eastAsia"/>
        </w:rPr>
        <w:t>控股股东及其他关联方非经营性占用资金情况</w:t>
      </w:r>
    </w:p>
    <w:sdt>
      <w:sdtPr>
        <w:alias w:val="是否适用：资金被占用情况及清欠进展情况[双击切换]"/>
        <w:tag w:val="_GBC_a94958949e0846929a78a71186526204"/>
        <w:id w:val="137627513"/>
        <w:placeholder>
          <w:docPart w:val="GBC22222222222222222222222222222"/>
        </w:placeholder>
      </w:sdtPr>
      <w:sdtContent>
        <w:p w14:paraId="57A0652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F54DE3C" w14:textId="77777777" w:rsidR="00577D08" w:rsidRDefault="00330FC0">
      <w:pPr>
        <w:pStyle w:val="2"/>
        <w:numPr>
          <w:ilvl w:val="0"/>
          <w:numId w:val="27"/>
        </w:numPr>
        <w:rPr>
          <w:rFonts w:ascii="宋体" w:hAnsi="宋体" w:hint="eastAsia"/>
        </w:rPr>
      </w:pPr>
      <w:bookmarkStart w:id="205" w:name="_Hlk89337011"/>
      <w:bookmarkEnd w:id="204"/>
      <w:r>
        <w:rPr>
          <w:rFonts w:ascii="宋体" w:hAnsi="宋体" w:hint="eastAsia"/>
        </w:rPr>
        <w:t>违规担保情况</w:t>
      </w:r>
    </w:p>
    <w:sdt>
      <w:sdtPr>
        <w:alias w:val="是否适用：违规担保情况[双击切换]"/>
        <w:tag w:val="_GBC_b2d16e23c066427a800b40aaa053bc8e"/>
        <w:id w:val="2134436117"/>
        <w:placeholder>
          <w:docPart w:val="GBC22222222222222222222222222222"/>
        </w:placeholder>
      </w:sdtPr>
      <w:sdtContent>
        <w:p w14:paraId="35DE7A9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310CD31" w14:textId="77777777" w:rsidR="00577D08" w:rsidRDefault="00577D08">
      <w:pPr>
        <w:sectPr w:rsidR="00577D08">
          <w:pgSz w:w="11906" w:h="16838"/>
          <w:pgMar w:top="1525" w:right="1276" w:bottom="1440" w:left="1797" w:header="855" w:footer="992" w:gutter="0"/>
          <w:cols w:space="425"/>
          <w:docGrid w:linePitch="312"/>
        </w:sectPr>
      </w:pPr>
    </w:p>
    <w:bookmarkEnd w:id="205"/>
    <w:p w14:paraId="269C9357" w14:textId="77777777" w:rsidR="00577D08" w:rsidRDefault="00330FC0">
      <w:pPr>
        <w:pStyle w:val="2"/>
        <w:numPr>
          <w:ilvl w:val="0"/>
          <w:numId w:val="27"/>
        </w:numPr>
        <w:rPr>
          <w:rFonts w:ascii="宋体" w:hAnsi="宋体" w:cs="宋体" w:hint="eastAsia"/>
          <w:kern w:val="0"/>
          <w:szCs w:val="24"/>
        </w:rPr>
      </w:pPr>
      <w:r>
        <w:rPr>
          <w:rFonts w:ascii="宋体" w:hAnsi="宋体" w:cs="宋体" w:hint="eastAsia"/>
          <w:kern w:val="0"/>
          <w:szCs w:val="24"/>
        </w:rPr>
        <w:lastRenderedPageBreak/>
        <w:t>公司董事会对会计师事务所“非标准意见审计报告”的说明</w:t>
      </w:r>
    </w:p>
    <w:p w14:paraId="5FCD2F78" w14:textId="77777777" w:rsidR="00577D08" w:rsidRDefault="00000000">
      <w:sdt>
        <w:sdtPr>
          <w:alias w:val="是否适用：董事会对会计师事务所非标准审计报告的说明[双击切换]"/>
          <w:tag w:val="_GBC_81f7a662b6a641d8aadb05b1cb176ecf"/>
          <w:id w:val="851608843"/>
          <w:placeholder>
            <w:docPart w:val="GBC22222222222222222222222222222"/>
          </w:placeholder>
        </w:sdtPr>
        <w:sdtContent>
          <w:r w:rsidR="00330FC0">
            <w:rPr>
              <w:rFonts w:ascii="宋体" w:hAnsi="宋体"/>
            </w:rPr>
            <w:fldChar w:fldCharType="begin"/>
          </w:r>
          <w:r w:rsidR="00330FC0">
            <w:rPr>
              <w:rFonts w:ascii="宋体" w:hAnsi="宋体"/>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5DA2F7A4" w14:textId="77777777" w:rsidR="00577D08" w:rsidRDefault="00330FC0">
      <w:pPr>
        <w:pStyle w:val="2"/>
        <w:numPr>
          <w:ilvl w:val="0"/>
          <w:numId w:val="27"/>
        </w:numPr>
        <w:rPr>
          <w:rFonts w:ascii="宋体" w:hAnsi="宋体" w:cs="宋体" w:hint="eastAsia"/>
          <w:kern w:val="0"/>
          <w:szCs w:val="24"/>
        </w:rPr>
      </w:pPr>
      <w:r>
        <w:rPr>
          <w:rFonts w:ascii="宋体" w:hAnsi="宋体" w:cs="宋体" w:hint="eastAsia"/>
          <w:kern w:val="0"/>
          <w:szCs w:val="24"/>
        </w:rPr>
        <w:t>公司对会计政策、会计估计变更或重大会计差错更正原因和影响的分析说明</w:t>
      </w:r>
    </w:p>
    <w:bookmarkStart w:id="206" w:name="_Hlk191559849" w:displacedByCustomXml="next"/>
    <w:sdt>
      <w:sdtPr>
        <w:tag w:val="_PLD_834cf8d61227452a9f43af3bb9507dde"/>
        <w:id w:val="54976807"/>
      </w:sdtPr>
      <w:sdtContent>
        <w:p w14:paraId="500341BE" w14:textId="77777777" w:rsidR="00577D08" w:rsidRDefault="00330FC0">
          <w:pPr>
            <w:pStyle w:val="3"/>
            <w:numPr>
              <w:ilvl w:val="0"/>
              <w:numId w:val="29"/>
            </w:numPr>
          </w:pPr>
          <w:r>
            <w:rPr>
              <w:rFonts w:hint="eastAsia"/>
            </w:rPr>
            <w:t>公司对会计政策、会计估计变更原因及影响的分析说明</w:t>
          </w:r>
        </w:p>
      </w:sdtContent>
    </w:sdt>
    <w:sdt>
      <w:sdtPr>
        <w:rPr>
          <w:rFonts w:hint="eastAsia"/>
        </w:rPr>
        <w:alias w:val="是否适用：公司对会计政策、会计估计更正的原因及影响[双击切换]"/>
        <w:tag w:val="_GBC_af0d7b808dd9452c873bbe81905062f6"/>
        <w:id w:val="309061405"/>
        <w:placeholder>
          <w:docPart w:val="GBC22222222222222222222222222222"/>
        </w:placeholder>
      </w:sdtPr>
      <w:sdtContent>
        <w:p w14:paraId="27FDF6D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206" w:displacedByCustomXml="next"/>
    <w:bookmarkStart w:id="207" w:name="_Hlk190433640" w:displacedByCustomXml="next"/>
    <w:bookmarkStart w:id="208" w:name="_Hlk191560035" w:displacedByCustomXml="next"/>
    <w:sdt>
      <w:sdtPr>
        <w:tag w:val="_PLD_310d5df4f7924e5ca2b78d38d9d5bb26"/>
        <w:id w:val="-1494480875"/>
      </w:sdtPr>
      <w:sdtContent>
        <w:p w14:paraId="54F316EE" w14:textId="77777777" w:rsidR="00577D08" w:rsidRDefault="00330FC0">
          <w:pPr>
            <w:pStyle w:val="3"/>
            <w:numPr>
              <w:ilvl w:val="0"/>
              <w:numId w:val="29"/>
            </w:numPr>
          </w:pPr>
          <w:r>
            <w:rPr>
              <w:rFonts w:hint="eastAsia"/>
            </w:rPr>
            <w:t>公司对重大会计</w:t>
          </w:r>
          <w:r>
            <w:rPr>
              <w:rFonts w:hint="eastAsia"/>
              <w:bCs w:val="0"/>
              <w:szCs w:val="24"/>
            </w:rPr>
            <w:t>差错</w:t>
          </w:r>
          <w:r>
            <w:rPr>
              <w:rFonts w:hint="eastAsia"/>
            </w:rPr>
            <w:t>更正原因及影响的分析说明</w:t>
          </w:r>
        </w:p>
      </w:sdtContent>
    </w:sdt>
    <w:sdt>
      <w:sdtPr>
        <w:rPr>
          <w:rFonts w:hint="eastAsia"/>
        </w:rPr>
        <w:alias w:val="是否适用：公司对重大会计差错更正的原因及影响[双击切换]"/>
        <w:tag w:val="_GBC_20433825c59a4e308939a2a08d3b64f5"/>
        <w:id w:val="1251084882"/>
        <w:placeholder>
          <w:docPart w:val="GBC22222222222222222222222222222"/>
        </w:placeholder>
      </w:sdtPr>
      <w:sdtContent>
        <w:p w14:paraId="0CC3823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208"/>
    <w:bookmarkEnd w:id="207"/>
    <w:p w14:paraId="4367B5C6" w14:textId="77777777" w:rsidR="00577D08" w:rsidRDefault="00330FC0">
      <w:pPr>
        <w:pStyle w:val="3"/>
        <w:numPr>
          <w:ilvl w:val="0"/>
          <w:numId w:val="29"/>
        </w:numPr>
        <w:ind w:left="0" w:firstLine="0"/>
      </w:pPr>
      <w:r>
        <w:t>与前任会计师事务所进行的沟通情况</w:t>
      </w:r>
    </w:p>
    <w:sdt>
      <w:sdtPr>
        <w:rPr>
          <w:rFonts w:hint="eastAsia"/>
        </w:rPr>
        <w:alias w:val="是否适用：与前任会计师事务所进行的沟通情况[双击切换]"/>
        <w:tag w:val="_GBC_eac5a093c5584c5699f0b1b4b2cc9124"/>
        <w:id w:val="326557535"/>
        <w:placeholder>
          <w:docPart w:val="GBC22222222222222222222222222222"/>
        </w:placeholder>
      </w:sdtPr>
      <w:sdtContent>
        <w:p w14:paraId="7CB54A7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F59EE7" w14:textId="77777777" w:rsidR="00577D08" w:rsidRDefault="00330FC0">
      <w:pPr>
        <w:pStyle w:val="3"/>
        <w:numPr>
          <w:ilvl w:val="0"/>
          <w:numId w:val="29"/>
        </w:numPr>
      </w:pPr>
      <w:r>
        <w:rPr>
          <w:rFonts w:ascii="宋体" w:hAnsi="宋体" w:cs="宋体" w:hint="eastAsia"/>
          <w:kern w:val="0"/>
          <w:szCs w:val="24"/>
        </w:rPr>
        <w:t>审批程序及</w:t>
      </w:r>
      <w:r>
        <w:t>其他说明</w:t>
      </w:r>
    </w:p>
    <w:sdt>
      <w:sdtPr>
        <w:rPr>
          <w:rFonts w:hint="eastAsia"/>
        </w:rPr>
        <w:alias w:val="是否适用：审批程序及其他说明[双击切换]"/>
        <w:tag w:val="_GBC_f59e5141b9f74a2badb652a198d25993"/>
        <w:id w:val="1703052809"/>
        <w:placeholder>
          <w:docPart w:val="GBC22222222222222222222222222222"/>
        </w:placeholder>
      </w:sdtPr>
      <w:sdtContent>
        <w:p w14:paraId="56DDD34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FEBF42" w14:textId="77777777" w:rsidR="00577D08" w:rsidRDefault="00330FC0">
      <w:pPr>
        <w:pStyle w:val="2"/>
        <w:numPr>
          <w:ilvl w:val="0"/>
          <w:numId w:val="27"/>
        </w:numPr>
        <w:rPr>
          <w:rFonts w:ascii="宋体" w:hAnsi="宋体" w:cs="宋体" w:hint="eastAsia"/>
          <w:kern w:val="0"/>
          <w:szCs w:val="24"/>
        </w:rPr>
      </w:pPr>
      <w:r>
        <w:rPr>
          <w:rFonts w:ascii="宋体" w:hAnsi="宋体" w:cs="宋体"/>
          <w:kern w:val="0"/>
          <w:szCs w:val="24"/>
        </w:rPr>
        <w:t>聘任、解聘会计师事务所情况</w:t>
      </w:r>
    </w:p>
    <w:p w14:paraId="45FBFB80" w14:textId="77777777" w:rsidR="00577D08" w:rsidRDefault="00330FC0">
      <w:pPr>
        <w:jc w:val="right"/>
      </w:pPr>
      <w:bookmarkStart w:id="209" w:name="_Hlk40535695"/>
      <w:r>
        <w:rPr>
          <w:rFonts w:hint="eastAsia"/>
        </w:rPr>
        <w:t>单位：</w:t>
      </w:r>
      <w:sdt>
        <w:sdtPr>
          <w:rPr>
            <w:rFonts w:hint="eastAsia"/>
          </w:rPr>
          <w:alias w:val="单位：聘任、解聘会计师事务所情况"/>
          <w:tag w:val="_GBC_26e166c9302c4cd6aef51526fb663693"/>
          <w:id w:val="21303501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币种：</w:t>
      </w:r>
      <w:sdt>
        <w:sdtPr>
          <w:rPr>
            <w:rFonts w:hint="eastAsia"/>
          </w:rPr>
          <w:alias w:val="币种：聘任、解聘会计师事务所情况"/>
          <w:tag w:val="_GBC_7dcaa3c6f2b646e695b35f062316b1bc"/>
          <w:id w:val="-2323270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4524"/>
        <w:gridCol w:w="4525"/>
      </w:tblGrid>
      <w:tr w:rsidR="00577D08" w14:paraId="1B8C22C8" w14:textId="77777777">
        <w:tc>
          <w:tcPr>
            <w:tcW w:w="4524" w:type="dxa"/>
            <w:vAlign w:val="center"/>
          </w:tcPr>
          <w:p w14:paraId="6EEC4400" w14:textId="77777777" w:rsidR="00577D08" w:rsidRDefault="00577D08"/>
        </w:tc>
        <w:sdt>
          <w:sdtPr>
            <w:tag w:val="_PLD_364aa8d2f946450c8e3aa85ae050a07e"/>
            <w:id w:val="863250859"/>
          </w:sdtPr>
          <w:sdtContent>
            <w:tc>
              <w:tcPr>
                <w:tcW w:w="4525" w:type="dxa"/>
                <w:vAlign w:val="center"/>
              </w:tcPr>
              <w:p w14:paraId="78F9A06B" w14:textId="77777777" w:rsidR="00577D08" w:rsidRDefault="00330FC0">
                <w:pPr>
                  <w:jc w:val="center"/>
                </w:pPr>
                <w:r>
                  <w:rPr>
                    <w:rFonts w:hint="eastAsia"/>
                  </w:rPr>
                  <w:t>现聘任</w:t>
                </w:r>
              </w:p>
            </w:tc>
          </w:sdtContent>
        </w:sdt>
      </w:tr>
      <w:tr w:rsidR="00577D08" w14:paraId="77E5F9D4" w14:textId="77777777">
        <w:tc>
          <w:tcPr>
            <w:tcW w:w="4524" w:type="dxa"/>
            <w:vAlign w:val="center"/>
          </w:tcPr>
          <w:p w14:paraId="6A1F1A83" w14:textId="77777777" w:rsidR="00577D08" w:rsidRDefault="00330FC0">
            <w:r>
              <w:rPr>
                <w:rFonts w:hint="eastAsia"/>
              </w:rPr>
              <w:t>境内会计师事务所名称</w:t>
            </w:r>
          </w:p>
        </w:tc>
        <w:tc>
          <w:tcPr>
            <w:tcW w:w="4525" w:type="dxa"/>
            <w:vAlign w:val="center"/>
          </w:tcPr>
          <w:p w14:paraId="4648F4D9" w14:textId="77777777" w:rsidR="00577D08" w:rsidRDefault="00330FC0">
            <w:r>
              <w:rPr>
                <w:rFonts w:hint="eastAsia"/>
              </w:rPr>
              <w:t>天健会计师事务所（特殊普通合伙）</w:t>
            </w:r>
          </w:p>
        </w:tc>
      </w:tr>
      <w:tr w:rsidR="00577D08" w14:paraId="1E58B109" w14:textId="77777777">
        <w:tc>
          <w:tcPr>
            <w:tcW w:w="4524" w:type="dxa"/>
            <w:vAlign w:val="center"/>
          </w:tcPr>
          <w:p w14:paraId="4CAE216B" w14:textId="77777777" w:rsidR="00577D08" w:rsidRDefault="00330FC0">
            <w:r>
              <w:rPr>
                <w:rFonts w:hint="eastAsia"/>
              </w:rPr>
              <w:t>境内会计师事务所报酬</w:t>
            </w:r>
          </w:p>
        </w:tc>
        <w:tc>
          <w:tcPr>
            <w:tcW w:w="4525" w:type="dxa"/>
            <w:vAlign w:val="center"/>
          </w:tcPr>
          <w:p w14:paraId="4F44D2D2" w14:textId="77777777" w:rsidR="00577D08" w:rsidRDefault="00330FC0">
            <w:pPr>
              <w:jc w:val="right"/>
            </w:pPr>
            <w:r>
              <w:t>110</w:t>
            </w:r>
          </w:p>
        </w:tc>
      </w:tr>
      <w:tr w:rsidR="00577D08" w14:paraId="7B4078D0" w14:textId="77777777">
        <w:tc>
          <w:tcPr>
            <w:tcW w:w="4524" w:type="dxa"/>
            <w:vAlign w:val="center"/>
          </w:tcPr>
          <w:p w14:paraId="4B8C6B94" w14:textId="77777777" w:rsidR="00577D08" w:rsidRDefault="00330FC0">
            <w:r>
              <w:rPr>
                <w:rFonts w:hint="eastAsia"/>
              </w:rPr>
              <w:t>境内会计师事务所审计年限</w:t>
            </w:r>
          </w:p>
        </w:tc>
        <w:tc>
          <w:tcPr>
            <w:tcW w:w="4525" w:type="dxa"/>
            <w:vAlign w:val="center"/>
          </w:tcPr>
          <w:p w14:paraId="6507E747" w14:textId="77777777" w:rsidR="00577D08" w:rsidRDefault="00330FC0">
            <w:pPr>
              <w:jc w:val="right"/>
            </w:pPr>
            <w:r>
              <w:rPr>
                <w:rFonts w:hint="eastAsia"/>
              </w:rPr>
              <w:t>2</w:t>
            </w:r>
          </w:p>
        </w:tc>
      </w:tr>
      <w:tr w:rsidR="00577D08" w14:paraId="2E1D4261" w14:textId="77777777">
        <w:tc>
          <w:tcPr>
            <w:tcW w:w="4524" w:type="dxa"/>
            <w:vAlign w:val="center"/>
          </w:tcPr>
          <w:p w14:paraId="7367C496" w14:textId="77777777" w:rsidR="00577D08" w:rsidRDefault="00330FC0">
            <w:r>
              <w:rPr>
                <w:rFonts w:hint="eastAsia"/>
              </w:rPr>
              <w:t>境内会计师事务所注册会计师姓名</w:t>
            </w:r>
          </w:p>
        </w:tc>
        <w:tc>
          <w:tcPr>
            <w:tcW w:w="4525" w:type="dxa"/>
            <w:vAlign w:val="center"/>
          </w:tcPr>
          <w:p w14:paraId="6EEDA69A" w14:textId="77777777" w:rsidR="00577D08" w:rsidRDefault="00330FC0">
            <w:pPr>
              <w:jc w:val="right"/>
            </w:pPr>
            <w:r>
              <w:rPr>
                <w:rFonts w:hint="eastAsia"/>
              </w:rPr>
              <w:t>黄巧梅、李小燕</w:t>
            </w:r>
          </w:p>
        </w:tc>
      </w:tr>
      <w:tr w:rsidR="00577D08" w14:paraId="56A16A42" w14:textId="77777777">
        <w:tc>
          <w:tcPr>
            <w:tcW w:w="4524" w:type="dxa"/>
            <w:vAlign w:val="center"/>
          </w:tcPr>
          <w:p w14:paraId="33885463" w14:textId="77777777" w:rsidR="00577D08" w:rsidRDefault="00330FC0">
            <w:r>
              <w:rPr>
                <w:rFonts w:hint="eastAsia"/>
              </w:rPr>
              <w:t>境内会计师事务所注册会计师审计服务的累计年限</w:t>
            </w:r>
          </w:p>
        </w:tc>
        <w:tc>
          <w:tcPr>
            <w:tcW w:w="4525" w:type="dxa"/>
            <w:vAlign w:val="center"/>
          </w:tcPr>
          <w:p w14:paraId="101A28F1" w14:textId="77777777" w:rsidR="00577D08" w:rsidRDefault="00330FC0">
            <w:pPr>
              <w:jc w:val="right"/>
            </w:pPr>
            <w:r>
              <w:rPr>
                <w:rFonts w:hint="eastAsia"/>
              </w:rPr>
              <w:t>2</w:t>
            </w:r>
          </w:p>
        </w:tc>
      </w:tr>
    </w:tbl>
    <w:p w14:paraId="09765579" w14:textId="77777777" w:rsidR="00577D08" w:rsidRDefault="00577D08"/>
    <w:tbl>
      <w:tblPr>
        <w:tblStyle w:val="aff2"/>
        <w:tblW w:w="0" w:type="auto"/>
        <w:tblLayout w:type="fixed"/>
        <w:tblLook w:val="04A0" w:firstRow="1" w:lastRow="0" w:firstColumn="1" w:lastColumn="0" w:noHBand="0" w:noVBand="1"/>
      </w:tblPr>
      <w:tblGrid>
        <w:gridCol w:w="3016"/>
        <w:gridCol w:w="3016"/>
        <w:gridCol w:w="3017"/>
      </w:tblGrid>
      <w:tr w:rsidR="00577D08" w14:paraId="63BEA0F7" w14:textId="77777777">
        <w:tc>
          <w:tcPr>
            <w:tcW w:w="3016" w:type="dxa"/>
            <w:vAlign w:val="center"/>
          </w:tcPr>
          <w:p w14:paraId="1BB9C13A" w14:textId="77777777" w:rsidR="00577D08" w:rsidRDefault="00577D08"/>
        </w:tc>
        <w:sdt>
          <w:sdtPr>
            <w:tag w:val="_PLD_c9ec27d8a8454f91bb769203a75df4b3"/>
            <w:id w:val="-580682830"/>
          </w:sdtPr>
          <w:sdtContent>
            <w:tc>
              <w:tcPr>
                <w:tcW w:w="3016" w:type="dxa"/>
                <w:vAlign w:val="center"/>
              </w:tcPr>
              <w:p w14:paraId="40367F60" w14:textId="77777777" w:rsidR="00577D08" w:rsidRDefault="00330FC0">
                <w:pPr>
                  <w:jc w:val="center"/>
                </w:pPr>
                <w:r>
                  <w:rPr>
                    <w:rFonts w:hint="eastAsia"/>
                  </w:rPr>
                  <w:t>名称</w:t>
                </w:r>
              </w:p>
            </w:tc>
          </w:sdtContent>
        </w:sdt>
        <w:sdt>
          <w:sdtPr>
            <w:tag w:val="_PLD_ae4e80c7f64046dcb42116bfa53b53af"/>
            <w:id w:val="-1088307807"/>
          </w:sdtPr>
          <w:sdtContent>
            <w:tc>
              <w:tcPr>
                <w:tcW w:w="3017" w:type="dxa"/>
                <w:vAlign w:val="center"/>
              </w:tcPr>
              <w:p w14:paraId="05C14D49" w14:textId="77777777" w:rsidR="00577D08" w:rsidRDefault="00330FC0">
                <w:pPr>
                  <w:jc w:val="center"/>
                </w:pPr>
                <w:r>
                  <w:rPr>
                    <w:rFonts w:hint="eastAsia"/>
                  </w:rPr>
                  <w:t>报酬</w:t>
                </w:r>
              </w:p>
            </w:tc>
          </w:sdtContent>
        </w:sdt>
      </w:tr>
      <w:tr w:rsidR="00577D08" w14:paraId="26C9AA71" w14:textId="77777777">
        <w:tc>
          <w:tcPr>
            <w:tcW w:w="3016" w:type="dxa"/>
            <w:vAlign w:val="center"/>
          </w:tcPr>
          <w:p w14:paraId="23320D75" w14:textId="77777777" w:rsidR="00577D08" w:rsidRDefault="00330FC0">
            <w:r>
              <w:rPr>
                <w:rFonts w:hint="eastAsia"/>
              </w:rPr>
              <w:t>内部控制审计会计师事务所</w:t>
            </w:r>
          </w:p>
        </w:tc>
        <w:tc>
          <w:tcPr>
            <w:tcW w:w="3016" w:type="dxa"/>
            <w:vAlign w:val="center"/>
          </w:tcPr>
          <w:p w14:paraId="523B004B" w14:textId="77777777" w:rsidR="00577D08" w:rsidRDefault="00330FC0">
            <w:r>
              <w:rPr>
                <w:rFonts w:hint="eastAsia"/>
              </w:rPr>
              <w:t>天健会计师事务所（特殊普通合伙）</w:t>
            </w:r>
          </w:p>
        </w:tc>
        <w:tc>
          <w:tcPr>
            <w:tcW w:w="3017" w:type="dxa"/>
            <w:vAlign w:val="center"/>
          </w:tcPr>
          <w:p w14:paraId="3C871F54" w14:textId="77777777" w:rsidR="00577D08" w:rsidRDefault="00330FC0">
            <w:pPr>
              <w:jc w:val="right"/>
            </w:pPr>
            <w:r>
              <w:rPr>
                <w:rFonts w:hint="eastAsia"/>
              </w:rPr>
              <w:t>2</w:t>
            </w:r>
            <w:r>
              <w:t>5</w:t>
            </w:r>
          </w:p>
        </w:tc>
      </w:tr>
    </w:tbl>
    <w:bookmarkEnd w:id="209"/>
    <w:p w14:paraId="219C6B1F" w14:textId="77777777" w:rsidR="00577D08" w:rsidRDefault="00330FC0">
      <w:r>
        <w:t>聘任、解聘会计师事务所的情况说明</w:t>
      </w:r>
    </w:p>
    <w:sdt>
      <w:sdtPr>
        <w:alias w:val="是否适用：聘任、解聘会计师事务所情况[双击切换]"/>
        <w:tag w:val="_GBC_376f0811302240c0a118add2061458b6"/>
        <w:id w:val="938028922"/>
        <w:placeholder>
          <w:docPart w:val="GBC22222222222222222222222222222"/>
        </w:placeholder>
      </w:sdtPr>
      <w:sdtContent>
        <w:p w14:paraId="08C65556"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BC48C40" w14:textId="77777777" w:rsidR="00577D08" w:rsidRDefault="00330FC0">
      <w:r>
        <w:t>审计期间改聘会计师事务所的情况说明</w:t>
      </w:r>
    </w:p>
    <w:sdt>
      <w:sdtPr>
        <w:rPr>
          <w:rFonts w:hint="eastAsia"/>
        </w:rPr>
        <w:alias w:val="是否适用：审计期间改聘会计师事务所的情况说明[双击切换]"/>
        <w:tag w:val="_GBC_34c57619e2904c83a8840614e4e5d5d0"/>
        <w:id w:val="1699662589"/>
        <w:placeholder>
          <w:docPart w:val="GBC22222222222222222222222222222"/>
        </w:placeholder>
      </w:sdtPr>
      <w:sdtContent>
        <w:p w14:paraId="7E453C1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11EBA62" w14:textId="77777777" w:rsidR="00577D08" w:rsidRDefault="00330FC0">
      <w:r>
        <w:rPr>
          <w:rFonts w:hint="eastAsia"/>
        </w:rPr>
        <w:t>审计费用较上一年度下降</w:t>
      </w:r>
      <w:r>
        <w:rPr>
          <w:rFonts w:hint="eastAsia"/>
        </w:rPr>
        <w:t>20%</w:t>
      </w:r>
      <w:r>
        <w:rPr>
          <w:rFonts w:hint="eastAsia"/>
        </w:rPr>
        <w:t>以上（含</w:t>
      </w:r>
      <w:r>
        <w:rPr>
          <w:rFonts w:hint="eastAsia"/>
        </w:rPr>
        <w:t>20%</w:t>
      </w:r>
      <w:r>
        <w:rPr>
          <w:rFonts w:hint="eastAsia"/>
        </w:rPr>
        <w:t>）的情况说明</w:t>
      </w:r>
    </w:p>
    <w:sdt>
      <w:sdtPr>
        <w:rPr>
          <w:rFonts w:hint="eastAsia"/>
        </w:rPr>
        <w:alias w:val="是否适用：审计费用较上一年度下降20%以上（含20%）的情况说明[双击切换]"/>
        <w:tag w:val="_GBC_1b0fa24aa1d645e2aa2ab2a0fe7c67ab"/>
        <w:id w:val="-1823814876"/>
        <w:placeholder>
          <w:docPart w:val="GBC22222222222222222222222222222"/>
        </w:placeholder>
      </w:sdtPr>
      <w:sdtContent>
        <w:p w14:paraId="52E129D3"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30E76E5" w14:textId="77777777" w:rsidR="00577D08" w:rsidRDefault="00330FC0">
      <w:pPr>
        <w:pStyle w:val="2"/>
        <w:numPr>
          <w:ilvl w:val="0"/>
          <w:numId w:val="27"/>
        </w:numPr>
        <w:rPr>
          <w:rFonts w:ascii="宋体" w:hAnsi="宋体" w:cs="宋体" w:hint="eastAsia"/>
          <w:kern w:val="0"/>
          <w:szCs w:val="24"/>
        </w:rPr>
      </w:pPr>
      <w:r>
        <w:rPr>
          <w:rFonts w:ascii="宋体" w:hAnsi="宋体" w:cs="宋体"/>
          <w:kern w:val="0"/>
          <w:szCs w:val="24"/>
        </w:rPr>
        <w:t>面临</w:t>
      </w:r>
      <w:r>
        <w:rPr>
          <w:rFonts w:ascii="宋体" w:hAnsi="宋体" w:cs="宋体" w:hint="eastAsia"/>
          <w:kern w:val="0"/>
          <w:szCs w:val="24"/>
        </w:rPr>
        <w:t>退</w:t>
      </w:r>
      <w:r>
        <w:rPr>
          <w:rFonts w:ascii="宋体" w:hAnsi="宋体" w:cs="宋体"/>
          <w:kern w:val="0"/>
          <w:szCs w:val="24"/>
        </w:rPr>
        <w:t>市风险的情况</w:t>
      </w:r>
    </w:p>
    <w:p w14:paraId="7CF3F09A" w14:textId="77777777" w:rsidR="00577D08" w:rsidRDefault="00330FC0">
      <w:pPr>
        <w:pStyle w:val="3"/>
        <w:numPr>
          <w:ilvl w:val="0"/>
          <w:numId w:val="30"/>
        </w:numPr>
        <w:jc w:val="left"/>
      </w:pPr>
      <w:r>
        <w:rPr>
          <w:rFonts w:hint="eastAsia"/>
        </w:rPr>
        <w:t>导</w:t>
      </w:r>
      <w:r>
        <w:rPr>
          <w:szCs w:val="21"/>
        </w:rPr>
        <w:t>致</w:t>
      </w:r>
      <w:r>
        <w:rPr>
          <w:rFonts w:hint="eastAsia"/>
          <w:szCs w:val="21"/>
        </w:rPr>
        <w:t>退市风险警示</w:t>
      </w:r>
      <w:r>
        <w:rPr>
          <w:szCs w:val="21"/>
        </w:rPr>
        <w:t>的原因</w:t>
      </w:r>
    </w:p>
    <w:sdt>
      <w:sdtPr>
        <w:rPr>
          <w:rFonts w:hint="eastAsia"/>
        </w:rPr>
        <w:alias w:val="是否适用：导致暂停上市的原因[双击切换]"/>
        <w:tag w:val="_GBC_5be6e6fabf4849c7b63c5d08ac7706e1"/>
        <w:id w:val="-889197184"/>
        <w:placeholder>
          <w:docPart w:val="GBC22222222222222222222222222222"/>
        </w:placeholder>
      </w:sdtPr>
      <w:sdtContent>
        <w:p w14:paraId="356233B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367B3CD" w14:textId="77777777" w:rsidR="00577D08" w:rsidRDefault="00330FC0">
      <w:pPr>
        <w:pStyle w:val="3"/>
        <w:numPr>
          <w:ilvl w:val="0"/>
          <w:numId w:val="30"/>
        </w:numPr>
        <w:rPr>
          <w:szCs w:val="21"/>
        </w:rPr>
      </w:pPr>
      <w:r>
        <w:rPr>
          <w:rFonts w:hint="eastAsia"/>
          <w:szCs w:val="21"/>
        </w:rPr>
        <w:t>公司拟采取的应对措施</w:t>
      </w:r>
    </w:p>
    <w:sdt>
      <w:sdtPr>
        <w:alias w:val="是否适用：公司拟采取的措施[双击切换]"/>
        <w:tag w:val="_GBC_8656f473b4d943fe8fa1477037f607c5"/>
        <w:id w:val="1612239498"/>
        <w:placeholder>
          <w:docPart w:val="GBC22222222222222222222222222222"/>
        </w:placeholder>
      </w:sdtPr>
      <w:sdtContent>
        <w:p w14:paraId="0C6986A8"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75FA3F0" w14:textId="77777777" w:rsidR="00577D08" w:rsidRDefault="00330FC0">
      <w:pPr>
        <w:pStyle w:val="3"/>
        <w:numPr>
          <w:ilvl w:val="0"/>
          <w:numId w:val="30"/>
        </w:numPr>
        <w:rPr>
          <w:rFonts w:ascii="宋体" w:hAnsi="宋体" w:cs="宋体" w:hint="eastAsia"/>
          <w:kern w:val="0"/>
          <w:szCs w:val="21"/>
        </w:rPr>
      </w:pPr>
      <w:bookmarkStart w:id="210" w:name="_Hlk89346186"/>
      <w:r>
        <w:rPr>
          <w:rFonts w:ascii="宋体" w:hAnsi="宋体" w:cs="宋体" w:hint="eastAsia"/>
          <w:kern w:val="0"/>
          <w:szCs w:val="21"/>
        </w:rPr>
        <w:t>面临终止上市的情况和原因</w:t>
      </w:r>
    </w:p>
    <w:sdt>
      <w:sdtPr>
        <w:rPr>
          <w:rFonts w:hint="eastAsia"/>
        </w:rPr>
        <w:alias w:val="是否适用：面临终止上市的情况和原因 [双击切换]"/>
        <w:tag w:val="_GBC_36002fff87954035b149cfd20b1790d5"/>
        <w:id w:val="368810160"/>
        <w:placeholder>
          <w:docPart w:val="GBC22222222222222222222222222222"/>
        </w:placeholder>
      </w:sdtPr>
      <w:sdtContent>
        <w:p w14:paraId="3B20FDE9"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10"/>
    <w:p w14:paraId="7BB9B7AC" w14:textId="77777777" w:rsidR="00577D08" w:rsidRDefault="00330FC0">
      <w:pPr>
        <w:pStyle w:val="2"/>
        <w:numPr>
          <w:ilvl w:val="0"/>
          <w:numId w:val="27"/>
        </w:numPr>
      </w:pPr>
      <w:r>
        <w:t>破产重整相关事项</w:t>
      </w:r>
    </w:p>
    <w:sdt>
      <w:sdtPr>
        <w:alias w:val="是否适用：破产重整相关事项[双击切换]"/>
        <w:tag w:val="_GBC_5840a694c2a04f98893394e6da3bc9cc"/>
        <w:id w:val="-2011054504"/>
        <w:placeholder>
          <w:docPart w:val="GBC22222222222222222222222222222"/>
        </w:placeholder>
      </w:sdtPr>
      <w:sdtContent>
        <w:p w14:paraId="1EC82E22"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09E9084" w14:textId="77777777" w:rsidR="00577D08" w:rsidRDefault="00330FC0">
      <w:pPr>
        <w:pStyle w:val="2"/>
        <w:numPr>
          <w:ilvl w:val="0"/>
          <w:numId w:val="27"/>
        </w:numPr>
      </w:pPr>
      <w:r>
        <w:t>重大诉讼、仲裁事项</w:t>
      </w:r>
    </w:p>
    <w:sdt>
      <w:sdtPr>
        <w:rPr>
          <w:rFonts w:asciiTheme="minorEastAsia" w:eastAsiaTheme="minorEastAsia" w:hAnsiTheme="minorEastAsia"/>
        </w:rPr>
        <w:alias w:val="本年度公司有无重大诉讼、仲裁事项"/>
        <w:tag w:val="_GBC_b7d97a978491465ca563fa610688ebef"/>
        <w:id w:val="486979771"/>
        <w:placeholder>
          <w:docPart w:val="GBC22222222222222222222222222222"/>
        </w:placeholder>
      </w:sdtPr>
      <w:sdtContent>
        <w:p w14:paraId="5E1ADA57" w14:textId="77777777" w:rsidR="00577D08" w:rsidRDefault="00330FC0">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□本年度公司有重大诉讼、仲裁事项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√本年度公司无重大诉讼、仲裁事项 </w:instrText>
          </w:r>
          <w:r>
            <w:rPr>
              <w:rFonts w:asciiTheme="minorEastAsia" w:eastAsiaTheme="minorEastAsia" w:hAnsiTheme="minorEastAsia"/>
            </w:rPr>
            <w:fldChar w:fldCharType="end"/>
          </w:r>
        </w:p>
      </w:sdtContent>
    </w:sdt>
    <w:p w14:paraId="473712E6" w14:textId="77777777" w:rsidR="00577D08" w:rsidRDefault="00330FC0">
      <w:pPr>
        <w:pStyle w:val="2"/>
        <w:numPr>
          <w:ilvl w:val="0"/>
          <w:numId w:val="27"/>
        </w:numPr>
        <w:ind w:left="0" w:firstLine="0"/>
      </w:pPr>
      <w:r>
        <w:lastRenderedPageBreak/>
        <w:t>上市公司</w:t>
      </w:r>
      <w:r>
        <w:rPr>
          <w:rFonts w:hint="eastAsia"/>
        </w:rPr>
        <w:t>及其董事、高级管理人员、控股股东、实际控制人</w:t>
      </w:r>
      <w:r>
        <w:t>涉嫌违法违规、受到处罚及整改情况</w:t>
      </w:r>
    </w:p>
    <w:sdt>
      <w:sdtPr>
        <w:alias w:val="是否适用：上市公司及其董事、监事、高级管理人员、持有5%以上股份的股东、实际控制人、收购人处罚及整改情况[双击切换]"/>
        <w:tag w:val="_GBC_123762bb7717485a933e24f7a072833b"/>
        <w:id w:val="-1027322588"/>
        <w:placeholder>
          <w:docPart w:val="GBC22222222222222222222222222222"/>
        </w:placeholder>
      </w:sdtPr>
      <w:sdtContent>
        <w:p w14:paraId="26DCD7F3"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1554951" w14:textId="77777777" w:rsidR="00577D08" w:rsidRDefault="00330FC0">
      <w:pPr>
        <w:pStyle w:val="2"/>
        <w:numPr>
          <w:ilvl w:val="0"/>
          <w:numId w:val="27"/>
        </w:numPr>
      </w:pPr>
      <w:r>
        <w:rPr>
          <w:rFonts w:hint="eastAsia"/>
        </w:rPr>
        <w:t>报告期内公司及其控股股东、实际控制人诚信状况的说明</w:t>
      </w:r>
    </w:p>
    <w:sdt>
      <w:sdtPr>
        <w:rPr>
          <w:rFonts w:hint="eastAsia"/>
        </w:rPr>
        <w:alias w:val="是否适用：报告期内公司及其控股股东、实际控制人诚信状况的说明[双击切换]"/>
        <w:tag w:val="_GBC_c52f51ce49eb4245a9df7baca2947656"/>
        <w:id w:val="776981845"/>
        <w:placeholder>
          <w:docPart w:val="GBC22222222222222222222222222222"/>
        </w:placeholder>
      </w:sdtPr>
      <w:sdtContent>
        <w:p w14:paraId="3FEA593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C6D0340" w14:textId="77777777" w:rsidR="00577D08" w:rsidRDefault="00330FC0">
      <w:pPr>
        <w:pStyle w:val="2"/>
        <w:numPr>
          <w:ilvl w:val="0"/>
          <w:numId w:val="27"/>
        </w:numPr>
      </w:pPr>
      <w:r>
        <w:rPr>
          <w:rFonts w:hint="eastAsia"/>
        </w:rPr>
        <w:t>重大关联交易</w:t>
      </w:r>
    </w:p>
    <w:p w14:paraId="1D2267A6" w14:textId="77777777" w:rsidR="00577D08" w:rsidRDefault="00330FC0">
      <w:pPr>
        <w:pStyle w:val="3"/>
        <w:numPr>
          <w:ilvl w:val="2"/>
          <w:numId w:val="5"/>
        </w:numPr>
        <w:rPr>
          <w:szCs w:val="21"/>
        </w:rPr>
      </w:pPr>
      <w:bookmarkStart w:id="211" w:name="_Toc342565953"/>
      <w:bookmarkStart w:id="212" w:name="_Toc342491961"/>
      <w:r>
        <w:rPr>
          <w:rFonts w:hint="eastAsia"/>
          <w:szCs w:val="21"/>
        </w:rPr>
        <w:t>与日常经营相关的关联交易</w:t>
      </w:r>
      <w:bookmarkEnd w:id="211"/>
      <w:bookmarkEnd w:id="212"/>
    </w:p>
    <w:p w14:paraId="4BEF0406" w14:textId="77777777" w:rsidR="00577D08" w:rsidRDefault="00330FC0">
      <w:pPr>
        <w:pStyle w:val="4"/>
        <w:numPr>
          <w:ilvl w:val="2"/>
          <w:numId w:val="31"/>
        </w:numPr>
        <w:rPr>
          <w:rFonts w:hint="eastAsia"/>
        </w:r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427822591"/>
        <w:placeholder>
          <w:docPart w:val="GBC22222222222222222222222222222"/>
        </w:placeholder>
      </w:sdtPr>
      <w:sdtContent>
        <w:p w14:paraId="2B7A474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D0D3441" w14:textId="77777777" w:rsidR="00577D08" w:rsidRDefault="00330FC0">
      <w:pPr>
        <w:pStyle w:val="4"/>
        <w:numPr>
          <w:ilvl w:val="2"/>
          <w:numId w:val="31"/>
        </w:numPr>
        <w:rPr>
          <w:rFonts w:hint="eastAsia"/>
        </w:rPr>
      </w:pPr>
      <w:r>
        <w:t>已在临时公告披露，但有后续实施的进展或变化的事项</w:t>
      </w:r>
    </w:p>
    <w:sdt>
      <w:sdtPr>
        <w:rPr>
          <w:rFonts w:hint="eastAsia"/>
        </w:rPr>
        <w:alias w:val="是否适用：已在临时公告披露，但有后续实施的进展或变化的事项_与日常经营相关的关联交易[双击切换]"/>
        <w:tag w:val="_GBC_19ed12f3e7b5456b8509a0a5457f26b3"/>
        <w:id w:val="661894356"/>
        <w:placeholder>
          <w:docPart w:val="GBC22222222222222222222222222222"/>
        </w:placeholder>
      </w:sdtPr>
      <w:sdtContent>
        <w:p w14:paraId="4E9A63B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Start w:id="213" w:name="OLE_LINK25" w:displacedByCustomXml="next"/>
    <w:sdt>
      <w:sdtPr>
        <w:rPr>
          <w:rFonts w:hint="eastAsia"/>
        </w:rPr>
        <w:alias w:val="与日常经营相关的关联交易事项已在临时报告披露，后续实施的进展或变化"/>
        <w:tag w:val="_GBC_5fbfc287aede44a486960ae219233887"/>
        <w:id w:val="-1794058091"/>
        <w:placeholder>
          <w:docPart w:val="0CBD0CC511664A699F621C8A58A5F7C6"/>
        </w:placeholder>
      </w:sdtPr>
      <w:sdtContent>
        <w:p w14:paraId="13EFABD0" w14:textId="77777777" w:rsidR="00577D08" w:rsidRDefault="00330FC0">
          <w:pPr>
            <w:jc w:val="right"/>
          </w:pPr>
          <w:r>
            <w:rPr>
              <w:rFonts w:hint="eastAsia"/>
            </w:rPr>
            <w:t>单位：万元</w:t>
          </w:r>
          <w:r>
            <w:rPr>
              <w:rFonts w:hint="eastAsia"/>
            </w:rPr>
            <w:t xml:space="preserve"> </w:t>
          </w:r>
          <w:r>
            <w:rPr>
              <w:rFonts w:hint="eastAsia"/>
            </w:rPr>
            <w:t>币种：人民币</w:t>
          </w:r>
        </w:p>
        <w:tbl>
          <w:tblPr>
            <w:tblStyle w:val="aff2"/>
            <w:tblW w:w="0" w:type="auto"/>
            <w:tblLook w:val="04A0" w:firstRow="1" w:lastRow="0" w:firstColumn="1" w:lastColumn="0" w:noHBand="0" w:noVBand="1"/>
          </w:tblPr>
          <w:tblGrid>
            <w:gridCol w:w="1095"/>
            <w:gridCol w:w="1096"/>
            <w:gridCol w:w="1096"/>
            <w:gridCol w:w="1096"/>
            <w:gridCol w:w="1096"/>
            <w:gridCol w:w="1122"/>
            <w:gridCol w:w="1115"/>
            <w:gridCol w:w="1107"/>
          </w:tblGrid>
          <w:tr w:rsidR="00577D08" w14:paraId="668E929F" w14:textId="77777777">
            <w:tc>
              <w:tcPr>
                <w:tcW w:w="1131" w:type="dxa"/>
                <w:vAlign w:val="center"/>
              </w:tcPr>
              <w:bookmarkEnd w:id="213"/>
              <w:p w14:paraId="6C9EFF9C" w14:textId="77777777" w:rsidR="00577D08" w:rsidRDefault="00330FC0">
                <w:pPr>
                  <w:jc w:val="center"/>
                </w:pPr>
                <w:r>
                  <w:rPr>
                    <w:rFonts w:hint="eastAsia"/>
                  </w:rPr>
                  <w:t>关联交易方</w:t>
                </w:r>
              </w:p>
            </w:tc>
            <w:tc>
              <w:tcPr>
                <w:tcW w:w="1131" w:type="dxa"/>
                <w:vAlign w:val="center"/>
              </w:tcPr>
              <w:p w14:paraId="2AC0F497" w14:textId="77777777" w:rsidR="00577D08" w:rsidRDefault="00330FC0">
                <w:pPr>
                  <w:jc w:val="center"/>
                </w:pPr>
                <w:r>
                  <w:rPr>
                    <w:rFonts w:hint="eastAsia"/>
                  </w:rPr>
                  <w:t>关联关系</w:t>
                </w:r>
              </w:p>
            </w:tc>
            <w:tc>
              <w:tcPr>
                <w:tcW w:w="1131" w:type="dxa"/>
                <w:vAlign w:val="center"/>
              </w:tcPr>
              <w:p w14:paraId="47741481" w14:textId="77777777" w:rsidR="00577D08" w:rsidRDefault="00330FC0">
                <w:pPr>
                  <w:jc w:val="center"/>
                </w:pPr>
                <w:r>
                  <w:rPr>
                    <w:rFonts w:hint="eastAsia"/>
                  </w:rPr>
                  <w:t>关联交易类型</w:t>
                </w:r>
              </w:p>
            </w:tc>
            <w:tc>
              <w:tcPr>
                <w:tcW w:w="1131" w:type="dxa"/>
                <w:vAlign w:val="center"/>
              </w:tcPr>
              <w:p w14:paraId="4B4375ED" w14:textId="77777777" w:rsidR="00577D08" w:rsidRDefault="00330FC0">
                <w:pPr>
                  <w:jc w:val="center"/>
                </w:pPr>
                <w:r>
                  <w:rPr>
                    <w:rFonts w:hint="eastAsia"/>
                  </w:rPr>
                  <w:t>关联交易内容</w:t>
                </w:r>
              </w:p>
            </w:tc>
            <w:tc>
              <w:tcPr>
                <w:tcW w:w="1131" w:type="dxa"/>
                <w:vAlign w:val="center"/>
              </w:tcPr>
              <w:p w14:paraId="760FCF80" w14:textId="77777777" w:rsidR="00577D08" w:rsidRDefault="00330FC0">
                <w:pPr>
                  <w:jc w:val="center"/>
                </w:pPr>
                <w:r>
                  <w:rPr>
                    <w:rFonts w:hint="eastAsia"/>
                  </w:rPr>
                  <w:t>关联交易定价原则</w:t>
                </w:r>
              </w:p>
            </w:tc>
            <w:tc>
              <w:tcPr>
                <w:tcW w:w="1131" w:type="dxa"/>
                <w:vAlign w:val="center"/>
              </w:tcPr>
              <w:p w14:paraId="57984980" w14:textId="77777777" w:rsidR="00577D08" w:rsidRDefault="00330FC0">
                <w:pPr>
                  <w:jc w:val="center"/>
                </w:pPr>
                <w:r>
                  <w:rPr>
                    <w:rFonts w:hint="eastAsia"/>
                  </w:rPr>
                  <w:t>关联交易金额</w:t>
                </w:r>
              </w:p>
            </w:tc>
            <w:tc>
              <w:tcPr>
                <w:tcW w:w="1131" w:type="dxa"/>
                <w:vAlign w:val="center"/>
              </w:tcPr>
              <w:p w14:paraId="084891D7" w14:textId="77777777" w:rsidR="00577D08" w:rsidRDefault="00330FC0">
                <w:pPr>
                  <w:jc w:val="center"/>
                </w:pPr>
                <w:r>
                  <w:rPr>
                    <w:rFonts w:hint="eastAsia"/>
                  </w:rPr>
                  <w:t>占同类交易金额的比例（</w:t>
                </w:r>
                <w:r>
                  <w:rPr>
                    <w:rFonts w:hint="eastAsia"/>
                  </w:rPr>
                  <w:t>%</w:t>
                </w:r>
                <w:r>
                  <w:rPr>
                    <w:rFonts w:hint="eastAsia"/>
                  </w:rPr>
                  <w:t>）</w:t>
                </w:r>
              </w:p>
            </w:tc>
            <w:tc>
              <w:tcPr>
                <w:tcW w:w="1132" w:type="dxa"/>
                <w:vAlign w:val="center"/>
              </w:tcPr>
              <w:p w14:paraId="630F8C84" w14:textId="77777777" w:rsidR="00577D08" w:rsidRDefault="00330FC0">
                <w:pPr>
                  <w:jc w:val="center"/>
                </w:pPr>
                <w:r>
                  <w:rPr>
                    <w:rFonts w:hint="eastAsia"/>
                  </w:rPr>
                  <w:t>关联交易结算方式</w:t>
                </w:r>
              </w:p>
            </w:tc>
          </w:tr>
          <w:tr w:rsidR="00577D08" w14:paraId="46AC2C54" w14:textId="77777777">
            <w:tc>
              <w:tcPr>
                <w:tcW w:w="1131" w:type="dxa"/>
              </w:tcPr>
              <w:p w14:paraId="069BC278" w14:textId="77777777" w:rsidR="00577D08" w:rsidRDefault="00330FC0">
                <w:r>
                  <w:rPr>
                    <w:rFonts w:hint="eastAsia"/>
                  </w:rPr>
                  <w:t>四川明珠电工材料有限责任公司</w:t>
                </w:r>
              </w:p>
            </w:tc>
            <w:tc>
              <w:tcPr>
                <w:tcW w:w="1131" w:type="dxa"/>
                <w:vAlign w:val="center"/>
              </w:tcPr>
              <w:p w14:paraId="20802DDE" w14:textId="77777777" w:rsidR="00577D08" w:rsidRDefault="00330FC0">
                <w:pPr>
                  <w:jc w:val="center"/>
                </w:pPr>
                <w:r>
                  <w:rPr>
                    <w:rFonts w:hint="eastAsia"/>
                  </w:rPr>
                  <w:t>其他</w:t>
                </w:r>
              </w:p>
            </w:tc>
            <w:tc>
              <w:tcPr>
                <w:tcW w:w="1131" w:type="dxa"/>
                <w:vAlign w:val="center"/>
              </w:tcPr>
              <w:p w14:paraId="706C60EE" w14:textId="77777777" w:rsidR="00577D08" w:rsidRDefault="00330FC0">
                <w:pPr>
                  <w:jc w:val="center"/>
                </w:pPr>
                <w:r>
                  <w:rPr>
                    <w:rFonts w:hint="eastAsia"/>
                  </w:rPr>
                  <w:t>购买商品</w:t>
                </w:r>
              </w:p>
            </w:tc>
            <w:tc>
              <w:tcPr>
                <w:tcW w:w="1131" w:type="dxa"/>
                <w:vAlign w:val="center"/>
              </w:tcPr>
              <w:p w14:paraId="08CF8F03" w14:textId="77777777" w:rsidR="00577D08" w:rsidRDefault="00330FC0">
                <w:pPr>
                  <w:jc w:val="center"/>
                </w:pPr>
                <w:r>
                  <w:rPr>
                    <w:rFonts w:hint="eastAsia"/>
                  </w:rPr>
                  <w:t>铜材等</w:t>
                </w:r>
              </w:p>
            </w:tc>
            <w:tc>
              <w:tcPr>
                <w:tcW w:w="1131" w:type="dxa"/>
                <w:vAlign w:val="center"/>
              </w:tcPr>
              <w:p w14:paraId="1DAE2602" w14:textId="77777777" w:rsidR="00577D08" w:rsidRDefault="00330FC0">
                <w:pPr>
                  <w:jc w:val="center"/>
                </w:pPr>
                <w:r>
                  <w:rPr>
                    <w:rFonts w:hint="eastAsia"/>
                  </w:rPr>
                  <w:t>参照市场价格协商确定</w:t>
                </w:r>
              </w:p>
            </w:tc>
            <w:tc>
              <w:tcPr>
                <w:tcW w:w="1131" w:type="dxa"/>
                <w:vAlign w:val="center"/>
              </w:tcPr>
              <w:p w14:paraId="3CF4CBE1" w14:textId="77777777" w:rsidR="00577D08" w:rsidRDefault="00330FC0">
                <w:pPr>
                  <w:jc w:val="right"/>
                </w:pPr>
                <w:r>
                  <w:rPr>
                    <w:rFonts w:hint="eastAsia"/>
                  </w:rPr>
                  <w:t>6,056.08</w:t>
                </w:r>
              </w:p>
            </w:tc>
            <w:tc>
              <w:tcPr>
                <w:tcW w:w="1131" w:type="dxa"/>
                <w:vAlign w:val="center"/>
              </w:tcPr>
              <w:p w14:paraId="163E5693" w14:textId="77777777" w:rsidR="00577D08" w:rsidRDefault="00330FC0">
                <w:pPr>
                  <w:jc w:val="right"/>
                </w:pPr>
                <w:r>
                  <w:rPr>
                    <w:rFonts w:hint="eastAsia"/>
                  </w:rPr>
                  <w:t>2.11%</w:t>
                </w:r>
              </w:p>
            </w:tc>
            <w:tc>
              <w:tcPr>
                <w:tcW w:w="1132" w:type="dxa"/>
                <w:vAlign w:val="center"/>
              </w:tcPr>
              <w:p w14:paraId="708C0517" w14:textId="77777777" w:rsidR="00577D08" w:rsidRDefault="00330FC0">
                <w:pPr>
                  <w:jc w:val="left"/>
                </w:pPr>
                <w:r>
                  <w:rPr>
                    <w:rFonts w:hint="eastAsia"/>
                  </w:rPr>
                  <w:t>银行转账、电子银行承兑</w:t>
                </w:r>
              </w:p>
            </w:tc>
          </w:tr>
        </w:tbl>
        <w:p w14:paraId="562D7EC9" w14:textId="77777777" w:rsidR="00577D08" w:rsidRDefault="00000000"/>
      </w:sdtContent>
    </w:sdt>
    <w:p w14:paraId="2A65D0EB" w14:textId="77777777" w:rsidR="00577D08" w:rsidRDefault="00330FC0">
      <w:pPr>
        <w:pStyle w:val="4"/>
        <w:numPr>
          <w:ilvl w:val="2"/>
          <w:numId w:val="31"/>
        </w:numPr>
        <w:rPr>
          <w:rFonts w:hint="eastAsia"/>
        </w:rPr>
      </w:pPr>
      <w:bookmarkStart w:id="214" w:name="_Toc342565956"/>
      <w:bookmarkStart w:id="215" w:name="_Toc342491964"/>
      <w:r>
        <w:rPr>
          <w:rFonts w:hint="eastAsia"/>
        </w:rPr>
        <w:t>临时公告未披露的事</w:t>
      </w:r>
      <w:bookmarkEnd w:id="214"/>
      <w:bookmarkEnd w:id="215"/>
      <w:r>
        <w:rPr>
          <w:rFonts w:hint="eastAsia"/>
        </w:rPr>
        <w:t>项</w:t>
      </w:r>
    </w:p>
    <w:sdt>
      <w:sdtPr>
        <w:alias w:val="是否适用：与日常经营相关的关联交易_临时公告未披露的事项[双击切换]"/>
        <w:tag w:val="_GBC_3f1135e0d6d440e6a4af283441bd65d2"/>
        <w:id w:val="832572253"/>
        <w:placeholder>
          <w:docPart w:val="GBC22222222222222222222222222222"/>
        </w:placeholder>
      </w:sdtPr>
      <w:sdtContent>
        <w:p w14:paraId="1F0C906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00D8342" w14:textId="77777777" w:rsidR="00577D08" w:rsidRDefault="00330FC0">
      <w:pPr>
        <w:pStyle w:val="3"/>
        <w:numPr>
          <w:ilvl w:val="2"/>
          <w:numId w:val="5"/>
        </w:numPr>
        <w:tabs>
          <w:tab w:val="left" w:pos="426"/>
        </w:tabs>
        <w:rPr>
          <w:rFonts w:ascii="宋体" w:hAnsi="宋体" w:hint="eastAsia"/>
          <w:szCs w:val="21"/>
        </w:rPr>
      </w:pPr>
      <w:r>
        <w:rPr>
          <w:szCs w:val="21"/>
        </w:rPr>
        <w:t>资产</w:t>
      </w:r>
      <w:r>
        <w:rPr>
          <w:rFonts w:hint="eastAsia"/>
          <w:szCs w:val="21"/>
        </w:rPr>
        <w:t>或股权</w:t>
      </w:r>
      <w:r>
        <w:rPr>
          <w:szCs w:val="21"/>
        </w:rPr>
        <w:t>收购、出售发生的关联交易</w:t>
      </w:r>
    </w:p>
    <w:p w14:paraId="617156C3" w14:textId="77777777" w:rsidR="00577D08" w:rsidRDefault="00330FC0">
      <w:pPr>
        <w:pStyle w:val="4"/>
        <w:numPr>
          <w:ilvl w:val="0"/>
          <w:numId w:val="32"/>
        </w:numPr>
        <w:rPr>
          <w:rFonts w:hint="eastAsia"/>
        </w:r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882984340"/>
        <w:placeholder>
          <w:docPart w:val="GBC22222222222222222222222222222"/>
        </w:placeholder>
      </w:sdtPr>
      <w:sdtContent>
        <w:p w14:paraId="541A643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3843322" w14:textId="77777777" w:rsidR="00577D08" w:rsidRDefault="00330FC0">
      <w:pPr>
        <w:pStyle w:val="4"/>
        <w:numPr>
          <w:ilvl w:val="0"/>
          <w:numId w:val="32"/>
        </w:numPr>
        <w:rPr>
          <w:rFonts w:hint="eastAsia"/>
        </w:rPr>
      </w:pPr>
      <w:bookmarkStart w:id="216" w:name="_Hlk90309315"/>
      <w:r>
        <w:t>已在临时公告披露，但有后续实施的进展或变化的事项</w:t>
      </w:r>
    </w:p>
    <w:sdt>
      <w:sdtPr>
        <w:rPr>
          <w:rFonts w:hint="eastAsia"/>
        </w:rPr>
        <w:alias w:val="是否适用：已在临时公告披露，但有后续实施的进展或变化的事项_资产或股权收购、出售发生的关联交易[双击切换]"/>
        <w:tag w:val="_GBC_f85ce314be044952b84cb0c7825e3be3"/>
        <w:id w:val="-433668788"/>
        <w:placeholder>
          <w:docPart w:val="GBC22222222222222222222222222222"/>
        </w:placeholder>
      </w:sdtPr>
      <w:sdtContent>
        <w:p w14:paraId="51AA50F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216"/>
    <w:p w14:paraId="0DF083ED" w14:textId="77777777" w:rsidR="00577D08" w:rsidRDefault="00330FC0">
      <w:pPr>
        <w:pStyle w:val="4"/>
        <w:numPr>
          <w:ilvl w:val="0"/>
          <w:numId w:val="32"/>
        </w:numPr>
        <w:rPr>
          <w:rFonts w:hint="eastAsia"/>
        </w:rPr>
      </w:pPr>
      <w:r>
        <w:t>临时公告未披露的事项</w:t>
      </w:r>
    </w:p>
    <w:sdt>
      <w:sdtPr>
        <w:alias w:val="是否适用：资产收购、出售发生的关联交易_临时公告未披露的事项[双击切换]"/>
        <w:tag w:val="_GBC_c2403e21caad4498842c2f1cf3384c0d"/>
        <w:id w:val="-111442352"/>
        <w:placeholder>
          <w:docPart w:val="GBC22222222222222222222222222222"/>
        </w:placeholder>
      </w:sdtPr>
      <w:sdtContent>
        <w:p w14:paraId="5F01C20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17EA4AB" w14:textId="77777777" w:rsidR="00577D08" w:rsidRDefault="00330FC0">
      <w:pPr>
        <w:pStyle w:val="4"/>
        <w:numPr>
          <w:ilvl w:val="0"/>
          <w:numId w:val="32"/>
        </w:numPr>
        <w:rPr>
          <w:rFonts w:hint="eastAsia"/>
        </w:r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368687042"/>
        <w:placeholder>
          <w:docPart w:val="GBC22222222222222222222222222222"/>
        </w:placeholder>
      </w:sdtPr>
      <w:sdtContent>
        <w:p w14:paraId="5280318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F9CA9D" w14:textId="77777777" w:rsidR="00577D08" w:rsidRDefault="00330FC0">
      <w:pPr>
        <w:pStyle w:val="3"/>
        <w:numPr>
          <w:ilvl w:val="2"/>
          <w:numId w:val="5"/>
        </w:numPr>
        <w:rPr>
          <w:szCs w:val="21"/>
        </w:rPr>
      </w:pPr>
      <w:r>
        <w:rPr>
          <w:szCs w:val="21"/>
        </w:rPr>
        <w:t>共同对外投资的重大关联交易</w:t>
      </w:r>
    </w:p>
    <w:p w14:paraId="7BDE9B15" w14:textId="77777777" w:rsidR="00577D08" w:rsidRDefault="00330FC0">
      <w:pPr>
        <w:pStyle w:val="4"/>
        <w:numPr>
          <w:ilvl w:val="0"/>
          <w:numId w:val="33"/>
        </w:numPr>
        <w:rPr>
          <w:rFonts w:hint="eastAsia"/>
        </w:r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50237556"/>
        <w:placeholder>
          <w:docPart w:val="GBC22222222222222222222222222222"/>
        </w:placeholder>
      </w:sdtPr>
      <w:sdtContent>
        <w:p w14:paraId="25F081B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AD4AE2" w14:textId="77777777" w:rsidR="00577D08" w:rsidRDefault="00330FC0">
      <w:pPr>
        <w:pStyle w:val="4"/>
        <w:numPr>
          <w:ilvl w:val="0"/>
          <w:numId w:val="33"/>
        </w:numPr>
        <w:rPr>
          <w:rFonts w:hint="eastAsia"/>
        </w:rPr>
      </w:pPr>
      <w:r>
        <w:t>已在临时公告披露，但有后续实施的进展或变化的事项</w:t>
      </w:r>
    </w:p>
    <w:sdt>
      <w:sdtPr>
        <w:rPr>
          <w:rFonts w:hint="eastAsia"/>
        </w:rPr>
        <w:alias w:val="是否适用：已在临时公告披露，但有后续实施的进展或变化的事项_共同对外投资的重大关联交易[双击切换]"/>
        <w:tag w:val="_GBC_5d21c9b653cf41df993294ab4dfbca74"/>
        <w:id w:val="-485251056"/>
        <w:placeholder>
          <w:docPart w:val="GBC22222222222222222222222222222"/>
        </w:placeholder>
      </w:sdtPr>
      <w:sdtContent>
        <w:p w14:paraId="111E8E2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C413886" w14:textId="77777777" w:rsidR="00577D08" w:rsidRDefault="00330FC0">
      <w:pPr>
        <w:pStyle w:val="4"/>
        <w:numPr>
          <w:ilvl w:val="0"/>
          <w:numId w:val="33"/>
        </w:numPr>
        <w:rPr>
          <w:rFonts w:hint="eastAsia"/>
        </w:rPr>
      </w:pPr>
      <w:r>
        <w:t>临时公告未披露的事项</w:t>
      </w:r>
    </w:p>
    <w:sdt>
      <w:sdtPr>
        <w:alias w:val="是否适用：共同对外投资的重大关联交易_临时公告未披露的事项[双击切换]"/>
        <w:tag w:val="_GBC_0a8e93fe81464e209d3619d1be6a3349"/>
        <w:id w:val="176392730"/>
        <w:placeholder>
          <w:docPart w:val="GBC22222222222222222222222222222"/>
        </w:placeholder>
      </w:sdtPr>
      <w:sdtContent>
        <w:p w14:paraId="4D22674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E05579" w14:textId="77777777" w:rsidR="00577D08" w:rsidRDefault="00330FC0">
      <w:pPr>
        <w:pStyle w:val="3"/>
        <w:numPr>
          <w:ilvl w:val="2"/>
          <w:numId w:val="5"/>
        </w:numPr>
        <w:rPr>
          <w:szCs w:val="21"/>
        </w:rPr>
      </w:pPr>
      <w:r>
        <w:rPr>
          <w:rFonts w:hint="eastAsia"/>
          <w:szCs w:val="21"/>
        </w:rPr>
        <w:lastRenderedPageBreak/>
        <w:t>关联债权债务往来</w:t>
      </w:r>
    </w:p>
    <w:p w14:paraId="283BDE85" w14:textId="77777777" w:rsidR="00577D08" w:rsidRDefault="00330FC0">
      <w:pPr>
        <w:pStyle w:val="4"/>
        <w:numPr>
          <w:ilvl w:val="0"/>
          <w:numId w:val="34"/>
        </w:numPr>
        <w:rPr>
          <w:rFonts w:hint="eastAsia"/>
        </w:r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1988780163"/>
        <w:placeholder>
          <w:docPart w:val="GBC22222222222222222222222222222"/>
        </w:placeholder>
      </w:sdtPr>
      <w:sdtContent>
        <w:p w14:paraId="1BD46CC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F5F0888" w14:textId="77777777" w:rsidR="00577D08" w:rsidRDefault="00330FC0">
      <w:pPr>
        <w:pStyle w:val="4"/>
        <w:numPr>
          <w:ilvl w:val="0"/>
          <w:numId w:val="34"/>
        </w:numPr>
        <w:rPr>
          <w:rFonts w:hint="eastAsia"/>
        </w:rPr>
      </w:pPr>
      <w:r>
        <w:t>已在临时公告披露，但有后续实施的进展或变化的事项</w:t>
      </w:r>
    </w:p>
    <w:sdt>
      <w:sdtPr>
        <w:rPr>
          <w:rFonts w:hint="eastAsia"/>
        </w:rPr>
        <w:alias w:val="是否适用：已在临时公告披露，但有后续实施的进展或变化的事项_关联债权债务往来[双击切换]"/>
        <w:tag w:val="_GBC_fe8fc12ee5c547d690bcc3fb3f1f4e32"/>
        <w:id w:val="98002250"/>
        <w:placeholder>
          <w:docPart w:val="GBC22222222222222222222222222222"/>
        </w:placeholder>
      </w:sdtPr>
      <w:sdtContent>
        <w:p w14:paraId="3BD7204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6FCFEBB" w14:textId="77777777" w:rsidR="00577D08" w:rsidRDefault="00330FC0">
      <w:pPr>
        <w:pStyle w:val="4"/>
        <w:numPr>
          <w:ilvl w:val="0"/>
          <w:numId w:val="34"/>
        </w:numPr>
        <w:rPr>
          <w:rFonts w:hint="eastAsia"/>
        </w:rPr>
      </w:pPr>
      <w:r>
        <w:rPr>
          <w:rFonts w:hint="eastAsia"/>
        </w:rPr>
        <w:t>临时公告未披露的事项</w:t>
      </w:r>
    </w:p>
    <w:sdt>
      <w:sdtPr>
        <w:alias w:val="是否适用：关联债权债务往来_临时公告未披露的事项[双击切换]"/>
        <w:tag w:val="_GBC_d9a88c6705ef48d49848c2b93cb503f2"/>
        <w:id w:val="-1219277865"/>
        <w:placeholder>
          <w:docPart w:val="GBC22222222222222222222222222222"/>
        </w:placeholder>
      </w:sdtPr>
      <w:sdtContent>
        <w:p w14:paraId="72C530B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1EA9BB9" w14:textId="77777777" w:rsidR="00577D08" w:rsidRDefault="00330FC0">
      <w:pPr>
        <w:pStyle w:val="3"/>
        <w:numPr>
          <w:ilvl w:val="2"/>
          <w:numId w:val="5"/>
        </w:numPr>
        <w:rPr>
          <w:rFonts w:ascii="宋体" w:hAnsi="宋体" w:hint="eastAsia"/>
        </w:rPr>
      </w:pPr>
      <w:bookmarkStart w:id="217" w:name="_Hlk89346519"/>
      <w:bookmarkStart w:id="218" w:name="_Hlk89953756"/>
      <w:r>
        <w:rPr>
          <w:rFonts w:ascii="宋体" w:hAnsi="宋体"/>
        </w:rPr>
        <w:t>公司与存在关联关系的财务公司、公司控股财务公司与关联方之间的金融业务</w:t>
      </w:r>
    </w:p>
    <w:sdt>
      <w:sdtPr>
        <w:alias w:val="是否适用：公司与存在关联关系的财务公司、公司控股财务公司与关联方之间的金融业务 [双击切换]"/>
        <w:tag w:val="_GBC_5a345568387542318c17a9fa2dcc2dbc"/>
        <w:id w:val="-720666947"/>
        <w:placeholder>
          <w:docPart w:val="GBC22222222222222222222222222222"/>
        </w:placeholder>
      </w:sdtPr>
      <w:sdtContent>
        <w:p w14:paraId="7064C75E" w14:textId="77777777" w:rsidR="00577D08" w:rsidRDefault="00330FC0">
          <w:pPr>
            <w:rPr>
              <w:color w:val="000000" w:themeColor="text1"/>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5416612" w14:textId="77777777" w:rsidR="00577D08" w:rsidRDefault="00330FC0">
      <w:pPr>
        <w:pStyle w:val="3"/>
        <w:numPr>
          <w:ilvl w:val="2"/>
          <w:numId w:val="5"/>
        </w:numPr>
        <w:rPr>
          <w:szCs w:val="21"/>
        </w:rPr>
      </w:pPr>
      <w:bookmarkStart w:id="219" w:name="_Hlk41316022"/>
      <w:bookmarkEnd w:id="217"/>
      <w:bookmarkEnd w:id="218"/>
      <w:bookmarkEnd w:id="219"/>
      <w:r>
        <w:rPr>
          <w:rFonts w:hint="eastAsia"/>
          <w:szCs w:val="21"/>
        </w:rPr>
        <w:t>其他</w:t>
      </w:r>
    </w:p>
    <w:sdt>
      <w:sdtPr>
        <w:rPr>
          <w:rFonts w:asciiTheme="minorEastAsia" w:eastAsiaTheme="minorEastAsia" w:hAnsiTheme="minorEastAsia" w:hint="eastAsia"/>
        </w:rPr>
        <w:alias w:val="是否适用：重大关联交易其他说明[双击切换]"/>
        <w:tag w:val="_GBC_49b04883b7a84a83b6a8bfec05cbb445"/>
        <w:id w:val="-1713878240"/>
        <w:placeholder>
          <w:docPart w:val="GBC22222222222222222222222222222"/>
        </w:placeholder>
      </w:sdtPr>
      <w:sdtContent>
        <w:p w14:paraId="18F5A35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2893D65" w14:textId="77777777" w:rsidR="00577D08" w:rsidRDefault="00330FC0">
      <w:pPr>
        <w:pStyle w:val="2"/>
        <w:numPr>
          <w:ilvl w:val="0"/>
          <w:numId w:val="27"/>
        </w:numPr>
      </w:pPr>
      <w:r>
        <w:rPr>
          <w:rFonts w:hint="eastAsia"/>
        </w:rPr>
        <w:t>重大合同及其履行情况</w:t>
      </w:r>
    </w:p>
    <w:p w14:paraId="060502EB" w14:textId="77777777" w:rsidR="00577D08" w:rsidRDefault="00330FC0">
      <w:pPr>
        <w:pStyle w:val="3"/>
        <w:numPr>
          <w:ilvl w:val="0"/>
          <w:numId w:val="35"/>
        </w:numPr>
        <w:rPr>
          <w:szCs w:val="21"/>
        </w:rPr>
      </w:pPr>
      <w:r>
        <w:rPr>
          <w:szCs w:val="21"/>
        </w:rPr>
        <w:t>托管、承包、租赁事项</w:t>
      </w:r>
    </w:p>
    <w:p w14:paraId="094D9FD5" w14:textId="77777777" w:rsidR="00577D08" w:rsidRDefault="00330FC0">
      <w:pPr>
        <w:pStyle w:val="4"/>
        <w:numPr>
          <w:ilvl w:val="0"/>
          <w:numId w:val="36"/>
        </w:numPr>
        <w:rPr>
          <w:rFonts w:hint="eastAsia"/>
        </w:rPr>
      </w:pPr>
      <w:r>
        <w:rPr>
          <w:rFonts w:hint="eastAsia"/>
        </w:rPr>
        <w:t>托管情况</w:t>
      </w:r>
    </w:p>
    <w:sdt>
      <w:sdtPr>
        <w:alias w:val="是否适用：托管情况[双击切换]"/>
        <w:tag w:val="_GBC_f528f5eedb9346f6b0fbdbe3967882e7"/>
        <w:id w:val="753708638"/>
        <w:placeholder>
          <w:docPart w:val="GBC22222222222222222222222222222"/>
        </w:placeholder>
      </w:sdtPr>
      <w:sdtContent>
        <w:p w14:paraId="01F9532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F87994" w14:textId="77777777" w:rsidR="00577D08" w:rsidRDefault="00330FC0">
      <w:pPr>
        <w:pStyle w:val="4"/>
        <w:numPr>
          <w:ilvl w:val="0"/>
          <w:numId w:val="36"/>
        </w:numPr>
        <w:rPr>
          <w:rFonts w:hint="eastAsia"/>
        </w:rPr>
      </w:pPr>
      <w:r>
        <w:t>承包情况</w:t>
      </w:r>
    </w:p>
    <w:sdt>
      <w:sdtPr>
        <w:alias w:val="是否适用：承包情况[双击切换]"/>
        <w:tag w:val="_GBC_ef45025eb2d84c78907511abec2bd222"/>
        <w:id w:val="368348709"/>
        <w:placeholder>
          <w:docPart w:val="GBC22222222222222222222222222222"/>
        </w:placeholder>
      </w:sdtPr>
      <w:sdtContent>
        <w:p w14:paraId="5B5CFE4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92EC24" w14:textId="77777777" w:rsidR="00577D08" w:rsidRDefault="00330FC0">
      <w:pPr>
        <w:pStyle w:val="4"/>
        <w:numPr>
          <w:ilvl w:val="0"/>
          <w:numId w:val="36"/>
        </w:numPr>
        <w:rPr>
          <w:rFonts w:hint="eastAsia"/>
        </w:rPr>
      </w:pPr>
      <w:r>
        <w:t>租赁情况</w:t>
      </w:r>
    </w:p>
    <w:sdt>
      <w:sdtPr>
        <w:alias w:val="是否适用：租赁情况[双击切换]"/>
        <w:tag w:val="_GBC_c1d0d78a63af4d48a7427277c2db3ac5"/>
        <w:id w:val="-85235341"/>
        <w:placeholder>
          <w:docPart w:val="GBC22222222222222222222222222222"/>
        </w:placeholder>
      </w:sdtPr>
      <w:sdtContent>
        <w:p w14:paraId="3479E37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3182386" w14:textId="77777777" w:rsidR="00577D08" w:rsidRDefault="00577D08"/>
    <w:p w14:paraId="1017969C" w14:textId="77777777" w:rsidR="00577D08" w:rsidRDefault="00577D08">
      <w:pPr>
        <w:sectPr w:rsidR="00577D08">
          <w:pgSz w:w="11906" w:h="16838"/>
          <w:pgMar w:top="1525" w:right="1276" w:bottom="1440" w:left="1797" w:header="855" w:footer="992" w:gutter="0"/>
          <w:cols w:space="425"/>
          <w:docGrid w:linePitch="312"/>
        </w:sectPr>
      </w:pPr>
    </w:p>
    <w:p w14:paraId="73F9AAB9" w14:textId="77777777" w:rsidR="00577D08" w:rsidRDefault="00330FC0">
      <w:pPr>
        <w:pStyle w:val="3"/>
        <w:numPr>
          <w:ilvl w:val="0"/>
          <w:numId w:val="35"/>
        </w:numPr>
        <w:rPr>
          <w:szCs w:val="21"/>
        </w:rPr>
      </w:pPr>
      <w:bookmarkStart w:id="220" w:name="_Toc342491982"/>
      <w:bookmarkStart w:id="221" w:name="_Toc342565974"/>
      <w:bookmarkStart w:id="222" w:name="OLE_LINK3"/>
      <w:bookmarkStart w:id="223" w:name="OLE_LINK2"/>
      <w:r>
        <w:rPr>
          <w:rFonts w:hint="eastAsia"/>
          <w:szCs w:val="21"/>
        </w:rPr>
        <w:lastRenderedPageBreak/>
        <w:t>担保情况</w:t>
      </w:r>
      <w:bookmarkEnd w:id="220"/>
      <w:bookmarkEnd w:id="221"/>
    </w:p>
    <w:bookmarkEnd w:id="223" w:displacedByCustomXml="next"/>
    <w:bookmarkEnd w:id="222" w:displacedByCustomXml="next"/>
    <w:sdt>
      <w:sdtPr>
        <w:alias w:val="是否适用：担保情况[双击切换]"/>
        <w:tag w:val="_GBC_b799a3ac65f846e088fcfb2dd2591ede"/>
        <w:id w:val="1902014945"/>
        <w:lock w:val="contentLocked"/>
        <w:placeholder>
          <w:docPart w:val="GBC22222222222222222222222222222"/>
        </w:placeholder>
      </w:sdtPr>
      <w:sdtContent>
        <w:p w14:paraId="4C17630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84006FF" w14:textId="77777777" w:rsidR="00577D08" w:rsidRDefault="00330FC0">
      <w:pPr>
        <w:jc w:val="right"/>
      </w:pPr>
      <w:r>
        <w:rPr>
          <w:rFonts w:hint="eastAsia"/>
        </w:rPr>
        <w:t>单位</w:t>
      </w:r>
      <w:r>
        <w:t>：</w:t>
      </w:r>
      <w:sdt>
        <w:sdtPr>
          <w:alias w:val="单位：担保情况"/>
          <w:tag w:val="_GBC_c5b429695c6d4556a9d11f55a5e736d3"/>
          <w:id w:val="4122841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万元</w:t>
          </w:r>
        </w:sdtContent>
      </w:sdt>
      <w:r>
        <w:rPr>
          <w:rFonts w:hint="eastAsia"/>
        </w:rPr>
        <w:t xml:space="preserve"> </w:t>
      </w:r>
      <w:r>
        <w:rPr>
          <w:rFonts w:hint="eastAsia"/>
        </w:rPr>
        <w:t>币种</w:t>
      </w:r>
      <w:r>
        <w:t>：</w:t>
      </w:r>
      <w:sdt>
        <w:sdtPr>
          <w:alias w:val="币种：担保情况"/>
          <w:tag w:val="_GBC_bbefcb25022447d5a0413d1c31ffdf65"/>
          <w:id w:val="9552895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883"/>
        <w:gridCol w:w="922"/>
        <w:gridCol w:w="916"/>
        <w:gridCol w:w="1022"/>
        <w:gridCol w:w="919"/>
        <w:gridCol w:w="919"/>
        <w:gridCol w:w="396"/>
        <w:gridCol w:w="518"/>
        <w:gridCol w:w="919"/>
        <w:gridCol w:w="919"/>
        <w:gridCol w:w="919"/>
        <w:gridCol w:w="916"/>
        <w:gridCol w:w="1022"/>
        <w:gridCol w:w="916"/>
        <w:gridCol w:w="919"/>
        <w:gridCol w:w="908"/>
      </w:tblGrid>
      <w:tr w:rsidR="00577D08" w14:paraId="7B42AE88" w14:textId="77777777">
        <w:trPr>
          <w:trHeight w:val="293"/>
        </w:trPr>
        <w:bookmarkStart w:id="224" w:name="_Hlk89953992" w:displacedByCustomXml="next"/>
        <w:sdt>
          <w:sdtPr>
            <w:tag w:val="_PLD_47382e1239d84f6f9f6c6d4b5423c108"/>
            <w:id w:val="285943881"/>
          </w:sdtPr>
          <w:sdtContent>
            <w:tc>
              <w:tcPr>
                <w:tcW w:w="13933" w:type="dxa"/>
                <w:gridSpan w:val="16"/>
                <w:tcBorders>
                  <w:top w:val="single" w:sz="4" w:space="0" w:color="auto"/>
                  <w:bottom w:val="single" w:sz="4" w:space="0" w:color="auto"/>
                </w:tcBorders>
                <w:vAlign w:val="center"/>
              </w:tcPr>
              <w:p w14:paraId="0B594898" w14:textId="77777777" w:rsidR="00577D08" w:rsidRDefault="00330FC0">
                <w:pPr>
                  <w:autoSpaceDE w:val="0"/>
                  <w:autoSpaceDN w:val="0"/>
                  <w:adjustRightInd w:val="0"/>
                  <w:jc w:val="center"/>
                </w:pPr>
                <w:r>
                  <w:rPr>
                    <w:rFonts w:hint="eastAsia"/>
                  </w:rPr>
                  <w:t>公司对外担保情况（不包括对子公司的担保）</w:t>
                </w:r>
              </w:p>
            </w:tc>
          </w:sdtContent>
        </w:sdt>
      </w:tr>
      <w:tr w:rsidR="00577D08" w14:paraId="36534B86" w14:textId="77777777">
        <w:trPr>
          <w:trHeight w:val="293"/>
        </w:trPr>
        <w:sdt>
          <w:sdtPr>
            <w:tag w:val="_PLD_09b2f27e560e48058fd68a7522d4a21e"/>
            <w:id w:val="-738401848"/>
          </w:sdtPr>
          <w:sdtContent>
            <w:tc>
              <w:tcPr>
                <w:tcW w:w="883" w:type="dxa"/>
                <w:tcBorders>
                  <w:top w:val="single" w:sz="4" w:space="0" w:color="auto"/>
                  <w:bottom w:val="single" w:sz="4" w:space="0" w:color="auto"/>
                  <w:right w:val="single" w:sz="4" w:space="0" w:color="auto"/>
                </w:tcBorders>
                <w:vAlign w:val="center"/>
              </w:tcPr>
              <w:p w14:paraId="482E83E7" w14:textId="77777777" w:rsidR="00577D08" w:rsidRDefault="00330FC0">
                <w:pPr>
                  <w:autoSpaceDE w:val="0"/>
                  <w:autoSpaceDN w:val="0"/>
                  <w:adjustRightInd w:val="0"/>
                  <w:jc w:val="center"/>
                </w:pPr>
                <w:r>
                  <w:rPr>
                    <w:rFonts w:hint="eastAsia"/>
                  </w:rPr>
                  <w:t>担保方</w:t>
                </w:r>
              </w:p>
            </w:tc>
          </w:sdtContent>
        </w:sdt>
        <w:sdt>
          <w:sdtPr>
            <w:tag w:val="_PLD_3052f673b3b345d3a7af649302ea170a"/>
            <w:id w:val="239684858"/>
          </w:sdtPr>
          <w:sdtContent>
            <w:tc>
              <w:tcPr>
                <w:tcW w:w="922" w:type="dxa"/>
                <w:tcBorders>
                  <w:top w:val="single" w:sz="4" w:space="0" w:color="auto"/>
                  <w:left w:val="single" w:sz="4" w:space="0" w:color="auto"/>
                  <w:bottom w:val="single" w:sz="4" w:space="0" w:color="auto"/>
                  <w:right w:val="single" w:sz="4" w:space="0" w:color="auto"/>
                </w:tcBorders>
                <w:vAlign w:val="center"/>
              </w:tcPr>
              <w:p w14:paraId="3B870F5B" w14:textId="77777777" w:rsidR="00577D08" w:rsidRDefault="00330FC0">
                <w:pPr>
                  <w:autoSpaceDE w:val="0"/>
                  <w:autoSpaceDN w:val="0"/>
                  <w:adjustRightInd w:val="0"/>
                  <w:jc w:val="center"/>
                </w:pPr>
                <w:r>
                  <w:rPr>
                    <w:rFonts w:hint="eastAsia"/>
                  </w:rPr>
                  <w:t>担保方与上市公司的关系</w:t>
                </w:r>
              </w:p>
            </w:tc>
          </w:sdtContent>
        </w:sdt>
        <w:sdt>
          <w:sdtPr>
            <w:tag w:val="_PLD_fb4029fae7cf48a79a41443b882f9109"/>
            <w:id w:val="1653567760"/>
          </w:sdtPr>
          <w:sdtContent>
            <w:tc>
              <w:tcPr>
                <w:tcW w:w="916" w:type="dxa"/>
                <w:tcBorders>
                  <w:top w:val="single" w:sz="4" w:space="0" w:color="auto"/>
                  <w:left w:val="single" w:sz="4" w:space="0" w:color="auto"/>
                  <w:bottom w:val="single" w:sz="4" w:space="0" w:color="auto"/>
                  <w:right w:val="single" w:sz="4" w:space="0" w:color="auto"/>
                </w:tcBorders>
                <w:vAlign w:val="center"/>
              </w:tcPr>
              <w:p w14:paraId="4764F91D" w14:textId="77777777" w:rsidR="00577D08" w:rsidRDefault="00330FC0">
                <w:pPr>
                  <w:autoSpaceDE w:val="0"/>
                  <w:autoSpaceDN w:val="0"/>
                  <w:adjustRightInd w:val="0"/>
                  <w:jc w:val="center"/>
                </w:pPr>
                <w:r>
                  <w:rPr>
                    <w:rFonts w:hint="eastAsia"/>
                  </w:rPr>
                  <w:t>被担保方</w:t>
                </w:r>
              </w:p>
            </w:tc>
          </w:sdtContent>
        </w:sdt>
        <w:sdt>
          <w:sdtPr>
            <w:tag w:val="_PLD_f9cf7e1836e34488ac32b6e51fd66dc5"/>
            <w:id w:val="-1156447433"/>
          </w:sdtPr>
          <w:sdtContent>
            <w:tc>
              <w:tcPr>
                <w:tcW w:w="1022" w:type="dxa"/>
                <w:tcBorders>
                  <w:top w:val="single" w:sz="4" w:space="0" w:color="auto"/>
                  <w:left w:val="single" w:sz="4" w:space="0" w:color="auto"/>
                  <w:bottom w:val="single" w:sz="4" w:space="0" w:color="auto"/>
                  <w:right w:val="single" w:sz="4" w:space="0" w:color="auto"/>
                </w:tcBorders>
                <w:vAlign w:val="center"/>
              </w:tcPr>
              <w:p w14:paraId="07B5AC53" w14:textId="77777777" w:rsidR="00577D08" w:rsidRDefault="00330FC0">
                <w:pPr>
                  <w:autoSpaceDE w:val="0"/>
                  <w:autoSpaceDN w:val="0"/>
                  <w:adjustRightInd w:val="0"/>
                  <w:jc w:val="center"/>
                </w:pPr>
                <w:r>
                  <w:rPr>
                    <w:rFonts w:hint="eastAsia"/>
                  </w:rPr>
                  <w:t>担保金额</w:t>
                </w:r>
              </w:p>
            </w:tc>
          </w:sdtContent>
        </w:sdt>
        <w:sdt>
          <w:sdtPr>
            <w:tag w:val="_PLD_2605894e64924e1c948143543497b30d"/>
            <w:id w:val="-1582449663"/>
          </w:sdtPr>
          <w:sdtContent>
            <w:tc>
              <w:tcPr>
                <w:tcW w:w="919" w:type="dxa"/>
                <w:tcBorders>
                  <w:top w:val="single" w:sz="4" w:space="0" w:color="auto"/>
                  <w:left w:val="single" w:sz="4" w:space="0" w:color="auto"/>
                  <w:bottom w:val="single" w:sz="4" w:space="0" w:color="auto"/>
                  <w:right w:val="single" w:sz="4" w:space="0" w:color="auto"/>
                </w:tcBorders>
                <w:vAlign w:val="center"/>
              </w:tcPr>
              <w:p w14:paraId="5FA09702" w14:textId="77777777" w:rsidR="00577D08" w:rsidRDefault="00330FC0">
                <w:pPr>
                  <w:autoSpaceDE w:val="0"/>
                  <w:autoSpaceDN w:val="0"/>
                  <w:adjustRightInd w:val="0"/>
                  <w:jc w:val="center"/>
                </w:pPr>
                <w:r>
                  <w:rPr>
                    <w:rFonts w:hint="eastAsia"/>
                  </w:rPr>
                  <w:t>担保发生日期</w:t>
                </w:r>
                <w:r>
                  <w:t>(</w:t>
                </w:r>
                <w:r>
                  <w:rPr>
                    <w:rFonts w:hint="eastAsia"/>
                  </w:rPr>
                  <w:t>协议签署日</w:t>
                </w:r>
                <w:r>
                  <w:t>)</w:t>
                </w:r>
              </w:p>
            </w:tc>
          </w:sdtContent>
        </w:sdt>
        <w:sdt>
          <w:sdtPr>
            <w:tag w:val="_PLD_360b2c68827a4d0ca9316c3726b16cc0"/>
            <w:id w:val="-788596570"/>
          </w:sdtPr>
          <w:sdtContent>
            <w:tc>
              <w:tcPr>
                <w:tcW w:w="919" w:type="dxa"/>
                <w:tcBorders>
                  <w:top w:val="single" w:sz="4" w:space="0" w:color="auto"/>
                  <w:left w:val="single" w:sz="4" w:space="0" w:color="auto"/>
                  <w:bottom w:val="single" w:sz="4" w:space="0" w:color="auto"/>
                  <w:right w:val="single" w:sz="4" w:space="0" w:color="auto"/>
                </w:tcBorders>
                <w:vAlign w:val="center"/>
              </w:tcPr>
              <w:p w14:paraId="2ECE2409" w14:textId="77777777" w:rsidR="00577D08" w:rsidRDefault="00330FC0">
                <w:pPr>
                  <w:autoSpaceDE w:val="0"/>
                  <w:autoSpaceDN w:val="0"/>
                  <w:adjustRightInd w:val="0"/>
                  <w:jc w:val="center"/>
                </w:pPr>
                <w:r>
                  <w:rPr>
                    <w:rFonts w:hint="eastAsia"/>
                  </w:rPr>
                  <w:t>担保</w:t>
                </w:r>
              </w:p>
              <w:p w14:paraId="35492DDC" w14:textId="77777777" w:rsidR="00577D08" w:rsidRDefault="00330FC0">
                <w:pPr>
                  <w:autoSpaceDE w:val="0"/>
                  <w:autoSpaceDN w:val="0"/>
                  <w:adjustRightInd w:val="0"/>
                  <w:jc w:val="center"/>
                </w:pPr>
                <w:r>
                  <w:rPr>
                    <w:rFonts w:hint="eastAsia"/>
                  </w:rPr>
                  <w:t>起始日</w:t>
                </w:r>
              </w:p>
            </w:tc>
          </w:sdtContent>
        </w:sdt>
        <w:sdt>
          <w:sdtPr>
            <w:tag w:val="_PLD_6e343c1dd4c74b69b0e199f26aa0fc9a"/>
            <w:id w:val="1410733400"/>
          </w:sdtPr>
          <w:sdtContent>
            <w:tc>
              <w:tcPr>
                <w:tcW w:w="914" w:type="dxa"/>
                <w:gridSpan w:val="2"/>
                <w:tcBorders>
                  <w:top w:val="single" w:sz="4" w:space="0" w:color="auto"/>
                  <w:left w:val="single" w:sz="4" w:space="0" w:color="auto"/>
                  <w:bottom w:val="single" w:sz="4" w:space="0" w:color="auto"/>
                  <w:right w:val="single" w:sz="4" w:space="0" w:color="auto"/>
                </w:tcBorders>
                <w:vAlign w:val="center"/>
              </w:tcPr>
              <w:p w14:paraId="53711A6D" w14:textId="77777777" w:rsidR="00577D08" w:rsidRDefault="00330FC0">
                <w:pPr>
                  <w:autoSpaceDE w:val="0"/>
                  <w:autoSpaceDN w:val="0"/>
                  <w:adjustRightInd w:val="0"/>
                  <w:jc w:val="center"/>
                </w:pPr>
                <w:r>
                  <w:rPr>
                    <w:rFonts w:hint="eastAsia"/>
                  </w:rPr>
                  <w:t>担保</w:t>
                </w:r>
              </w:p>
              <w:p w14:paraId="350FA8B5" w14:textId="77777777" w:rsidR="00577D08" w:rsidRDefault="00330FC0">
                <w:pPr>
                  <w:autoSpaceDE w:val="0"/>
                  <w:autoSpaceDN w:val="0"/>
                  <w:adjustRightInd w:val="0"/>
                  <w:jc w:val="center"/>
                </w:pPr>
                <w:r>
                  <w:rPr>
                    <w:rFonts w:hint="eastAsia"/>
                  </w:rPr>
                  <w:t>到期日</w:t>
                </w:r>
              </w:p>
            </w:tc>
          </w:sdtContent>
        </w:sdt>
        <w:sdt>
          <w:sdtPr>
            <w:tag w:val="_PLD_85aaff970e8f4025937e66f170fc0506"/>
            <w:id w:val="497930073"/>
          </w:sdtPr>
          <w:sdtContent>
            <w:tc>
              <w:tcPr>
                <w:tcW w:w="919" w:type="dxa"/>
                <w:tcBorders>
                  <w:top w:val="single" w:sz="4" w:space="0" w:color="auto"/>
                  <w:left w:val="single" w:sz="4" w:space="0" w:color="auto"/>
                  <w:bottom w:val="single" w:sz="4" w:space="0" w:color="auto"/>
                  <w:right w:val="single" w:sz="4" w:space="0" w:color="auto"/>
                </w:tcBorders>
                <w:vAlign w:val="center"/>
              </w:tcPr>
              <w:p w14:paraId="34C7EAD1" w14:textId="77777777" w:rsidR="00577D08" w:rsidRDefault="00330FC0">
                <w:pPr>
                  <w:autoSpaceDE w:val="0"/>
                  <w:autoSpaceDN w:val="0"/>
                  <w:adjustRightInd w:val="0"/>
                  <w:jc w:val="center"/>
                </w:pPr>
                <w:r>
                  <w:rPr>
                    <w:rFonts w:hint="eastAsia"/>
                  </w:rPr>
                  <w:t>担保类型</w:t>
                </w:r>
              </w:p>
            </w:tc>
          </w:sdtContent>
        </w:sdt>
        <w:tc>
          <w:tcPr>
            <w:tcW w:w="919" w:type="dxa"/>
            <w:tcBorders>
              <w:top w:val="single" w:sz="4" w:space="0" w:color="auto"/>
              <w:left w:val="single" w:sz="4" w:space="0" w:color="auto"/>
              <w:bottom w:val="single" w:sz="4" w:space="0" w:color="auto"/>
              <w:right w:val="single" w:sz="4" w:space="0" w:color="auto"/>
            </w:tcBorders>
            <w:vAlign w:val="center"/>
          </w:tcPr>
          <w:sdt>
            <w:sdtPr>
              <w:tag w:val="_PLD_d3fba9513b1742aeaf3cc03df939c3a6"/>
              <w:id w:val="-86932576"/>
            </w:sdtPr>
            <w:sdtContent>
              <w:p w14:paraId="74881D34" w14:textId="77777777" w:rsidR="00577D08" w:rsidRDefault="00330FC0">
                <w:pPr>
                  <w:autoSpaceDE w:val="0"/>
                  <w:autoSpaceDN w:val="0"/>
                  <w:adjustRightInd w:val="0"/>
                  <w:jc w:val="center"/>
                </w:pPr>
                <w:r>
                  <w:rPr>
                    <w:rFonts w:hint="eastAsia"/>
                  </w:rPr>
                  <w:t>担保物（如有）</w:t>
                </w:r>
              </w:p>
            </w:sdtContent>
          </w:sdt>
        </w:tc>
        <w:sdt>
          <w:sdtPr>
            <w:tag w:val="_PLD_fad806f6aed64969a9f500fc55be69bf"/>
            <w:id w:val="-615678704"/>
          </w:sdtPr>
          <w:sdtContent>
            <w:tc>
              <w:tcPr>
                <w:tcW w:w="919" w:type="dxa"/>
                <w:tcBorders>
                  <w:top w:val="single" w:sz="4" w:space="0" w:color="auto"/>
                  <w:left w:val="single" w:sz="4" w:space="0" w:color="auto"/>
                  <w:bottom w:val="single" w:sz="4" w:space="0" w:color="auto"/>
                  <w:right w:val="single" w:sz="4" w:space="0" w:color="auto"/>
                </w:tcBorders>
                <w:vAlign w:val="center"/>
              </w:tcPr>
              <w:p w14:paraId="24D54675" w14:textId="77777777" w:rsidR="00577D08" w:rsidRDefault="00330FC0">
                <w:pPr>
                  <w:autoSpaceDE w:val="0"/>
                  <w:autoSpaceDN w:val="0"/>
                  <w:adjustRightInd w:val="0"/>
                  <w:jc w:val="center"/>
                </w:pPr>
                <w:r>
                  <w:rPr>
                    <w:rFonts w:hint="eastAsia"/>
                  </w:rPr>
                  <w:t>担保是否已经履行完毕</w:t>
                </w:r>
              </w:p>
            </w:tc>
          </w:sdtContent>
        </w:sdt>
        <w:sdt>
          <w:sdtPr>
            <w:tag w:val="_PLD_355a8c82bc68409495d9bf25a926ed62"/>
            <w:id w:val="897634723"/>
          </w:sdtPr>
          <w:sdtContent>
            <w:tc>
              <w:tcPr>
                <w:tcW w:w="916" w:type="dxa"/>
                <w:tcBorders>
                  <w:top w:val="single" w:sz="4" w:space="0" w:color="auto"/>
                  <w:left w:val="single" w:sz="4" w:space="0" w:color="auto"/>
                  <w:bottom w:val="single" w:sz="4" w:space="0" w:color="auto"/>
                  <w:right w:val="single" w:sz="4" w:space="0" w:color="auto"/>
                </w:tcBorders>
                <w:vAlign w:val="center"/>
              </w:tcPr>
              <w:p w14:paraId="24FCC601" w14:textId="77777777" w:rsidR="00577D08" w:rsidRDefault="00330FC0">
                <w:pPr>
                  <w:autoSpaceDE w:val="0"/>
                  <w:autoSpaceDN w:val="0"/>
                  <w:adjustRightInd w:val="0"/>
                  <w:jc w:val="center"/>
                </w:pPr>
                <w:r>
                  <w:rPr>
                    <w:rFonts w:hint="eastAsia"/>
                  </w:rPr>
                  <w:t>担保是否逾期</w:t>
                </w:r>
              </w:p>
            </w:tc>
          </w:sdtContent>
        </w:sdt>
        <w:sdt>
          <w:sdtPr>
            <w:tag w:val="_PLD_e8056176e7db49139234d1df564f5c3a"/>
            <w:id w:val="-1027639243"/>
          </w:sdtPr>
          <w:sdtContent>
            <w:tc>
              <w:tcPr>
                <w:tcW w:w="1022" w:type="dxa"/>
                <w:tcBorders>
                  <w:top w:val="single" w:sz="4" w:space="0" w:color="auto"/>
                  <w:left w:val="single" w:sz="4" w:space="0" w:color="auto"/>
                  <w:bottom w:val="single" w:sz="4" w:space="0" w:color="auto"/>
                  <w:right w:val="single" w:sz="4" w:space="0" w:color="auto"/>
                </w:tcBorders>
                <w:vAlign w:val="center"/>
              </w:tcPr>
              <w:p w14:paraId="1044E37E" w14:textId="77777777" w:rsidR="00577D08" w:rsidRDefault="00330FC0">
                <w:pPr>
                  <w:autoSpaceDE w:val="0"/>
                  <w:autoSpaceDN w:val="0"/>
                  <w:adjustRightInd w:val="0"/>
                  <w:jc w:val="center"/>
                </w:pPr>
                <w:r>
                  <w:rPr>
                    <w:rFonts w:hint="eastAsia"/>
                  </w:rPr>
                  <w:t>担保逾期金额</w:t>
                </w:r>
              </w:p>
            </w:tc>
          </w:sdtContent>
        </w:sdt>
        <w:sdt>
          <w:sdtPr>
            <w:tag w:val="_PLD_5c3b131124fe44f69e4b80cf09f7c755"/>
            <w:id w:val="-251674155"/>
          </w:sdtPr>
          <w:sdtContent>
            <w:tc>
              <w:tcPr>
                <w:tcW w:w="916" w:type="dxa"/>
                <w:tcBorders>
                  <w:top w:val="single" w:sz="4" w:space="0" w:color="auto"/>
                  <w:left w:val="single" w:sz="4" w:space="0" w:color="auto"/>
                  <w:bottom w:val="single" w:sz="4" w:space="0" w:color="auto"/>
                  <w:right w:val="single" w:sz="4" w:space="0" w:color="auto"/>
                </w:tcBorders>
                <w:vAlign w:val="center"/>
              </w:tcPr>
              <w:p w14:paraId="3DD8050E" w14:textId="77777777" w:rsidR="00577D08" w:rsidRDefault="00330FC0">
                <w:pPr>
                  <w:autoSpaceDE w:val="0"/>
                  <w:autoSpaceDN w:val="0"/>
                  <w:adjustRightInd w:val="0"/>
                  <w:jc w:val="center"/>
                </w:pPr>
                <w:r>
                  <w:rPr>
                    <w:rFonts w:hint="eastAsia"/>
                  </w:rPr>
                  <w:t>反担保情况</w:t>
                </w:r>
              </w:p>
            </w:tc>
          </w:sdtContent>
        </w:sdt>
        <w:sdt>
          <w:sdtPr>
            <w:tag w:val="_PLD_5a6bd2cf94e8411b88105a2190c5b4fb"/>
            <w:id w:val="2083320578"/>
          </w:sdtPr>
          <w:sdtContent>
            <w:tc>
              <w:tcPr>
                <w:tcW w:w="919" w:type="dxa"/>
                <w:tcBorders>
                  <w:top w:val="single" w:sz="4" w:space="0" w:color="auto"/>
                  <w:left w:val="single" w:sz="4" w:space="0" w:color="auto"/>
                  <w:bottom w:val="single" w:sz="4" w:space="0" w:color="auto"/>
                  <w:right w:val="single" w:sz="4" w:space="0" w:color="auto"/>
                </w:tcBorders>
                <w:vAlign w:val="center"/>
              </w:tcPr>
              <w:p w14:paraId="2346D157" w14:textId="77777777" w:rsidR="00577D08" w:rsidRDefault="00330FC0">
                <w:pPr>
                  <w:autoSpaceDE w:val="0"/>
                  <w:autoSpaceDN w:val="0"/>
                  <w:adjustRightInd w:val="0"/>
                  <w:jc w:val="center"/>
                </w:pPr>
                <w:r>
                  <w:rPr>
                    <w:rFonts w:hint="eastAsia"/>
                  </w:rPr>
                  <w:t>是否为关联方担保</w:t>
                </w:r>
              </w:p>
            </w:tc>
          </w:sdtContent>
        </w:sdt>
        <w:sdt>
          <w:sdtPr>
            <w:tag w:val="_PLD_70390fe8c4804a7da41d8a62ace59586"/>
            <w:id w:val="31005688"/>
          </w:sdtPr>
          <w:sdtContent>
            <w:tc>
              <w:tcPr>
                <w:tcW w:w="908" w:type="dxa"/>
                <w:tcBorders>
                  <w:top w:val="single" w:sz="4" w:space="0" w:color="auto"/>
                  <w:left w:val="single" w:sz="4" w:space="0" w:color="auto"/>
                  <w:bottom w:val="single" w:sz="4" w:space="0" w:color="auto"/>
                </w:tcBorders>
                <w:vAlign w:val="center"/>
              </w:tcPr>
              <w:p w14:paraId="6ED9B59E" w14:textId="77777777" w:rsidR="00577D08" w:rsidRDefault="00330FC0">
                <w:pPr>
                  <w:autoSpaceDE w:val="0"/>
                  <w:autoSpaceDN w:val="0"/>
                  <w:adjustRightInd w:val="0"/>
                  <w:jc w:val="center"/>
                </w:pPr>
                <w:r>
                  <w:rPr>
                    <w:rFonts w:hint="eastAsia"/>
                  </w:rPr>
                  <w:t>关联</w:t>
                </w:r>
              </w:p>
              <w:p w14:paraId="31196563" w14:textId="77777777" w:rsidR="00577D08" w:rsidRDefault="00330FC0">
                <w:pPr>
                  <w:autoSpaceDE w:val="0"/>
                  <w:autoSpaceDN w:val="0"/>
                  <w:adjustRightInd w:val="0"/>
                  <w:jc w:val="center"/>
                </w:pPr>
                <w:r>
                  <w:rPr>
                    <w:rFonts w:hint="eastAsia"/>
                  </w:rPr>
                  <w:t>关系</w:t>
                </w:r>
              </w:p>
            </w:tc>
          </w:sdtContent>
        </w:sdt>
      </w:tr>
      <w:tr w:rsidR="00577D08" w14:paraId="3EA60D94" w14:textId="77777777">
        <w:trPr>
          <w:trHeight w:val="293"/>
        </w:trPr>
        <w:tc>
          <w:tcPr>
            <w:tcW w:w="883" w:type="dxa"/>
            <w:tcBorders>
              <w:top w:val="single" w:sz="4" w:space="0" w:color="auto"/>
              <w:bottom w:val="single" w:sz="4" w:space="0" w:color="auto"/>
              <w:right w:val="single" w:sz="4" w:space="0" w:color="auto"/>
            </w:tcBorders>
            <w:vAlign w:val="center"/>
          </w:tcPr>
          <w:p w14:paraId="3485353D" w14:textId="77777777" w:rsidR="00577D08" w:rsidRDefault="00330FC0">
            <w:pPr>
              <w:autoSpaceDE w:val="0"/>
              <w:autoSpaceDN w:val="0"/>
              <w:adjustRightInd w:val="0"/>
            </w:pPr>
            <w:r>
              <w:rPr>
                <w:rFonts w:hint="eastAsia"/>
              </w:rPr>
              <w:t>-</w:t>
            </w:r>
          </w:p>
        </w:tc>
        <w:sdt>
          <w:sdtPr>
            <w:rPr>
              <w:rFonts w:hint="eastAsia"/>
              <w:bCs/>
            </w:rPr>
            <w:alias w:val="担保方与上市公司的关联关系"/>
            <w:tag w:val="_GBC_2e446bc7579a4b2db650f2a8defc57b7"/>
            <w:id w:val="1464922951"/>
            <w:comboBox>
              <w:listItem w:displayText="公司本部" w:value="公司本部"/>
              <w:listItem w:displayText="控股子公司" w:value="控股子公司"/>
              <w:listItem w:displayText="全资子公司" w:value="全资子公司"/>
            </w:comboBox>
          </w:sdtPr>
          <w:sdtContent>
            <w:tc>
              <w:tcPr>
                <w:tcW w:w="922" w:type="dxa"/>
                <w:tcBorders>
                  <w:top w:val="single" w:sz="4" w:space="0" w:color="auto"/>
                  <w:left w:val="single" w:sz="4" w:space="0" w:color="auto"/>
                  <w:bottom w:val="single" w:sz="4" w:space="0" w:color="auto"/>
                  <w:right w:val="single" w:sz="4" w:space="0" w:color="auto"/>
                </w:tcBorders>
                <w:vAlign w:val="center"/>
              </w:tcPr>
              <w:p w14:paraId="75582BAA" w14:textId="77777777" w:rsidR="00577D08" w:rsidRDefault="00330FC0">
                <w:pPr>
                  <w:autoSpaceDE w:val="0"/>
                  <w:autoSpaceDN w:val="0"/>
                  <w:adjustRightInd w:val="0"/>
                  <w:rPr>
                    <w:color w:val="FFC000"/>
                  </w:rPr>
                </w:pPr>
                <w:r>
                  <w:rPr>
                    <w:bCs/>
                  </w:rPr>
                  <w:t>-</w:t>
                </w:r>
              </w:p>
            </w:tc>
          </w:sdtContent>
        </w:sdt>
        <w:tc>
          <w:tcPr>
            <w:tcW w:w="916" w:type="dxa"/>
            <w:tcBorders>
              <w:top w:val="single" w:sz="4" w:space="0" w:color="auto"/>
              <w:left w:val="single" w:sz="4" w:space="0" w:color="auto"/>
              <w:bottom w:val="single" w:sz="4" w:space="0" w:color="auto"/>
              <w:right w:val="single" w:sz="4" w:space="0" w:color="auto"/>
            </w:tcBorders>
            <w:vAlign w:val="center"/>
          </w:tcPr>
          <w:p w14:paraId="52901609" w14:textId="77777777" w:rsidR="00577D08" w:rsidRDefault="00330FC0">
            <w:pPr>
              <w:autoSpaceDE w:val="0"/>
              <w:autoSpaceDN w:val="0"/>
              <w:adjustRightInd w:val="0"/>
            </w:pPr>
            <w:r>
              <w:rPr>
                <w:rFonts w:hint="eastAsia"/>
              </w:rPr>
              <w:t>-</w:t>
            </w:r>
          </w:p>
        </w:tc>
        <w:tc>
          <w:tcPr>
            <w:tcW w:w="1022" w:type="dxa"/>
            <w:tcBorders>
              <w:top w:val="single" w:sz="4" w:space="0" w:color="auto"/>
              <w:left w:val="single" w:sz="4" w:space="0" w:color="auto"/>
              <w:bottom w:val="single" w:sz="4" w:space="0" w:color="auto"/>
              <w:right w:val="single" w:sz="4" w:space="0" w:color="auto"/>
            </w:tcBorders>
            <w:vAlign w:val="center"/>
          </w:tcPr>
          <w:p w14:paraId="7CAA4C14" w14:textId="77777777" w:rsidR="00577D08" w:rsidRDefault="00330FC0">
            <w:pPr>
              <w:autoSpaceDE w:val="0"/>
              <w:autoSpaceDN w:val="0"/>
              <w:adjustRightInd w:val="0"/>
              <w:ind w:rightChars="40" w:right="84"/>
              <w:jc w:val="right"/>
            </w:pPr>
            <w:r>
              <w:rPr>
                <w:rFonts w:hint="eastAsia"/>
              </w:rPr>
              <w:t>-</w:t>
            </w:r>
          </w:p>
        </w:tc>
        <w:tc>
          <w:tcPr>
            <w:tcW w:w="919" w:type="dxa"/>
            <w:tcBorders>
              <w:top w:val="single" w:sz="4" w:space="0" w:color="auto"/>
              <w:left w:val="single" w:sz="4" w:space="0" w:color="auto"/>
              <w:bottom w:val="single" w:sz="4" w:space="0" w:color="auto"/>
              <w:right w:val="single" w:sz="4" w:space="0" w:color="auto"/>
            </w:tcBorders>
            <w:vAlign w:val="center"/>
          </w:tcPr>
          <w:p w14:paraId="2C35A24A" w14:textId="77777777" w:rsidR="00577D08" w:rsidRDefault="00330FC0">
            <w:pPr>
              <w:autoSpaceDE w:val="0"/>
              <w:autoSpaceDN w:val="0"/>
              <w:adjustRightInd w:val="0"/>
            </w:pPr>
            <w:r>
              <w:rPr>
                <w:rFonts w:hint="eastAsia"/>
              </w:rPr>
              <w:t>-</w:t>
            </w:r>
          </w:p>
        </w:tc>
        <w:tc>
          <w:tcPr>
            <w:tcW w:w="919" w:type="dxa"/>
            <w:tcBorders>
              <w:top w:val="single" w:sz="4" w:space="0" w:color="auto"/>
              <w:left w:val="single" w:sz="4" w:space="0" w:color="auto"/>
              <w:bottom w:val="single" w:sz="4" w:space="0" w:color="auto"/>
              <w:right w:val="single" w:sz="4" w:space="0" w:color="auto"/>
            </w:tcBorders>
            <w:vAlign w:val="center"/>
          </w:tcPr>
          <w:p w14:paraId="209FB0A6" w14:textId="77777777" w:rsidR="00577D08" w:rsidRDefault="00330FC0">
            <w:pPr>
              <w:autoSpaceDE w:val="0"/>
              <w:autoSpaceDN w:val="0"/>
              <w:adjustRightInd w:val="0"/>
            </w:pPr>
            <w:r>
              <w:rPr>
                <w:rFonts w:hint="eastAsia"/>
              </w:rPr>
              <w:t>-</w:t>
            </w:r>
          </w:p>
        </w:tc>
        <w:tc>
          <w:tcPr>
            <w:tcW w:w="914" w:type="dxa"/>
            <w:gridSpan w:val="2"/>
            <w:tcBorders>
              <w:top w:val="single" w:sz="4" w:space="0" w:color="auto"/>
              <w:left w:val="single" w:sz="4" w:space="0" w:color="auto"/>
              <w:bottom w:val="single" w:sz="4" w:space="0" w:color="auto"/>
              <w:right w:val="single" w:sz="4" w:space="0" w:color="auto"/>
            </w:tcBorders>
            <w:vAlign w:val="center"/>
          </w:tcPr>
          <w:p w14:paraId="294899E3" w14:textId="77777777" w:rsidR="00577D08" w:rsidRDefault="00330FC0">
            <w:pPr>
              <w:autoSpaceDE w:val="0"/>
              <w:autoSpaceDN w:val="0"/>
              <w:adjustRightInd w:val="0"/>
            </w:pPr>
            <w:r>
              <w:rPr>
                <w:rFonts w:hint="eastAsia"/>
              </w:rPr>
              <w:t>-</w:t>
            </w:r>
          </w:p>
        </w:tc>
        <w:sdt>
          <w:sdtPr>
            <w:alias w:val="担保类型"/>
            <w:tag w:val="_GBC_affd72f534db4dbea735ffb69233d55c"/>
            <w:id w:val="1468239359"/>
            <w:comboBox>
              <w:listItem w:displayText="一般担保" w:value="一般担保"/>
              <w:listItem w:displayText="连带责任担保" w:value="连带责任担保"/>
            </w:comboBox>
          </w:sdtPr>
          <w:sdtContent>
            <w:tc>
              <w:tcPr>
                <w:tcW w:w="919" w:type="dxa"/>
                <w:tcBorders>
                  <w:top w:val="single" w:sz="4" w:space="0" w:color="auto"/>
                  <w:left w:val="single" w:sz="4" w:space="0" w:color="auto"/>
                  <w:bottom w:val="single" w:sz="4" w:space="0" w:color="auto"/>
                  <w:right w:val="single" w:sz="4" w:space="0" w:color="auto"/>
                </w:tcBorders>
                <w:vAlign w:val="center"/>
              </w:tcPr>
              <w:p w14:paraId="61445B2D" w14:textId="77777777" w:rsidR="00577D08" w:rsidRDefault="00330FC0">
                <w:pPr>
                  <w:autoSpaceDE w:val="0"/>
                  <w:autoSpaceDN w:val="0"/>
                  <w:adjustRightInd w:val="0"/>
                  <w:rPr>
                    <w:color w:val="FFC000"/>
                  </w:rPr>
                </w:pPr>
                <w:r>
                  <w:t>-</w:t>
                </w:r>
              </w:p>
            </w:tc>
          </w:sdtContent>
        </w:sdt>
        <w:tc>
          <w:tcPr>
            <w:tcW w:w="919" w:type="dxa"/>
            <w:tcBorders>
              <w:top w:val="single" w:sz="4" w:space="0" w:color="auto"/>
              <w:left w:val="single" w:sz="4" w:space="0" w:color="auto"/>
              <w:bottom w:val="single" w:sz="4" w:space="0" w:color="auto"/>
              <w:right w:val="single" w:sz="4" w:space="0" w:color="auto"/>
            </w:tcBorders>
            <w:vAlign w:val="center"/>
          </w:tcPr>
          <w:p w14:paraId="166AB2A7" w14:textId="77777777" w:rsidR="00577D08" w:rsidRDefault="00330FC0">
            <w:pPr>
              <w:autoSpaceDE w:val="0"/>
              <w:autoSpaceDN w:val="0"/>
              <w:adjustRightInd w:val="0"/>
              <w:rPr>
                <w:bCs/>
              </w:rPr>
            </w:pPr>
            <w:r>
              <w:rPr>
                <w:rFonts w:hint="eastAsia"/>
                <w:bCs/>
              </w:rPr>
              <w:t>-</w:t>
            </w:r>
          </w:p>
        </w:tc>
        <w:sdt>
          <w:sdtPr>
            <w:rPr>
              <w:rFonts w:hint="eastAsia"/>
              <w:bCs/>
            </w:rPr>
            <w:alias w:val="担保是否已经履行完毕"/>
            <w:tag w:val="_GBC_61f81248895641f4b3a03b6d7bf72a1b"/>
            <w:id w:val="-545148612"/>
            <w:comboBox>
              <w:listItem w:displayText="是" w:value="true"/>
              <w:listItem w:displayText="否" w:value="false"/>
            </w:comboBox>
          </w:sdtPr>
          <w:sdtContent>
            <w:tc>
              <w:tcPr>
                <w:tcW w:w="919" w:type="dxa"/>
                <w:tcBorders>
                  <w:top w:val="single" w:sz="4" w:space="0" w:color="auto"/>
                  <w:left w:val="single" w:sz="4" w:space="0" w:color="auto"/>
                  <w:bottom w:val="single" w:sz="4" w:space="0" w:color="auto"/>
                  <w:right w:val="single" w:sz="4" w:space="0" w:color="auto"/>
                </w:tcBorders>
                <w:vAlign w:val="center"/>
              </w:tcPr>
              <w:p w14:paraId="16547A53" w14:textId="77777777" w:rsidR="00577D08" w:rsidRDefault="00330FC0">
                <w:pPr>
                  <w:autoSpaceDE w:val="0"/>
                  <w:autoSpaceDN w:val="0"/>
                  <w:adjustRightInd w:val="0"/>
                  <w:rPr>
                    <w:color w:val="FFC000"/>
                  </w:rPr>
                </w:pPr>
                <w:r>
                  <w:rPr>
                    <w:bCs/>
                  </w:rPr>
                  <w:t>-</w:t>
                </w:r>
              </w:p>
            </w:tc>
          </w:sdtContent>
        </w:sdt>
        <w:sdt>
          <w:sdtPr>
            <w:rPr>
              <w:rFonts w:hint="eastAsia"/>
              <w:bCs/>
            </w:rPr>
            <w:alias w:val="担保是否逾期"/>
            <w:tag w:val="_GBC_c6b9d1f792064d3f8a852d307386846b"/>
            <w:id w:val="-1572422642"/>
            <w:comboBox>
              <w:listItem w:displayText="是" w:value="true"/>
              <w:listItem w:displayText="否" w:value="false"/>
            </w:comboBox>
          </w:sdtPr>
          <w:sdtContent>
            <w:tc>
              <w:tcPr>
                <w:tcW w:w="916" w:type="dxa"/>
                <w:tcBorders>
                  <w:top w:val="single" w:sz="4" w:space="0" w:color="auto"/>
                  <w:left w:val="single" w:sz="4" w:space="0" w:color="auto"/>
                  <w:bottom w:val="single" w:sz="4" w:space="0" w:color="auto"/>
                  <w:right w:val="single" w:sz="4" w:space="0" w:color="auto"/>
                </w:tcBorders>
                <w:vAlign w:val="center"/>
              </w:tcPr>
              <w:p w14:paraId="41E58AD5" w14:textId="77777777" w:rsidR="00577D08" w:rsidRDefault="00330FC0">
                <w:pPr>
                  <w:autoSpaceDE w:val="0"/>
                  <w:autoSpaceDN w:val="0"/>
                  <w:adjustRightInd w:val="0"/>
                  <w:rPr>
                    <w:color w:val="FFC000"/>
                  </w:rPr>
                </w:pPr>
                <w:r>
                  <w:rPr>
                    <w:bCs/>
                  </w:rPr>
                  <w:t>-</w:t>
                </w:r>
              </w:p>
            </w:tc>
          </w:sdtContent>
        </w:sdt>
        <w:tc>
          <w:tcPr>
            <w:tcW w:w="1022" w:type="dxa"/>
            <w:tcBorders>
              <w:top w:val="single" w:sz="4" w:space="0" w:color="auto"/>
              <w:left w:val="single" w:sz="4" w:space="0" w:color="auto"/>
              <w:bottom w:val="single" w:sz="4" w:space="0" w:color="auto"/>
              <w:right w:val="single" w:sz="4" w:space="0" w:color="auto"/>
            </w:tcBorders>
            <w:vAlign w:val="center"/>
          </w:tcPr>
          <w:p w14:paraId="1E0BEE90" w14:textId="77777777" w:rsidR="00577D08" w:rsidRDefault="00330FC0">
            <w:pPr>
              <w:autoSpaceDE w:val="0"/>
              <w:autoSpaceDN w:val="0"/>
              <w:adjustRightInd w:val="0"/>
              <w:ind w:rightChars="40" w:right="84"/>
              <w:jc w:val="right"/>
              <w:rPr>
                <w:bCs/>
              </w:rPr>
            </w:pPr>
            <w:r>
              <w:rPr>
                <w:rFonts w:hint="eastAsia"/>
                <w:bCs/>
              </w:rPr>
              <w:t>-</w:t>
            </w:r>
          </w:p>
        </w:tc>
        <w:tc>
          <w:tcPr>
            <w:tcW w:w="916" w:type="dxa"/>
            <w:tcBorders>
              <w:top w:val="single" w:sz="4" w:space="0" w:color="auto"/>
              <w:left w:val="single" w:sz="4" w:space="0" w:color="auto"/>
              <w:bottom w:val="single" w:sz="4" w:space="0" w:color="auto"/>
              <w:right w:val="single" w:sz="4" w:space="0" w:color="auto"/>
            </w:tcBorders>
            <w:vAlign w:val="center"/>
          </w:tcPr>
          <w:p w14:paraId="4ACBD457" w14:textId="77777777" w:rsidR="00577D08" w:rsidRDefault="00330FC0">
            <w:pPr>
              <w:autoSpaceDE w:val="0"/>
              <w:autoSpaceDN w:val="0"/>
              <w:adjustRightInd w:val="0"/>
            </w:pPr>
            <w:r>
              <w:rPr>
                <w:rFonts w:hint="eastAsia"/>
              </w:rPr>
              <w:t>-</w:t>
            </w:r>
          </w:p>
        </w:tc>
        <w:sdt>
          <w:sdtPr>
            <w:rPr>
              <w:rFonts w:hint="eastAsia"/>
              <w:bCs/>
            </w:rPr>
            <w:alias w:val="是否为关联方担保"/>
            <w:tag w:val="_GBC_44554d74636543a7b143039de86b7494"/>
            <w:id w:val="-578981946"/>
            <w:comboBox>
              <w:listItem w:displayText="是" w:value="true"/>
              <w:listItem w:displayText="否" w:value="false"/>
            </w:comboBox>
          </w:sdtPr>
          <w:sdtContent>
            <w:tc>
              <w:tcPr>
                <w:tcW w:w="919" w:type="dxa"/>
                <w:tcBorders>
                  <w:top w:val="single" w:sz="4" w:space="0" w:color="auto"/>
                  <w:left w:val="single" w:sz="4" w:space="0" w:color="auto"/>
                  <w:bottom w:val="single" w:sz="4" w:space="0" w:color="auto"/>
                  <w:right w:val="single" w:sz="4" w:space="0" w:color="auto"/>
                </w:tcBorders>
                <w:vAlign w:val="center"/>
              </w:tcPr>
              <w:p w14:paraId="089DF922" w14:textId="77777777" w:rsidR="00577D08" w:rsidRDefault="00330FC0">
                <w:pPr>
                  <w:autoSpaceDE w:val="0"/>
                  <w:autoSpaceDN w:val="0"/>
                  <w:adjustRightInd w:val="0"/>
                  <w:rPr>
                    <w:color w:val="FFC000"/>
                  </w:rPr>
                </w:pPr>
                <w:r>
                  <w:rPr>
                    <w:rFonts w:hint="eastAsia"/>
                    <w:bCs/>
                  </w:rPr>
                  <w:t>-</w:t>
                </w:r>
              </w:p>
            </w:tc>
          </w:sdtContent>
        </w:sdt>
        <w:sdt>
          <w:sdtPr>
            <w:alias w:val="担保中关联方与本公司关系"/>
            <w:tag w:val="_GBC_e5957983376e4a2f82b346d338d10f40"/>
            <w:id w:val="1218549628"/>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908" w:type="dxa"/>
                <w:tcBorders>
                  <w:top w:val="single" w:sz="4" w:space="0" w:color="auto"/>
                  <w:left w:val="single" w:sz="4" w:space="0" w:color="auto"/>
                  <w:bottom w:val="single" w:sz="4" w:space="0" w:color="auto"/>
                </w:tcBorders>
                <w:vAlign w:val="center"/>
              </w:tcPr>
              <w:p w14:paraId="2F6B3391" w14:textId="77777777" w:rsidR="00577D08" w:rsidRDefault="00330FC0">
                <w:pPr>
                  <w:autoSpaceDE w:val="0"/>
                  <w:autoSpaceDN w:val="0"/>
                  <w:adjustRightInd w:val="0"/>
                  <w:jc w:val="center"/>
                  <w:rPr>
                    <w:color w:val="FFC000"/>
                  </w:rPr>
                </w:pPr>
                <w:r>
                  <w:t>-</w:t>
                </w:r>
              </w:p>
            </w:tc>
          </w:sdtContent>
        </w:sdt>
      </w:tr>
      <w:tr w:rsidR="00577D08" w14:paraId="4D449F77"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0363C0AF" w14:textId="77777777" w:rsidR="00577D08" w:rsidRDefault="00330FC0">
            <w:pPr>
              <w:autoSpaceDE w:val="0"/>
              <w:autoSpaceDN w:val="0"/>
              <w:adjustRightInd w:val="0"/>
            </w:pPr>
            <w:r>
              <w:rPr>
                <w:rFonts w:hint="eastAsia"/>
              </w:rPr>
              <w:t>报告期内担保发生额合计（不包括对子公司的担保）</w:t>
            </w:r>
          </w:p>
        </w:tc>
        <w:tc>
          <w:tcPr>
            <w:tcW w:w="7956" w:type="dxa"/>
            <w:gridSpan w:val="9"/>
            <w:tcBorders>
              <w:top w:val="single" w:sz="4" w:space="0" w:color="auto"/>
              <w:left w:val="single" w:sz="4" w:space="0" w:color="auto"/>
              <w:bottom w:val="single" w:sz="4" w:space="0" w:color="auto"/>
            </w:tcBorders>
            <w:vAlign w:val="center"/>
          </w:tcPr>
          <w:p w14:paraId="24E3ABDA" w14:textId="77777777" w:rsidR="00577D08" w:rsidRDefault="00577D08">
            <w:pPr>
              <w:ind w:rightChars="40" w:right="84"/>
              <w:jc w:val="right"/>
            </w:pPr>
          </w:p>
        </w:tc>
      </w:tr>
      <w:tr w:rsidR="00577D08" w14:paraId="4EE75B68"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5CA666D4" w14:textId="77777777" w:rsidR="00577D08" w:rsidRDefault="00330FC0">
            <w:pPr>
              <w:autoSpaceDE w:val="0"/>
              <w:autoSpaceDN w:val="0"/>
              <w:adjustRightInd w:val="0"/>
            </w:pPr>
            <w:r>
              <w:rPr>
                <w:rFonts w:hint="eastAsia"/>
              </w:rPr>
              <w:t>报告期末担保余额合计（</w:t>
            </w:r>
            <w:r>
              <w:t>A</w:t>
            </w:r>
            <w:r>
              <w:rPr>
                <w:rFonts w:hint="eastAsia"/>
              </w:rPr>
              <w:t>）（不包括对子公司的担保）</w:t>
            </w:r>
          </w:p>
        </w:tc>
        <w:tc>
          <w:tcPr>
            <w:tcW w:w="7956" w:type="dxa"/>
            <w:gridSpan w:val="9"/>
            <w:tcBorders>
              <w:top w:val="single" w:sz="4" w:space="0" w:color="auto"/>
              <w:left w:val="single" w:sz="4" w:space="0" w:color="auto"/>
              <w:bottom w:val="single" w:sz="4" w:space="0" w:color="auto"/>
            </w:tcBorders>
            <w:vAlign w:val="center"/>
          </w:tcPr>
          <w:p w14:paraId="76C3C19B" w14:textId="77777777" w:rsidR="00577D08" w:rsidRDefault="00577D08">
            <w:pPr>
              <w:autoSpaceDE w:val="0"/>
              <w:autoSpaceDN w:val="0"/>
              <w:adjustRightInd w:val="0"/>
              <w:ind w:rightChars="40" w:right="84"/>
              <w:jc w:val="right"/>
            </w:pPr>
          </w:p>
        </w:tc>
      </w:tr>
      <w:tr w:rsidR="00577D08" w14:paraId="55215BEA" w14:textId="77777777">
        <w:trPr>
          <w:trHeight w:val="308"/>
        </w:trPr>
        <w:sdt>
          <w:sdtPr>
            <w:tag w:val="_PLD_0209e1df4d9c45da9415f0566332a134"/>
            <w:id w:val="-1801368536"/>
          </w:sdtPr>
          <w:sdtContent>
            <w:tc>
              <w:tcPr>
                <w:tcW w:w="13933" w:type="dxa"/>
                <w:gridSpan w:val="16"/>
                <w:tcBorders>
                  <w:top w:val="single" w:sz="4" w:space="0" w:color="auto"/>
                  <w:bottom w:val="single" w:sz="4" w:space="0" w:color="auto"/>
                </w:tcBorders>
                <w:vAlign w:val="center"/>
              </w:tcPr>
              <w:p w14:paraId="1CAA879D" w14:textId="77777777" w:rsidR="00577D08" w:rsidRDefault="00330FC0">
                <w:pPr>
                  <w:autoSpaceDE w:val="0"/>
                  <w:autoSpaceDN w:val="0"/>
                  <w:adjustRightInd w:val="0"/>
                  <w:ind w:rightChars="40" w:right="84"/>
                  <w:jc w:val="center"/>
                </w:pPr>
                <w:r>
                  <w:rPr>
                    <w:rFonts w:hint="eastAsia"/>
                  </w:rPr>
                  <w:t>公司及其子公司对子公司的担保情况</w:t>
                </w:r>
              </w:p>
            </w:tc>
          </w:sdtContent>
        </w:sdt>
      </w:tr>
      <w:tr w:rsidR="00577D08" w14:paraId="473C9BC9"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7BCFFD97" w14:textId="77777777" w:rsidR="00577D08" w:rsidRDefault="00330FC0">
            <w:pPr>
              <w:autoSpaceDE w:val="0"/>
              <w:autoSpaceDN w:val="0"/>
              <w:adjustRightInd w:val="0"/>
              <w:ind w:rightChars="40" w:right="84"/>
              <w:rPr>
                <w:color w:val="FF0000"/>
              </w:rPr>
            </w:pPr>
            <w:r>
              <w:rPr>
                <w:rFonts w:hint="eastAsia"/>
              </w:rPr>
              <w:t>报告期内对子公司担保发生额合计</w:t>
            </w:r>
          </w:p>
        </w:tc>
        <w:tc>
          <w:tcPr>
            <w:tcW w:w="7956" w:type="dxa"/>
            <w:gridSpan w:val="9"/>
            <w:tcBorders>
              <w:top w:val="single" w:sz="4" w:space="0" w:color="auto"/>
              <w:left w:val="single" w:sz="4" w:space="0" w:color="auto"/>
              <w:bottom w:val="single" w:sz="4" w:space="0" w:color="auto"/>
            </w:tcBorders>
            <w:vAlign w:val="center"/>
          </w:tcPr>
          <w:p w14:paraId="75408509" w14:textId="77777777" w:rsidR="00577D08" w:rsidRDefault="00330FC0">
            <w:pPr>
              <w:ind w:rightChars="40" w:right="84"/>
              <w:jc w:val="right"/>
            </w:pPr>
            <w:r>
              <w:t>130,374.1</w:t>
            </w:r>
            <w:r>
              <w:rPr>
                <w:rFonts w:hint="eastAsia"/>
              </w:rPr>
              <w:t>0</w:t>
            </w:r>
          </w:p>
        </w:tc>
      </w:tr>
      <w:tr w:rsidR="00577D08" w14:paraId="351F1A43"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7B314F0C" w14:textId="77777777" w:rsidR="00577D08" w:rsidRDefault="00330FC0">
            <w:pPr>
              <w:autoSpaceDE w:val="0"/>
              <w:autoSpaceDN w:val="0"/>
              <w:adjustRightInd w:val="0"/>
              <w:ind w:rightChars="40" w:right="84"/>
              <w:rPr>
                <w:color w:val="FF0000"/>
              </w:rPr>
            </w:pPr>
            <w:r>
              <w:rPr>
                <w:rFonts w:hint="eastAsia"/>
              </w:rPr>
              <w:t>报告期末对子公司担保余额合计（</w:t>
            </w:r>
            <w:r>
              <w:t>B</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2DB2882E" w14:textId="77777777" w:rsidR="00577D08" w:rsidRDefault="00330FC0">
            <w:pPr>
              <w:autoSpaceDE w:val="0"/>
              <w:autoSpaceDN w:val="0"/>
              <w:adjustRightInd w:val="0"/>
              <w:ind w:rightChars="40" w:right="84"/>
              <w:jc w:val="right"/>
            </w:pPr>
            <w:r>
              <w:t>62,698.37</w:t>
            </w:r>
          </w:p>
        </w:tc>
      </w:tr>
      <w:tr w:rsidR="00577D08" w14:paraId="69D71483" w14:textId="77777777">
        <w:trPr>
          <w:trHeight w:val="308"/>
        </w:trPr>
        <w:sdt>
          <w:sdtPr>
            <w:tag w:val="_PLD_b5d1fceb6fbd4fadb84d698d3eb35967"/>
            <w:id w:val="-572963287"/>
          </w:sdtPr>
          <w:sdtContent>
            <w:tc>
              <w:tcPr>
                <w:tcW w:w="13933" w:type="dxa"/>
                <w:gridSpan w:val="16"/>
                <w:tcBorders>
                  <w:top w:val="single" w:sz="4" w:space="0" w:color="auto"/>
                  <w:bottom w:val="single" w:sz="4" w:space="0" w:color="auto"/>
                </w:tcBorders>
                <w:vAlign w:val="center"/>
              </w:tcPr>
              <w:p w14:paraId="053F561C" w14:textId="77777777" w:rsidR="00577D08" w:rsidRDefault="00330FC0">
                <w:pPr>
                  <w:autoSpaceDE w:val="0"/>
                  <w:autoSpaceDN w:val="0"/>
                  <w:adjustRightInd w:val="0"/>
                  <w:ind w:rightChars="40" w:right="84"/>
                  <w:jc w:val="center"/>
                </w:pPr>
                <w:r>
                  <w:rPr>
                    <w:rFonts w:hint="eastAsia"/>
                  </w:rPr>
                  <w:t>公司担保总额情况（包括对子公司的担保）</w:t>
                </w:r>
              </w:p>
            </w:tc>
          </w:sdtContent>
        </w:sdt>
      </w:tr>
      <w:tr w:rsidR="00577D08" w14:paraId="0AD554F6" w14:textId="77777777">
        <w:trPr>
          <w:trHeight w:val="470"/>
        </w:trPr>
        <w:tc>
          <w:tcPr>
            <w:tcW w:w="5977" w:type="dxa"/>
            <w:gridSpan w:val="7"/>
            <w:tcBorders>
              <w:top w:val="single" w:sz="4" w:space="0" w:color="auto"/>
              <w:bottom w:val="single" w:sz="4" w:space="0" w:color="auto"/>
              <w:right w:val="single" w:sz="4" w:space="0" w:color="auto"/>
            </w:tcBorders>
            <w:vAlign w:val="center"/>
          </w:tcPr>
          <w:p w14:paraId="7B3AC319" w14:textId="77777777" w:rsidR="00577D08" w:rsidRDefault="00330FC0">
            <w:pPr>
              <w:autoSpaceDE w:val="0"/>
              <w:autoSpaceDN w:val="0"/>
              <w:adjustRightInd w:val="0"/>
              <w:ind w:rightChars="40" w:right="84"/>
            </w:pPr>
            <w:r>
              <w:rPr>
                <w:rFonts w:hint="eastAsia"/>
              </w:rPr>
              <w:t>担保总额（</w:t>
            </w:r>
            <w:r>
              <w:t>A+B</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185B8A4C" w14:textId="77777777" w:rsidR="00577D08" w:rsidRDefault="00330FC0">
            <w:pPr>
              <w:autoSpaceDE w:val="0"/>
              <w:autoSpaceDN w:val="0"/>
              <w:adjustRightInd w:val="0"/>
              <w:ind w:rightChars="40" w:right="84"/>
              <w:jc w:val="right"/>
            </w:pPr>
            <w:r>
              <w:t>62,698.37</w:t>
            </w:r>
          </w:p>
        </w:tc>
      </w:tr>
      <w:tr w:rsidR="00577D08" w14:paraId="00F71477"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3529228E" w14:textId="77777777" w:rsidR="00577D08" w:rsidRDefault="00330FC0">
            <w:pPr>
              <w:autoSpaceDE w:val="0"/>
              <w:autoSpaceDN w:val="0"/>
              <w:adjustRightInd w:val="0"/>
              <w:ind w:rightChars="40" w:right="84"/>
            </w:pPr>
            <w:r>
              <w:rPr>
                <w:rFonts w:hint="eastAsia"/>
              </w:rPr>
              <w:t>担保总额占公司净资产的比例</w:t>
            </w:r>
            <w:r>
              <w:t>(%)</w:t>
            </w:r>
          </w:p>
        </w:tc>
        <w:tc>
          <w:tcPr>
            <w:tcW w:w="7956" w:type="dxa"/>
            <w:gridSpan w:val="9"/>
            <w:tcBorders>
              <w:top w:val="single" w:sz="4" w:space="0" w:color="auto"/>
              <w:left w:val="single" w:sz="4" w:space="0" w:color="auto"/>
              <w:bottom w:val="single" w:sz="4" w:space="0" w:color="auto"/>
            </w:tcBorders>
            <w:vAlign w:val="center"/>
          </w:tcPr>
          <w:p w14:paraId="061F7C7A" w14:textId="77777777" w:rsidR="00577D08" w:rsidRDefault="00330FC0">
            <w:pPr>
              <w:autoSpaceDE w:val="0"/>
              <w:autoSpaceDN w:val="0"/>
              <w:adjustRightInd w:val="0"/>
              <w:ind w:rightChars="40" w:right="84"/>
              <w:jc w:val="right"/>
            </w:pPr>
            <w:r>
              <w:rPr>
                <w:rFonts w:hint="eastAsia"/>
              </w:rPr>
              <w:t>25.13</w:t>
            </w:r>
          </w:p>
        </w:tc>
      </w:tr>
      <w:tr w:rsidR="00577D08" w14:paraId="123B2F92" w14:textId="77777777">
        <w:trPr>
          <w:trHeight w:val="308"/>
        </w:trPr>
        <w:sdt>
          <w:sdtPr>
            <w:tag w:val="_PLD_5975855d5ef9445cb4cf0cccb044de3a"/>
            <w:id w:val="-469822679"/>
          </w:sdtPr>
          <w:sdtContent>
            <w:tc>
              <w:tcPr>
                <w:tcW w:w="13933" w:type="dxa"/>
                <w:gridSpan w:val="16"/>
                <w:tcBorders>
                  <w:top w:val="single" w:sz="4" w:space="0" w:color="auto"/>
                  <w:bottom w:val="single" w:sz="4" w:space="0" w:color="auto"/>
                </w:tcBorders>
                <w:vAlign w:val="center"/>
              </w:tcPr>
              <w:p w14:paraId="21D8B8ED" w14:textId="77777777" w:rsidR="00577D08" w:rsidRDefault="00330FC0">
                <w:pPr>
                  <w:pStyle w:val="ab"/>
                  <w:autoSpaceDE w:val="0"/>
                  <w:autoSpaceDN w:val="0"/>
                  <w:adjustRightInd w:val="0"/>
                  <w:ind w:rightChars="40" w:right="84"/>
                  <w:rPr>
                    <w:rFonts w:ascii="宋体" w:hAnsi="宋体" w:hint="eastAsia"/>
                  </w:rPr>
                </w:pPr>
                <w:r>
                  <w:rPr>
                    <w:rFonts w:ascii="宋体" w:hAnsi="宋体" w:hint="eastAsia"/>
                  </w:rPr>
                  <w:t>其中：</w:t>
                </w:r>
              </w:p>
            </w:tc>
          </w:sdtContent>
        </w:sdt>
      </w:tr>
      <w:tr w:rsidR="00577D08" w14:paraId="2F2AA645"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039CC05C" w14:textId="77777777" w:rsidR="00577D08" w:rsidRDefault="00330FC0">
            <w:pPr>
              <w:autoSpaceDE w:val="0"/>
              <w:autoSpaceDN w:val="0"/>
              <w:adjustRightInd w:val="0"/>
            </w:pPr>
            <w:r>
              <w:rPr>
                <w:rFonts w:hint="eastAsia"/>
              </w:rPr>
              <w:t>为股东、实际控制人及其关联方提供担保的金额（</w:t>
            </w:r>
            <w:r>
              <w:t>C</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2F8C29C1" w14:textId="77777777" w:rsidR="00577D08" w:rsidRDefault="00577D08">
            <w:pPr>
              <w:ind w:rightChars="40" w:right="84"/>
              <w:jc w:val="right"/>
            </w:pPr>
          </w:p>
        </w:tc>
      </w:tr>
      <w:tr w:rsidR="00577D08" w14:paraId="608B9DB1"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12397C66" w14:textId="77777777" w:rsidR="00577D08" w:rsidRDefault="00330FC0">
            <w:pPr>
              <w:autoSpaceDE w:val="0"/>
              <w:autoSpaceDN w:val="0"/>
              <w:adjustRightInd w:val="0"/>
            </w:pPr>
            <w:r>
              <w:rPr>
                <w:rFonts w:hint="eastAsia"/>
              </w:rPr>
              <w:t>直接或间接为资产负债率超过</w:t>
            </w:r>
            <w:r>
              <w:t>70</w:t>
            </w:r>
            <w:r>
              <w:rPr>
                <w:rFonts w:hint="eastAsia"/>
              </w:rPr>
              <w:t>%</w:t>
            </w:r>
            <w:r>
              <w:rPr>
                <w:rFonts w:hint="eastAsia"/>
              </w:rPr>
              <w:t>的被担保对象提供的债务担保金额（</w:t>
            </w:r>
            <w:r>
              <w:t>D</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42661049" w14:textId="77777777" w:rsidR="00577D08" w:rsidRDefault="00330FC0">
            <w:pPr>
              <w:autoSpaceDE w:val="0"/>
              <w:autoSpaceDN w:val="0"/>
              <w:adjustRightInd w:val="0"/>
              <w:ind w:rightChars="40" w:right="84"/>
              <w:jc w:val="right"/>
            </w:pPr>
            <w:r>
              <w:t>61,664.62</w:t>
            </w:r>
          </w:p>
        </w:tc>
      </w:tr>
      <w:tr w:rsidR="00577D08" w14:paraId="6EF3DB79"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672D774D" w14:textId="77777777" w:rsidR="00577D08" w:rsidRDefault="00330FC0">
            <w:pPr>
              <w:autoSpaceDE w:val="0"/>
              <w:autoSpaceDN w:val="0"/>
              <w:adjustRightInd w:val="0"/>
            </w:pPr>
            <w:r>
              <w:rPr>
                <w:rFonts w:hint="eastAsia"/>
              </w:rPr>
              <w:t>担保总额超过净资产</w:t>
            </w:r>
            <w:r>
              <w:t>50</w:t>
            </w:r>
            <w:r>
              <w:rPr>
                <w:rFonts w:hint="eastAsia"/>
              </w:rPr>
              <w:t>%</w:t>
            </w:r>
            <w:r>
              <w:rPr>
                <w:rFonts w:hint="eastAsia"/>
              </w:rPr>
              <w:t>部分的金额（</w:t>
            </w:r>
            <w:r>
              <w:t>E</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5646A34E" w14:textId="77777777" w:rsidR="00577D08" w:rsidRDefault="00577D08">
            <w:pPr>
              <w:ind w:rightChars="40" w:right="84"/>
              <w:jc w:val="right"/>
            </w:pPr>
          </w:p>
        </w:tc>
      </w:tr>
      <w:tr w:rsidR="00577D08" w14:paraId="49970085"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1C379FA1" w14:textId="77777777" w:rsidR="00577D08" w:rsidRDefault="00330FC0">
            <w:pPr>
              <w:autoSpaceDE w:val="0"/>
              <w:autoSpaceDN w:val="0"/>
              <w:adjustRightInd w:val="0"/>
            </w:pPr>
            <w:r>
              <w:rPr>
                <w:rFonts w:hint="eastAsia"/>
              </w:rPr>
              <w:t>上述三项担保金额合计（</w:t>
            </w:r>
            <w:r>
              <w:t>C+D+E</w:t>
            </w:r>
            <w:r>
              <w:rPr>
                <w:rFonts w:hint="eastAsia"/>
              </w:rPr>
              <w:t>）</w:t>
            </w:r>
          </w:p>
        </w:tc>
        <w:tc>
          <w:tcPr>
            <w:tcW w:w="7956" w:type="dxa"/>
            <w:gridSpan w:val="9"/>
            <w:tcBorders>
              <w:top w:val="single" w:sz="4" w:space="0" w:color="auto"/>
              <w:left w:val="single" w:sz="4" w:space="0" w:color="auto"/>
              <w:bottom w:val="single" w:sz="4" w:space="0" w:color="auto"/>
            </w:tcBorders>
            <w:vAlign w:val="center"/>
          </w:tcPr>
          <w:p w14:paraId="1CF3A1E8" w14:textId="77777777" w:rsidR="00577D08" w:rsidRDefault="00330FC0">
            <w:pPr>
              <w:autoSpaceDE w:val="0"/>
              <w:autoSpaceDN w:val="0"/>
              <w:adjustRightInd w:val="0"/>
              <w:ind w:rightChars="40" w:right="84"/>
              <w:jc w:val="right"/>
            </w:pPr>
            <w:r>
              <w:t>61,664.62</w:t>
            </w:r>
          </w:p>
        </w:tc>
      </w:tr>
      <w:tr w:rsidR="00577D08" w14:paraId="0F0AC33A"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40FBD3D8" w14:textId="77777777" w:rsidR="00577D08" w:rsidRDefault="00330FC0">
            <w:pPr>
              <w:pStyle w:val="ab"/>
              <w:autoSpaceDE w:val="0"/>
              <w:autoSpaceDN w:val="0"/>
              <w:adjustRightInd w:val="0"/>
              <w:rPr>
                <w:rFonts w:ascii="宋体" w:hAnsi="宋体" w:hint="eastAsia"/>
              </w:rPr>
            </w:pPr>
            <w:r>
              <w:rPr>
                <w:rFonts w:ascii="宋体" w:hAnsi="宋体" w:hint="eastAsia"/>
              </w:rPr>
              <w:t>未到期担保可能承担连带清偿责任说明</w:t>
            </w:r>
          </w:p>
        </w:tc>
        <w:tc>
          <w:tcPr>
            <w:tcW w:w="7956" w:type="dxa"/>
            <w:gridSpan w:val="9"/>
            <w:tcBorders>
              <w:top w:val="single" w:sz="4" w:space="0" w:color="auto"/>
              <w:left w:val="single" w:sz="4" w:space="0" w:color="auto"/>
              <w:bottom w:val="single" w:sz="4" w:space="0" w:color="auto"/>
            </w:tcBorders>
            <w:vAlign w:val="center"/>
          </w:tcPr>
          <w:p w14:paraId="17FAE408" w14:textId="77777777" w:rsidR="00577D08" w:rsidRDefault="00577D08">
            <w:pPr>
              <w:autoSpaceDE w:val="0"/>
              <w:autoSpaceDN w:val="0"/>
              <w:adjustRightInd w:val="0"/>
            </w:pPr>
          </w:p>
        </w:tc>
      </w:tr>
      <w:tr w:rsidR="00577D08" w14:paraId="3EF26771" w14:textId="77777777">
        <w:trPr>
          <w:trHeight w:val="308"/>
        </w:trPr>
        <w:tc>
          <w:tcPr>
            <w:tcW w:w="5977" w:type="dxa"/>
            <w:gridSpan w:val="7"/>
            <w:tcBorders>
              <w:top w:val="single" w:sz="4" w:space="0" w:color="auto"/>
              <w:bottom w:val="single" w:sz="4" w:space="0" w:color="auto"/>
              <w:right w:val="single" w:sz="4" w:space="0" w:color="auto"/>
            </w:tcBorders>
            <w:vAlign w:val="center"/>
          </w:tcPr>
          <w:p w14:paraId="2AF04404" w14:textId="77777777" w:rsidR="00577D08" w:rsidRDefault="00330FC0">
            <w:pPr>
              <w:autoSpaceDE w:val="0"/>
              <w:autoSpaceDN w:val="0"/>
              <w:adjustRightInd w:val="0"/>
            </w:pPr>
            <w:r>
              <w:rPr>
                <w:rFonts w:hint="eastAsia"/>
              </w:rPr>
              <w:t>担保情况说明</w:t>
            </w:r>
          </w:p>
        </w:tc>
        <w:tc>
          <w:tcPr>
            <w:tcW w:w="7956" w:type="dxa"/>
            <w:gridSpan w:val="9"/>
            <w:tcBorders>
              <w:top w:val="single" w:sz="4" w:space="0" w:color="auto"/>
              <w:left w:val="single" w:sz="4" w:space="0" w:color="auto"/>
              <w:bottom w:val="single" w:sz="4" w:space="0" w:color="auto"/>
            </w:tcBorders>
            <w:vAlign w:val="center"/>
          </w:tcPr>
          <w:p w14:paraId="5E6E0CEA" w14:textId="77777777" w:rsidR="00577D08" w:rsidRDefault="00330FC0">
            <w:pPr>
              <w:autoSpaceDE w:val="0"/>
              <w:autoSpaceDN w:val="0"/>
              <w:adjustRightInd w:val="0"/>
            </w:pPr>
            <w:r>
              <w:rPr>
                <w:rFonts w:hint="eastAsia"/>
              </w:rPr>
              <w:t>直接或间接为资产负债率超过</w:t>
            </w:r>
            <w:r>
              <w:rPr>
                <w:rFonts w:hint="eastAsia"/>
              </w:rPr>
              <w:t>70%</w:t>
            </w:r>
            <w:r>
              <w:rPr>
                <w:rFonts w:hint="eastAsia"/>
              </w:rPr>
              <w:t>的被担保对象提供的债务担保金额中，公司为云变电气提供的担保金额为</w:t>
            </w:r>
            <w:r>
              <w:rPr>
                <w:rFonts w:hint="eastAsia"/>
              </w:rPr>
              <w:t>57,272.91</w:t>
            </w:r>
            <w:r>
              <w:rPr>
                <w:rFonts w:hint="eastAsia"/>
              </w:rPr>
              <w:t>万元。截至</w:t>
            </w:r>
            <w:r>
              <w:rPr>
                <w:rFonts w:hint="eastAsia"/>
              </w:rPr>
              <w:t>2024</w:t>
            </w:r>
            <w:r>
              <w:rPr>
                <w:rFonts w:hint="eastAsia"/>
              </w:rPr>
              <w:t>年第三次临时股东大会审批时，云变电气的资产负债率为</w:t>
            </w:r>
            <w:r>
              <w:rPr>
                <w:rFonts w:hint="eastAsia"/>
              </w:rPr>
              <w:t>56.95%</w:t>
            </w:r>
            <w:r>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c>
      </w:tr>
      <w:bookmarkEnd w:id="224"/>
    </w:tbl>
    <w:p w14:paraId="74772C3F" w14:textId="77777777" w:rsidR="00577D08" w:rsidRDefault="00577D08"/>
    <w:p w14:paraId="1AE950B2" w14:textId="77777777" w:rsidR="00577D08" w:rsidRDefault="00330FC0">
      <w:pPr>
        <w:pStyle w:val="3"/>
        <w:numPr>
          <w:ilvl w:val="0"/>
          <w:numId w:val="35"/>
        </w:numPr>
        <w:rPr>
          <w:szCs w:val="21"/>
        </w:rPr>
      </w:pPr>
      <w:r>
        <w:rPr>
          <w:rFonts w:hint="eastAsia"/>
          <w:szCs w:val="21"/>
        </w:rPr>
        <w:lastRenderedPageBreak/>
        <w:t>委托他人进行现金资产管理的情况</w:t>
      </w:r>
    </w:p>
    <w:p w14:paraId="03C96E0C" w14:textId="77777777" w:rsidR="00577D08" w:rsidRDefault="00330FC0">
      <w:pPr>
        <w:pStyle w:val="4"/>
        <w:numPr>
          <w:ilvl w:val="0"/>
          <w:numId w:val="37"/>
        </w:numPr>
        <w:rPr>
          <w:rFonts w:hint="eastAsia"/>
        </w:rPr>
      </w:pPr>
      <w:r>
        <w:rPr>
          <w:rFonts w:hint="eastAsia"/>
        </w:rPr>
        <w:t>委托理财情况</w:t>
      </w:r>
    </w:p>
    <w:p w14:paraId="618F6A5F" w14:textId="77777777" w:rsidR="00577D08" w:rsidRDefault="00330FC0">
      <w:pPr>
        <w:pStyle w:val="5"/>
        <w:numPr>
          <w:ilvl w:val="0"/>
          <w:numId w:val="38"/>
        </w:numPr>
        <w:ind w:leftChars="0" w:left="357" w:hanging="357"/>
      </w:pPr>
      <w:r>
        <w:t>委托理财总体情况</w:t>
      </w:r>
    </w:p>
    <w:sdt>
      <w:sdtPr>
        <w:rPr>
          <w:rFonts w:hint="eastAsia"/>
        </w:rPr>
        <w:alias w:val="是否适用：委托理财总体情况[双击切换]"/>
        <w:tag w:val="_GBC_939edce711f74cc3bede852019388a3e"/>
        <w:id w:val="1758795125"/>
        <w:placeholder>
          <w:docPart w:val="GBC22222222222222222222222222222"/>
        </w:placeholder>
      </w:sdtPr>
      <w:sdtContent>
        <w:p w14:paraId="55F0983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0BC6A1" w14:textId="77777777" w:rsidR="00577D08" w:rsidRDefault="00330FC0">
      <w:pPr>
        <w:jc w:val="right"/>
      </w:pPr>
      <w:bookmarkStart w:id="225" w:name="OLE_LINK96"/>
      <w:r>
        <w:rPr>
          <w:rFonts w:hint="eastAsia"/>
        </w:rPr>
        <w:t>单位：</w:t>
      </w:r>
      <w:sdt>
        <w:sdtPr>
          <w:rPr>
            <w:rFonts w:hint="eastAsia"/>
          </w:rPr>
          <w:alias w:val="单位：委托理财总体情况"/>
          <w:tag w:val="_GBC_995d6d32b0f247b897c1e3683394b78e"/>
          <w:id w:val="911656900"/>
          <w:placeholder>
            <w:docPart w:val="DAF58BF483784A4A85A5CF558AB2F5EB"/>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t xml:space="preserve"> </w:t>
      </w:r>
      <w:r>
        <w:rPr>
          <w:rFonts w:hint="eastAsia"/>
        </w:rPr>
        <w:t>币种：</w:t>
      </w:r>
      <w:sdt>
        <w:sdtPr>
          <w:rPr>
            <w:rFonts w:hint="eastAsia"/>
          </w:rPr>
          <w:alias w:val="币种：委托理财总体情况"/>
          <w:tag w:val="_GBC_4eea93464f564ac386eb7f3f2731c982"/>
          <w:id w:val="402178163"/>
          <w:placeholder>
            <w:docPart w:val="DAF58BF483784A4A85A5CF558AB2F5E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14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2"/>
        <w:gridCol w:w="3361"/>
        <w:gridCol w:w="3361"/>
        <w:gridCol w:w="4043"/>
      </w:tblGrid>
      <w:tr w:rsidR="00577D08" w14:paraId="766B54F0" w14:textId="77777777">
        <w:sdt>
          <w:sdtPr>
            <w:tag w:val="_PLD_adc56e4902a44336b31583f6d92ae8fe"/>
            <w:id w:val="1677375336"/>
          </w:sdtPr>
          <w:sdtContent>
            <w:tc>
              <w:tcPr>
                <w:tcW w:w="3322" w:type="dxa"/>
                <w:vAlign w:val="center"/>
              </w:tcPr>
              <w:p w14:paraId="00CFC9C3" w14:textId="77777777" w:rsidR="00577D08" w:rsidRDefault="00330FC0">
                <w:pPr>
                  <w:ind w:leftChars="132" w:left="353" w:hangingChars="36" w:hanging="76"/>
                  <w:jc w:val="center"/>
                </w:pPr>
                <w:r>
                  <w:rPr>
                    <w:rFonts w:hint="eastAsia"/>
                  </w:rPr>
                  <w:t>类型</w:t>
                </w:r>
              </w:p>
            </w:tc>
          </w:sdtContent>
        </w:sdt>
        <w:tc>
          <w:tcPr>
            <w:tcW w:w="3361" w:type="dxa"/>
            <w:vAlign w:val="center"/>
          </w:tcPr>
          <w:sdt>
            <w:sdtPr>
              <w:tag w:val="_PLD_205ea4a5b198472f88e336a7b6ec2dbe"/>
              <w:id w:val="-2005884730"/>
            </w:sdtPr>
            <w:sdtContent>
              <w:p w14:paraId="3E7BE4F4" w14:textId="77777777" w:rsidR="00577D08" w:rsidRDefault="00330FC0">
                <w:pPr>
                  <w:jc w:val="center"/>
                </w:pPr>
                <w:r>
                  <w:rPr>
                    <w:rFonts w:hint="eastAsia"/>
                  </w:rPr>
                  <w:t>风险特征</w:t>
                </w:r>
              </w:p>
            </w:sdtContent>
          </w:sdt>
        </w:tc>
        <w:sdt>
          <w:sdtPr>
            <w:tag w:val="_PLD_c5c1ba65289743f390012a22166fda71"/>
            <w:id w:val="493304521"/>
          </w:sdtPr>
          <w:sdtContent>
            <w:tc>
              <w:tcPr>
                <w:tcW w:w="3361" w:type="dxa"/>
                <w:vAlign w:val="center"/>
              </w:tcPr>
              <w:p w14:paraId="320B3770" w14:textId="77777777" w:rsidR="00577D08" w:rsidRDefault="00330FC0">
                <w:pPr>
                  <w:jc w:val="center"/>
                </w:pPr>
                <w:r>
                  <w:rPr>
                    <w:rFonts w:hint="eastAsia"/>
                  </w:rPr>
                  <w:t>未到期余额</w:t>
                </w:r>
              </w:p>
            </w:tc>
          </w:sdtContent>
        </w:sdt>
        <w:sdt>
          <w:sdtPr>
            <w:tag w:val="_PLD_ac496413cc194196b7b6f3a280315c67"/>
            <w:id w:val="-2001962176"/>
          </w:sdtPr>
          <w:sdtContent>
            <w:tc>
              <w:tcPr>
                <w:tcW w:w="4043" w:type="dxa"/>
                <w:vAlign w:val="center"/>
              </w:tcPr>
              <w:p w14:paraId="735A9DF9" w14:textId="77777777" w:rsidR="00577D08" w:rsidRDefault="00330FC0">
                <w:pPr>
                  <w:jc w:val="center"/>
                </w:pPr>
                <w:r>
                  <w:rPr>
                    <w:rFonts w:hint="eastAsia"/>
                  </w:rPr>
                  <w:t>逾期未收回金额</w:t>
                </w:r>
              </w:p>
            </w:tc>
          </w:sdtContent>
        </w:sdt>
      </w:tr>
      <w:tr w:rsidR="00577D08" w14:paraId="6095EB8F" w14:textId="77777777">
        <w:sdt>
          <w:sdtPr>
            <w:rPr>
              <w:rFonts w:hint="eastAsia"/>
            </w:rPr>
            <w:alias w:val="委托理财类型"/>
            <w:tag w:val="_GBC_dde0b0799c3d4140ab92a2fd8e9f7e37"/>
            <w:id w:val="-1319184584"/>
            <w:comboBox>
              <w:listItem w:displayText="银行理财产品" w:value="银行理财产品"/>
              <w:listItem w:displayText="券商理财产品" w:value="券商理财产品"/>
              <w:listItem w:displayText="信托理财产品" w:value="信托理财产品"/>
              <w:listItem w:displayText="公募基金产品" w:value="公募基金产品"/>
              <w:listItem w:displayText="私募基金产品" w:value="私募基金产品"/>
              <w:listItem w:displayText="其他" w:value="其他"/>
            </w:comboBox>
          </w:sdtPr>
          <w:sdtContent>
            <w:tc>
              <w:tcPr>
                <w:tcW w:w="3322" w:type="dxa"/>
                <w:vAlign w:val="center"/>
              </w:tcPr>
              <w:p w14:paraId="0EA66238" w14:textId="77777777" w:rsidR="00577D08" w:rsidRDefault="00330FC0">
                <w:r>
                  <w:rPr>
                    <w:rFonts w:hint="eastAsia"/>
                  </w:rPr>
                  <w:t>银行理财产品</w:t>
                </w:r>
              </w:p>
            </w:tc>
          </w:sdtContent>
        </w:sdt>
        <w:tc>
          <w:tcPr>
            <w:tcW w:w="3361" w:type="dxa"/>
            <w:vAlign w:val="center"/>
          </w:tcPr>
          <w:p w14:paraId="2012A888" w14:textId="77777777" w:rsidR="00577D08" w:rsidRDefault="00330FC0">
            <w:r>
              <w:rPr>
                <w:rFonts w:hint="eastAsia"/>
              </w:rPr>
              <w:t>低风险</w:t>
            </w:r>
          </w:p>
        </w:tc>
        <w:tc>
          <w:tcPr>
            <w:tcW w:w="3361" w:type="dxa"/>
            <w:vAlign w:val="center"/>
          </w:tcPr>
          <w:p w14:paraId="06D82700" w14:textId="77777777" w:rsidR="00577D08" w:rsidRDefault="00330FC0">
            <w:pPr>
              <w:jc w:val="right"/>
            </w:pPr>
            <w:r>
              <w:rPr>
                <w:rFonts w:hint="eastAsia"/>
              </w:rPr>
              <w:t>0</w:t>
            </w:r>
          </w:p>
        </w:tc>
        <w:tc>
          <w:tcPr>
            <w:tcW w:w="4043" w:type="dxa"/>
            <w:vAlign w:val="center"/>
          </w:tcPr>
          <w:p w14:paraId="2D5CEA51" w14:textId="77777777" w:rsidR="00577D08" w:rsidRDefault="00330FC0">
            <w:pPr>
              <w:jc w:val="right"/>
            </w:pPr>
            <w:r>
              <w:rPr>
                <w:rFonts w:hint="eastAsia"/>
              </w:rPr>
              <w:t>0</w:t>
            </w:r>
          </w:p>
        </w:tc>
      </w:tr>
    </w:tbl>
    <w:p w14:paraId="727AA763" w14:textId="77777777" w:rsidR="00577D08" w:rsidRDefault="00330FC0">
      <w:pPr>
        <w:rPr>
          <w:bCs/>
        </w:rPr>
      </w:pPr>
      <w:r>
        <w:rPr>
          <w:rFonts w:hint="eastAsia"/>
          <w:bCs/>
        </w:rPr>
        <w:t>其他情况</w:t>
      </w:r>
    </w:p>
    <w:sdt>
      <w:sdtPr>
        <w:rPr>
          <w:rFonts w:hint="eastAsia"/>
        </w:rPr>
        <w:alias w:val="是否适用：委托理财总体其他情况[双击切换]"/>
        <w:tag w:val="_GBC_4fb72032e5bd4642bf5eb2d83d5ca874"/>
        <w:id w:val="-1395197127"/>
      </w:sdtPr>
      <w:sdtContent>
        <w:p w14:paraId="6674640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MACROBUTTON  SnrToggleCheckbox √不适用 </w:instrText>
          </w:r>
          <w:r>
            <w:rPr>
              <w:rFonts w:ascii="宋体" w:hAnsi="宋体"/>
            </w:rPr>
            <w:fldChar w:fldCharType="end"/>
          </w:r>
        </w:p>
      </w:sdtContent>
    </w:sdt>
    <w:sdt>
      <w:sdtPr>
        <w:rPr>
          <w:rFonts w:hint="eastAsia"/>
        </w:rPr>
        <w:alias w:val="委托理财总体其他情况"/>
        <w:tag w:val="_GBC_33416e1386744f6184a20c455de802e5"/>
        <w:id w:val="620893753"/>
      </w:sdtPr>
      <w:sdtContent>
        <w:p w14:paraId="1A2DF2C1" w14:textId="77777777" w:rsidR="00577D08" w:rsidRDefault="00330FC0">
          <w:r>
            <w:rPr>
              <w:rFonts w:hint="eastAsia"/>
            </w:rPr>
            <w:t>无</w:t>
          </w:r>
        </w:p>
      </w:sdtContent>
    </w:sdt>
    <w:p w14:paraId="6FC68EE8" w14:textId="77777777" w:rsidR="00577D08" w:rsidRDefault="00330FC0">
      <w:pPr>
        <w:pStyle w:val="5"/>
        <w:numPr>
          <w:ilvl w:val="0"/>
          <w:numId w:val="38"/>
        </w:numPr>
        <w:ind w:leftChars="0" w:left="357" w:hanging="357"/>
      </w:pPr>
      <w:r>
        <w:t>单项委托理财情况</w:t>
      </w:r>
    </w:p>
    <w:bookmarkEnd w:id="225"/>
    <w:p w14:paraId="2F654E59" w14:textId="77777777" w:rsidR="00577D08" w:rsidRDefault="00000000">
      <w:sdt>
        <w:sdtPr>
          <w:rPr>
            <w:rFonts w:hint="eastAsia"/>
          </w:rPr>
          <w:alias w:val="是否适用：单项委托理财情况[双击切换]"/>
          <w:tag w:val="_GBC_049960b74e79480d8781c2d7d6a997dc"/>
          <w:id w:val="891078510"/>
          <w:placeholder>
            <w:docPart w:val="GBC22222222222222222222222222222"/>
          </w:placeholder>
        </w:sdtPr>
        <w:sdtContent>
          <w:r w:rsidR="00330FC0">
            <w:rPr>
              <w:rFonts w:ascii="宋体" w:hAnsi="宋体"/>
            </w:rPr>
            <w:fldChar w:fldCharType="begin"/>
          </w:r>
          <w:r w:rsidR="00330FC0">
            <w:rPr>
              <w:rFonts w:ascii="宋体" w:hAnsi="宋体"/>
            </w:rPr>
            <w:instrText xml:space="preserve"> </w:instrText>
          </w:r>
          <w:r w:rsidR="00330FC0">
            <w:rPr>
              <w:rFonts w:ascii="宋体" w:hAnsi="宋体" w:hint="eastAsia"/>
            </w:rPr>
            <w:instrText xml:space="preserve">MACROBUTTON  SnrToggleCheckbox √适用 </w:instrText>
          </w:r>
          <w:r w:rsidR="00330FC0">
            <w:rPr>
              <w:rFonts w:ascii="宋体" w:hAnsi="宋体"/>
            </w:rPr>
            <w:instrText xml:space="preserve">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5C7B6DBE" w14:textId="77777777" w:rsidR="00577D08" w:rsidRDefault="00330FC0">
      <w:pPr>
        <w:jc w:val="right"/>
      </w:pPr>
      <w:r>
        <w:rPr>
          <w:rFonts w:hint="eastAsia"/>
        </w:rPr>
        <w:t>单位：</w:t>
      </w:r>
      <w:sdt>
        <w:sdtPr>
          <w:rPr>
            <w:rFonts w:hint="eastAsia"/>
          </w:rPr>
          <w:alias w:val="单位：单项委托理财情况"/>
          <w:tag w:val="_GBC_82d5f3d2ba304514bba23237111a211b"/>
          <w:id w:val="55320619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w:t>
      </w:r>
      <w:r>
        <w:rPr>
          <w:rFonts w:hint="eastAsia"/>
        </w:rPr>
        <w:t>币种：</w:t>
      </w:r>
      <w:sdt>
        <w:sdtPr>
          <w:rPr>
            <w:rFonts w:hint="eastAsia"/>
          </w:rPr>
          <w:alias w:val="币种：单项委托理财情况"/>
          <w:tag w:val="_GBC_1e2db013ad684830a72eacaf2b1319d4"/>
          <w:id w:val="-11506663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1282"/>
        <w:gridCol w:w="1282"/>
        <w:gridCol w:w="1282"/>
        <w:gridCol w:w="1279"/>
        <w:gridCol w:w="1279"/>
        <w:gridCol w:w="1279"/>
        <w:gridCol w:w="1279"/>
        <w:gridCol w:w="1279"/>
        <w:gridCol w:w="1279"/>
        <w:gridCol w:w="1279"/>
      </w:tblGrid>
      <w:tr w:rsidR="00577D08" w14:paraId="34A2BEEE" w14:textId="77777777">
        <w:trPr>
          <w:jc w:val="center"/>
        </w:trPr>
        <w:sdt>
          <w:sdtPr>
            <w:tag w:val="_PLD_14f5b6e156634fb5892dac8ce6409d58"/>
            <w:id w:val="114189256"/>
          </w:sdtPr>
          <w:sdtContent>
            <w:tc>
              <w:tcPr>
                <w:tcW w:w="1282" w:type="dxa"/>
                <w:vAlign w:val="center"/>
              </w:tcPr>
              <w:p w14:paraId="062E01D2" w14:textId="77777777" w:rsidR="00577D08" w:rsidRDefault="00330FC0">
                <w:pPr>
                  <w:jc w:val="center"/>
                </w:pPr>
                <w:r>
                  <w:rPr>
                    <w:rFonts w:hint="eastAsia"/>
                  </w:rPr>
                  <w:t>受托人</w:t>
                </w:r>
              </w:p>
            </w:tc>
          </w:sdtContent>
        </w:sdt>
        <w:sdt>
          <w:sdtPr>
            <w:tag w:val="_PLD_93acfc23d8a14834961a198ac3a66b6a"/>
            <w:id w:val="1116341519"/>
          </w:sdtPr>
          <w:sdtContent>
            <w:tc>
              <w:tcPr>
                <w:tcW w:w="1282" w:type="dxa"/>
                <w:vAlign w:val="center"/>
              </w:tcPr>
              <w:p w14:paraId="2E088911" w14:textId="77777777" w:rsidR="00577D08" w:rsidRDefault="00330FC0">
                <w:pPr>
                  <w:jc w:val="center"/>
                </w:pPr>
                <w:r>
                  <w:rPr>
                    <w:rFonts w:hint="eastAsia"/>
                  </w:rPr>
                  <w:t>委托理财类型</w:t>
                </w:r>
              </w:p>
            </w:tc>
          </w:sdtContent>
        </w:sdt>
        <w:tc>
          <w:tcPr>
            <w:tcW w:w="1282" w:type="dxa"/>
            <w:vAlign w:val="center"/>
          </w:tcPr>
          <w:sdt>
            <w:sdtPr>
              <w:tag w:val="_PLD_a9f08098f6904c4b910d84a0c4a226f1"/>
              <w:id w:val="1727726044"/>
            </w:sdtPr>
            <w:sdtContent>
              <w:p w14:paraId="187F185C" w14:textId="77777777" w:rsidR="00577D08" w:rsidRDefault="00330FC0">
                <w:pPr>
                  <w:jc w:val="center"/>
                </w:pPr>
                <w:r>
                  <w:rPr>
                    <w:rFonts w:hint="eastAsia"/>
                  </w:rPr>
                  <w:t>风险特征</w:t>
                </w:r>
              </w:p>
            </w:sdtContent>
          </w:sdt>
        </w:tc>
        <w:sdt>
          <w:sdtPr>
            <w:tag w:val="_PLD_e7134c1583a94d2fa0e160ddf15b5b4c"/>
            <w:id w:val="-1610433731"/>
          </w:sdtPr>
          <w:sdtContent>
            <w:tc>
              <w:tcPr>
                <w:tcW w:w="1282" w:type="dxa"/>
                <w:vAlign w:val="center"/>
              </w:tcPr>
              <w:p w14:paraId="5ED64A53" w14:textId="77777777" w:rsidR="00577D08" w:rsidRDefault="00330FC0">
                <w:pPr>
                  <w:jc w:val="center"/>
                </w:pPr>
                <w:r>
                  <w:rPr>
                    <w:rFonts w:hint="eastAsia"/>
                  </w:rPr>
                  <w:t>委托理财金额</w:t>
                </w:r>
              </w:p>
            </w:tc>
          </w:sdtContent>
        </w:sdt>
        <w:sdt>
          <w:sdtPr>
            <w:tag w:val="_PLD_ad477dfc35a8435789115ccc442a9117"/>
            <w:id w:val="1763650555"/>
          </w:sdtPr>
          <w:sdtContent>
            <w:tc>
              <w:tcPr>
                <w:tcW w:w="1279" w:type="dxa"/>
                <w:vAlign w:val="center"/>
              </w:tcPr>
              <w:p w14:paraId="5DEE483D" w14:textId="77777777" w:rsidR="00577D08" w:rsidRDefault="00330FC0">
                <w:pPr>
                  <w:jc w:val="center"/>
                </w:pPr>
                <w:r>
                  <w:rPr>
                    <w:rFonts w:hint="eastAsia"/>
                  </w:rPr>
                  <w:t>委托理财起始日期</w:t>
                </w:r>
              </w:p>
            </w:tc>
          </w:sdtContent>
        </w:sdt>
        <w:sdt>
          <w:sdtPr>
            <w:tag w:val="_PLD_002591ecf02b4c8481c8c7be2351809b"/>
            <w:id w:val="-1704776603"/>
          </w:sdtPr>
          <w:sdtContent>
            <w:tc>
              <w:tcPr>
                <w:tcW w:w="1279" w:type="dxa"/>
                <w:vAlign w:val="center"/>
              </w:tcPr>
              <w:p w14:paraId="19563031" w14:textId="77777777" w:rsidR="00577D08" w:rsidRDefault="00330FC0">
                <w:pPr>
                  <w:jc w:val="center"/>
                </w:pPr>
                <w:r>
                  <w:rPr>
                    <w:rFonts w:hint="eastAsia"/>
                  </w:rPr>
                  <w:t>委托理财终止日期</w:t>
                </w:r>
              </w:p>
            </w:tc>
          </w:sdtContent>
        </w:sdt>
        <w:sdt>
          <w:sdtPr>
            <w:tag w:val="_PLD_b4c9fbf87c1d4eb6829045d600520814"/>
            <w:id w:val="1791629217"/>
          </w:sdtPr>
          <w:sdtContent>
            <w:tc>
              <w:tcPr>
                <w:tcW w:w="1279" w:type="dxa"/>
                <w:vAlign w:val="center"/>
              </w:tcPr>
              <w:p w14:paraId="1A838E16" w14:textId="77777777" w:rsidR="00577D08" w:rsidRDefault="00330FC0">
                <w:pPr>
                  <w:jc w:val="center"/>
                </w:pPr>
                <w:r>
                  <w:rPr>
                    <w:rFonts w:hint="eastAsia"/>
                  </w:rPr>
                  <w:t>资金</w:t>
                </w:r>
              </w:p>
              <w:p w14:paraId="43EEA401" w14:textId="77777777" w:rsidR="00577D08" w:rsidRDefault="00330FC0">
                <w:pPr>
                  <w:jc w:val="center"/>
                </w:pPr>
                <w:r>
                  <w:rPr>
                    <w:rFonts w:hint="eastAsia"/>
                  </w:rPr>
                  <w:t>投向</w:t>
                </w:r>
              </w:p>
            </w:tc>
          </w:sdtContent>
        </w:sdt>
        <w:tc>
          <w:tcPr>
            <w:tcW w:w="1279" w:type="dxa"/>
            <w:vAlign w:val="center"/>
          </w:tcPr>
          <w:sdt>
            <w:sdtPr>
              <w:tag w:val="_PLD_c7b61a92374140dda06ad723cf62d0c3"/>
              <w:id w:val="-691448595"/>
            </w:sdtPr>
            <w:sdtContent>
              <w:p w14:paraId="3516952D" w14:textId="77777777" w:rsidR="00577D08" w:rsidRDefault="00330FC0">
                <w:pPr>
                  <w:jc w:val="center"/>
                </w:pPr>
                <w:r>
                  <w:rPr>
                    <w:rFonts w:hint="eastAsia"/>
                  </w:rPr>
                  <w:t>是否存在受限情形</w:t>
                </w:r>
              </w:p>
            </w:sdtContent>
          </w:sdt>
        </w:tc>
        <w:sdt>
          <w:sdtPr>
            <w:tag w:val="_PLD_03c2dacc44f14a9a9d90e7574bfa5bf5"/>
            <w:id w:val="1582639314"/>
          </w:sdtPr>
          <w:sdtContent>
            <w:tc>
              <w:tcPr>
                <w:tcW w:w="1279" w:type="dxa"/>
                <w:vAlign w:val="center"/>
              </w:tcPr>
              <w:p w14:paraId="3E65BEE2" w14:textId="77777777" w:rsidR="00577D08" w:rsidRDefault="00330FC0">
                <w:pPr>
                  <w:jc w:val="center"/>
                </w:pPr>
                <w:r>
                  <w:rPr>
                    <w:rFonts w:hint="eastAsia"/>
                  </w:rPr>
                  <w:t>实际</w:t>
                </w:r>
              </w:p>
              <w:p w14:paraId="6058AE47" w14:textId="77777777" w:rsidR="00577D08" w:rsidRDefault="00330FC0">
                <w:pPr>
                  <w:jc w:val="center"/>
                </w:pPr>
                <w:r>
                  <w:rPr>
                    <w:rFonts w:hint="eastAsia"/>
                  </w:rPr>
                  <w:t>收益或损失</w:t>
                </w:r>
              </w:p>
            </w:tc>
          </w:sdtContent>
        </w:sdt>
        <w:sdt>
          <w:sdtPr>
            <w:tag w:val="_PLD_bffac5bce91c4fd69354fa386ed0bcff"/>
            <w:id w:val="1218625917"/>
          </w:sdtPr>
          <w:sdtContent>
            <w:tc>
              <w:tcPr>
                <w:tcW w:w="1279" w:type="dxa"/>
                <w:vAlign w:val="center"/>
              </w:tcPr>
              <w:p w14:paraId="4522D340" w14:textId="77777777" w:rsidR="00577D08" w:rsidRDefault="00330FC0">
                <w:pPr>
                  <w:jc w:val="center"/>
                </w:pPr>
                <w:r>
                  <w:rPr>
                    <w:rFonts w:hint="eastAsia"/>
                  </w:rPr>
                  <w:t>未到期金额</w:t>
                </w:r>
              </w:p>
            </w:tc>
          </w:sdtContent>
        </w:sdt>
        <w:sdt>
          <w:sdtPr>
            <w:tag w:val="_PLD_0d3346d0655948cda53e1af967a327f9"/>
            <w:id w:val="915205332"/>
          </w:sdtPr>
          <w:sdtContent>
            <w:tc>
              <w:tcPr>
                <w:tcW w:w="1279" w:type="dxa"/>
                <w:vAlign w:val="center"/>
              </w:tcPr>
              <w:p w14:paraId="640F28F2" w14:textId="77777777" w:rsidR="00577D08" w:rsidRDefault="00330FC0">
                <w:pPr>
                  <w:jc w:val="center"/>
                </w:pPr>
                <w:r>
                  <w:rPr>
                    <w:rFonts w:hint="eastAsia"/>
                  </w:rPr>
                  <w:t>逾期未收回金额</w:t>
                </w:r>
              </w:p>
            </w:tc>
          </w:sdtContent>
        </w:sdt>
      </w:tr>
      <w:tr w:rsidR="00577D08" w14:paraId="3591E8A9" w14:textId="77777777">
        <w:trPr>
          <w:jc w:val="center"/>
        </w:trPr>
        <w:tc>
          <w:tcPr>
            <w:tcW w:w="1282" w:type="dxa"/>
            <w:vAlign w:val="center"/>
          </w:tcPr>
          <w:p w14:paraId="62838354" w14:textId="77777777" w:rsidR="00577D08" w:rsidRDefault="00330FC0">
            <w:pPr>
              <w:jc w:val="both"/>
            </w:pPr>
            <w:r>
              <w:rPr>
                <w:rFonts w:hint="eastAsia"/>
              </w:rPr>
              <w:t>上海浦东发展银行股份有限公司重庆分行</w:t>
            </w:r>
          </w:p>
        </w:tc>
        <w:sdt>
          <w:sdtPr>
            <w:rPr>
              <w:rFonts w:hint="eastAsia"/>
            </w:rPr>
            <w:alias w:val="委托理财类型"/>
            <w:tag w:val="_GBC_ad14e046fd7f4ad58bdaa5fba1e90aab"/>
            <w:id w:val="-478918253"/>
            <w:comboBox>
              <w:listItem w:displayText="银行理财产品" w:value="银行理财产品"/>
              <w:listItem w:displayText="券商理财产品" w:value="券商理财产品"/>
              <w:listItem w:displayText="信托理财产品" w:value="信托理财产品"/>
              <w:listItem w:displayText="公募基金产品" w:value="公募基金产品"/>
              <w:listItem w:displayText="私募基金产品" w:value="私募基金产品"/>
              <w:listItem w:displayText="其他" w:value="其他"/>
            </w:comboBox>
          </w:sdtPr>
          <w:sdtContent>
            <w:tc>
              <w:tcPr>
                <w:tcW w:w="1282" w:type="dxa"/>
                <w:vAlign w:val="center"/>
              </w:tcPr>
              <w:p w14:paraId="6A5229AB" w14:textId="77777777" w:rsidR="00577D08" w:rsidRDefault="00330FC0">
                <w:pPr>
                  <w:jc w:val="both"/>
                </w:pPr>
                <w:r>
                  <w:rPr>
                    <w:rFonts w:hint="eastAsia"/>
                  </w:rPr>
                  <w:t>银行理财产品</w:t>
                </w:r>
              </w:p>
            </w:tc>
          </w:sdtContent>
        </w:sdt>
        <w:tc>
          <w:tcPr>
            <w:tcW w:w="1282" w:type="dxa"/>
            <w:vAlign w:val="center"/>
          </w:tcPr>
          <w:p w14:paraId="6D15847F" w14:textId="77777777" w:rsidR="00577D08" w:rsidRDefault="00330FC0">
            <w:r>
              <w:rPr>
                <w:rFonts w:hint="eastAsia"/>
              </w:rPr>
              <w:t>低风险</w:t>
            </w:r>
          </w:p>
        </w:tc>
        <w:tc>
          <w:tcPr>
            <w:tcW w:w="1282" w:type="dxa"/>
            <w:vAlign w:val="center"/>
          </w:tcPr>
          <w:p w14:paraId="6D88F43F" w14:textId="77777777" w:rsidR="00577D08" w:rsidRDefault="00330FC0">
            <w:pPr>
              <w:jc w:val="right"/>
            </w:pPr>
            <w:r>
              <w:t>2</w:t>
            </w:r>
            <w:r>
              <w:rPr>
                <w:rFonts w:hint="eastAsia"/>
              </w:rPr>
              <w:t>,</w:t>
            </w:r>
            <w:r>
              <w:t>500</w:t>
            </w:r>
          </w:p>
        </w:tc>
        <w:tc>
          <w:tcPr>
            <w:tcW w:w="1279" w:type="dxa"/>
            <w:vAlign w:val="center"/>
          </w:tcPr>
          <w:p w14:paraId="3A0EF552" w14:textId="77777777" w:rsidR="00577D08" w:rsidRDefault="00330FC0">
            <w:pPr>
              <w:jc w:val="right"/>
            </w:pPr>
            <w:r>
              <w:t>2024/10/14</w:t>
            </w:r>
          </w:p>
        </w:tc>
        <w:tc>
          <w:tcPr>
            <w:tcW w:w="1279" w:type="dxa"/>
            <w:vAlign w:val="center"/>
          </w:tcPr>
          <w:p w14:paraId="6AE61BEF" w14:textId="77777777" w:rsidR="00577D08" w:rsidRDefault="00330FC0">
            <w:pPr>
              <w:jc w:val="right"/>
            </w:pPr>
            <w:r>
              <w:t>2025/1/14</w:t>
            </w:r>
          </w:p>
        </w:tc>
        <w:tc>
          <w:tcPr>
            <w:tcW w:w="1279" w:type="dxa"/>
            <w:vAlign w:val="center"/>
          </w:tcPr>
          <w:p w14:paraId="18CA952A" w14:textId="77777777" w:rsidR="00577D08" w:rsidRDefault="00330FC0">
            <w:pPr>
              <w:jc w:val="both"/>
            </w:pPr>
            <w:r>
              <w:rPr>
                <w:rFonts w:hint="eastAsia"/>
              </w:rPr>
              <w:t>银行</w:t>
            </w:r>
          </w:p>
        </w:tc>
        <w:sdt>
          <w:sdtPr>
            <w:alias w:val="委托理财是否存在受限情形"/>
            <w:tag w:val="_GBC_c00c225fe9af402e8cd487eff0c1bca1"/>
            <w:id w:val="-352804802"/>
            <w:comboBox>
              <w:listItem w:displayText="是" w:value="是"/>
              <w:listItem w:displayText="否" w:value="否"/>
            </w:comboBox>
          </w:sdtPr>
          <w:sdtContent>
            <w:tc>
              <w:tcPr>
                <w:tcW w:w="1279" w:type="dxa"/>
                <w:vAlign w:val="center"/>
              </w:tcPr>
              <w:p w14:paraId="2EC9311E" w14:textId="77777777" w:rsidR="00577D08" w:rsidRDefault="00330FC0">
                <w:pPr>
                  <w:jc w:val="both"/>
                </w:pPr>
                <w:r>
                  <w:t>是</w:t>
                </w:r>
              </w:p>
            </w:tc>
          </w:sdtContent>
        </w:sdt>
        <w:tc>
          <w:tcPr>
            <w:tcW w:w="1279" w:type="dxa"/>
            <w:vAlign w:val="center"/>
          </w:tcPr>
          <w:p w14:paraId="776E22F6" w14:textId="77777777" w:rsidR="00577D08" w:rsidRDefault="00330FC0">
            <w:pPr>
              <w:jc w:val="right"/>
              <w:rPr>
                <w:rStyle w:val="aff7"/>
              </w:rPr>
            </w:pPr>
            <w:r>
              <w:rPr>
                <w:rStyle w:val="aff7"/>
                <w:rFonts w:hint="eastAsia"/>
              </w:rPr>
              <w:t>13.75</w:t>
            </w:r>
          </w:p>
        </w:tc>
        <w:tc>
          <w:tcPr>
            <w:tcW w:w="1279" w:type="dxa"/>
            <w:vAlign w:val="center"/>
          </w:tcPr>
          <w:p w14:paraId="57403A1E" w14:textId="77777777" w:rsidR="00577D08" w:rsidRDefault="00330FC0">
            <w:pPr>
              <w:jc w:val="right"/>
              <w:rPr>
                <w:rStyle w:val="aff7"/>
              </w:rPr>
            </w:pPr>
            <w:r>
              <w:rPr>
                <w:rStyle w:val="aff7"/>
                <w:rFonts w:hint="eastAsia"/>
              </w:rPr>
              <w:t>0</w:t>
            </w:r>
          </w:p>
        </w:tc>
        <w:tc>
          <w:tcPr>
            <w:tcW w:w="1279" w:type="dxa"/>
            <w:vAlign w:val="center"/>
          </w:tcPr>
          <w:p w14:paraId="56026963" w14:textId="77777777" w:rsidR="00577D08" w:rsidRDefault="00330FC0">
            <w:pPr>
              <w:jc w:val="right"/>
              <w:rPr>
                <w:rStyle w:val="aff7"/>
              </w:rPr>
            </w:pPr>
            <w:r>
              <w:rPr>
                <w:rStyle w:val="aff7"/>
                <w:rFonts w:hint="eastAsia"/>
              </w:rPr>
              <w:t>0</w:t>
            </w:r>
          </w:p>
        </w:tc>
      </w:tr>
    </w:tbl>
    <w:p w14:paraId="3997723D" w14:textId="77777777" w:rsidR="00577D08" w:rsidRDefault="00330FC0">
      <w:pPr>
        <w:rPr>
          <w:bCs/>
        </w:rPr>
      </w:pPr>
      <w:r>
        <w:rPr>
          <w:rFonts w:hint="eastAsia"/>
          <w:bCs/>
        </w:rPr>
        <w:t>其他情况</w:t>
      </w:r>
    </w:p>
    <w:sdt>
      <w:sdtPr>
        <w:rPr>
          <w:rFonts w:hint="eastAsia"/>
        </w:rPr>
        <w:alias w:val="是否适用：单项委托理财其他情况[双击切换]"/>
        <w:tag w:val="_GBC_627c77e5ab674442a3b768741f653602"/>
        <w:id w:val="2024511180"/>
        <w:placeholder>
          <w:docPart w:val="GBC22222222222222222222222222222"/>
        </w:placeholder>
      </w:sdtPr>
      <w:sdtContent>
        <w:p w14:paraId="020655A5"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810595B" w14:textId="77777777" w:rsidR="00577D08" w:rsidRDefault="00000000">
      <w:pPr>
        <w:spacing w:line="360" w:lineRule="exact"/>
        <w:ind w:firstLineChars="200" w:firstLine="420"/>
      </w:pPr>
      <w:sdt>
        <w:sdtPr>
          <w:rPr>
            <w:rFonts w:hint="eastAsia"/>
          </w:rPr>
          <w:alias w:val="单项委托理财其他情况"/>
          <w:tag w:val="_GBC_fae10a8271a64d6cadcc1bd7c340761f"/>
          <w:id w:val="1573011875"/>
          <w:placeholder>
            <w:docPart w:val="GBC22222222222222222222222222222"/>
          </w:placeholder>
        </w:sdtPr>
        <w:sdtContent>
          <w:sdt>
            <w:sdtPr>
              <w:rPr>
                <w:rFonts w:hint="eastAsia"/>
              </w:rPr>
              <w:alias w:val="委托理财总体其他情况"/>
              <w:tag w:val="_GBC_33416e1386744f6184a20c455de802e5"/>
              <w:id w:val="26619844"/>
              <w:placeholder>
                <w:docPart w:val="A38E355CAB154820A243E0543B504CC0"/>
              </w:placeholder>
            </w:sdtPr>
            <w:sdtContent>
              <w:r w:rsidR="00330FC0">
                <w:rPr>
                  <w:rFonts w:hint="eastAsia"/>
                </w:rPr>
                <w:t>公司于</w:t>
              </w:r>
              <w:r w:rsidR="00330FC0">
                <w:rPr>
                  <w:rFonts w:hint="eastAsia"/>
                </w:rPr>
                <w:t>2024</w:t>
              </w:r>
              <w:r w:rsidR="00330FC0">
                <w:rPr>
                  <w:rFonts w:hint="eastAsia"/>
                </w:rPr>
                <w:t>年</w:t>
              </w:r>
              <w:r w:rsidR="00330FC0">
                <w:rPr>
                  <w:rFonts w:hint="eastAsia"/>
                </w:rPr>
                <w:t>11</w:t>
              </w:r>
              <w:r w:rsidR="00330FC0">
                <w:rPr>
                  <w:rFonts w:hint="eastAsia"/>
                </w:rPr>
                <w:t>月</w:t>
              </w:r>
              <w:r w:rsidR="00330FC0">
                <w:rPr>
                  <w:rFonts w:hint="eastAsia"/>
                </w:rPr>
                <w:t>26</w:t>
              </w:r>
              <w:r w:rsidR="00330FC0">
                <w:rPr>
                  <w:rFonts w:hint="eastAsia"/>
                </w:rPr>
                <w:t>日召开了第四届董事会第九次会议和第四届监事会第八次会议，审议通过了《关于使用暂时闲置募集资金进行现金管理的议案》，同意公司使用不超过</w:t>
              </w:r>
              <w:r w:rsidR="00330FC0">
                <w:rPr>
                  <w:rFonts w:hint="eastAsia"/>
                </w:rPr>
                <w:t>10,000</w:t>
              </w:r>
              <w:r w:rsidR="00330FC0">
                <w:rPr>
                  <w:rFonts w:hint="eastAsia"/>
                </w:rPr>
                <w:t>万元的暂时闲置募集资金进行现金管理，该额度的有效期自</w:t>
              </w:r>
              <w:r w:rsidR="00330FC0">
                <w:rPr>
                  <w:rFonts w:hint="eastAsia"/>
                </w:rPr>
                <w:t>2025</w:t>
              </w:r>
              <w:r w:rsidR="00330FC0">
                <w:rPr>
                  <w:rFonts w:hint="eastAsia"/>
                </w:rPr>
                <w:t>年</w:t>
              </w:r>
              <w:r w:rsidR="00330FC0">
                <w:rPr>
                  <w:rFonts w:hint="eastAsia"/>
                </w:rPr>
                <w:t>1</w:t>
              </w:r>
              <w:r w:rsidR="00330FC0">
                <w:rPr>
                  <w:rFonts w:hint="eastAsia"/>
                </w:rPr>
                <w:t>月</w:t>
              </w:r>
              <w:r w:rsidR="00330FC0">
                <w:rPr>
                  <w:rFonts w:hint="eastAsia"/>
                </w:rPr>
                <w:t>1</w:t>
              </w:r>
              <w:r w:rsidR="00330FC0">
                <w:rPr>
                  <w:rFonts w:hint="eastAsia"/>
                </w:rPr>
                <w:t>日至</w:t>
              </w:r>
              <w:r w:rsidR="00330FC0">
                <w:rPr>
                  <w:rFonts w:hint="eastAsia"/>
                </w:rPr>
                <w:t>2025</w:t>
              </w:r>
              <w:r w:rsidR="00330FC0">
                <w:rPr>
                  <w:rFonts w:hint="eastAsia"/>
                </w:rPr>
                <w:t>年</w:t>
              </w:r>
              <w:r w:rsidR="00330FC0">
                <w:rPr>
                  <w:rFonts w:hint="eastAsia"/>
                </w:rPr>
                <w:t>12</w:t>
              </w:r>
              <w:r w:rsidR="00330FC0">
                <w:rPr>
                  <w:rFonts w:hint="eastAsia"/>
                </w:rPr>
                <w:t>月</w:t>
              </w:r>
              <w:r w:rsidR="00330FC0">
                <w:rPr>
                  <w:rFonts w:hint="eastAsia"/>
                </w:rPr>
                <w:t>31</w:t>
              </w:r>
              <w:r w:rsidR="00330FC0">
                <w:rPr>
                  <w:rFonts w:hint="eastAsia"/>
                </w:rPr>
                <w:t>日止，在上述额度及有效期限内，公司可循环滚动使用。</w:t>
              </w:r>
            </w:sdtContent>
          </w:sdt>
        </w:sdtContent>
      </w:sdt>
    </w:p>
    <w:p w14:paraId="3640DDAA" w14:textId="77777777" w:rsidR="00577D08" w:rsidRDefault="00330FC0">
      <w:pPr>
        <w:pStyle w:val="5"/>
        <w:numPr>
          <w:ilvl w:val="0"/>
          <w:numId w:val="38"/>
        </w:numPr>
        <w:ind w:leftChars="0" w:left="357" w:hanging="357"/>
      </w:pPr>
      <w:r>
        <w:t>委托理财减值准备</w:t>
      </w:r>
    </w:p>
    <w:sdt>
      <w:sdtPr>
        <w:rPr>
          <w:rFonts w:hint="eastAsia"/>
        </w:rPr>
        <w:alias w:val="是否适用：委托理财减值准备[双击切换]"/>
        <w:tag w:val="_GBC_8db4f6600a6746739610ffaaa34abeac"/>
        <w:id w:val="1731423778"/>
        <w:placeholder>
          <w:docPart w:val="GBC22222222222222222222222222222"/>
        </w:placeholder>
      </w:sdtPr>
      <w:sdtContent>
        <w:p w14:paraId="718498E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EB9198" w14:textId="77777777" w:rsidR="00577D08" w:rsidRDefault="00330FC0">
      <w:pPr>
        <w:pStyle w:val="4"/>
        <w:numPr>
          <w:ilvl w:val="0"/>
          <w:numId w:val="37"/>
        </w:numPr>
        <w:rPr>
          <w:rFonts w:hint="eastAsia"/>
        </w:rPr>
      </w:pPr>
      <w:r>
        <w:lastRenderedPageBreak/>
        <w:t>委托贷款情况</w:t>
      </w:r>
    </w:p>
    <w:p w14:paraId="163D3170" w14:textId="77777777" w:rsidR="00577D08" w:rsidRDefault="00330FC0">
      <w:pPr>
        <w:pStyle w:val="5"/>
        <w:numPr>
          <w:ilvl w:val="0"/>
          <w:numId w:val="39"/>
        </w:numPr>
        <w:ind w:leftChars="0"/>
        <w:rPr>
          <w:rFonts w:ascii="宋体" w:hAnsi="宋体" w:cs="宋体" w:hint="eastAsia"/>
          <w:kern w:val="0"/>
          <w:szCs w:val="24"/>
        </w:rPr>
      </w:pPr>
      <w:r>
        <w:rPr>
          <w:rFonts w:ascii="宋体" w:hAnsi="宋体" w:cs="宋体"/>
          <w:kern w:val="0"/>
          <w:szCs w:val="24"/>
        </w:rPr>
        <w:t>委托贷款总体情况</w:t>
      </w:r>
    </w:p>
    <w:sdt>
      <w:sdtPr>
        <w:rPr>
          <w:rFonts w:hint="eastAsia"/>
        </w:rPr>
        <w:alias w:val="是否适用：委托贷款总体情况[双击切换]"/>
        <w:tag w:val="_GBC_6f663504a9e74d5c978e23554b4b84e4"/>
        <w:id w:val="-985318212"/>
        <w:placeholder>
          <w:docPart w:val="GBC22222222222222222222222222222"/>
        </w:placeholder>
      </w:sdtPr>
      <w:sdtContent>
        <w:p w14:paraId="449E588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9B6E76C" w14:textId="77777777" w:rsidR="00577D08" w:rsidRDefault="00330FC0">
      <w:pPr>
        <w:rPr>
          <w:bCs/>
        </w:rPr>
      </w:pPr>
      <w:r>
        <w:rPr>
          <w:rFonts w:hint="eastAsia"/>
          <w:bCs/>
        </w:rPr>
        <w:t>其他情况</w:t>
      </w:r>
    </w:p>
    <w:sdt>
      <w:sdtPr>
        <w:rPr>
          <w:rFonts w:hint="eastAsia"/>
        </w:rPr>
        <w:alias w:val="是否适用：委托贷款总体其他情况[双击切换]"/>
        <w:tag w:val="_GBC_a071e3ce40374c6bb1b2f2dc2158413e"/>
        <w:id w:val="1171530121"/>
        <w:placeholder>
          <w:docPart w:val="GBC22222222222222222222222222222"/>
        </w:placeholder>
      </w:sdtPr>
      <w:sdtContent>
        <w:p w14:paraId="48D8CC7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027B2FD" w14:textId="77777777" w:rsidR="00577D08" w:rsidRDefault="00330FC0">
      <w:pPr>
        <w:pStyle w:val="5"/>
        <w:numPr>
          <w:ilvl w:val="0"/>
          <w:numId w:val="39"/>
        </w:numPr>
        <w:ind w:leftChars="0"/>
        <w:rPr>
          <w:rFonts w:ascii="宋体" w:hAnsi="宋体" w:cs="宋体" w:hint="eastAsia"/>
          <w:kern w:val="0"/>
          <w:szCs w:val="24"/>
        </w:rPr>
      </w:pPr>
      <w:r>
        <w:rPr>
          <w:rFonts w:ascii="宋体" w:hAnsi="宋体" w:cs="宋体"/>
          <w:kern w:val="0"/>
          <w:szCs w:val="24"/>
        </w:rPr>
        <w:t>单项委托贷款情况</w:t>
      </w:r>
    </w:p>
    <w:sdt>
      <w:sdtPr>
        <w:rPr>
          <w:rFonts w:hint="eastAsia"/>
        </w:rPr>
        <w:alias w:val="是否适用：单项委托贷款情况[双击切换]"/>
        <w:tag w:val="_GBC_30b7c4837f704dff80c05190f23d6f3e"/>
        <w:id w:val="-1298131757"/>
        <w:placeholder>
          <w:docPart w:val="GBC22222222222222222222222222222"/>
        </w:placeholder>
      </w:sdtPr>
      <w:sdtContent>
        <w:p w14:paraId="4E0A66A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0101CB6" w14:textId="77777777" w:rsidR="00577D08" w:rsidRDefault="00330FC0">
      <w:pPr>
        <w:rPr>
          <w:bCs/>
        </w:rPr>
      </w:pPr>
      <w:r>
        <w:rPr>
          <w:rFonts w:hint="eastAsia"/>
          <w:bCs/>
        </w:rPr>
        <w:t>其他情况</w:t>
      </w:r>
    </w:p>
    <w:sdt>
      <w:sdtPr>
        <w:rPr>
          <w:rFonts w:hint="eastAsia"/>
        </w:rPr>
        <w:alias w:val="是否适用：单项委托贷款其他情况[双击切换]"/>
        <w:tag w:val="_GBC_7fbd63dcaf8a4899bcd830951796a261"/>
        <w:id w:val="1380817865"/>
        <w:placeholder>
          <w:docPart w:val="GBC22222222222222222222222222222"/>
        </w:placeholder>
      </w:sdtPr>
      <w:sdtContent>
        <w:p w14:paraId="052A2D0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E0D9D17" w14:textId="77777777" w:rsidR="00577D08" w:rsidRDefault="00330FC0">
      <w:pPr>
        <w:pStyle w:val="5"/>
        <w:numPr>
          <w:ilvl w:val="0"/>
          <w:numId w:val="39"/>
        </w:numPr>
        <w:ind w:leftChars="0"/>
        <w:rPr>
          <w:rFonts w:ascii="宋体" w:hAnsi="宋体" w:cs="宋体" w:hint="eastAsia"/>
          <w:kern w:val="0"/>
          <w:szCs w:val="24"/>
        </w:rPr>
      </w:pPr>
      <w:r>
        <w:rPr>
          <w:rFonts w:ascii="宋体" w:hAnsi="宋体" w:cs="宋体"/>
          <w:kern w:val="0"/>
          <w:szCs w:val="24"/>
        </w:rPr>
        <w:t>委托贷款减值</w:t>
      </w:r>
      <w:r>
        <w:rPr>
          <w:rFonts w:ascii="宋体" w:hAnsi="宋体" w:cs="宋体" w:hint="eastAsia"/>
          <w:kern w:val="0"/>
          <w:szCs w:val="24"/>
        </w:rPr>
        <w:t>准备</w:t>
      </w:r>
    </w:p>
    <w:sdt>
      <w:sdtPr>
        <w:rPr>
          <w:rFonts w:hint="eastAsia"/>
        </w:rPr>
        <w:alias w:val="是否适用：委托贷款减值准备[双击切换]"/>
        <w:tag w:val="_GBC_72dc10eff44f4851bd80447a1199a033"/>
        <w:id w:val="-1395428692"/>
        <w:placeholder>
          <w:docPart w:val="GBC22222222222222222222222222222"/>
        </w:placeholder>
      </w:sdtPr>
      <w:sdtContent>
        <w:p w14:paraId="2B504A0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359C0E" w14:textId="77777777" w:rsidR="00577D08" w:rsidRDefault="00330FC0">
      <w:pPr>
        <w:pStyle w:val="4"/>
        <w:numPr>
          <w:ilvl w:val="0"/>
          <w:numId w:val="37"/>
        </w:numPr>
        <w:rPr>
          <w:rFonts w:hint="eastAsia"/>
        </w:rPr>
      </w:pPr>
      <w:r>
        <w:t>其他</w:t>
      </w:r>
      <w:r>
        <w:rPr>
          <w:rFonts w:hint="eastAsia"/>
        </w:rPr>
        <w:t>情况</w:t>
      </w:r>
    </w:p>
    <w:sdt>
      <w:sdtPr>
        <w:rPr>
          <w:rFonts w:hint="eastAsia"/>
        </w:rPr>
        <w:alias w:val="是否适用：委托他人进行现金资产管理的其他情况[双击切换]"/>
        <w:tag w:val="_GBC_c408f1ecbaff4ed08e4dcfbbac8e0ccd"/>
        <w:id w:val="1885287453"/>
        <w:placeholder>
          <w:docPart w:val="GBC22222222222222222222222222222"/>
        </w:placeholder>
      </w:sdtPr>
      <w:sdtContent>
        <w:p w14:paraId="1DB09BE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B5AC0F2" w14:textId="77777777" w:rsidR="00577D08" w:rsidRDefault="00330FC0">
      <w:pPr>
        <w:pStyle w:val="3"/>
        <w:numPr>
          <w:ilvl w:val="0"/>
          <w:numId w:val="35"/>
        </w:numPr>
        <w:rPr>
          <w:szCs w:val="21"/>
        </w:rPr>
      </w:pPr>
      <w:bookmarkStart w:id="226" w:name="OLE_LINK97"/>
      <w:r>
        <w:rPr>
          <w:szCs w:val="21"/>
        </w:rPr>
        <w:t>其他重大合同</w:t>
      </w:r>
    </w:p>
    <w:bookmarkEnd w:id="226" w:displacedByCustomXml="next"/>
    <w:sdt>
      <w:sdtPr>
        <w:rPr>
          <w:rFonts w:hint="eastAsia"/>
        </w:rPr>
        <w:alias w:val="是否适用：其他重大合同[双击切换]"/>
        <w:tag w:val="_GBC_541dd80939ae4bafb641675f942c4c14"/>
        <w:id w:val="236525540"/>
        <w:placeholder>
          <w:docPart w:val="GBC22222222222222222222222222222"/>
        </w:placeholder>
      </w:sdtPr>
      <w:sdtContent>
        <w:p w14:paraId="03A8C25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C33F61D" w14:textId="77777777" w:rsidR="00577D08" w:rsidRDefault="00330FC0">
      <w:pPr>
        <w:pStyle w:val="2"/>
        <w:numPr>
          <w:ilvl w:val="0"/>
          <w:numId w:val="27"/>
        </w:numPr>
      </w:pPr>
      <w:bookmarkStart w:id="227" w:name="_Hlk72846301"/>
      <w:bookmarkStart w:id="228" w:name="_Hlk170206295"/>
      <w:bookmarkStart w:id="229" w:name="_Hlk182989663"/>
      <w:bookmarkStart w:id="230" w:name="_Hlk170215658"/>
      <w:bookmarkStart w:id="231" w:name="OLE_LINK1"/>
      <w:r>
        <w:rPr>
          <w:rFonts w:hint="eastAsia"/>
        </w:rPr>
        <w:t>募集资金使用进展说明</w:t>
      </w:r>
    </w:p>
    <w:bookmarkEnd w:id="231" w:displacedByCustomXml="next"/>
    <w:sdt>
      <w:sdtPr>
        <w:rPr>
          <w:color w:val="000000" w:themeColor="text1"/>
        </w:rPr>
        <w:alias w:val="是否适用：募集资金使用进展说明[双击切换]"/>
        <w:tag w:val="_GBC_4a9b3f05f0c443b28b4863d3686af0a7"/>
        <w:id w:val="-191227747"/>
        <w:placeholder>
          <w:docPart w:val="GBC22222222222222222222222222222"/>
        </w:placeholder>
      </w:sdtPr>
      <w:sdtContent>
        <w:p w14:paraId="7075C26C"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0B0AE3B" w14:textId="77777777" w:rsidR="00577D08" w:rsidRDefault="00330FC0">
      <w:pPr>
        <w:pStyle w:val="3"/>
        <w:numPr>
          <w:ilvl w:val="0"/>
          <w:numId w:val="40"/>
        </w:numPr>
        <w:tabs>
          <w:tab w:val="left" w:pos="360"/>
        </w:tabs>
        <w:ind w:left="450" w:hanging="450"/>
        <w:rPr>
          <w:rFonts w:ascii="宋体" w:hAnsi="宋体" w:hint="eastAsia"/>
          <w:color w:val="000000" w:themeColor="text1"/>
        </w:rPr>
      </w:pPr>
      <w:bookmarkStart w:id="232" w:name="_Hlk90391863"/>
      <w:bookmarkStart w:id="233" w:name="_Hlk151129531"/>
      <w:bookmarkStart w:id="234" w:name="_Hlk168575638"/>
      <w:bookmarkStart w:id="235" w:name="_Hlk106290436"/>
      <w:r>
        <w:rPr>
          <w:rFonts w:ascii="宋体" w:hAnsi="宋体" w:hint="eastAsia"/>
          <w:color w:val="000000" w:themeColor="text1"/>
        </w:rPr>
        <w:t>募集资金整体使用情况</w:t>
      </w:r>
    </w:p>
    <w:sdt>
      <w:sdtPr>
        <w:rPr>
          <w:color w:val="000000" w:themeColor="text1"/>
        </w:rPr>
        <w:alias w:val="是否适用：募集资金整体使用情况[双击切换]"/>
        <w:tag w:val="_GBC_f7ce1753f5bd4373adb2e16c333fbcf8"/>
        <w:id w:val="2115398333"/>
        <w:placeholder>
          <w:docPart w:val="GBC22222222222222222222222222222"/>
        </w:placeholder>
      </w:sdtPr>
      <w:sdtContent>
        <w:p w14:paraId="4518F728"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9CE9EC2" w14:textId="77777777" w:rsidR="00577D08" w:rsidRDefault="00330FC0">
      <w:pPr>
        <w:jc w:val="right"/>
        <w:rPr>
          <w:color w:val="000000" w:themeColor="text1"/>
        </w:rPr>
      </w:pPr>
      <w:r>
        <w:rPr>
          <w:rFonts w:hint="eastAsia"/>
          <w:color w:val="000000" w:themeColor="text1"/>
        </w:rPr>
        <w:t>单位：</w:t>
      </w:r>
      <w:sdt>
        <w:sdtPr>
          <w:rPr>
            <w:rFonts w:hint="eastAsia"/>
            <w:color w:val="000000" w:themeColor="text1"/>
          </w:rPr>
          <w:alias w:val="单位：对闲置募集资金进行管理的情况"/>
          <w:tag w:val="_GBC_0fe75dde345340829535cbc3da108f68"/>
          <w:id w:val="1502167618"/>
          <w:placeholder>
            <w:docPart w:val="B83B2C52CBF04AC28F6521F8CB6FBA9A"/>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对闲置募集资金进行管理的情况"/>
          <w:tag w:val="_GBC_4e4d7a5fc38840d5800fdeff4e26227c"/>
          <w:id w:val="686951202"/>
          <w:placeholder>
            <w:docPart w:val="B83B2C52CBF04AC28F6521F8CB6FBA9A"/>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1096"/>
        <w:gridCol w:w="1096"/>
        <w:gridCol w:w="1096"/>
        <w:gridCol w:w="1093"/>
        <w:gridCol w:w="1093"/>
        <w:gridCol w:w="1090"/>
        <w:gridCol w:w="1090"/>
        <w:gridCol w:w="1090"/>
        <w:gridCol w:w="1090"/>
        <w:gridCol w:w="1090"/>
        <w:gridCol w:w="1034"/>
        <w:gridCol w:w="1028"/>
      </w:tblGrid>
      <w:tr w:rsidR="00577D08" w14:paraId="26536104" w14:textId="77777777">
        <w:trPr>
          <w:trHeight w:val="996"/>
          <w:jc w:val="center"/>
        </w:trPr>
        <w:sdt>
          <w:sdtPr>
            <w:rPr>
              <w:sz w:val="18"/>
              <w:szCs w:val="18"/>
            </w:rPr>
            <w:tag w:val="_PLD_f6f1d998ccd247978de3bf98d3ec7d14"/>
            <w:id w:val="-1819104515"/>
          </w:sdtPr>
          <w:sdtContent>
            <w:tc>
              <w:tcPr>
                <w:tcW w:w="1096" w:type="dxa"/>
                <w:vAlign w:val="center"/>
              </w:tcPr>
              <w:p w14:paraId="36AD6187" w14:textId="77777777" w:rsidR="00577D08" w:rsidRDefault="00330FC0">
                <w:pPr>
                  <w:jc w:val="center"/>
                  <w:rPr>
                    <w:bCs/>
                    <w:color w:val="000000" w:themeColor="text1"/>
                    <w:sz w:val="18"/>
                    <w:szCs w:val="18"/>
                  </w:rPr>
                </w:pPr>
                <w:r>
                  <w:rPr>
                    <w:rFonts w:hint="eastAsia"/>
                    <w:color w:val="000000" w:themeColor="text1"/>
                    <w:sz w:val="18"/>
                    <w:szCs w:val="18"/>
                  </w:rPr>
                  <w:t>募集资金</w:t>
                </w:r>
                <w:r>
                  <w:rPr>
                    <w:color w:val="000000" w:themeColor="text1"/>
                    <w:sz w:val="18"/>
                    <w:szCs w:val="18"/>
                  </w:rPr>
                  <w:t>来源</w:t>
                </w:r>
              </w:p>
            </w:tc>
          </w:sdtContent>
        </w:sdt>
        <w:tc>
          <w:tcPr>
            <w:tcW w:w="1096" w:type="dxa"/>
            <w:vAlign w:val="center"/>
          </w:tcPr>
          <w:sdt>
            <w:sdtPr>
              <w:rPr>
                <w:sz w:val="18"/>
                <w:szCs w:val="18"/>
              </w:rPr>
              <w:tag w:val="_PLD_d475cde67d434322b3926f8ee6cb6efe"/>
              <w:id w:val="-57327232"/>
            </w:sdtPr>
            <w:sdtContent>
              <w:p w14:paraId="348344D8" w14:textId="77777777" w:rsidR="00577D08" w:rsidRDefault="00330FC0">
                <w:pPr>
                  <w:jc w:val="center"/>
                  <w:rPr>
                    <w:bCs/>
                    <w:color w:val="000000" w:themeColor="text1"/>
                    <w:sz w:val="18"/>
                    <w:szCs w:val="18"/>
                  </w:rPr>
                </w:pPr>
                <w:r>
                  <w:rPr>
                    <w:rFonts w:hint="eastAsia"/>
                    <w:color w:val="000000" w:themeColor="text1"/>
                    <w:sz w:val="18"/>
                    <w:szCs w:val="18"/>
                  </w:rPr>
                  <w:t>募集资金到位时间</w:t>
                </w:r>
              </w:p>
            </w:sdtContent>
          </w:sdt>
        </w:tc>
        <w:sdt>
          <w:sdtPr>
            <w:rPr>
              <w:sz w:val="18"/>
              <w:szCs w:val="18"/>
            </w:rPr>
            <w:tag w:val="_PLD_252fbd39a9aa4efb883074d613e0a1e1"/>
            <w:id w:val="386537194"/>
          </w:sdtPr>
          <w:sdtContent>
            <w:tc>
              <w:tcPr>
                <w:tcW w:w="1096" w:type="dxa"/>
                <w:vAlign w:val="center"/>
              </w:tcPr>
              <w:p w14:paraId="2AF4F347" w14:textId="77777777" w:rsidR="00577D08" w:rsidRDefault="00330FC0">
                <w:pPr>
                  <w:jc w:val="center"/>
                  <w:rPr>
                    <w:bCs/>
                    <w:color w:val="000000" w:themeColor="text1"/>
                    <w:sz w:val="18"/>
                    <w:szCs w:val="18"/>
                  </w:rPr>
                </w:pPr>
                <w:r>
                  <w:rPr>
                    <w:rFonts w:hint="eastAsia"/>
                    <w:color w:val="000000" w:themeColor="text1"/>
                    <w:sz w:val="18"/>
                    <w:szCs w:val="18"/>
                  </w:rPr>
                  <w:t>募集资金总额</w:t>
                </w:r>
              </w:p>
            </w:tc>
          </w:sdtContent>
        </w:sdt>
        <w:sdt>
          <w:sdtPr>
            <w:rPr>
              <w:sz w:val="18"/>
              <w:szCs w:val="18"/>
            </w:rPr>
            <w:tag w:val="_PLD_a851d7026a994562b874effec1349b64"/>
            <w:id w:val="1600528289"/>
          </w:sdtPr>
          <w:sdtContent>
            <w:tc>
              <w:tcPr>
                <w:tcW w:w="1096" w:type="dxa"/>
                <w:vAlign w:val="center"/>
              </w:tcPr>
              <w:p w14:paraId="1225B859" w14:textId="77777777" w:rsidR="00577D08" w:rsidRDefault="00330FC0">
                <w:pPr>
                  <w:jc w:val="center"/>
                  <w:rPr>
                    <w:bCs/>
                    <w:color w:val="000000" w:themeColor="text1"/>
                    <w:sz w:val="18"/>
                    <w:szCs w:val="18"/>
                  </w:rPr>
                </w:pPr>
                <w:r>
                  <w:rPr>
                    <w:rFonts w:hint="eastAsia"/>
                    <w:color w:val="000000" w:themeColor="text1"/>
                    <w:sz w:val="18"/>
                    <w:szCs w:val="18"/>
                  </w:rPr>
                  <w:t>募集资金净额（</w:t>
                </w:r>
                <w:r>
                  <w:rPr>
                    <w:rFonts w:hint="eastAsia"/>
                    <w:color w:val="000000" w:themeColor="text1"/>
                    <w:sz w:val="18"/>
                    <w:szCs w:val="18"/>
                  </w:rPr>
                  <w:t>1</w:t>
                </w:r>
                <w:r>
                  <w:rPr>
                    <w:rFonts w:hint="eastAsia"/>
                    <w:color w:val="000000" w:themeColor="text1"/>
                    <w:sz w:val="18"/>
                    <w:szCs w:val="18"/>
                  </w:rPr>
                  <w:t>）</w:t>
                </w:r>
              </w:p>
            </w:tc>
          </w:sdtContent>
        </w:sdt>
        <w:sdt>
          <w:sdtPr>
            <w:rPr>
              <w:sz w:val="18"/>
              <w:szCs w:val="18"/>
            </w:rPr>
            <w:tag w:val="_PLD_6daf672bf88347618659de27fe421de3"/>
            <w:id w:val="-1427798727"/>
          </w:sdtPr>
          <w:sdtContent>
            <w:tc>
              <w:tcPr>
                <w:tcW w:w="1093" w:type="dxa"/>
                <w:vAlign w:val="center"/>
              </w:tcPr>
              <w:p w14:paraId="4C1DE1BC" w14:textId="77777777" w:rsidR="00577D08" w:rsidRDefault="00330FC0">
                <w:pPr>
                  <w:jc w:val="center"/>
                  <w:rPr>
                    <w:bCs/>
                    <w:color w:val="000000" w:themeColor="text1"/>
                    <w:sz w:val="18"/>
                    <w:szCs w:val="18"/>
                  </w:rPr>
                </w:pPr>
                <w:r>
                  <w:rPr>
                    <w:rFonts w:hint="eastAsia"/>
                    <w:color w:val="000000" w:themeColor="text1"/>
                    <w:sz w:val="18"/>
                    <w:szCs w:val="18"/>
                  </w:rPr>
                  <w:t>招股书或募集说明书中募集资金承诺投资总额（</w:t>
                </w:r>
                <w:r>
                  <w:rPr>
                    <w:rFonts w:hint="eastAsia"/>
                    <w:color w:val="000000" w:themeColor="text1"/>
                    <w:sz w:val="18"/>
                    <w:szCs w:val="18"/>
                  </w:rPr>
                  <w:t>2</w:t>
                </w:r>
                <w:r>
                  <w:rPr>
                    <w:color w:val="000000" w:themeColor="text1"/>
                    <w:sz w:val="18"/>
                    <w:szCs w:val="18"/>
                  </w:rPr>
                  <w:t>）</w:t>
                </w:r>
              </w:p>
            </w:tc>
          </w:sdtContent>
        </w:sdt>
        <w:sdt>
          <w:sdtPr>
            <w:rPr>
              <w:sz w:val="18"/>
              <w:szCs w:val="18"/>
            </w:rPr>
            <w:tag w:val="_PLD_4457c04ac0cd4c058c1d86573213f47c"/>
            <w:id w:val="1180546576"/>
          </w:sdtPr>
          <w:sdtContent>
            <w:tc>
              <w:tcPr>
                <w:tcW w:w="1093" w:type="dxa"/>
                <w:vAlign w:val="center"/>
              </w:tcPr>
              <w:p w14:paraId="3169B400" w14:textId="77777777" w:rsidR="00577D08" w:rsidRDefault="00330FC0">
                <w:pPr>
                  <w:jc w:val="center"/>
                  <w:rPr>
                    <w:bCs/>
                    <w:color w:val="000000" w:themeColor="text1"/>
                    <w:sz w:val="18"/>
                    <w:szCs w:val="18"/>
                  </w:rPr>
                </w:pPr>
                <w:r>
                  <w:rPr>
                    <w:rFonts w:hint="eastAsia"/>
                    <w:color w:val="000000" w:themeColor="text1"/>
                    <w:sz w:val="18"/>
                    <w:szCs w:val="18"/>
                  </w:rPr>
                  <w:t>超募资金总额（</w:t>
                </w:r>
                <w:r>
                  <w:rPr>
                    <w:color w:val="000000" w:themeColor="text1"/>
                    <w:sz w:val="18"/>
                    <w:szCs w:val="18"/>
                  </w:rPr>
                  <w:t>3</w:t>
                </w:r>
                <w:r>
                  <w:rPr>
                    <w:color w:val="000000" w:themeColor="text1"/>
                    <w:sz w:val="18"/>
                    <w:szCs w:val="18"/>
                  </w:rPr>
                  <w:t>）</w:t>
                </w:r>
                <w:r>
                  <w:rPr>
                    <w:color w:val="000000" w:themeColor="text1"/>
                    <w:sz w:val="18"/>
                    <w:szCs w:val="18"/>
                  </w:rPr>
                  <w:t>=</w:t>
                </w:r>
                <w:r>
                  <w:rPr>
                    <w:color w:val="000000" w:themeColor="text1"/>
                    <w:sz w:val="18"/>
                    <w:szCs w:val="18"/>
                  </w:rPr>
                  <w:t>（</w:t>
                </w:r>
                <w:r>
                  <w:rPr>
                    <w:color w:val="000000" w:themeColor="text1"/>
                    <w:sz w:val="18"/>
                    <w:szCs w:val="18"/>
                  </w:rPr>
                  <w:t>1</w:t>
                </w:r>
                <w:r>
                  <w:rPr>
                    <w:color w:val="000000" w:themeColor="text1"/>
                    <w:sz w:val="18"/>
                    <w:szCs w:val="18"/>
                  </w:rPr>
                  <w:t>）</w:t>
                </w:r>
                <w:r>
                  <w:rPr>
                    <w:color w:val="000000" w:themeColor="text1"/>
                    <w:sz w:val="18"/>
                    <w:szCs w:val="18"/>
                  </w:rPr>
                  <w:t>-</w:t>
                </w:r>
                <w:r>
                  <w:rPr>
                    <w:color w:val="000000" w:themeColor="text1"/>
                    <w:sz w:val="18"/>
                    <w:szCs w:val="18"/>
                  </w:rPr>
                  <w:t>（</w:t>
                </w:r>
                <w:r>
                  <w:rPr>
                    <w:color w:val="000000" w:themeColor="text1"/>
                    <w:sz w:val="18"/>
                    <w:szCs w:val="18"/>
                  </w:rPr>
                  <w:t>2</w:t>
                </w:r>
                <w:r>
                  <w:rPr>
                    <w:color w:val="000000" w:themeColor="text1"/>
                    <w:sz w:val="18"/>
                    <w:szCs w:val="18"/>
                  </w:rPr>
                  <w:t>）</w:t>
                </w:r>
              </w:p>
            </w:tc>
          </w:sdtContent>
        </w:sdt>
        <w:sdt>
          <w:sdtPr>
            <w:rPr>
              <w:sz w:val="18"/>
              <w:szCs w:val="18"/>
            </w:rPr>
            <w:tag w:val="_PLD_2001aaa3bce24644967289df40b3ceb9"/>
            <w:id w:val="-115911893"/>
          </w:sdtPr>
          <w:sdtContent>
            <w:tc>
              <w:tcPr>
                <w:tcW w:w="1090" w:type="dxa"/>
                <w:vAlign w:val="center"/>
              </w:tcPr>
              <w:p w14:paraId="3F2B4183" w14:textId="77777777" w:rsidR="00577D08" w:rsidRDefault="00330FC0">
                <w:pPr>
                  <w:jc w:val="center"/>
                  <w:rPr>
                    <w:bCs/>
                    <w:color w:val="000000" w:themeColor="text1"/>
                    <w:sz w:val="18"/>
                    <w:szCs w:val="18"/>
                  </w:rPr>
                </w:pPr>
                <w:r>
                  <w:rPr>
                    <w:rFonts w:hint="eastAsia"/>
                    <w:color w:val="000000" w:themeColor="text1"/>
                    <w:sz w:val="18"/>
                    <w:szCs w:val="18"/>
                  </w:rPr>
                  <w:t>截至</w:t>
                </w:r>
                <w:r>
                  <w:rPr>
                    <w:color w:val="000000" w:themeColor="text1"/>
                    <w:sz w:val="18"/>
                    <w:szCs w:val="18"/>
                  </w:rPr>
                  <w:t>报告期末</w:t>
                </w:r>
                <w:r>
                  <w:rPr>
                    <w:rFonts w:hint="eastAsia"/>
                    <w:color w:val="000000" w:themeColor="text1"/>
                    <w:sz w:val="18"/>
                    <w:szCs w:val="18"/>
                  </w:rPr>
                  <w:t>累计投入募集资金总额（</w:t>
                </w:r>
                <w:r>
                  <w:rPr>
                    <w:rFonts w:hint="eastAsia"/>
                    <w:color w:val="000000" w:themeColor="text1"/>
                    <w:sz w:val="18"/>
                    <w:szCs w:val="18"/>
                  </w:rPr>
                  <w:t>4</w:t>
                </w:r>
                <w:r>
                  <w:rPr>
                    <w:rFonts w:hint="eastAsia"/>
                    <w:color w:val="000000" w:themeColor="text1"/>
                    <w:sz w:val="18"/>
                    <w:szCs w:val="18"/>
                  </w:rPr>
                  <w:t>）</w:t>
                </w:r>
              </w:p>
            </w:tc>
          </w:sdtContent>
        </w:sdt>
        <w:sdt>
          <w:sdtPr>
            <w:rPr>
              <w:sz w:val="18"/>
              <w:szCs w:val="18"/>
            </w:rPr>
            <w:tag w:val="_PLD_287b63bde2f94d56bd75a4879a66d85a"/>
            <w:id w:val="1483151"/>
          </w:sdtPr>
          <w:sdtContent>
            <w:tc>
              <w:tcPr>
                <w:tcW w:w="1090" w:type="dxa"/>
                <w:vAlign w:val="center"/>
              </w:tcPr>
              <w:p w14:paraId="797D0C70" w14:textId="77777777" w:rsidR="00577D08" w:rsidRDefault="00330FC0">
                <w:pPr>
                  <w:jc w:val="center"/>
                  <w:rPr>
                    <w:bCs/>
                    <w:color w:val="000000" w:themeColor="text1"/>
                    <w:sz w:val="18"/>
                    <w:szCs w:val="18"/>
                  </w:rPr>
                </w:pPr>
                <w:r>
                  <w:rPr>
                    <w:rFonts w:hint="eastAsia"/>
                    <w:color w:val="000000" w:themeColor="text1"/>
                    <w:sz w:val="18"/>
                    <w:szCs w:val="18"/>
                  </w:rPr>
                  <w:t>其中：截至报告期末超募资金累计投入总额</w:t>
                </w:r>
                <w:r>
                  <w:rPr>
                    <w:color w:val="000000" w:themeColor="text1"/>
                    <w:sz w:val="18"/>
                    <w:szCs w:val="18"/>
                  </w:rPr>
                  <w:t>（</w:t>
                </w:r>
                <w:r>
                  <w:rPr>
                    <w:color w:val="000000" w:themeColor="text1"/>
                    <w:sz w:val="18"/>
                    <w:szCs w:val="18"/>
                  </w:rPr>
                  <w:t>5</w:t>
                </w:r>
                <w:r>
                  <w:rPr>
                    <w:color w:val="000000" w:themeColor="text1"/>
                    <w:sz w:val="18"/>
                    <w:szCs w:val="18"/>
                  </w:rPr>
                  <w:t>）</w:t>
                </w:r>
              </w:p>
            </w:tc>
          </w:sdtContent>
        </w:sdt>
        <w:sdt>
          <w:sdtPr>
            <w:rPr>
              <w:sz w:val="18"/>
              <w:szCs w:val="18"/>
            </w:rPr>
            <w:tag w:val="_PLD_893378377fcf4f1b98058ddbe54894ac"/>
            <w:id w:val="1460079090"/>
          </w:sdtPr>
          <w:sdtContent>
            <w:tc>
              <w:tcPr>
                <w:tcW w:w="1090" w:type="dxa"/>
                <w:vAlign w:val="center"/>
              </w:tcPr>
              <w:p w14:paraId="4D531A53" w14:textId="77777777" w:rsidR="00577D08" w:rsidRDefault="00330FC0">
                <w:pPr>
                  <w:jc w:val="center"/>
                  <w:rPr>
                    <w:bCs/>
                    <w:color w:val="000000" w:themeColor="text1"/>
                    <w:sz w:val="18"/>
                    <w:szCs w:val="18"/>
                  </w:rPr>
                </w:pPr>
                <w:r>
                  <w:rPr>
                    <w:rFonts w:hint="eastAsia"/>
                    <w:color w:val="000000" w:themeColor="text1"/>
                    <w:sz w:val="18"/>
                    <w:szCs w:val="18"/>
                  </w:rPr>
                  <w:t>截至报告期末募集资金累计投入进度（</w:t>
                </w:r>
                <w:r>
                  <w:rPr>
                    <w:color w:val="000000" w:themeColor="text1"/>
                    <w:sz w:val="18"/>
                    <w:szCs w:val="18"/>
                  </w:rPr>
                  <w:t>%</w:t>
                </w:r>
                <w:r>
                  <w:rPr>
                    <w:color w:val="000000" w:themeColor="text1"/>
                    <w:sz w:val="18"/>
                    <w:szCs w:val="18"/>
                  </w:rPr>
                  <w:t>）</w:t>
                </w:r>
                <w:r>
                  <w:rPr>
                    <w:color w:val="000000" w:themeColor="text1"/>
                    <w:sz w:val="18"/>
                    <w:szCs w:val="18"/>
                  </w:rPr>
                  <w:t>(6)</w:t>
                </w:r>
                <w:r>
                  <w:rPr>
                    <w:color w:val="000000" w:themeColor="text1"/>
                    <w:sz w:val="18"/>
                    <w:szCs w:val="18"/>
                  </w:rPr>
                  <w:t>＝</w:t>
                </w:r>
                <w:r>
                  <w:rPr>
                    <w:color w:val="000000" w:themeColor="text1"/>
                    <w:sz w:val="18"/>
                    <w:szCs w:val="18"/>
                  </w:rPr>
                  <w:t>(4)/(1)</w:t>
                </w:r>
              </w:p>
            </w:tc>
          </w:sdtContent>
        </w:sdt>
        <w:sdt>
          <w:sdtPr>
            <w:rPr>
              <w:sz w:val="18"/>
              <w:szCs w:val="18"/>
            </w:rPr>
            <w:tag w:val="_PLD_18e3fddd7206486287c3bd864b934e3a"/>
            <w:id w:val="-423653230"/>
          </w:sdtPr>
          <w:sdtContent>
            <w:tc>
              <w:tcPr>
                <w:tcW w:w="1090" w:type="dxa"/>
                <w:vAlign w:val="center"/>
              </w:tcPr>
              <w:p w14:paraId="0825C2E3" w14:textId="77777777" w:rsidR="00577D08" w:rsidRDefault="00330FC0">
                <w:pPr>
                  <w:jc w:val="center"/>
                  <w:rPr>
                    <w:bCs/>
                    <w:color w:val="000000" w:themeColor="text1"/>
                    <w:sz w:val="18"/>
                    <w:szCs w:val="18"/>
                  </w:rPr>
                </w:pPr>
                <w:r>
                  <w:rPr>
                    <w:rFonts w:hint="eastAsia"/>
                    <w:color w:val="000000" w:themeColor="text1"/>
                    <w:sz w:val="18"/>
                    <w:szCs w:val="18"/>
                  </w:rPr>
                  <w:t>截至报告期末超募资金累计投入进度（</w:t>
                </w:r>
                <w:r>
                  <w:rPr>
                    <w:color w:val="000000" w:themeColor="text1"/>
                    <w:sz w:val="18"/>
                    <w:szCs w:val="18"/>
                  </w:rPr>
                  <w:t>%</w:t>
                </w:r>
                <w:r>
                  <w:rPr>
                    <w:color w:val="000000" w:themeColor="text1"/>
                    <w:sz w:val="18"/>
                    <w:szCs w:val="18"/>
                  </w:rPr>
                  <w:t>）</w:t>
                </w:r>
                <w:r>
                  <w:rPr>
                    <w:color w:val="000000" w:themeColor="text1"/>
                    <w:sz w:val="18"/>
                    <w:szCs w:val="18"/>
                  </w:rPr>
                  <w:t>(7)</w:t>
                </w:r>
                <w:r>
                  <w:rPr>
                    <w:color w:val="000000" w:themeColor="text1"/>
                    <w:sz w:val="18"/>
                    <w:szCs w:val="18"/>
                  </w:rPr>
                  <w:t>＝</w:t>
                </w:r>
                <w:r>
                  <w:rPr>
                    <w:color w:val="000000" w:themeColor="text1"/>
                    <w:sz w:val="18"/>
                    <w:szCs w:val="18"/>
                  </w:rPr>
                  <w:t>(5)/(3)</w:t>
                </w:r>
              </w:p>
            </w:tc>
          </w:sdtContent>
        </w:sdt>
        <w:sdt>
          <w:sdtPr>
            <w:rPr>
              <w:sz w:val="18"/>
              <w:szCs w:val="18"/>
            </w:rPr>
            <w:tag w:val="_PLD_5a5a62f015214297bbf828465bfbc8f4"/>
            <w:id w:val="2115938862"/>
          </w:sdtPr>
          <w:sdtContent>
            <w:tc>
              <w:tcPr>
                <w:tcW w:w="1090" w:type="dxa"/>
                <w:vAlign w:val="center"/>
              </w:tcPr>
              <w:p w14:paraId="2BB2450D" w14:textId="77777777" w:rsidR="00577D08" w:rsidRDefault="00330FC0">
                <w:pPr>
                  <w:jc w:val="center"/>
                  <w:rPr>
                    <w:bCs/>
                    <w:color w:val="000000" w:themeColor="text1"/>
                    <w:sz w:val="18"/>
                    <w:szCs w:val="18"/>
                  </w:rPr>
                </w:pPr>
                <w:r>
                  <w:rPr>
                    <w:rFonts w:hint="eastAsia"/>
                    <w:color w:val="000000" w:themeColor="text1"/>
                    <w:sz w:val="18"/>
                    <w:szCs w:val="18"/>
                  </w:rPr>
                  <w:t>本年度投入金额（</w:t>
                </w:r>
                <w:r>
                  <w:rPr>
                    <w:rFonts w:hint="eastAsia"/>
                    <w:color w:val="000000" w:themeColor="text1"/>
                    <w:sz w:val="18"/>
                    <w:szCs w:val="18"/>
                  </w:rPr>
                  <w:t>8</w:t>
                </w:r>
                <w:r>
                  <w:rPr>
                    <w:rFonts w:hint="eastAsia"/>
                    <w:color w:val="000000" w:themeColor="text1"/>
                    <w:sz w:val="18"/>
                    <w:szCs w:val="18"/>
                  </w:rPr>
                  <w:t>）</w:t>
                </w:r>
              </w:p>
            </w:tc>
          </w:sdtContent>
        </w:sdt>
        <w:sdt>
          <w:sdtPr>
            <w:rPr>
              <w:sz w:val="18"/>
              <w:szCs w:val="18"/>
            </w:rPr>
            <w:tag w:val="_PLD_36978a8c17d4468c9ed997ff6b3b41b7"/>
            <w:id w:val="-76443982"/>
          </w:sdtPr>
          <w:sdtContent>
            <w:tc>
              <w:tcPr>
                <w:tcW w:w="1034" w:type="dxa"/>
                <w:vAlign w:val="center"/>
              </w:tcPr>
              <w:p w14:paraId="710FBB3E" w14:textId="77777777" w:rsidR="00577D08" w:rsidRDefault="00330FC0">
                <w:pPr>
                  <w:jc w:val="center"/>
                  <w:rPr>
                    <w:bCs/>
                    <w:color w:val="000000" w:themeColor="text1"/>
                    <w:sz w:val="18"/>
                    <w:szCs w:val="18"/>
                  </w:rPr>
                </w:pPr>
                <w:r>
                  <w:rPr>
                    <w:rFonts w:hint="eastAsia"/>
                    <w:color w:val="000000" w:themeColor="text1"/>
                    <w:sz w:val="18"/>
                    <w:szCs w:val="18"/>
                  </w:rPr>
                  <w:t>本年度投入金额占比（</w:t>
                </w:r>
                <w:r>
                  <w:rPr>
                    <w:rFonts w:hint="eastAsia"/>
                    <w:color w:val="000000" w:themeColor="text1"/>
                    <w:sz w:val="18"/>
                    <w:szCs w:val="18"/>
                  </w:rPr>
                  <w:t>%</w:t>
                </w:r>
                <w:r>
                  <w:rPr>
                    <w:rFonts w:hint="eastAsia"/>
                    <w:color w:val="000000" w:themeColor="text1"/>
                    <w:sz w:val="18"/>
                    <w:szCs w:val="18"/>
                  </w:rPr>
                  <w:t>）（</w:t>
                </w:r>
                <w:r>
                  <w:rPr>
                    <w:color w:val="000000" w:themeColor="text1"/>
                    <w:sz w:val="18"/>
                    <w:szCs w:val="18"/>
                  </w:rPr>
                  <w:t>9</w:t>
                </w:r>
                <w:r>
                  <w:rPr>
                    <w:color w:val="000000" w:themeColor="text1"/>
                    <w:sz w:val="18"/>
                    <w:szCs w:val="18"/>
                  </w:rPr>
                  <w:t>）</w:t>
                </w:r>
                <w:r>
                  <w:rPr>
                    <w:color w:val="000000" w:themeColor="text1"/>
                    <w:sz w:val="18"/>
                    <w:szCs w:val="18"/>
                  </w:rPr>
                  <w:t>=(</w:t>
                </w:r>
                <w:r>
                  <w:rPr>
                    <w:rFonts w:hint="eastAsia"/>
                    <w:color w:val="000000" w:themeColor="text1"/>
                    <w:sz w:val="18"/>
                    <w:szCs w:val="18"/>
                  </w:rPr>
                  <w:t>8</w:t>
                </w:r>
                <w:r>
                  <w:rPr>
                    <w:color w:val="000000" w:themeColor="text1"/>
                    <w:sz w:val="18"/>
                    <w:szCs w:val="18"/>
                  </w:rPr>
                  <w:t>)/(1)</w:t>
                </w:r>
              </w:p>
            </w:tc>
          </w:sdtContent>
        </w:sdt>
        <w:tc>
          <w:tcPr>
            <w:tcW w:w="1028" w:type="dxa"/>
            <w:vAlign w:val="center"/>
          </w:tcPr>
          <w:sdt>
            <w:sdtPr>
              <w:rPr>
                <w:sz w:val="18"/>
                <w:szCs w:val="18"/>
              </w:rPr>
              <w:tag w:val="_PLD_387eaf1380e44b8ab68c14cd62262945"/>
              <w:id w:val="-1906896960"/>
            </w:sdtPr>
            <w:sdtContent>
              <w:p w14:paraId="038F2A38" w14:textId="77777777" w:rsidR="00577D08" w:rsidRDefault="00330FC0">
                <w:pPr>
                  <w:jc w:val="center"/>
                  <w:rPr>
                    <w:bCs/>
                    <w:color w:val="000000" w:themeColor="text1"/>
                    <w:sz w:val="18"/>
                    <w:szCs w:val="18"/>
                  </w:rPr>
                </w:pPr>
                <w:r>
                  <w:rPr>
                    <w:rFonts w:hint="eastAsia"/>
                    <w:color w:val="000000" w:themeColor="text1"/>
                    <w:sz w:val="18"/>
                    <w:szCs w:val="18"/>
                  </w:rPr>
                  <w:t>变更用途的募集资金总额</w:t>
                </w:r>
              </w:p>
            </w:sdtContent>
          </w:sdt>
        </w:tc>
      </w:tr>
      <w:tr w:rsidR="00577D08" w14:paraId="4D57C38A" w14:textId="77777777">
        <w:trPr>
          <w:trHeight w:val="194"/>
          <w:jc w:val="center"/>
        </w:trPr>
        <w:bookmarkStart w:id="236" w:name="_Hlk169881517" w:displacedByCustomXml="next"/>
        <w:sdt>
          <w:sdtPr>
            <w:rPr>
              <w:bCs/>
              <w:color w:val="000000" w:themeColor="text1"/>
              <w:sz w:val="18"/>
              <w:szCs w:val="18"/>
            </w:rPr>
            <w:alias w:val="募集资金整体使用情况_募集资金来源"/>
            <w:tag w:val="_GBC_c7eb32810fc5438a8c61d8f1cff9aaf5"/>
            <w:id w:val="-1828889775"/>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1096" w:type="dxa"/>
                <w:vAlign w:val="center"/>
              </w:tcPr>
              <w:p w14:paraId="67BD928B" w14:textId="77777777" w:rsidR="00577D08" w:rsidRDefault="00330FC0">
                <w:pPr>
                  <w:rPr>
                    <w:bCs/>
                    <w:color w:val="000000" w:themeColor="text1"/>
                    <w:sz w:val="18"/>
                    <w:szCs w:val="18"/>
                  </w:rPr>
                </w:pPr>
                <w:r>
                  <w:rPr>
                    <w:bCs/>
                    <w:color w:val="000000" w:themeColor="text1"/>
                    <w:sz w:val="18"/>
                    <w:szCs w:val="18"/>
                  </w:rPr>
                  <w:t>首次公开发行股票</w:t>
                </w:r>
              </w:p>
            </w:tc>
          </w:sdtContent>
        </w:sdt>
        <w:tc>
          <w:tcPr>
            <w:tcW w:w="1096" w:type="dxa"/>
            <w:vAlign w:val="center"/>
          </w:tcPr>
          <w:p w14:paraId="6EABD242" w14:textId="77777777" w:rsidR="00577D08" w:rsidRDefault="00330FC0">
            <w:pPr>
              <w:jc w:val="right"/>
              <w:rPr>
                <w:bCs/>
                <w:color w:val="000000" w:themeColor="text1"/>
                <w:sz w:val="18"/>
                <w:szCs w:val="18"/>
              </w:rPr>
            </w:pPr>
            <w:r>
              <w:rPr>
                <w:sz w:val="18"/>
                <w:szCs w:val="18"/>
              </w:rPr>
              <w:t>2022/4/18</w:t>
            </w:r>
          </w:p>
        </w:tc>
        <w:tc>
          <w:tcPr>
            <w:tcW w:w="1096" w:type="dxa"/>
            <w:vAlign w:val="center"/>
          </w:tcPr>
          <w:p w14:paraId="50AE202B" w14:textId="77777777" w:rsidR="00577D08" w:rsidRDefault="00330FC0">
            <w:pPr>
              <w:jc w:val="right"/>
              <w:rPr>
                <w:bCs/>
                <w:sz w:val="18"/>
                <w:szCs w:val="18"/>
              </w:rPr>
            </w:pPr>
            <w:r>
              <w:rPr>
                <w:sz w:val="18"/>
                <w:szCs w:val="18"/>
              </w:rPr>
              <w:t>98,784.14</w:t>
            </w:r>
          </w:p>
        </w:tc>
        <w:tc>
          <w:tcPr>
            <w:tcW w:w="1096" w:type="dxa"/>
            <w:vAlign w:val="center"/>
          </w:tcPr>
          <w:p w14:paraId="4314E491" w14:textId="77777777" w:rsidR="00577D08" w:rsidRDefault="00330FC0">
            <w:pPr>
              <w:jc w:val="right"/>
              <w:rPr>
                <w:bCs/>
                <w:sz w:val="18"/>
                <w:szCs w:val="18"/>
              </w:rPr>
            </w:pPr>
            <w:r>
              <w:rPr>
                <w:sz w:val="18"/>
                <w:szCs w:val="18"/>
              </w:rPr>
              <w:t>85,456.18</w:t>
            </w:r>
          </w:p>
        </w:tc>
        <w:tc>
          <w:tcPr>
            <w:tcW w:w="1093" w:type="dxa"/>
            <w:vAlign w:val="center"/>
          </w:tcPr>
          <w:p w14:paraId="13916B71" w14:textId="77777777" w:rsidR="00577D08" w:rsidRDefault="00330FC0">
            <w:pPr>
              <w:jc w:val="right"/>
              <w:rPr>
                <w:bCs/>
                <w:sz w:val="18"/>
                <w:szCs w:val="18"/>
              </w:rPr>
            </w:pPr>
            <w:r>
              <w:rPr>
                <w:sz w:val="18"/>
                <w:szCs w:val="18"/>
              </w:rPr>
              <w:t>85,456.18</w:t>
            </w:r>
          </w:p>
        </w:tc>
        <w:tc>
          <w:tcPr>
            <w:tcW w:w="1093" w:type="dxa"/>
            <w:vAlign w:val="center"/>
          </w:tcPr>
          <w:p w14:paraId="4CD37C95" w14:textId="77777777" w:rsidR="00577D08" w:rsidRDefault="00330FC0">
            <w:pPr>
              <w:jc w:val="right"/>
              <w:rPr>
                <w:bCs/>
                <w:sz w:val="18"/>
                <w:szCs w:val="18"/>
              </w:rPr>
            </w:pPr>
            <w:r>
              <w:rPr>
                <w:sz w:val="18"/>
                <w:szCs w:val="18"/>
              </w:rPr>
              <w:t>/</w:t>
            </w:r>
          </w:p>
        </w:tc>
        <w:tc>
          <w:tcPr>
            <w:tcW w:w="1090" w:type="dxa"/>
            <w:vAlign w:val="center"/>
          </w:tcPr>
          <w:p w14:paraId="685F3240" w14:textId="77777777" w:rsidR="00577D08" w:rsidRDefault="00330FC0">
            <w:pPr>
              <w:jc w:val="right"/>
              <w:rPr>
                <w:bCs/>
                <w:sz w:val="18"/>
                <w:szCs w:val="18"/>
              </w:rPr>
            </w:pPr>
            <w:r>
              <w:rPr>
                <w:sz w:val="18"/>
                <w:szCs w:val="18"/>
              </w:rPr>
              <w:t>83,668.59</w:t>
            </w:r>
          </w:p>
        </w:tc>
        <w:tc>
          <w:tcPr>
            <w:tcW w:w="1090" w:type="dxa"/>
            <w:vAlign w:val="center"/>
          </w:tcPr>
          <w:p w14:paraId="27179E17" w14:textId="77777777" w:rsidR="00577D08" w:rsidRDefault="00330FC0">
            <w:pPr>
              <w:jc w:val="right"/>
              <w:rPr>
                <w:bCs/>
                <w:sz w:val="18"/>
                <w:szCs w:val="18"/>
              </w:rPr>
            </w:pPr>
            <w:r>
              <w:rPr>
                <w:sz w:val="18"/>
                <w:szCs w:val="18"/>
              </w:rPr>
              <w:t>/</w:t>
            </w:r>
          </w:p>
        </w:tc>
        <w:tc>
          <w:tcPr>
            <w:tcW w:w="1090" w:type="dxa"/>
            <w:vAlign w:val="center"/>
          </w:tcPr>
          <w:p w14:paraId="50188DDB" w14:textId="77777777" w:rsidR="00577D08" w:rsidRDefault="00330FC0">
            <w:pPr>
              <w:jc w:val="right"/>
              <w:rPr>
                <w:bCs/>
                <w:sz w:val="18"/>
                <w:szCs w:val="18"/>
              </w:rPr>
            </w:pPr>
            <w:r>
              <w:rPr>
                <w:sz w:val="18"/>
                <w:szCs w:val="18"/>
              </w:rPr>
              <w:t>97.91</w:t>
            </w:r>
          </w:p>
        </w:tc>
        <w:tc>
          <w:tcPr>
            <w:tcW w:w="1090" w:type="dxa"/>
            <w:vAlign w:val="center"/>
          </w:tcPr>
          <w:p w14:paraId="5906D88F" w14:textId="77777777" w:rsidR="00577D08" w:rsidRDefault="00330FC0">
            <w:pPr>
              <w:jc w:val="right"/>
              <w:rPr>
                <w:bCs/>
                <w:sz w:val="18"/>
                <w:szCs w:val="18"/>
              </w:rPr>
            </w:pPr>
            <w:r>
              <w:rPr>
                <w:sz w:val="18"/>
                <w:szCs w:val="18"/>
              </w:rPr>
              <w:t>/</w:t>
            </w:r>
          </w:p>
        </w:tc>
        <w:tc>
          <w:tcPr>
            <w:tcW w:w="1090" w:type="dxa"/>
            <w:vAlign w:val="center"/>
          </w:tcPr>
          <w:p w14:paraId="76AEC328" w14:textId="77777777" w:rsidR="00577D08" w:rsidRDefault="00330FC0">
            <w:pPr>
              <w:jc w:val="right"/>
              <w:rPr>
                <w:bCs/>
                <w:sz w:val="18"/>
                <w:szCs w:val="18"/>
              </w:rPr>
            </w:pPr>
            <w:r>
              <w:rPr>
                <w:sz w:val="18"/>
                <w:szCs w:val="18"/>
              </w:rPr>
              <w:t>3,378.40</w:t>
            </w:r>
          </w:p>
        </w:tc>
        <w:tc>
          <w:tcPr>
            <w:tcW w:w="1034" w:type="dxa"/>
            <w:vAlign w:val="center"/>
          </w:tcPr>
          <w:p w14:paraId="2981D43D" w14:textId="77777777" w:rsidR="00577D08" w:rsidRDefault="00330FC0">
            <w:pPr>
              <w:jc w:val="right"/>
              <w:rPr>
                <w:bCs/>
                <w:sz w:val="18"/>
                <w:szCs w:val="18"/>
              </w:rPr>
            </w:pPr>
            <w:r>
              <w:rPr>
                <w:sz w:val="18"/>
                <w:szCs w:val="18"/>
              </w:rPr>
              <w:t>3.95</w:t>
            </w:r>
          </w:p>
        </w:tc>
        <w:tc>
          <w:tcPr>
            <w:tcW w:w="1028" w:type="dxa"/>
            <w:vAlign w:val="center"/>
          </w:tcPr>
          <w:p w14:paraId="74B7E1A1" w14:textId="77777777" w:rsidR="00577D08" w:rsidRDefault="00330FC0">
            <w:pPr>
              <w:jc w:val="right"/>
              <w:rPr>
                <w:bCs/>
                <w:sz w:val="18"/>
                <w:szCs w:val="18"/>
              </w:rPr>
            </w:pPr>
            <w:r>
              <w:rPr>
                <w:sz w:val="18"/>
                <w:szCs w:val="18"/>
              </w:rPr>
              <w:t>14,774.44</w:t>
            </w:r>
          </w:p>
        </w:tc>
      </w:tr>
      <w:bookmarkEnd w:id="236"/>
      <w:tr w:rsidR="00577D08" w14:paraId="5B4F659C" w14:textId="77777777">
        <w:trPr>
          <w:trHeight w:val="194"/>
          <w:jc w:val="center"/>
        </w:trPr>
        <w:tc>
          <w:tcPr>
            <w:tcW w:w="1096" w:type="dxa"/>
            <w:vAlign w:val="center"/>
          </w:tcPr>
          <w:p w14:paraId="3AF56E42" w14:textId="77777777" w:rsidR="00577D08" w:rsidRDefault="00330FC0">
            <w:pPr>
              <w:jc w:val="center"/>
              <w:rPr>
                <w:bCs/>
                <w:color w:val="000000" w:themeColor="text1"/>
                <w:sz w:val="18"/>
                <w:szCs w:val="18"/>
              </w:rPr>
            </w:pPr>
            <w:r>
              <w:rPr>
                <w:rFonts w:hint="eastAsia"/>
                <w:color w:val="000000" w:themeColor="text1"/>
                <w:sz w:val="18"/>
                <w:szCs w:val="18"/>
              </w:rPr>
              <w:t>合计</w:t>
            </w:r>
          </w:p>
        </w:tc>
        <w:tc>
          <w:tcPr>
            <w:tcW w:w="1096" w:type="dxa"/>
            <w:vAlign w:val="center"/>
          </w:tcPr>
          <w:p w14:paraId="7493ADBE" w14:textId="77777777" w:rsidR="00577D08" w:rsidRDefault="00330FC0">
            <w:pPr>
              <w:jc w:val="right"/>
              <w:rPr>
                <w:bCs/>
                <w:color w:val="000000" w:themeColor="text1"/>
                <w:sz w:val="18"/>
                <w:szCs w:val="18"/>
              </w:rPr>
            </w:pPr>
            <w:r>
              <w:rPr>
                <w:sz w:val="18"/>
                <w:szCs w:val="18"/>
              </w:rPr>
              <w:t>/</w:t>
            </w:r>
          </w:p>
        </w:tc>
        <w:tc>
          <w:tcPr>
            <w:tcW w:w="1096" w:type="dxa"/>
            <w:vAlign w:val="center"/>
          </w:tcPr>
          <w:p w14:paraId="607D5512" w14:textId="77777777" w:rsidR="00577D08" w:rsidRDefault="00330FC0">
            <w:pPr>
              <w:jc w:val="right"/>
              <w:rPr>
                <w:bCs/>
                <w:sz w:val="18"/>
                <w:szCs w:val="18"/>
              </w:rPr>
            </w:pPr>
            <w:r>
              <w:rPr>
                <w:sz w:val="18"/>
                <w:szCs w:val="18"/>
              </w:rPr>
              <w:t>98,784.14</w:t>
            </w:r>
          </w:p>
        </w:tc>
        <w:tc>
          <w:tcPr>
            <w:tcW w:w="1096" w:type="dxa"/>
            <w:vAlign w:val="center"/>
          </w:tcPr>
          <w:p w14:paraId="433587E7" w14:textId="77777777" w:rsidR="00577D08" w:rsidRDefault="00330FC0">
            <w:pPr>
              <w:jc w:val="right"/>
              <w:rPr>
                <w:bCs/>
                <w:sz w:val="18"/>
                <w:szCs w:val="18"/>
              </w:rPr>
            </w:pPr>
            <w:r>
              <w:rPr>
                <w:sz w:val="18"/>
                <w:szCs w:val="18"/>
              </w:rPr>
              <w:t>85,456.18</w:t>
            </w:r>
          </w:p>
        </w:tc>
        <w:tc>
          <w:tcPr>
            <w:tcW w:w="1093" w:type="dxa"/>
            <w:vAlign w:val="center"/>
          </w:tcPr>
          <w:p w14:paraId="77AB8620" w14:textId="77777777" w:rsidR="00577D08" w:rsidRDefault="00330FC0">
            <w:pPr>
              <w:jc w:val="right"/>
              <w:rPr>
                <w:bCs/>
                <w:sz w:val="18"/>
                <w:szCs w:val="18"/>
              </w:rPr>
            </w:pPr>
            <w:r>
              <w:rPr>
                <w:sz w:val="18"/>
                <w:szCs w:val="18"/>
              </w:rPr>
              <w:t>85,456.18</w:t>
            </w:r>
          </w:p>
        </w:tc>
        <w:tc>
          <w:tcPr>
            <w:tcW w:w="1093" w:type="dxa"/>
            <w:vAlign w:val="center"/>
          </w:tcPr>
          <w:p w14:paraId="0A457855" w14:textId="77777777" w:rsidR="00577D08" w:rsidRDefault="00330FC0">
            <w:pPr>
              <w:jc w:val="right"/>
              <w:rPr>
                <w:bCs/>
                <w:sz w:val="18"/>
                <w:szCs w:val="18"/>
              </w:rPr>
            </w:pPr>
            <w:r>
              <w:rPr>
                <w:sz w:val="18"/>
                <w:szCs w:val="18"/>
              </w:rPr>
              <w:t>/</w:t>
            </w:r>
          </w:p>
        </w:tc>
        <w:tc>
          <w:tcPr>
            <w:tcW w:w="1090" w:type="dxa"/>
            <w:vAlign w:val="center"/>
          </w:tcPr>
          <w:p w14:paraId="26260E5A" w14:textId="77777777" w:rsidR="00577D08" w:rsidRDefault="00330FC0">
            <w:pPr>
              <w:jc w:val="right"/>
              <w:rPr>
                <w:bCs/>
                <w:sz w:val="18"/>
                <w:szCs w:val="18"/>
              </w:rPr>
            </w:pPr>
            <w:r>
              <w:rPr>
                <w:sz w:val="18"/>
                <w:szCs w:val="18"/>
              </w:rPr>
              <w:t>83,668.59</w:t>
            </w:r>
          </w:p>
        </w:tc>
        <w:tc>
          <w:tcPr>
            <w:tcW w:w="1090" w:type="dxa"/>
            <w:vAlign w:val="center"/>
          </w:tcPr>
          <w:p w14:paraId="1D015263" w14:textId="77777777" w:rsidR="00577D08" w:rsidRDefault="00330FC0">
            <w:pPr>
              <w:jc w:val="right"/>
              <w:rPr>
                <w:bCs/>
                <w:sz w:val="18"/>
                <w:szCs w:val="18"/>
              </w:rPr>
            </w:pPr>
            <w:r>
              <w:rPr>
                <w:sz w:val="18"/>
                <w:szCs w:val="18"/>
              </w:rPr>
              <w:t>/</w:t>
            </w:r>
          </w:p>
        </w:tc>
        <w:tc>
          <w:tcPr>
            <w:tcW w:w="1090" w:type="dxa"/>
            <w:vAlign w:val="center"/>
          </w:tcPr>
          <w:p w14:paraId="56C26293" w14:textId="77777777" w:rsidR="00577D08" w:rsidRDefault="00330FC0">
            <w:pPr>
              <w:jc w:val="right"/>
              <w:rPr>
                <w:bCs/>
                <w:color w:val="000000" w:themeColor="text1"/>
                <w:sz w:val="18"/>
                <w:szCs w:val="18"/>
              </w:rPr>
            </w:pPr>
            <w:r>
              <w:rPr>
                <w:sz w:val="18"/>
                <w:szCs w:val="18"/>
              </w:rPr>
              <w:t>/</w:t>
            </w:r>
          </w:p>
        </w:tc>
        <w:tc>
          <w:tcPr>
            <w:tcW w:w="1090" w:type="dxa"/>
            <w:vAlign w:val="center"/>
          </w:tcPr>
          <w:p w14:paraId="7A4C8D98" w14:textId="77777777" w:rsidR="00577D08" w:rsidRDefault="00330FC0">
            <w:pPr>
              <w:jc w:val="right"/>
              <w:rPr>
                <w:bCs/>
                <w:color w:val="000000" w:themeColor="text1"/>
                <w:sz w:val="18"/>
                <w:szCs w:val="18"/>
              </w:rPr>
            </w:pPr>
            <w:r>
              <w:rPr>
                <w:sz w:val="18"/>
                <w:szCs w:val="18"/>
              </w:rPr>
              <w:t>/</w:t>
            </w:r>
          </w:p>
        </w:tc>
        <w:tc>
          <w:tcPr>
            <w:tcW w:w="1090" w:type="dxa"/>
            <w:vAlign w:val="center"/>
          </w:tcPr>
          <w:p w14:paraId="65E10B82" w14:textId="77777777" w:rsidR="00577D08" w:rsidRDefault="00330FC0">
            <w:pPr>
              <w:jc w:val="right"/>
              <w:rPr>
                <w:bCs/>
                <w:sz w:val="18"/>
                <w:szCs w:val="18"/>
              </w:rPr>
            </w:pPr>
            <w:r>
              <w:rPr>
                <w:sz w:val="18"/>
                <w:szCs w:val="18"/>
              </w:rPr>
              <w:t>3,378.40</w:t>
            </w:r>
          </w:p>
        </w:tc>
        <w:tc>
          <w:tcPr>
            <w:tcW w:w="1034" w:type="dxa"/>
            <w:vAlign w:val="center"/>
          </w:tcPr>
          <w:p w14:paraId="05836DD8" w14:textId="77777777" w:rsidR="00577D08" w:rsidRDefault="00330FC0">
            <w:pPr>
              <w:jc w:val="right"/>
              <w:rPr>
                <w:bCs/>
                <w:color w:val="000000" w:themeColor="text1"/>
                <w:sz w:val="18"/>
                <w:szCs w:val="18"/>
              </w:rPr>
            </w:pPr>
            <w:r>
              <w:rPr>
                <w:sz w:val="18"/>
                <w:szCs w:val="18"/>
              </w:rPr>
              <w:t>/</w:t>
            </w:r>
          </w:p>
        </w:tc>
        <w:tc>
          <w:tcPr>
            <w:tcW w:w="1028" w:type="dxa"/>
            <w:vAlign w:val="center"/>
          </w:tcPr>
          <w:p w14:paraId="1E19B55D" w14:textId="77777777" w:rsidR="00577D08" w:rsidRDefault="00330FC0">
            <w:pPr>
              <w:jc w:val="right"/>
              <w:rPr>
                <w:bCs/>
                <w:sz w:val="18"/>
                <w:szCs w:val="18"/>
              </w:rPr>
            </w:pPr>
            <w:r>
              <w:rPr>
                <w:sz w:val="18"/>
                <w:szCs w:val="18"/>
              </w:rPr>
              <w:t>14,774.44</w:t>
            </w:r>
          </w:p>
        </w:tc>
      </w:tr>
    </w:tbl>
    <w:p w14:paraId="0FF9EDB0" w14:textId="77777777" w:rsidR="00577D08" w:rsidRDefault="00577D08">
      <w:pPr>
        <w:rPr>
          <w:color w:val="000000" w:themeColor="text1"/>
        </w:rPr>
      </w:pPr>
    </w:p>
    <w:p w14:paraId="02202E84" w14:textId="77777777" w:rsidR="00577D08" w:rsidRDefault="00330FC0">
      <w:bookmarkStart w:id="237" w:name="_Hlk184400120"/>
      <w:bookmarkEnd w:id="232"/>
      <w:r>
        <w:rPr>
          <w:rFonts w:hint="eastAsia"/>
        </w:rPr>
        <w:t>其他说明</w:t>
      </w:r>
    </w:p>
    <w:sdt>
      <w:sdtPr>
        <w:rPr>
          <w:rFonts w:hint="eastAsia"/>
        </w:rPr>
        <w:alias w:val="是否适用：募集资金整体使用情况的其他说明[双击切换]"/>
        <w:tag w:val="_GBC_43d5b01093724b4eaae8b06c3d8b68ca"/>
        <w:id w:val="-1799299183"/>
        <w:placeholder>
          <w:docPart w:val="GBC22222222222222222222222222222"/>
        </w:placeholder>
      </w:sdtPr>
      <w:sdtContent>
        <w:p w14:paraId="27A52C8F" w14:textId="77777777" w:rsidR="00577D08" w:rsidRDefault="00330FC0">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06AB430C" w14:textId="77777777" w:rsidR="00577D08" w:rsidRDefault="00577D08"/>
    <w:p w14:paraId="7337C659" w14:textId="77777777" w:rsidR="00577D08" w:rsidRDefault="00330FC0">
      <w:pPr>
        <w:pStyle w:val="3"/>
        <w:numPr>
          <w:ilvl w:val="0"/>
          <w:numId w:val="40"/>
        </w:numPr>
        <w:tabs>
          <w:tab w:val="left" w:pos="360"/>
        </w:tabs>
        <w:ind w:left="450" w:hanging="450"/>
        <w:rPr>
          <w:rFonts w:ascii="宋体" w:hAnsi="宋体" w:hint="eastAsia"/>
          <w:color w:val="000000" w:themeColor="text1"/>
        </w:rPr>
      </w:pPr>
      <w:bookmarkStart w:id="238" w:name="_Hlk170305543"/>
      <w:bookmarkEnd w:id="237"/>
      <w:r>
        <w:rPr>
          <w:rFonts w:ascii="宋体" w:hAnsi="宋体" w:hint="eastAsia"/>
          <w:color w:val="000000" w:themeColor="text1"/>
        </w:rPr>
        <w:t>募投项目</w:t>
      </w:r>
      <w:r>
        <w:rPr>
          <w:rFonts w:ascii="宋体" w:hAnsi="宋体"/>
          <w:color w:val="000000" w:themeColor="text1"/>
        </w:rPr>
        <w:t>明细</w:t>
      </w:r>
    </w:p>
    <w:sdt>
      <w:sdtPr>
        <w:rPr>
          <w:color w:val="000000" w:themeColor="text1"/>
        </w:rPr>
        <w:alias w:val="是否适用：募投项目明细[双击切换]"/>
        <w:tag w:val="_GBC_abbead06593244249f87dc857fe5bf23"/>
        <w:id w:val="637303824"/>
        <w:placeholder>
          <w:docPart w:val="GBC22222222222222222222222222222"/>
        </w:placeholder>
      </w:sdtPr>
      <w:sdtContent>
        <w:p w14:paraId="3DC13DDE"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396F391A" w14:textId="77777777" w:rsidR="00577D08" w:rsidRDefault="00330FC0">
      <w:pPr>
        <w:pStyle w:val="aff9"/>
        <w:numPr>
          <w:ilvl w:val="0"/>
          <w:numId w:val="41"/>
        </w:numPr>
        <w:ind w:firstLineChars="0"/>
        <w:rPr>
          <w:rFonts w:ascii="宋体" w:hAnsi="宋体" w:cs="宋体" w:hint="eastAsia"/>
          <w:color w:val="000000" w:themeColor="text1"/>
          <w:kern w:val="0"/>
          <w:szCs w:val="21"/>
        </w:rPr>
      </w:pPr>
      <w:bookmarkStart w:id="239" w:name="_Hlk90391869"/>
      <w:bookmarkEnd w:id="238"/>
      <w:r>
        <w:rPr>
          <w:rFonts w:ascii="宋体" w:hAnsi="宋体" w:cs="宋体" w:hint="eastAsia"/>
          <w:color w:val="000000" w:themeColor="text1"/>
          <w:kern w:val="0"/>
          <w:szCs w:val="21"/>
        </w:rPr>
        <w:t>募集资金明细使用情况</w:t>
      </w:r>
    </w:p>
    <w:p w14:paraId="7AEE70E9" w14:textId="77777777" w:rsidR="00577D08" w:rsidRDefault="00000000">
      <w:pPr>
        <w:rPr>
          <w:color w:val="000000" w:themeColor="text1"/>
        </w:rPr>
      </w:pPr>
      <w:sdt>
        <w:sdtPr>
          <w:rPr>
            <w:color w:val="000000" w:themeColor="text1"/>
          </w:rPr>
          <w:alias w:val="是否适用：募集资金明细使用情况[双击切换]"/>
          <w:tag w:val="_GBC_839f16b9626e4da581dbceef0e7a9f03"/>
          <w:id w:val="-629946140"/>
          <w:placeholder>
            <w:docPart w:val="GBC22222222222222222222222222222"/>
          </w:placeholder>
        </w:sdtPr>
        <w:sdtContent>
          <w:r w:rsidR="00330FC0">
            <w:rPr>
              <w:rFonts w:ascii="宋体" w:hAnsi="宋体"/>
              <w:color w:val="000000" w:themeColor="text1"/>
            </w:rPr>
            <w:fldChar w:fldCharType="begin"/>
          </w:r>
          <w:r w:rsidR="00330FC0">
            <w:rPr>
              <w:rFonts w:ascii="宋体" w:hAnsi="宋体"/>
              <w:color w:val="000000" w:themeColor="text1"/>
            </w:rPr>
            <w:instrText xml:space="preserve"> MACROBUTTON  SnrToggleCheckbox √适用 </w:instrText>
          </w:r>
          <w:r w:rsidR="00330FC0">
            <w:rPr>
              <w:rFonts w:ascii="宋体" w:hAnsi="宋体"/>
              <w:color w:val="000000" w:themeColor="text1"/>
            </w:rPr>
            <w:fldChar w:fldCharType="end"/>
          </w:r>
          <w:r w:rsidR="00330FC0">
            <w:rPr>
              <w:rFonts w:ascii="宋体" w:hAnsi="宋体"/>
              <w:color w:val="000000" w:themeColor="text1"/>
            </w:rPr>
            <w:fldChar w:fldCharType="begin"/>
          </w:r>
          <w:r w:rsidR="00330FC0">
            <w:rPr>
              <w:rFonts w:ascii="宋体" w:hAnsi="宋体"/>
              <w:color w:val="000000" w:themeColor="text1"/>
            </w:rPr>
            <w:instrText xml:space="preserve"> MACROBUTTON  SnrToggleCheckbox □不适用 </w:instrText>
          </w:r>
          <w:r w:rsidR="00330FC0">
            <w:rPr>
              <w:rFonts w:ascii="宋体" w:hAnsi="宋体"/>
              <w:color w:val="000000" w:themeColor="text1"/>
            </w:rPr>
            <w:fldChar w:fldCharType="end"/>
          </w:r>
        </w:sdtContent>
      </w:sdt>
    </w:p>
    <w:p w14:paraId="286E8C03" w14:textId="77777777" w:rsidR="00577D08" w:rsidRDefault="00330FC0">
      <w:pPr>
        <w:jc w:val="right"/>
        <w:rPr>
          <w:color w:val="000000" w:themeColor="text1"/>
        </w:rPr>
      </w:pPr>
      <w:r>
        <w:rPr>
          <w:rFonts w:hint="eastAsia"/>
          <w:color w:val="000000" w:themeColor="text1"/>
        </w:rPr>
        <w:t>单位：</w:t>
      </w:r>
      <w:sdt>
        <w:sdtPr>
          <w:rPr>
            <w:rFonts w:hint="eastAsia"/>
            <w:color w:val="000000" w:themeColor="text1"/>
          </w:rPr>
          <w:alias w:val="单位：对闲置募集资金进行管理的情况"/>
          <w:tag w:val="_GBC_0fe75dde345340829535cbc3da108f68"/>
          <w:id w:val="914594163"/>
          <w:placeholder>
            <w:docPart w:val="BD9FFEA4FCF24E77B3FF14A5DD094620"/>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对闲置募集资金进行管理的情况"/>
          <w:tag w:val="_GBC_4e4d7a5fc38840d5800fdeff4e26227c"/>
          <w:id w:val="584807205"/>
          <w:placeholder>
            <w:docPart w:val="BD9FFEA4FCF24E77B3FF14A5DD094620"/>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14089" w:type="dxa"/>
        <w:jc w:val="center"/>
        <w:tblLayout w:type="fixed"/>
        <w:tblLook w:val="04A0" w:firstRow="1" w:lastRow="0" w:firstColumn="1" w:lastColumn="0" w:noHBand="0" w:noVBand="1"/>
      </w:tblPr>
      <w:tblGrid>
        <w:gridCol w:w="675"/>
        <w:gridCol w:w="993"/>
        <w:gridCol w:w="567"/>
        <w:gridCol w:w="1134"/>
        <w:gridCol w:w="708"/>
        <w:gridCol w:w="851"/>
        <w:gridCol w:w="850"/>
        <w:gridCol w:w="851"/>
        <w:gridCol w:w="1134"/>
        <w:gridCol w:w="992"/>
        <w:gridCol w:w="567"/>
        <w:gridCol w:w="851"/>
        <w:gridCol w:w="737"/>
        <w:gridCol w:w="709"/>
        <w:gridCol w:w="709"/>
        <w:gridCol w:w="992"/>
        <w:gridCol w:w="769"/>
      </w:tblGrid>
      <w:tr w:rsidR="00577D08" w14:paraId="31C8BF8F" w14:textId="77777777">
        <w:trPr>
          <w:trHeight w:val="800"/>
          <w:jc w:val="center"/>
        </w:trPr>
        <w:sdt>
          <w:sdtPr>
            <w:rPr>
              <w:sz w:val="13"/>
              <w:szCs w:val="13"/>
            </w:rPr>
            <w:tag w:val="_PLD_9b7af6ea34414343987ed059a3cec563"/>
            <w:id w:val="376671136"/>
          </w:sdtPr>
          <w:sdtContent>
            <w:tc>
              <w:tcPr>
                <w:tcW w:w="675" w:type="dxa"/>
                <w:tcBorders>
                  <w:top w:val="single" w:sz="4" w:space="0" w:color="auto"/>
                  <w:left w:val="single" w:sz="4" w:space="0" w:color="auto"/>
                  <w:bottom w:val="single" w:sz="4" w:space="0" w:color="auto"/>
                  <w:right w:val="single" w:sz="4" w:space="0" w:color="auto"/>
                </w:tcBorders>
                <w:vAlign w:val="center"/>
              </w:tcPr>
              <w:p w14:paraId="33FE2230" w14:textId="77777777" w:rsidR="00577D08" w:rsidRDefault="00330FC0">
                <w:pPr>
                  <w:jc w:val="center"/>
                  <w:rPr>
                    <w:bCs/>
                    <w:color w:val="000000" w:themeColor="text1"/>
                    <w:sz w:val="13"/>
                    <w:szCs w:val="13"/>
                  </w:rPr>
                </w:pPr>
                <w:r>
                  <w:rPr>
                    <w:rFonts w:hint="eastAsia"/>
                    <w:color w:val="000000" w:themeColor="text1"/>
                    <w:sz w:val="13"/>
                    <w:szCs w:val="13"/>
                  </w:rPr>
                  <w:t>募集资金来源</w:t>
                </w:r>
              </w:p>
            </w:tc>
          </w:sdtContent>
        </w:sdt>
        <w:sdt>
          <w:sdtPr>
            <w:rPr>
              <w:sz w:val="13"/>
              <w:szCs w:val="13"/>
            </w:rPr>
            <w:tag w:val="_PLD_ecf366bee20d4650acb64a3a8375f8df"/>
            <w:id w:val="-508371557"/>
          </w:sdtPr>
          <w:sdtContent>
            <w:tc>
              <w:tcPr>
                <w:tcW w:w="993" w:type="dxa"/>
                <w:tcBorders>
                  <w:top w:val="single" w:sz="4" w:space="0" w:color="auto"/>
                  <w:left w:val="single" w:sz="4" w:space="0" w:color="auto"/>
                  <w:bottom w:val="single" w:sz="4" w:space="0" w:color="auto"/>
                  <w:right w:val="single" w:sz="4" w:space="0" w:color="auto"/>
                </w:tcBorders>
                <w:vAlign w:val="center"/>
              </w:tcPr>
              <w:p w14:paraId="37724FC6" w14:textId="77777777" w:rsidR="00577D08" w:rsidRDefault="00330FC0">
                <w:pPr>
                  <w:jc w:val="center"/>
                  <w:rPr>
                    <w:bCs/>
                    <w:color w:val="000000" w:themeColor="text1"/>
                    <w:sz w:val="13"/>
                    <w:szCs w:val="13"/>
                  </w:rPr>
                </w:pPr>
                <w:r>
                  <w:rPr>
                    <w:rFonts w:hint="eastAsia"/>
                    <w:color w:val="000000" w:themeColor="text1"/>
                    <w:sz w:val="13"/>
                    <w:szCs w:val="13"/>
                  </w:rPr>
                  <w:t>项目</w:t>
                </w:r>
                <w:r>
                  <w:rPr>
                    <w:color w:val="000000" w:themeColor="text1"/>
                    <w:sz w:val="13"/>
                    <w:szCs w:val="13"/>
                  </w:rPr>
                  <w:t>名称</w:t>
                </w:r>
              </w:p>
            </w:tc>
          </w:sdtContent>
        </w:sdt>
        <w:tc>
          <w:tcPr>
            <w:tcW w:w="567" w:type="dxa"/>
            <w:tcBorders>
              <w:top w:val="single" w:sz="4" w:space="0" w:color="auto"/>
              <w:left w:val="single" w:sz="4" w:space="0" w:color="auto"/>
              <w:bottom w:val="single" w:sz="4" w:space="0" w:color="auto"/>
              <w:right w:val="single" w:sz="4" w:space="0" w:color="auto"/>
            </w:tcBorders>
            <w:vAlign w:val="center"/>
          </w:tcPr>
          <w:sdt>
            <w:sdtPr>
              <w:rPr>
                <w:sz w:val="13"/>
                <w:szCs w:val="13"/>
              </w:rPr>
              <w:tag w:val="_PLD_f98cac7bcf78466c85ecb218f09ac39c"/>
              <w:id w:val="-66587419"/>
            </w:sdtPr>
            <w:sdtContent>
              <w:p w14:paraId="376B2B95" w14:textId="77777777" w:rsidR="00577D08" w:rsidRDefault="00330FC0">
                <w:pPr>
                  <w:jc w:val="center"/>
                  <w:rPr>
                    <w:bCs/>
                    <w:color w:val="000000" w:themeColor="text1"/>
                    <w:sz w:val="13"/>
                    <w:szCs w:val="13"/>
                  </w:rPr>
                </w:pPr>
                <w:r>
                  <w:rPr>
                    <w:rFonts w:hint="eastAsia"/>
                    <w:color w:val="000000" w:themeColor="text1"/>
                    <w:sz w:val="13"/>
                    <w:szCs w:val="13"/>
                  </w:rPr>
                  <w:t>项目性质</w:t>
                </w:r>
              </w:p>
            </w:sdtContent>
          </w:sdt>
        </w:tc>
        <w:tc>
          <w:tcPr>
            <w:tcW w:w="1134" w:type="dxa"/>
            <w:tcBorders>
              <w:top w:val="single" w:sz="4" w:space="0" w:color="auto"/>
              <w:left w:val="single" w:sz="4" w:space="0" w:color="auto"/>
              <w:bottom w:val="single" w:sz="4" w:space="0" w:color="auto"/>
              <w:right w:val="single" w:sz="4" w:space="0" w:color="auto"/>
            </w:tcBorders>
            <w:vAlign w:val="center"/>
          </w:tcPr>
          <w:sdt>
            <w:sdtPr>
              <w:rPr>
                <w:sz w:val="13"/>
                <w:szCs w:val="13"/>
              </w:rPr>
              <w:tag w:val="_PLD_e944350c269141a09d74509d4f1092a5"/>
              <w:id w:val="1615246827"/>
            </w:sdtPr>
            <w:sdtContent>
              <w:p w14:paraId="2573C600" w14:textId="77777777" w:rsidR="00577D08" w:rsidRDefault="00330FC0">
                <w:pPr>
                  <w:jc w:val="center"/>
                  <w:rPr>
                    <w:bCs/>
                    <w:color w:val="000000" w:themeColor="text1"/>
                    <w:sz w:val="13"/>
                    <w:szCs w:val="13"/>
                  </w:rPr>
                </w:pPr>
                <w:r>
                  <w:rPr>
                    <w:rFonts w:hint="eastAsia"/>
                    <w:color w:val="000000" w:themeColor="text1"/>
                    <w:sz w:val="13"/>
                    <w:szCs w:val="13"/>
                  </w:rPr>
                  <w:t>是否为招股书或者募集说明书中的承诺投资项目</w:t>
                </w:r>
              </w:p>
            </w:sdtContent>
          </w:sdt>
        </w:tc>
        <w:sdt>
          <w:sdtPr>
            <w:rPr>
              <w:sz w:val="13"/>
              <w:szCs w:val="13"/>
            </w:rPr>
            <w:tag w:val="_PLD_3ee434ecffb542048a232e9d2b4d6b3b"/>
            <w:id w:val="1426300795"/>
          </w:sdtPr>
          <w:sdtContent>
            <w:tc>
              <w:tcPr>
                <w:tcW w:w="708" w:type="dxa"/>
                <w:tcBorders>
                  <w:top w:val="single" w:sz="4" w:space="0" w:color="auto"/>
                  <w:left w:val="single" w:sz="4" w:space="0" w:color="auto"/>
                  <w:bottom w:val="single" w:sz="4" w:space="0" w:color="auto"/>
                  <w:right w:val="single" w:sz="4" w:space="0" w:color="auto"/>
                </w:tcBorders>
                <w:vAlign w:val="center"/>
              </w:tcPr>
              <w:p w14:paraId="657FC3CA" w14:textId="77777777" w:rsidR="00577D08" w:rsidRDefault="00330FC0">
                <w:pPr>
                  <w:jc w:val="center"/>
                  <w:rPr>
                    <w:bCs/>
                    <w:color w:val="000000" w:themeColor="text1"/>
                    <w:sz w:val="13"/>
                    <w:szCs w:val="13"/>
                  </w:rPr>
                </w:pPr>
                <w:r>
                  <w:rPr>
                    <w:rFonts w:hint="eastAsia"/>
                    <w:color w:val="000000" w:themeColor="text1"/>
                    <w:sz w:val="13"/>
                    <w:szCs w:val="13"/>
                  </w:rPr>
                  <w:t>是否涉及变更投向</w:t>
                </w:r>
              </w:p>
            </w:tc>
          </w:sdtContent>
        </w:sdt>
        <w:tc>
          <w:tcPr>
            <w:tcW w:w="851" w:type="dxa"/>
            <w:tcBorders>
              <w:top w:val="single" w:sz="4" w:space="0" w:color="auto"/>
              <w:left w:val="nil"/>
              <w:bottom w:val="single" w:sz="4" w:space="0" w:color="auto"/>
              <w:right w:val="single" w:sz="4" w:space="0" w:color="auto"/>
            </w:tcBorders>
            <w:vAlign w:val="center"/>
          </w:tcPr>
          <w:sdt>
            <w:sdtPr>
              <w:rPr>
                <w:sz w:val="13"/>
                <w:szCs w:val="13"/>
              </w:rPr>
              <w:tag w:val="_PLD_c79d561be6464936b713d5683391a4c8"/>
              <w:id w:val="-2007902191"/>
            </w:sdtPr>
            <w:sdtContent>
              <w:p w14:paraId="71871BC2" w14:textId="77777777" w:rsidR="00577D08" w:rsidRDefault="00330FC0">
                <w:pPr>
                  <w:jc w:val="center"/>
                  <w:rPr>
                    <w:bCs/>
                    <w:color w:val="000000" w:themeColor="text1"/>
                    <w:sz w:val="13"/>
                    <w:szCs w:val="13"/>
                  </w:rPr>
                </w:pPr>
                <w:r>
                  <w:rPr>
                    <w:rFonts w:hint="eastAsia"/>
                    <w:color w:val="000000" w:themeColor="text1"/>
                    <w:sz w:val="13"/>
                    <w:szCs w:val="13"/>
                  </w:rPr>
                  <w:t>募集资金计划投资总额</w:t>
                </w:r>
                <w:r>
                  <w:rPr>
                    <w:color w:val="000000" w:themeColor="text1"/>
                    <w:sz w:val="13"/>
                    <w:szCs w:val="13"/>
                  </w:rPr>
                  <w:t>(1)</w:t>
                </w:r>
              </w:p>
            </w:sdtContent>
          </w:sdt>
        </w:tc>
        <w:sdt>
          <w:sdtPr>
            <w:rPr>
              <w:sz w:val="13"/>
              <w:szCs w:val="13"/>
            </w:rPr>
            <w:tag w:val="_PLD_8dc6ececb3c7439c897a8b394096aa2f"/>
            <w:id w:val="1539319483"/>
          </w:sdtPr>
          <w:sdtContent>
            <w:tc>
              <w:tcPr>
                <w:tcW w:w="850" w:type="dxa"/>
                <w:tcBorders>
                  <w:top w:val="single" w:sz="4" w:space="0" w:color="auto"/>
                  <w:left w:val="single" w:sz="4" w:space="0" w:color="auto"/>
                  <w:bottom w:val="single" w:sz="4" w:space="0" w:color="auto"/>
                  <w:right w:val="single" w:sz="4" w:space="0" w:color="auto"/>
                </w:tcBorders>
                <w:vAlign w:val="center"/>
              </w:tcPr>
              <w:p w14:paraId="6740D996" w14:textId="77777777" w:rsidR="00577D08" w:rsidRDefault="00330FC0">
                <w:pPr>
                  <w:jc w:val="center"/>
                  <w:rPr>
                    <w:bCs/>
                    <w:color w:val="000000" w:themeColor="text1"/>
                    <w:sz w:val="13"/>
                    <w:szCs w:val="13"/>
                  </w:rPr>
                </w:pPr>
                <w:r>
                  <w:rPr>
                    <w:rFonts w:hint="eastAsia"/>
                    <w:color w:val="000000" w:themeColor="text1"/>
                    <w:sz w:val="13"/>
                    <w:szCs w:val="13"/>
                  </w:rPr>
                  <w:t>本年投入金额</w:t>
                </w:r>
              </w:p>
            </w:tc>
          </w:sdtContent>
        </w:sdt>
        <w:sdt>
          <w:sdtPr>
            <w:rPr>
              <w:sz w:val="13"/>
              <w:szCs w:val="13"/>
            </w:rPr>
            <w:tag w:val="_PLD_f16e87a767cc4d1f9a4b73758a01d1c7"/>
            <w:id w:val="276993212"/>
          </w:sdtPr>
          <w:sdtContent>
            <w:tc>
              <w:tcPr>
                <w:tcW w:w="851" w:type="dxa"/>
                <w:tcBorders>
                  <w:top w:val="single" w:sz="4" w:space="0" w:color="auto"/>
                  <w:left w:val="single" w:sz="4" w:space="0" w:color="auto"/>
                  <w:bottom w:val="single" w:sz="4" w:space="0" w:color="auto"/>
                  <w:right w:val="single" w:sz="4" w:space="0" w:color="auto"/>
                </w:tcBorders>
                <w:vAlign w:val="center"/>
              </w:tcPr>
              <w:p w14:paraId="3DE82FED" w14:textId="77777777" w:rsidR="00577D08" w:rsidRDefault="00330FC0">
                <w:pPr>
                  <w:jc w:val="center"/>
                  <w:rPr>
                    <w:bCs/>
                    <w:color w:val="000000" w:themeColor="text1"/>
                    <w:sz w:val="13"/>
                    <w:szCs w:val="13"/>
                  </w:rPr>
                </w:pPr>
                <w:r>
                  <w:rPr>
                    <w:rFonts w:hint="eastAsia"/>
                    <w:color w:val="000000" w:themeColor="text1"/>
                    <w:sz w:val="13"/>
                    <w:szCs w:val="13"/>
                  </w:rPr>
                  <w:t>截至</w:t>
                </w:r>
                <w:r>
                  <w:rPr>
                    <w:color w:val="000000" w:themeColor="text1"/>
                    <w:sz w:val="13"/>
                    <w:szCs w:val="13"/>
                  </w:rPr>
                  <w:t>报告期末</w:t>
                </w:r>
                <w:r>
                  <w:rPr>
                    <w:rFonts w:hint="eastAsia"/>
                    <w:color w:val="000000" w:themeColor="text1"/>
                    <w:sz w:val="13"/>
                    <w:szCs w:val="13"/>
                  </w:rPr>
                  <w:t>累计投入募集资金总额（</w:t>
                </w:r>
                <w:r>
                  <w:rPr>
                    <w:rFonts w:hint="eastAsia"/>
                    <w:color w:val="000000" w:themeColor="text1"/>
                    <w:sz w:val="13"/>
                    <w:szCs w:val="13"/>
                  </w:rPr>
                  <w:t>2</w:t>
                </w:r>
                <w:r>
                  <w:rPr>
                    <w:rFonts w:hint="eastAsia"/>
                    <w:color w:val="000000" w:themeColor="text1"/>
                    <w:sz w:val="13"/>
                    <w:szCs w:val="13"/>
                  </w:rPr>
                  <w:t>）</w:t>
                </w:r>
              </w:p>
            </w:tc>
          </w:sdtContent>
        </w:sdt>
        <w:sdt>
          <w:sdtPr>
            <w:rPr>
              <w:sz w:val="13"/>
              <w:szCs w:val="13"/>
            </w:rPr>
            <w:tag w:val="_PLD_b986d7b889874c9dbd5510b848cca604"/>
            <w:id w:val="1048579326"/>
          </w:sdtPr>
          <w:sdtContent>
            <w:tc>
              <w:tcPr>
                <w:tcW w:w="1134" w:type="dxa"/>
                <w:tcBorders>
                  <w:top w:val="single" w:sz="4" w:space="0" w:color="auto"/>
                  <w:left w:val="nil"/>
                  <w:bottom w:val="single" w:sz="4" w:space="0" w:color="auto"/>
                  <w:right w:val="single" w:sz="4" w:space="0" w:color="auto"/>
                </w:tcBorders>
                <w:vAlign w:val="center"/>
              </w:tcPr>
              <w:p w14:paraId="0F83682C" w14:textId="77777777" w:rsidR="00577D08" w:rsidRDefault="00330FC0">
                <w:pPr>
                  <w:jc w:val="center"/>
                  <w:rPr>
                    <w:bCs/>
                    <w:color w:val="000000" w:themeColor="text1"/>
                    <w:sz w:val="13"/>
                    <w:szCs w:val="13"/>
                  </w:rPr>
                </w:pPr>
                <w:r>
                  <w:rPr>
                    <w:rFonts w:hint="eastAsia"/>
                    <w:color w:val="000000" w:themeColor="text1"/>
                    <w:sz w:val="13"/>
                    <w:szCs w:val="13"/>
                  </w:rPr>
                  <w:t>截至报告期末累计投入进度（</w:t>
                </w:r>
                <w:r>
                  <w:rPr>
                    <w:rFonts w:hint="eastAsia"/>
                    <w:color w:val="000000" w:themeColor="text1"/>
                    <w:sz w:val="13"/>
                    <w:szCs w:val="13"/>
                  </w:rPr>
                  <w:t>%</w:t>
                </w:r>
                <w:r>
                  <w:rPr>
                    <w:rFonts w:hint="eastAsia"/>
                    <w:color w:val="000000" w:themeColor="text1"/>
                    <w:sz w:val="13"/>
                    <w:szCs w:val="13"/>
                  </w:rPr>
                  <w:t>）</w:t>
                </w:r>
              </w:p>
              <w:p w14:paraId="3F4027FE" w14:textId="77777777" w:rsidR="00577D08" w:rsidRDefault="00330FC0">
                <w:pPr>
                  <w:jc w:val="center"/>
                  <w:rPr>
                    <w:bCs/>
                    <w:color w:val="000000" w:themeColor="text1"/>
                    <w:sz w:val="13"/>
                    <w:szCs w:val="13"/>
                  </w:rPr>
                </w:pPr>
                <w:r>
                  <w:rPr>
                    <w:rFonts w:hint="eastAsia"/>
                    <w:color w:val="000000" w:themeColor="text1"/>
                    <w:sz w:val="13"/>
                    <w:szCs w:val="13"/>
                  </w:rPr>
                  <w:t>(3)</w:t>
                </w:r>
                <w:r>
                  <w:rPr>
                    <w:rFonts w:hint="eastAsia"/>
                    <w:color w:val="000000" w:themeColor="text1"/>
                    <w:sz w:val="13"/>
                    <w:szCs w:val="13"/>
                  </w:rPr>
                  <w:t>＝</w:t>
                </w:r>
                <w:r>
                  <w:rPr>
                    <w:rFonts w:hint="eastAsia"/>
                    <w:color w:val="000000" w:themeColor="text1"/>
                    <w:sz w:val="13"/>
                    <w:szCs w:val="13"/>
                  </w:rPr>
                  <w:t>(2)/(1)</w:t>
                </w:r>
              </w:p>
            </w:tc>
          </w:sdtContent>
        </w:sdt>
        <w:sdt>
          <w:sdtPr>
            <w:rPr>
              <w:sz w:val="13"/>
              <w:szCs w:val="13"/>
            </w:rPr>
            <w:tag w:val="_PLD_39fcb47f6a914e0ab943c799f14760aa"/>
            <w:id w:val="-903282431"/>
          </w:sdtPr>
          <w:sdtContent>
            <w:tc>
              <w:tcPr>
                <w:tcW w:w="992" w:type="dxa"/>
                <w:tcBorders>
                  <w:top w:val="single" w:sz="4" w:space="0" w:color="auto"/>
                  <w:left w:val="nil"/>
                  <w:bottom w:val="single" w:sz="4" w:space="0" w:color="auto"/>
                  <w:right w:val="single" w:sz="4" w:space="0" w:color="auto"/>
                </w:tcBorders>
                <w:vAlign w:val="center"/>
              </w:tcPr>
              <w:p w14:paraId="1B4B041B" w14:textId="77777777" w:rsidR="00577D08" w:rsidRDefault="00330FC0">
                <w:pPr>
                  <w:jc w:val="center"/>
                  <w:rPr>
                    <w:bCs/>
                    <w:color w:val="000000" w:themeColor="text1"/>
                    <w:sz w:val="13"/>
                    <w:szCs w:val="13"/>
                  </w:rPr>
                </w:pPr>
                <w:r>
                  <w:rPr>
                    <w:rFonts w:hint="eastAsia"/>
                    <w:color w:val="000000" w:themeColor="text1"/>
                    <w:sz w:val="13"/>
                    <w:szCs w:val="13"/>
                  </w:rPr>
                  <w:t>项目达到预定可使用状态日期</w:t>
                </w:r>
              </w:p>
            </w:tc>
          </w:sdtContent>
        </w:sdt>
        <w:sdt>
          <w:sdtPr>
            <w:rPr>
              <w:sz w:val="13"/>
              <w:szCs w:val="13"/>
            </w:rPr>
            <w:tag w:val="_PLD_9381d6c6fe2941a49b34cec3bd1be56f"/>
            <w:id w:val="-1084455845"/>
          </w:sdtPr>
          <w:sdtContent>
            <w:tc>
              <w:tcPr>
                <w:tcW w:w="567" w:type="dxa"/>
                <w:tcBorders>
                  <w:top w:val="single" w:sz="4" w:space="0" w:color="auto"/>
                  <w:left w:val="nil"/>
                  <w:bottom w:val="single" w:sz="4" w:space="0" w:color="auto"/>
                  <w:right w:val="single" w:sz="4" w:space="0" w:color="auto"/>
                </w:tcBorders>
                <w:vAlign w:val="center"/>
              </w:tcPr>
              <w:p w14:paraId="27E94891" w14:textId="77777777" w:rsidR="00577D08" w:rsidRDefault="00330FC0">
                <w:pPr>
                  <w:jc w:val="center"/>
                  <w:rPr>
                    <w:bCs/>
                    <w:color w:val="000000" w:themeColor="text1"/>
                    <w:sz w:val="13"/>
                    <w:szCs w:val="13"/>
                  </w:rPr>
                </w:pPr>
                <w:r>
                  <w:rPr>
                    <w:rFonts w:hint="eastAsia"/>
                    <w:color w:val="000000" w:themeColor="text1"/>
                    <w:sz w:val="13"/>
                    <w:szCs w:val="13"/>
                  </w:rPr>
                  <w:t>是否已结项</w:t>
                </w:r>
              </w:p>
            </w:tc>
          </w:sdtContent>
        </w:sdt>
        <w:sdt>
          <w:sdtPr>
            <w:rPr>
              <w:sz w:val="13"/>
              <w:szCs w:val="13"/>
            </w:rPr>
            <w:tag w:val="_PLD_d4208a32e2114142a41d010c92fb7a18"/>
            <w:id w:val="-256671516"/>
          </w:sdtPr>
          <w:sdtContent>
            <w:tc>
              <w:tcPr>
                <w:tcW w:w="851" w:type="dxa"/>
                <w:tcBorders>
                  <w:top w:val="single" w:sz="4" w:space="0" w:color="auto"/>
                  <w:left w:val="nil"/>
                  <w:bottom w:val="single" w:sz="4" w:space="0" w:color="auto"/>
                  <w:right w:val="single" w:sz="4" w:space="0" w:color="auto"/>
                </w:tcBorders>
                <w:vAlign w:val="center"/>
              </w:tcPr>
              <w:p w14:paraId="3B91A477" w14:textId="77777777" w:rsidR="00577D08" w:rsidRDefault="00330FC0">
                <w:pPr>
                  <w:jc w:val="center"/>
                  <w:rPr>
                    <w:bCs/>
                    <w:color w:val="000000" w:themeColor="text1"/>
                    <w:sz w:val="13"/>
                    <w:szCs w:val="13"/>
                  </w:rPr>
                </w:pPr>
                <w:r>
                  <w:rPr>
                    <w:rFonts w:hint="eastAsia"/>
                    <w:color w:val="000000" w:themeColor="text1"/>
                    <w:sz w:val="13"/>
                    <w:szCs w:val="13"/>
                  </w:rPr>
                  <w:t>投入进度是否符合计划的进度</w:t>
                </w:r>
              </w:p>
            </w:tc>
          </w:sdtContent>
        </w:sdt>
        <w:sdt>
          <w:sdtPr>
            <w:rPr>
              <w:sz w:val="13"/>
              <w:szCs w:val="13"/>
            </w:rPr>
            <w:tag w:val="_PLD_5e06c0a807df4cb9b107804b798d4796"/>
            <w:id w:val="52592502"/>
          </w:sdtPr>
          <w:sdtContent>
            <w:tc>
              <w:tcPr>
                <w:tcW w:w="737" w:type="dxa"/>
                <w:tcBorders>
                  <w:top w:val="single" w:sz="4" w:space="0" w:color="auto"/>
                  <w:left w:val="nil"/>
                  <w:bottom w:val="single" w:sz="4" w:space="0" w:color="auto"/>
                  <w:right w:val="single" w:sz="4" w:space="0" w:color="auto"/>
                </w:tcBorders>
                <w:vAlign w:val="center"/>
              </w:tcPr>
              <w:p w14:paraId="5D5F2F23" w14:textId="77777777" w:rsidR="00577D08" w:rsidRDefault="00330FC0">
                <w:pPr>
                  <w:jc w:val="center"/>
                  <w:rPr>
                    <w:bCs/>
                    <w:color w:val="000000" w:themeColor="text1"/>
                    <w:sz w:val="13"/>
                    <w:szCs w:val="13"/>
                  </w:rPr>
                </w:pPr>
                <w:r>
                  <w:rPr>
                    <w:rFonts w:hint="eastAsia"/>
                    <w:color w:val="000000" w:themeColor="text1"/>
                    <w:sz w:val="13"/>
                    <w:szCs w:val="13"/>
                  </w:rPr>
                  <w:t>投入进度未达计划的具体原因</w:t>
                </w:r>
              </w:p>
            </w:tc>
          </w:sdtContent>
        </w:sdt>
        <w:sdt>
          <w:sdtPr>
            <w:rPr>
              <w:sz w:val="13"/>
              <w:szCs w:val="13"/>
            </w:rPr>
            <w:tag w:val="_PLD_42c857d45f4a4ca4bcae54e05ead4c08"/>
            <w:id w:val="932090349"/>
          </w:sdtPr>
          <w:sdtContent>
            <w:tc>
              <w:tcPr>
                <w:tcW w:w="709" w:type="dxa"/>
                <w:tcBorders>
                  <w:top w:val="single" w:sz="4" w:space="0" w:color="auto"/>
                  <w:left w:val="single" w:sz="4" w:space="0" w:color="auto"/>
                  <w:bottom w:val="single" w:sz="4" w:space="0" w:color="auto"/>
                  <w:right w:val="single" w:sz="4" w:space="0" w:color="auto"/>
                </w:tcBorders>
                <w:vAlign w:val="center"/>
              </w:tcPr>
              <w:p w14:paraId="27A03D9D" w14:textId="77777777" w:rsidR="00577D08" w:rsidRDefault="00330FC0">
                <w:pPr>
                  <w:jc w:val="center"/>
                  <w:rPr>
                    <w:bCs/>
                    <w:color w:val="000000" w:themeColor="text1"/>
                    <w:sz w:val="13"/>
                    <w:szCs w:val="13"/>
                  </w:rPr>
                </w:pPr>
                <w:r>
                  <w:rPr>
                    <w:rFonts w:hint="eastAsia"/>
                    <w:color w:val="000000" w:themeColor="text1"/>
                    <w:sz w:val="13"/>
                    <w:szCs w:val="13"/>
                  </w:rPr>
                  <w:t>本年实现的效益</w:t>
                </w:r>
              </w:p>
            </w:tc>
          </w:sdtContent>
        </w:sdt>
        <w:sdt>
          <w:sdtPr>
            <w:rPr>
              <w:sz w:val="13"/>
              <w:szCs w:val="13"/>
            </w:rPr>
            <w:tag w:val="_PLD_025d24d144c44f1ba8da65ef3c2fb31a"/>
            <w:id w:val="2120641669"/>
          </w:sdtPr>
          <w:sdtContent>
            <w:tc>
              <w:tcPr>
                <w:tcW w:w="709" w:type="dxa"/>
                <w:tcBorders>
                  <w:top w:val="single" w:sz="4" w:space="0" w:color="auto"/>
                  <w:left w:val="single" w:sz="4" w:space="0" w:color="auto"/>
                  <w:bottom w:val="single" w:sz="4" w:space="0" w:color="auto"/>
                  <w:right w:val="single" w:sz="4" w:space="0" w:color="auto"/>
                </w:tcBorders>
                <w:vAlign w:val="center"/>
              </w:tcPr>
              <w:p w14:paraId="49687917" w14:textId="77777777" w:rsidR="00577D08" w:rsidRDefault="00330FC0">
                <w:pPr>
                  <w:jc w:val="center"/>
                  <w:rPr>
                    <w:bCs/>
                    <w:color w:val="000000" w:themeColor="text1"/>
                    <w:sz w:val="13"/>
                    <w:szCs w:val="13"/>
                  </w:rPr>
                </w:pPr>
                <w:r>
                  <w:rPr>
                    <w:rFonts w:hint="eastAsia"/>
                    <w:color w:val="000000" w:themeColor="text1"/>
                    <w:sz w:val="13"/>
                    <w:szCs w:val="13"/>
                  </w:rPr>
                  <w:t>本项目已实现的效益或者研发成果</w:t>
                </w:r>
              </w:p>
            </w:tc>
          </w:sdtContent>
        </w:sdt>
        <w:sdt>
          <w:sdtPr>
            <w:rPr>
              <w:sz w:val="13"/>
              <w:szCs w:val="13"/>
            </w:rPr>
            <w:tag w:val="_PLD_9a999714f8c54bac844f2b200cd4ffa1"/>
            <w:id w:val="1951351567"/>
          </w:sdtPr>
          <w:sdtContent>
            <w:tc>
              <w:tcPr>
                <w:tcW w:w="992" w:type="dxa"/>
                <w:tcBorders>
                  <w:top w:val="single" w:sz="4" w:space="0" w:color="auto"/>
                  <w:left w:val="nil"/>
                  <w:bottom w:val="single" w:sz="4" w:space="0" w:color="auto"/>
                  <w:right w:val="single" w:sz="4" w:space="0" w:color="auto"/>
                </w:tcBorders>
                <w:vAlign w:val="center"/>
              </w:tcPr>
              <w:p w14:paraId="47FA4504" w14:textId="77777777" w:rsidR="00577D08" w:rsidRDefault="00330FC0">
                <w:pPr>
                  <w:jc w:val="center"/>
                  <w:rPr>
                    <w:bCs/>
                    <w:color w:val="000000" w:themeColor="text1"/>
                    <w:sz w:val="13"/>
                    <w:szCs w:val="13"/>
                  </w:rPr>
                </w:pPr>
                <w:r>
                  <w:rPr>
                    <w:rFonts w:hint="eastAsia"/>
                    <w:color w:val="000000" w:themeColor="text1"/>
                    <w:sz w:val="13"/>
                    <w:szCs w:val="13"/>
                  </w:rPr>
                  <w:t>项目可行性是否发生重大变化，</w:t>
                </w:r>
                <w:r>
                  <w:rPr>
                    <w:color w:val="000000" w:themeColor="text1"/>
                    <w:sz w:val="13"/>
                    <w:szCs w:val="13"/>
                  </w:rPr>
                  <w:t>如是，请说明具体情况</w:t>
                </w:r>
              </w:p>
            </w:tc>
          </w:sdtContent>
        </w:sdt>
        <w:sdt>
          <w:sdtPr>
            <w:rPr>
              <w:sz w:val="13"/>
              <w:szCs w:val="13"/>
            </w:rPr>
            <w:tag w:val="_PLD_f97802568f6e40899f68486ce6661a46"/>
            <w:id w:val="-292979573"/>
          </w:sdtPr>
          <w:sdtContent>
            <w:tc>
              <w:tcPr>
                <w:tcW w:w="769" w:type="dxa"/>
                <w:tcBorders>
                  <w:top w:val="single" w:sz="4" w:space="0" w:color="auto"/>
                  <w:left w:val="nil"/>
                  <w:bottom w:val="single" w:sz="4" w:space="0" w:color="auto"/>
                  <w:right w:val="single" w:sz="4" w:space="0" w:color="auto"/>
                </w:tcBorders>
                <w:vAlign w:val="center"/>
              </w:tcPr>
              <w:p w14:paraId="6736863D" w14:textId="77777777" w:rsidR="00577D08" w:rsidRDefault="00330FC0">
                <w:pPr>
                  <w:jc w:val="center"/>
                  <w:rPr>
                    <w:bCs/>
                    <w:color w:val="000000" w:themeColor="text1"/>
                    <w:sz w:val="13"/>
                    <w:szCs w:val="13"/>
                  </w:rPr>
                </w:pPr>
                <w:r>
                  <w:rPr>
                    <w:rFonts w:hint="eastAsia"/>
                    <w:color w:val="000000" w:themeColor="text1"/>
                    <w:sz w:val="13"/>
                    <w:szCs w:val="13"/>
                  </w:rPr>
                  <w:t>节余金额</w:t>
                </w:r>
              </w:p>
            </w:tc>
          </w:sdtContent>
        </w:sdt>
      </w:tr>
      <w:tr w:rsidR="00577D08" w14:paraId="2DA7ED0D" w14:textId="77777777">
        <w:trPr>
          <w:trHeight w:val="160"/>
          <w:jc w:val="center"/>
        </w:trPr>
        <w:bookmarkStart w:id="240" w:name="_Hlk169882430" w:displacedByCustomXml="next"/>
        <w:sdt>
          <w:sdtPr>
            <w:rPr>
              <w:bCs/>
              <w:color w:val="000000" w:themeColor="text1"/>
              <w:sz w:val="13"/>
              <w:szCs w:val="13"/>
            </w:rPr>
            <w:alias w:val="募集资金使用进展明细_募集资金来源"/>
            <w:tag w:val="_GBC_951af72cf70147edb2fff54b7abd30b3"/>
            <w:id w:val="731119029"/>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5" w:type="dxa"/>
                <w:tcBorders>
                  <w:top w:val="single" w:sz="4" w:space="0" w:color="auto"/>
                  <w:left w:val="single" w:sz="4" w:space="0" w:color="auto"/>
                  <w:bottom w:val="single" w:sz="4" w:space="0" w:color="auto"/>
                  <w:right w:val="single" w:sz="4" w:space="0" w:color="auto"/>
                </w:tcBorders>
                <w:vAlign w:val="center"/>
              </w:tcPr>
              <w:p w14:paraId="7D698BEA" w14:textId="77777777" w:rsidR="00577D08" w:rsidRDefault="00330FC0">
                <w:pPr>
                  <w:rPr>
                    <w:bCs/>
                    <w:color w:val="000000" w:themeColor="text1"/>
                    <w:sz w:val="13"/>
                    <w:szCs w:val="13"/>
                  </w:rPr>
                </w:pPr>
                <w:r>
                  <w:rPr>
                    <w:bCs/>
                    <w:color w:val="000000" w:themeColor="text1"/>
                    <w:sz w:val="13"/>
                    <w:szCs w:val="13"/>
                  </w:rPr>
                  <w:t>首次公开发行股票</w:t>
                </w:r>
              </w:p>
            </w:tc>
          </w:sdtContent>
        </w:sdt>
        <w:tc>
          <w:tcPr>
            <w:tcW w:w="993" w:type="dxa"/>
            <w:tcBorders>
              <w:top w:val="single" w:sz="4" w:space="0" w:color="auto"/>
              <w:left w:val="single" w:sz="4" w:space="0" w:color="auto"/>
              <w:bottom w:val="single" w:sz="4" w:space="0" w:color="auto"/>
              <w:right w:val="single" w:sz="4" w:space="0" w:color="auto"/>
            </w:tcBorders>
            <w:vAlign w:val="center"/>
          </w:tcPr>
          <w:p w14:paraId="55298E56" w14:textId="77777777" w:rsidR="00577D08" w:rsidRDefault="00330FC0">
            <w:pPr>
              <w:jc w:val="both"/>
              <w:rPr>
                <w:bCs/>
                <w:sz w:val="13"/>
                <w:szCs w:val="13"/>
              </w:rPr>
            </w:pPr>
            <w:r>
              <w:rPr>
                <w:rFonts w:hint="eastAsia"/>
                <w:sz w:val="13"/>
                <w:szCs w:val="13"/>
              </w:rPr>
              <w:t>智能成套电气设备产业基地项目</w:t>
            </w:r>
          </w:p>
        </w:tc>
        <w:sdt>
          <w:sdtPr>
            <w:rPr>
              <w:bCs/>
              <w:color w:val="000000" w:themeColor="text1"/>
              <w:sz w:val="13"/>
              <w:szCs w:val="13"/>
            </w:rPr>
            <w:alias w:val="募集资金使用进展明细_项目性质"/>
            <w:tag w:val="_GBC_7aae89f2426148daa6b4430bf5dcfc93"/>
            <w:id w:val="1786300651"/>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36465CAC" w14:textId="77777777" w:rsidR="00577D08" w:rsidRDefault="00330FC0">
                <w:pPr>
                  <w:jc w:val="center"/>
                  <w:rPr>
                    <w:bCs/>
                    <w:color w:val="000000" w:themeColor="text1"/>
                    <w:sz w:val="13"/>
                    <w:szCs w:val="13"/>
                  </w:rPr>
                </w:pPr>
                <w:r>
                  <w:rPr>
                    <w:bCs/>
                    <w:color w:val="000000" w:themeColor="text1"/>
                    <w:sz w:val="13"/>
                    <w:szCs w:val="13"/>
                  </w:rPr>
                  <w:t>生产建设</w:t>
                </w:r>
              </w:p>
            </w:tc>
          </w:sdtContent>
        </w:sdt>
        <w:sdt>
          <w:sdtPr>
            <w:rPr>
              <w:bCs/>
              <w:color w:val="000000" w:themeColor="text1"/>
              <w:sz w:val="13"/>
              <w:szCs w:val="13"/>
            </w:rPr>
            <w:alias w:val="募集资金使用进展明细_是否为招股书或者募集说明书中的承诺投资项目"/>
            <w:tag w:val="_GBC_cc96b791a1c14daba3e65ec5d8b75d5a"/>
            <w:id w:val="1025524248"/>
            <w:comboBox>
              <w:listItem w:displayText="是" w:value="是"/>
              <w:listItem w:displayText="否" w:value="否"/>
            </w:comboBox>
          </w:sdtPr>
          <w:sdtContent>
            <w:tc>
              <w:tcPr>
                <w:tcW w:w="1134" w:type="dxa"/>
                <w:tcBorders>
                  <w:top w:val="single" w:sz="4" w:space="0" w:color="auto"/>
                  <w:left w:val="single" w:sz="4" w:space="0" w:color="auto"/>
                  <w:bottom w:val="single" w:sz="4" w:space="0" w:color="auto"/>
                  <w:right w:val="single" w:sz="4" w:space="0" w:color="auto"/>
                </w:tcBorders>
                <w:vAlign w:val="center"/>
              </w:tcPr>
              <w:p w14:paraId="445E0DBF"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708" w:type="dxa"/>
            <w:tcBorders>
              <w:top w:val="single" w:sz="4" w:space="0" w:color="auto"/>
              <w:left w:val="single" w:sz="4" w:space="0" w:color="auto"/>
              <w:bottom w:val="single" w:sz="4" w:space="0" w:color="auto"/>
              <w:right w:val="single" w:sz="4" w:space="0" w:color="auto"/>
            </w:tcBorders>
            <w:vAlign w:val="center"/>
          </w:tcPr>
          <w:p w14:paraId="67423B5D" w14:textId="77777777" w:rsidR="00577D08" w:rsidRDefault="00330FC0">
            <w:pPr>
              <w:jc w:val="center"/>
              <w:rPr>
                <w:bCs/>
                <w:color w:val="000000" w:themeColor="text1"/>
                <w:sz w:val="13"/>
                <w:szCs w:val="13"/>
              </w:rPr>
            </w:pPr>
            <w:r>
              <w:rPr>
                <w:rFonts w:hint="eastAsia"/>
                <w:sz w:val="13"/>
                <w:szCs w:val="13"/>
              </w:rPr>
              <w:t>是</w:t>
            </w:r>
          </w:p>
        </w:tc>
        <w:tc>
          <w:tcPr>
            <w:tcW w:w="851" w:type="dxa"/>
            <w:tcBorders>
              <w:top w:val="single" w:sz="4" w:space="0" w:color="auto"/>
              <w:left w:val="nil"/>
              <w:bottom w:val="single" w:sz="4" w:space="0" w:color="auto"/>
              <w:right w:val="single" w:sz="4" w:space="0" w:color="auto"/>
            </w:tcBorders>
            <w:vAlign w:val="center"/>
          </w:tcPr>
          <w:p w14:paraId="72EC5CF6" w14:textId="77777777" w:rsidR="00577D08" w:rsidRDefault="00330FC0">
            <w:pPr>
              <w:jc w:val="right"/>
              <w:rPr>
                <w:bCs/>
                <w:sz w:val="13"/>
                <w:szCs w:val="13"/>
              </w:rPr>
            </w:pPr>
            <w:r>
              <w:rPr>
                <w:rFonts w:hint="eastAsia"/>
                <w:sz w:val="13"/>
                <w:szCs w:val="13"/>
              </w:rPr>
              <w:t>24,268.47</w:t>
            </w:r>
          </w:p>
        </w:tc>
        <w:tc>
          <w:tcPr>
            <w:tcW w:w="850" w:type="dxa"/>
            <w:tcBorders>
              <w:top w:val="single" w:sz="4" w:space="0" w:color="auto"/>
              <w:left w:val="single" w:sz="4" w:space="0" w:color="auto"/>
              <w:bottom w:val="single" w:sz="4" w:space="0" w:color="auto"/>
              <w:right w:val="single" w:sz="4" w:space="0" w:color="auto"/>
            </w:tcBorders>
            <w:vAlign w:val="center"/>
          </w:tcPr>
          <w:p w14:paraId="70B74512" w14:textId="77777777" w:rsidR="00577D08" w:rsidRDefault="00577D08">
            <w:pPr>
              <w:jc w:val="right"/>
              <w:rPr>
                <w:bCs/>
                <w:sz w:val="13"/>
                <w:szCs w:val="13"/>
              </w:rPr>
            </w:pPr>
          </w:p>
        </w:tc>
        <w:tc>
          <w:tcPr>
            <w:tcW w:w="851" w:type="dxa"/>
            <w:tcBorders>
              <w:top w:val="single" w:sz="4" w:space="0" w:color="auto"/>
              <w:left w:val="single" w:sz="4" w:space="0" w:color="auto"/>
              <w:bottom w:val="single" w:sz="4" w:space="0" w:color="auto"/>
              <w:right w:val="single" w:sz="4" w:space="0" w:color="auto"/>
            </w:tcBorders>
            <w:vAlign w:val="center"/>
          </w:tcPr>
          <w:p w14:paraId="41E1BF8C" w14:textId="77777777" w:rsidR="00577D08" w:rsidRDefault="00330FC0">
            <w:pPr>
              <w:jc w:val="right"/>
              <w:rPr>
                <w:bCs/>
                <w:sz w:val="13"/>
                <w:szCs w:val="13"/>
              </w:rPr>
            </w:pPr>
            <w:r>
              <w:rPr>
                <w:rFonts w:hint="eastAsia"/>
                <w:sz w:val="13"/>
                <w:szCs w:val="13"/>
              </w:rPr>
              <w:t>21,020.72</w:t>
            </w:r>
          </w:p>
        </w:tc>
        <w:tc>
          <w:tcPr>
            <w:tcW w:w="1134" w:type="dxa"/>
            <w:tcBorders>
              <w:top w:val="single" w:sz="4" w:space="0" w:color="auto"/>
              <w:left w:val="nil"/>
              <w:bottom w:val="single" w:sz="4" w:space="0" w:color="auto"/>
              <w:right w:val="single" w:sz="4" w:space="0" w:color="auto"/>
            </w:tcBorders>
            <w:vAlign w:val="center"/>
          </w:tcPr>
          <w:p w14:paraId="0C7E2904" w14:textId="6E0DBA3B" w:rsidR="00577D08" w:rsidRDefault="00330FC0">
            <w:pPr>
              <w:jc w:val="right"/>
              <w:rPr>
                <w:bCs/>
                <w:sz w:val="13"/>
                <w:szCs w:val="13"/>
              </w:rPr>
            </w:pPr>
            <w:r>
              <w:rPr>
                <w:rFonts w:hint="eastAsia"/>
                <w:sz w:val="13"/>
                <w:szCs w:val="13"/>
              </w:rPr>
              <w:t>86.62</w:t>
            </w:r>
          </w:p>
        </w:tc>
        <w:tc>
          <w:tcPr>
            <w:tcW w:w="992" w:type="dxa"/>
            <w:tcBorders>
              <w:top w:val="single" w:sz="4" w:space="0" w:color="auto"/>
              <w:left w:val="nil"/>
              <w:bottom w:val="single" w:sz="4" w:space="0" w:color="auto"/>
              <w:right w:val="single" w:sz="4" w:space="0" w:color="auto"/>
            </w:tcBorders>
            <w:vAlign w:val="center"/>
          </w:tcPr>
          <w:p w14:paraId="5EF8390C" w14:textId="77777777" w:rsidR="00577D08" w:rsidRDefault="00330FC0">
            <w:pPr>
              <w:jc w:val="right"/>
              <w:rPr>
                <w:bCs/>
                <w:sz w:val="13"/>
                <w:szCs w:val="13"/>
              </w:rPr>
            </w:pPr>
            <w:r>
              <w:rPr>
                <w:rFonts w:hint="eastAsia"/>
                <w:sz w:val="13"/>
                <w:szCs w:val="13"/>
              </w:rPr>
              <w:t>2024</w:t>
            </w:r>
            <w:r>
              <w:rPr>
                <w:rFonts w:hint="eastAsia"/>
                <w:sz w:val="13"/>
                <w:szCs w:val="13"/>
              </w:rPr>
              <w:t>年</w:t>
            </w:r>
            <w:r>
              <w:rPr>
                <w:rFonts w:hint="eastAsia"/>
                <w:sz w:val="13"/>
                <w:szCs w:val="13"/>
              </w:rPr>
              <w:t>4</w:t>
            </w:r>
            <w:r>
              <w:rPr>
                <w:rFonts w:hint="eastAsia"/>
                <w:sz w:val="13"/>
                <w:szCs w:val="13"/>
              </w:rPr>
              <w:t>月</w:t>
            </w:r>
          </w:p>
        </w:tc>
        <w:sdt>
          <w:sdtPr>
            <w:rPr>
              <w:bCs/>
              <w:color w:val="000000" w:themeColor="text1"/>
              <w:sz w:val="13"/>
              <w:szCs w:val="13"/>
            </w:rPr>
            <w:alias w:val="募集资金使用进展明细_是否已结项"/>
            <w:tag w:val="_GBC_12a69f39e8ab43aca710914c5ba0dfac"/>
            <w:id w:val="1422758064"/>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73B15CD8"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851" w:type="dxa"/>
            <w:tcBorders>
              <w:top w:val="single" w:sz="4" w:space="0" w:color="auto"/>
              <w:left w:val="nil"/>
              <w:bottom w:val="single" w:sz="4" w:space="0" w:color="auto"/>
              <w:right w:val="single" w:sz="4" w:space="0" w:color="auto"/>
            </w:tcBorders>
            <w:vAlign w:val="center"/>
          </w:tcPr>
          <w:p w14:paraId="7643C25A" w14:textId="77777777" w:rsidR="00577D08" w:rsidRDefault="00330FC0">
            <w:pPr>
              <w:jc w:val="center"/>
              <w:rPr>
                <w:bCs/>
                <w:color w:val="000000" w:themeColor="text1"/>
                <w:sz w:val="13"/>
                <w:szCs w:val="13"/>
              </w:rPr>
            </w:pPr>
            <w:r>
              <w:rPr>
                <w:rFonts w:hint="eastAsia"/>
                <w:sz w:val="13"/>
                <w:szCs w:val="13"/>
              </w:rPr>
              <w:t>是</w:t>
            </w:r>
          </w:p>
        </w:tc>
        <w:tc>
          <w:tcPr>
            <w:tcW w:w="737" w:type="dxa"/>
            <w:tcBorders>
              <w:top w:val="single" w:sz="4" w:space="0" w:color="auto"/>
              <w:left w:val="nil"/>
              <w:bottom w:val="single" w:sz="4" w:space="0" w:color="auto"/>
              <w:right w:val="single" w:sz="4" w:space="0" w:color="auto"/>
            </w:tcBorders>
            <w:vAlign w:val="center"/>
          </w:tcPr>
          <w:p w14:paraId="2083E883" w14:textId="77777777" w:rsidR="00577D08" w:rsidRDefault="00330FC0">
            <w:pPr>
              <w:jc w:val="center"/>
              <w:rPr>
                <w:bCs/>
                <w:sz w:val="13"/>
                <w:szCs w:val="13"/>
              </w:rPr>
            </w:pPr>
            <w:r>
              <w:rPr>
                <w:rFonts w:hint="eastAsia"/>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7F7BC021" w14:textId="77777777" w:rsidR="00577D08" w:rsidRDefault="00577D08">
            <w:pPr>
              <w:jc w:val="center"/>
              <w:rPr>
                <w:bCs/>
                <w:sz w:val="13"/>
                <w:szCs w:val="13"/>
              </w:rPr>
            </w:pPr>
          </w:p>
        </w:tc>
        <w:tc>
          <w:tcPr>
            <w:tcW w:w="709" w:type="dxa"/>
            <w:tcBorders>
              <w:top w:val="single" w:sz="4" w:space="0" w:color="auto"/>
              <w:left w:val="single" w:sz="4" w:space="0" w:color="auto"/>
              <w:bottom w:val="single" w:sz="4" w:space="0" w:color="auto"/>
              <w:right w:val="single" w:sz="4" w:space="0" w:color="auto"/>
            </w:tcBorders>
            <w:vAlign w:val="center"/>
          </w:tcPr>
          <w:p w14:paraId="4986AA53" w14:textId="77777777" w:rsidR="00577D08" w:rsidRDefault="00330FC0">
            <w:pPr>
              <w:jc w:val="right"/>
              <w:rPr>
                <w:sz w:val="13"/>
                <w:szCs w:val="13"/>
              </w:rPr>
            </w:pPr>
            <w:r>
              <w:rPr>
                <w:sz w:val="13"/>
                <w:szCs w:val="13"/>
              </w:rPr>
              <w:t>278.08</w:t>
            </w:r>
          </w:p>
        </w:tc>
        <w:tc>
          <w:tcPr>
            <w:tcW w:w="992" w:type="dxa"/>
            <w:tcBorders>
              <w:top w:val="single" w:sz="4" w:space="0" w:color="auto"/>
              <w:left w:val="nil"/>
              <w:bottom w:val="single" w:sz="4" w:space="0" w:color="auto"/>
              <w:right w:val="single" w:sz="4" w:space="0" w:color="auto"/>
            </w:tcBorders>
            <w:vAlign w:val="center"/>
          </w:tcPr>
          <w:p w14:paraId="4E410133" w14:textId="77777777" w:rsidR="00577D08" w:rsidRDefault="00330FC0">
            <w:pPr>
              <w:jc w:val="center"/>
              <w:rPr>
                <w:bCs/>
                <w:sz w:val="13"/>
                <w:szCs w:val="13"/>
              </w:rPr>
            </w:pPr>
            <w:r>
              <w:rPr>
                <w:rFonts w:hint="eastAsia"/>
                <w:sz w:val="13"/>
                <w:szCs w:val="13"/>
              </w:rPr>
              <w:t>否</w:t>
            </w:r>
          </w:p>
        </w:tc>
        <w:tc>
          <w:tcPr>
            <w:tcW w:w="769" w:type="dxa"/>
            <w:tcBorders>
              <w:top w:val="single" w:sz="4" w:space="0" w:color="auto"/>
              <w:left w:val="nil"/>
              <w:bottom w:val="single" w:sz="4" w:space="0" w:color="auto"/>
              <w:right w:val="single" w:sz="4" w:space="0" w:color="auto"/>
            </w:tcBorders>
            <w:vAlign w:val="center"/>
          </w:tcPr>
          <w:p w14:paraId="2ED7F392" w14:textId="77777777" w:rsidR="00577D08" w:rsidRDefault="00330FC0">
            <w:pPr>
              <w:jc w:val="center"/>
              <w:rPr>
                <w:bCs/>
                <w:sz w:val="13"/>
                <w:szCs w:val="13"/>
              </w:rPr>
            </w:pPr>
            <w:r>
              <w:rPr>
                <w:rFonts w:hint="eastAsia"/>
                <w:sz w:val="13"/>
                <w:szCs w:val="13"/>
              </w:rPr>
              <w:t>不适用</w:t>
            </w:r>
          </w:p>
        </w:tc>
      </w:tr>
      <w:tr w:rsidR="00577D08" w14:paraId="11F39A4F" w14:textId="77777777">
        <w:trPr>
          <w:trHeight w:val="160"/>
          <w:jc w:val="center"/>
        </w:trPr>
        <w:sdt>
          <w:sdtPr>
            <w:rPr>
              <w:bCs/>
              <w:color w:val="000000" w:themeColor="text1"/>
              <w:sz w:val="13"/>
              <w:szCs w:val="13"/>
            </w:rPr>
            <w:alias w:val="募集资金使用进展明细_募集资金来源"/>
            <w:tag w:val="_GBC_951af72cf70147edb2fff54b7abd30b3"/>
            <w:id w:val="-1276018066"/>
            <w:placeholder>
              <w:docPart w:val="A979E7487BA94B85BA9CD0828B38026B"/>
            </w:placeholder>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5" w:type="dxa"/>
                <w:tcBorders>
                  <w:top w:val="single" w:sz="4" w:space="0" w:color="auto"/>
                  <w:left w:val="single" w:sz="4" w:space="0" w:color="auto"/>
                  <w:bottom w:val="single" w:sz="4" w:space="0" w:color="auto"/>
                  <w:right w:val="single" w:sz="4" w:space="0" w:color="auto"/>
                </w:tcBorders>
                <w:vAlign w:val="center"/>
              </w:tcPr>
              <w:p w14:paraId="1E3DCA5D" w14:textId="77777777" w:rsidR="00577D08" w:rsidRDefault="00330FC0">
                <w:pPr>
                  <w:rPr>
                    <w:bCs/>
                    <w:color w:val="000000" w:themeColor="text1"/>
                    <w:sz w:val="13"/>
                    <w:szCs w:val="13"/>
                  </w:rPr>
                </w:pPr>
                <w:r>
                  <w:rPr>
                    <w:bCs/>
                    <w:color w:val="000000" w:themeColor="text1"/>
                    <w:sz w:val="13"/>
                    <w:szCs w:val="13"/>
                  </w:rPr>
                  <w:t>首次公开发行股票</w:t>
                </w:r>
              </w:p>
            </w:tc>
          </w:sdtContent>
        </w:sdt>
        <w:tc>
          <w:tcPr>
            <w:tcW w:w="993" w:type="dxa"/>
            <w:tcBorders>
              <w:top w:val="single" w:sz="4" w:space="0" w:color="auto"/>
              <w:left w:val="single" w:sz="4" w:space="0" w:color="auto"/>
              <w:bottom w:val="single" w:sz="4" w:space="0" w:color="auto"/>
              <w:right w:val="single" w:sz="4" w:space="0" w:color="auto"/>
            </w:tcBorders>
            <w:vAlign w:val="center"/>
          </w:tcPr>
          <w:p w14:paraId="438925EE" w14:textId="77777777" w:rsidR="00577D08" w:rsidRDefault="00330FC0">
            <w:pPr>
              <w:jc w:val="both"/>
              <w:rPr>
                <w:bCs/>
                <w:sz w:val="13"/>
                <w:szCs w:val="13"/>
              </w:rPr>
            </w:pPr>
            <w:r>
              <w:rPr>
                <w:rFonts w:hint="eastAsia"/>
                <w:sz w:val="13"/>
                <w:szCs w:val="13"/>
              </w:rPr>
              <w:t>110kV</w:t>
            </w:r>
            <w:r>
              <w:rPr>
                <w:rFonts w:hint="eastAsia"/>
                <w:sz w:val="13"/>
                <w:szCs w:val="13"/>
              </w:rPr>
              <w:t>及以下节能型变压器智能化工厂技改项目</w:t>
            </w:r>
          </w:p>
        </w:tc>
        <w:sdt>
          <w:sdtPr>
            <w:rPr>
              <w:bCs/>
              <w:color w:val="000000" w:themeColor="text1"/>
              <w:sz w:val="13"/>
              <w:szCs w:val="13"/>
            </w:rPr>
            <w:alias w:val="募集资金使用进展明细_项目性质"/>
            <w:tag w:val="_GBC_7aae89f2426148daa6b4430bf5dcfc93"/>
            <w:id w:val="-898210031"/>
            <w:placeholder>
              <w:docPart w:val="584BF12ACEB04817B7121C804A66F244"/>
            </w:placeholder>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7F80F49F" w14:textId="77777777" w:rsidR="00577D08" w:rsidRDefault="00330FC0">
                <w:pPr>
                  <w:jc w:val="center"/>
                  <w:rPr>
                    <w:bCs/>
                    <w:color w:val="000000" w:themeColor="text1"/>
                    <w:sz w:val="13"/>
                    <w:szCs w:val="13"/>
                  </w:rPr>
                </w:pPr>
                <w:r>
                  <w:rPr>
                    <w:bCs/>
                    <w:color w:val="000000" w:themeColor="text1"/>
                    <w:sz w:val="13"/>
                    <w:szCs w:val="13"/>
                  </w:rPr>
                  <w:t>生产建设</w:t>
                </w:r>
              </w:p>
            </w:tc>
          </w:sdtContent>
        </w:sdt>
        <w:sdt>
          <w:sdtPr>
            <w:rPr>
              <w:bCs/>
              <w:color w:val="000000" w:themeColor="text1"/>
              <w:sz w:val="13"/>
              <w:szCs w:val="13"/>
            </w:rPr>
            <w:alias w:val="募集资金使用进展明细_是否为招股书或者募集说明书中的承诺投资项目"/>
            <w:tag w:val="_GBC_cc96b791a1c14daba3e65ec5d8b75d5a"/>
            <w:id w:val="1701893563"/>
            <w:placeholder>
              <w:docPart w:val="388412BEEC66412D852A0AE7E03CD90E"/>
            </w:placeholder>
            <w:comboBox>
              <w:listItem w:displayText="是" w:value="是"/>
              <w:listItem w:displayText="否" w:value="否"/>
            </w:comboBox>
          </w:sdtPr>
          <w:sdtContent>
            <w:tc>
              <w:tcPr>
                <w:tcW w:w="1134" w:type="dxa"/>
                <w:tcBorders>
                  <w:top w:val="single" w:sz="4" w:space="0" w:color="auto"/>
                  <w:left w:val="single" w:sz="4" w:space="0" w:color="auto"/>
                  <w:bottom w:val="single" w:sz="4" w:space="0" w:color="auto"/>
                  <w:right w:val="single" w:sz="4" w:space="0" w:color="auto"/>
                </w:tcBorders>
                <w:vAlign w:val="center"/>
              </w:tcPr>
              <w:p w14:paraId="11357DD0"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708" w:type="dxa"/>
            <w:tcBorders>
              <w:top w:val="single" w:sz="4" w:space="0" w:color="auto"/>
              <w:left w:val="single" w:sz="4" w:space="0" w:color="auto"/>
              <w:bottom w:val="single" w:sz="4" w:space="0" w:color="auto"/>
              <w:right w:val="single" w:sz="4" w:space="0" w:color="auto"/>
            </w:tcBorders>
            <w:vAlign w:val="center"/>
          </w:tcPr>
          <w:p w14:paraId="4C284664" w14:textId="77777777" w:rsidR="00577D08" w:rsidRDefault="00330FC0">
            <w:pPr>
              <w:jc w:val="center"/>
              <w:rPr>
                <w:bCs/>
                <w:color w:val="000000" w:themeColor="text1"/>
                <w:sz w:val="13"/>
                <w:szCs w:val="13"/>
              </w:rPr>
            </w:pPr>
            <w:r>
              <w:rPr>
                <w:rFonts w:hint="eastAsia"/>
                <w:sz w:val="13"/>
                <w:szCs w:val="13"/>
              </w:rPr>
              <w:t>否</w:t>
            </w:r>
          </w:p>
        </w:tc>
        <w:tc>
          <w:tcPr>
            <w:tcW w:w="851" w:type="dxa"/>
            <w:tcBorders>
              <w:top w:val="single" w:sz="4" w:space="0" w:color="auto"/>
              <w:left w:val="nil"/>
              <w:bottom w:val="single" w:sz="4" w:space="0" w:color="auto"/>
              <w:right w:val="single" w:sz="4" w:space="0" w:color="auto"/>
            </w:tcBorders>
            <w:vAlign w:val="center"/>
          </w:tcPr>
          <w:p w14:paraId="40213C26" w14:textId="77777777" w:rsidR="00577D08" w:rsidRDefault="00330FC0">
            <w:pPr>
              <w:jc w:val="right"/>
              <w:rPr>
                <w:bCs/>
                <w:sz w:val="13"/>
                <w:szCs w:val="13"/>
              </w:rPr>
            </w:pPr>
            <w:r>
              <w:rPr>
                <w:rFonts w:hint="eastAsia"/>
                <w:sz w:val="13"/>
                <w:szCs w:val="13"/>
              </w:rPr>
              <w:t>7,330.59</w:t>
            </w:r>
          </w:p>
        </w:tc>
        <w:tc>
          <w:tcPr>
            <w:tcW w:w="850" w:type="dxa"/>
            <w:tcBorders>
              <w:top w:val="single" w:sz="4" w:space="0" w:color="auto"/>
              <w:left w:val="single" w:sz="4" w:space="0" w:color="auto"/>
              <w:bottom w:val="single" w:sz="4" w:space="0" w:color="auto"/>
              <w:right w:val="single" w:sz="4" w:space="0" w:color="auto"/>
            </w:tcBorders>
            <w:vAlign w:val="center"/>
          </w:tcPr>
          <w:p w14:paraId="560D6521" w14:textId="77777777" w:rsidR="00577D08" w:rsidRDefault="00577D08">
            <w:pPr>
              <w:jc w:val="right"/>
              <w:rPr>
                <w:bCs/>
                <w:sz w:val="13"/>
                <w:szCs w:val="13"/>
              </w:rPr>
            </w:pPr>
          </w:p>
        </w:tc>
        <w:tc>
          <w:tcPr>
            <w:tcW w:w="851" w:type="dxa"/>
            <w:tcBorders>
              <w:top w:val="single" w:sz="4" w:space="0" w:color="auto"/>
              <w:left w:val="single" w:sz="4" w:space="0" w:color="auto"/>
              <w:bottom w:val="single" w:sz="4" w:space="0" w:color="auto"/>
              <w:right w:val="single" w:sz="4" w:space="0" w:color="auto"/>
            </w:tcBorders>
            <w:vAlign w:val="center"/>
          </w:tcPr>
          <w:p w14:paraId="5AED8F55" w14:textId="77777777" w:rsidR="00577D08" w:rsidRDefault="00330FC0">
            <w:pPr>
              <w:jc w:val="right"/>
              <w:rPr>
                <w:bCs/>
                <w:sz w:val="13"/>
                <w:szCs w:val="13"/>
              </w:rPr>
            </w:pPr>
            <w:r>
              <w:rPr>
                <w:rFonts w:hint="eastAsia"/>
                <w:sz w:val="13"/>
                <w:szCs w:val="13"/>
              </w:rPr>
              <w:t>6,062.70</w:t>
            </w:r>
          </w:p>
        </w:tc>
        <w:tc>
          <w:tcPr>
            <w:tcW w:w="1134" w:type="dxa"/>
            <w:tcBorders>
              <w:top w:val="single" w:sz="4" w:space="0" w:color="auto"/>
              <w:left w:val="nil"/>
              <w:bottom w:val="single" w:sz="4" w:space="0" w:color="auto"/>
              <w:right w:val="single" w:sz="4" w:space="0" w:color="auto"/>
            </w:tcBorders>
            <w:vAlign w:val="center"/>
          </w:tcPr>
          <w:p w14:paraId="66A0A2BE" w14:textId="1FAE67B1" w:rsidR="00577D08" w:rsidRDefault="00330FC0">
            <w:pPr>
              <w:jc w:val="right"/>
              <w:rPr>
                <w:bCs/>
                <w:sz w:val="13"/>
                <w:szCs w:val="13"/>
              </w:rPr>
            </w:pPr>
            <w:r>
              <w:rPr>
                <w:rFonts w:hint="eastAsia"/>
                <w:sz w:val="13"/>
                <w:szCs w:val="13"/>
              </w:rPr>
              <w:t>82.70</w:t>
            </w:r>
          </w:p>
        </w:tc>
        <w:tc>
          <w:tcPr>
            <w:tcW w:w="992" w:type="dxa"/>
            <w:tcBorders>
              <w:top w:val="single" w:sz="4" w:space="0" w:color="auto"/>
              <w:left w:val="nil"/>
              <w:bottom w:val="single" w:sz="4" w:space="0" w:color="auto"/>
              <w:right w:val="single" w:sz="4" w:space="0" w:color="auto"/>
            </w:tcBorders>
            <w:vAlign w:val="center"/>
          </w:tcPr>
          <w:p w14:paraId="3B903E52" w14:textId="77777777" w:rsidR="00577D08" w:rsidRDefault="00330FC0">
            <w:pPr>
              <w:jc w:val="right"/>
              <w:rPr>
                <w:bCs/>
                <w:sz w:val="13"/>
                <w:szCs w:val="13"/>
              </w:rPr>
            </w:pPr>
            <w:r>
              <w:rPr>
                <w:rFonts w:hint="eastAsia"/>
                <w:sz w:val="13"/>
                <w:szCs w:val="13"/>
              </w:rPr>
              <w:t>2024</w:t>
            </w:r>
            <w:r>
              <w:rPr>
                <w:rFonts w:hint="eastAsia"/>
                <w:sz w:val="13"/>
                <w:szCs w:val="13"/>
              </w:rPr>
              <w:t>年</w:t>
            </w:r>
            <w:r>
              <w:rPr>
                <w:rFonts w:hint="eastAsia"/>
                <w:sz w:val="13"/>
                <w:szCs w:val="13"/>
              </w:rPr>
              <w:t>4</w:t>
            </w:r>
            <w:r>
              <w:rPr>
                <w:rFonts w:hint="eastAsia"/>
                <w:sz w:val="13"/>
                <w:szCs w:val="13"/>
              </w:rPr>
              <w:t>月</w:t>
            </w:r>
          </w:p>
        </w:tc>
        <w:sdt>
          <w:sdtPr>
            <w:rPr>
              <w:bCs/>
              <w:color w:val="000000" w:themeColor="text1"/>
              <w:sz w:val="13"/>
              <w:szCs w:val="13"/>
            </w:rPr>
            <w:alias w:val="募集资金使用进展明细_是否已结项"/>
            <w:tag w:val="_GBC_12a69f39e8ab43aca710914c5ba0dfac"/>
            <w:id w:val="-144890975"/>
            <w:placeholder>
              <w:docPart w:val="7DCBB4C67B014385A68993E078972DF7"/>
            </w:placeholder>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27B3ADD3"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851" w:type="dxa"/>
            <w:tcBorders>
              <w:top w:val="single" w:sz="4" w:space="0" w:color="auto"/>
              <w:left w:val="nil"/>
              <w:bottom w:val="single" w:sz="4" w:space="0" w:color="auto"/>
              <w:right w:val="single" w:sz="4" w:space="0" w:color="auto"/>
            </w:tcBorders>
            <w:vAlign w:val="center"/>
          </w:tcPr>
          <w:p w14:paraId="33204FEB" w14:textId="77777777" w:rsidR="00577D08" w:rsidRDefault="00330FC0">
            <w:pPr>
              <w:jc w:val="center"/>
              <w:rPr>
                <w:bCs/>
                <w:color w:val="000000" w:themeColor="text1"/>
                <w:sz w:val="13"/>
                <w:szCs w:val="13"/>
              </w:rPr>
            </w:pPr>
            <w:r>
              <w:rPr>
                <w:rFonts w:hint="eastAsia"/>
                <w:sz w:val="13"/>
                <w:szCs w:val="13"/>
              </w:rPr>
              <w:t>是</w:t>
            </w:r>
          </w:p>
        </w:tc>
        <w:tc>
          <w:tcPr>
            <w:tcW w:w="737" w:type="dxa"/>
            <w:tcBorders>
              <w:top w:val="single" w:sz="4" w:space="0" w:color="auto"/>
              <w:left w:val="nil"/>
              <w:bottom w:val="single" w:sz="4" w:space="0" w:color="auto"/>
              <w:right w:val="single" w:sz="4" w:space="0" w:color="auto"/>
            </w:tcBorders>
            <w:vAlign w:val="center"/>
          </w:tcPr>
          <w:p w14:paraId="79A6C328" w14:textId="77777777" w:rsidR="00577D08" w:rsidRDefault="00330FC0">
            <w:pPr>
              <w:jc w:val="center"/>
              <w:rPr>
                <w:bCs/>
                <w:sz w:val="13"/>
                <w:szCs w:val="13"/>
              </w:rPr>
            </w:pPr>
            <w:r>
              <w:rPr>
                <w:rFonts w:hint="eastAsia"/>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0D99DF1A" w14:textId="77777777" w:rsidR="00577D08" w:rsidRDefault="00577D08">
            <w:pPr>
              <w:jc w:val="center"/>
              <w:rPr>
                <w:bCs/>
                <w:sz w:val="13"/>
                <w:szCs w:val="13"/>
              </w:rPr>
            </w:pPr>
          </w:p>
        </w:tc>
        <w:tc>
          <w:tcPr>
            <w:tcW w:w="709" w:type="dxa"/>
            <w:tcBorders>
              <w:top w:val="single" w:sz="4" w:space="0" w:color="auto"/>
              <w:left w:val="single" w:sz="4" w:space="0" w:color="auto"/>
              <w:bottom w:val="single" w:sz="4" w:space="0" w:color="auto"/>
              <w:right w:val="single" w:sz="4" w:space="0" w:color="auto"/>
            </w:tcBorders>
            <w:vAlign w:val="center"/>
          </w:tcPr>
          <w:p w14:paraId="6310AECD" w14:textId="77777777" w:rsidR="00577D08" w:rsidRDefault="00330FC0">
            <w:pPr>
              <w:jc w:val="right"/>
              <w:rPr>
                <w:sz w:val="13"/>
                <w:szCs w:val="13"/>
              </w:rPr>
            </w:pPr>
            <w:r>
              <w:rPr>
                <w:sz w:val="13"/>
                <w:szCs w:val="13"/>
              </w:rPr>
              <w:t>1,386.83</w:t>
            </w:r>
          </w:p>
        </w:tc>
        <w:tc>
          <w:tcPr>
            <w:tcW w:w="992" w:type="dxa"/>
            <w:tcBorders>
              <w:top w:val="single" w:sz="4" w:space="0" w:color="auto"/>
              <w:left w:val="nil"/>
              <w:bottom w:val="single" w:sz="4" w:space="0" w:color="auto"/>
              <w:right w:val="single" w:sz="4" w:space="0" w:color="auto"/>
            </w:tcBorders>
            <w:vAlign w:val="center"/>
          </w:tcPr>
          <w:p w14:paraId="120EDDD2" w14:textId="77777777" w:rsidR="00577D08" w:rsidRDefault="00330FC0">
            <w:pPr>
              <w:jc w:val="center"/>
              <w:rPr>
                <w:bCs/>
                <w:sz w:val="13"/>
                <w:szCs w:val="13"/>
              </w:rPr>
            </w:pPr>
            <w:r>
              <w:rPr>
                <w:rFonts w:hint="eastAsia"/>
                <w:sz w:val="13"/>
                <w:szCs w:val="13"/>
              </w:rPr>
              <w:t>否</w:t>
            </w:r>
          </w:p>
        </w:tc>
        <w:tc>
          <w:tcPr>
            <w:tcW w:w="769" w:type="dxa"/>
            <w:tcBorders>
              <w:top w:val="single" w:sz="4" w:space="0" w:color="auto"/>
              <w:left w:val="nil"/>
              <w:bottom w:val="single" w:sz="4" w:space="0" w:color="auto"/>
              <w:right w:val="single" w:sz="4" w:space="0" w:color="auto"/>
            </w:tcBorders>
            <w:vAlign w:val="center"/>
          </w:tcPr>
          <w:p w14:paraId="5F60719E" w14:textId="77777777" w:rsidR="00577D08" w:rsidRDefault="00330FC0">
            <w:pPr>
              <w:jc w:val="center"/>
              <w:rPr>
                <w:bCs/>
                <w:sz w:val="13"/>
                <w:szCs w:val="13"/>
              </w:rPr>
            </w:pPr>
            <w:r>
              <w:rPr>
                <w:rFonts w:hint="eastAsia"/>
                <w:sz w:val="13"/>
                <w:szCs w:val="13"/>
              </w:rPr>
              <w:t>不适用</w:t>
            </w:r>
          </w:p>
        </w:tc>
      </w:tr>
      <w:tr w:rsidR="00577D08" w14:paraId="4422243C" w14:textId="77777777">
        <w:trPr>
          <w:trHeight w:val="160"/>
          <w:jc w:val="center"/>
        </w:trPr>
        <w:sdt>
          <w:sdtPr>
            <w:rPr>
              <w:bCs/>
              <w:color w:val="000000" w:themeColor="text1"/>
              <w:sz w:val="13"/>
              <w:szCs w:val="13"/>
            </w:rPr>
            <w:alias w:val="募集资金使用进展明细_募集资金来源"/>
            <w:tag w:val="_GBC_951af72cf70147edb2fff54b7abd30b3"/>
            <w:id w:val="274147788"/>
            <w:placeholder>
              <w:docPart w:val="41AF7DC95F9E40F2AE05261A4D11E117"/>
            </w:placeholder>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5" w:type="dxa"/>
                <w:tcBorders>
                  <w:top w:val="single" w:sz="4" w:space="0" w:color="auto"/>
                  <w:left w:val="single" w:sz="4" w:space="0" w:color="auto"/>
                  <w:bottom w:val="single" w:sz="4" w:space="0" w:color="auto"/>
                  <w:right w:val="single" w:sz="4" w:space="0" w:color="auto"/>
                </w:tcBorders>
                <w:vAlign w:val="center"/>
              </w:tcPr>
              <w:p w14:paraId="49738F5B" w14:textId="77777777" w:rsidR="00577D08" w:rsidRDefault="00330FC0">
                <w:pPr>
                  <w:rPr>
                    <w:bCs/>
                    <w:color w:val="000000" w:themeColor="text1"/>
                    <w:sz w:val="13"/>
                    <w:szCs w:val="13"/>
                  </w:rPr>
                </w:pPr>
                <w:r>
                  <w:rPr>
                    <w:bCs/>
                    <w:color w:val="000000" w:themeColor="text1"/>
                    <w:sz w:val="13"/>
                    <w:szCs w:val="13"/>
                  </w:rPr>
                  <w:t>首次公开发行股票</w:t>
                </w:r>
              </w:p>
            </w:tc>
          </w:sdtContent>
        </w:sdt>
        <w:tc>
          <w:tcPr>
            <w:tcW w:w="993" w:type="dxa"/>
            <w:tcBorders>
              <w:top w:val="single" w:sz="4" w:space="0" w:color="auto"/>
              <w:left w:val="single" w:sz="4" w:space="0" w:color="auto"/>
              <w:bottom w:val="single" w:sz="4" w:space="0" w:color="auto"/>
              <w:right w:val="single" w:sz="4" w:space="0" w:color="auto"/>
            </w:tcBorders>
            <w:vAlign w:val="center"/>
          </w:tcPr>
          <w:p w14:paraId="714F7AE9" w14:textId="77777777" w:rsidR="00577D08" w:rsidRDefault="00330FC0">
            <w:pPr>
              <w:jc w:val="both"/>
              <w:rPr>
                <w:bCs/>
                <w:sz w:val="13"/>
                <w:szCs w:val="13"/>
              </w:rPr>
            </w:pPr>
            <w:r>
              <w:rPr>
                <w:rFonts w:hint="eastAsia"/>
                <w:sz w:val="13"/>
                <w:szCs w:val="13"/>
              </w:rPr>
              <w:t>低铁损高磁感硅钢铁心智能制造项目</w:t>
            </w:r>
          </w:p>
        </w:tc>
        <w:sdt>
          <w:sdtPr>
            <w:rPr>
              <w:bCs/>
              <w:color w:val="000000" w:themeColor="text1"/>
              <w:sz w:val="13"/>
              <w:szCs w:val="13"/>
            </w:rPr>
            <w:alias w:val="募集资金使用进展明细_项目性质"/>
            <w:tag w:val="_GBC_7aae89f2426148daa6b4430bf5dcfc93"/>
            <w:id w:val="1390990361"/>
            <w:placeholder>
              <w:docPart w:val="6FFB0B94D59548338A234836415BE0B1"/>
            </w:placeholder>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112B2938" w14:textId="77777777" w:rsidR="00577D08" w:rsidRDefault="00330FC0">
                <w:pPr>
                  <w:jc w:val="center"/>
                  <w:rPr>
                    <w:bCs/>
                    <w:color w:val="000000" w:themeColor="text1"/>
                    <w:sz w:val="13"/>
                    <w:szCs w:val="13"/>
                  </w:rPr>
                </w:pPr>
                <w:r>
                  <w:rPr>
                    <w:bCs/>
                    <w:color w:val="000000" w:themeColor="text1"/>
                    <w:sz w:val="13"/>
                    <w:szCs w:val="13"/>
                  </w:rPr>
                  <w:t>生产建设</w:t>
                </w:r>
              </w:p>
            </w:tc>
          </w:sdtContent>
        </w:sdt>
        <w:sdt>
          <w:sdtPr>
            <w:rPr>
              <w:bCs/>
              <w:color w:val="000000" w:themeColor="text1"/>
              <w:sz w:val="13"/>
              <w:szCs w:val="13"/>
            </w:rPr>
            <w:alias w:val="募集资金使用进展明细_是否为招股书或者募集说明书中的承诺投资项目"/>
            <w:tag w:val="_GBC_cc96b791a1c14daba3e65ec5d8b75d5a"/>
            <w:id w:val="821168748"/>
            <w:placeholder>
              <w:docPart w:val="BC5A90B464B04AC6BF5956E62A0BA5AF"/>
            </w:placeholder>
            <w:comboBox>
              <w:listItem w:displayText="是" w:value="是"/>
              <w:listItem w:displayText="否" w:value="否"/>
            </w:comboBox>
          </w:sdtPr>
          <w:sdtContent>
            <w:tc>
              <w:tcPr>
                <w:tcW w:w="1134" w:type="dxa"/>
                <w:tcBorders>
                  <w:top w:val="single" w:sz="4" w:space="0" w:color="auto"/>
                  <w:left w:val="single" w:sz="4" w:space="0" w:color="auto"/>
                  <w:bottom w:val="single" w:sz="4" w:space="0" w:color="auto"/>
                  <w:right w:val="single" w:sz="4" w:space="0" w:color="auto"/>
                </w:tcBorders>
                <w:vAlign w:val="center"/>
              </w:tcPr>
              <w:p w14:paraId="3FD90476"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708" w:type="dxa"/>
            <w:tcBorders>
              <w:top w:val="single" w:sz="4" w:space="0" w:color="auto"/>
              <w:left w:val="single" w:sz="4" w:space="0" w:color="auto"/>
              <w:bottom w:val="single" w:sz="4" w:space="0" w:color="auto"/>
              <w:right w:val="single" w:sz="4" w:space="0" w:color="auto"/>
            </w:tcBorders>
            <w:vAlign w:val="center"/>
          </w:tcPr>
          <w:p w14:paraId="038D08C6" w14:textId="77777777" w:rsidR="00577D08" w:rsidRDefault="00330FC0">
            <w:pPr>
              <w:jc w:val="center"/>
              <w:rPr>
                <w:bCs/>
                <w:color w:val="000000" w:themeColor="text1"/>
                <w:sz w:val="13"/>
                <w:szCs w:val="13"/>
              </w:rPr>
            </w:pPr>
            <w:r>
              <w:rPr>
                <w:rFonts w:hint="eastAsia"/>
                <w:sz w:val="13"/>
                <w:szCs w:val="13"/>
              </w:rPr>
              <w:t>否</w:t>
            </w:r>
          </w:p>
        </w:tc>
        <w:tc>
          <w:tcPr>
            <w:tcW w:w="851" w:type="dxa"/>
            <w:tcBorders>
              <w:top w:val="single" w:sz="4" w:space="0" w:color="auto"/>
              <w:left w:val="nil"/>
              <w:bottom w:val="single" w:sz="4" w:space="0" w:color="auto"/>
              <w:right w:val="single" w:sz="4" w:space="0" w:color="auto"/>
            </w:tcBorders>
            <w:vAlign w:val="center"/>
          </w:tcPr>
          <w:p w14:paraId="5496489A" w14:textId="77777777" w:rsidR="00577D08" w:rsidRDefault="00330FC0">
            <w:pPr>
              <w:jc w:val="right"/>
              <w:rPr>
                <w:bCs/>
                <w:sz w:val="13"/>
                <w:szCs w:val="13"/>
              </w:rPr>
            </w:pPr>
            <w:r>
              <w:rPr>
                <w:rFonts w:hint="eastAsia"/>
                <w:sz w:val="13"/>
                <w:szCs w:val="13"/>
              </w:rPr>
              <w:t>12,832.68</w:t>
            </w:r>
          </w:p>
        </w:tc>
        <w:tc>
          <w:tcPr>
            <w:tcW w:w="850" w:type="dxa"/>
            <w:tcBorders>
              <w:top w:val="single" w:sz="4" w:space="0" w:color="auto"/>
              <w:left w:val="single" w:sz="4" w:space="0" w:color="auto"/>
              <w:bottom w:val="single" w:sz="4" w:space="0" w:color="auto"/>
              <w:right w:val="single" w:sz="4" w:space="0" w:color="auto"/>
            </w:tcBorders>
            <w:vAlign w:val="center"/>
          </w:tcPr>
          <w:p w14:paraId="246C3063" w14:textId="77777777" w:rsidR="00577D08" w:rsidRDefault="00577D08">
            <w:pPr>
              <w:jc w:val="right"/>
              <w:rPr>
                <w:bCs/>
                <w:sz w:val="13"/>
                <w:szCs w:val="13"/>
              </w:rPr>
            </w:pPr>
          </w:p>
        </w:tc>
        <w:tc>
          <w:tcPr>
            <w:tcW w:w="851" w:type="dxa"/>
            <w:tcBorders>
              <w:top w:val="single" w:sz="4" w:space="0" w:color="auto"/>
              <w:left w:val="single" w:sz="4" w:space="0" w:color="auto"/>
              <w:bottom w:val="single" w:sz="4" w:space="0" w:color="auto"/>
              <w:right w:val="single" w:sz="4" w:space="0" w:color="auto"/>
            </w:tcBorders>
            <w:vAlign w:val="center"/>
          </w:tcPr>
          <w:p w14:paraId="658903C7" w14:textId="77777777" w:rsidR="00577D08" w:rsidRDefault="00330FC0">
            <w:pPr>
              <w:jc w:val="right"/>
              <w:rPr>
                <w:bCs/>
                <w:sz w:val="13"/>
                <w:szCs w:val="13"/>
              </w:rPr>
            </w:pPr>
            <w:r>
              <w:rPr>
                <w:rFonts w:hint="eastAsia"/>
                <w:sz w:val="13"/>
                <w:szCs w:val="13"/>
              </w:rPr>
              <w:t>13,007.87</w:t>
            </w:r>
          </w:p>
        </w:tc>
        <w:tc>
          <w:tcPr>
            <w:tcW w:w="1134" w:type="dxa"/>
            <w:tcBorders>
              <w:top w:val="single" w:sz="4" w:space="0" w:color="auto"/>
              <w:left w:val="nil"/>
              <w:bottom w:val="single" w:sz="4" w:space="0" w:color="auto"/>
              <w:right w:val="single" w:sz="4" w:space="0" w:color="auto"/>
            </w:tcBorders>
            <w:vAlign w:val="center"/>
          </w:tcPr>
          <w:p w14:paraId="5462E3E0" w14:textId="00CCA754" w:rsidR="00577D08" w:rsidRDefault="00330FC0">
            <w:pPr>
              <w:jc w:val="right"/>
              <w:rPr>
                <w:bCs/>
                <w:sz w:val="13"/>
                <w:szCs w:val="13"/>
              </w:rPr>
            </w:pPr>
            <w:r>
              <w:rPr>
                <w:rFonts w:hint="eastAsia"/>
                <w:sz w:val="13"/>
                <w:szCs w:val="13"/>
              </w:rPr>
              <w:t>101.37</w:t>
            </w:r>
          </w:p>
        </w:tc>
        <w:tc>
          <w:tcPr>
            <w:tcW w:w="992" w:type="dxa"/>
            <w:tcBorders>
              <w:top w:val="single" w:sz="4" w:space="0" w:color="auto"/>
              <w:left w:val="nil"/>
              <w:bottom w:val="single" w:sz="4" w:space="0" w:color="auto"/>
              <w:right w:val="single" w:sz="4" w:space="0" w:color="auto"/>
            </w:tcBorders>
            <w:vAlign w:val="center"/>
          </w:tcPr>
          <w:p w14:paraId="70CCE881" w14:textId="77777777" w:rsidR="00577D08" w:rsidRDefault="00330FC0">
            <w:pPr>
              <w:jc w:val="right"/>
              <w:rPr>
                <w:bCs/>
                <w:sz w:val="13"/>
                <w:szCs w:val="13"/>
              </w:rPr>
            </w:pPr>
            <w:r>
              <w:rPr>
                <w:rFonts w:hint="eastAsia"/>
                <w:sz w:val="13"/>
                <w:szCs w:val="13"/>
              </w:rPr>
              <w:t>2023</w:t>
            </w:r>
            <w:r>
              <w:rPr>
                <w:rFonts w:hint="eastAsia"/>
                <w:sz w:val="13"/>
                <w:szCs w:val="13"/>
              </w:rPr>
              <w:t>年</w:t>
            </w:r>
            <w:r>
              <w:rPr>
                <w:rFonts w:hint="eastAsia"/>
                <w:sz w:val="13"/>
                <w:szCs w:val="13"/>
              </w:rPr>
              <w:t>6</w:t>
            </w:r>
            <w:r>
              <w:rPr>
                <w:rFonts w:hint="eastAsia"/>
                <w:sz w:val="13"/>
                <w:szCs w:val="13"/>
              </w:rPr>
              <w:t>月</w:t>
            </w:r>
          </w:p>
        </w:tc>
        <w:sdt>
          <w:sdtPr>
            <w:rPr>
              <w:bCs/>
              <w:color w:val="000000" w:themeColor="text1"/>
              <w:sz w:val="13"/>
              <w:szCs w:val="13"/>
            </w:rPr>
            <w:alias w:val="募集资金使用进展明细_是否已结项"/>
            <w:tag w:val="_GBC_12a69f39e8ab43aca710914c5ba0dfac"/>
            <w:id w:val="-1402286109"/>
            <w:placeholder>
              <w:docPart w:val="0C9F66E4CD154DCFBA25B82493D93D1B"/>
            </w:placeholder>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00009ECB"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851" w:type="dxa"/>
            <w:tcBorders>
              <w:top w:val="single" w:sz="4" w:space="0" w:color="auto"/>
              <w:left w:val="nil"/>
              <w:bottom w:val="single" w:sz="4" w:space="0" w:color="auto"/>
              <w:right w:val="single" w:sz="4" w:space="0" w:color="auto"/>
            </w:tcBorders>
            <w:vAlign w:val="center"/>
          </w:tcPr>
          <w:p w14:paraId="32D88406" w14:textId="77777777" w:rsidR="00577D08" w:rsidRDefault="00330FC0">
            <w:pPr>
              <w:jc w:val="center"/>
              <w:rPr>
                <w:bCs/>
                <w:color w:val="000000" w:themeColor="text1"/>
                <w:sz w:val="13"/>
                <w:szCs w:val="13"/>
              </w:rPr>
            </w:pPr>
            <w:r>
              <w:rPr>
                <w:rFonts w:hint="eastAsia"/>
                <w:sz w:val="13"/>
                <w:szCs w:val="13"/>
              </w:rPr>
              <w:t>是</w:t>
            </w:r>
          </w:p>
        </w:tc>
        <w:tc>
          <w:tcPr>
            <w:tcW w:w="737" w:type="dxa"/>
            <w:tcBorders>
              <w:top w:val="single" w:sz="4" w:space="0" w:color="auto"/>
              <w:left w:val="nil"/>
              <w:bottom w:val="single" w:sz="4" w:space="0" w:color="auto"/>
              <w:right w:val="single" w:sz="4" w:space="0" w:color="auto"/>
            </w:tcBorders>
            <w:vAlign w:val="center"/>
          </w:tcPr>
          <w:p w14:paraId="374DAF73" w14:textId="77777777" w:rsidR="00577D08" w:rsidRDefault="00330FC0">
            <w:pPr>
              <w:jc w:val="center"/>
              <w:rPr>
                <w:bCs/>
                <w:sz w:val="13"/>
                <w:szCs w:val="13"/>
              </w:rPr>
            </w:pPr>
            <w:r>
              <w:rPr>
                <w:rFonts w:hint="eastAsia"/>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3A50AB2A" w14:textId="77777777" w:rsidR="00577D08" w:rsidRDefault="00577D08">
            <w:pPr>
              <w:jc w:val="center"/>
              <w:rPr>
                <w:bCs/>
                <w:sz w:val="13"/>
                <w:szCs w:val="13"/>
              </w:rPr>
            </w:pPr>
          </w:p>
        </w:tc>
        <w:tc>
          <w:tcPr>
            <w:tcW w:w="709" w:type="dxa"/>
            <w:tcBorders>
              <w:top w:val="single" w:sz="4" w:space="0" w:color="auto"/>
              <w:left w:val="single" w:sz="4" w:space="0" w:color="auto"/>
              <w:bottom w:val="single" w:sz="4" w:space="0" w:color="auto"/>
              <w:right w:val="single" w:sz="4" w:space="0" w:color="auto"/>
            </w:tcBorders>
            <w:vAlign w:val="center"/>
          </w:tcPr>
          <w:p w14:paraId="43C342AC" w14:textId="77777777" w:rsidR="00577D08" w:rsidRDefault="00330FC0">
            <w:pPr>
              <w:jc w:val="right"/>
              <w:rPr>
                <w:sz w:val="13"/>
                <w:szCs w:val="13"/>
              </w:rPr>
            </w:pPr>
            <w:r>
              <w:rPr>
                <w:sz w:val="13"/>
                <w:szCs w:val="13"/>
              </w:rPr>
              <w:t>2,528.49</w:t>
            </w:r>
          </w:p>
        </w:tc>
        <w:tc>
          <w:tcPr>
            <w:tcW w:w="992" w:type="dxa"/>
            <w:tcBorders>
              <w:top w:val="single" w:sz="4" w:space="0" w:color="auto"/>
              <w:left w:val="nil"/>
              <w:bottom w:val="single" w:sz="4" w:space="0" w:color="auto"/>
              <w:right w:val="single" w:sz="4" w:space="0" w:color="auto"/>
            </w:tcBorders>
            <w:vAlign w:val="center"/>
          </w:tcPr>
          <w:p w14:paraId="34E1A736" w14:textId="77777777" w:rsidR="00577D08" w:rsidRDefault="00330FC0">
            <w:pPr>
              <w:jc w:val="center"/>
              <w:rPr>
                <w:bCs/>
                <w:sz w:val="13"/>
                <w:szCs w:val="13"/>
              </w:rPr>
            </w:pPr>
            <w:r>
              <w:rPr>
                <w:rFonts w:hint="eastAsia"/>
                <w:sz w:val="13"/>
                <w:szCs w:val="13"/>
              </w:rPr>
              <w:t>否</w:t>
            </w:r>
          </w:p>
        </w:tc>
        <w:tc>
          <w:tcPr>
            <w:tcW w:w="769" w:type="dxa"/>
            <w:tcBorders>
              <w:top w:val="single" w:sz="4" w:space="0" w:color="auto"/>
              <w:left w:val="nil"/>
              <w:bottom w:val="single" w:sz="4" w:space="0" w:color="auto"/>
              <w:right w:val="single" w:sz="4" w:space="0" w:color="auto"/>
            </w:tcBorders>
            <w:vAlign w:val="center"/>
          </w:tcPr>
          <w:p w14:paraId="4FD89D94" w14:textId="77777777" w:rsidR="00577D08" w:rsidRDefault="00330FC0">
            <w:pPr>
              <w:jc w:val="center"/>
              <w:rPr>
                <w:bCs/>
                <w:sz w:val="13"/>
                <w:szCs w:val="13"/>
              </w:rPr>
            </w:pPr>
            <w:r>
              <w:rPr>
                <w:rFonts w:hint="eastAsia"/>
                <w:sz w:val="13"/>
                <w:szCs w:val="13"/>
              </w:rPr>
              <w:t>不适用</w:t>
            </w:r>
          </w:p>
        </w:tc>
      </w:tr>
      <w:tr w:rsidR="00577D08" w14:paraId="1F2D18E0" w14:textId="77777777">
        <w:trPr>
          <w:trHeight w:val="160"/>
          <w:jc w:val="center"/>
        </w:trPr>
        <w:sdt>
          <w:sdtPr>
            <w:rPr>
              <w:bCs/>
              <w:color w:val="000000" w:themeColor="text1"/>
              <w:sz w:val="13"/>
              <w:szCs w:val="13"/>
            </w:rPr>
            <w:alias w:val="募集资金使用进展明细_募集资金来源"/>
            <w:tag w:val="_GBC_951af72cf70147edb2fff54b7abd30b3"/>
            <w:id w:val="-1119062524"/>
            <w:placeholder>
              <w:docPart w:val="01E87E9DB41E40449B2D164389BEC2E5"/>
            </w:placeholder>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5" w:type="dxa"/>
                <w:tcBorders>
                  <w:top w:val="single" w:sz="4" w:space="0" w:color="auto"/>
                  <w:left w:val="single" w:sz="4" w:space="0" w:color="auto"/>
                  <w:bottom w:val="single" w:sz="4" w:space="0" w:color="auto"/>
                  <w:right w:val="single" w:sz="4" w:space="0" w:color="auto"/>
                </w:tcBorders>
                <w:vAlign w:val="center"/>
              </w:tcPr>
              <w:p w14:paraId="6CD4FA18" w14:textId="77777777" w:rsidR="00577D08" w:rsidRDefault="00330FC0">
                <w:pPr>
                  <w:rPr>
                    <w:bCs/>
                    <w:color w:val="000000" w:themeColor="text1"/>
                    <w:sz w:val="13"/>
                    <w:szCs w:val="13"/>
                  </w:rPr>
                </w:pPr>
                <w:r>
                  <w:rPr>
                    <w:bCs/>
                    <w:color w:val="000000" w:themeColor="text1"/>
                    <w:sz w:val="13"/>
                    <w:szCs w:val="13"/>
                  </w:rPr>
                  <w:t>首次公开发行股票</w:t>
                </w:r>
              </w:p>
            </w:tc>
          </w:sdtContent>
        </w:sdt>
        <w:tc>
          <w:tcPr>
            <w:tcW w:w="993" w:type="dxa"/>
            <w:tcBorders>
              <w:top w:val="single" w:sz="4" w:space="0" w:color="auto"/>
              <w:left w:val="single" w:sz="4" w:space="0" w:color="auto"/>
              <w:bottom w:val="single" w:sz="4" w:space="0" w:color="auto"/>
              <w:right w:val="single" w:sz="4" w:space="0" w:color="auto"/>
            </w:tcBorders>
            <w:vAlign w:val="center"/>
          </w:tcPr>
          <w:p w14:paraId="418B64ED" w14:textId="77777777" w:rsidR="00577D08" w:rsidRDefault="00330FC0">
            <w:pPr>
              <w:jc w:val="both"/>
              <w:rPr>
                <w:bCs/>
                <w:sz w:val="13"/>
                <w:szCs w:val="13"/>
              </w:rPr>
            </w:pPr>
            <w:r>
              <w:rPr>
                <w:rFonts w:hint="eastAsia"/>
                <w:sz w:val="13"/>
                <w:szCs w:val="13"/>
              </w:rPr>
              <w:t>研发中心及信息化建设项目</w:t>
            </w:r>
          </w:p>
        </w:tc>
        <w:sdt>
          <w:sdtPr>
            <w:rPr>
              <w:bCs/>
              <w:color w:val="000000" w:themeColor="text1"/>
              <w:sz w:val="13"/>
              <w:szCs w:val="13"/>
            </w:rPr>
            <w:alias w:val="募集资金使用进展明细_项目性质"/>
            <w:tag w:val="_GBC_7aae89f2426148daa6b4430bf5dcfc93"/>
            <w:id w:val="-868907614"/>
            <w:placeholder>
              <w:docPart w:val="B742A8059E234EF5B634AD61F0382649"/>
            </w:placeholder>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1BABBBD4" w14:textId="77777777" w:rsidR="00577D08" w:rsidRDefault="00330FC0">
                <w:pPr>
                  <w:jc w:val="center"/>
                  <w:rPr>
                    <w:bCs/>
                    <w:color w:val="000000" w:themeColor="text1"/>
                    <w:sz w:val="13"/>
                    <w:szCs w:val="13"/>
                  </w:rPr>
                </w:pPr>
                <w:r>
                  <w:rPr>
                    <w:bCs/>
                    <w:color w:val="000000" w:themeColor="text1"/>
                    <w:sz w:val="13"/>
                    <w:szCs w:val="13"/>
                  </w:rPr>
                  <w:t>生产建设</w:t>
                </w:r>
              </w:p>
            </w:tc>
          </w:sdtContent>
        </w:sdt>
        <w:sdt>
          <w:sdtPr>
            <w:rPr>
              <w:bCs/>
              <w:color w:val="000000" w:themeColor="text1"/>
              <w:sz w:val="13"/>
              <w:szCs w:val="13"/>
            </w:rPr>
            <w:alias w:val="募集资金使用进展明细_是否为招股书或者募集说明书中的承诺投资项目"/>
            <w:tag w:val="_GBC_cc96b791a1c14daba3e65ec5d8b75d5a"/>
            <w:id w:val="-1212573671"/>
            <w:placeholder>
              <w:docPart w:val="14C7B0951BCB43ACA042A56543875F5E"/>
            </w:placeholder>
            <w:comboBox>
              <w:listItem w:displayText="是" w:value="是"/>
              <w:listItem w:displayText="否" w:value="否"/>
            </w:comboBox>
          </w:sdtPr>
          <w:sdtContent>
            <w:tc>
              <w:tcPr>
                <w:tcW w:w="1134" w:type="dxa"/>
                <w:tcBorders>
                  <w:top w:val="single" w:sz="4" w:space="0" w:color="auto"/>
                  <w:left w:val="single" w:sz="4" w:space="0" w:color="auto"/>
                  <w:bottom w:val="single" w:sz="4" w:space="0" w:color="auto"/>
                  <w:right w:val="single" w:sz="4" w:space="0" w:color="auto"/>
                </w:tcBorders>
                <w:vAlign w:val="center"/>
              </w:tcPr>
              <w:p w14:paraId="265184CA"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708" w:type="dxa"/>
            <w:tcBorders>
              <w:top w:val="single" w:sz="4" w:space="0" w:color="auto"/>
              <w:left w:val="single" w:sz="4" w:space="0" w:color="auto"/>
              <w:bottom w:val="single" w:sz="4" w:space="0" w:color="auto"/>
              <w:right w:val="single" w:sz="4" w:space="0" w:color="auto"/>
            </w:tcBorders>
            <w:vAlign w:val="center"/>
          </w:tcPr>
          <w:p w14:paraId="20600BE2" w14:textId="77777777" w:rsidR="00577D08" w:rsidRDefault="00330FC0">
            <w:pPr>
              <w:jc w:val="center"/>
              <w:rPr>
                <w:bCs/>
                <w:color w:val="000000" w:themeColor="text1"/>
                <w:sz w:val="13"/>
                <w:szCs w:val="13"/>
              </w:rPr>
            </w:pPr>
            <w:r>
              <w:rPr>
                <w:rFonts w:hint="eastAsia"/>
                <w:sz w:val="13"/>
                <w:szCs w:val="13"/>
              </w:rPr>
              <w:t>否</w:t>
            </w:r>
          </w:p>
        </w:tc>
        <w:tc>
          <w:tcPr>
            <w:tcW w:w="851" w:type="dxa"/>
            <w:tcBorders>
              <w:top w:val="single" w:sz="4" w:space="0" w:color="auto"/>
              <w:left w:val="nil"/>
              <w:bottom w:val="single" w:sz="4" w:space="0" w:color="auto"/>
              <w:right w:val="single" w:sz="4" w:space="0" w:color="auto"/>
            </w:tcBorders>
            <w:vAlign w:val="center"/>
          </w:tcPr>
          <w:p w14:paraId="1FB4900E" w14:textId="77777777" w:rsidR="00577D08" w:rsidRDefault="00330FC0">
            <w:pPr>
              <w:jc w:val="right"/>
              <w:rPr>
                <w:bCs/>
                <w:sz w:val="13"/>
                <w:szCs w:val="13"/>
              </w:rPr>
            </w:pPr>
            <w:r>
              <w:rPr>
                <w:rFonts w:hint="eastAsia"/>
                <w:sz w:val="13"/>
                <w:szCs w:val="13"/>
              </w:rPr>
              <w:t>6,250.00</w:t>
            </w:r>
          </w:p>
        </w:tc>
        <w:tc>
          <w:tcPr>
            <w:tcW w:w="850" w:type="dxa"/>
            <w:tcBorders>
              <w:top w:val="single" w:sz="4" w:space="0" w:color="auto"/>
              <w:left w:val="single" w:sz="4" w:space="0" w:color="auto"/>
              <w:bottom w:val="single" w:sz="4" w:space="0" w:color="auto"/>
              <w:right w:val="single" w:sz="4" w:space="0" w:color="auto"/>
            </w:tcBorders>
            <w:vAlign w:val="center"/>
          </w:tcPr>
          <w:p w14:paraId="6D073057" w14:textId="77777777" w:rsidR="00577D08" w:rsidRDefault="00330FC0">
            <w:pPr>
              <w:jc w:val="right"/>
              <w:rPr>
                <w:bCs/>
                <w:sz w:val="13"/>
                <w:szCs w:val="13"/>
              </w:rPr>
            </w:pPr>
            <w:r>
              <w:rPr>
                <w:rFonts w:hint="eastAsia"/>
                <w:sz w:val="13"/>
                <w:szCs w:val="13"/>
              </w:rPr>
              <w:t>1.78</w:t>
            </w:r>
          </w:p>
        </w:tc>
        <w:tc>
          <w:tcPr>
            <w:tcW w:w="851" w:type="dxa"/>
            <w:tcBorders>
              <w:top w:val="single" w:sz="4" w:space="0" w:color="auto"/>
              <w:left w:val="single" w:sz="4" w:space="0" w:color="auto"/>
              <w:bottom w:val="single" w:sz="4" w:space="0" w:color="auto"/>
              <w:right w:val="single" w:sz="4" w:space="0" w:color="auto"/>
            </w:tcBorders>
            <w:vAlign w:val="center"/>
          </w:tcPr>
          <w:p w14:paraId="47D66FD8" w14:textId="77777777" w:rsidR="00577D08" w:rsidRDefault="00330FC0">
            <w:pPr>
              <w:jc w:val="right"/>
              <w:rPr>
                <w:bCs/>
                <w:sz w:val="13"/>
                <w:szCs w:val="13"/>
              </w:rPr>
            </w:pPr>
            <w:r>
              <w:rPr>
                <w:rFonts w:hint="eastAsia"/>
                <w:sz w:val="13"/>
                <w:szCs w:val="13"/>
              </w:rPr>
              <w:t>3,686.11</w:t>
            </w:r>
          </w:p>
        </w:tc>
        <w:tc>
          <w:tcPr>
            <w:tcW w:w="1134" w:type="dxa"/>
            <w:tcBorders>
              <w:top w:val="single" w:sz="4" w:space="0" w:color="auto"/>
              <w:left w:val="nil"/>
              <w:bottom w:val="single" w:sz="4" w:space="0" w:color="auto"/>
              <w:right w:val="single" w:sz="4" w:space="0" w:color="auto"/>
            </w:tcBorders>
            <w:vAlign w:val="center"/>
          </w:tcPr>
          <w:p w14:paraId="088D7D3A" w14:textId="463BF391" w:rsidR="00577D08" w:rsidRDefault="00330FC0">
            <w:pPr>
              <w:jc w:val="right"/>
              <w:rPr>
                <w:bCs/>
                <w:sz w:val="13"/>
                <w:szCs w:val="13"/>
              </w:rPr>
            </w:pPr>
            <w:r>
              <w:rPr>
                <w:rFonts w:hint="eastAsia"/>
                <w:sz w:val="13"/>
                <w:szCs w:val="13"/>
              </w:rPr>
              <w:t>58.98</w:t>
            </w:r>
          </w:p>
        </w:tc>
        <w:tc>
          <w:tcPr>
            <w:tcW w:w="992" w:type="dxa"/>
            <w:tcBorders>
              <w:top w:val="single" w:sz="4" w:space="0" w:color="auto"/>
              <w:left w:val="nil"/>
              <w:bottom w:val="single" w:sz="4" w:space="0" w:color="auto"/>
              <w:right w:val="single" w:sz="4" w:space="0" w:color="auto"/>
            </w:tcBorders>
            <w:vAlign w:val="center"/>
          </w:tcPr>
          <w:p w14:paraId="3709BFAF" w14:textId="77777777" w:rsidR="00577D08" w:rsidRDefault="00330FC0">
            <w:pPr>
              <w:jc w:val="right"/>
              <w:rPr>
                <w:bCs/>
                <w:sz w:val="13"/>
                <w:szCs w:val="13"/>
              </w:rPr>
            </w:pPr>
            <w:r>
              <w:rPr>
                <w:rFonts w:hint="eastAsia"/>
                <w:sz w:val="13"/>
                <w:szCs w:val="13"/>
              </w:rPr>
              <w:t>2024</w:t>
            </w:r>
            <w:r>
              <w:rPr>
                <w:rFonts w:hint="eastAsia"/>
                <w:sz w:val="13"/>
                <w:szCs w:val="13"/>
              </w:rPr>
              <w:t>年</w:t>
            </w:r>
            <w:r>
              <w:rPr>
                <w:rFonts w:hint="eastAsia"/>
                <w:sz w:val="13"/>
                <w:szCs w:val="13"/>
              </w:rPr>
              <w:t>4</w:t>
            </w:r>
            <w:r>
              <w:rPr>
                <w:rFonts w:hint="eastAsia"/>
                <w:sz w:val="13"/>
                <w:szCs w:val="13"/>
              </w:rPr>
              <w:t>月</w:t>
            </w:r>
          </w:p>
        </w:tc>
        <w:sdt>
          <w:sdtPr>
            <w:rPr>
              <w:bCs/>
              <w:color w:val="000000" w:themeColor="text1"/>
              <w:sz w:val="13"/>
              <w:szCs w:val="13"/>
            </w:rPr>
            <w:alias w:val="募集资金使用进展明细_是否已结项"/>
            <w:tag w:val="_GBC_12a69f39e8ab43aca710914c5ba0dfac"/>
            <w:id w:val="-567795416"/>
            <w:placeholder>
              <w:docPart w:val="DE6386780E124C1D91DE82529DB869BE"/>
            </w:placeholder>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0C0B7D76"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851" w:type="dxa"/>
            <w:tcBorders>
              <w:top w:val="single" w:sz="4" w:space="0" w:color="auto"/>
              <w:left w:val="nil"/>
              <w:bottom w:val="single" w:sz="4" w:space="0" w:color="auto"/>
              <w:right w:val="single" w:sz="4" w:space="0" w:color="auto"/>
            </w:tcBorders>
            <w:vAlign w:val="center"/>
          </w:tcPr>
          <w:p w14:paraId="2FD8C606" w14:textId="77777777" w:rsidR="00577D08" w:rsidRDefault="00330FC0">
            <w:pPr>
              <w:jc w:val="center"/>
              <w:rPr>
                <w:bCs/>
                <w:color w:val="000000" w:themeColor="text1"/>
                <w:sz w:val="13"/>
                <w:szCs w:val="13"/>
              </w:rPr>
            </w:pPr>
            <w:r>
              <w:rPr>
                <w:rFonts w:hint="eastAsia"/>
                <w:sz w:val="13"/>
                <w:szCs w:val="13"/>
              </w:rPr>
              <w:t>是</w:t>
            </w:r>
          </w:p>
        </w:tc>
        <w:tc>
          <w:tcPr>
            <w:tcW w:w="737" w:type="dxa"/>
            <w:tcBorders>
              <w:top w:val="single" w:sz="4" w:space="0" w:color="auto"/>
              <w:left w:val="nil"/>
              <w:bottom w:val="single" w:sz="4" w:space="0" w:color="auto"/>
              <w:right w:val="single" w:sz="4" w:space="0" w:color="auto"/>
            </w:tcBorders>
            <w:vAlign w:val="center"/>
          </w:tcPr>
          <w:p w14:paraId="2A31A9D3" w14:textId="77777777" w:rsidR="00577D08" w:rsidRDefault="00330FC0">
            <w:pPr>
              <w:jc w:val="center"/>
              <w:rPr>
                <w:bCs/>
                <w:sz w:val="13"/>
                <w:szCs w:val="13"/>
              </w:rPr>
            </w:pPr>
            <w:r>
              <w:rPr>
                <w:rFonts w:hint="eastAsia"/>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4E4CCEBB" w14:textId="77777777" w:rsidR="00577D08" w:rsidRDefault="00330FC0">
            <w:pPr>
              <w:jc w:val="center"/>
              <w:rPr>
                <w:bCs/>
                <w:sz w:val="13"/>
                <w:szCs w:val="13"/>
              </w:rPr>
            </w:pPr>
            <w:r>
              <w:rPr>
                <w:rFonts w:hint="eastAsia"/>
                <w:sz w:val="13"/>
                <w:szCs w:val="13"/>
              </w:rPr>
              <w:t>不适用</w:t>
            </w:r>
          </w:p>
        </w:tc>
        <w:tc>
          <w:tcPr>
            <w:tcW w:w="709" w:type="dxa"/>
            <w:tcBorders>
              <w:top w:val="single" w:sz="4" w:space="0" w:color="auto"/>
              <w:left w:val="single" w:sz="4" w:space="0" w:color="auto"/>
              <w:bottom w:val="single" w:sz="4" w:space="0" w:color="auto"/>
              <w:right w:val="single" w:sz="4" w:space="0" w:color="auto"/>
            </w:tcBorders>
            <w:vAlign w:val="center"/>
          </w:tcPr>
          <w:p w14:paraId="73A3B5EB" w14:textId="77777777" w:rsidR="00577D08" w:rsidRDefault="00330FC0">
            <w:pPr>
              <w:jc w:val="right"/>
              <w:rPr>
                <w:sz w:val="13"/>
                <w:szCs w:val="13"/>
              </w:rPr>
            </w:pPr>
            <w:r>
              <w:rPr>
                <w:rFonts w:hint="eastAsia"/>
                <w:sz w:val="13"/>
                <w:szCs w:val="13"/>
              </w:rPr>
              <w:t>不适用</w:t>
            </w:r>
          </w:p>
        </w:tc>
        <w:tc>
          <w:tcPr>
            <w:tcW w:w="992" w:type="dxa"/>
            <w:tcBorders>
              <w:top w:val="single" w:sz="4" w:space="0" w:color="auto"/>
              <w:left w:val="nil"/>
              <w:bottom w:val="single" w:sz="4" w:space="0" w:color="auto"/>
              <w:right w:val="single" w:sz="4" w:space="0" w:color="auto"/>
            </w:tcBorders>
            <w:vAlign w:val="center"/>
          </w:tcPr>
          <w:p w14:paraId="6A86FE57" w14:textId="77777777" w:rsidR="00577D08" w:rsidRDefault="00330FC0">
            <w:pPr>
              <w:jc w:val="center"/>
              <w:rPr>
                <w:bCs/>
                <w:sz w:val="13"/>
                <w:szCs w:val="13"/>
              </w:rPr>
            </w:pPr>
            <w:r>
              <w:rPr>
                <w:rFonts w:hint="eastAsia"/>
                <w:sz w:val="13"/>
                <w:szCs w:val="13"/>
              </w:rPr>
              <w:t>否</w:t>
            </w:r>
          </w:p>
        </w:tc>
        <w:tc>
          <w:tcPr>
            <w:tcW w:w="769" w:type="dxa"/>
            <w:tcBorders>
              <w:top w:val="single" w:sz="4" w:space="0" w:color="auto"/>
              <w:left w:val="nil"/>
              <w:bottom w:val="single" w:sz="4" w:space="0" w:color="auto"/>
              <w:right w:val="single" w:sz="4" w:space="0" w:color="auto"/>
            </w:tcBorders>
            <w:vAlign w:val="center"/>
          </w:tcPr>
          <w:p w14:paraId="57D8471D" w14:textId="77777777" w:rsidR="00577D08" w:rsidRDefault="00330FC0">
            <w:pPr>
              <w:jc w:val="center"/>
              <w:rPr>
                <w:bCs/>
                <w:sz w:val="13"/>
                <w:szCs w:val="13"/>
              </w:rPr>
            </w:pPr>
            <w:r>
              <w:rPr>
                <w:rFonts w:hint="eastAsia"/>
                <w:sz w:val="13"/>
                <w:szCs w:val="13"/>
              </w:rPr>
              <w:t>不适用</w:t>
            </w:r>
          </w:p>
        </w:tc>
      </w:tr>
      <w:tr w:rsidR="00577D08" w14:paraId="7E021210" w14:textId="77777777">
        <w:trPr>
          <w:trHeight w:val="160"/>
          <w:jc w:val="center"/>
        </w:trPr>
        <w:sdt>
          <w:sdtPr>
            <w:rPr>
              <w:bCs/>
              <w:color w:val="000000" w:themeColor="text1"/>
              <w:sz w:val="13"/>
              <w:szCs w:val="13"/>
            </w:rPr>
            <w:alias w:val="募集资金使用进展明细_募集资金来源"/>
            <w:tag w:val="_GBC_951af72cf70147edb2fff54b7abd30b3"/>
            <w:id w:val="1183019346"/>
            <w:placeholder>
              <w:docPart w:val="C322F588EFDC49D99A03699F43A1551F"/>
            </w:placeholder>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5" w:type="dxa"/>
                <w:tcBorders>
                  <w:top w:val="single" w:sz="4" w:space="0" w:color="auto"/>
                  <w:left w:val="single" w:sz="4" w:space="0" w:color="auto"/>
                  <w:bottom w:val="single" w:sz="4" w:space="0" w:color="auto"/>
                  <w:right w:val="single" w:sz="4" w:space="0" w:color="auto"/>
                </w:tcBorders>
                <w:vAlign w:val="center"/>
              </w:tcPr>
              <w:p w14:paraId="20200E16" w14:textId="77777777" w:rsidR="00577D08" w:rsidRDefault="00330FC0">
                <w:pPr>
                  <w:rPr>
                    <w:bCs/>
                    <w:color w:val="000000" w:themeColor="text1"/>
                    <w:sz w:val="13"/>
                    <w:szCs w:val="13"/>
                  </w:rPr>
                </w:pPr>
                <w:r>
                  <w:rPr>
                    <w:bCs/>
                    <w:color w:val="000000" w:themeColor="text1"/>
                    <w:sz w:val="13"/>
                    <w:szCs w:val="13"/>
                  </w:rPr>
                  <w:t>首次公开发行股票</w:t>
                </w:r>
              </w:p>
            </w:tc>
          </w:sdtContent>
        </w:sdt>
        <w:tc>
          <w:tcPr>
            <w:tcW w:w="993" w:type="dxa"/>
            <w:tcBorders>
              <w:top w:val="single" w:sz="4" w:space="0" w:color="auto"/>
              <w:left w:val="single" w:sz="4" w:space="0" w:color="auto"/>
              <w:bottom w:val="single" w:sz="4" w:space="0" w:color="auto"/>
              <w:right w:val="single" w:sz="4" w:space="0" w:color="auto"/>
            </w:tcBorders>
            <w:vAlign w:val="center"/>
          </w:tcPr>
          <w:p w14:paraId="08C92B20" w14:textId="77777777" w:rsidR="00577D08" w:rsidRDefault="00330FC0">
            <w:pPr>
              <w:jc w:val="both"/>
              <w:rPr>
                <w:bCs/>
                <w:sz w:val="13"/>
                <w:szCs w:val="13"/>
              </w:rPr>
            </w:pPr>
            <w:r>
              <w:rPr>
                <w:rFonts w:hint="eastAsia"/>
                <w:sz w:val="13"/>
                <w:szCs w:val="13"/>
              </w:rPr>
              <w:t>智控设备及金属制品智能工厂建设项目（一期）</w:t>
            </w:r>
          </w:p>
        </w:tc>
        <w:sdt>
          <w:sdtPr>
            <w:rPr>
              <w:bCs/>
              <w:color w:val="000000" w:themeColor="text1"/>
              <w:sz w:val="13"/>
              <w:szCs w:val="13"/>
            </w:rPr>
            <w:alias w:val="募集资金使用进展明细_项目性质"/>
            <w:tag w:val="_GBC_7aae89f2426148daa6b4430bf5dcfc93"/>
            <w:id w:val="-1078599486"/>
            <w:placeholder>
              <w:docPart w:val="7A5CAA1EF7D54281BF27BA030AFEA60F"/>
            </w:placeholder>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288828E4" w14:textId="77777777" w:rsidR="00577D08" w:rsidRDefault="00330FC0">
                <w:pPr>
                  <w:jc w:val="center"/>
                  <w:rPr>
                    <w:bCs/>
                    <w:color w:val="000000" w:themeColor="text1"/>
                    <w:sz w:val="13"/>
                    <w:szCs w:val="13"/>
                  </w:rPr>
                </w:pPr>
                <w:r>
                  <w:rPr>
                    <w:bCs/>
                    <w:color w:val="000000" w:themeColor="text1"/>
                    <w:sz w:val="13"/>
                    <w:szCs w:val="13"/>
                  </w:rPr>
                  <w:t>生产建设</w:t>
                </w:r>
              </w:p>
            </w:tc>
          </w:sdtContent>
        </w:sdt>
        <w:sdt>
          <w:sdtPr>
            <w:rPr>
              <w:bCs/>
              <w:color w:val="000000" w:themeColor="text1"/>
              <w:sz w:val="13"/>
              <w:szCs w:val="13"/>
            </w:rPr>
            <w:alias w:val="募集资金使用进展明细_是否为招股书或者募集说明书中的承诺投资项目"/>
            <w:tag w:val="_GBC_cc96b791a1c14daba3e65ec5d8b75d5a"/>
            <w:id w:val="-275018537"/>
            <w:placeholder>
              <w:docPart w:val="0B937984888C4E55BA52B015D34C4CD8"/>
            </w:placeholder>
            <w:comboBox>
              <w:listItem w:displayText="是" w:value="是"/>
              <w:listItem w:displayText="否" w:value="否"/>
            </w:comboBox>
          </w:sdtPr>
          <w:sdtContent>
            <w:tc>
              <w:tcPr>
                <w:tcW w:w="1134" w:type="dxa"/>
                <w:tcBorders>
                  <w:top w:val="single" w:sz="4" w:space="0" w:color="auto"/>
                  <w:left w:val="single" w:sz="4" w:space="0" w:color="auto"/>
                  <w:bottom w:val="single" w:sz="4" w:space="0" w:color="auto"/>
                  <w:right w:val="single" w:sz="4" w:space="0" w:color="auto"/>
                </w:tcBorders>
                <w:vAlign w:val="center"/>
              </w:tcPr>
              <w:p w14:paraId="0A958A7F"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708" w:type="dxa"/>
            <w:tcBorders>
              <w:top w:val="single" w:sz="4" w:space="0" w:color="auto"/>
              <w:left w:val="single" w:sz="4" w:space="0" w:color="auto"/>
              <w:bottom w:val="single" w:sz="4" w:space="0" w:color="auto"/>
              <w:right w:val="single" w:sz="4" w:space="0" w:color="auto"/>
            </w:tcBorders>
            <w:vAlign w:val="center"/>
          </w:tcPr>
          <w:p w14:paraId="25EEF18C" w14:textId="77777777" w:rsidR="00577D08" w:rsidRDefault="00330FC0">
            <w:pPr>
              <w:jc w:val="center"/>
              <w:rPr>
                <w:bCs/>
                <w:color w:val="000000" w:themeColor="text1"/>
                <w:sz w:val="13"/>
                <w:szCs w:val="13"/>
              </w:rPr>
            </w:pPr>
            <w:r>
              <w:rPr>
                <w:rFonts w:hint="eastAsia"/>
                <w:sz w:val="13"/>
                <w:szCs w:val="13"/>
              </w:rPr>
              <w:t>是</w:t>
            </w:r>
          </w:p>
        </w:tc>
        <w:tc>
          <w:tcPr>
            <w:tcW w:w="851" w:type="dxa"/>
            <w:tcBorders>
              <w:top w:val="single" w:sz="4" w:space="0" w:color="auto"/>
              <w:left w:val="nil"/>
              <w:bottom w:val="single" w:sz="4" w:space="0" w:color="auto"/>
              <w:right w:val="single" w:sz="4" w:space="0" w:color="auto"/>
            </w:tcBorders>
            <w:vAlign w:val="center"/>
          </w:tcPr>
          <w:p w14:paraId="5AB53F4E" w14:textId="77777777" w:rsidR="00577D08" w:rsidRDefault="00330FC0">
            <w:pPr>
              <w:jc w:val="right"/>
              <w:rPr>
                <w:bCs/>
                <w:sz w:val="13"/>
                <w:szCs w:val="13"/>
              </w:rPr>
            </w:pPr>
            <w:r>
              <w:rPr>
                <w:rFonts w:hint="eastAsia"/>
                <w:sz w:val="13"/>
                <w:szCs w:val="13"/>
              </w:rPr>
              <w:t>14,774.44</w:t>
            </w:r>
          </w:p>
        </w:tc>
        <w:tc>
          <w:tcPr>
            <w:tcW w:w="850" w:type="dxa"/>
            <w:tcBorders>
              <w:top w:val="single" w:sz="4" w:space="0" w:color="auto"/>
              <w:left w:val="single" w:sz="4" w:space="0" w:color="auto"/>
              <w:bottom w:val="single" w:sz="4" w:space="0" w:color="auto"/>
              <w:right w:val="single" w:sz="4" w:space="0" w:color="auto"/>
            </w:tcBorders>
            <w:vAlign w:val="center"/>
          </w:tcPr>
          <w:p w14:paraId="764A7D0F" w14:textId="77777777" w:rsidR="00577D08" w:rsidRDefault="00330FC0">
            <w:pPr>
              <w:jc w:val="right"/>
              <w:rPr>
                <w:bCs/>
                <w:sz w:val="13"/>
                <w:szCs w:val="13"/>
              </w:rPr>
            </w:pPr>
            <w:r>
              <w:rPr>
                <w:rFonts w:hint="eastAsia"/>
                <w:sz w:val="13"/>
                <w:szCs w:val="13"/>
              </w:rPr>
              <w:t>3,376.62</w:t>
            </w:r>
          </w:p>
        </w:tc>
        <w:tc>
          <w:tcPr>
            <w:tcW w:w="851" w:type="dxa"/>
            <w:tcBorders>
              <w:top w:val="single" w:sz="4" w:space="0" w:color="auto"/>
              <w:left w:val="single" w:sz="4" w:space="0" w:color="auto"/>
              <w:bottom w:val="single" w:sz="4" w:space="0" w:color="auto"/>
              <w:right w:val="single" w:sz="4" w:space="0" w:color="auto"/>
            </w:tcBorders>
            <w:vAlign w:val="center"/>
          </w:tcPr>
          <w:p w14:paraId="22AC8D9B" w14:textId="77777777" w:rsidR="00577D08" w:rsidRDefault="00330FC0">
            <w:pPr>
              <w:jc w:val="right"/>
              <w:rPr>
                <w:bCs/>
                <w:sz w:val="13"/>
                <w:szCs w:val="13"/>
              </w:rPr>
            </w:pPr>
            <w:r>
              <w:rPr>
                <w:rFonts w:hint="eastAsia"/>
                <w:sz w:val="13"/>
                <w:szCs w:val="13"/>
              </w:rPr>
              <w:t>19,891.19</w:t>
            </w:r>
          </w:p>
        </w:tc>
        <w:tc>
          <w:tcPr>
            <w:tcW w:w="1134" w:type="dxa"/>
            <w:tcBorders>
              <w:top w:val="single" w:sz="4" w:space="0" w:color="auto"/>
              <w:left w:val="nil"/>
              <w:bottom w:val="single" w:sz="4" w:space="0" w:color="auto"/>
              <w:right w:val="single" w:sz="4" w:space="0" w:color="auto"/>
            </w:tcBorders>
            <w:vAlign w:val="center"/>
          </w:tcPr>
          <w:p w14:paraId="50C12F2D" w14:textId="04FBE868" w:rsidR="00577D08" w:rsidRDefault="00330FC0">
            <w:pPr>
              <w:jc w:val="right"/>
              <w:rPr>
                <w:bCs/>
                <w:sz w:val="13"/>
                <w:szCs w:val="13"/>
              </w:rPr>
            </w:pPr>
            <w:r>
              <w:rPr>
                <w:rFonts w:hint="eastAsia"/>
                <w:sz w:val="13"/>
                <w:szCs w:val="13"/>
              </w:rPr>
              <w:t>134.63</w:t>
            </w:r>
          </w:p>
        </w:tc>
        <w:tc>
          <w:tcPr>
            <w:tcW w:w="992" w:type="dxa"/>
            <w:tcBorders>
              <w:top w:val="single" w:sz="4" w:space="0" w:color="auto"/>
              <w:left w:val="nil"/>
              <w:bottom w:val="single" w:sz="4" w:space="0" w:color="auto"/>
              <w:right w:val="single" w:sz="4" w:space="0" w:color="auto"/>
            </w:tcBorders>
            <w:vAlign w:val="center"/>
          </w:tcPr>
          <w:p w14:paraId="1E3BB036" w14:textId="77777777" w:rsidR="00577D08" w:rsidRDefault="00330FC0">
            <w:pPr>
              <w:jc w:val="right"/>
              <w:rPr>
                <w:bCs/>
                <w:sz w:val="13"/>
                <w:szCs w:val="13"/>
              </w:rPr>
            </w:pPr>
            <w:r>
              <w:rPr>
                <w:rFonts w:hint="eastAsia"/>
                <w:sz w:val="13"/>
                <w:szCs w:val="13"/>
              </w:rPr>
              <w:t>2025</w:t>
            </w:r>
            <w:r>
              <w:rPr>
                <w:rFonts w:hint="eastAsia"/>
                <w:sz w:val="13"/>
                <w:szCs w:val="13"/>
              </w:rPr>
              <w:t>年</w:t>
            </w:r>
            <w:r>
              <w:rPr>
                <w:rFonts w:hint="eastAsia"/>
                <w:sz w:val="13"/>
                <w:szCs w:val="13"/>
              </w:rPr>
              <w:t>6</w:t>
            </w:r>
            <w:r>
              <w:rPr>
                <w:rFonts w:hint="eastAsia"/>
                <w:sz w:val="13"/>
                <w:szCs w:val="13"/>
              </w:rPr>
              <w:t>月</w:t>
            </w:r>
          </w:p>
        </w:tc>
        <w:sdt>
          <w:sdtPr>
            <w:rPr>
              <w:bCs/>
              <w:color w:val="000000" w:themeColor="text1"/>
              <w:sz w:val="13"/>
              <w:szCs w:val="13"/>
            </w:rPr>
            <w:alias w:val="募集资金使用进展明细_是否已结项"/>
            <w:tag w:val="_GBC_12a69f39e8ab43aca710914c5ba0dfac"/>
            <w:id w:val="1495447217"/>
            <w:placeholder>
              <w:docPart w:val="4AEDED979F694AC79ED9C94E8A5D49E0"/>
            </w:placeholder>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72E3B971"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851" w:type="dxa"/>
            <w:tcBorders>
              <w:top w:val="single" w:sz="4" w:space="0" w:color="auto"/>
              <w:left w:val="nil"/>
              <w:bottom w:val="single" w:sz="4" w:space="0" w:color="auto"/>
              <w:right w:val="single" w:sz="4" w:space="0" w:color="auto"/>
            </w:tcBorders>
            <w:vAlign w:val="center"/>
          </w:tcPr>
          <w:p w14:paraId="254E1C3D" w14:textId="77777777" w:rsidR="00577D08" w:rsidRDefault="00330FC0">
            <w:pPr>
              <w:jc w:val="center"/>
              <w:rPr>
                <w:bCs/>
                <w:color w:val="000000" w:themeColor="text1"/>
                <w:sz w:val="13"/>
                <w:szCs w:val="13"/>
              </w:rPr>
            </w:pPr>
            <w:r>
              <w:rPr>
                <w:rFonts w:hint="eastAsia"/>
                <w:sz w:val="13"/>
                <w:szCs w:val="13"/>
              </w:rPr>
              <w:t>是</w:t>
            </w:r>
          </w:p>
        </w:tc>
        <w:tc>
          <w:tcPr>
            <w:tcW w:w="737" w:type="dxa"/>
            <w:tcBorders>
              <w:top w:val="single" w:sz="4" w:space="0" w:color="auto"/>
              <w:left w:val="nil"/>
              <w:bottom w:val="single" w:sz="4" w:space="0" w:color="auto"/>
              <w:right w:val="single" w:sz="4" w:space="0" w:color="auto"/>
            </w:tcBorders>
            <w:vAlign w:val="center"/>
          </w:tcPr>
          <w:p w14:paraId="409E1120" w14:textId="77777777" w:rsidR="00577D08" w:rsidRDefault="00330FC0">
            <w:pPr>
              <w:jc w:val="center"/>
              <w:rPr>
                <w:bCs/>
                <w:sz w:val="13"/>
                <w:szCs w:val="13"/>
              </w:rPr>
            </w:pPr>
            <w:r>
              <w:rPr>
                <w:rFonts w:hint="eastAsia"/>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0B03BE9D" w14:textId="77777777" w:rsidR="00577D08" w:rsidRDefault="00330FC0">
            <w:pPr>
              <w:jc w:val="center"/>
              <w:rPr>
                <w:bCs/>
                <w:sz w:val="13"/>
                <w:szCs w:val="13"/>
              </w:rPr>
            </w:pPr>
            <w:r>
              <w:rPr>
                <w:rFonts w:hint="eastAsia"/>
                <w:sz w:val="13"/>
                <w:szCs w:val="13"/>
              </w:rPr>
              <w:t>不适用</w:t>
            </w:r>
          </w:p>
        </w:tc>
        <w:tc>
          <w:tcPr>
            <w:tcW w:w="709" w:type="dxa"/>
            <w:tcBorders>
              <w:top w:val="single" w:sz="4" w:space="0" w:color="auto"/>
              <w:left w:val="single" w:sz="4" w:space="0" w:color="auto"/>
              <w:bottom w:val="single" w:sz="4" w:space="0" w:color="auto"/>
              <w:right w:val="single" w:sz="4" w:space="0" w:color="auto"/>
            </w:tcBorders>
            <w:vAlign w:val="center"/>
          </w:tcPr>
          <w:p w14:paraId="29B4332D" w14:textId="77777777" w:rsidR="00577D08" w:rsidRDefault="00330FC0">
            <w:pPr>
              <w:jc w:val="right"/>
              <w:rPr>
                <w:sz w:val="13"/>
                <w:szCs w:val="13"/>
              </w:rPr>
            </w:pPr>
            <w:r>
              <w:rPr>
                <w:sz w:val="13"/>
                <w:szCs w:val="13"/>
              </w:rPr>
              <w:t>-704.07</w:t>
            </w:r>
          </w:p>
        </w:tc>
        <w:tc>
          <w:tcPr>
            <w:tcW w:w="992" w:type="dxa"/>
            <w:tcBorders>
              <w:top w:val="single" w:sz="4" w:space="0" w:color="auto"/>
              <w:left w:val="nil"/>
              <w:bottom w:val="single" w:sz="4" w:space="0" w:color="auto"/>
              <w:right w:val="single" w:sz="4" w:space="0" w:color="auto"/>
            </w:tcBorders>
            <w:vAlign w:val="center"/>
          </w:tcPr>
          <w:p w14:paraId="011C0A49" w14:textId="77777777" w:rsidR="00577D08" w:rsidRDefault="00330FC0">
            <w:pPr>
              <w:jc w:val="center"/>
              <w:rPr>
                <w:bCs/>
                <w:sz w:val="13"/>
                <w:szCs w:val="13"/>
              </w:rPr>
            </w:pPr>
            <w:r>
              <w:rPr>
                <w:rFonts w:hint="eastAsia"/>
                <w:sz w:val="13"/>
                <w:szCs w:val="13"/>
              </w:rPr>
              <w:t>否</w:t>
            </w:r>
          </w:p>
        </w:tc>
        <w:tc>
          <w:tcPr>
            <w:tcW w:w="769" w:type="dxa"/>
            <w:tcBorders>
              <w:top w:val="single" w:sz="4" w:space="0" w:color="auto"/>
              <w:left w:val="nil"/>
              <w:bottom w:val="single" w:sz="4" w:space="0" w:color="auto"/>
              <w:right w:val="single" w:sz="4" w:space="0" w:color="auto"/>
            </w:tcBorders>
            <w:vAlign w:val="center"/>
          </w:tcPr>
          <w:p w14:paraId="2BC34A31" w14:textId="77777777" w:rsidR="00577D08" w:rsidRDefault="00330FC0">
            <w:pPr>
              <w:jc w:val="center"/>
              <w:rPr>
                <w:bCs/>
                <w:sz w:val="13"/>
                <w:szCs w:val="13"/>
              </w:rPr>
            </w:pPr>
            <w:r>
              <w:rPr>
                <w:bCs/>
                <w:sz w:val="13"/>
                <w:szCs w:val="13"/>
              </w:rPr>
              <w:t>4,669.31</w:t>
            </w:r>
          </w:p>
        </w:tc>
      </w:tr>
      <w:tr w:rsidR="00577D08" w14:paraId="40E129BE" w14:textId="77777777">
        <w:trPr>
          <w:trHeight w:val="160"/>
          <w:jc w:val="center"/>
        </w:trPr>
        <w:sdt>
          <w:sdtPr>
            <w:rPr>
              <w:bCs/>
              <w:color w:val="000000" w:themeColor="text1"/>
              <w:sz w:val="13"/>
              <w:szCs w:val="13"/>
            </w:rPr>
            <w:alias w:val="募集资金使用进展明细_募集资金来源"/>
            <w:tag w:val="_GBC_951af72cf70147edb2fff54b7abd30b3"/>
            <w:id w:val="-1382399067"/>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5" w:type="dxa"/>
                <w:tcBorders>
                  <w:top w:val="single" w:sz="4" w:space="0" w:color="auto"/>
                  <w:left w:val="single" w:sz="4" w:space="0" w:color="auto"/>
                  <w:bottom w:val="single" w:sz="4" w:space="0" w:color="auto"/>
                  <w:right w:val="single" w:sz="4" w:space="0" w:color="auto"/>
                </w:tcBorders>
                <w:vAlign w:val="center"/>
              </w:tcPr>
              <w:p w14:paraId="307BFA78" w14:textId="77777777" w:rsidR="00577D08" w:rsidRDefault="00330FC0">
                <w:pPr>
                  <w:rPr>
                    <w:bCs/>
                    <w:color w:val="000000" w:themeColor="text1"/>
                    <w:sz w:val="13"/>
                    <w:szCs w:val="13"/>
                  </w:rPr>
                </w:pPr>
                <w:r>
                  <w:rPr>
                    <w:bCs/>
                    <w:color w:val="000000" w:themeColor="text1"/>
                    <w:sz w:val="13"/>
                    <w:szCs w:val="13"/>
                  </w:rPr>
                  <w:t>首次公开发行股票</w:t>
                </w:r>
              </w:p>
            </w:tc>
          </w:sdtContent>
        </w:sdt>
        <w:tc>
          <w:tcPr>
            <w:tcW w:w="993" w:type="dxa"/>
            <w:tcBorders>
              <w:top w:val="single" w:sz="4" w:space="0" w:color="auto"/>
              <w:left w:val="single" w:sz="4" w:space="0" w:color="auto"/>
              <w:bottom w:val="single" w:sz="4" w:space="0" w:color="auto"/>
              <w:right w:val="single" w:sz="4" w:space="0" w:color="auto"/>
            </w:tcBorders>
            <w:vAlign w:val="center"/>
          </w:tcPr>
          <w:p w14:paraId="1F449933" w14:textId="77777777" w:rsidR="00577D08" w:rsidRDefault="00330FC0">
            <w:pPr>
              <w:jc w:val="both"/>
              <w:rPr>
                <w:bCs/>
                <w:sz w:val="13"/>
                <w:szCs w:val="13"/>
              </w:rPr>
            </w:pPr>
            <w:r>
              <w:rPr>
                <w:rFonts w:hint="eastAsia"/>
                <w:sz w:val="13"/>
                <w:szCs w:val="13"/>
              </w:rPr>
              <w:t>补充流动资金</w:t>
            </w:r>
          </w:p>
        </w:tc>
        <w:sdt>
          <w:sdtPr>
            <w:rPr>
              <w:bCs/>
              <w:color w:val="000000" w:themeColor="text1"/>
              <w:sz w:val="13"/>
              <w:szCs w:val="13"/>
            </w:rPr>
            <w:alias w:val="募集资金使用进展明细_项目性质"/>
            <w:tag w:val="_GBC_7aae89f2426148daa6b4430bf5dcfc93"/>
            <w:id w:val="1925367999"/>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25B5F792" w14:textId="77777777" w:rsidR="00577D08" w:rsidRDefault="00330FC0">
                <w:pPr>
                  <w:jc w:val="center"/>
                  <w:rPr>
                    <w:bCs/>
                    <w:color w:val="000000" w:themeColor="text1"/>
                    <w:sz w:val="13"/>
                    <w:szCs w:val="13"/>
                  </w:rPr>
                </w:pPr>
                <w:r>
                  <w:rPr>
                    <w:bCs/>
                    <w:color w:val="000000" w:themeColor="text1"/>
                    <w:sz w:val="13"/>
                    <w:szCs w:val="13"/>
                  </w:rPr>
                  <w:t>补流还贷</w:t>
                </w:r>
              </w:p>
            </w:tc>
          </w:sdtContent>
        </w:sdt>
        <w:sdt>
          <w:sdtPr>
            <w:rPr>
              <w:bCs/>
              <w:color w:val="000000" w:themeColor="text1"/>
              <w:sz w:val="13"/>
              <w:szCs w:val="13"/>
            </w:rPr>
            <w:alias w:val="募集资金使用进展明细_是否为招股书或者募集说明书中的承诺投资项目"/>
            <w:tag w:val="_GBC_cc96b791a1c14daba3e65ec5d8b75d5a"/>
            <w:id w:val="-1150512069"/>
            <w:comboBox>
              <w:listItem w:displayText="是" w:value="是"/>
              <w:listItem w:displayText="否" w:value="否"/>
            </w:comboBox>
          </w:sdtPr>
          <w:sdtContent>
            <w:tc>
              <w:tcPr>
                <w:tcW w:w="1134" w:type="dxa"/>
                <w:tcBorders>
                  <w:top w:val="single" w:sz="4" w:space="0" w:color="auto"/>
                  <w:left w:val="single" w:sz="4" w:space="0" w:color="auto"/>
                  <w:bottom w:val="single" w:sz="4" w:space="0" w:color="auto"/>
                  <w:right w:val="single" w:sz="4" w:space="0" w:color="auto"/>
                </w:tcBorders>
                <w:vAlign w:val="center"/>
              </w:tcPr>
              <w:p w14:paraId="50E75ECD" w14:textId="77777777" w:rsidR="00577D08" w:rsidRDefault="00330FC0">
                <w:pPr>
                  <w:jc w:val="center"/>
                  <w:rPr>
                    <w:bCs/>
                    <w:color w:val="000000" w:themeColor="text1"/>
                    <w:sz w:val="13"/>
                    <w:szCs w:val="13"/>
                  </w:rPr>
                </w:pPr>
                <w:r>
                  <w:rPr>
                    <w:bCs/>
                    <w:color w:val="000000" w:themeColor="text1"/>
                    <w:sz w:val="13"/>
                    <w:szCs w:val="13"/>
                  </w:rPr>
                  <w:t>是</w:t>
                </w:r>
              </w:p>
            </w:tc>
          </w:sdtContent>
        </w:sdt>
        <w:tc>
          <w:tcPr>
            <w:tcW w:w="708" w:type="dxa"/>
            <w:tcBorders>
              <w:top w:val="single" w:sz="4" w:space="0" w:color="auto"/>
              <w:left w:val="single" w:sz="4" w:space="0" w:color="auto"/>
              <w:bottom w:val="single" w:sz="4" w:space="0" w:color="auto"/>
              <w:right w:val="single" w:sz="4" w:space="0" w:color="auto"/>
            </w:tcBorders>
            <w:vAlign w:val="center"/>
          </w:tcPr>
          <w:p w14:paraId="572CB23E" w14:textId="77777777" w:rsidR="00577D08" w:rsidRDefault="00330FC0">
            <w:pPr>
              <w:jc w:val="center"/>
              <w:rPr>
                <w:bCs/>
                <w:color w:val="000000" w:themeColor="text1"/>
                <w:sz w:val="13"/>
                <w:szCs w:val="13"/>
              </w:rPr>
            </w:pPr>
            <w:r>
              <w:rPr>
                <w:rFonts w:hint="eastAsia"/>
                <w:sz w:val="13"/>
                <w:szCs w:val="13"/>
              </w:rPr>
              <w:t>否</w:t>
            </w:r>
          </w:p>
        </w:tc>
        <w:tc>
          <w:tcPr>
            <w:tcW w:w="851" w:type="dxa"/>
            <w:tcBorders>
              <w:top w:val="single" w:sz="4" w:space="0" w:color="auto"/>
              <w:left w:val="nil"/>
              <w:bottom w:val="single" w:sz="4" w:space="0" w:color="auto"/>
              <w:right w:val="single" w:sz="4" w:space="0" w:color="auto"/>
            </w:tcBorders>
            <w:vAlign w:val="center"/>
          </w:tcPr>
          <w:p w14:paraId="68BED135" w14:textId="77777777" w:rsidR="00577D08" w:rsidRDefault="00330FC0">
            <w:pPr>
              <w:jc w:val="right"/>
              <w:rPr>
                <w:bCs/>
                <w:sz w:val="13"/>
                <w:szCs w:val="13"/>
              </w:rPr>
            </w:pPr>
            <w:r>
              <w:rPr>
                <w:rFonts w:hint="eastAsia"/>
                <w:sz w:val="13"/>
                <w:szCs w:val="13"/>
              </w:rPr>
              <w:t>20,000.00</w:t>
            </w:r>
          </w:p>
        </w:tc>
        <w:tc>
          <w:tcPr>
            <w:tcW w:w="850" w:type="dxa"/>
            <w:tcBorders>
              <w:top w:val="single" w:sz="4" w:space="0" w:color="auto"/>
              <w:left w:val="single" w:sz="4" w:space="0" w:color="auto"/>
              <w:bottom w:val="single" w:sz="4" w:space="0" w:color="auto"/>
              <w:right w:val="single" w:sz="4" w:space="0" w:color="auto"/>
            </w:tcBorders>
            <w:vAlign w:val="center"/>
          </w:tcPr>
          <w:p w14:paraId="7B6CD28A" w14:textId="77777777" w:rsidR="00577D08" w:rsidRDefault="00577D08">
            <w:pPr>
              <w:jc w:val="right"/>
              <w:rPr>
                <w:bCs/>
                <w:sz w:val="13"/>
                <w:szCs w:val="13"/>
              </w:rPr>
            </w:pPr>
          </w:p>
        </w:tc>
        <w:tc>
          <w:tcPr>
            <w:tcW w:w="851" w:type="dxa"/>
            <w:tcBorders>
              <w:top w:val="single" w:sz="4" w:space="0" w:color="auto"/>
              <w:left w:val="single" w:sz="4" w:space="0" w:color="auto"/>
              <w:bottom w:val="single" w:sz="4" w:space="0" w:color="auto"/>
              <w:right w:val="single" w:sz="4" w:space="0" w:color="auto"/>
            </w:tcBorders>
            <w:vAlign w:val="center"/>
          </w:tcPr>
          <w:p w14:paraId="18D5F4BE" w14:textId="77777777" w:rsidR="00577D08" w:rsidRDefault="00330FC0">
            <w:pPr>
              <w:jc w:val="right"/>
              <w:rPr>
                <w:bCs/>
                <w:sz w:val="13"/>
                <w:szCs w:val="13"/>
              </w:rPr>
            </w:pPr>
            <w:r>
              <w:rPr>
                <w:rFonts w:hint="eastAsia"/>
                <w:sz w:val="13"/>
                <w:szCs w:val="13"/>
              </w:rPr>
              <w:t>20,000.00</w:t>
            </w:r>
          </w:p>
        </w:tc>
        <w:tc>
          <w:tcPr>
            <w:tcW w:w="1134" w:type="dxa"/>
            <w:tcBorders>
              <w:top w:val="single" w:sz="4" w:space="0" w:color="auto"/>
              <w:left w:val="nil"/>
              <w:bottom w:val="single" w:sz="4" w:space="0" w:color="auto"/>
              <w:right w:val="single" w:sz="4" w:space="0" w:color="auto"/>
            </w:tcBorders>
            <w:vAlign w:val="center"/>
          </w:tcPr>
          <w:p w14:paraId="631AD332" w14:textId="4F0F9DD8" w:rsidR="00577D08" w:rsidRDefault="00330FC0">
            <w:pPr>
              <w:jc w:val="right"/>
              <w:rPr>
                <w:bCs/>
                <w:sz w:val="13"/>
                <w:szCs w:val="13"/>
              </w:rPr>
            </w:pPr>
            <w:r>
              <w:rPr>
                <w:rFonts w:hint="eastAsia"/>
                <w:sz w:val="13"/>
                <w:szCs w:val="13"/>
              </w:rPr>
              <w:t>100.00</w:t>
            </w:r>
          </w:p>
        </w:tc>
        <w:tc>
          <w:tcPr>
            <w:tcW w:w="992" w:type="dxa"/>
            <w:tcBorders>
              <w:top w:val="single" w:sz="4" w:space="0" w:color="auto"/>
              <w:left w:val="nil"/>
              <w:bottom w:val="single" w:sz="4" w:space="0" w:color="auto"/>
              <w:right w:val="single" w:sz="4" w:space="0" w:color="auto"/>
            </w:tcBorders>
            <w:vAlign w:val="center"/>
          </w:tcPr>
          <w:p w14:paraId="17250B85" w14:textId="77777777" w:rsidR="00577D08" w:rsidRDefault="00330FC0">
            <w:pPr>
              <w:jc w:val="right"/>
              <w:rPr>
                <w:bCs/>
                <w:sz w:val="13"/>
                <w:szCs w:val="13"/>
              </w:rPr>
            </w:pPr>
            <w:r>
              <w:rPr>
                <w:rFonts w:hint="eastAsia"/>
                <w:sz w:val="13"/>
                <w:szCs w:val="13"/>
              </w:rPr>
              <w:t>不适用</w:t>
            </w:r>
          </w:p>
        </w:tc>
        <w:sdt>
          <w:sdtPr>
            <w:rPr>
              <w:bCs/>
              <w:color w:val="000000" w:themeColor="text1"/>
              <w:sz w:val="13"/>
              <w:szCs w:val="13"/>
            </w:rPr>
            <w:alias w:val="募集资金使用进展明细_是否已结项"/>
            <w:tag w:val="_GBC_12a69f39e8ab43aca710914c5ba0dfac"/>
            <w:id w:val="334886661"/>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0337A571" w14:textId="77777777" w:rsidR="00577D08" w:rsidRDefault="00330FC0">
                <w:pPr>
                  <w:jc w:val="center"/>
                  <w:rPr>
                    <w:bCs/>
                    <w:color w:val="000000" w:themeColor="text1"/>
                    <w:sz w:val="13"/>
                    <w:szCs w:val="13"/>
                  </w:rPr>
                </w:pPr>
                <w:r>
                  <w:rPr>
                    <w:rFonts w:hint="eastAsia"/>
                    <w:bCs/>
                    <w:color w:val="000000" w:themeColor="text1"/>
                    <w:sz w:val="13"/>
                    <w:szCs w:val="13"/>
                  </w:rPr>
                  <w:t>不适用</w:t>
                </w:r>
              </w:p>
            </w:tc>
          </w:sdtContent>
        </w:sdt>
        <w:tc>
          <w:tcPr>
            <w:tcW w:w="851" w:type="dxa"/>
            <w:tcBorders>
              <w:top w:val="single" w:sz="4" w:space="0" w:color="auto"/>
              <w:left w:val="nil"/>
              <w:bottom w:val="single" w:sz="4" w:space="0" w:color="auto"/>
              <w:right w:val="single" w:sz="4" w:space="0" w:color="auto"/>
            </w:tcBorders>
            <w:vAlign w:val="center"/>
          </w:tcPr>
          <w:p w14:paraId="08D29567" w14:textId="77777777" w:rsidR="00577D08" w:rsidRDefault="00330FC0">
            <w:pPr>
              <w:jc w:val="center"/>
              <w:rPr>
                <w:bCs/>
                <w:color w:val="000000" w:themeColor="text1"/>
                <w:sz w:val="13"/>
                <w:szCs w:val="13"/>
              </w:rPr>
            </w:pPr>
            <w:r>
              <w:rPr>
                <w:rFonts w:hint="eastAsia"/>
                <w:sz w:val="13"/>
                <w:szCs w:val="13"/>
              </w:rPr>
              <w:t>不适用</w:t>
            </w:r>
          </w:p>
        </w:tc>
        <w:tc>
          <w:tcPr>
            <w:tcW w:w="737" w:type="dxa"/>
            <w:tcBorders>
              <w:top w:val="single" w:sz="4" w:space="0" w:color="auto"/>
              <w:left w:val="nil"/>
              <w:bottom w:val="single" w:sz="4" w:space="0" w:color="auto"/>
              <w:right w:val="single" w:sz="4" w:space="0" w:color="auto"/>
            </w:tcBorders>
            <w:vAlign w:val="center"/>
          </w:tcPr>
          <w:p w14:paraId="11BA507D" w14:textId="77777777" w:rsidR="00577D08" w:rsidRDefault="00330FC0">
            <w:pPr>
              <w:jc w:val="center"/>
              <w:rPr>
                <w:bCs/>
                <w:sz w:val="13"/>
                <w:szCs w:val="13"/>
              </w:rPr>
            </w:pPr>
            <w:r>
              <w:rPr>
                <w:rFonts w:hint="eastAsia"/>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33AE7B22" w14:textId="77777777" w:rsidR="00577D08" w:rsidRDefault="00330FC0">
            <w:pPr>
              <w:jc w:val="center"/>
              <w:rPr>
                <w:bCs/>
                <w:sz w:val="13"/>
                <w:szCs w:val="13"/>
              </w:rPr>
            </w:pPr>
            <w:r>
              <w:rPr>
                <w:rFonts w:hint="eastAsia"/>
                <w:sz w:val="13"/>
                <w:szCs w:val="13"/>
              </w:rPr>
              <w:t>不适用</w:t>
            </w:r>
          </w:p>
        </w:tc>
        <w:tc>
          <w:tcPr>
            <w:tcW w:w="709" w:type="dxa"/>
            <w:tcBorders>
              <w:top w:val="single" w:sz="4" w:space="0" w:color="auto"/>
              <w:left w:val="single" w:sz="4" w:space="0" w:color="auto"/>
              <w:bottom w:val="single" w:sz="4" w:space="0" w:color="auto"/>
              <w:right w:val="single" w:sz="4" w:space="0" w:color="auto"/>
            </w:tcBorders>
            <w:vAlign w:val="center"/>
          </w:tcPr>
          <w:p w14:paraId="47B686A1" w14:textId="77777777" w:rsidR="00577D08" w:rsidRDefault="00330FC0">
            <w:pPr>
              <w:jc w:val="right"/>
              <w:rPr>
                <w:sz w:val="13"/>
                <w:szCs w:val="13"/>
              </w:rPr>
            </w:pPr>
            <w:r>
              <w:rPr>
                <w:rFonts w:hint="eastAsia"/>
                <w:sz w:val="13"/>
                <w:szCs w:val="13"/>
              </w:rPr>
              <w:t>不适用</w:t>
            </w:r>
          </w:p>
        </w:tc>
        <w:tc>
          <w:tcPr>
            <w:tcW w:w="992" w:type="dxa"/>
            <w:tcBorders>
              <w:top w:val="single" w:sz="4" w:space="0" w:color="auto"/>
              <w:left w:val="nil"/>
              <w:bottom w:val="single" w:sz="4" w:space="0" w:color="auto"/>
              <w:right w:val="single" w:sz="4" w:space="0" w:color="auto"/>
            </w:tcBorders>
            <w:vAlign w:val="center"/>
          </w:tcPr>
          <w:p w14:paraId="4057A452" w14:textId="77777777" w:rsidR="00577D08" w:rsidRDefault="00330FC0">
            <w:pPr>
              <w:jc w:val="center"/>
              <w:rPr>
                <w:bCs/>
                <w:sz w:val="13"/>
                <w:szCs w:val="13"/>
              </w:rPr>
            </w:pPr>
            <w:r>
              <w:rPr>
                <w:rFonts w:hint="eastAsia"/>
                <w:sz w:val="13"/>
                <w:szCs w:val="13"/>
              </w:rPr>
              <w:t>否</w:t>
            </w:r>
          </w:p>
        </w:tc>
        <w:tc>
          <w:tcPr>
            <w:tcW w:w="769" w:type="dxa"/>
            <w:tcBorders>
              <w:top w:val="single" w:sz="4" w:space="0" w:color="auto"/>
              <w:left w:val="nil"/>
              <w:bottom w:val="single" w:sz="4" w:space="0" w:color="auto"/>
              <w:right w:val="single" w:sz="4" w:space="0" w:color="auto"/>
            </w:tcBorders>
            <w:vAlign w:val="center"/>
          </w:tcPr>
          <w:p w14:paraId="7D47A711" w14:textId="77777777" w:rsidR="00577D08" w:rsidRDefault="00330FC0">
            <w:pPr>
              <w:jc w:val="center"/>
              <w:rPr>
                <w:bCs/>
                <w:sz w:val="13"/>
                <w:szCs w:val="13"/>
              </w:rPr>
            </w:pPr>
            <w:r>
              <w:rPr>
                <w:rFonts w:hint="eastAsia"/>
                <w:sz w:val="13"/>
                <w:szCs w:val="13"/>
              </w:rPr>
              <w:t>不适用</w:t>
            </w:r>
          </w:p>
        </w:tc>
      </w:tr>
      <w:bookmarkEnd w:id="240"/>
      <w:tr w:rsidR="00577D08" w14:paraId="243E57AA" w14:textId="77777777">
        <w:trPr>
          <w:trHeight w:val="160"/>
          <w:jc w:val="center"/>
        </w:trPr>
        <w:tc>
          <w:tcPr>
            <w:tcW w:w="675" w:type="dxa"/>
            <w:tcBorders>
              <w:top w:val="single" w:sz="4" w:space="0" w:color="auto"/>
              <w:left w:val="single" w:sz="4" w:space="0" w:color="auto"/>
              <w:bottom w:val="single" w:sz="4" w:space="0" w:color="auto"/>
              <w:right w:val="single" w:sz="4" w:space="0" w:color="auto"/>
            </w:tcBorders>
            <w:vAlign w:val="center"/>
          </w:tcPr>
          <w:p w14:paraId="190B2D86" w14:textId="77777777" w:rsidR="00577D08" w:rsidRDefault="00330FC0">
            <w:pPr>
              <w:jc w:val="center"/>
              <w:rPr>
                <w:bCs/>
                <w:color w:val="000000" w:themeColor="text1"/>
                <w:sz w:val="13"/>
                <w:szCs w:val="13"/>
              </w:rPr>
            </w:pPr>
            <w:r>
              <w:rPr>
                <w:rFonts w:hint="eastAsia"/>
                <w:color w:val="000000" w:themeColor="text1"/>
                <w:sz w:val="13"/>
                <w:szCs w:val="13"/>
              </w:rPr>
              <w:t>合计</w:t>
            </w:r>
          </w:p>
        </w:tc>
        <w:tc>
          <w:tcPr>
            <w:tcW w:w="993" w:type="dxa"/>
            <w:tcBorders>
              <w:top w:val="single" w:sz="4" w:space="0" w:color="auto"/>
              <w:left w:val="single" w:sz="4" w:space="0" w:color="auto"/>
              <w:bottom w:val="single" w:sz="4" w:space="0" w:color="auto"/>
              <w:right w:val="single" w:sz="4" w:space="0" w:color="auto"/>
            </w:tcBorders>
            <w:vAlign w:val="center"/>
          </w:tcPr>
          <w:p w14:paraId="5CDE3CCD" w14:textId="77777777" w:rsidR="00577D08" w:rsidRDefault="00330FC0">
            <w:pPr>
              <w:jc w:val="both"/>
              <w:rPr>
                <w:bCs/>
                <w:color w:val="000000" w:themeColor="text1"/>
                <w:sz w:val="13"/>
                <w:szCs w:val="13"/>
              </w:rPr>
            </w:pPr>
            <w:r>
              <w:rPr>
                <w:sz w:val="13"/>
                <w:szCs w:val="13"/>
              </w:rPr>
              <w:t>/</w:t>
            </w:r>
          </w:p>
        </w:tc>
        <w:tc>
          <w:tcPr>
            <w:tcW w:w="567" w:type="dxa"/>
            <w:tcBorders>
              <w:top w:val="single" w:sz="4" w:space="0" w:color="auto"/>
              <w:left w:val="single" w:sz="4" w:space="0" w:color="auto"/>
              <w:bottom w:val="single" w:sz="4" w:space="0" w:color="auto"/>
              <w:right w:val="single" w:sz="4" w:space="0" w:color="auto"/>
            </w:tcBorders>
            <w:vAlign w:val="center"/>
          </w:tcPr>
          <w:p w14:paraId="54CF7D7B" w14:textId="77777777" w:rsidR="00577D08" w:rsidRDefault="00330FC0">
            <w:pPr>
              <w:jc w:val="center"/>
              <w:rPr>
                <w:bCs/>
                <w:color w:val="000000" w:themeColor="text1"/>
                <w:sz w:val="13"/>
                <w:szCs w:val="13"/>
              </w:rPr>
            </w:pPr>
            <w:r>
              <w:rPr>
                <w:color w:val="000000" w:themeColor="text1"/>
                <w:sz w:val="13"/>
                <w:szCs w:val="13"/>
              </w:rPr>
              <w:t>/</w:t>
            </w:r>
          </w:p>
        </w:tc>
        <w:tc>
          <w:tcPr>
            <w:tcW w:w="1134" w:type="dxa"/>
            <w:tcBorders>
              <w:top w:val="single" w:sz="4" w:space="0" w:color="auto"/>
              <w:left w:val="single" w:sz="4" w:space="0" w:color="auto"/>
              <w:bottom w:val="single" w:sz="4" w:space="0" w:color="auto"/>
              <w:right w:val="single" w:sz="4" w:space="0" w:color="auto"/>
            </w:tcBorders>
            <w:vAlign w:val="center"/>
          </w:tcPr>
          <w:p w14:paraId="370DBEF0" w14:textId="77777777" w:rsidR="00577D08" w:rsidRDefault="00330FC0">
            <w:pPr>
              <w:jc w:val="center"/>
              <w:rPr>
                <w:bCs/>
                <w:color w:val="000000" w:themeColor="text1"/>
                <w:sz w:val="13"/>
                <w:szCs w:val="13"/>
              </w:rPr>
            </w:pPr>
            <w:r>
              <w:rPr>
                <w:color w:val="000000" w:themeColor="text1"/>
                <w:sz w:val="13"/>
                <w:szCs w:val="13"/>
              </w:rPr>
              <w:t>/</w:t>
            </w:r>
          </w:p>
        </w:tc>
        <w:tc>
          <w:tcPr>
            <w:tcW w:w="708" w:type="dxa"/>
            <w:tcBorders>
              <w:top w:val="single" w:sz="4" w:space="0" w:color="auto"/>
              <w:left w:val="single" w:sz="4" w:space="0" w:color="auto"/>
              <w:bottom w:val="single" w:sz="4" w:space="0" w:color="auto"/>
              <w:right w:val="single" w:sz="4" w:space="0" w:color="auto"/>
            </w:tcBorders>
            <w:vAlign w:val="center"/>
          </w:tcPr>
          <w:p w14:paraId="2562BC34" w14:textId="77777777" w:rsidR="00577D08" w:rsidRDefault="00330FC0">
            <w:pPr>
              <w:jc w:val="center"/>
              <w:rPr>
                <w:bCs/>
                <w:color w:val="000000" w:themeColor="text1"/>
                <w:sz w:val="13"/>
                <w:szCs w:val="13"/>
              </w:rPr>
            </w:pPr>
            <w:r>
              <w:rPr>
                <w:sz w:val="13"/>
                <w:szCs w:val="13"/>
              </w:rPr>
              <w:t>/</w:t>
            </w:r>
          </w:p>
        </w:tc>
        <w:tc>
          <w:tcPr>
            <w:tcW w:w="851" w:type="dxa"/>
            <w:tcBorders>
              <w:top w:val="single" w:sz="4" w:space="0" w:color="auto"/>
              <w:left w:val="nil"/>
              <w:bottom w:val="single" w:sz="4" w:space="0" w:color="auto"/>
              <w:right w:val="single" w:sz="4" w:space="0" w:color="auto"/>
            </w:tcBorders>
            <w:vAlign w:val="center"/>
          </w:tcPr>
          <w:p w14:paraId="57DAE783" w14:textId="77777777" w:rsidR="00577D08" w:rsidRDefault="00330FC0">
            <w:pPr>
              <w:jc w:val="right"/>
              <w:rPr>
                <w:bCs/>
                <w:sz w:val="13"/>
                <w:szCs w:val="13"/>
              </w:rPr>
            </w:pPr>
            <w:r>
              <w:rPr>
                <w:sz w:val="13"/>
                <w:szCs w:val="13"/>
              </w:rPr>
              <w:t>85,456.18</w:t>
            </w:r>
          </w:p>
        </w:tc>
        <w:tc>
          <w:tcPr>
            <w:tcW w:w="850" w:type="dxa"/>
            <w:tcBorders>
              <w:top w:val="single" w:sz="4" w:space="0" w:color="auto"/>
              <w:left w:val="single" w:sz="4" w:space="0" w:color="auto"/>
              <w:bottom w:val="single" w:sz="4" w:space="0" w:color="auto"/>
              <w:right w:val="single" w:sz="4" w:space="0" w:color="auto"/>
            </w:tcBorders>
            <w:vAlign w:val="center"/>
          </w:tcPr>
          <w:p w14:paraId="03F07784" w14:textId="77777777" w:rsidR="00577D08" w:rsidRDefault="00330FC0">
            <w:pPr>
              <w:jc w:val="right"/>
              <w:rPr>
                <w:bCs/>
                <w:sz w:val="13"/>
                <w:szCs w:val="13"/>
              </w:rPr>
            </w:pPr>
            <w:r>
              <w:rPr>
                <w:sz w:val="13"/>
                <w:szCs w:val="13"/>
              </w:rPr>
              <w:t>3,378.40</w:t>
            </w:r>
          </w:p>
        </w:tc>
        <w:tc>
          <w:tcPr>
            <w:tcW w:w="851" w:type="dxa"/>
            <w:tcBorders>
              <w:top w:val="single" w:sz="4" w:space="0" w:color="auto"/>
              <w:left w:val="single" w:sz="4" w:space="0" w:color="auto"/>
              <w:bottom w:val="single" w:sz="4" w:space="0" w:color="auto"/>
              <w:right w:val="single" w:sz="4" w:space="0" w:color="auto"/>
            </w:tcBorders>
            <w:vAlign w:val="center"/>
          </w:tcPr>
          <w:p w14:paraId="3B25BE26" w14:textId="77777777" w:rsidR="00577D08" w:rsidRDefault="00330FC0">
            <w:pPr>
              <w:jc w:val="right"/>
              <w:rPr>
                <w:bCs/>
                <w:sz w:val="13"/>
                <w:szCs w:val="13"/>
              </w:rPr>
            </w:pPr>
            <w:r>
              <w:rPr>
                <w:sz w:val="13"/>
                <w:szCs w:val="13"/>
              </w:rPr>
              <w:t>83,668.59</w:t>
            </w:r>
          </w:p>
        </w:tc>
        <w:tc>
          <w:tcPr>
            <w:tcW w:w="1134" w:type="dxa"/>
            <w:tcBorders>
              <w:top w:val="single" w:sz="4" w:space="0" w:color="auto"/>
              <w:left w:val="nil"/>
              <w:bottom w:val="single" w:sz="4" w:space="0" w:color="auto"/>
              <w:right w:val="single" w:sz="4" w:space="0" w:color="auto"/>
            </w:tcBorders>
            <w:vAlign w:val="center"/>
          </w:tcPr>
          <w:p w14:paraId="31FC7E50" w14:textId="77777777" w:rsidR="00577D08" w:rsidRDefault="00330FC0">
            <w:pPr>
              <w:jc w:val="right"/>
              <w:rPr>
                <w:bCs/>
                <w:color w:val="000000" w:themeColor="text1"/>
                <w:sz w:val="13"/>
                <w:szCs w:val="13"/>
              </w:rPr>
            </w:pPr>
            <w:r>
              <w:rPr>
                <w:sz w:val="13"/>
                <w:szCs w:val="13"/>
              </w:rPr>
              <w:t>/</w:t>
            </w:r>
          </w:p>
        </w:tc>
        <w:tc>
          <w:tcPr>
            <w:tcW w:w="992" w:type="dxa"/>
            <w:tcBorders>
              <w:top w:val="single" w:sz="4" w:space="0" w:color="auto"/>
              <w:left w:val="nil"/>
              <w:bottom w:val="single" w:sz="4" w:space="0" w:color="auto"/>
              <w:right w:val="single" w:sz="4" w:space="0" w:color="auto"/>
            </w:tcBorders>
            <w:vAlign w:val="center"/>
          </w:tcPr>
          <w:p w14:paraId="3E8699FB" w14:textId="77777777" w:rsidR="00577D08" w:rsidRDefault="00330FC0">
            <w:pPr>
              <w:jc w:val="right"/>
              <w:rPr>
                <w:bCs/>
                <w:color w:val="000000" w:themeColor="text1"/>
                <w:sz w:val="13"/>
                <w:szCs w:val="13"/>
              </w:rPr>
            </w:pPr>
            <w:r>
              <w:rPr>
                <w:sz w:val="13"/>
                <w:szCs w:val="13"/>
              </w:rPr>
              <w:t>/</w:t>
            </w:r>
          </w:p>
        </w:tc>
        <w:tc>
          <w:tcPr>
            <w:tcW w:w="567" w:type="dxa"/>
            <w:tcBorders>
              <w:top w:val="single" w:sz="4" w:space="0" w:color="auto"/>
              <w:left w:val="nil"/>
              <w:bottom w:val="single" w:sz="4" w:space="0" w:color="auto"/>
              <w:right w:val="single" w:sz="4" w:space="0" w:color="auto"/>
            </w:tcBorders>
            <w:vAlign w:val="center"/>
          </w:tcPr>
          <w:p w14:paraId="4CCE00A2" w14:textId="77777777" w:rsidR="00577D08" w:rsidRDefault="00330FC0">
            <w:pPr>
              <w:jc w:val="center"/>
              <w:rPr>
                <w:bCs/>
                <w:color w:val="000000" w:themeColor="text1"/>
                <w:sz w:val="13"/>
                <w:szCs w:val="13"/>
              </w:rPr>
            </w:pPr>
            <w:r>
              <w:rPr>
                <w:color w:val="000000" w:themeColor="text1"/>
                <w:sz w:val="13"/>
                <w:szCs w:val="13"/>
              </w:rPr>
              <w:t>/</w:t>
            </w:r>
          </w:p>
        </w:tc>
        <w:tc>
          <w:tcPr>
            <w:tcW w:w="851" w:type="dxa"/>
            <w:tcBorders>
              <w:top w:val="single" w:sz="4" w:space="0" w:color="auto"/>
              <w:left w:val="nil"/>
              <w:bottom w:val="single" w:sz="4" w:space="0" w:color="auto"/>
              <w:right w:val="single" w:sz="4" w:space="0" w:color="auto"/>
            </w:tcBorders>
            <w:vAlign w:val="center"/>
          </w:tcPr>
          <w:p w14:paraId="15FB2783" w14:textId="77777777" w:rsidR="00577D08" w:rsidRDefault="00330FC0">
            <w:pPr>
              <w:jc w:val="center"/>
              <w:rPr>
                <w:bCs/>
                <w:color w:val="000000" w:themeColor="text1"/>
                <w:sz w:val="13"/>
                <w:szCs w:val="13"/>
              </w:rPr>
            </w:pPr>
            <w:r>
              <w:rPr>
                <w:sz w:val="13"/>
                <w:szCs w:val="13"/>
              </w:rPr>
              <w:t>/</w:t>
            </w:r>
          </w:p>
        </w:tc>
        <w:tc>
          <w:tcPr>
            <w:tcW w:w="737" w:type="dxa"/>
            <w:tcBorders>
              <w:top w:val="single" w:sz="4" w:space="0" w:color="auto"/>
              <w:left w:val="nil"/>
              <w:bottom w:val="single" w:sz="4" w:space="0" w:color="auto"/>
              <w:right w:val="single" w:sz="4" w:space="0" w:color="auto"/>
            </w:tcBorders>
            <w:vAlign w:val="center"/>
          </w:tcPr>
          <w:p w14:paraId="5F278C34" w14:textId="77777777" w:rsidR="00577D08" w:rsidRDefault="00330FC0">
            <w:pPr>
              <w:jc w:val="center"/>
              <w:rPr>
                <w:bCs/>
                <w:color w:val="000000" w:themeColor="text1"/>
                <w:sz w:val="13"/>
                <w:szCs w:val="13"/>
              </w:rPr>
            </w:pPr>
            <w:r>
              <w:rPr>
                <w:sz w:val="13"/>
                <w:szCs w:val="13"/>
              </w:rPr>
              <w:t>/</w:t>
            </w:r>
          </w:p>
        </w:tc>
        <w:tc>
          <w:tcPr>
            <w:tcW w:w="709" w:type="dxa"/>
            <w:tcBorders>
              <w:top w:val="single" w:sz="4" w:space="0" w:color="auto"/>
              <w:left w:val="single" w:sz="4" w:space="0" w:color="auto"/>
              <w:bottom w:val="single" w:sz="4" w:space="0" w:color="auto"/>
              <w:right w:val="single" w:sz="4" w:space="0" w:color="auto"/>
            </w:tcBorders>
            <w:vAlign w:val="center"/>
          </w:tcPr>
          <w:p w14:paraId="0B3A88E6" w14:textId="77777777" w:rsidR="00577D08" w:rsidRDefault="00577D08">
            <w:pPr>
              <w:jc w:val="center"/>
              <w:rPr>
                <w:bCs/>
                <w:sz w:val="13"/>
                <w:szCs w:val="13"/>
              </w:rPr>
            </w:pPr>
          </w:p>
        </w:tc>
        <w:tc>
          <w:tcPr>
            <w:tcW w:w="709" w:type="dxa"/>
            <w:tcBorders>
              <w:top w:val="single" w:sz="4" w:space="0" w:color="auto"/>
              <w:left w:val="single" w:sz="4" w:space="0" w:color="auto"/>
              <w:bottom w:val="single" w:sz="4" w:space="0" w:color="auto"/>
              <w:right w:val="single" w:sz="4" w:space="0" w:color="auto"/>
            </w:tcBorders>
            <w:vAlign w:val="center"/>
          </w:tcPr>
          <w:p w14:paraId="5FA2A982" w14:textId="77777777" w:rsidR="00577D08" w:rsidRDefault="00330FC0">
            <w:pPr>
              <w:jc w:val="center"/>
              <w:rPr>
                <w:bCs/>
                <w:color w:val="000000" w:themeColor="text1"/>
                <w:sz w:val="13"/>
                <w:szCs w:val="13"/>
              </w:rPr>
            </w:pPr>
            <w:r>
              <w:rPr>
                <w:sz w:val="13"/>
                <w:szCs w:val="13"/>
              </w:rPr>
              <w:t>/</w:t>
            </w:r>
          </w:p>
        </w:tc>
        <w:tc>
          <w:tcPr>
            <w:tcW w:w="992" w:type="dxa"/>
            <w:tcBorders>
              <w:top w:val="single" w:sz="4" w:space="0" w:color="auto"/>
              <w:left w:val="nil"/>
              <w:bottom w:val="single" w:sz="4" w:space="0" w:color="auto"/>
              <w:right w:val="single" w:sz="4" w:space="0" w:color="auto"/>
            </w:tcBorders>
            <w:vAlign w:val="center"/>
          </w:tcPr>
          <w:p w14:paraId="7E4DC4C7" w14:textId="77777777" w:rsidR="00577D08" w:rsidRDefault="00330FC0">
            <w:pPr>
              <w:jc w:val="center"/>
              <w:rPr>
                <w:bCs/>
                <w:color w:val="000000" w:themeColor="text1"/>
                <w:sz w:val="13"/>
                <w:szCs w:val="13"/>
              </w:rPr>
            </w:pPr>
            <w:r>
              <w:rPr>
                <w:sz w:val="13"/>
                <w:szCs w:val="13"/>
              </w:rPr>
              <w:t>/</w:t>
            </w:r>
          </w:p>
        </w:tc>
        <w:tc>
          <w:tcPr>
            <w:tcW w:w="769" w:type="dxa"/>
            <w:tcBorders>
              <w:top w:val="single" w:sz="4" w:space="0" w:color="auto"/>
              <w:left w:val="nil"/>
              <w:bottom w:val="single" w:sz="4" w:space="0" w:color="auto"/>
              <w:right w:val="single" w:sz="4" w:space="0" w:color="auto"/>
            </w:tcBorders>
            <w:vAlign w:val="center"/>
          </w:tcPr>
          <w:p w14:paraId="0882FD5C" w14:textId="77777777" w:rsidR="00577D08" w:rsidRDefault="00577D08">
            <w:pPr>
              <w:jc w:val="center"/>
              <w:rPr>
                <w:bCs/>
                <w:sz w:val="13"/>
                <w:szCs w:val="13"/>
              </w:rPr>
            </w:pPr>
          </w:p>
        </w:tc>
      </w:tr>
    </w:tbl>
    <w:p w14:paraId="06B5D2CD" w14:textId="77777777" w:rsidR="00577D08" w:rsidRDefault="00330FC0">
      <w:pPr>
        <w:rPr>
          <w:color w:val="000000" w:themeColor="text1"/>
        </w:rPr>
      </w:pPr>
      <w:r>
        <w:rPr>
          <w:rFonts w:hint="eastAsia"/>
          <w:color w:val="000000" w:themeColor="text1"/>
        </w:rPr>
        <w:t>说明：</w:t>
      </w:r>
    </w:p>
    <w:p w14:paraId="0864C53D" w14:textId="77777777" w:rsidR="00577D08" w:rsidRDefault="00330FC0" w:rsidP="00E6534C">
      <w:pPr>
        <w:spacing w:line="360" w:lineRule="exact"/>
        <w:jc w:val="both"/>
        <w:rPr>
          <w:color w:val="000000" w:themeColor="text1"/>
        </w:rPr>
      </w:pPr>
      <w:r>
        <w:rPr>
          <w:rFonts w:hint="eastAsia"/>
          <w:color w:val="000000" w:themeColor="text1"/>
        </w:rPr>
        <w:lastRenderedPageBreak/>
        <w:t>（</w:t>
      </w:r>
      <w:r>
        <w:rPr>
          <w:rFonts w:hint="eastAsia"/>
          <w:color w:val="000000" w:themeColor="text1"/>
        </w:rPr>
        <w:t>1</w:t>
      </w:r>
      <w:r>
        <w:rPr>
          <w:rFonts w:hint="eastAsia"/>
          <w:color w:val="000000" w:themeColor="text1"/>
        </w:rPr>
        <w:t>）智能成套电气设备产业基地项目、</w:t>
      </w:r>
      <w:r>
        <w:rPr>
          <w:rFonts w:hint="eastAsia"/>
          <w:color w:val="000000" w:themeColor="text1"/>
        </w:rPr>
        <w:t>110kV</w:t>
      </w:r>
      <w:r>
        <w:rPr>
          <w:rFonts w:hint="eastAsia"/>
          <w:color w:val="000000" w:themeColor="text1"/>
        </w:rPr>
        <w:t>及以下节能型变压器智能化工厂技改项目，可研规划考虑了</w:t>
      </w:r>
      <w:r>
        <w:rPr>
          <w:rFonts w:hint="eastAsia"/>
          <w:color w:val="000000" w:themeColor="text1"/>
        </w:rPr>
        <w:t>10kV</w:t>
      </w:r>
      <w:r>
        <w:rPr>
          <w:rFonts w:hint="eastAsia"/>
          <w:color w:val="000000" w:themeColor="text1"/>
        </w:rPr>
        <w:t>配电变压器的批量化生产产线，由于非晶立体卷配电变压器的快速发展，国家电网采购非晶立体卷变压器，所投资项目涉及</w:t>
      </w:r>
      <w:r>
        <w:rPr>
          <w:rFonts w:hint="eastAsia"/>
          <w:color w:val="000000" w:themeColor="text1"/>
        </w:rPr>
        <w:t>10kV</w:t>
      </w:r>
      <w:r>
        <w:rPr>
          <w:rFonts w:hint="eastAsia"/>
          <w:color w:val="000000" w:themeColor="text1"/>
        </w:rPr>
        <w:t>配电变压器的产能没有得到释放，影响整个项目的预期收益。低铁损高磁感硅钢铁心智能制造项目产能已达预期，但受配电变压器订单与市场恶劣的竞争环境影响，盈利能力下降，收益未达预期。智控设备及金属制品智能工厂建设项目（一期）可研规划的产品结构中高毛利的不锈钢及铝合金产品占比较高，而自</w:t>
      </w:r>
      <w:r>
        <w:rPr>
          <w:rFonts w:hint="eastAsia"/>
          <w:color w:val="000000" w:themeColor="text1"/>
        </w:rPr>
        <w:t>2025</w:t>
      </w:r>
      <w:r>
        <w:rPr>
          <w:rFonts w:hint="eastAsia"/>
          <w:color w:val="000000" w:themeColor="text1"/>
        </w:rPr>
        <w:t>年</w:t>
      </w:r>
      <w:r>
        <w:rPr>
          <w:rFonts w:hint="eastAsia"/>
          <w:color w:val="000000" w:themeColor="text1"/>
        </w:rPr>
        <w:t>6</w:t>
      </w:r>
      <w:r>
        <w:rPr>
          <w:rFonts w:hint="eastAsia"/>
          <w:color w:val="000000" w:themeColor="text1"/>
        </w:rPr>
        <w:t>月投产以来，实际产出主要集中于毛利率较低的普通钢产品，盈利能力下降，收益未达预期。</w:t>
      </w:r>
    </w:p>
    <w:p w14:paraId="1CEF6292" w14:textId="77777777" w:rsidR="00577D08" w:rsidRDefault="00330FC0" w:rsidP="00E6534C">
      <w:pPr>
        <w:spacing w:line="360" w:lineRule="exact"/>
        <w:jc w:val="both"/>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）低铁损高磁感硅钢铁心智能制造项目的实际累计投入金额大于承诺投入金额，系募集资金账户存续期间产生的利息及现金管理收益</w:t>
      </w:r>
    </w:p>
    <w:p w14:paraId="26A5315D" w14:textId="77777777" w:rsidR="00577D08" w:rsidRDefault="00330FC0" w:rsidP="00E6534C">
      <w:pPr>
        <w:spacing w:line="360" w:lineRule="exact"/>
        <w:jc w:val="both"/>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）智控设备及金属制品智能工厂建设项目（一期）的实际累计投入金额大于承诺投入金额，系从智能成套电气设备产业基地建设项目、</w:t>
      </w:r>
      <w:r>
        <w:rPr>
          <w:rFonts w:hint="eastAsia"/>
          <w:color w:val="000000" w:themeColor="text1"/>
        </w:rPr>
        <w:t>110kV</w:t>
      </w:r>
      <w:r>
        <w:rPr>
          <w:rFonts w:hint="eastAsia"/>
          <w:color w:val="000000" w:themeColor="text1"/>
        </w:rPr>
        <w:t>及以下节能型变压器智能化工厂技改项目和研发中心及信息化建设项目转入节余募集资金</w:t>
      </w:r>
      <w:r>
        <w:rPr>
          <w:rFonts w:hint="eastAsia"/>
          <w:color w:val="000000" w:themeColor="text1"/>
        </w:rPr>
        <w:t>9,281.94</w:t>
      </w:r>
      <w:r>
        <w:rPr>
          <w:rFonts w:hint="eastAsia"/>
          <w:color w:val="000000" w:themeColor="text1"/>
        </w:rPr>
        <w:t>万元</w:t>
      </w:r>
    </w:p>
    <w:p w14:paraId="2A638AB6" w14:textId="77777777" w:rsidR="00577D08" w:rsidRDefault="00330FC0" w:rsidP="00E6534C">
      <w:pPr>
        <w:spacing w:line="360" w:lineRule="exact"/>
        <w:jc w:val="both"/>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）研发中心及信息化建设项目致力于优化研发能力，不直接产生效益；补充流动资金项目有助于优化财务结构，保持公司经营稳定，系费用化投入，无法单独核算效益</w:t>
      </w:r>
    </w:p>
    <w:p w14:paraId="47CD3E5C" w14:textId="77777777" w:rsidR="00577D08" w:rsidRDefault="00330FC0" w:rsidP="00E6534C">
      <w:pPr>
        <w:spacing w:line="360" w:lineRule="exact"/>
        <w:jc w:val="both"/>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）公司于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日实际最终转入节余募集资金</w:t>
      </w:r>
      <w:r>
        <w:rPr>
          <w:rFonts w:hint="eastAsia"/>
          <w:color w:val="000000" w:themeColor="text1"/>
        </w:rPr>
        <w:t>4,669.31</w:t>
      </w:r>
      <w:r>
        <w:rPr>
          <w:rFonts w:hint="eastAsia"/>
          <w:color w:val="000000" w:themeColor="text1"/>
        </w:rPr>
        <w:t>万元并完成账户注销。</w:t>
      </w:r>
    </w:p>
    <w:p w14:paraId="27DE2BE3" w14:textId="77777777" w:rsidR="00577D08" w:rsidRDefault="00330FC0" w:rsidP="00E6534C">
      <w:pPr>
        <w:pStyle w:val="aff9"/>
        <w:numPr>
          <w:ilvl w:val="0"/>
          <w:numId w:val="41"/>
        </w:numPr>
        <w:spacing w:line="360" w:lineRule="exact"/>
        <w:ind w:firstLineChars="0"/>
        <w:rPr>
          <w:color w:val="000000" w:themeColor="text1"/>
          <w:szCs w:val="21"/>
        </w:rPr>
      </w:pPr>
      <w:bookmarkStart w:id="241" w:name="_Hlk169882642"/>
      <w:bookmarkEnd w:id="233"/>
      <w:bookmarkEnd w:id="239"/>
      <w:r>
        <w:rPr>
          <w:rFonts w:hint="eastAsia"/>
          <w:color w:val="000000" w:themeColor="text1"/>
          <w:szCs w:val="21"/>
        </w:rPr>
        <w:t>超募</w:t>
      </w:r>
      <w:r>
        <w:rPr>
          <w:color w:val="000000" w:themeColor="text1"/>
          <w:szCs w:val="21"/>
        </w:rPr>
        <w:t>资金</w:t>
      </w:r>
      <w:r>
        <w:rPr>
          <w:rFonts w:hint="eastAsia"/>
          <w:color w:val="000000" w:themeColor="text1"/>
          <w:szCs w:val="21"/>
        </w:rPr>
        <w:t>明细</w:t>
      </w:r>
      <w:r>
        <w:rPr>
          <w:color w:val="000000" w:themeColor="text1"/>
          <w:szCs w:val="21"/>
        </w:rPr>
        <w:t>使用情况</w:t>
      </w:r>
    </w:p>
    <w:sdt>
      <w:sdtPr>
        <w:rPr>
          <w:rFonts w:hint="eastAsia"/>
          <w:color w:val="000000" w:themeColor="text1"/>
          <w:szCs w:val="22"/>
        </w:rPr>
        <w:alias w:val="是否适用：超募资金明细使用情况[双击切换]"/>
        <w:tag w:val="_GBC_d4d5528e8ab14707b1f96f506968e488"/>
        <w:id w:val="-715592134"/>
        <w:placeholder>
          <w:docPart w:val="GBC22222222222222222222222222222"/>
        </w:placeholder>
      </w:sdtPr>
      <w:sdtContent>
        <w:p w14:paraId="11465C7D" w14:textId="77777777" w:rsidR="00577D08" w:rsidRDefault="00330FC0" w:rsidP="00E6534C">
          <w:pPr>
            <w:spacing w:line="360" w:lineRule="exact"/>
            <w:rPr>
              <w:color w:val="000000" w:themeColor="text1"/>
              <w:szCs w:val="22"/>
            </w:rPr>
          </w:pPr>
          <w:r>
            <w:rPr>
              <w:rFonts w:ascii="宋体" w:hAnsi="宋体"/>
              <w:color w:val="000000" w:themeColor="text1"/>
              <w:szCs w:val="22"/>
            </w:rPr>
            <w:fldChar w:fldCharType="begin"/>
          </w:r>
          <w:r>
            <w:rPr>
              <w:rFonts w:ascii="宋体" w:hAnsi="宋体" w:hint="eastAsia"/>
              <w:color w:val="000000" w:themeColor="text1"/>
              <w:szCs w:val="22"/>
            </w:rPr>
            <w:instrText xml:space="preserve"> MACROBUTTON  SnrToggleCheckbox □适用 </w:instrText>
          </w:r>
          <w:r>
            <w:rPr>
              <w:rFonts w:ascii="宋体" w:hAnsi="宋体"/>
              <w:color w:val="000000" w:themeColor="text1"/>
              <w:szCs w:val="22"/>
            </w:rPr>
            <w:fldChar w:fldCharType="end"/>
          </w:r>
          <w:r>
            <w:rPr>
              <w:rFonts w:ascii="宋体" w:hAnsi="宋体"/>
              <w:color w:val="000000" w:themeColor="text1"/>
              <w:szCs w:val="22"/>
            </w:rPr>
            <w:fldChar w:fldCharType="begin"/>
          </w:r>
          <w:r>
            <w:rPr>
              <w:rFonts w:ascii="宋体" w:hAnsi="宋体" w:hint="eastAsia"/>
              <w:color w:val="000000" w:themeColor="text1"/>
              <w:szCs w:val="22"/>
            </w:rPr>
            <w:instrText xml:space="preserve"> MACROBUTTON  SnrToggleCheckbox √不适用 </w:instrText>
          </w:r>
          <w:r>
            <w:rPr>
              <w:rFonts w:ascii="宋体" w:hAnsi="宋体"/>
              <w:color w:val="000000" w:themeColor="text1"/>
              <w:szCs w:val="22"/>
            </w:rPr>
            <w:fldChar w:fldCharType="end"/>
          </w:r>
        </w:p>
      </w:sdtContent>
    </w:sdt>
    <w:p w14:paraId="5356E3A7" w14:textId="77777777" w:rsidR="00577D08" w:rsidRDefault="00577D08" w:rsidP="00E6534C">
      <w:pPr>
        <w:spacing w:line="360" w:lineRule="exact"/>
        <w:rPr>
          <w:color w:val="000000" w:themeColor="text1"/>
        </w:rPr>
      </w:pPr>
    </w:p>
    <w:p w14:paraId="47685901" w14:textId="77777777" w:rsidR="00577D08" w:rsidRDefault="00330FC0" w:rsidP="00E6534C">
      <w:pPr>
        <w:pStyle w:val="aff9"/>
        <w:numPr>
          <w:ilvl w:val="0"/>
          <w:numId w:val="41"/>
        </w:numPr>
        <w:spacing w:line="360" w:lineRule="exact"/>
        <w:ind w:firstLineChars="0"/>
        <w:rPr>
          <w:rFonts w:ascii="宋体" w:hAnsi="宋体" w:cs="宋体" w:hint="eastAsia"/>
          <w:color w:val="000000" w:themeColor="text1"/>
          <w:kern w:val="0"/>
          <w:szCs w:val="21"/>
        </w:rPr>
      </w:pPr>
      <w:bookmarkStart w:id="242" w:name="_Hlk219389136"/>
      <w:bookmarkStart w:id="243" w:name="_Hlk219391702"/>
      <w:bookmarkEnd w:id="241"/>
      <w:r>
        <w:rPr>
          <w:rFonts w:ascii="宋体" w:hAnsi="宋体" w:cs="宋体" w:hint="eastAsia"/>
          <w:color w:val="000000" w:themeColor="text1"/>
          <w:kern w:val="0"/>
          <w:szCs w:val="21"/>
        </w:rPr>
        <w:t>报告期内</w:t>
      </w:r>
      <w:r>
        <w:rPr>
          <w:rFonts w:ascii="宋体" w:hAnsi="宋体" w:cs="宋体"/>
          <w:color w:val="000000" w:themeColor="text1"/>
          <w:kern w:val="0"/>
          <w:szCs w:val="21"/>
        </w:rPr>
        <w:t>募投项目重新论证的具体情况</w:t>
      </w:r>
    </w:p>
    <w:sdt>
      <w:sdtPr>
        <w:rPr>
          <w:color w:val="000000"/>
          <w:szCs w:val="22"/>
        </w:rPr>
        <w:alias w:val="是否适用：报告期内募投项目重新论证的具体情况[双击切换]"/>
        <w:tag w:val="_GBC_17ebc5be770648878caf1408f0553bc5"/>
        <w:id w:val="1326240785"/>
        <w:placeholder>
          <w:docPart w:val="GBC22222222222222222222222222222"/>
        </w:placeholder>
      </w:sdtPr>
      <w:sdtContent>
        <w:p w14:paraId="092B6551" w14:textId="77777777" w:rsidR="00577D08" w:rsidRDefault="00330FC0" w:rsidP="00E6534C">
          <w:pPr>
            <w:spacing w:line="360" w:lineRule="exact"/>
            <w:rPr>
              <w:color w:val="000000"/>
            </w:rPr>
          </w:pPr>
          <w:r>
            <w:rPr>
              <w:rFonts w:ascii="宋体" w:hAnsi="宋体"/>
              <w:color w:val="000000"/>
              <w:szCs w:val="22"/>
            </w:rPr>
            <w:fldChar w:fldCharType="begin"/>
          </w:r>
          <w:r>
            <w:rPr>
              <w:rFonts w:ascii="宋体" w:hAnsi="宋体" w:hint="eastAsia"/>
              <w:color w:val="000000"/>
              <w:szCs w:val="22"/>
            </w:rPr>
            <w:instrText xml:space="preserve"> MACROBUTTON  SnrToggleCheckbox □适用 </w:instrText>
          </w:r>
          <w:r>
            <w:rPr>
              <w:rFonts w:ascii="宋体" w:hAnsi="宋体"/>
              <w:color w:val="000000"/>
              <w:szCs w:val="22"/>
            </w:rPr>
            <w:fldChar w:fldCharType="end"/>
          </w:r>
          <w:r>
            <w:rPr>
              <w:rFonts w:ascii="宋体" w:hAnsi="宋体"/>
              <w:color w:val="000000"/>
              <w:szCs w:val="22"/>
            </w:rPr>
            <w:fldChar w:fldCharType="begin"/>
          </w:r>
          <w:r>
            <w:rPr>
              <w:rFonts w:ascii="宋体" w:hAnsi="宋体" w:hint="eastAsia"/>
              <w:color w:val="000000"/>
              <w:szCs w:val="22"/>
            </w:rPr>
            <w:instrText xml:space="preserve"> MACROBUTTON  SnrToggleCheckbox √不适用 </w:instrText>
          </w:r>
          <w:r>
            <w:rPr>
              <w:rFonts w:ascii="宋体" w:hAnsi="宋体"/>
              <w:color w:val="000000"/>
              <w:szCs w:val="22"/>
            </w:rPr>
            <w:fldChar w:fldCharType="end"/>
          </w:r>
        </w:p>
      </w:sdtContent>
    </w:sdt>
    <w:p w14:paraId="60DA81C1" w14:textId="77777777" w:rsidR="00577D08" w:rsidRDefault="00577D08" w:rsidP="00E6534C">
      <w:pPr>
        <w:spacing w:line="360" w:lineRule="exact"/>
        <w:rPr>
          <w:color w:val="000000" w:themeColor="text1"/>
        </w:rPr>
      </w:pPr>
    </w:p>
    <w:p w14:paraId="39B0C532" w14:textId="77777777" w:rsidR="00577D08" w:rsidRDefault="00330FC0">
      <w:pPr>
        <w:pStyle w:val="3"/>
        <w:numPr>
          <w:ilvl w:val="0"/>
          <w:numId w:val="40"/>
        </w:numPr>
        <w:tabs>
          <w:tab w:val="left" w:pos="360"/>
        </w:tabs>
        <w:ind w:left="450" w:hanging="450"/>
        <w:rPr>
          <w:rFonts w:ascii="宋体" w:hAnsi="宋体" w:hint="eastAsia"/>
          <w:color w:val="000000" w:themeColor="text1"/>
          <w:szCs w:val="21"/>
        </w:rPr>
      </w:pPr>
      <w:bookmarkStart w:id="244" w:name="_Hlk90391874"/>
      <w:bookmarkEnd w:id="242"/>
      <w:bookmarkEnd w:id="243"/>
      <w:r>
        <w:rPr>
          <w:rFonts w:ascii="宋体" w:hAnsi="宋体" w:hint="eastAsia"/>
          <w:color w:val="000000" w:themeColor="text1"/>
          <w:szCs w:val="21"/>
        </w:rPr>
        <w:t>报告期</w:t>
      </w:r>
      <w:r>
        <w:rPr>
          <w:rFonts w:ascii="宋体" w:hAnsi="宋体"/>
          <w:color w:val="000000" w:themeColor="text1"/>
          <w:szCs w:val="21"/>
        </w:rPr>
        <w:t>内</w:t>
      </w:r>
      <w:r>
        <w:rPr>
          <w:rFonts w:ascii="宋体" w:hAnsi="宋体" w:hint="eastAsia"/>
          <w:color w:val="000000" w:themeColor="text1"/>
          <w:szCs w:val="21"/>
        </w:rPr>
        <w:t>募投变更或终止情况</w:t>
      </w:r>
    </w:p>
    <w:sdt>
      <w:sdtPr>
        <w:rPr>
          <w:color w:val="000000" w:themeColor="text1"/>
        </w:rPr>
        <w:alias w:val="是否适用：报告期内募投变更情况  [双击切换]"/>
        <w:tag w:val="_GBC_61c6bb17977047c182c97c4ccdd9b239"/>
        <w:id w:val="750785389"/>
        <w:placeholder>
          <w:docPart w:val="GBC22222222222222222222222222222"/>
        </w:placeholder>
      </w:sdtPr>
      <w:sdtContent>
        <w:p w14:paraId="4D89E136"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234"/>
    <w:bookmarkEnd w:id="244"/>
    <w:p w14:paraId="3D91AA7C" w14:textId="77777777" w:rsidR="00577D08" w:rsidRDefault="00577D08">
      <w:pPr>
        <w:rPr>
          <w:color w:val="000000" w:themeColor="text1"/>
        </w:rPr>
        <w:sectPr w:rsidR="00577D08">
          <w:pgSz w:w="16838" w:h="11906" w:orient="landscape"/>
          <w:pgMar w:top="1797" w:right="1525" w:bottom="1276" w:left="1440" w:header="855" w:footer="992" w:gutter="0"/>
          <w:cols w:space="425"/>
          <w:docGrid w:linePitch="312"/>
        </w:sectPr>
      </w:pPr>
    </w:p>
    <w:p w14:paraId="18463708" w14:textId="77777777" w:rsidR="00577D08" w:rsidRDefault="00330FC0">
      <w:pPr>
        <w:pStyle w:val="3"/>
        <w:numPr>
          <w:ilvl w:val="0"/>
          <w:numId w:val="40"/>
        </w:numPr>
        <w:tabs>
          <w:tab w:val="left" w:pos="360"/>
        </w:tabs>
        <w:ind w:left="450" w:hanging="450"/>
        <w:rPr>
          <w:rFonts w:ascii="宋体" w:hAnsi="宋体" w:hint="eastAsia"/>
          <w:color w:val="000000" w:themeColor="text1"/>
          <w:szCs w:val="21"/>
        </w:rPr>
      </w:pPr>
      <w:bookmarkStart w:id="245" w:name="_Hlk106701941"/>
      <w:bookmarkEnd w:id="227"/>
      <w:bookmarkEnd w:id="235"/>
      <w:r>
        <w:rPr>
          <w:rFonts w:ascii="宋体" w:hAnsi="宋体" w:hint="eastAsia"/>
          <w:color w:val="000000" w:themeColor="text1"/>
          <w:szCs w:val="21"/>
        </w:rPr>
        <w:lastRenderedPageBreak/>
        <w:t>报告期</w:t>
      </w:r>
      <w:r>
        <w:rPr>
          <w:rFonts w:ascii="宋体" w:hAnsi="宋体"/>
          <w:color w:val="000000" w:themeColor="text1"/>
          <w:szCs w:val="21"/>
        </w:rPr>
        <w:t>内</w:t>
      </w:r>
      <w:r>
        <w:rPr>
          <w:rFonts w:ascii="宋体" w:hAnsi="宋体" w:hint="eastAsia"/>
          <w:color w:val="000000" w:themeColor="text1"/>
          <w:szCs w:val="21"/>
        </w:rPr>
        <w:t>募集</w:t>
      </w:r>
      <w:r>
        <w:rPr>
          <w:rFonts w:ascii="宋体" w:hAnsi="宋体"/>
          <w:color w:val="000000" w:themeColor="text1"/>
          <w:szCs w:val="21"/>
        </w:rPr>
        <w:t>资金使用</w:t>
      </w:r>
      <w:r>
        <w:rPr>
          <w:rFonts w:ascii="宋体" w:hAnsi="宋体" w:hint="eastAsia"/>
          <w:color w:val="000000" w:themeColor="text1"/>
          <w:szCs w:val="21"/>
        </w:rPr>
        <w:t>的</w:t>
      </w:r>
      <w:r>
        <w:rPr>
          <w:rFonts w:ascii="宋体" w:hAnsi="宋体"/>
          <w:color w:val="000000" w:themeColor="text1"/>
          <w:szCs w:val="21"/>
        </w:rPr>
        <w:t>其他</w:t>
      </w:r>
      <w:r>
        <w:rPr>
          <w:rFonts w:ascii="宋体" w:hAnsi="宋体" w:hint="eastAsia"/>
          <w:color w:val="000000" w:themeColor="text1"/>
          <w:szCs w:val="21"/>
        </w:rPr>
        <w:t>情况</w:t>
      </w:r>
    </w:p>
    <w:p w14:paraId="58B9FB88" w14:textId="77777777" w:rsidR="00577D08" w:rsidRDefault="00330FC0">
      <w:pPr>
        <w:pStyle w:val="4"/>
        <w:numPr>
          <w:ilvl w:val="0"/>
          <w:numId w:val="42"/>
        </w:numPr>
        <w:tabs>
          <w:tab w:val="left" w:pos="360"/>
        </w:tabs>
        <w:ind w:left="0" w:firstLine="0"/>
        <w:rPr>
          <w:rFonts w:hint="eastAsia"/>
          <w:b w:val="0"/>
          <w:color w:val="000000" w:themeColor="text1"/>
        </w:rPr>
      </w:pPr>
      <w:bookmarkStart w:id="246" w:name="_Hlk90391881"/>
      <w:r>
        <w:rPr>
          <w:rFonts w:hint="eastAsia"/>
          <w:b w:val="0"/>
          <w:color w:val="000000" w:themeColor="text1"/>
        </w:rPr>
        <w:t>募集资金投资项目先期投入及置换情况</w:t>
      </w:r>
    </w:p>
    <w:sdt>
      <w:sdtPr>
        <w:rPr>
          <w:color w:val="000000" w:themeColor="text1"/>
        </w:rPr>
        <w:alias w:val="是否适用：募集资金投资项目先期投入及置换情况[双击切换]"/>
        <w:tag w:val="_GBC_b06d44c662884677b070104fc12a6377"/>
        <w:id w:val="1450591507"/>
        <w:placeholder>
          <w:docPart w:val="GBC22222222222222222222222222222"/>
        </w:placeholder>
      </w:sdtPr>
      <w:sdtContent>
        <w:p w14:paraId="71F37123"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34838AA" w14:textId="77777777" w:rsidR="00577D08" w:rsidRDefault="00330FC0">
      <w:pPr>
        <w:pStyle w:val="4"/>
        <w:numPr>
          <w:ilvl w:val="0"/>
          <w:numId w:val="42"/>
        </w:numPr>
        <w:tabs>
          <w:tab w:val="left" w:pos="360"/>
        </w:tabs>
        <w:ind w:left="0" w:firstLine="0"/>
        <w:rPr>
          <w:rFonts w:hint="eastAsia"/>
          <w:b w:val="0"/>
          <w:color w:val="000000" w:themeColor="text1"/>
        </w:rPr>
      </w:pPr>
      <w:bookmarkStart w:id="247" w:name="_Hlk90391885"/>
      <w:bookmarkEnd w:id="246"/>
      <w:r>
        <w:rPr>
          <w:rFonts w:hint="eastAsia"/>
          <w:b w:val="0"/>
          <w:color w:val="000000" w:themeColor="text1"/>
        </w:rPr>
        <w:t>用闲置募集资金暂时补充流动资金情况</w:t>
      </w:r>
    </w:p>
    <w:sdt>
      <w:sdtPr>
        <w:rPr>
          <w:color w:val="000000" w:themeColor="text1"/>
        </w:rPr>
        <w:alias w:val="是否适用：用闲置募集资金暂时补充流动资金情况[双击切换]"/>
        <w:tag w:val="_GBC_ff43f380569e44b3a8133e22e550808e"/>
        <w:id w:val="144407334"/>
        <w:placeholder>
          <w:docPart w:val="GBC22222222222222222222222222222"/>
        </w:placeholder>
      </w:sdtPr>
      <w:sdtContent>
        <w:p w14:paraId="24B2896E"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04F1939" w14:textId="77777777" w:rsidR="00577D08" w:rsidRDefault="00330FC0">
      <w:pPr>
        <w:pStyle w:val="4"/>
        <w:numPr>
          <w:ilvl w:val="0"/>
          <w:numId w:val="42"/>
        </w:numPr>
        <w:tabs>
          <w:tab w:val="left" w:pos="360"/>
        </w:tabs>
        <w:ind w:left="0" w:firstLine="0"/>
        <w:rPr>
          <w:rFonts w:hint="eastAsia"/>
          <w:b w:val="0"/>
          <w:color w:val="000000" w:themeColor="text1"/>
        </w:rPr>
      </w:pPr>
      <w:bookmarkStart w:id="248" w:name="_Hlk168577344"/>
      <w:bookmarkStart w:id="249" w:name="_Hlk90391888"/>
      <w:bookmarkEnd w:id="247"/>
      <w:r>
        <w:rPr>
          <w:rFonts w:hint="eastAsia"/>
          <w:b w:val="0"/>
          <w:color w:val="000000" w:themeColor="text1"/>
        </w:rPr>
        <w:t>对闲置募集资金进行现金管理，投资相关产品情况</w:t>
      </w:r>
    </w:p>
    <w:sdt>
      <w:sdtPr>
        <w:rPr>
          <w:color w:val="000000" w:themeColor="text1"/>
        </w:rPr>
        <w:alias w:val="是否适用：对闲置募集资金进行现金管理，投资相关产品情况[双击切换]"/>
        <w:tag w:val="_GBC_92cbbe7d67804f08b5eee0f9fcfc832c"/>
        <w:id w:val="1143926708"/>
        <w:placeholder>
          <w:docPart w:val="GBC22222222222222222222222222222"/>
        </w:placeholder>
      </w:sdtPr>
      <w:sdtContent>
        <w:p w14:paraId="25879EDD"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EE64133" w14:textId="77777777" w:rsidR="00577D08" w:rsidRDefault="00330FC0">
      <w:pPr>
        <w:jc w:val="right"/>
        <w:rPr>
          <w:color w:val="000000" w:themeColor="text1"/>
        </w:rPr>
      </w:pPr>
      <w:r>
        <w:rPr>
          <w:rFonts w:hint="eastAsia"/>
          <w:color w:val="000000" w:themeColor="text1"/>
        </w:rPr>
        <w:t>单位：</w:t>
      </w:r>
      <w:sdt>
        <w:sdtPr>
          <w:rPr>
            <w:rFonts w:hint="eastAsia"/>
            <w:color w:val="000000" w:themeColor="text1"/>
          </w:rPr>
          <w:alias w:val="单位：对闲置募集资金进行管理的情况"/>
          <w:tag w:val="_GBC_0fe75dde345340829535cbc3da108f68"/>
          <w:id w:val="91937000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万元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对闲置募集资金进行管理的情况"/>
          <w:tag w:val="_GBC_4e4d7a5fc38840d5800fdeff4e26227c"/>
          <w:id w:val="13862244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aff2"/>
        <w:tblW w:w="0" w:type="auto"/>
        <w:tblLayout w:type="fixed"/>
        <w:tblLook w:val="04A0" w:firstRow="1" w:lastRow="0" w:firstColumn="1" w:lastColumn="0" w:noHBand="0" w:noVBand="1"/>
      </w:tblPr>
      <w:tblGrid>
        <w:gridCol w:w="1951"/>
        <w:gridCol w:w="1064"/>
        <w:gridCol w:w="1913"/>
        <w:gridCol w:w="1984"/>
        <w:gridCol w:w="993"/>
        <w:gridCol w:w="1144"/>
      </w:tblGrid>
      <w:tr w:rsidR="00577D08" w14:paraId="42D7AA1E" w14:textId="77777777">
        <w:sdt>
          <w:sdtPr>
            <w:tag w:val="_PLD_518d69363f3240a6aea17af633dbb9f8"/>
            <w:id w:val="212161611"/>
          </w:sdtPr>
          <w:sdtContent>
            <w:tc>
              <w:tcPr>
                <w:tcW w:w="1951" w:type="dxa"/>
                <w:vAlign w:val="center"/>
              </w:tcPr>
              <w:p w14:paraId="42603538" w14:textId="77777777" w:rsidR="00577D08" w:rsidRDefault="00330FC0">
                <w:pPr>
                  <w:jc w:val="center"/>
                  <w:rPr>
                    <w:color w:val="000000" w:themeColor="text1"/>
                  </w:rPr>
                </w:pPr>
                <w:r>
                  <w:rPr>
                    <w:color w:val="000000" w:themeColor="text1"/>
                  </w:rPr>
                  <w:t>董事会审议日期</w:t>
                </w:r>
              </w:p>
            </w:tc>
          </w:sdtContent>
        </w:sdt>
        <w:sdt>
          <w:sdtPr>
            <w:tag w:val="_PLD_130bc477cc0a4e93b77986d95628e563"/>
            <w:id w:val="106782054"/>
          </w:sdtPr>
          <w:sdtContent>
            <w:tc>
              <w:tcPr>
                <w:tcW w:w="1064" w:type="dxa"/>
                <w:vAlign w:val="center"/>
              </w:tcPr>
              <w:p w14:paraId="7FE66A33" w14:textId="77777777" w:rsidR="00577D08" w:rsidRDefault="00330FC0">
                <w:pPr>
                  <w:jc w:val="center"/>
                  <w:rPr>
                    <w:color w:val="000000" w:themeColor="text1"/>
                  </w:rPr>
                </w:pPr>
                <w:r>
                  <w:rPr>
                    <w:color w:val="000000" w:themeColor="text1"/>
                  </w:rPr>
                  <w:t>募集资金用于现金管理的有效审议额度</w:t>
                </w:r>
              </w:p>
            </w:tc>
          </w:sdtContent>
        </w:sdt>
        <w:sdt>
          <w:sdtPr>
            <w:tag w:val="_PLD_1676b50e1c264d72b58c7ba14fd0824d"/>
            <w:id w:val="2061202033"/>
          </w:sdtPr>
          <w:sdtContent>
            <w:tc>
              <w:tcPr>
                <w:tcW w:w="1913" w:type="dxa"/>
                <w:vAlign w:val="center"/>
              </w:tcPr>
              <w:p w14:paraId="458523F5" w14:textId="77777777" w:rsidR="00577D08" w:rsidRDefault="00330FC0">
                <w:pPr>
                  <w:jc w:val="center"/>
                  <w:rPr>
                    <w:color w:val="000000" w:themeColor="text1"/>
                  </w:rPr>
                </w:pPr>
                <w:r>
                  <w:rPr>
                    <w:color w:val="000000" w:themeColor="text1"/>
                  </w:rPr>
                  <w:t>起始日期</w:t>
                </w:r>
              </w:p>
            </w:tc>
          </w:sdtContent>
        </w:sdt>
        <w:sdt>
          <w:sdtPr>
            <w:tag w:val="_PLD_098aee80880e4509ad2bc8df07bd9f2c"/>
            <w:id w:val="-1026249673"/>
          </w:sdtPr>
          <w:sdtContent>
            <w:tc>
              <w:tcPr>
                <w:tcW w:w="1984" w:type="dxa"/>
                <w:vAlign w:val="center"/>
              </w:tcPr>
              <w:p w14:paraId="1FC14A8B" w14:textId="77777777" w:rsidR="00577D08" w:rsidRDefault="00330FC0">
                <w:pPr>
                  <w:jc w:val="center"/>
                  <w:rPr>
                    <w:color w:val="000000" w:themeColor="text1"/>
                  </w:rPr>
                </w:pPr>
                <w:r>
                  <w:rPr>
                    <w:color w:val="000000" w:themeColor="text1"/>
                  </w:rPr>
                  <w:t>结束日期</w:t>
                </w:r>
              </w:p>
            </w:tc>
          </w:sdtContent>
        </w:sdt>
        <w:sdt>
          <w:sdtPr>
            <w:tag w:val="_PLD_8c3032f5f9c346af8791c81b08fe7945"/>
            <w:id w:val="411746884"/>
          </w:sdtPr>
          <w:sdtContent>
            <w:tc>
              <w:tcPr>
                <w:tcW w:w="993" w:type="dxa"/>
                <w:vAlign w:val="center"/>
              </w:tcPr>
              <w:p w14:paraId="5555767C" w14:textId="77777777" w:rsidR="00577D08" w:rsidRDefault="00330FC0">
                <w:pPr>
                  <w:jc w:val="center"/>
                  <w:rPr>
                    <w:color w:val="000000" w:themeColor="text1"/>
                  </w:rPr>
                </w:pPr>
                <w:r>
                  <w:rPr>
                    <w:color w:val="000000" w:themeColor="text1"/>
                  </w:rPr>
                  <w:t>报告期末现金管理余额</w:t>
                </w:r>
              </w:p>
            </w:tc>
          </w:sdtContent>
        </w:sdt>
        <w:sdt>
          <w:sdtPr>
            <w:tag w:val="_PLD_c7e2858795bb426297d2ec448bc030d6"/>
            <w:id w:val="365489795"/>
          </w:sdtPr>
          <w:sdtContent>
            <w:tc>
              <w:tcPr>
                <w:tcW w:w="1144" w:type="dxa"/>
                <w:vAlign w:val="center"/>
              </w:tcPr>
              <w:p w14:paraId="4AAF5188" w14:textId="77777777" w:rsidR="00577D08" w:rsidRDefault="00330FC0">
                <w:pPr>
                  <w:jc w:val="center"/>
                  <w:rPr>
                    <w:color w:val="000000" w:themeColor="text1"/>
                  </w:rPr>
                </w:pPr>
                <w:r>
                  <w:rPr>
                    <w:color w:val="000000" w:themeColor="text1"/>
                  </w:rPr>
                  <w:t>期间最高余额是否超出授权额度</w:t>
                </w:r>
              </w:p>
            </w:tc>
          </w:sdtContent>
        </w:sdt>
      </w:tr>
      <w:tr w:rsidR="00577D08" w14:paraId="6D944EA6" w14:textId="77777777">
        <w:tc>
          <w:tcPr>
            <w:tcW w:w="1951" w:type="dxa"/>
          </w:tcPr>
          <w:p w14:paraId="66A62753" w14:textId="77777777" w:rsidR="00577D08" w:rsidRDefault="00330FC0">
            <w:pPr>
              <w:jc w:val="left"/>
              <w:rPr>
                <w:color w:val="000000" w:themeColor="text1"/>
              </w:rPr>
            </w:pPr>
            <w:r>
              <w:rPr>
                <w:rFonts w:hint="eastAsia"/>
              </w:rPr>
              <w:t>2024</w:t>
            </w:r>
            <w:r>
              <w:rPr>
                <w:rFonts w:hint="eastAsia"/>
              </w:rPr>
              <w:t>年</w:t>
            </w:r>
            <w:r>
              <w:rPr>
                <w:rFonts w:hint="eastAsia"/>
              </w:rPr>
              <w:t>11</w:t>
            </w:r>
            <w:r>
              <w:rPr>
                <w:rFonts w:hint="eastAsia"/>
              </w:rPr>
              <w:t>月</w:t>
            </w:r>
            <w:r>
              <w:rPr>
                <w:rFonts w:hint="eastAsia"/>
              </w:rPr>
              <w:t>26</w:t>
            </w:r>
            <w:r>
              <w:rPr>
                <w:rFonts w:hint="eastAsia"/>
              </w:rPr>
              <w:t>日</w:t>
            </w:r>
          </w:p>
        </w:tc>
        <w:tc>
          <w:tcPr>
            <w:tcW w:w="1064" w:type="dxa"/>
          </w:tcPr>
          <w:p w14:paraId="0F3F809C" w14:textId="77777777" w:rsidR="00577D08" w:rsidRDefault="00330FC0">
            <w:pPr>
              <w:jc w:val="left"/>
            </w:pPr>
            <w:r>
              <w:rPr>
                <w:rFonts w:hint="eastAsia"/>
              </w:rPr>
              <w:t>10,000.00</w:t>
            </w:r>
          </w:p>
        </w:tc>
        <w:tc>
          <w:tcPr>
            <w:tcW w:w="1913" w:type="dxa"/>
          </w:tcPr>
          <w:p w14:paraId="123591E7" w14:textId="77777777" w:rsidR="00577D08" w:rsidRDefault="00330FC0">
            <w:pPr>
              <w:jc w:val="left"/>
              <w:rPr>
                <w:color w:val="000000" w:themeColor="text1"/>
              </w:rPr>
            </w:pPr>
            <w:r>
              <w:rPr>
                <w:rFonts w:hint="eastAsia"/>
              </w:rPr>
              <w:t>2025</w:t>
            </w:r>
            <w:r>
              <w:rPr>
                <w:rFonts w:hint="eastAsia"/>
              </w:rPr>
              <w:t>年</w:t>
            </w:r>
            <w:r>
              <w:rPr>
                <w:rFonts w:hint="eastAsia"/>
              </w:rPr>
              <w:t>1</w:t>
            </w:r>
            <w:r>
              <w:rPr>
                <w:rFonts w:hint="eastAsia"/>
              </w:rPr>
              <w:t>月</w:t>
            </w:r>
            <w:r>
              <w:rPr>
                <w:rFonts w:hint="eastAsia"/>
              </w:rPr>
              <w:t>1</w:t>
            </w:r>
            <w:r>
              <w:rPr>
                <w:rFonts w:hint="eastAsia"/>
              </w:rPr>
              <w:t>日</w:t>
            </w:r>
          </w:p>
        </w:tc>
        <w:tc>
          <w:tcPr>
            <w:tcW w:w="1984" w:type="dxa"/>
          </w:tcPr>
          <w:p w14:paraId="2C2B0B5C" w14:textId="77777777" w:rsidR="00577D08" w:rsidRDefault="00330FC0">
            <w:pPr>
              <w:jc w:val="left"/>
              <w:rPr>
                <w:color w:val="000000" w:themeColor="text1"/>
              </w:rPr>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993" w:type="dxa"/>
          </w:tcPr>
          <w:p w14:paraId="0A5F83FE" w14:textId="77777777" w:rsidR="00577D08" w:rsidRDefault="00330FC0">
            <w:pPr>
              <w:jc w:val="right"/>
            </w:pPr>
            <w:r>
              <w:rPr>
                <w:rFonts w:hint="eastAsia"/>
              </w:rPr>
              <w:t>0</w:t>
            </w:r>
          </w:p>
        </w:tc>
        <w:sdt>
          <w:sdtPr>
            <w:rPr>
              <w:color w:val="000000" w:themeColor="text1"/>
            </w:rPr>
            <w:alias w:val="对闲置募集资金进行管理的情况明细_期间最高余额是否超出授权额度"/>
            <w:tag w:val="_GBC_2ccbe04cd819469f912a49b53e32b2e4"/>
            <w:id w:val="-2094696551"/>
            <w:comboBox>
              <w:listItem w:displayText="是" w:value="是"/>
              <w:listItem w:displayText="否" w:value="否"/>
            </w:comboBox>
          </w:sdtPr>
          <w:sdtContent>
            <w:tc>
              <w:tcPr>
                <w:tcW w:w="1144" w:type="dxa"/>
                <w:vAlign w:val="center"/>
              </w:tcPr>
              <w:p w14:paraId="0D576A43" w14:textId="77777777" w:rsidR="00577D08" w:rsidRDefault="00330FC0">
                <w:pPr>
                  <w:jc w:val="left"/>
                  <w:rPr>
                    <w:color w:val="000000" w:themeColor="text1"/>
                  </w:rPr>
                </w:pPr>
                <w:r>
                  <w:rPr>
                    <w:color w:val="000000" w:themeColor="text1"/>
                  </w:rPr>
                  <w:t>否</w:t>
                </w:r>
              </w:p>
            </w:tc>
          </w:sdtContent>
        </w:sdt>
      </w:tr>
    </w:tbl>
    <w:p w14:paraId="6D9A2CFD" w14:textId="77777777" w:rsidR="00577D08" w:rsidRDefault="00330FC0">
      <w:pPr>
        <w:rPr>
          <w:color w:val="000000" w:themeColor="text1"/>
        </w:rPr>
      </w:pPr>
      <w:r>
        <w:rPr>
          <w:rFonts w:hint="eastAsia"/>
          <w:color w:val="000000" w:themeColor="text1"/>
        </w:rPr>
        <w:t>其他说明</w:t>
      </w:r>
    </w:p>
    <w:sdt>
      <w:sdtPr>
        <w:rPr>
          <w:color w:val="000000" w:themeColor="text1"/>
        </w:rPr>
        <w:alias w:val="对闲置募集资金进行现金管理投资相关产品情况"/>
        <w:tag w:val="_GBC_bd5e72e81f974828981a286f4728b554"/>
        <w:id w:val="-667945585"/>
        <w:placeholder>
          <w:docPart w:val="GBC22222222222222222222222222222"/>
        </w:placeholder>
      </w:sdtPr>
      <w:sdtContent>
        <w:p w14:paraId="4EBCDB52" w14:textId="77777777" w:rsidR="00577D08" w:rsidRDefault="00330FC0">
          <w:pPr>
            <w:spacing w:line="360" w:lineRule="exact"/>
            <w:ind w:firstLineChars="200" w:firstLine="420"/>
            <w:rPr>
              <w:color w:val="000000" w:themeColor="text1"/>
            </w:rPr>
          </w:pPr>
          <w:r>
            <w:rPr>
              <w:color w:val="000000" w:themeColor="text1"/>
            </w:rPr>
            <w:t>公司于</w:t>
          </w:r>
          <w:r>
            <w:rPr>
              <w:color w:val="000000" w:themeColor="text1"/>
            </w:rPr>
            <w:t>2024</w:t>
          </w:r>
          <w:r>
            <w:rPr>
              <w:color w:val="000000" w:themeColor="text1"/>
            </w:rPr>
            <w:t>年</w:t>
          </w:r>
          <w:r>
            <w:rPr>
              <w:color w:val="000000" w:themeColor="text1"/>
            </w:rPr>
            <w:t>11</w:t>
          </w:r>
          <w:r>
            <w:rPr>
              <w:color w:val="000000" w:themeColor="text1"/>
            </w:rPr>
            <w:t>月</w:t>
          </w:r>
          <w:r>
            <w:rPr>
              <w:color w:val="000000" w:themeColor="text1"/>
            </w:rPr>
            <w:t>26</w:t>
          </w:r>
          <w:r>
            <w:rPr>
              <w:color w:val="000000" w:themeColor="text1"/>
            </w:rPr>
            <w:t>日召开了第四届董事会第九次会议和第四届监事会第八次会议，审议通过了《关于使用暂时闲置募集资金进行现金管理的议案》，同意公司使用不超过</w:t>
          </w:r>
          <w:r>
            <w:rPr>
              <w:color w:val="000000" w:themeColor="text1"/>
            </w:rPr>
            <w:t>10,000</w:t>
          </w:r>
          <w:r>
            <w:rPr>
              <w:color w:val="000000" w:themeColor="text1"/>
            </w:rPr>
            <w:t>万元的暂时闲置募集资金进行现金管理，该额度的有效期自</w:t>
          </w:r>
          <w:r>
            <w:rPr>
              <w:color w:val="000000" w:themeColor="text1"/>
            </w:rPr>
            <w:t>2025</w:t>
          </w:r>
          <w:r>
            <w:rPr>
              <w:color w:val="000000" w:themeColor="text1"/>
            </w:rPr>
            <w:t>年</w:t>
          </w:r>
          <w:r>
            <w:rPr>
              <w:color w:val="000000" w:themeColor="text1"/>
            </w:rPr>
            <w:t>1</w:t>
          </w:r>
          <w:r>
            <w:rPr>
              <w:color w:val="000000" w:themeColor="text1"/>
            </w:rPr>
            <w:t>月</w:t>
          </w:r>
          <w:r>
            <w:rPr>
              <w:color w:val="000000" w:themeColor="text1"/>
            </w:rPr>
            <w:t>1</w:t>
          </w:r>
          <w:r>
            <w:rPr>
              <w:color w:val="000000" w:themeColor="text1"/>
            </w:rPr>
            <w:t>日至</w:t>
          </w:r>
          <w:r>
            <w:rPr>
              <w:color w:val="000000" w:themeColor="text1"/>
            </w:rPr>
            <w:t>2025</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日止，在上述额度及有效期限内，公司可循环滚动使用。</w:t>
          </w:r>
        </w:p>
      </w:sdtContent>
    </w:sdt>
    <w:bookmarkEnd w:id="248"/>
    <w:bookmarkEnd w:id="249"/>
    <w:p w14:paraId="3E36CAE8" w14:textId="77777777" w:rsidR="00577D08" w:rsidRDefault="00330FC0">
      <w:pPr>
        <w:pStyle w:val="4"/>
        <w:numPr>
          <w:ilvl w:val="0"/>
          <w:numId w:val="42"/>
        </w:numPr>
        <w:tabs>
          <w:tab w:val="left" w:pos="360"/>
        </w:tabs>
        <w:ind w:left="0" w:firstLine="0"/>
        <w:rPr>
          <w:rFonts w:hint="eastAsia"/>
          <w:b w:val="0"/>
          <w:color w:val="000000" w:themeColor="text1"/>
        </w:rPr>
      </w:pPr>
      <w:r>
        <w:rPr>
          <w:b w:val="0"/>
          <w:color w:val="000000" w:themeColor="text1"/>
        </w:rPr>
        <w:t>其他</w:t>
      </w:r>
    </w:p>
    <w:sdt>
      <w:sdtPr>
        <w:rPr>
          <w:color w:val="000000" w:themeColor="text1"/>
        </w:rPr>
        <w:alias w:val="是否适用：募集资金使用的其他情况?[双击切换]"/>
        <w:tag w:val="_GBC_9e056ad2df86481f90515884d4d4be4c"/>
        <w:id w:val="-849794320"/>
        <w:placeholder>
          <w:docPart w:val="GBC22222222222222222222222222222"/>
        </w:placeholder>
      </w:sdtPr>
      <w:sdtContent>
        <w:p w14:paraId="5712F242"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CE4AEDD" w14:textId="77777777" w:rsidR="00577D08" w:rsidRDefault="00330FC0">
      <w:pPr>
        <w:pStyle w:val="3"/>
        <w:numPr>
          <w:ilvl w:val="0"/>
          <w:numId w:val="40"/>
        </w:numPr>
        <w:tabs>
          <w:tab w:val="left" w:pos="360"/>
        </w:tabs>
        <w:ind w:left="450" w:hanging="450"/>
        <w:rPr>
          <w:rFonts w:ascii="宋体" w:hAnsi="宋体" w:hint="eastAsia"/>
          <w:szCs w:val="21"/>
        </w:rPr>
      </w:pPr>
      <w:bookmarkStart w:id="250" w:name="_Hlk190697760"/>
      <w:bookmarkStart w:id="251" w:name="_Hlk190354057"/>
      <w:bookmarkEnd w:id="228"/>
      <w:bookmarkEnd w:id="229"/>
      <w:bookmarkEnd w:id="230"/>
      <w:bookmarkEnd w:id="245"/>
      <w:r>
        <w:rPr>
          <w:rFonts w:ascii="宋体" w:hAnsi="宋体" w:hint="eastAsia"/>
          <w:szCs w:val="21"/>
        </w:rPr>
        <w:t>擅自变更募集资金用途、违规占用募集资金的后续整改情况</w:t>
      </w:r>
    </w:p>
    <w:sdt>
      <w:sdtPr>
        <w:rPr>
          <w:rFonts w:hint="eastAsia"/>
        </w:rPr>
        <w:alias w:val="是否适用：擅自变更募集资金用途、违规占用募集资金的后续整改情况[双击切换]"/>
        <w:tag w:val="_GBC_1aa49320bb78494a84743660ea096b93"/>
        <w:id w:val="520593546"/>
        <w:placeholder>
          <w:docPart w:val="GBC22222222222222222222222222222"/>
        </w:placeholder>
      </w:sdtPr>
      <w:sdtContent>
        <w:p w14:paraId="3C150271" w14:textId="77777777" w:rsidR="00577D08" w:rsidRDefault="00330FC0">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0D0B7EB2" w14:textId="77777777" w:rsidR="00577D08" w:rsidRDefault="00330FC0">
      <w:pPr>
        <w:pStyle w:val="3"/>
        <w:numPr>
          <w:ilvl w:val="0"/>
          <w:numId w:val="40"/>
        </w:numPr>
        <w:tabs>
          <w:tab w:val="left" w:pos="360"/>
        </w:tabs>
        <w:ind w:left="450" w:hanging="450"/>
        <w:rPr>
          <w:rFonts w:ascii="宋体" w:hAnsi="宋体" w:hint="eastAsia"/>
          <w:szCs w:val="21"/>
        </w:rPr>
      </w:pPr>
      <w:bookmarkStart w:id="252" w:name="_Hlk214868889"/>
      <w:bookmarkStart w:id="253" w:name="_Hlk216874679"/>
      <w:bookmarkStart w:id="254" w:name="_Hlk216883419"/>
      <w:bookmarkStart w:id="255" w:name="_Hlk216881079"/>
      <w:bookmarkEnd w:id="250"/>
      <w:bookmarkEnd w:id="251"/>
      <w:r>
        <w:rPr>
          <w:rFonts w:ascii="宋体" w:hAnsi="宋体"/>
          <w:szCs w:val="21"/>
        </w:rPr>
        <w:t>中介机构</w:t>
      </w:r>
      <w:r>
        <w:rPr>
          <w:rFonts w:ascii="宋体" w:hAnsi="宋体" w:hint="eastAsia"/>
          <w:szCs w:val="21"/>
        </w:rPr>
        <w:t>关于募集资金存储与使用情况的专项核查、鉴证的结论性意见</w:t>
      </w:r>
    </w:p>
    <w:sdt>
      <w:sdtPr>
        <w:rPr>
          <w:rFonts w:hint="eastAsia"/>
        </w:rPr>
        <w:alias w:val="是否适用：中介机构关于募集资金存储与使用情况的专项核查、鉴证的结论性意见[双击切换]"/>
        <w:tag w:val="_GBC_0c07a997d1b64dd08b6cf0d35cb3a756"/>
        <w:id w:val="147463235"/>
        <w:placeholder>
          <w:docPart w:val="{f75dd692-6365-4d23-8878-f3a21bb6a6da}"/>
        </w:placeholder>
      </w:sdtPr>
      <w:sdtContent>
        <w:p w14:paraId="0D083DBF" w14:textId="77777777" w:rsidR="00577D08" w:rsidRDefault="00330FC0">
          <w:r>
            <w:rPr>
              <w:rFonts w:hint="eastAsia"/>
            </w:rP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rPr>
              <w:rFonts w:hint="eastAsia"/>
            </w:rPr>
            <w:fldChar w:fldCharType="end"/>
          </w:r>
          <w:r>
            <w:rPr>
              <w:rFonts w:hint="eastAsia"/>
            </w:rP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rPr>
              <w:rFonts w:hint="eastAsia"/>
            </w:rPr>
            <w:fldChar w:fldCharType="end"/>
          </w:r>
        </w:p>
      </w:sdtContent>
    </w:sdt>
    <w:sdt>
      <w:sdtPr>
        <w:rPr>
          <w:rFonts w:hint="eastAsia"/>
        </w:rPr>
        <w:alias w:val="中介机构关于募集资金存储与使用情况的专项核查、鉴证的结论性意见"/>
        <w:tag w:val="_GBC_f66f056e925f4ba39cf34293af5d7e23"/>
        <w:id w:val="147479959"/>
        <w:placeholder>
          <w:docPart w:val="{6d6a0a29-3735-40df-a61a-d4e64fd56d96}"/>
        </w:placeholder>
      </w:sdtPr>
      <w:sdtContent>
        <w:p w14:paraId="10357C04" w14:textId="77777777" w:rsidR="00577D08" w:rsidRDefault="00330FC0">
          <w:pPr>
            <w:spacing w:line="360" w:lineRule="exact"/>
            <w:ind w:firstLineChars="200" w:firstLine="420"/>
            <w:jc w:val="both"/>
          </w:pPr>
          <w:r>
            <w:rPr>
              <w:rFonts w:hint="eastAsia"/>
            </w:rPr>
            <w:t>天健会计师事务所（特殊普通合伙）认为：望变电气公司管理层编制的</w:t>
          </w:r>
          <w:r>
            <w:rPr>
              <w:rFonts w:hint="eastAsia"/>
            </w:rPr>
            <w:t>2025</w:t>
          </w:r>
          <w:r>
            <w:rPr>
              <w:rFonts w:hint="eastAsia"/>
            </w:rPr>
            <w:t>年度《关于募集资金年度存放、管理与实际使用情况的专项报告》符合《上市公司募集资金监管规则》（证监会公告〔</w:t>
          </w:r>
          <w:r>
            <w:rPr>
              <w:rFonts w:hint="eastAsia"/>
            </w:rPr>
            <w:t>2025</w:t>
          </w:r>
          <w:r>
            <w:rPr>
              <w:rFonts w:hint="eastAsia"/>
            </w:rPr>
            <w:t>〕</w:t>
          </w:r>
          <w:r>
            <w:rPr>
              <w:rFonts w:hint="eastAsia"/>
            </w:rPr>
            <w:t>10</w:t>
          </w:r>
          <w:r>
            <w:rPr>
              <w:rFonts w:hint="eastAsia"/>
            </w:rPr>
            <w:t>号）和《上海证券交易所上市公司自律监管指引第</w:t>
          </w:r>
          <w:r>
            <w:rPr>
              <w:rFonts w:hint="eastAsia"/>
            </w:rPr>
            <w:t>1</w:t>
          </w:r>
          <w:r>
            <w:rPr>
              <w:rFonts w:hint="eastAsia"/>
            </w:rPr>
            <w:t>号——规范运作（</w:t>
          </w:r>
          <w:r>
            <w:rPr>
              <w:rFonts w:hint="eastAsia"/>
            </w:rPr>
            <w:t>2025</w:t>
          </w:r>
          <w:r>
            <w:rPr>
              <w:rFonts w:hint="eastAsia"/>
            </w:rPr>
            <w:t>年</w:t>
          </w:r>
          <w:r>
            <w:rPr>
              <w:rFonts w:hint="eastAsia"/>
            </w:rPr>
            <w:t>5</w:t>
          </w:r>
          <w:r>
            <w:rPr>
              <w:rFonts w:hint="eastAsia"/>
            </w:rPr>
            <w:t>月修订）》（上证发〔</w:t>
          </w:r>
          <w:r>
            <w:rPr>
              <w:rFonts w:hint="eastAsia"/>
            </w:rPr>
            <w:t>2025</w:t>
          </w:r>
          <w:r>
            <w:rPr>
              <w:rFonts w:hint="eastAsia"/>
            </w:rPr>
            <w:t>〕</w:t>
          </w:r>
          <w:r>
            <w:rPr>
              <w:rFonts w:hint="eastAsia"/>
            </w:rPr>
            <w:t>68</w:t>
          </w:r>
          <w:r>
            <w:rPr>
              <w:rFonts w:hint="eastAsia"/>
            </w:rPr>
            <w:t>号）的规定，如实反映了望变电气公司募集资金</w:t>
          </w:r>
          <w:r>
            <w:rPr>
              <w:rFonts w:hint="eastAsia"/>
            </w:rPr>
            <w:t>2025</w:t>
          </w:r>
          <w:r>
            <w:rPr>
              <w:rFonts w:hint="eastAsia"/>
            </w:rPr>
            <w:t>年度实际存放、管理与实际使用情况。</w:t>
          </w:r>
        </w:p>
        <w:p w14:paraId="6EE35EB2" w14:textId="77777777" w:rsidR="00577D08" w:rsidRDefault="00330FC0">
          <w:pPr>
            <w:spacing w:line="360" w:lineRule="exact"/>
            <w:ind w:firstLineChars="200" w:firstLine="420"/>
            <w:jc w:val="both"/>
          </w:pPr>
          <w:r>
            <w:rPr>
              <w:rFonts w:hint="eastAsia"/>
            </w:rPr>
            <w:t>中信证券股份有限公司认为：望变电气首次公开发行股票募集资金在</w:t>
          </w:r>
          <w:r>
            <w:rPr>
              <w:rFonts w:hint="eastAsia"/>
            </w:rPr>
            <w:t>2025</w:t>
          </w:r>
          <w:r>
            <w:rPr>
              <w:rFonts w:hint="eastAsia"/>
            </w:rPr>
            <w:t>年度的存放与使用符合《上市公司募集资金监管规则》《上海证券交易所股票上市规则（</w:t>
          </w:r>
          <w:r>
            <w:rPr>
              <w:rFonts w:hint="eastAsia"/>
            </w:rPr>
            <w:t>2025</w:t>
          </w:r>
          <w:r>
            <w:rPr>
              <w:rFonts w:hint="eastAsia"/>
            </w:rPr>
            <w:t>年</w:t>
          </w:r>
          <w:r>
            <w:rPr>
              <w:rFonts w:hint="eastAsia"/>
            </w:rPr>
            <w:t>4</w:t>
          </w:r>
          <w:r>
            <w:rPr>
              <w:rFonts w:hint="eastAsia"/>
            </w:rPr>
            <w:t>月修订）》《上海证券交易所上市公司自律监管指引第</w:t>
          </w:r>
          <w:r>
            <w:rPr>
              <w:rFonts w:hint="eastAsia"/>
            </w:rPr>
            <w:t>1</w:t>
          </w:r>
          <w:r>
            <w:rPr>
              <w:rFonts w:hint="eastAsia"/>
            </w:rPr>
            <w:t>号——规范运作（</w:t>
          </w:r>
          <w:r>
            <w:rPr>
              <w:rFonts w:hint="eastAsia"/>
            </w:rPr>
            <w:t>2025</w:t>
          </w:r>
          <w:r>
            <w:rPr>
              <w:rFonts w:hint="eastAsia"/>
            </w:rPr>
            <w:t>年</w:t>
          </w:r>
          <w:r>
            <w:rPr>
              <w:rFonts w:hint="eastAsia"/>
            </w:rPr>
            <w:t>5</w:t>
          </w:r>
          <w:r>
            <w:rPr>
              <w:rFonts w:hint="eastAsia"/>
            </w:rPr>
            <w:t>月修订）》等相关法规和公司《募集资金管理制度》的规定，公司已及时、真实、准确、完整地披露了募集资金存放与使用的相关信息，不存在变相改变募集资金用途和损害股东利益的情况，不存在违规使用募集资金的情形。</w:t>
          </w:r>
        </w:p>
      </w:sdtContent>
    </w:sdt>
    <w:p w14:paraId="23B4CA2D" w14:textId="77777777" w:rsidR="00577D08" w:rsidRDefault="00330FC0" w:rsidP="00E6534C">
      <w:pPr>
        <w:spacing w:line="360" w:lineRule="exact"/>
        <w:rPr>
          <w:rFonts w:asciiTheme="minorEastAsia" w:eastAsiaTheme="minorEastAsia" w:hAnsiTheme="minorEastAsia" w:hint="eastAsia"/>
          <w:bCs/>
          <w:kern w:val="2"/>
          <w:szCs w:val="28"/>
        </w:rPr>
      </w:pPr>
      <w:r>
        <w:rPr>
          <w:rFonts w:asciiTheme="minorEastAsia" w:eastAsiaTheme="minorEastAsia" w:hAnsiTheme="minorEastAsia" w:hint="eastAsia"/>
          <w:bCs/>
          <w:kern w:val="2"/>
          <w:szCs w:val="28"/>
        </w:rPr>
        <w:t>核查异常的相关情况说明</w:t>
      </w:r>
    </w:p>
    <w:sdt>
      <w:sdtPr>
        <w:rPr>
          <w:rFonts w:hint="eastAsia"/>
        </w:rPr>
        <w:alias w:val="是否适用：核查异常的相关情况说明[双击切换]"/>
        <w:tag w:val="_GBC_8e77a9b007b24b85b582b7f1c28ac20a"/>
        <w:id w:val="147464387"/>
        <w:placeholder>
          <w:docPart w:val="{f75dd692-6365-4d23-8878-f3a21bb6a6da}"/>
        </w:placeholder>
      </w:sdtPr>
      <w:sdtContent>
        <w:p w14:paraId="69BCEF65" w14:textId="77777777" w:rsidR="00577D08" w:rsidRDefault="00330FC0" w:rsidP="00E6534C">
          <w:pPr>
            <w:spacing w:line="360" w:lineRule="exact"/>
          </w:pPr>
          <w:r>
            <w:rPr>
              <w:rFonts w:hint="eastAsia"/>
            </w:rP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rPr>
              <w:rFonts w:hint="eastAsia"/>
            </w:rPr>
            <w:fldChar w:fldCharType="end"/>
          </w:r>
          <w:r>
            <w:rPr>
              <w:rFonts w:hint="eastAsia"/>
            </w:rP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rPr>
              <w:rFonts w:hint="eastAsia"/>
            </w:rPr>
            <w:fldChar w:fldCharType="end"/>
          </w:r>
        </w:p>
      </w:sdtContent>
    </w:sdt>
    <w:bookmarkEnd w:id="252"/>
    <w:bookmarkEnd w:id="253"/>
    <w:bookmarkEnd w:id="254"/>
    <w:bookmarkEnd w:id="255"/>
    <w:p w14:paraId="1038E7BC" w14:textId="77777777" w:rsidR="00577D08" w:rsidRDefault="00330FC0">
      <w:pPr>
        <w:pStyle w:val="2"/>
        <w:numPr>
          <w:ilvl w:val="0"/>
          <w:numId w:val="27"/>
        </w:numPr>
      </w:pPr>
      <w:r>
        <w:rPr>
          <w:rFonts w:hint="eastAsia"/>
        </w:rPr>
        <w:lastRenderedPageBreak/>
        <w:t>其</w:t>
      </w:r>
      <w:r>
        <w:t>他</w:t>
      </w:r>
      <w:r>
        <w:rPr>
          <w:rFonts w:hint="eastAsia"/>
        </w:rPr>
        <w:t>对投资者作出价值判断和投资决策有重大影响的重大事项的说明</w:t>
      </w:r>
    </w:p>
    <w:sdt>
      <w:sdtPr>
        <w:alias w:val="是否适用：其他对投资者作出价值判断和投资决策有重大影响的重大事项的说明[双击切换]"/>
        <w:tag w:val="_GBC_a560f17fa4c7429db7d87dca59f4df08"/>
        <w:id w:val="-1718196603"/>
        <w:placeholder>
          <w:docPart w:val="GBC22222222222222222222222222222"/>
        </w:placeholder>
      </w:sdtPr>
      <w:sdtContent>
        <w:p w14:paraId="721EDC4E"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4F68157" w14:textId="77777777" w:rsidR="00577D08" w:rsidRDefault="00577D08">
      <w:pPr>
        <w:sectPr w:rsidR="00577D08">
          <w:pgSz w:w="11906" w:h="16838"/>
          <w:pgMar w:top="1525" w:right="1276" w:bottom="1440" w:left="1797" w:header="855" w:footer="992" w:gutter="0"/>
          <w:cols w:space="425"/>
          <w:docGrid w:linePitch="312"/>
        </w:sectPr>
      </w:pPr>
    </w:p>
    <w:bookmarkEnd w:id="196"/>
    <w:p w14:paraId="1FCCBAC1" w14:textId="77777777" w:rsidR="00577D08" w:rsidRDefault="00577D08"/>
    <w:p w14:paraId="0C2530EB" w14:textId="77777777" w:rsidR="00577D08" w:rsidRDefault="00330FC0">
      <w:pPr>
        <w:pStyle w:val="1"/>
        <w:numPr>
          <w:ilvl w:val="0"/>
          <w:numId w:val="2"/>
        </w:numPr>
        <w:rPr>
          <w:szCs w:val="28"/>
        </w:rPr>
      </w:pPr>
      <w:bookmarkStart w:id="256" w:name="_Toc437440713"/>
      <w:bookmarkStart w:id="257" w:name="_Toc409437607"/>
      <w:bookmarkStart w:id="258" w:name="_Toc191024261"/>
      <w:r>
        <w:rPr>
          <w:rFonts w:hint="eastAsia"/>
          <w:szCs w:val="28"/>
        </w:rPr>
        <w:t>股份变动及股东情况</w:t>
      </w:r>
    </w:p>
    <w:bookmarkEnd w:id="256"/>
    <w:bookmarkEnd w:id="257"/>
    <w:bookmarkEnd w:id="258"/>
    <w:p w14:paraId="09D260B2" w14:textId="77777777" w:rsidR="00577D08" w:rsidRDefault="00577D08"/>
    <w:p w14:paraId="66D43E6A" w14:textId="77777777" w:rsidR="00577D08" w:rsidRDefault="00330FC0">
      <w:pPr>
        <w:pStyle w:val="2"/>
        <w:numPr>
          <w:ilvl w:val="0"/>
          <w:numId w:val="43"/>
        </w:numPr>
      </w:pPr>
      <w:bookmarkStart w:id="259" w:name="_Toc342059476"/>
      <w:bookmarkStart w:id="260" w:name="_Toc342565989"/>
      <w:r>
        <w:t>股</w:t>
      </w:r>
      <w:r>
        <w:rPr>
          <w:rFonts w:hint="eastAsia"/>
        </w:rPr>
        <w:t>本变动情况</w:t>
      </w:r>
      <w:bookmarkEnd w:id="259"/>
      <w:bookmarkEnd w:id="260"/>
    </w:p>
    <w:p w14:paraId="776B59B9" w14:textId="77777777" w:rsidR="00577D08" w:rsidRDefault="00330FC0">
      <w:pPr>
        <w:pStyle w:val="3"/>
        <w:numPr>
          <w:ilvl w:val="1"/>
          <w:numId w:val="44"/>
        </w:numPr>
        <w:rPr>
          <w:szCs w:val="21"/>
        </w:rPr>
      </w:pPr>
      <w:bookmarkStart w:id="261" w:name="_Toc342059477"/>
      <w:bookmarkStart w:id="262" w:name="_Toc342565990"/>
      <w:r>
        <w:rPr>
          <w:rFonts w:hint="eastAsia"/>
          <w:szCs w:val="21"/>
        </w:rPr>
        <w:t>股份变动情况表</w:t>
      </w:r>
      <w:bookmarkEnd w:id="261"/>
      <w:bookmarkEnd w:id="262"/>
    </w:p>
    <w:p w14:paraId="6C5DF9A7" w14:textId="77777777" w:rsidR="00577D08" w:rsidRDefault="00330FC0">
      <w:pPr>
        <w:pStyle w:val="4"/>
        <w:numPr>
          <w:ilvl w:val="2"/>
          <w:numId w:val="45"/>
        </w:numPr>
        <w:rPr>
          <w:rFonts w:hint="eastAsia"/>
        </w:rPr>
      </w:pPr>
      <w:r>
        <w:rPr>
          <w:rFonts w:hint="eastAsia"/>
        </w:rPr>
        <w:t>股份变动情况表</w:t>
      </w:r>
    </w:p>
    <w:p w14:paraId="6C3F67CA" w14:textId="77777777" w:rsidR="00577D08" w:rsidRDefault="00330FC0">
      <w:pPr>
        <w:jc w:val="right"/>
      </w:pPr>
      <w:r>
        <w:t>单位：</w:t>
      </w:r>
      <w:sdt>
        <w:sdtPr>
          <w:rPr>
            <w:rFonts w:hint="eastAsia"/>
          </w:rPr>
          <w:alias w:val="单位：股份变动情况表"/>
          <w:tag w:val="_GBC_852d31b746dd490d9366194fca5e9598"/>
          <w:id w:val="1697583641"/>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9"/>
        <w:gridCol w:w="1279"/>
        <w:gridCol w:w="709"/>
        <w:gridCol w:w="425"/>
        <w:gridCol w:w="284"/>
        <w:gridCol w:w="283"/>
        <w:gridCol w:w="1418"/>
        <w:gridCol w:w="1417"/>
        <w:gridCol w:w="1276"/>
        <w:gridCol w:w="717"/>
      </w:tblGrid>
      <w:tr w:rsidR="00577D08" w14:paraId="428A831A" w14:textId="77777777">
        <w:tc>
          <w:tcPr>
            <w:tcW w:w="1239" w:type="dxa"/>
            <w:vMerge w:val="restart"/>
            <w:vAlign w:val="center"/>
          </w:tcPr>
          <w:p w14:paraId="577D8E6B" w14:textId="77777777" w:rsidR="00577D08" w:rsidRDefault="00577D08">
            <w:pPr>
              <w:jc w:val="center"/>
              <w:rPr>
                <w:rFonts w:ascii="宋体" w:hAnsi="宋体" w:hint="eastAsia"/>
                <w:sz w:val="18"/>
                <w:szCs w:val="18"/>
              </w:rPr>
            </w:pPr>
          </w:p>
        </w:tc>
        <w:sdt>
          <w:sdtPr>
            <w:rPr>
              <w:rFonts w:ascii="宋体" w:hAnsi="宋体"/>
              <w:sz w:val="18"/>
              <w:szCs w:val="18"/>
            </w:rPr>
            <w:tag w:val="_PLD_b9527a064e50418b9212da4d2a1d0df3"/>
            <w:id w:val="-1936047031"/>
          </w:sdtPr>
          <w:sdtContent>
            <w:tc>
              <w:tcPr>
                <w:tcW w:w="1988" w:type="dxa"/>
                <w:gridSpan w:val="2"/>
                <w:vAlign w:val="center"/>
              </w:tcPr>
              <w:p w14:paraId="06CD7737" w14:textId="77777777" w:rsidR="00577D08" w:rsidRDefault="00330FC0">
                <w:pPr>
                  <w:pStyle w:val="af"/>
                  <w:jc w:val="center"/>
                  <w:rPr>
                    <w:rFonts w:ascii="宋体" w:hAnsi="宋体" w:hint="eastAsia"/>
                    <w:sz w:val="18"/>
                    <w:szCs w:val="18"/>
                  </w:rPr>
                </w:pPr>
                <w:r>
                  <w:rPr>
                    <w:rFonts w:ascii="宋体" w:hAnsi="宋体"/>
                    <w:sz w:val="18"/>
                    <w:szCs w:val="18"/>
                  </w:rPr>
                  <w:t>本次变动前</w:t>
                </w:r>
              </w:p>
            </w:tc>
          </w:sdtContent>
        </w:sdt>
        <w:sdt>
          <w:sdtPr>
            <w:rPr>
              <w:rFonts w:ascii="宋体" w:hAnsi="宋体"/>
              <w:sz w:val="18"/>
              <w:szCs w:val="18"/>
            </w:rPr>
            <w:tag w:val="_PLD_ca58bf210de644a080d50250f302f3c8"/>
            <w:id w:val="-420333661"/>
          </w:sdtPr>
          <w:sdtContent>
            <w:tc>
              <w:tcPr>
                <w:tcW w:w="3827" w:type="dxa"/>
                <w:gridSpan w:val="5"/>
                <w:vAlign w:val="center"/>
              </w:tcPr>
              <w:p w14:paraId="13633261" w14:textId="77777777" w:rsidR="00577D08" w:rsidRDefault="00330FC0">
                <w:pPr>
                  <w:jc w:val="center"/>
                  <w:rPr>
                    <w:rFonts w:ascii="宋体" w:hAnsi="宋体" w:hint="eastAsia"/>
                    <w:sz w:val="18"/>
                    <w:szCs w:val="18"/>
                  </w:rPr>
                </w:pPr>
                <w:r>
                  <w:rPr>
                    <w:rFonts w:ascii="宋体" w:hAnsi="宋体"/>
                    <w:sz w:val="18"/>
                    <w:szCs w:val="18"/>
                  </w:rPr>
                  <w:t>本次变动增减（</w:t>
                </w:r>
                <w:r>
                  <w:rPr>
                    <w:rFonts w:ascii="宋体" w:hAnsi="宋体" w:hint="eastAsia"/>
                    <w:sz w:val="18"/>
                    <w:szCs w:val="18"/>
                  </w:rPr>
                  <w:t>+，-</w:t>
                </w:r>
                <w:r>
                  <w:rPr>
                    <w:rFonts w:ascii="宋体" w:hAnsi="宋体"/>
                    <w:sz w:val="18"/>
                    <w:szCs w:val="18"/>
                  </w:rPr>
                  <w:t>）</w:t>
                </w:r>
              </w:p>
            </w:tc>
          </w:sdtContent>
        </w:sdt>
        <w:sdt>
          <w:sdtPr>
            <w:rPr>
              <w:rFonts w:ascii="宋体" w:hAnsi="宋体"/>
              <w:sz w:val="18"/>
              <w:szCs w:val="18"/>
            </w:rPr>
            <w:tag w:val="_PLD_257b6e7d34b34e838617d3ec2e88c450"/>
            <w:id w:val="-1434205521"/>
          </w:sdtPr>
          <w:sdtContent>
            <w:tc>
              <w:tcPr>
                <w:tcW w:w="1993" w:type="dxa"/>
                <w:gridSpan w:val="2"/>
                <w:vAlign w:val="center"/>
              </w:tcPr>
              <w:p w14:paraId="5F906BF5" w14:textId="77777777" w:rsidR="00577D08" w:rsidRDefault="00330FC0">
                <w:pPr>
                  <w:jc w:val="center"/>
                  <w:rPr>
                    <w:rFonts w:ascii="宋体" w:hAnsi="宋体" w:hint="eastAsia"/>
                    <w:sz w:val="18"/>
                    <w:szCs w:val="18"/>
                  </w:rPr>
                </w:pPr>
                <w:r>
                  <w:rPr>
                    <w:rFonts w:ascii="宋体" w:hAnsi="宋体"/>
                    <w:sz w:val="18"/>
                    <w:szCs w:val="18"/>
                  </w:rPr>
                  <w:t>本次变动后</w:t>
                </w:r>
              </w:p>
            </w:tc>
          </w:sdtContent>
        </w:sdt>
      </w:tr>
      <w:tr w:rsidR="00577D08" w14:paraId="1A6A626D" w14:textId="77777777">
        <w:trPr>
          <w:trHeight w:val="273"/>
        </w:trPr>
        <w:tc>
          <w:tcPr>
            <w:tcW w:w="1239" w:type="dxa"/>
            <w:vMerge/>
            <w:vAlign w:val="center"/>
          </w:tcPr>
          <w:p w14:paraId="56D441E7" w14:textId="77777777" w:rsidR="00577D08" w:rsidRDefault="00577D08">
            <w:pPr>
              <w:jc w:val="center"/>
              <w:rPr>
                <w:rFonts w:ascii="宋体" w:hAnsi="宋体" w:hint="eastAsia"/>
                <w:sz w:val="18"/>
                <w:szCs w:val="18"/>
              </w:rPr>
            </w:pPr>
          </w:p>
        </w:tc>
        <w:sdt>
          <w:sdtPr>
            <w:rPr>
              <w:rFonts w:ascii="宋体" w:hAnsi="宋体"/>
              <w:sz w:val="18"/>
              <w:szCs w:val="18"/>
            </w:rPr>
            <w:tag w:val="_PLD_795b6515b9ff4e1db17e1116ff60e13f"/>
            <w:id w:val="155811127"/>
          </w:sdtPr>
          <w:sdtContent>
            <w:tc>
              <w:tcPr>
                <w:tcW w:w="1279" w:type="dxa"/>
                <w:vAlign w:val="center"/>
              </w:tcPr>
              <w:p w14:paraId="27F1235F" w14:textId="77777777" w:rsidR="00577D08" w:rsidRDefault="00330FC0">
                <w:pPr>
                  <w:pStyle w:val="af"/>
                  <w:jc w:val="center"/>
                  <w:rPr>
                    <w:rFonts w:ascii="宋体" w:hAnsi="宋体" w:hint="eastAsia"/>
                    <w:sz w:val="18"/>
                    <w:szCs w:val="18"/>
                  </w:rPr>
                </w:pPr>
                <w:r>
                  <w:rPr>
                    <w:rFonts w:ascii="宋体" w:hAnsi="宋体"/>
                    <w:sz w:val="18"/>
                    <w:szCs w:val="18"/>
                  </w:rPr>
                  <w:t>数量</w:t>
                </w:r>
              </w:p>
            </w:tc>
          </w:sdtContent>
        </w:sdt>
        <w:sdt>
          <w:sdtPr>
            <w:rPr>
              <w:rFonts w:ascii="宋体" w:hAnsi="宋体"/>
              <w:sz w:val="18"/>
              <w:szCs w:val="18"/>
            </w:rPr>
            <w:tag w:val="_PLD_73d5343b919442adb141c63d11c2cfe3"/>
            <w:id w:val="173617304"/>
          </w:sdtPr>
          <w:sdtContent>
            <w:tc>
              <w:tcPr>
                <w:tcW w:w="709" w:type="dxa"/>
                <w:vAlign w:val="center"/>
              </w:tcPr>
              <w:p w14:paraId="68E6AEED" w14:textId="77777777" w:rsidR="00577D08" w:rsidRDefault="00330FC0">
                <w:pPr>
                  <w:pStyle w:val="af"/>
                  <w:jc w:val="center"/>
                  <w:rPr>
                    <w:rFonts w:ascii="宋体" w:hAnsi="宋体" w:hint="eastAsia"/>
                    <w:sz w:val="18"/>
                    <w:szCs w:val="18"/>
                  </w:rPr>
                </w:pPr>
                <w:r>
                  <w:rPr>
                    <w:rFonts w:ascii="宋体" w:hAnsi="宋体"/>
                    <w:sz w:val="18"/>
                    <w:szCs w:val="18"/>
                  </w:rPr>
                  <w:t>比例(%)</w:t>
                </w:r>
              </w:p>
            </w:tc>
          </w:sdtContent>
        </w:sdt>
        <w:sdt>
          <w:sdtPr>
            <w:rPr>
              <w:rFonts w:ascii="宋体" w:hAnsi="宋体"/>
              <w:sz w:val="18"/>
              <w:szCs w:val="18"/>
            </w:rPr>
            <w:tag w:val="_PLD_ed98679a849f41f4aed274ab444cfaf5"/>
            <w:id w:val="2023817586"/>
          </w:sdtPr>
          <w:sdtContent>
            <w:tc>
              <w:tcPr>
                <w:tcW w:w="425" w:type="dxa"/>
                <w:vAlign w:val="center"/>
              </w:tcPr>
              <w:p w14:paraId="74D1BBDF" w14:textId="77777777" w:rsidR="00577D08" w:rsidRDefault="00330FC0">
                <w:pPr>
                  <w:pStyle w:val="af"/>
                  <w:jc w:val="center"/>
                  <w:rPr>
                    <w:rFonts w:ascii="宋体" w:hAnsi="宋体" w:hint="eastAsia"/>
                    <w:sz w:val="18"/>
                    <w:szCs w:val="18"/>
                  </w:rPr>
                </w:pPr>
                <w:r>
                  <w:rPr>
                    <w:rFonts w:ascii="宋体" w:hAnsi="宋体"/>
                    <w:sz w:val="18"/>
                    <w:szCs w:val="18"/>
                  </w:rPr>
                  <w:t>发行新股</w:t>
                </w:r>
              </w:p>
            </w:tc>
          </w:sdtContent>
        </w:sdt>
        <w:sdt>
          <w:sdtPr>
            <w:rPr>
              <w:rFonts w:ascii="宋体" w:hAnsi="宋体"/>
              <w:sz w:val="18"/>
              <w:szCs w:val="18"/>
            </w:rPr>
            <w:tag w:val="_PLD_9a9769412f3c455c9ccdd17bf518a278"/>
            <w:id w:val="-1389945729"/>
          </w:sdtPr>
          <w:sdtContent>
            <w:tc>
              <w:tcPr>
                <w:tcW w:w="284" w:type="dxa"/>
                <w:vAlign w:val="center"/>
              </w:tcPr>
              <w:p w14:paraId="2D214AEE" w14:textId="77777777" w:rsidR="00577D08" w:rsidRDefault="00330FC0">
                <w:pPr>
                  <w:jc w:val="center"/>
                  <w:rPr>
                    <w:rFonts w:ascii="宋体" w:hAnsi="宋体" w:hint="eastAsia"/>
                    <w:sz w:val="18"/>
                    <w:szCs w:val="18"/>
                  </w:rPr>
                </w:pPr>
                <w:r>
                  <w:rPr>
                    <w:rFonts w:ascii="宋体" w:hAnsi="宋体"/>
                    <w:sz w:val="18"/>
                    <w:szCs w:val="18"/>
                  </w:rPr>
                  <w:t>送股</w:t>
                </w:r>
              </w:p>
            </w:tc>
          </w:sdtContent>
        </w:sdt>
        <w:sdt>
          <w:sdtPr>
            <w:rPr>
              <w:rFonts w:ascii="宋体" w:hAnsi="宋体"/>
              <w:sz w:val="18"/>
              <w:szCs w:val="18"/>
            </w:rPr>
            <w:tag w:val="_PLD_a08a8657c2504fb0907fe95adcc9b83a"/>
            <w:id w:val="-1821101808"/>
          </w:sdtPr>
          <w:sdtContent>
            <w:tc>
              <w:tcPr>
                <w:tcW w:w="283" w:type="dxa"/>
                <w:vAlign w:val="center"/>
              </w:tcPr>
              <w:p w14:paraId="71445C1B" w14:textId="77777777" w:rsidR="00577D08" w:rsidRDefault="00330FC0">
                <w:pPr>
                  <w:jc w:val="center"/>
                  <w:rPr>
                    <w:rFonts w:ascii="宋体" w:hAnsi="宋体" w:hint="eastAsia"/>
                    <w:sz w:val="18"/>
                    <w:szCs w:val="18"/>
                  </w:rPr>
                </w:pPr>
                <w:r>
                  <w:rPr>
                    <w:rFonts w:ascii="宋体" w:hAnsi="宋体"/>
                    <w:sz w:val="18"/>
                    <w:szCs w:val="18"/>
                  </w:rPr>
                  <w:t>公积金转股</w:t>
                </w:r>
              </w:p>
            </w:tc>
          </w:sdtContent>
        </w:sdt>
        <w:sdt>
          <w:sdtPr>
            <w:rPr>
              <w:rFonts w:ascii="宋体" w:hAnsi="宋体"/>
              <w:sz w:val="18"/>
              <w:szCs w:val="18"/>
            </w:rPr>
            <w:tag w:val="_PLD_8ec878ba584746ca9ce366f5c50b97db"/>
            <w:id w:val="1925994021"/>
          </w:sdtPr>
          <w:sdtContent>
            <w:tc>
              <w:tcPr>
                <w:tcW w:w="1418" w:type="dxa"/>
                <w:vAlign w:val="center"/>
              </w:tcPr>
              <w:p w14:paraId="668E7B3B" w14:textId="77777777" w:rsidR="00577D08" w:rsidRDefault="00330FC0">
                <w:pPr>
                  <w:pStyle w:val="af"/>
                  <w:jc w:val="center"/>
                  <w:rPr>
                    <w:rFonts w:ascii="宋体" w:hAnsi="宋体" w:hint="eastAsia"/>
                    <w:sz w:val="18"/>
                    <w:szCs w:val="18"/>
                  </w:rPr>
                </w:pPr>
                <w:r>
                  <w:rPr>
                    <w:rFonts w:ascii="宋体" w:hAnsi="宋体"/>
                    <w:sz w:val="18"/>
                    <w:szCs w:val="18"/>
                  </w:rPr>
                  <w:t>其他</w:t>
                </w:r>
              </w:p>
            </w:tc>
          </w:sdtContent>
        </w:sdt>
        <w:sdt>
          <w:sdtPr>
            <w:rPr>
              <w:rFonts w:ascii="宋体" w:hAnsi="宋体"/>
              <w:sz w:val="18"/>
              <w:szCs w:val="18"/>
            </w:rPr>
            <w:tag w:val="_PLD_0597d73f82274779afc0a06c1888e731"/>
            <w:id w:val="372589334"/>
          </w:sdtPr>
          <w:sdtContent>
            <w:tc>
              <w:tcPr>
                <w:tcW w:w="1417" w:type="dxa"/>
                <w:vAlign w:val="center"/>
              </w:tcPr>
              <w:p w14:paraId="031A775B" w14:textId="77777777" w:rsidR="00577D08" w:rsidRDefault="00330FC0">
                <w:pPr>
                  <w:pStyle w:val="af"/>
                  <w:jc w:val="center"/>
                  <w:rPr>
                    <w:rFonts w:ascii="宋体" w:hAnsi="宋体" w:hint="eastAsia"/>
                    <w:sz w:val="18"/>
                    <w:szCs w:val="18"/>
                  </w:rPr>
                </w:pPr>
                <w:r>
                  <w:rPr>
                    <w:rFonts w:ascii="宋体" w:hAnsi="宋体"/>
                    <w:sz w:val="18"/>
                    <w:szCs w:val="18"/>
                  </w:rPr>
                  <w:t>小计</w:t>
                </w:r>
              </w:p>
            </w:tc>
          </w:sdtContent>
        </w:sdt>
        <w:sdt>
          <w:sdtPr>
            <w:rPr>
              <w:rFonts w:ascii="宋体" w:hAnsi="宋体"/>
              <w:sz w:val="18"/>
              <w:szCs w:val="18"/>
            </w:rPr>
            <w:tag w:val="_PLD_95f452be51ff468b8cac4a86637d7617"/>
            <w:id w:val="-65035082"/>
          </w:sdtPr>
          <w:sdtContent>
            <w:tc>
              <w:tcPr>
                <w:tcW w:w="1276" w:type="dxa"/>
                <w:vAlign w:val="center"/>
              </w:tcPr>
              <w:p w14:paraId="29618745" w14:textId="77777777" w:rsidR="00577D08" w:rsidRDefault="00330FC0">
                <w:pPr>
                  <w:pStyle w:val="af"/>
                  <w:jc w:val="center"/>
                  <w:rPr>
                    <w:rFonts w:ascii="宋体" w:hAnsi="宋体" w:hint="eastAsia"/>
                    <w:sz w:val="18"/>
                    <w:szCs w:val="18"/>
                  </w:rPr>
                </w:pPr>
                <w:r>
                  <w:rPr>
                    <w:rFonts w:ascii="宋体" w:hAnsi="宋体"/>
                    <w:sz w:val="18"/>
                    <w:szCs w:val="18"/>
                  </w:rPr>
                  <w:t>数量</w:t>
                </w:r>
              </w:p>
            </w:tc>
          </w:sdtContent>
        </w:sdt>
        <w:sdt>
          <w:sdtPr>
            <w:rPr>
              <w:rFonts w:ascii="宋体" w:hAnsi="宋体"/>
              <w:sz w:val="18"/>
              <w:szCs w:val="18"/>
            </w:rPr>
            <w:tag w:val="_PLD_27544b89219e425da5c77cd21408a3b6"/>
            <w:id w:val="1054428980"/>
          </w:sdtPr>
          <w:sdtContent>
            <w:tc>
              <w:tcPr>
                <w:tcW w:w="717" w:type="dxa"/>
                <w:vAlign w:val="center"/>
              </w:tcPr>
              <w:p w14:paraId="1D8F382A" w14:textId="77777777" w:rsidR="00577D08" w:rsidRDefault="00330FC0">
                <w:pPr>
                  <w:pStyle w:val="af"/>
                  <w:jc w:val="center"/>
                  <w:rPr>
                    <w:rFonts w:ascii="宋体" w:hAnsi="宋体" w:hint="eastAsia"/>
                    <w:sz w:val="18"/>
                    <w:szCs w:val="18"/>
                  </w:rPr>
                </w:pPr>
                <w:r>
                  <w:rPr>
                    <w:rFonts w:ascii="宋体" w:hAnsi="宋体"/>
                    <w:sz w:val="18"/>
                    <w:szCs w:val="18"/>
                  </w:rPr>
                  <w:t>比例(%)</w:t>
                </w:r>
              </w:p>
            </w:tc>
          </w:sdtContent>
        </w:sdt>
      </w:tr>
      <w:tr w:rsidR="00577D08" w14:paraId="75F703D0" w14:textId="77777777">
        <w:tc>
          <w:tcPr>
            <w:tcW w:w="1239" w:type="dxa"/>
            <w:vAlign w:val="center"/>
          </w:tcPr>
          <w:p w14:paraId="7E4EA7CA" w14:textId="77777777" w:rsidR="00577D08" w:rsidRDefault="00330FC0">
            <w:pPr>
              <w:rPr>
                <w:rFonts w:ascii="宋体" w:hAnsi="宋体" w:hint="eastAsia"/>
                <w:sz w:val="18"/>
                <w:szCs w:val="18"/>
              </w:rPr>
            </w:pPr>
            <w:r>
              <w:rPr>
                <w:rFonts w:ascii="宋体" w:hAnsi="宋体"/>
                <w:sz w:val="18"/>
                <w:szCs w:val="18"/>
              </w:rPr>
              <w:t>一、有限售条件股份</w:t>
            </w:r>
          </w:p>
        </w:tc>
        <w:tc>
          <w:tcPr>
            <w:tcW w:w="1279" w:type="dxa"/>
            <w:vAlign w:val="center"/>
          </w:tcPr>
          <w:p w14:paraId="2A87F96E" w14:textId="77777777" w:rsidR="00577D08" w:rsidRDefault="00330FC0">
            <w:pPr>
              <w:jc w:val="right"/>
              <w:rPr>
                <w:rFonts w:ascii="宋体" w:hAnsi="宋体" w:hint="eastAsia"/>
                <w:sz w:val="18"/>
                <w:szCs w:val="18"/>
              </w:rPr>
            </w:pPr>
            <w:r>
              <w:rPr>
                <w:rFonts w:ascii="宋体" w:hAnsi="宋体"/>
                <w:sz w:val="18"/>
                <w:szCs w:val="18"/>
              </w:rPr>
              <w:t>146,461,541</w:t>
            </w:r>
          </w:p>
        </w:tc>
        <w:tc>
          <w:tcPr>
            <w:tcW w:w="709" w:type="dxa"/>
            <w:vAlign w:val="center"/>
          </w:tcPr>
          <w:p w14:paraId="3D78ACFB" w14:textId="77777777" w:rsidR="00577D08" w:rsidRDefault="00330FC0">
            <w:pPr>
              <w:jc w:val="right"/>
              <w:rPr>
                <w:rFonts w:ascii="宋体" w:hAnsi="宋体" w:hint="eastAsia"/>
                <w:sz w:val="18"/>
                <w:szCs w:val="18"/>
              </w:rPr>
            </w:pPr>
            <w:r>
              <w:rPr>
                <w:rFonts w:ascii="宋体" w:hAnsi="宋体"/>
                <w:sz w:val="18"/>
                <w:szCs w:val="18"/>
              </w:rPr>
              <w:t>43.96</w:t>
            </w:r>
          </w:p>
        </w:tc>
        <w:tc>
          <w:tcPr>
            <w:tcW w:w="425" w:type="dxa"/>
            <w:vAlign w:val="center"/>
          </w:tcPr>
          <w:p w14:paraId="5990DF9D" w14:textId="77777777" w:rsidR="00577D08" w:rsidRDefault="00577D08">
            <w:pPr>
              <w:jc w:val="right"/>
              <w:rPr>
                <w:rFonts w:ascii="宋体" w:hAnsi="宋体" w:hint="eastAsia"/>
                <w:sz w:val="18"/>
                <w:szCs w:val="18"/>
              </w:rPr>
            </w:pPr>
          </w:p>
        </w:tc>
        <w:tc>
          <w:tcPr>
            <w:tcW w:w="284" w:type="dxa"/>
            <w:vAlign w:val="center"/>
          </w:tcPr>
          <w:p w14:paraId="25DF8059" w14:textId="77777777" w:rsidR="00577D08" w:rsidRDefault="00577D08">
            <w:pPr>
              <w:jc w:val="right"/>
              <w:rPr>
                <w:rFonts w:ascii="宋体" w:hAnsi="宋体" w:hint="eastAsia"/>
                <w:sz w:val="18"/>
                <w:szCs w:val="18"/>
              </w:rPr>
            </w:pPr>
          </w:p>
        </w:tc>
        <w:tc>
          <w:tcPr>
            <w:tcW w:w="283" w:type="dxa"/>
            <w:vAlign w:val="center"/>
          </w:tcPr>
          <w:p w14:paraId="0A4BA8E8" w14:textId="77777777" w:rsidR="00577D08" w:rsidRDefault="00577D08">
            <w:pPr>
              <w:jc w:val="right"/>
              <w:rPr>
                <w:rFonts w:ascii="宋体" w:hAnsi="宋体" w:hint="eastAsia"/>
                <w:sz w:val="18"/>
                <w:szCs w:val="18"/>
              </w:rPr>
            </w:pPr>
          </w:p>
        </w:tc>
        <w:tc>
          <w:tcPr>
            <w:tcW w:w="1418" w:type="dxa"/>
            <w:vAlign w:val="center"/>
          </w:tcPr>
          <w:p w14:paraId="139B8634" w14:textId="77777777" w:rsidR="00577D08" w:rsidRDefault="00330FC0">
            <w:pPr>
              <w:jc w:val="right"/>
              <w:rPr>
                <w:rFonts w:ascii="宋体" w:hAnsi="宋体" w:hint="eastAsia"/>
                <w:sz w:val="18"/>
                <w:szCs w:val="18"/>
              </w:rPr>
            </w:pPr>
            <w:r>
              <w:rPr>
                <w:rFonts w:ascii="宋体" w:hAnsi="宋体"/>
                <w:sz w:val="18"/>
                <w:szCs w:val="18"/>
              </w:rPr>
              <w:t>-144,145,541</w:t>
            </w:r>
          </w:p>
        </w:tc>
        <w:tc>
          <w:tcPr>
            <w:tcW w:w="1417" w:type="dxa"/>
            <w:vAlign w:val="center"/>
          </w:tcPr>
          <w:p w14:paraId="50783C07" w14:textId="77777777" w:rsidR="00577D08" w:rsidRDefault="00330FC0">
            <w:pPr>
              <w:jc w:val="right"/>
              <w:rPr>
                <w:rFonts w:ascii="宋体" w:hAnsi="宋体" w:hint="eastAsia"/>
                <w:sz w:val="18"/>
                <w:szCs w:val="18"/>
              </w:rPr>
            </w:pPr>
            <w:r>
              <w:rPr>
                <w:rFonts w:ascii="宋体" w:hAnsi="宋体"/>
                <w:sz w:val="18"/>
                <w:szCs w:val="18"/>
              </w:rPr>
              <w:t>-144,145,541</w:t>
            </w:r>
          </w:p>
        </w:tc>
        <w:tc>
          <w:tcPr>
            <w:tcW w:w="1276" w:type="dxa"/>
            <w:vAlign w:val="center"/>
          </w:tcPr>
          <w:p w14:paraId="2FA3A8CB" w14:textId="77777777" w:rsidR="00577D08" w:rsidRDefault="00330FC0">
            <w:pPr>
              <w:jc w:val="right"/>
              <w:rPr>
                <w:rFonts w:ascii="宋体" w:hAnsi="宋体" w:hint="eastAsia"/>
                <w:sz w:val="18"/>
                <w:szCs w:val="18"/>
              </w:rPr>
            </w:pPr>
            <w:r>
              <w:rPr>
                <w:rFonts w:ascii="宋体" w:hAnsi="宋体"/>
                <w:sz w:val="18"/>
                <w:szCs w:val="18"/>
              </w:rPr>
              <w:t>2,316,000</w:t>
            </w:r>
          </w:p>
        </w:tc>
        <w:tc>
          <w:tcPr>
            <w:tcW w:w="717" w:type="dxa"/>
            <w:vAlign w:val="center"/>
          </w:tcPr>
          <w:p w14:paraId="348F3BD4" w14:textId="77777777" w:rsidR="00577D08" w:rsidRDefault="00330FC0">
            <w:pPr>
              <w:jc w:val="right"/>
              <w:rPr>
                <w:rFonts w:ascii="宋体" w:hAnsi="宋体" w:hint="eastAsia"/>
                <w:sz w:val="18"/>
                <w:szCs w:val="18"/>
              </w:rPr>
            </w:pPr>
            <w:r>
              <w:rPr>
                <w:rFonts w:ascii="宋体" w:hAnsi="宋体"/>
                <w:sz w:val="18"/>
                <w:szCs w:val="18"/>
              </w:rPr>
              <w:t>0.70</w:t>
            </w:r>
          </w:p>
        </w:tc>
      </w:tr>
      <w:tr w:rsidR="00577D08" w14:paraId="27EBBE62" w14:textId="77777777">
        <w:tc>
          <w:tcPr>
            <w:tcW w:w="1239" w:type="dxa"/>
            <w:vAlign w:val="center"/>
          </w:tcPr>
          <w:p w14:paraId="205A2D90" w14:textId="77777777" w:rsidR="00577D08" w:rsidRDefault="00330FC0">
            <w:pPr>
              <w:rPr>
                <w:rFonts w:ascii="宋体" w:hAnsi="宋体" w:hint="eastAsia"/>
                <w:sz w:val="18"/>
                <w:szCs w:val="18"/>
              </w:rPr>
            </w:pPr>
            <w:r>
              <w:rPr>
                <w:rFonts w:ascii="宋体" w:hAnsi="宋体"/>
                <w:sz w:val="18"/>
                <w:szCs w:val="18"/>
              </w:rPr>
              <w:t>1、国家持股</w:t>
            </w:r>
          </w:p>
        </w:tc>
        <w:tc>
          <w:tcPr>
            <w:tcW w:w="1279" w:type="dxa"/>
            <w:vAlign w:val="center"/>
          </w:tcPr>
          <w:p w14:paraId="3E92AF79" w14:textId="77777777" w:rsidR="00577D08" w:rsidRDefault="00577D08">
            <w:pPr>
              <w:jc w:val="right"/>
              <w:rPr>
                <w:rFonts w:ascii="宋体" w:hAnsi="宋体" w:hint="eastAsia"/>
                <w:sz w:val="18"/>
                <w:szCs w:val="18"/>
              </w:rPr>
            </w:pPr>
          </w:p>
        </w:tc>
        <w:tc>
          <w:tcPr>
            <w:tcW w:w="709" w:type="dxa"/>
            <w:vAlign w:val="center"/>
          </w:tcPr>
          <w:p w14:paraId="1C629DB6" w14:textId="77777777" w:rsidR="00577D08" w:rsidRDefault="00577D08">
            <w:pPr>
              <w:jc w:val="right"/>
              <w:rPr>
                <w:rFonts w:ascii="宋体" w:hAnsi="宋体" w:hint="eastAsia"/>
                <w:sz w:val="18"/>
                <w:szCs w:val="18"/>
              </w:rPr>
            </w:pPr>
          </w:p>
        </w:tc>
        <w:tc>
          <w:tcPr>
            <w:tcW w:w="425" w:type="dxa"/>
            <w:vAlign w:val="center"/>
          </w:tcPr>
          <w:p w14:paraId="0E49000C" w14:textId="77777777" w:rsidR="00577D08" w:rsidRDefault="00577D08">
            <w:pPr>
              <w:jc w:val="right"/>
              <w:rPr>
                <w:rFonts w:ascii="宋体" w:hAnsi="宋体" w:hint="eastAsia"/>
                <w:sz w:val="18"/>
                <w:szCs w:val="18"/>
              </w:rPr>
            </w:pPr>
          </w:p>
        </w:tc>
        <w:tc>
          <w:tcPr>
            <w:tcW w:w="284" w:type="dxa"/>
            <w:vAlign w:val="center"/>
          </w:tcPr>
          <w:p w14:paraId="2193974A" w14:textId="77777777" w:rsidR="00577D08" w:rsidRDefault="00577D08">
            <w:pPr>
              <w:jc w:val="right"/>
              <w:rPr>
                <w:rFonts w:ascii="宋体" w:hAnsi="宋体" w:hint="eastAsia"/>
                <w:sz w:val="18"/>
                <w:szCs w:val="18"/>
              </w:rPr>
            </w:pPr>
          </w:p>
        </w:tc>
        <w:tc>
          <w:tcPr>
            <w:tcW w:w="283" w:type="dxa"/>
            <w:vAlign w:val="center"/>
          </w:tcPr>
          <w:p w14:paraId="361FBDF0" w14:textId="77777777" w:rsidR="00577D08" w:rsidRDefault="00577D08">
            <w:pPr>
              <w:jc w:val="right"/>
              <w:rPr>
                <w:rFonts w:ascii="宋体" w:hAnsi="宋体" w:hint="eastAsia"/>
                <w:sz w:val="18"/>
                <w:szCs w:val="18"/>
              </w:rPr>
            </w:pPr>
          </w:p>
        </w:tc>
        <w:tc>
          <w:tcPr>
            <w:tcW w:w="1418" w:type="dxa"/>
            <w:vAlign w:val="center"/>
          </w:tcPr>
          <w:p w14:paraId="7AC661AC" w14:textId="77777777" w:rsidR="00577D08" w:rsidRDefault="00577D08">
            <w:pPr>
              <w:jc w:val="right"/>
              <w:rPr>
                <w:rFonts w:ascii="宋体" w:hAnsi="宋体" w:hint="eastAsia"/>
                <w:sz w:val="18"/>
                <w:szCs w:val="18"/>
              </w:rPr>
            </w:pPr>
          </w:p>
        </w:tc>
        <w:tc>
          <w:tcPr>
            <w:tcW w:w="1417" w:type="dxa"/>
            <w:vAlign w:val="center"/>
          </w:tcPr>
          <w:p w14:paraId="279DFA3F" w14:textId="77777777" w:rsidR="00577D08" w:rsidRDefault="00577D08">
            <w:pPr>
              <w:jc w:val="right"/>
              <w:rPr>
                <w:rFonts w:ascii="宋体" w:hAnsi="宋体" w:hint="eastAsia"/>
                <w:sz w:val="18"/>
                <w:szCs w:val="18"/>
              </w:rPr>
            </w:pPr>
          </w:p>
        </w:tc>
        <w:tc>
          <w:tcPr>
            <w:tcW w:w="1276" w:type="dxa"/>
            <w:vAlign w:val="center"/>
          </w:tcPr>
          <w:p w14:paraId="729618FA" w14:textId="77777777" w:rsidR="00577D08" w:rsidRDefault="00577D08">
            <w:pPr>
              <w:jc w:val="right"/>
              <w:rPr>
                <w:rFonts w:ascii="宋体" w:hAnsi="宋体" w:hint="eastAsia"/>
                <w:sz w:val="18"/>
                <w:szCs w:val="18"/>
              </w:rPr>
            </w:pPr>
          </w:p>
        </w:tc>
        <w:tc>
          <w:tcPr>
            <w:tcW w:w="717" w:type="dxa"/>
            <w:vAlign w:val="center"/>
          </w:tcPr>
          <w:p w14:paraId="034923B6" w14:textId="77777777" w:rsidR="00577D08" w:rsidRDefault="00577D08">
            <w:pPr>
              <w:jc w:val="right"/>
              <w:rPr>
                <w:rFonts w:ascii="宋体" w:hAnsi="宋体" w:hint="eastAsia"/>
                <w:sz w:val="18"/>
                <w:szCs w:val="18"/>
              </w:rPr>
            </w:pPr>
          </w:p>
        </w:tc>
      </w:tr>
      <w:tr w:rsidR="00577D08" w14:paraId="2123C9A6" w14:textId="77777777">
        <w:tc>
          <w:tcPr>
            <w:tcW w:w="1239" w:type="dxa"/>
            <w:vAlign w:val="center"/>
          </w:tcPr>
          <w:p w14:paraId="19F3711A" w14:textId="77777777" w:rsidR="00577D08" w:rsidRDefault="00330FC0">
            <w:pPr>
              <w:rPr>
                <w:rFonts w:ascii="宋体" w:hAnsi="宋体" w:hint="eastAsia"/>
                <w:sz w:val="18"/>
                <w:szCs w:val="18"/>
              </w:rPr>
            </w:pPr>
            <w:r>
              <w:rPr>
                <w:rFonts w:ascii="宋体" w:hAnsi="宋体"/>
                <w:sz w:val="18"/>
                <w:szCs w:val="18"/>
              </w:rPr>
              <w:t>2、国有法人持股</w:t>
            </w:r>
          </w:p>
        </w:tc>
        <w:tc>
          <w:tcPr>
            <w:tcW w:w="1279" w:type="dxa"/>
            <w:vAlign w:val="center"/>
          </w:tcPr>
          <w:p w14:paraId="2B469F1B" w14:textId="77777777" w:rsidR="00577D08" w:rsidRDefault="00577D08">
            <w:pPr>
              <w:jc w:val="right"/>
              <w:rPr>
                <w:rFonts w:ascii="宋体" w:hAnsi="宋体" w:hint="eastAsia"/>
                <w:sz w:val="18"/>
                <w:szCs w:val="18"/>
              </w:rPr>
            </w:pPr>
          </w:p>
        </w:tc>
        <w:tc>
          <w:tcPr>
            <w:tcW w:w="709" w:type="dxa"/>
            <w:vAlign w:val="center"/>
          </w:tcPr>
          <w:p w14:paraId="4F528C2D" w14:textId="77777777" w:rsidR="00577D08" w:rsidRDefault="00577D08">
            <w:pPr>
              <w:jc w:val="right"/>
              <w:rPr>
                <w:rFonts w:ascii="宋体" w:hAnsi="宋体" w:hint="eastAsia"/>
                <w:sz w:val="18"/>
                <w:szCs w:val="18"/>
              </w:rPr>
            </w:pPr>
          </w:p>
        </w:tc>
        <w:tc>
          <w:tcPr>
            <w:tcW w:w="425" w:type="dxa"/>
            <w:vAlign w:val="center"/>
          </w:tcPr>
          <w:p w14:paraId="2CD86B1F" w14:textId="77777777" w:rsidR="00577D08" w:rsidRDefault="00577D08">
            <w:pPr>
              <w:jc w:val="right"/>
              <w:rPr>
                <w:rFonts w:ascii="宋体" w:hAnsi="宋体" w:hint="eastAsia"/>
                <w:sz w:val="18"/>
                <w:szCs w:val="18"/>
              </w:rPr>
            </w:pPr>
          </w:p>
        </w:tc>
        <w:tc>
          <w:tcPr>
            <w:tcW w:w="284" w:type="dxa"/>
            <w:vAlign w:val="center"/>
          </w:tcPr>
          <w:p w14:paraId="059256C3" w14:textId="77777777" w:rsidR="00577D08" w:rsidRDefault="00577D08">
            <w:pPr>
              <w:jc w:val="right"/>
              <w:rPr>
                <w:rFonts w:ascii="宋体" w:hAnsi="宋体" w:hint="eastAsia"/>
                <w:sz w:val="18"/>
                <w:szCs w:val="18"/>
              </w:rPr>
            </w:pPr>
          </w:p>
        </w:tc>
        <w:tc>
          <w:tcPr>
            <w:tcW w:w="283" w:type="dxa"/>
            <w:vAlign w:val="center"/>
          </w:tcPr>
          <w:p w14:paraId="5A1729CA" w14:textId="77777777" w:rsidR="00577D08" w:rsidRDefault="00577D08">
            <w:pPr>
              <w:jc w:val="right"/>
              <w:rPr>
                <w:rFonts w:ascii="宋体" w:hAnsi="宋体" w:hint="eastAsia"/>
                <w:sz w:val="18"/>
                <w:szCs w:val="18"/>
              </w:rPr>
            </w:pPr>
          </w:p>
        </w:tc>
        <w:tc>
          <w:tcPr>
            <w:tcW w:w="1418" w:type="dxa"/>
            <w:vAlign w:val="center"/>
          </w:tcPr>
          <w:p w14:paraId="45AB1801" w14:textId="77777777" w:rsidR="00577D08" w:rsidRDefault="00577D08">
            <w:pPr>
              <w:jc w:val="right"/>
              <w:rPr>
                <w:rFonts w:ascii="宋体" w:hAnsi="宋体" w:hint="eastAsia"/>
                <w:sz w:val="18"/>
                <w:szCs w:val="18"/>
              </w:rPr>
            </w:pPr>
          </w:p>
        </w:tc>
        <w:tc>
          <w:tcPr>
            <w:tcW w:w="1417" w:type="dxa"/>
            <w:vAlign w:val="center"/>
          </w:tcPr>
          <w:p w14:paraId="4FC4AE3C" w14:textId="77777777" w:rsidR="00577D08" w:rsidRDefault="00577D08">
            <w:pPr>
              <w:jc w:val="right"/>
              <w:rPr>
                <w:rFonts w:ascii="宋体" w:hAnsi="宋体" w:hint="eastAsia"/>
                <w:sz w:val="18"/>
                <w:szCs w:val="18"/>
              </w:rPr>
            </w:pPr>
          </w:p>
        </w:tc>
        <w:tc>
          <w:tcPr>
            <w:tcW w:w="1276" w:type="dxa"/>
            <w:vAlign w:val="center"/>
          </w:tcPr>
          <w:p w14:paraId="475D25C3" w14:textId="77777777" w:rsidR="00577D08" w:rsidRDefault="00577D08">
            <w:pPr>
              <w:jc w:val="right"/>
              <w:rPr>
                <w:rFonts w:ascii="宋体" w:hAnsi="宋体" w:hint="eastAsia"/>
                <w:sz w:val="18"/>
                <w:szCs w:val="18"/>
              </w:rPr>
            </w:pPr>
          </w:p>
        </w:tc>
        <w:tc>
          <w:tcPr>
            <w:tcW w:w="717" w:type="dxa"/>
            <w:vAlign w:val="center"/>
          </w:tcPr>
          <w:p w14:paraId="5B7E8E3E" w14:textId="77777777" w:rsidR="00577D08" w:rsidRDefault="00577D08">
            <w:pPr>
              <w:jc w:val="right"/>
              <w:rPr>
                <w:rFonts w:ascii="宋体" w:hAnsi="宋体" w:hint="eastAsia"/>
                <w:sz w:val="18"/>
                <w:szCs w:val="18"/>
              </w:rPr>
            </w:pPr>
          </w:p>
        </w:tc>
      </w:tr>
      <w:tr w:rsidR="00577D08" w14:paraId="131BCD53" w14:textId="77777777">
        <w:tc>
          <w:tcPr>
            <w:tcW w:w="1239" w:type="dxa"/>
            <w:vAlign w:val="center"/>
          </w:tcPr>
          <w:p w14:paraId="74FBB912" w14:textId="77777777" w:rsidR="00577D08" w:rsidRDefault="00330FC0">
            <w:pPr>
              <w:rPr>
                <w:rFonts w:ascii="宋体" w:hAnsi="宋体" w:hint="eastAsia"/>
                <w:sz w:val="18"/>
                <w:szCs w:val="18"/>
              </w:rPr>
            </w:pPr>
            <w:r>
              <w:rPr>
                <w:rFonts w:ascii="宋体" w:hAnsi="宋体"/>
                <w:sz w:val="18"/>
                <w:szCs w:val="18"/>
              </w:rPr>
              <w:t>3、其他内资持股</w:t>
            </w:r>
          </w:p>
        </w:tc>
        <w:tc>
          <w:tcPr>
            <w:tcW w:w="1279" w:type="dxa"/>
            <w:vAlign w:val="center"/>
          </w:tcPr>
          <w:p w14:paraId="77F7EA96" w14:textId="77777777" w:rsidR="00577D08" w:rsidRDefault="00330FC0">
            <w:pPr>
              <w:jc w:val="right"/>
              <w:rPr>
                <w:rFonts w:ascii="宋体" w:hAnsi="宋体" w:hint="eastAsia"/>
                <w:sz w:val="18"/>
                <w:szCs w:val="18"/>
              </w:rPr>
            </w:pPr>
            <w:r>
              <w:rPr>
                <w:rFonts w:ascii="宋体" w:hAnsi="宋体"/>
                <w:sz w:val="18"/>
                <w:szCs w:val="18"/>
              </w:rPr>
              <w:t>146,461,541</w:t>
            </w:r>
          </w:p>
        </w:tc>
        <w:tc>
          <w:tcPr>
            <w:tcW w:w="709" w:type="dxa"/>
            <w:vAlign w:val="center"/>
          </w:tcPr>
          <w:p w14:paraId="7CEF70DA" w14:textId="77777777" w:rsidR="00577D08" w:rsidRDefault="00330FC0">
            <w:pPr>
              <w:jc w:val="right"/>
              <w:rPr>
                <w:rFonts w:ascii="宋体" w:hAnsi="宋体" w:hint="eastAsia"/>
                <w:sz w:val="18"/>
                <w:szCs w:val="18"/>
              </w:rPr>
            </w:pPr>
            <w:r>
              <w:rPr>
                <w:rFonts w:ascii="宋体" w:hAnsi="宋体"/>
                <w:sz w:val="18"/>
                <w:szCs w:val="18"/>
              </w:rPr>
              <w:t>43.96</w:t>
            </w:r>
          </w:p>
        </w:tc>
        <w:tc>
          <w:tcPr>
            <w:tcW w:w="425" w:type="dxa"/>
            <w:vAlign w:val="center"/>
          </w:tcPr>
          <w:p w14:paraId="08C95ED9" w14:textId="77777777" w:rsidR="00577D08" w:rsidRDefault="00577D08">
            <w:pPr>
              <w:jc w:val="right"/>
              <w:rPr>
                <w:rFonts w:ascii="宋体" w:hAnsi="宋体" w:hint="eastAsia"/>
                <w:sz w:val="18"/>
                <w:szCs w:val="18"/>
              </w:rPr>
            </w:pPr>
          </w:p>
        </w:tc>
        <w:tc>
          <w:tcPr>
            <w:tcW w:w="284" w:type="dxa"/>
            <w:vAlign w:val="center"/>
          </w:tcPr>
          <w:p w14:paraId="304863DB" w14:textId="77777777" w:rsidR="00577D08" w:rsidRDefault="00577D08">
            <w:pPr>
              <w:jc w:val="right"/>
              <w:rPr>
                <w:rFonts w:ascii="宋体" w:hAnsi="宋体" w:hint="eastAsia"/>
                <w:sz w:val="18"/>
                <w:szCs w:val="18"/>
              </w:rPr>
            </w:pPr>
          </w:p>
        </w:tc>
        <w:tc>
          <w:tcPr>
            <w:tcW w:w="283" w:type="dxa"/>
            <w:vAlign w:val="center"/>
          </w:tcPr>
          <w:p w14:paraId="642B84CD" w14:textId="77777777" w:rsidR="00577D08" w:rsidRDefault="00577D08">
            <w:pPr>
              <w:jc w:val="right"/>
              <w:rPr>
                <w:rFonts w:ascii="宋体" w:hAnsi="宋体" w:hint="eastAsia"/>
                <w:sz w:val="18"/>
                <w:szCs w:val="18"/>
              </w:rPr>
            </w:pPr>
          </w:p>
        </w:tc>
        <w:tc>
          <w:tcPr>
            <w:tcW w:w="1418" w:type="dxa"/>
            <w:vAlign w:val="center"/>
          </w:tcPr>
          <w:p w14:paraId="749287CF" w14:textId="77777777" w:rsidR="00577D08" w:rsidRDefault="00330FC0">
            <w:pPr>
              <w:jc w:val="right"/>
              <w:rPr>
                <w:rFonts w:ascii="宋体" w:hAnsi="宋体" w:hint="eastAsia"/>
                <w:sz w:val="18"/>
                <w:szCs w:val="18"/>
              </w:rPr>
            </w:pPr>
            <w:r>
              <w:rPr>
                <w:rFonts w:ascii="宋体" w:hAnsi="宋体"/>
                <w:sz w:val="18"/>
                <w:szCs w:val="18"/>
              </w:rPr>
              <w:t>-144,145,541</w:t>
            </w:r>
          </w:p>
        </w:tc>
        <w:tc>
          <w:tcPr>
            <w:tcW w:w="1417" w:type="dxa"/>
            <w:vAlign w:val="center"/>
          </w:tcPr>
          <w:p w14:paraId="3470FA26" w14:textId="77777777" w:rsidR="00577D08" w:rsidRDefault="00330FC0">
            <w:pPr>
              <w:jc w:val="right"/>
              <w:rPr>
                <w:rFonts w:ascii="宋体" w:hAnsi="宋体" w:hint="eastAsia"/>
                <w:sz w:val="18"/>
                <w:szCs w:val="18"/>
              </w:rPr>
            </w:pPr>
            <w:r>
              <w:rPr>
                <w:rFonts w:ascii="宋体" w:hAnsi="宋体"/>
                <w:sz w:val="18"/>
                <w:szCs w:val="18"/>
              </w:rPr>
              <w:t>-144,145,541</w:t>
            </w:r>
          </w:p>
        </w:tc>
        <w:tc>
          <w:tcPr>
            <w:tcW w:w="1276" w:type="dxa"/>
            <w:vAlign w:val="center"/>
          </w:tcPr>
          <w:p w14:paraId="6D3957A6" w14:textId="77777777" w:rsidR="00577D08" w:rsidRDefault="00330FC0">
            <w:pPr>
              <w:jc w:val="right"/>
              <w:rPr>
                <w:rFonts w:ascii="宋体" w:hAnsi="宋体" w:hint="eastAsia"/>
                <w:sz w:val="18"/>
                <w:szCs w:val="18"/>
              </w:rPr>
            </w:pPr>
            <w:r>
              <w:rPr>
                <w:rFonts w:ascii="宋体" w:hAnsi="宋体"/>
                <w:sz w:val="18"/>
                <w:szCs w:val="18"/>
              </w:rPr>
              <w:t>2,316,000</w:t>
            </w:r>
          </w:p>
        </w:tc>
        <w:tc>
          <w:tcPr>
            <w:tcW w:w="717" w:type="dxa"/>
            <w:vAlign w:val="center"/>
          </w:tcPr>
          <w:p w14:paraId="4BE45EF5" w14:textId="77777777" w:rsidR="00577D08" w:rsidRDefault="00330FC0">
            <w:pPr>
              <w:jc w:val="right"/>
              <w:rPr>
                <w:rFonts w:ascii="宋体" w:hAnsi="宋体" w:hint="eastAsia"/>
                <w:sz w:val="18"/>
                <w:szCs w:val="18"/>
              </w:rPr>
            </w:pPr>
            <w:r>
              <w:rPr>
                <w:rFonts w:ascii="宋体" w:hAnsi="宋体"/>
                <w:sz w:val="18"/>
                <w:szCs w:val="18"/>
              </w:rPr>
              <w:t>0.70</w:t>
            </w:r>
          </w:p>
        </w:tc>
      </w:tr>
      <w:tr w:rsidR="00577D08" w14:paraId="09BD7DA5" w14:textId="77777777">
        <w:tc>
          <w:tcPr>
            <w:tcW w:w="1239" w:type="dxa"/>
            <w:vAlign w:val="center"/>
          </w:tcPr>
          <w:p w14:paraId="2CA0A758" w14:textId="77777777" w:rsidR="00577D08" w:rsidRDefault="00330FC0">
            <w:pPr>
              <w:rPr>
                <w:rFonts w:ascii="宋体" w:hAnsi="宋体" w:hint="eastAsia"/>
                <w:sz w:val="18"/>
                <w:szCs w:val="18"/>
              </w:rPr>
            </w:pPr>
            <w:r>
              <w:rPr>
                <w:rFonts w:ascii="宋体" w:hAnsi="宋体"/>
                <w:sz w:val="18"/>
                <w:szCs w:val="18"/>
              </w:rPr>
              <w:t>其中：境内非国有法人持股</w:t>
            </w:r>
          </w:p>
        </w:tc>
        <w:tc>
          <w:tcPr>
            <w:tcW w:w="1279" w:type="dxa"/>
            <w:vAlign w:val="center"/>
          </w:tcPr>
          <w:p w14:paraId="2A40ABAB" w14:textId="77777777" w:rsidR="00577D08" w:rsidRDefault="00577D08">
            <w:pPr>
              <w:jc w:val="right"/>
              <w:rPr>
                <w:rFonts w:ascii="宋体" w:hAnsi="宋体" w:hint="eastAsia"/>
                <w:sz w:val="18"/>
                <w:szCs w:val="18"/>
              </w:rPr>
            </w:pPr>
          </w:p>
        </w:tc>
        <w:tc>
          <w:tcPr>
            <w:tcW w:w="709" w:type="dxa"/>
            <w:vAlign w:val="center"/>
          </w:tcPr>
          <w:p w14:paraId="0E068AA7" w14:textId="77777777" w:rsidR="00577D08" w:rsidRDefault="00577D08">
            <w:pPr>
              <w:jc w:val="right"/>
              <w:rPr>
                <w:rFonts w:ascii="宋体" w:hAnsi="宋体" w:hint="eastAsia"/>
                <w:sz w:val="18"/>
                <w:szCs w:val="18"/>
              </w:rPr>
            </w:pPr>
          </w:p>
        </w:tc>
        <w:tc>
          <w:tcPr>
            <w:tcW w:w="425" w:type="dxa"/>
            <w:vAlign w:val="center"/>
          </w:tcPr>
          <w:p w14:paraId="2C01DFBE" w14:textId="77777777" w:rsidR="00577D08" w:rsidRDefault="00577D08">
            <w:pPr>
              <w:jc w:val="right"/>
              <w:rPr>
                <w:rFonts w:ascii="宋体" w:hAnsi="宋体" w:hint="eastAsia"/>
                <w:sz w:val="18"/>
                <w:szCs w:val="18"/>
              </w:rPr>
            </w:pPr>
          </w:p>
        </w:tc>
        <w:tc>
          <w:tcPr>
            <w:tcW w:w="284" w:type="dxa"/>
            <w:vAlign w:val="center"/>
          </w:tcPr>
          <w:p w14:paraId="5EF142E7" w14:textId="77777777" w:rsidR="00577D08" w:rsidRDefault="00577D08">
            <w:pPr>
              <w:jc w:val="right"/>
              <w:rPr>
                <w:rFonts w:ascii="宋体" w:hAnsi="宋体" w:hint="eastAsia"/>
                <w:sz w:val="18"/>
                <w:szCs w:val="18"/>
              </w:rPr>
            </w:pPr>
          </w:p>
        </w:tc>
        <w:tc>
          <w:tcPr>
            <w:tcW w:w="283" w:type="dxa"/>
            <w:vAlign w:val="center"/>
          </w:tcPr>
          <w:p w14:paraId="68A091AD" w14:textId="77777777" w:rsidR="00577D08" w:rsidRDefault="00577D08">
            <w:pPr>
              <w:jc w:val="right"/>
              <w:rPr>
                <w:rFonts w:ascii="宋体" w:hAnsi="宋体" w:hint="eastAsia"/>
                <w:sz w:val="18"/>
                <w:szCs w:val="18"/>
              </w:rPr>
            </w:pPr>
          </w:p>
        </w:tc>
        <w:tc>
          <w:tcPr>
            <w:tcW w:w="1418" w:type="dxa"/>
            <w:vAlign w:val="center"/>
          </w:tcPr>
          <w:p w14:paraId="73017A0E" w14:textId="77777777" w:rsidR="00577D08" w:rsidRDefault="00577D08">
            <w:pPr>
              <w:jc w:val="right"/>
              <w:rPr>
                <w:rFonts w:ascii="宋体" w:hAnsi="宋体" w:hint="eastAsia"/>
                <w:sz w:val="18"/>
                <w:szCs w:val="18"/>
              </w:rPr>
            </w:pPr>
          </w:p>
        </w:tc>
        <w:tc>
          <w:tcPr>
            <w:tcW w:w="1417" w:type="dxa"/>
            <w:vAlign w:val="center"/>
          </w:tcPr>
          <w:p w14:paraId="1AB44D9F" w14:textId="77777777" w:rsidR="00577D08" w:rsidRDefault="00577D08">
            <w:pPr>
              <w:jc w:val="right"/>
              <w:rPr>
                <w:rFonts w:ascii="宋体" w:hAnsi="宋体" w:hint="eastAsia"/>
                <w:sz w:val="18"/>
                <w:szCs w:val="18"/>
              </w:rPr>
            </w:pPr>
          </w:p>
        </w:tc>
        <w:tc>
          <w:tcPr>
            <w:tcW w:w="1276" w:type="dxa"/>
            <w:vAlign w:val="center"/>
          </w:tcPr>
          <w:p w14:paraId="12127AD9" w14:textId="77777777" w:rsidR="00577D08" w:rsidRDefault="00577D08">
            <w:pPr>
              <w:jc w:val="right"/>
              <w:rPr>
                <w:rFonts w:ascii="宋体" w:hAnsi="宋体" w:hint="eastAsia"/>
                <w:sz w:val="18"/>
                <w:szCs w:val="18"/>
              </w:rPr>
            </w:pPr>
          </w:p>
        </w:tc>
        <w:tc>
          <w:tcPr>
            <w:tcW w:w="717" w:type="dxa"/>
            <w:vAlign w:val="center"/>
          </w:tcPr>
          <w:p w14:paraId="69FF7F24" w14:textId="77777777" w:rsidR="00577D08" w:rsidRDefault="00577D08">
            <w:pPr>
              <w:jc w:val="right"/>
              <w:rPr>
                <w:rFonts w:ascii="宋体" w:hAnsi="宋体" w:hint="eastAsia"/>
                <w:sz w:val="18"/>
                <w:szCs w:val="18"/>
              </w:rPr>
            </w:pPr>
          </w:p>
        </w:tc>
      </w:tr>
      <w:tr w:rsidR="00577D08" w14:paraId="0AB682DD" w14:textId="77777777">
        <w:tc>
          <w:tcPr>
            <w:tcW w:w="1239" w:type="dxa"/>
            <w:vAlign w:val="center"/>
          </w:tcPr>
          <w:p w14:paraId="4589D631" w14:textId="77777777" w:rsidR="00577D08" w:rsidRDefault="00330FC0">
            <w:pPr>
              <w:ind w:firstLineChars="300" w:firstLine="540"/>
              <w:rPr>
                <w:rFonts w:ascii="宋体" w:hAnsi="宋体" w:hint="eastAsia"/>
                <w:sz w:val="18"/>
                <w:szCs w:val="18"/>
              </w:rPr>
            </w:pPr>
            <w:r>
              <w:rPr>
                <w:rFonts w:ascii="宋体" w:hAnsi="宋体"/>
                <w:sz w:val="18"/>
                <w:szCs w:val="18"/>
              </w:rPr>
              <w:t>境内自然人持股</w:t>
            </w:r>
          </w:p>
        </w:tc>
        <w:tc>
          <w:tcPr>
            <w:tcW w:w="1279" w:type="dxa"/>
            <w:vAlign w:val="center"/>
          </w:tcPr>
          <w:p w14:paraId="53EAF8EE" w14:textId="77777777" w:rsidR="00577D08" w:rsidRDefault="00330FC0">
            <w:pPr>
              <w:jc w:val="right"/>
              <w:rPr>
                <w:rFonts w:ascii="宋体" w:hAnsi="宋体" w:hint="eastAsia"/>
                <w:sz w:val="18"/>
                <w:szCs w:val="18"/>
              </w:rPr>
            </w:pPr>
            <w:r>
              <w:rPr>
                <w:rFonts w:ascii="宋体" w:hAnsi="宋体"/>
                <w:sz w:val="18"/>
                <w:szCs w:val="18"/>
              </w:rPr>
              <w:t>146,461,541</w:t>
            </w:r>
          </w:p>
        </w:tc>
        <w:tc>
          <w:tcPr>
            <w:tcW w:w="709" w:type="dxa"/>
            <w:vAlign w:val="center"/>
          </w:tcPr>
          <w:p w14:paraId="785CA836" w14:textId="77777777" w:rsidR="00577D08" w:rsidRDefault="00330FC0">
            <w:pPr>
              <w:jc w:val="right"/>
              <w:rPr>
                <w:rFonts w:ascii="宋体" w:hAnsi="宋体" w:hint="eastAsia"/>
                <w:sz w:val="18"/>
                <w:szCs w:val="18"/>
              </w:rPr>
            </w:pPr>
            <w:r>
              <w:rPr>
                <w:rFonts w:ascii="宋体" w:hAnsi="宋体"/>
                <w:sz w:val="18"/>
                <w:szCs w:val="18"/>
              </w:rPr>
              <w:t>43.96</w:t>
            </w:r>
          </w:p>
        </w:tc>
        <w:tc>
          <w:tcPr>
            <w:tcW w:w="425" w:type="dxa"/>
            <w:vAlign w:val="center"/>
          </w:tcPr>
          <w:p w14:paraId="15AE1316" w14:textId="77777777" w:rsidR="00577D08" w:rsidRDefault="00577D08">
            <w:pPr>
              <w:jc w:val="right"/>
              <w:rPr>
                <w:rFonts w:ascii="宋体" w:hAnsi="宋体" w:hint="eastAsia"/>
                <w:sz w:val="18"/>
                <w:szCs w:val="18"/>
              </w:rPr>
            </w:pPr>
          </w:p>
        </w:tc>
        <w:tc>
          <w:tcPr>
            <w:tcW w:w="284" w:type="dxa"/>
            <w:vAlign w:val="center"/>
          </w:tcPr>
          <w:p w14:paraId="521EE305" w14:textId="77777777" w:rsidR="00577D08" w:rsidRDefault="00577D08">
            <w:pPr>
              <w:jc w:val="right"/>
              <w:rPr>
                <w:rFonts w:ascii="宋体" w:hAnsi="宋体" w:hint="eastAsia"/>
                <w:sz w:val="18"/>
                <w:szCs w:val="18"/>
              </w:rPr>
            </w:pPr>
          </w:p>
        </w:tc>
        <w:tc>
          <w:tcPr>
            <w:tcW w:w="283" w:type="dxa"/>
            <w:vAlign w:val="center"/>
          </w:tcPr>
          <w:p w14:paraId="05F82138" w14:textId="77777777" w:rsidR="00577D08" w:rsidRDefault="00577D08">
            <w:pPr>
              <w:jc w:val="right"/>
              <w:rPr>
                <w:rFonts w:ascii="宋体" w:hAnsi="宋体" w:hint="eastAsia"/>
                <w:sz w:val="18"/>
                <w:szCs w:val="18"/>
              </w:rPr>
            </w:pPr>
          </w:p>
        </w:tc>
        <w:tc>
          <w:tcPr>
            <w:tcW w:w="1418" w:type="dxa"/>
            <w:vAlign w:val="center"/>
          </w:tcPr>
          <w:p w14:paraId="1B1F1220" w14:textId="77777777" w:rsidR="00577D08" w:rsidRDefault="00330FC0">
            <w:pPr>
              <w:jc w:val="right"/>
              <w:rPr>
                <w:rFonts w:ascii="宋体" w:hAnsi="宋体" w:hint="eastAsia"/>
                <w:sz w:val="18"/>
                <w:szCs w:val="18"/>
              </w:rPr>
            </w:pPr>
            <w:r>
              <w:rPr>
                <w:rFonts w:ascii="宋体" w:hAnsi="宋体"/>
                <w:sz w:val="18"/>
                <w:szCs w:val="18"/>
              </w:rPr>
              <w:t>-144,145,541</w:t>
            </w:r>
          </w:p>
        </w:tc>
        <w:tc>
          <w:tcPr>
            <w:tcW w:w="1417" w:type="dxa"/>
            <w:vAlign w:val="center"/>
          </w:tcPr>
          <w:p w14:paraId="1207129F" w14:textId="77777777" w:rsidR="00577D08" w:rsidRDefault="00330FC0">
            <w:pPr>
              <w:jc w:val="right"/>
              <w:rPr>
                <w:rFonts w:ascii="宋体" w:hAnsi="宋体" w:hint="eastAsia"/>
                <w:sz w:val="18"/>
                <w:szCs w:val="18"/>
              </w:rPr>
            </w:pPr>
            <w:r>
              <w:rPr>
                <w:rFonts w:ascii="宋体" w:hAnsi="宋体"/>
                <w:sz w:val="18"/>
                <w:szCs w:val="18"/>
              </w:rPr>
              <w:t>-144,145,541</w:t>
            </w:r>
          </w:p>
        </w:tc>
        <w:tc>
          <w:tcPr>
            <w:tcW w:w="1276" w:type="dxa"/>
            <w:vAlign w:val="center"/>
          </w:tcPr>
          <w:p w14:paraId="34620BB2" w14:textId="77777777" w:rsidR="00577D08" w:rsidRDefault="00330FC0">
            <w:pPr>
              <w:jc w:val="right"/>
              <w:rPr>
                <w:rFonts w:ascii="宋体" w:hAnsi="宋体" w:hint="eastAsia"/>
                <w:sz w:val="18"/>
                <w:szCs w:val="18"/>
              </w:rPr>
            </w:pPr>
            <w:r>
              <w:rPr>
                <w:rFonts w:ascii="宋体" w:hAnsi="宋体"/>
                <w:sz w:val="18"/>
                <w:szCs w:val="18"/>
              </w:rPr>
              <w:t>2,316,000</w:t>
            </w:r>
          </w:p>
        </w:tc>
        <w:tc>
          <w:tcPr>
            <w:tcW w:w="717" w:type="dxa"/>
            <w:vAlign w:val="center"/>
          </w:tcPr>
          <w:p w14:paraId="30676C67" w14:textId="77777777" w:rsidR="00577D08" w:rsidRDefault="00330FC0">
            <w:pPr>
              <w:jc w:val="right"/>
              <w:rPr>
                <w:rFonts w:ascii="宋体" w:hAnsi="宋体" w:hint="eastAsia"/>
                <w:sz w:val="18"/>
                <w:szCs w:val="18"/>
              </w:rPr>
            </w:pPr>
            <w:r>
              <w:rPr>
                <w:rFonts w:ascii="宋体" w:hAnsi="宋体"/>
                <w:sz w:val="18"/>
                <w:szCs w:val="18"/>
              </w:rPr>
              <w:t>0.70</w:t>
            </w:r>
          </w:p>
        </w:tc>
      </w:tr>
      <w:tr w:rsidR="00577D08" w14:paraId="1F02D7F5" w14:textId="77777777">
        <w:tc>
          <w:tcPr>
            <w:tcW w:w="1239" w:type="dxa"/>
            <w:vAlign w:val="center"/>
          </w:tcPr>
          <w:p w14:paraId="16C70ACA" w14:textId="77777777" w:rsidR="00577D08" w:rsidRDefault="00330FC0">
            <w:pPr>
              <w:rPr>
                <w:rFonts w:ascii="宋体" w:hAnsi="宋体" w:hint="eastAsia"/>
                <w:sz w:val="18"/>
                <w:szCs w:val="18"/>
              </w:rPr>
            </w:pPr>
            <w:r>
              <w:rPr>
                <w:rFonts w:ascii="宋体" w:hAnsi="宋体" w:hint="eastAsia"/>
                <w:sz w:val="18"/>
                <w:szCs w:val="18"/>
              </w:rPr>
              <w:t>4、</w:t>
            </w:r>
            <w:r>
              <w:rPr>
                <w:rFonts w:ascii="宋体" w:hAnsi="宋体"/>
                <w:sz w:val="18"/>
                <w:szCs w:val="18"/>
              </w:rPr>
              <w:t>外资持股</w:t>
            </w:r>
          </w:p>
        </w:tc>
        <w:tc>
          <w:tcPr>
            <w:tcW w:w="1279" w:type="dxa"/>
            <w:vAlign w:val="center"/>
          </w:tcPr>
          <w:p w14:paraId="6CF5AB31" w14:textId="77777777" w:rsidR="00577D08" w:rsidRDefault="00577D08">
            <w:pPr>
              <w:jc w:val="right"/>
              <w:rPr>
                <w:rFonts w:ascii="宋体" w:hAnsi="宋体" w:hint="eastAsia"/>
                <w:sz w:val="18"/>
                <w:szCs w:val="18"/>
              </w:rPr>
            </w:pPr>
          </w:p>
        </w:tc>
        <w:tc>
          <w:tcPr>
            <w:tcW w:w="709" w:type="dxa"/>
            <w:vAlign w:val="center"/>
          </w:tcPr>
          <w:p w14:paraId="27B55F67" w14:textId="77777777" w:rsidR="00577D08" w:rsidRDefault="00577D08">
            <w:pPr>
              <w:jc w:val="right"/>
              <w:rPr>
                <w:rFonts w:ascii="宋体" w:hAnsi="宋体" w:hint="eastAsia"/>
                <w:sz w:val="18"/>
                <w:szCs w:val="18"/>
              </w:rPr>
            </w:pPr>
          </w:p>
        </w:tc>
        <w:tc>
          <w:tcPr>
            <w:tcW w:w="425" w:type="dxa"/>
            <w:vAlign w:val="center"/>
          </w:tcPr>
          <w:p w14:paraId="7419BBC5" w14:textId="77777777" w:rsidR="00577D08" w:rsidRDefault="00577D08">
            <w:pPr>
              <w:jc w:val="right"/>
              <w:rPr>
                <w:rFonts w:ascii="宋体" w:hAnsi="宋体" w:hint="eastAsia"/>
                <w:sz w:val="18"/>
                <w:szCs w:val="18"/>
              </w:rPr>
            </w:pPr>
          </w:p>
        </w:tc>
        <w:tc>
          <w:tcPr>
            <w:tcW w:w="284" w:type="dxa"/>
            <w:vAlign w:val="center"/>
          </w:tcPr>
          <w:p w14:paraId="1A456E1A" w14:textId="77777777" w:rsidR="00577D08" w:rsidRDefault="00577D08">
            <w:pPr>
              <w:jc w:val="right"/>
              <w:rPr>
                <w:rFonts w:ascii="宋体" w:hAnsi="宋体" w:hint="eastAsia"/>
                <w:sz w:val="18"/>
                <w:szCs w:val="18"/>
              </w:rPr>
            </w:pPr>
          </w:p>
        </w:tc>
        <w:tc>
          <w:tcPr>
            <w:tcW w:w="283" w:type="dxa"/>
            <w:vAlign w:val="center"/>
          </w:tcPr>
          <w:p w14:paraId="749DA6E5" w14:textId="77777777" w:rsidR="00577D08" w:rsidRDefault="00577D08">
            <w:pPr>
              <w:jc w:val="right"/>
              <w:rPr>
                <w:rFonts w:ascii="宋体" w:hAnsi="宋体" w:hint="eastAsia"/>
                <w:sz w:val="18"/>
                <w:szCs w:val="18"/>
              </w:rPr>
            </w:pPr>
          </w:p>
        </w:tc>
        <w:tc>
          <w:tcPr>
            <w:tcW w:w="1418" w:type="dxa"/>
            <w:vAlign w:val="center"/>
          </w:tcPr>
          <w:p w14:paraId="5F189C05" w14:textId="77777777" w:rsidR="00577D08" w:rsidRDefault="00577D08">
            <w:pPr>
              <w:jc w:val="right"/>
              <w:rPr>
                <w:rFonts w:ascii="宋体" w:hAnsi="宋体" w:hint="eastAsia"/>
                <w:sz w:val="18"/>
                <w:szCs w:val="18"/>
              </w:rPr>
            </w:pPr>
          </w:p>
        </w:tc>
        <w:tc>
          <w:tcPr>
            <w:tcW w:w="1417" w:type="dxa"/>
            <w:vAlign w:val="center"/>
          </w:tcPr>
          <w:p w14:paraId="4E265D55" w14:textId="77777777" w:rsidR="00577D08" w:rsidRDefault="00577D08">
            <w:pPr>
              <w:jc w:val="right"/>
              <w:rPr>
                <w:rFonts w:ascii="宋体" w:hAnsi="宋体" w:hint="eastAsia"/>
                <w:sz w:val="18"/>
                <w:szCs w:val="18"/>
              </w:rPr>
            </w:pPr>
          </w:p>
        </w:tc>
        <w:tc>
          <w:tcPr>
            <w:tcW w:w="1276" w:type="dxa"/>
            <w:vAlign w:val="center"/>
          </w:tcPr>
          <w:p w14:paraId="30D766D6" w14:textId="77777777" w:rsidR="00577D08" w:rsidRDefault="00577D08">
            <w:pPr>
              <w:jc w:val="right"/>
              <w:rPr>
                <w:rFonts w:ascii="宋体" w:hAnsi="宋体" w:hint="eastAsia"/>
                <w:sz w:val="18"/>
                <w:szCs w:val="18"/>
              </w:rPr>
            </w:pPr>
          </w:p>
        </w:tc>
        <w:tc>
          <w:tcPr>
            <w:tcW w:w="717" w:type="dxa"/>
            <w:vAlign w:val="center"/>
          </w:tcPr>
          <w:p w14:paraId="5290FB3B" w14:textId="77777777" w:rsidR="00577D08" w:rsidRDefault="00577D08">
            <w:pPr>
              <w:jc w:val="right"/>
              <w:rPr>
                <w:rFonts w:ascii="宋体" w:hAnsi="宋体" w:hint="eastAsia"/>
                <w:sz w:val="18"/>
                <w:szCs w:val="18"/>
              </w:rPr>
            </w:pPr>
          </w:p>
        </w:tc>
      </w:tr>
      <w:tr w:rsidR="00577D08" w14:paraId="586E8F75" w14:textId="77777777">
        <w:tc>
          <w:tcPr>
            <w:tcW w:w="1239" w:type="dxa"/>
            <w:vAlign w:val="center"/>
          </w:tcPr>
          <w:p w14:paraId="4B239D75" w14:textId="77777777" w:rsidR="00577D08" w:rsidRDefault="00330FC0">
            <w:pPr>
              <w:rPr>
                <w:rFonts w:ascii="宋体" w:hAnsi="宋体" w:hint="eastAsia"/>
                <w:sz w:val="18"/>
                <w:szCs w:val="18"/>
              </w:rPr>
            </w:pPr>
            <w:r>
              <w:rPr>
                <w:rFonts w:ascii="宋体" w:hAnsi="宋体"/>
                <w:sz w:val="18"/>
                <w:szCs w:val="18"/>
              </w:rPr>
              <w:t>其中：境外法人持股</w:t>
            </w:r>
          </w:p>
        </w:tc>
        <w:tc>
          <w:tcPr>
            <w:tcW w:w="1279" w:type="dxa"/>
            <w:vAlign w:val="center"/>
          </w:tcPr>
          <w:p w14:paraId="305C67F9" w14:textId="77777777" w:rsidR="00577D08" w:rsidRDefault="00577D08">
            <w:pPr>
              <w:jc w:val="right"/>
              <w:rPr>
                <w:rFonts w:ascii="宋体" w:hAnsi="宋体" w:hint="eastAsia"/>
                <w:sz w:val="18"/>
                <w:szCs w:val="18"/>
              </w:rPr>
            </w:pPr>
          </w:p>
        </w:tc>
        <w:tc>
          <w:tcPr>
            <w:tcW w:w="709" w:type="dxa"/>
            <w:vAlign w:val="center"/>
          </w:tcPr>
          <w:p w14:paraId="640D8675" w14:textId="77777777" w:rsidR="00577D08" w:rsidRDefault="00577D08">
            <w:pPr>
              <w:jc w:val="right"/>
              <w:rPr>
                <w:rFonts w:ascii="宋体" w:hAnsi="宋体" w:hint="eastAsia"/>
                <w:sz w:val="18"/>
                <w:szCs w:val="18"/>
              </w:rPr>
            </w:pPr>
          </w:p>
        </w:tc>
        <w:tc>
          <w:tcPr>
            <w:tcW w:w="425" w:type="dxa"/>
            <w:vAlign w:val="center"/>
          </w:tcPr>
          <w:p w14:paraId="75EC2FE3" w14:textId="77777777" w:rsidR="00577D08" w:rsidRDefault="00577D08">
            <w:pPr>
              <w:jc w:val="right"/>
              <w:rPr>
                <w:rFonts w:ascii="宋体" w:hAnsi="宋体" w:hint="eastAsia"/>
                <w:sz w:val="18"/>
                <w:szCs w:val="18"/>
              </w:rPr>
            </w:pPr>
          </w:p>
        </w:tc>
        <w:tc>
          <w:tcPr>
            <w:tcW w:w="284" w:type="dxa"/>
            <w:vAlign w:val="center"/>
          </w:tcPr>
          <w:p w14:paraId="00F5FB33" w14:textId="77777777" w:rsidR="00577D08" w:rsidRDefault="00577D08">
            <w:pPr>
              <w:jc w:val="right"/>
              <w:rPr>
                <w:rFonts w:ascii="宋体" w:hAnsi="宋体" w:hint="eastAsia"/>
                <w:sz w:val="18"/>
                <w:szCs w:val="18"/>
              </w:rPr>
            </w:pPr>
          </w:p>
        </w:tc>
        <w:tc>
          <w:tcPr>
            <w:tcW w:w="283" w:type="dxa"/>
            <w:vAlign w:val="center"/>
          </w:tcPr>
          <w:p w14:paraId="77B27E02" w14:textId="77777777" w:rsidR="00577D08" w:rsidRDefault="00577D08">
            <w:pPr>
              <w:jc w:val="right"/>
              <w:rPr>
                <w:rFonts w:ascii="宋体" w:hAnsi="宋体" w:hint="eastAsia"/>
                <w:sz w:val="18"/>
                <w:szCs w:val="18"/>
              </w:rPr>
            </w:pPr>
          </w:p>
        </w:tc>
        <w:tc>
          <w:tcPr>
            <w:tcW w:w="1418" w:type="dxa"/>
            <w:vAlign w:val="center"/>
          </w:tcPr>
          <w:p w14:paraId="1599128F" w14:textId="77777777" w:rsidR="00577D08" w:rsidRDefault="00577D08">
            <w:pPr>
              <w:jc w:val="right"/>
              <w:rPr>
                <w:rFonts w:ascii="宋体" w:hAnsi="宋体" w:hint="eastAsia"/>
                <w:sz w:val="18"/>
                <w:szCs w:val="18"/>
              </w:rPr>
            </w:pPr>
          </w:p>
        </w:tc>
        <w:tc>
          <w:tcPr>
            <w:tcW w:w="1417" w:type="dxa"/>
            <w:vAlign w:val="center"/>
          </w:tcPr>
          <w:p w14:paraId="2C69B252" w14:textId="77777777" w:rsidR="00577D08" w:rsidRDefault="00577D08">
            <w:pPr>
              <w:jc w:val="right"/>
              <w:rPr>
                <w:rFonts w:ascii="宋体" w:hAnsi="宋体" w:hint="eastAsia"/>
                <w:sz w:val="18"/>
                <w:szCs w:val="18"/>
              </w:rPr>
            </w:pPr>
          </w:p>
        </w:tc>
        <w:tc>
          <w:tcPr>
            <w:tcW w:w="1276" w:type="dxa"/>
            <w:vAlign w:val="center"/>
          </w:tcPr>
          <w:p w14:paraId="6DEABA5E" w14:textId="77777777" w:rsidR="00577D08" w:rsidRDefault="00577D08">
            <w:pPr>
              <w:jc w:val="right"/>
              <w:rPr>
                <w:rFonts w:ascii="宋体" w:hAnsi="宋体" w:hint="eastAsia"/>
                <w:sz w:val="18"/>
                <w:szCs w:val="18"/>
              </w:rPr>
            </w:pPr>
          </w:p>
        </w:tc>
        <w:tc>
          <w:tcPr>
            <w:tcW w:w="717" w:type="dxa"/>
            <w:vAlign w:val="center"/>
          </w:tcPr>
          <w:p w14:paraId="60FCAC65" w14:textId="77777777" w:rsidR="00577D08" w:rsidRDefault="00577D08">
            <w:pPr>
              <w:jc w:val="right"/>
              <w:rPr>
                <w:rFonts w:ascii="宋体" w:hAnsi="宋体" w:hint="eastAsia"/>
                <w:sz w:val="18"/>
                <w:szCs w:val="18"/>
              </w:rPr>
            </w:pPr>
          </w:p>
        </w:tc>
      </w:tr>
      <w:tr w:rsidR="00577D08" w14:paraId="0089F3FC" w14:textId="77777777">
        <w:tc>
          <w:tcPr>
            <w:tcW w:w="1239" w:type="dxa"/>
            <w:vAlign w:val="center"/>
          </w:tcPr>
          <w:p w14:paraId="24826382" w14:textId="77777777" w:rsidR="00577D08" w:rsidRDefault="00330FC0">
            <w:pPr>
              <w:ind w:firstLineChars="300" w:firstLine="540"/>
              <w:rPr>
                <w:rFonts w:ascii="宋体" w:hAnsi="宋体" w:hint="eastAsia"/>
                <w:sz w:val="18"/>
                <w:szCs w:val="18"/>
              </w:rPr>
            </w:pPr>
            <w:r>
              <w:rPr>
                <w:rFonts w:ascii="宋体" w:hAnsi="宋体"/>
                <w:sz w:val="18"/>
                <w:szCs w:val="18"/>
              </w:rPr>
              <w:t>境外自然人持股</w:t>
            </w:r>
          </w:p>
        </w:tc>
        <w:tc>
          <w:tcPr>
            <w:tcW w:w="1279" w:type="dxa"/>
            <w:vAlign w:val="center"/>
          </w:tcPr>
          <w:p w14:paraId="39302A33" w14:textId="77777777" w:rsidR="00577D08" w:rsidRDefault="00577D08">
            <w:pPr>
              <w:jc w:val="right"/>
              <w:rPr>
                <w:rFonts w:ascii="宋体" w:hAnsi="宋体" w:hint="eastAsia"/>
                <w:sz w:val="18"/>
                <w:szCs w:val="18"/>
              </w:rPr>
            </w:pPr>
          </w:p>
        </w:tc>
        <w:tc>
          <w:tcPr>
            <w:tcW w:w="709" w:type="dxa"/>
            <w:vAlign w:val="center"/>
          </w:tcPr>
          <w:p w14:paraId="07CFB44F" w14:textId="77777777" w:rsidR="00577D08" w:rsidRDefault="00577D08">
            <w:pPr>
              <w:jc w:val="right"/>
              <w:rPr>
                <w:rFonts w:ascii="宋体" w:hAnsi="宋体" w:hint="eastAsia"/>
                <w:sz w:val="18"/>
                <w:szCs w:val="18"/>
              </w:rPr>
            </w:pPr>
          </w:p>
        </w:tc>
        <w:tc>
          <w:tcPr>
            <w:tcW w:w="425" w:type="dxa"/>
            <w:vAlign w:val="center"/>
          </w:tcPr>
          <w:p w14:paraId="4644DCA4" w14:textId="77777777" w:rsidR="00577D08" w:rsidRDefault="00577D08">
            <w:pPr>
              <w:jc w:val="right"/>
              <w:rPr>
                <w:rFonts w:ascii="宋体" w:hAnsi="宋体" w:hint="eastAsia"/>
                <w:sz w:val="18"/>
                <w:szCs w:val="18"/>
              </w:rPr>
            </w:pPr>
          </w:p>
        </w:tc>
        <w:tc>
          <w:tcPr>
            <w:tcW w:w="284" w:type="dxa"/>
            <w:vAlign w:val="center"/>
          </w:tcPr>
          <w:p w14:paraId="5AD16448" w14:textId="77777777" w:rsidR="00577D08" w:rsidRDefault="00577D08">
            <w:pPr>
              <w:jc w:val="right"/>
              <w:rPr>
                <w:rFonts w:ascii="宋体" w:hAnsi="宋体" w:hint="eastAsia"/>
                <w:sz w:val="18"/>
                <w:szCs w:val="18"/>
              </w:rPr>
            </w:pPr>
          </w:p>
        </w:tc>
        <w:tc>
          <w:tcPr>
            <w:tcW w:w="283" w:type="dxa"/>
            <w:vAlign w:val="center"/>
          </w:tcPr>
          <w:p w14:paraId="2E00FCCB" w14:textId="77777777" w:rsidR="00577D08" w:rsidRDefault="00577D08">
            <w:pPr>
              <w:jc w:val="right"/>
              <w:rPr>
                <w:rFonts w:ascii="宋体" w:hAnsi="宋体" w:hint="eastAsia"/>
                <w:sz w:val="18"/>
                <w:szCs w:val="18"/>
              </w:rPr>
            </w:pPr>
          </w:p>
        </w:tc>
        <w:tc>
          <w:tcPr>
            <w:tcW w:w="1418" w:type="dxa"/>
            <w:vAlign w:val="center"/>
          </w:tcPr>
          <w:p w14:paraId="76EEBB07" w14:textId="77777777" w:rsidR="00577D08" w:rsidRDefault="00577D08">
            <w:pPr>
              <w:jc w:val="right"/>
              <w:rPr>
                <w:rFonts w:ascii="宋体" w:hAnsi="宋体" w:hint="eastAsia"/>
                <w:sz w:val="18"/>
                <w:szCs w:val="18"/>
              </w:rPr>
            </w:pPr>
          </w:p>
        </w:tc>
        <w:tc>
          <w:tcPr>
            <w:tcW w:w="1417" w:type="dxa"/>
            <w:vAlign w:val="center"/>
          </w:tcPr>
          <w:p w14:paraId="3F8A0017" w14:textId="77777777" w:rsidR="00577D08" w:rsidRDefault="00577D08">
            <w:pPr>
              <w:jc w:val="right"/>
              <w:rPr>
                <w:rFonts w:ascii="宋体" w:hAnsi="宋体" w:hint="eastAsia"/>
                <w:sz w:val="18"/>
                <w:szCs w:val="18"/>
              </w:rPr>
            </w:pPr>
          </w:p>
        </w:tc>
        <w:tc>
          <w:tcPr>
            <w:tcW w:w="1276" w:type="dxa"/>
            <w:vAlign w:val="center"/>
          </w:tcPr>
          <w:p w14:paraId="2C3258A2" w14:textId="77777777" w:rsidR="00577D08" w:rsidRDefault="00577D08">
            <w:pPr>
              <w:jc w:val="right"/>
              <w:rPr>
                <w:rFonts w:ascii="宋体" w:hAnsi="宋体" w:hint="eastAsia"/>
                <w:sz w:val="18"/>
                <w:szCs w:val="18"/>
              </w:rPr>
            </w:pPr>
          </w:p>
        </w:tc>
        <w:tc>
          <w:tcPr>
            <w:tcW w:w="717" w:type="dxa"/>
            <w:vAlign w:val="center"/>
          </w:tcPr>
          <w:p w14:paraId="227F165F" w14:textId="77777777" w:rsidR="00577D08" w:rsidRDefault="00577D08">
            <w:pPr>
              <w:jc w:val="right"/>
              <w:rPr>
                <w:rFonts w:ascii="宋体" w:hAnsi="宋体" w:hint="eastAsia"/>
                <w:sz w:val="18"/>
                <w:szCs w:val="18"/>
              </w:rPr>
            </w:pPr>
          </w:p>
        </w:tc>
      </w:tr>
      <w:tr w:rsidR="00577D08" w14:paraId="112D4093" w14:textId="77777777">
        <w:tc>
          <w:tcPr>
            <w:tcW w:w="1239" w:type="dxa"/>
            <w:vAlign w:val="center"/>
          </w:tcPr>
          <w:p w14:paraId="4761CA3C" w14:textId="77777777" w:rsidR="00577D08" w:rsidRDefault="00330FC0">
            <w:pPr>
              <w:pStyle w:val="ab"/>
              <w:rPr>
                <w:rFonts w:ascii="宋体" w:hAnsi="宋体" w:hint="eastAsia"/>
                <w:sz w:val="18"/>
                <w:szCs w:val="18"/>
              </w:rPr>
            </w:pPr>
            <w:r>
              <w:rPr>
                <w:rFonts w:ascii="宋体" w:hAnsi="宋体"/>
                <w:sz w:val="18"/>
                <w:szCs w:val="18"/>
              </w:rPr>
              <w:t>二、无限售条件流通股份</w:t>
            </w:r>
          </w:p>
        </w:tc>
        <w:tc>
          <w:tcPr>
            <w:tcW w:w="1279" w:type="dxa"/>
            <w:vAlign w:val="center"/>
          </w:tcPr>
          <w:p w14:paraId="0D9848C7" w14:textId="77777777" w:rsidR="00577D08" w:rsidRDefault="00330FC0">
            <w:pPr>
              <w:jc w:val="right"/>
              <w:rPr>
                <w:rFonts w:ascii="宋体" w:hAnsi="宋体" w:hint="eastAsia"/>
                <w:sz w:val="18"/>
                <w:szCs w:val="18"/>
              </w:rPr>
            </w:pPr>
            <w:r>
              <w:rPr>
                <w:rFonts w:ascii="宋体" w:hAnsi="宋体"/>
                <w:sz w:val="18"/>
                <w:szCs w:val="18"/>
              </w:rPr>
              <w:t>186,705,866</w:t>
            </w:r>
          </w:p>
        </w:tc>
        <w:tc>
          <w:tcPr>
            <w:tcW w:w="709" w:type="dxa"/>
            <w:vAlign w:val="center"/>
          </w:tcPr>
          <w:p w14:paraId="262CA53B" w14:textId="77777777" w:rsidR="00577D08" w:rsidRDefault="00330FC0">
            <w:pPr>
              <w:jc w:val="right"/>
              <w:rPr>
                <w:rFonts w:ascii="宋体" w:hAnsi="宋体" w:hint="eastAsia"/>
                <w:sz w:val="18"/>
                <w:szCs w:val="18"/>
              </w:rPr>
            </w:pPr>
            <w:r>
              <w:rPr>
                <w:rFonts w:ascii="宋体" w:hAnsi="宋体"/>
                <w:sz w:val="18"/>
                <w:szCs w:val="18"/>
              </w:rPr>
              <w:t>56.04</w:t>
            </w:r>
          </w:p>
        </w:tc>
        <w:tc>
          <w:tcPr>
            <w:tcW w:w="425" w:type="dxa"/>
            <w:vAlign w:val="center"/>
          </w:tcPr>
          <w:p w14:paraId="19CB7EFC" w14:textId="77777777" w:rsidR="00577D08" w:rsidRDefault="00577D08">
            <w:pPr>
              <w:jc w:val="right"/>
              <w:rPr>
                <w:rFonts w:ascii="宋体" w:hAnsi="宋体" w:hint="eastAsia"/>
                <w:sz w:val="18"/>
                <w:szCs w:val="18"/>
              </w:rPr>
            </w:pPr>
          </w:p>
        </w:tc>
        <w:tc>
          <w:tcPr>
            <w:tcW w:w="284" w:type="dxa"/>
            <w:vAlign w:val="center"/>
          </w:tcPr>
          <w:p w14:paraId="2ED34604" w14:textId="77777777" w:rsidR="00577D08" w:rsidRDefault="00577D08">
            <w:pPr>
              <w:jc w:val="right"/>
              <w:rPr>
                <w:rFonts w:ascii="宋体" w:hAnsi="宋体" w:hint="eastAsia"/>
                <w:sz w:val="18"/>
                <w:szCs w:val="18"/>
              </w:rPr>
            </w:pPr>
          </w:p>
        </w:tc>
        <w:tc>
          <w:tcPr>
            <w:tcW w:w="283" w:type="dxa"/>
            <w:vAlign w:val="center"/>
          </w:tcPr>
          <w:p w14:paraId="7A31D154" w14:textId="77777777" w:rsidR="00577D08" w:rsidRDefault="00577D08">
            <w:pPr>
              <w:jc w:val="right"/>
              <w:rPr>
                <w:rFonts w:ascii="宋体" w:hAnsi="宋体" w:hint="eastAsia"/>
                <w:sz w:val="18"/>
                <w:szCs w:val="18"/>
              </w:rPr>
            </w:pPr>
          </w:p>
        </w:tc>
        <w:tc>
          <w:tcPr>
            <w:tcW w:w="1418" w:type="dxa"/>
            <w:vAlign w:val="center"/>
          </w:tcPr>
          <w:p w14:paraId="64388776" w14:textId="77777777" w:rsidR="00577D08" w:rsidRDefault="00330FC0">
            <w:pPr>
              <w:jc w:val="right"/>
              <w:rPr>
                <w:rFonts w:ascii="宋体" w:hAnsi="宋体" w:hint="eastAsia"/>
                <w:sz w:val="18"/>
                <w:szCs w:val="18"/>
              </w:rPr>
            </w:pPr>
            <w:r>
              <w:rPr>
                <w:rFonts w:ascii="宋体" w:hAnsi="宋体"/>
                <w:sz w:val="18"/>
                <w:szCs w:val="18"/>
              </w:rPr>
              <w:t>143,331,541</w:t>
            </w:r>
          </w:p>
        </w:tc>
        <w:tc>
          <w:tcPr>
            <w:tcW w:w="1417" w:type="dxa"/>
            <w:vAlign w:val="center"/>
          </w:tcPr>
          <w:p w14:paraId="67B1B51F" w14:textId="77777777" w:rsidR="00577D08" w:rsidRDefault="00330FC0">
            <w:pPr>
              <w:jc w:val="right"/>
              <w:rPr>
                <w:rFonts w:ascii="宋体" w:hAnsi="宋体" w:hint="eastAsia"/>
                <w:sz w:val="18"/>
                <w:szCs w:val="18"/>
              </w:rPr>
            </w:pPr>
            <w:r>
              <w:rPr>
                <w:rFonts w:ascii="宋体" w:hAnsi="宋体"/>
                <w:sz w:val="18"/>
                <w:szCs w:val="18"/>
              </w:rPr>
              <w:t>143,331,541</w:t>
            </w:r>
          </w:p>
        </w:tc>
        <w:tc>
          <w:tcPr>
            <w:tcW w:w="1276" w:type="dxa"/>
            <w:vAlign w:val="center"/>
          </w:tcPr>
          <w:p w14:paraId="277E5EC0" w14:textId="77777777" w:rsidR="00577D08" w:rsidRDefault="00330FC0">
            <w:pPr>
              <w:jc w:val="right"/>
              <w:rPr>
                <w:rFonts w:ascii="宋体" w:hAnsi="宋体" w:hint="eastAsia"/>
                <w:sz w:val="18"/>
                <w:szCs w:val="18"/>
              </w:rPr>
            </w:pPr>
            <w:r>
              <w:rPr>
                <w:rFonts w:ascii="宋体" w:hAnsi="宋体"/>
                <w:sz w:val="18"/>
                <w:szCs w:val="18"/>
              </w:rPr>
              <w:t>330,037,407</w:t>
            </w:r>
          </w:p>
        </w:tc>
        <w:tc>
          <w:tcPr>
            <w:tcW w:w="717" w:type="dxa"/>
            <w:vAlign w:val="center"/>
          </w:tcPr>
          <w:p w14:paraId="3605A239" w14:textId="77777777" w:rsidR="00577D08" w:rsidRDefault="00330FC0">
            <w:pPr>
              <w:jc w:val="right"/>
              <w:rPr>
                <w:rFonts w:ascii="宋体" w:hAnsi="宋体" w:hint="eastAsia"/>
                <w:sz w:val="18"/>
                <w:szCs w:val="18"/>
              </w:rPr>
            </w:pPr>
            <w:r>
              <w:rPr>
                <w:rFonts w:ascii="宋体" w:hAnsi="宋体" w:hint="eastAsia"/>
                <w:sz w:val="18"/>
                <w:szCs w:val="18"/>
              </w:rPr>
              <w:t>99.30</w:t>
            </w:r>
          </w:p>
        </w:tc>
      </w:tr>
      <w:tr w:rsidR="00577D08" w14:paraId="09A05577" w14:textId="77777777">
        <w:tc>
          <w:tcPr>
            <w:tcW w:w="1239" w:type="dxa"/>
            <w:vAlign w:val="center"/>
          </w:tcPr>
          <w:p w14:paraId="1012EF0B" w14:textId="77777777" w:rsidR="00577D08" w:rsidRDefault="00330FC0">
            <w:pPr>
              <w:rPr>
                <w:rFonts w:ascii="宋体" w:hAnsi="宋体" w:hint="eastAsia"/>
                <w:sz w:val="18"/>
                <w:szCs w:val="18"/>
              </w:rPr>
            </w:pPr>
            <w:r>
              <w:rPr>
                <w:rFonts w:ascii="宋体" w:hAnsi="宋体"/>
                <w:sz w:val="18"/>
                <w:szCs w:val="18"/>
              </w:rPr>
              <w:t>1、人民币普通股</w:t>
            </w:r>
          </w:p>
        </w:tc>
        <w:tc>
          <w:tcPr>
            <w:tcW w:w="1279" w:type="dxa"/>
            <w:vAlign w:val="center"/>
          </w:tcPr>
          <w:p w14:paraId="41692FD8" w14:textId="77777777" w:rsidR="00577D08" w:rsidRDefault="00577D08">
            <w:pPr>
              <w:jc w:val="right"/>
              <w:rPr>
                <w:rFonts w:ascii="宋体" w:hAnsi="宋体" w:hint="eastAsia"/>
                <w:sz w:val="18"/>
                <w:szCs w:val="18"/>
              </w:rPr>
            </w:pPr>
          </w:p>
        </w:tc>
        <w:tc>
          <w:tcPr>
            <w:tcW w:w="709" w:type="dxa"/>
            <w:vAlign w:val="center"/>
          </w:tcPr>
          <w:p w14:paraId="7B5D49CE" w14:textId="77777777" w:rsidR="00577D08" w:rsidRDefault="00577D08">
            <w:pPr>
              <w:jc w:val="right"/>
              <w:rPr>
                <w:rFonts w:ascii="宋体" w:hAnsi="宋体" w:hint="eastAsia"/>
                <w:sz w:val="18"/>
                <w:szCs w:val="18"/>
              </w:rPr>
            </w:pPr>
          </w:p>
        </w:tc>
        <w:tc>
          <w:tcPr>
            <w:tcW w:w="425" w:type="dxa"/>
            <w:vAlign w:val="center"/>
          </w:tcPr>
          <w:p w14:paraId="44E569F5" w14:textId="77777777" w:rsidR="00577D08" w:rsidRDefault="00577D08">
            <w:pPr>
              <w:jc w:val="right"/>
              <w:rPr>
                <w:rFonts w:ascii="宋体" w:hAnsi="宋体" w:hint="eastAsia"/>
                <w:sz w:val="18"/>
                <w:szCs w:val="18"/>
              </w:rPr>
            </w:pPr>
          </w:p>
        </w:tc>
        <w:tc>
          <w:tcPr>
            <w:tcW w:w="284" w:type="dxa"/>
            <w:vAlign w:val="center"/>
          </w:tcPr>
          <w:p w14:paraId="301EBB3D" w14:textId="77777777" w:rsidR="00577D08" w:rsidRDefault="00577D08">
            <w:pPr>
              <w:jc w:val="right"/>
              <w:rPr>
                <w:rFonts w:ascii="宋体" w:hAnsi="宋体" w:hint="eastAsia"/>
                <w:sz w:val="18"/>
                <w:szCs w:val="18"/>
              </w:rPr>
            </w:pPr>
          </w:p>
        </w:tc>
        <w:tc>
          <w:tcPr>
            <w:tcW w:w="283" w:type="dxa"/>
            <w:vAlign w:val="center"/>
          </w:tcPr>
          <w:p w14:paraId="2601E7D5" w14:textId="77777777" w:rsidR="00577D08" w:rsidRDefault="00577D08">
            <w:pPr>
              <w:jc w:val="right"/>
              <w:rPr>
                <w:rFonts w:ascii="宋体" w:hAnsi="宋体" w:hint="eastAsia"/>
                <w:sz w:val="18"/>
                <w:szCs w:val="18"/>
              </w:rPr>
            </w:pPr>
          </w:p>
        </w:tc>
        <w:tc>
          <w:tcPr>
            <w:tcW w:w="1418" w:type="dxa"/>
            <w:vAlign w:val="center"/>
          </w:tcPr>
          <w:p w14:paraId="32279399" w14:textId="77777777" w:rsidR="00577D08" w:rsidRDefault="00577D08">
            <w:pPr>
              <w:jc w:val="right"/>
              <w:rPr>
                <w:rFonts w:ascii="宋体" w:hAnsi="宋体" w:hint="eastAsia"/>
                <w:sz w:val="18"/>
                <w:szCs w:val="18"/>
              </w:rPr>
            </w:pPr>
          </w:p>
        </w:tc>
        <w:tc>
          <w:tcPr>
            <w:tcW w:w="1417" w:type="dxa"/>
            <w:vAlign w:val="center"/>
          </w:tcPr>
          <w:p w14:paraId="3356176B" w14:textId="77777777" w:rsidR="00577D08" w:rsidRDefault="00577D08">
            <w:pPr>
              <w:jc w:val="right"/>
              <w:rPr>
                <w:rFonts w:ascii="宋体" w:hAnsi="宋体" w:hint="eastAsia"/>
                <w:sz w:val="18"/>
                <w:szCs w:val="18"/>
              </w:rPr>
            </w:pPr>
          </w:p>
        </w:tc>
        <w:tc>
          <w:tcPr>
            <w:tcW w:w="1276" w:type="dxa"/>
            <w:vAlign w:val="center"/>
          </w:tcPr>
          <w:p w14:paraId="08CD3E9D" w14:textId="77777777" w:rsidR="00577D08" w:rsidRDefault="00577D08">
            <w:pPr>
              <w:jc w:val="right"/>
              <w:rPr>
                <w:rFonts w:ascii="宋体" w:hAnsi="宋体" w:hint="eastAsia"/>
                <w:sz w:val="18"/>
                <w:szCs w:val="18"/>
              </w:rPr>
            </w:pPr>
          </w:p>
        </w:tc>
        <w:tc>
          <w:tcPr>
            <w:tcW w:w="717" w:type="dxa"/>
            <w:vAlign w:val="center"/>
          </w:tcPr>
          <w:p w14:paraId="44E7BF3D" w14:textId="77777777" w:rsidR="00577D08" w:rsidRDefault="00577D08">
            <w:pPr>
              <w:jc w:val="right"/>
              <w:rPr>
                <w:rFonts w:ascii="宋体" w:hAnsi="宋体" w:hint="eastAsia"/>
                <w:sz w:val="18"/>
                <w:szCs w:val="18"/>
              </w:rPr>
            </w:pPr>
          </w:p>
        </w:tc>
      </w:tr>
      <w:tr w:rsidR="00577D08" w14:paraId="3CB018A4" w14:textId="77777777">
        <w:tc>
          <w:tcPr>
            <w:tcW w:w="1239" w:type="dxa"/>
            <w:vAlign w:val="center"/>
          </w:tcPr>
          <w:p w14:paraId="66FB6296" w14:textId="77777777" w:rsidR="00577D08" w:rsidRDefault="00330FC0">
            <w:pPr>
              <w:rPr>
                <w:rFonts w:ascii="宋体" w:hAnsi="宋体" w:hint="eastAsia"/>
                <w:sz w:val="18"/>
                <w:szCs w:val="18"/>
              </w:rPr>
            </w:pPr>
            <w:r>
              <w:rPr>
                <w:rFonts w:ascii="宋体" w:hAnsi="宋体"/>
                <w:sz w:val="18"/>
                <w:szCs w:val="18"/>
              </w:rPr>
              <w:t>2、境内上市的外资股</w:t>
            </w:r>
          </w:p>
        </w:tc>
        <w:tc>
          <w:tcPr>
            <w:tcW w:w="1279" w:type="dxa"/>
            <w:vAlign w:val="center"/>
          </w:tcPr>
          <w:p w14:paraId="550202B6" w14:textId="77777777" w:rsidR="00577D08" w:rsidRDefault="00577D08">
            <w:pPr>
              <w:jc w:val="right"/>
              <w:rPr>
                <w:rFonts w:ascii="宋体" w:hAnsi="宋体" w:hint="eastAsia"/>
                <w:sz w:val="18"/>
                <w:szCs w:val="18"/>
              </w:rPr>
            </w:pPr>
          </w:p>
        </w:tc>
        <w:tc>
          <w:tcPr>
            <w:tcW w:w="709" w:type="dxa"/>
            <w:vAlign w:val="center"/>
          </w:tcPr>
          <w:p w14:paraId="492EE160" w14:textId="77777777" w:rsidR="00577D08" w:rsidRDefault="00577D08">
            <w:pPr>
              <w:jc w:val="right"/>
              <w:rPr>
                <w:rFonts w:ascii="宋体" w:hAnsi="宋体" w:hint="eastAsia"/>
                <w:sz w:val="18"/>
                <w:szCs w:val="18"/>
              </w:rPr>
            </w:pPr>
          </w:p>
        </w:tc>
        <w:tc>
          <w:tcPr>
            <w:tcW w:w="425" w:type="dxa"/>
            <w:vAlign w:val="center"/>
          </w:tcPr>
          <w:p w14:paraId="2688F0E0" w14:textId="77777777" w:rsidR="00577D08" w:rsidRDefault="00577D08">
            <w:pPr>
              <w:jc w:val="right"/>
              <w:rPr>
                <w:rFonts w:ascii="宋体" w:hAnsi="宋体" w:hint="eastAsia"/>
                <w:sz w:val="18"/>
                <w:szCs w:val="18"/>
              </w:rPr>
            </w:pPr>
          </w:p>
        </w:tc>
        <w:tc>
          <w:tcPr>
            <w:tcW w:w="284" w:type="dxa"/>
            <w:vAlign w:val="center"/>
          </w:tcPr>
          <w:p w14:paraId="6E8D8269" w14:textId="77777777" w:rsidR="00577D08" w:rsidRDefault="00577D08">
            <w:pPr>
              <w:jc w:val="right"/>
              <w:rPr>
                <w:rFonts w:ascii="宋体" w:hAnsi="宋体" w:hint="eastAsia"/>
                <w:sz w:val="18"/>
                <w:szCs w:val="18"/>
              </w:rPr>
            </w:pPr>
          </w:p>
        </w:tc>
        <w:tc>
          <w:tcPr>
            <w:tcW w:w="283" w:type="dxa"/>
            <w:vAlign w:val="center"/>
          </w:tcPr>
          <w:p w14:paraId="45D0E976" w14:textId="77777777" w:rsidR="00577D08" w:rsidRDefault="00577D08">
            <w:pPr>
              <w:jc w:val="right"/>
              <w:rPr>
                <w:rFonts w:ascii="宋体" w:hAnsi="宋体" w:hint="eastAsia"/>
                <w:sz w:val="18"/>
                <w:szCs w:val="18"/>
              </w:rPr>
            </w:pPr>
          </w:p>
        </w:tc>
        <w:tc>
          <w:tcPr>
            <w:tcW w:w="1418" w:type="dxa"/>
            <w:vAlign w:val="center"/>
          </w:tcPr>
          <w:p w14:paraId="7A991C52" w14:textId="77777777" w:rsidR="00577D08" w:rsidRDefault="00577D08">
            <w:pPr>
              <w:jc w:val="right"/>
              <w:rPr>
                <w:rFonts w:ascii="宋体" w:hAnsi="宋体" w:hint="eastAsia"/>
                <w:sz w:val="18"/>
                <w:szCs w:val="18"/>
              </w:rPr>
            </w:pPr>
          </w:p>
        </w:tc>
        <w:tc>
          <w:tcPr>
            <w:tcW w:w="1417" w:type="dxa"/>
            <w:vAlign w:val="center"/>
          </w:tcPr>
          <w:p w14:paraId="5EE0686E" w14:textId="77777777" w:rsidR="00577D08" w:rsidRDefault="00577D08">
            <w:pPr>
              <w:jc w:val="right"/>
              <w:rPr>
                <w:rFonts w:ascii="宋体" w:hAnsi="宋体" w:hint="eastAsia"/>
                <w:sz w:val="18"/>
                <w:szCs w:val="18"/>
              </w:rPr>
            </w:pPr>
          </w:p>
        </w:tc>
        <w:tc>
          <w:tcPr>
            <w:tcW w:w="1276" w:type="dxa"/>
            <w:vAlign w:val="center"/>
          </w:tcPr>
          <w:p w14:paraId="62131A80" w14:textId="77777777" w:rsidR="00577D08" w:rsidRDefault="00577D08">
            <w:pPr>
              <w:jc w:val="right"/>
              <w:rPr>
                <w:rFonts w:ascii="宋体" w:hAnsi="宋体" w:hint="eastAsia"/>
                <w:sz w:val="18"/>
                <w:szCs w:val="18"/>
              </w:rPr>
            </w:pPr>
          </w:p>
        </w:tc>
        <w:tc>
          <w:tcPr>
            <w:tcW w:w="717" w:type="dxa"/>
            <w:vAlign w:val="center"/>
          </w:tcPr>
          <w:p w14:paraId="11EC98D7" w14:textId="77777777" w:rsidR="00577D08" w:rsidRDefault="00577D08">
            <w:pPr>
              <w:jc w:val="right"/>
              <w:rPr>
                <w:rFonts w:ascii="宋体" w:hAnsi="宋体" w:hint="eastAsia"/>
                <w:sz w:val="18"/>
                <w:szCs w:val="18"/>
              </w:rPr>
            </w:pPr>
          </w:p>
        </w:tc>
      </w:tr>
      <w:tr w:rsidR="00577D08" w14:paraId="7A97D690" w14:textId="77777777">
        <w:tc>
          <w:tcPr>
            <w:tcW w:w="1239" w:type="dxa"/>
            <w:vAlign w:val="center"/>
          </w:tcPr>
          <w:p w14:paraId="4AAE2FAF" w14:textId="77777777" w:rsidR="00577D08" w:rsidRDefault="00330FC0">
            <w:pPr>
              <w:rPr>
                <w:rFonts w:ascii="宋体" w:hAnsi="宋体" w:hint="eastAsia"/>
                <w:sz w:val="18"/>
                <w:szCs w:val="18"/>
              </w:rPr>
            </w:pPr>
            <w:r>
              <w:rPr>
                <w:rFonts w:ascii="宋体" w:hAnsi="宋体"/>
                <w:sz w:val="18"/>
                <w:szCs w:val="18"/>
              </w:rPr>
              <w:t>3、境外上市的外资股</w:t>
            </w:r>
          </w:p>
        </w:tc>
        <w:tc>
          <w:tcPr>
            <w:tcW w:w="1279" w:type="dxa"/>
            <w:vAlign w:val="center"/>
          </w:tcPr>
          <w:p w14:paraId="176819D4" w14:textId="77777777" w:rsidR="00577D08" w:rsidRDefault="00577D08">
            <w:pPr>
              <w:jc w:val="right"/>
              <w:rPr>
                <w:rFonts w:ascii="宋体" w:hAnsi="宋体" w:hint="eastAsia"/>
                <w:sz w:val="18"/>
                <w:szCs w:val="18"/>
              </w:rPr>
            </w:pPr>
          </w:p>
        </w:tc>
        <w:tc>
          <w:tcPr>
            <w:tcW w:w="709" w:type="dxa"/>
            <w:vAlign w:val="center"/>
          </w:tcPr>
          <w:p w14:paraId="0FB397E9" w14:textId="77777777" w:rsidR="00577D08" w:rsidRDefault="00577D08">
            <w:pPr>
              <w:jc w:val="right"/>
              <w:rPr>
                <w:rFonts w:ascii="宋体" w:hAnsi="宋体" w:hint="eastAsia"/>
                <w:sz w:val="18"/>
                <w:szCs w:val="18"/>
              </w:rPr>
            </w:pPr>
          </w:p>
        </w:tc>
        <w:tc>
          <w:tcPr>
            <w:tcW w:w="425" w:type="dxa"/>
            <w:vAlign w:val="center"/>
          </w:tcPr>
          <w:p w14:paraId="77D77A77" w14:textId="77777777" w:rsidR="00577D08" w:rsidRDefault="00577D08">
            <w:pPr>
              <w:jc w:val="right"/>
              <w:rPr>
                <w:rFonts w:ascii="宋体" w:hAnsi="宋体" w:hint="eastAsia"/>
                <w:sz w:val="18"/>
                <w:szCs w:val="18"/>
              </w:rPr>
            </w:pPr>
          </w:p>
        </w:tc>
        <w:tc>
          <w:tcPr>
            <w:tcW w:w="284" w:type="dxa"/>
            <w:vAlign w:val="center"/>
          </w:tcPr>
          <w:p w14:paraId="2082299C" w14:textId="77777777" w:rsidR="00577D08" w:rsidRDefault="00577D08">
            <w:pPr>
              <w:jc w:val="right"/>
              <w:rPr>
                <w:rFonts w:ascii="宋体" w:hAnsi="宋体" w:hint="eastAsia"/>
                <w:sz w:val="18"/>
                <w:szCs w:val="18"/>
              </w:rPr>
            </w:pPr>
          </w:p>
        </w:tc>
        <w:tc>
          <w:tcPr>
            <w:tcW w:w="283" w:type="dxa"/>
            <w:vAlign w:val="center"/>
          </w:tcPr>
          <w:p w14:paraId="3C82FB3F" w14:textId="77777777" w:rsidR="00577D08" w:rsidRDefault="00577D08">
            <w:pPr>
              <w:jc w:val="right"/>
              <w:rPr>
                <w:rFonts w:ascii="宋体" w:hAnsi="宋体" w:hint="eastAsia"/>
                <w:sz w:val="18"/>
                <w:szCs w:val="18"/>
              </w:rPr>
            </w:pPr>
          </w:p>
        </w:tc>
        <w:tc>
          <w:tcPr>
            <w:tcW w:w="1418" w:type="dxa"/>
            <w:vAlign w:val="center"/>
          </w:tcPr>
          <w:p w14:paraId="07ED74DC" w14:textId="77777777" w:rsidR="00577D08" w:rsidRDefault="00577D08">
            <w:pPr>
              <w:jc w:val="right"/>
              <w:rPr>
                <w:rFonts w:ascii="宋体" w:hAnsi="宋体" w:hint="eastAsia"/>
                <w:sz w:val="18"/>
                <w:szCs w:val="18"/>
              </w:rPr>
            </w:pPr>
          </w:p>
        </w:tc>
        <w:tc>
          <w:tcPr>
            <w:tcW w:w="1417" w:type="dxa"/>
            <w:vAlign w:val="center"/>
          </w:tcPr>
          <w:p w14:paraId="3BA8CEA6" w14:textId="77777777" w:rsidR="00577D08" w:rsidRDefault="00577D08">
            <w:pPr>
              <w:jc w:val="right"/>
              <w:rPr>
                <w:rFonts w:ascii="宋体" w:hAnsi="宋体" w:hint="eastAsia"/>
                <w:sz w:val="18"/>
                <w:szCs w:val="18"/>
              </w:rPr>
            </w:pPr>
          </w:p>
        </w:tc>
        <w:tc>
          <w:tcPr>
            <w:tcW w:w="1276" w:type="dxa"/>
            <w:vAlign w:val="center"/>
          </w:tcPr>
          <w:p w14:paraId="560C8F05" w14:textId="77777777" w:rsidR="00577D08" w:rsidRDefault="00577D08">
            <w:pPr>
              <w:jc w:val="right"/>
              <w:rPr>
                <w:rFonts w:ascii="宋体" w:hAnsi="宋体" w:hint="eastAsia"/>
                <w:sz w:val="18"/>
                <w:szCs w:val="18"/>
              </w:rPr>
            </w:pPr>
          </w:p>
        </w:tc>
        <w:tc>
          <w:tcPr>
            <w:tcW w:w="717" w:type="dxa"/>
            <w:vAlign w:val="center"/>
          </w:tcPr>
          <w:p w14:paraId="3AD78F0E" w14:textId="77777777" w:rsidR="00577D08" w:rsidRDefault="00577D08">
            <w:pPr>
              <w:jc w:val="right"/>
              <w:rPr>
                <w:rFonts w:ascii="宋体" w:hAnsi="宋体" w:hint="eastAsia"/>
                <w:sz w:val="18"/>
                <w:szCs w:val="18"/>
              </w:rPr>
            </w:pPr>
          </w:p>
        </w:tc>
      </w:tr>
      <w:tr w:rsidR="00577D08" w14:paraId="1259440B" w14:textId="77777777">
        <w:tc>
          <w:tcPr>
            <w:tcW w:w="1239" w:type="dxa"/>
            <w:vAlign w:val="center"/>
          </w:tcPr>
          <w:p w14:paraId="2E0F4148" w14:textId="77777777" w:rsidR="00577D08" w:rsidRDefault="00330FC0">
            <w:pPr>
              <w:rPr>
                <w:rFonts w:ascii="宋体" w:hAnsi="宋体" w:hint="eastAsia"/>
                <w:sz w:val="18"/>
                <w:szCs w:val="18"/>
              </w:rPr>
            </w:pPr>
            <w:r>
              <w:rPr>
                <w:rFonts w:ascii="宋体" w:hAnsi="宋体"/>
                <w:sz w:val="18"/>
                <w:szCs w:val="18"/>
              </w:rPr>
              <w:t>4、其他</w:t>
            </w:r>
          </w:p>
        </w:tc>
        <w:tc>
          <w:tcPr>
            <w:tcW w:w="1279" w:type="dxa"/>
            <w:vAlign w:val="center"/>
          </w:tcPr>
          <w:p w14:paraId="1A484173" w14:textId="77777777" w:rsidR="00577D08" w:rsidRDefault="00577D08">
            <w:pPr>
              <w:jc w:val="right"/>
              <w:rPr>
                <w:rFonts w:ascii="宋体" w:hAnsi="宋体" w:hint="eastAsia"/>
                <w:sz w:val="18"/>
                <w:szCs w:val="18"/>
              </w:rPr>
            </w:pPr>
          </w:p>
        </w:tc>
        <w:tc>
          <w:tcPr>
            <w:tcW w:w="709" w:type="dxa"/>
            <w:vAlign w:val="center"/>
          </w:tcPr>
          <w:p w14:paraId="61038788" w14:textId="77777777" w:rsidR="00577D08" w:rsidRDefault="00577D08">
            <w:pPr>
              <w:jc w:val="right"/>
              <w:rPr>
                <w:rFonts w:ascii="宋体" w:hAnsi="宋体" w:hint="eastAsia"/>
                <w:sz w:val="18"/>
                <w:szCs w:val="18"/>
              </w:rPr>
            </w:pPr>
          </w:p>
        </w:tc>
        <w:tc>
          <w:tcPr>
            <w:tcW w:w="425" w:type="dxa"/>
            <w:vAlign w:val="center"/>
          </w:tcPr>
          <w:p w14:paraId="5F73536E" w14:textId="77777777" w:rsidR="00577D08" w:rsidRDefault="00577D08">
            <w:pPr>
              <w:jc w:val="right"/>
              <w:rPr>
                <w:rFonts w:ascii="宋体" w:hAnsi="宋体" w:hint="eastAsia"/>
                <w:sz w:val="18"/>
                <w:szCs w:val="18"/>
              </w:rPr>
            </w:pPr>
          </w:p>
        </w:tc>
        <w:tc>
          <w:tcPr>
            <w:tcW w:w="284" w:type="dxa"/>
            <w:vAlign w:val="center"/>
          </w:tcPr>
          <w:p w14:paraId="665499CC" w14:textId="77777777" w:rsidR="00577D08" w:rsidRDefault="00577D08">
            <w:pPr>
              <w:jc w:val="right"/>
              <w:rPr>
                <w:rFonts w:ascii="宋体" w:hAnsi="宋体" w:hint="eastAsia"/>
                <w:sz w:val="18"/>
                <w:szCs w:val="18"/>
              </w:rPr>
            </w:pPr>
          </w:p>
        </w:tc>
        <w:tc>
          <w:tcPr>
            <w:tcW w:w="283" w:type="dxa"/>
            <w:vAlign w:val="center"/>
          </w:tcPr>
          <w:p w14:paraId="569D0418" w14:textId="77777777" w:rsidR="00577D08" w:rsidRDefault="00577D08">
            <w:pPr>
              <w:jc w:val="right"/>
              <w:rPr>
                <w:rFonts w:ascii="宋体" w:hAnsi="宋体" w:hint="eastAsia"/>
                <w:sz w:val="18"/>
                <w:szCs w:val="18"/>
              </w:rPr>
            </w:pPr>
          </w:p>
        </w:tc>
        <w:tc>
          <w:tcPr>
            <w:tcW w:w="1418" w:type="dxa"/>
            <w:vAlign w:val="center"/>
          </w:tcPr>
          <w:p w14:paraId="60B2F684" w14:textId="77777777" w:rsidR="00577D08" w:rsidRDefault="00577D08">
            <w:pPr>
              <w:jc w:val="right"/>
              <w:rPr>
                <w:rFonts w:ascii="宋体" w:hAnsi="宋体" w:hint="eastAsia"/>
                <w:sz w:val="18"/>
                <w:szCs w:val="18"/>
              </w:rPr>
            </w:pPr>
          </w:p>
        </w:tc>
        <w:tc>
          <w:tcPr>
            <w:tcW w:w="1417" w:type="dxa"/>
            <w:vAlign w:val="center"/>
          </w:tcPr>
          <w:p w14:paraId="4CA81213" w14:textId="77777777" w:rsidR="00577D08" w:rsidRDefault="00577D08">
            <w:pPr>
              <w:jc w:val="right"/>
              <w:rPr>
                <w:rFonts w:ascii="宋体" w:hAnsi="宋体" w:hint="eastAsia"/>
                <w:sz w:val="18"/>
                <w:szCs w:val="18"/>
              </w:rPr>
            </w:pPr>
          </w:p>
        </w:tc>
        <w:tc>
          <w:tcPr>
            <w:tcW w:w="1276" w:type="dxa"/>
            <w:vAlign w:val="center"/>
          </w:tcPr>
          <w:p w14:paraId="66CA40DC" w14:textId="77777777" w:rsidR="00577D08" w:rsidRDefault="00577D08">
            <w:pPr>
              <w:jc w:val="right"/>
              <w:rPr>
                <w:rFonts w:ascii="宋体" w:hAnsi="宋体" w:hint="eastAsia"/>
                <w:sz w:val="18"/>
                <w:szCs w:val="18"/>
              </w:rPr>
            </w:pPr>
          </w:p>
        </w:tc>
        <w:tc>
          <w:tcPr>
            <w:tcW w:w="717" w:type="dxa"/>
            <w:vAlign w:val="center"/>
          </w:tcPr>
          <w:p w14:paraId="78272F94" w14:textId="77777777" w:rsidR="00577D08" w:rsidRDefault="00577D08">
            <w:pPr>
              <w:jc w:val="right"/>
              <w:rPr>
                <w:rFonts w:ascii="宋体" w:hAnsi="宋体" w:hint="eastAsia"/>
                <w:sz w:val="18"/>
                <w:szCs w:val="18"/>
              </w:rPr>
            </w:pPr>
          </w:p>
        </w:tc>
      </w:tr>
      <w:tr w:rsidR="00577D08" w14:paraId="5676A81C" w14:textId="77777777">
        <w:tc>
          <w:tcPr>
            <w:tcW w:w="1239" w:type="dxa"/>
            <w:vAlign w:val="center"/>
          </w:tcPr>
          <w:p w14:paraId="05941678" w14:textId="77777777" w:rsidR="00577D08" w:rsidRDefault="00330FC0">
            <w:pPr>
              <w:rPr>
                <w:rFonts w:ascii="宋体" w:hAnsi="宋体" w:hint="eastAsia"/>
                <w:sz w:val="18"/>
                <w:szCs w:val="18"/>
              </w:rPr>
            </w:pPr>
            <w:r>
              <w:rPr>
                <w:rFonts w:ascii="宋体" w:hAnsi="宋体"/>
                <w:sz w:val="18"/>
                <w:szCs w:val="18"/>
              </w:rPr>
              <w:t>三、股份</w:t>
            </w:r>
            <w:r>
              <w:rPr>
                <w:rFonts w:ascii="宋体" w:hAnsi="宋体" w:hint="eastAsia"/>
                <w:sz w:val="18"/>
                <w:szCs w:val="18"/>
              </w:rPr>
              <w:t>总数</w:t>
            </w:r>
          </w:p>
        </w:tc>
        <w:tc>
          <w:tcPr>
            <w:tcW w:w="1279" w:type="dxa"/>
            <w:vAlign w:val="center"/>
          </w:tcPr>
          <w:p w14:paraId="1D2E9D1D" w14:textId="77777777" w:rsidR="00577D08" w:rsidRDefault="00330FC0">
            <w:pPr>
              <w:jc w:val="right"/>
              <w:rPr>
                <w:rFonts w:ascii="宋体" w:hAnsi="宋体" w:hint="eastAsia"/>
                <w:sz w:val="18"/>
                <w:szCs w:val="18"/>
              </w:rPr>
            </w:pPr>
            <w:r>
              <w:rPr>
                <w:rFonts w:ascii="宋体" w:hAnsi="宋体"/>
                <w:sz w:val="18"/>
                <w:szCs w:val="18"/>
              </w:rPr>
              <w:t>333,167,407</w:t>
            </w:r>
          </w:p>
        </w:tc>
        <w:tc>
          <w:tcPr>
            <w:tcW w:w="709" w:type="dxa"/>
            <w:vAlign w:val="center"/>
          </w:tcPr>
          <w:p w14:paraId="204E18C2" w14:textId="77777777" w:rsidR="00577D08" w:rsidRDefault="00330FC0">
            <w:pPr>
              <w:jc w:val="right"/>
              <w:rPr>
                <w:rFonts w:ascii="宋体" w:hAnsi="宋体" w:hint="eastAsia"/>
                <w:sz w:val="18"/>
                <w:szCs w:val="18"/>
              </w:rPr>
            </w:pPr>
            <w:r>
              <w:rPr>
                <w:rFonts w:ascii="宋体" w:hAnsi="宋体"/>
                <w:sz w:val="18"/>
                <w:szCs w:val="18"/>
              </w:rPr>
              <w:t>100</w:t>
            </w:r>
          </w:p>
        </w:tc>
        <w:tc>
          <w:tcPr>
            <w:tcW w:w="425" w:type="dxa"/>
            <w:vAlign w:val="center"/>
          </w:tcPr>
          <w:p w14:paraId="6F189F4B" w14:textId="77777777" w:rsidR="00577D08" w:rsidRDefault="00577D08">
            <w:pPr>
              <w:jc w:val="right"/>
              <w:rPr>
                <w:rFonts w:ascii="宋体" w:hAnsi="宋体" w:hint="eastAsia"/>
                <w:sz w:val="18"/>
                <w:szCs w:val="18"/>
              </w:rPr>
            </w:pPr>
          </w:p>
        </w:tc>
        <w:tc>
          <w:tcPr>
            <w:tcW w:w="284" w:type="dxa"/>
            <w:vAlign w:val="center"/>
          </w:tcPr>
          <w:p w14:paraId="1EA3F1C4" w14:textId="77777777" w:rsidR="00577D08" w:rsidRDefault="00577D08">
            <w:pPr>
              <w:jc w:val="right"/>
              <w:rPr>
                <w:rFonts w:ascii="宋体" w:hAnsi="宋体" w:hint="eastAsia"/>
                <w:sz w:val="18"/>
                <w:szCs w:val="18"/>
              </w:rPr>
            </w:pPr>
          </w:p>
        </w:tc>
        <w:tc>
          <w:tcPr>
            <w:tcW w:w="283" w:type="dxa"/>
            <w:vAlign w:val="center"/>
          </w:tcPr>
          <w:p w14:paraId="127EA6E0" w14:textId="77777777" w:rsidR="00577D08" w:rsidRDefault="00577D08">
            <w:pPr>
              <w:jc w:val="right"/>
              <w:rPr>
                <w:rFonts w:ascii="宋体" w:hAnsi="宋体" w:hint="eastAsia"/>
                <w:sz w:val="18"/>
                <w:szCs w:val="18"/>
              </w:rPr>
            </w:pPr>
          </w:p>
        </w:tc>
        <w:tc>
          <w:tcPr>
            <w:tcW w:w="1418" w:type="dxa"/>
            <w:vAlign w:val="center"/>
          </w:tcPr>
          <w:p w14:paraId="1FD49B78" w14:textId="77777777" w:rsidR="00577D08" w:rsidRDefault="00330FC0">
            <w:pPr>
              <w:jc w:val="right"/>
              <w:rPr>
                <w:rFonts w:ascii="宋体" w:hAnsi="宋体" w:hint="eastAsia"/>
                <w:sz w:val="18"/>
                <w:szCs w:val="18"/>
              </w:rPr>
            </w:pPr>
            <w:r>
              <w:rPr>
                <w:rFonts w:ascii="宋体" w:hAnsi="宋体"/>
                <w:sz w:val="18"/>
                <w:szCs w:val="18"/>
              </w:rPr>
              <w:t>-814,000</w:t>
            </w:r>
          </w:p>
        </w:tc>
        <w:tc>
          <w:tcPr>
            <w:tcW w:w="1417" w:type="dxa"/>
            <w:vAlign w:val="center"/>
          </w:tcPr>
          <w:p w14:paraId="3A5D17FF" w14:textId="77777777" w:rsidR="00577D08" w:rsidRDefault="00330FC0">
            <w:pPr>
              <w:jc w:val="right"/>
              <w:rPr>
                <w:rFonts w:ascii="宋体" w:hAnsi="宋体" w:hint="eastAsia"/>
                <w:sz w:val="18"/>
                <w:szCs w:val="18"/>
              </w:rPr>
            </w:pPr>
            <w:r>
              <w:rPr>
                <w:rFonts w:ascii="宋体" w:hAnsi="宋体"/>
                <w:sz w:val="18"/>
                <w:szCs w:val="18"/>
              </w:rPr>
              <w:t>-814,000</w:t>
            </w:r>
          </w:p>
        </w:tc>
        <w:tc>
          <w:tcPr>
            <w:tcW w:w="1276" w:type="dxa"/>
            <w:vAlign w:val="center"/>
          </w:tcPr>
          <w:p w14:paraId="206E5D77" w14:textId="77777777" w:rsidR="00577D08" w:rsidRDefault="00330FC0">
            <w:pPr>
              <w:jc w:val="right"/>
              <w:rPr>
                <w:rFonts w:ascii="宋体" w:hAnsi="宋体" w:hint="eastAsia"/>
                <w:sz w:val="18"/>
                <w:szCs w:val="18"/>
              </w:rPr>
            </w:pPr>
            <w:r>
              <w:rPr>
                <w:rFonts w:ascii="宋体" w:hAnsi="宋体"/>
                <w:sz w:val="18"/>
                <w:szCs w:val="18"/>
              </w:rPr>
              <w:t>332,353,407</w:t>
            </w:r>
          </w:p>
        </w:tc>
        <w:tc>
          <w:tcPr>
            <w:tcW w:w="717" w:type="dxa"/>
            <w:vAlign w:val="center"/>
          </w:tcPr>
          <w:p w14:paraId="4504712D" w14:textId="77777777" w:rsidR="00577D08" w:rsidRDefault="00330FC0">
            <w:pPr>
              <w:jc w:val="right"/>
              <w:rPr>
                <w:rFonts w:ascii="宋体" w:hAnsi="宋体" w:hint="eastAsia"/>
                <w:sz w:val="18"/>
                <w:szCs w:val="18"/>
              </w:rPr>
            </w:pPr>
            <w:r>
              <w:rPr>
                <w:rFonts w:ascii="宋体" w:hAnsi="宋体"/>
                <w:sz w:val="18"/>
                <w:szCs w:val="18"/>
              </w:rPr>
              <w:t>100</w:t>
            </w:r>
          </w:p>
        </w:tc>
      </w:tr>
    </w:tbl>
    <w:p w14:paraId="211C0F11" w14:textId="77777777" w:rsidR="00577D08" w:rsidRDefault="00330FC0">
      <w:pPr>
        <w:pStyle w:val="4"/>
        <w:numPr>
          <w:ilvl w:val="2"/>
          <w:numId w:val="45"/>
        </w:numPr>
        <w:rPr>
          <w:rFonts w:hint="eastAsia"/>
        </w:rPr>
      </w:pPr>
      <w:r>
        <w:t>股份变动情况说明</w:t>
      </w:r>
    </w:p>
    <w:sdt>
      <w:sdtPr>
        <w:rPr>
          <w:rFonts w:hint="eastAsia"/>
        </w:rPr>
        <w:alias w:val="是否适用：普通股股份变动情况说明[双击切换]"/>
        <w:tag w:val="_GBC_b52413c1d37b456ba72aa8b8840cb9d8"/>
        <w:id w:val="-1032186446"/>
        <w:placeholder>
          <w:docPart w:val="GBC22222222222222222222222222222"/>
        </w:placeholder>
      </w:sdtPr>
      <w:sdtContent>
        <w:p w14:paraId="4C7AD14C"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股份变动情况说明"/>
        <w:tag w:val="_GBC_0049817ff5b44e28a8751c37cab3f894"/>
        <w:id w:val="-1815253420"/>
        <w:placeholder>
          <w:docPart w:val="GBC22222222222222222222222222222"/>
        </w:placeholder>
      </w:sdtPr>
      <w:sdtContent>
        <w:p w14:paraId="1EBC2D73" w14:textId="77777777" w:rsidR="00577D08" w:rsidRDefault="00330FC0">
          <w:pPr>
            <w:spacing w:line="360" w:lineRule="exact"/>
            <w:ind w:firstLineChars="200" w:firstLine="420"/>
            <w:jc w:val="both"/>
          </w:pPr>
          <w:r>
            <w:rPr>
              <w:rFonts w:hint="eastAsia"/>
            </w:rPr>
            <w:t>2025</w:t>
          </w:r>
          <w:r>
            <w:rPr>
              <w:rFonts w:hint="eastAsia"/>
            </w:rPr>
            <w:t>年</w:t>
          </w:r>
          <w:r>
            <w:rPr>
              <w:rFonts w:hint="eastAsia"/>
            </w:rPr>
            <w:t>1</w:t>
          </w:r>
          <w:r>
            <w:rPr>
              <w:rFonts w:hint="eastAsia"/>
            </w:rPr>
            <w:t>月</w:t>
          </w:r>
          <w:r>
            <w:rPr>
              <w:rFonts w:hint="eastAsia"/>
            </w:rPr>
            <w:t>20</w:t>
          </w:r>
          <w:r>
            <w:rPr>
              <w:rFonts w:hint="eastAsia"/>
            </w:rPr>
            <w:t>日，公司召开第四届董事会第十次会议审议通过了《关于向</w:t>
          </w:r>
          <w:r>
            <w:rPr>
              <w:rFonts w:hint="eastAsia"/>
            </w:rPr>
            <w:t>2024</w:t>
          </w:r>
          <w:r>
            <w:rPr>
              <w:rFonts w:hint="eastAsia"/>
            </w:rPr>
            <w:t>年限制性股票激励计划激励对象授予预留部分限制性股票的议案》，并于</w:t>
          </w:r>
          <w:r>
            <w:rPr>
              <w:rFonts w:hint="eastAsia"/>
            </w:rPr>
            <w:t>2025</w:t>
          </w:r>
          <w:r>
            <w:rPr>
              <w:rFonts w:hint="eastAsia"/>
            </w:rPr>
            <w:t>年</w:t>
          </w:r>
          <w:r>
            <w:rPr>
              <w:rFonts w:hint="eastAsia"/>
            </w:rPr>
            <w:t>1</w:t>
          </w:r>
          <w:r>
            <w:rPr>
              <w:rFonts w:hint="eastAsia"/>
            </w:rPr>
            <w:t>月</w:t>
          </w:r>
          <w:r>
            <w:rPr>
              <w:rFonts w:hint="eastAsia"/>
            </w:rPr>
            <w:t>22</w:t>
          </w:r>
          <w:r>
            <w:rPr>
              <w:rFonts w:hint="eastAsia"/>
            </w:rPr>
            <w:t>日披露了《关于向</w:t>
          </w:r>
          <w:r>
            <w:rPr>
              <w:rFonts w:hint="eastAsia"/>
            </w:rPr>
            <w:t>2024</w:t>
          </w:r>
          <w:r>
            <w:rPr>
              <w:rFonts w:hint="eastAsia"/>
            </w:rPr>
            <w:t>年限制性股票激励计划激励对象授予预留部分限制性股票的公告》（公告编号：</w:t>
          </w:r>
          <w:r>
            <w:rPr>
              <w:rFonts w:hint="eastAsia"/>
            </w:rPr>
            <w:t>2025-006</w:t>
          </w:r>
          <w:r>
            <w:rPr>
              <w:rFonts w:hint="eastAsia"/>
            </w:rPr>
            <w:t>）。</w:t>
          </w:r>
          <w:r>
            <w:rPr>
              <w:rFonts w:hint="eastAsia"/>
            </w:rPr>
            <w:t>2025</w:t>
          </w:r>
          <w:r>
            <w:rPr>
              <w:rFonts w:hint="eastAsia"/>
            </w:rPr>
            <w:t>年</w:t>
          </w:r>
          <w:r>
            <w:rPr>
              <w:rFonts w:hint="eastAsia"/>
            </w:rPr>
            <w:t>2</w:t>
          </w:r>
          <w:r>
            <w:rPr>
              <w:rFonts w:hint="eastAsia"/>
            </w:rPr>
            <w:t>月</w:t>
          </w:r>
          <w:r>
            <w:rPr>
              <w:rFonts w:hint="eastAsia"/>
            </w:rPr>
            <w:t>19</w:t>
          </w:r>
          <w:r>
            <w:rPr>
              <w:rFonts w:hint="eastAsia"/>
            </w:rPr>
            <w:t>日公司在中国结算上海分公司办理完成了公司</w:t>
          </w:r>
          <w:r>
            <w:rPr>
              <w:rFonts w:hint="eastAsia"/>
            </w:rPr>
            <w:t>2024</w:t>
          </w:r>
          <w:r>
            <w:rPr>
              <w:rFonts w:hint="eastAsia"/>
            </w:rPr>
            <w:t>年限制性股票激励计划预留部分限制性股票授予登记工作，授予</w:t>
          </w:r>
          <w:r>
            <w:rPr>
              <w:rFonts w:hint="eastAsia"/>
            </w:rPr>
            <w:t>31</w:t>
          </w:r>
          <w:r>
            <w:rPr>
              <w:rFonts w:hint="eastAsia"/>
            </w:rPr>
            <w:t>人共计</w:t>
          </w:r>
          <w:r>
            <w:rPr>
              <w:rFonts w:hint="eastAsia"/>
            </w:rPr>
            <w:t>580,000</w:t>
          </w:r>
          <w:r>
            <w:rPr>
              <w:rFonts w:hint="eastAsia"/>
            </w:rPr>
            <w:t>股限制性股票，公司有限售条件股增加</w:t>
          </w:r>
          <w:r>
            <w:rPr>
              <w:rFonts w:hint="eastAsia"/>
            </w:rPr>
            <w:t>580,000</w:t>
          </w:r>
          <w:r>
            <w:rPr>
              <w:rFonts w:hint="eastAsia"/>
            </w:rPr>
            <w:t>股，无限售条件流通股减少</w:t>
          </w:r>
          <w:r>
            <w:rPr>
              <w:rFonts w:hint="eastAsia"/>
            </w:rPr>
            <w:t>580,000</w:t>
          </w:r>
          <w:r>
            <w:rPr>
              <w:rFonts w:hint="eastAsia"/>
            </w:rPr>
            <w:t>股。</w:t>
          </w:r>
        </w:p>
        <w:p w14:paraId="34284A47" w14:textId="77777777" w:rsidR="00577D08" w:rsidRDefault="00330FC0">
          <w:pPr>
            <w:spacing w:line="360" w:lineRule="exact"/>
            <w:ind w:firstLineChars="200" w:firstLine="420"/>
            <w:jc w:val="both"/>
          </w:pPr>
          <w:r>
            <w:rPr>
              <w:rFonts w:hint="eastAsia"/>
            </w:rPr>
            <w:lastRenderedPageBreak/>
            <w:t>2025</w:t>
          </w:r>
          <w:r>
            <w:rPr>
              <w:rFonts w:hint="eastAsia"/>
            </w:rPr>
            <w:t>年</w:t>
          </w:r>
          <w:r>
            <w:rPr>
              <w:rFonts w:hint="eastAsia"/>
            </w:rPr>
            <w:t>4</w:t>
          </w:r>
          <w:r>
            <w:rPr>
              <w:rFonts w:hint="eastAsia"/>
            </w:rPr>
            <w:t>月</w:t>
          </w:r>
          <w:r>
            <w:rPr>
              <w:rFonts w:hint="eastAsia"/>
            </w:rPr>
            <w:t>23</w:t>
          </w:r>
          <w:r>
            <w:rPr>
              <w:rFonts w:hint="eastAsia"/>
            </w:rPr>
            <w:t>日，公司披露了《首次公开发行部分限售股上市流通公告》（公告编号：</w:t>
          </w:r>
          <w:r>
            <w:rPr>
              <w:rFonts w:hint="eastAsia"/>
            </w:rPr>
            <w:t>2025-017</w:t>
          </w:r>
          <w:r>
            <w:rPr>
              <w:rFonts w:hint="eastAsia"/>
            </w:rPr>
            <w:t>）。实际控制人杨泽民、秦惠兰、杨秦、杨耀及其一致行动人杨厚群、秦勇、杨小林、隆志钢和皮天彬共</w:t>
          </w:r>
          <w:r>
            <w:rPr>
              <w:rFonts w:hint="eastAsia"/>
            </w:rPr>
            <w:t>9</w:t>
          </w:r>
          <w:r>
            <w:rPr>
              <w:rFonts w:hint="eastAsia"/>
            </w:rPr>
            <w:t>个股东持有的首次公开发行前股份共计</w:t>
          </w:r>
          <w:r>
            <w:rPr>
              <w:rFonts w:hint="eastAsia"/>
            </w:rPr>
            <w:t>143,911,541</w:t>
          </w:r>
          <w:r>
            <w:rPr>
              <w:rFonts w:hint="eastAsia"/>
            </w:rPr>
            <w:t>股上市流通，公司有限售条件股减少</w:t>
          </w:r>
          <w:r>
            <w:rPr>
              <w:rFonts w:hint="eastAsia"/>
            </w:rPr>
            <w:t>143,911,541</w:t>
          </w:r>
          <w:r>
            <w:rPr>
              <w:rFonts w:hint="eastAsia"/>
            </w:rPr>
            <w:t>股，无限售条件流通增加</w:t>
          </w:r>
          <w:r>
            <w:rPr>
              <w:rFonts w:hint="eastAsia"/>
            </w:rPr>
            <w:t>143,911,541</w:t>
          </w:r>
          <w:r>
            <w:rPr>
              <w:rFonts w:hint="eastAsia"/>
            </w:rPr>
            <w:t>股。</w:t>
          </w:r>
        </w:p>
        <w:p w14:paraId="08B653CC" w14:textId="77777777" w:rsidR="00577D08" w:rsidRDefault="00330FC0">
          <w:pPr>
            <w:spacing w:line="360" w:lineRule="exact"/>
            <w:ind w:firstLineChars="200" w:firstLine="420"/>
            <w:jc w:val="both"/>
          </w:pPr>
          <w:r>
            <w:rPr>
              <w:rFonts w:hint="eastAsia"/>
            </w:rPr>
            <w:t>2025</w:t>
          </w:r>
          <w:r>
            <w:rPr>
              <w:rFonts w:hint="eastAsia"/>
            </w:rPr>
            <w:t>年</w:t>
          </w:r>
          <w:r>
            <w:rPr>
              <w:rFonts w:hint="eastAsia"/>
            </w:rPr>
            <w:t>4</w:t>
          </w:r>
          <w:r>
            <w:rPr>
              <w:rFonts w:hint="eastAsia"/>
            </w:rPr>
            <w:t>月</w:t>
          </w:r>
          <w:r>
            <w:rPr>
              <w:rFonts w:hint="eastAsia"/>
            </w:rPr>
            <w:t>24</w:t>
          </w:r>
          <w:r>
            <w:rPr>
              <w:rFonts w:hint="eastAsia"/>
            </w:rPr>
            <w:t>日，公司召开第四届董事会第十二次会议审议通过了《关于终止实施</w:t>
          </w:r>
          <w:r>
            <w:rPr>
              <w:rFonts w:hint="eastAsia"/>
            </w:rPr>
            <w:t>2024</w:t>
          </w:r>
          <w:r>
            <w:rPr>
              <w:rFonts w:hint="eastAsia"/>
            </w:rPr>
            <w:t>年限制性股票激励计划暨回购注销相关限制性股票并调整回购价格的议案》，并于</w:t>
          </w:r>
          <w:r>
            <w:rPr>
              <w:rFonts w:hint="eastAsia"/>
            </w:rPr>
            <w:t>2025</w:t>
          </w:r>
          <w:r>
            <w:rPr>
              <w:rFonts w:hint="eastAsia"/>
            </w:rPr>
            <w:t>年</w:t>
          </w:r>
          <w:r>
            <w:rPr>
              <w:rFonts w:hint="eastAsia"/>
            </w:rPr>
            <w:t>7</w:t>
          </w:r>
          <w:r>
            <w:rPr>
              <w:rFonts w:hint="eastAsia"/>
            </w:rPr>
            <w:t>月</w:t>
          </w:r>
          <w:r>
            <w:rPr>
              <w:rFonts w:hint="eastAsia"/>
            </w:rPr>
            <w:t>11</w:t>
          </w:r>
          <w:r>
            <w:rPr>
              <w:rFonts w:hint="eastAsia"/>
            </w:rPr>
            <w:t>日披露了《关于部分限制性股票回购注销实施公告》（公告编号：</w:t>
          </w:r>
          <w:r>
            <w:rPr>
              <w:rFonts w:hint="eastAsia"/>
            </w:rPr>
            <w:t>2025-034</w:t>
          </w:r>
          <w:r>
            <w:rPr>
              <w:rFonts w:hint="eastAsia"/>
            </w:rPr>
            <w:t>）。自此公司限售股减少</w:t>
          </w:r>
          <w:r>
            <w:rPr>
              <w:rFonts w:hint="eastAsia"/>
            </w:rPr>
            <w:t>814,000</w:t>
          </w:r>
          <w:r>
            <w:rPr>
              <w:rFonts w:hint="eastAsia"/>
            </w:rPr>
            <w:t>股，股本减少</w:t>
          </w:r>
          <w:r>
            <w:rPr>
              <w:rFonts w:hint="eastAsia"/>
            </w:rPr>
            <w:t>814,000</w:t>
          </w:r>
          <w:r>
            <w:rPr>
              <w:rFonts w:hint="eastAsia"/>
            </w:rPr>
            <w:t>股。</w:t>
          </w:r>
        </w:p>
        <w:p w14:paraId="55B96FF5" w14:textId="77777777" w:rsidR="00577D08" w:rsidRDefault="00330FC0">
          <w:pPr>
            <w:spacing w:line="360" w:lineRule="exact"/>
            <w:ind w:firstLineChars="200" w:firstLine="420"/>
            <w:jc w:val="both"/>
          </w:pPr>
          <w:r>
            <w:rPr>
              <w:rFonts w:hint="eastAsia"/>
            </w:rPr>
            <w:t>综上，报告期内公司限售股合计减少</w:t>
          </w:r>
          <w:r>
            <w:rPr>
              <w:rFonts w:hint="eastAsia"/>
            </w:rPr>
            <w:t>144,145,541</w:t>
          </w:r>
          <w:r>
            <w:rPr>
              <w:rFonts w:hint="eastAsia"/>
            </w:rPr>
            <w:t>股，无限售条件流通股合计增加</w:t>
          </w:r>
          <w:r>
            <w:rPr>
              <w:rFonts w:hint="eastAsia"/>
            </w:rPr>
            <w:t>143,331,541</w:t>
          </w:r>
          <w:r>
            <w:rPr>
              <w:rFonts w:hint="eastAsia"/>
            </w:rPr>
            <w:t>股，股本减少</w:t>
          </w:r>
          <w:r>
            <w:rPr>
              <w:rFonts w:hint="eastAsia"/>
            </w:rPr>
            <w:t>814,000</w:t>
          </w:r>
          <w:r>
            <w:rPr>
              <w:rFonts w:hint="eastAsia"/>
            </w:rPr>
            <w:t>股。</w:t>
          </w:r>
        </w:p>
      </w:sdtContent>
    </w:sdt>
    <w:p w14:paraId="4608E258" w14:textId="77777777" w:rsidR="00577D08" w:rsidRDefault="00330FC0">
      <w:pPr>
        <w:pStyle w:val="4"/>
        <w:numPr>
          <w:ilvl w:val="2"/>
          <w:numId w:val="45"/>
        </w:numPr>
        <w:rPr>
          <w:rFonts w:hint="eastAsia"/>
        </w:rPr>
      </w:pPr>
      <w:r>
        <w:rPr>
          <w:rFonts w:hint="eastAsia"/>
        </w:rPr>
        <w:t>股份变动对最近一年和最近一期</w:t>
      </w:r>
      <w:r>
        <w:t>每股收益、每股净资产等财务指标的影响（如有）</w:t>
      </w:r>
    </w:p>
    <w:sdt>
      <w:sdtPr>
        <w:rPr>
          <w:rFonts w:hint="eastAsia"/>
        </w:rPr>
        <w:alias w:val="是否适用：普通股股份变动对最近一年和最近一期每股收益、每股净资产等财务指标的影响[双击切换]"/>
        <w:tag w:val="_GBC_f6d6c5b3580241f5b23493659505a79e"/>
        <w:id w:val="-449862762"/>
        <w:placeholder>
          <w:docPart w:val="GBC22222222222222222222222222222"/>
        </w:placeholder>
      </w:sdtPr>
      <w:sdtContent>
        <w:p w14:paraId="5DE029BA"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股份变动对最近一年和最近一期财务指标的影响"/>
        <w:tag w:val="_GBC_18dc915b15db45f9ad252a23be29055d"/>
        <w:id w:val="343597748"/>
        <w:placeholder>
          <w:docPart w:val="GBC22222222222222222222222222222"/>
        </w:placeholder>
      </w:sdtPr>
      <w:sdtContent>
        <w:p w14:paraId="7BADA3A7" w14:textId="77777777" w:rsidR="00577D08" w:rsidRDefault="00330FC0">
          <w:pPr>
            <w:spacing w:line="360" w:lineRule="exact"/>
            <w:ind w:firstLineChars="200" w:firstLine="420"/>
            <w:jc w:val="both"/>
          </w:pPr>
          <w:r>
            <w:rPr>
              <w:rFonts w:hint="eastAsia"/>
            </w:rPr>
            <w:t>公司于</w:t>
          </w:r>
          <w:r>
            <w:rPr>
              <w:rFonts w:hint="eastAsia"/>
            </w:rPr>
            <w:t>2025</w:t>
          </w:r>
          <w:r>
            <w:rPr>
              <w:rFonts w:hint="eastAsia"/>
            </w:rPr>
            <w:t>年</w:t>
          </w:r>
          <w:r>
            <w:rPr>
              <w:rFonts w:hint="eastAsia"/>
            </w:rPr>
            <w:t>4</w:t>
          </w:r>
          <w:r>
            <w:rPr>
              <w:rFonts w:hint="eastAsia"/>
            </w:rPr>
            <w:t>月</w:t>
          </w:r>
          <w:r>
            <w:rPr>
              <w:rFonts w:hint="eastAsia"/>
            </w:rPr>
            <w:t>24</w:t>
          </w:r>
          <w:r>
            <w:rPr>
              <w:rFonts w:hint="eastAsia"/>
            </w:rPr>
            <w:t>日召开第四届董事会第十二次会议和第四届监事会第十一次会议，审议通过了《关于</w:t>
          </w:r>
          <w:r>
            <w:rPr>
              <w:rFonts w:hint="eastAsia"/>
            </w:rPr>
            <w:t>2024</w:t>
          </w:r>
          <w:r>
            <w:rPr>
              <w:rFonts w:hint="eastAsia"/>
            </w:rPr>
            <w:t>年限制性股票激励计划首次授予部分第一个解除限售期解除限售条件未成就暨回购注销部分限制性股票并调整回购价格的议案》。根据公司《</w:t>
          </w:r>
          <w:r>
            <w:rPr>
              <w:rFonts w:hint="eastAsia"/>
            </w:rPr>
            <w:t>2024</w:t>
          </w:r>
          <w:r>
            <w:rPr>
              <w:rFonts w:hint="eastAsia"/>
            </w:rPr>
            <w:t>年股权激励计划》及《关于</w:t>
          </w:r>
          <w:r>
            <w:rPr>
              <w:rFonts w:hint="eastAsia"/>
            </w:rPr>
            <w:t>2024</w:t>
          </w:r>
          <w:r>
            <w:rPr>
              <w:rFonts w:hint="eastAsia"/>
            </w:rPr>
            <w:t>年限制性股票激励计划首次授予结果公告》，因公司层面业绩考核不达标，回购注销首次授予</w:t>
          </w:r>
          <w:r>
            <w:rPr>
              <w:rFonts w:hint="eastAsia"/>
            </w:rPr>
            <w:t>57</w:t>
          </w:r>
          <w:r>
            <w:rPr>
              <w:rFonts w:hint="eastAsia"/>
            </w:rPr>
            <w:t>名激励对象持有的第一期限售股</w:t>
          </w:r>
          <w:r>
            <w:rPr>
              <w:rFonts w:hint="eastAsia"/>
            </w:rPr>
            <w:t>765,000</w:t>
          </w:r>
          <w:r>
            <w:rPr>
              <w:rFonts w:hint="eastAsia"/>
            </w:rPr>
            <w:t>股。同时，对首次授予的</w:t>
          </w:r>
          <w:r>
            <w:rPr>
              <w:rFonts w:hint="eastAsia"/>
            </w:rPr>
            <w:t>2</w:t>
          </w:r>
          <w:r>
            <w:rPr>
              <w:rFonts w:hint="eastAsia"/>
            </w:rPr>
            <w:t>名已离职激励对象持有的已获授但尚未解除限售的第二期和第三期限制性股票</w:t>
          </w:r>
          <w:r>
            <w:rPr>
              <w:rFonts w:hint="eastAsia"/>
            </w:rPr>
            <w:t>49,000</w:t>
          </w:r>
          <w:r>
            <w:rPr>
              <w:rFonts w:hint="eastAsia"/>
            </w:rPr>
            <w:t>股进行全部回购注销。综上，本次回购注销涉及</w:t>
          </w:r>
          <w:r>
            <w:rPr>
              <w:rFonts w:hint="eastAsia"/>
            </w:rPr>
            <w:t>57</w:t>
          </w:r>
          <w:r>
            <w:rPr>
              <w:rFonts w:hint="eastAsia"/>
            </w:rPr>
            <w:t>人共计</w:t>
          </w:r>
          <w:r>
            <w:rPr>
              <w:rFonts w:hint="eastAsia"/>
            </w:rPr>
            <w:t>814,000</w:t>
          </w:r>
          <w:r>
            <w:rPr>
              <w:rFonts w:hint="eastAsia"/>
            </w:rPr>
            <w:t>股限售股。经向中国证券登记结算有限责任公司上海分公司确认，本次部分回购股份注销事宜已于</w:t>
          </w:r>
          <w:r>
            <w:rPr>
              <w:rFonts w:hint="eastAsia"/>
            </w:rPr>
            <w:t>2025</w:t>
          </w:r>
          <w:r>
            <w:rPr>
              <w:rFonts w:hint="eastAsia"/>
            </w:rPr>
            <w:t>年</w:t>
          </w:r>
          <w:r>
            <w:rPr>
              <w:rFonts w:hint="eastAsia"/>
            </w:rPr>
            <w:t>7</w:t>
          </w:r>
          <w:r>
            <w:rPr>
              <w:rFonts w:hint="eastAsia"/>
            </w:rPr>
            <w:t>月</w:t>
          </w:r>
          <w:r>
            <w:rPr>
              <w:rFonts w:hint="eastAsia"/>
            </w:rPr>
            <w:t>15</w:t>
          </w:r>
          <w:r>
            <w:rPr>
              <w:rFonts w:hint="eastAsia"/>
            </w:rPr>
            <w:t>日办理完成，公司总股本由</w:t>
          </w:r>
          <w:r>
            <w:rPr>
              <w:rFonts w:hint="eastAsia"/>
            </w:rPr>
            <w:t>333,167,407</w:t>
          </w:r>
          <w:r>
            <w:rPr>
              <w:rFonts w:hint="eastAsia"/>
            </w:rPr>
            <w:t>股变更为</w:t>
          </w:r>
          <w:r>
            <w:rPr>
              <w:rFonts w:hint="eastAsia"/>
            </w:rPr>
            <w:t>332,353,407</w:t>
          </w:r>
          <w:r>
            <w:rPr>
              <w:rFonts w:hint="eastAsia"/>
            </w:rPr>
            <w:t>股。本次股份变动，对报告期后到年报披露日期间的每股收益、每股净资产未产生重大影响。</w:t>
          </w:r>
        </w:p>
      </w:sdtContent>
    </w:sdt>
    <w:p w14:paraId="4F6C2AC3" w14:textId="77777777" w:rsidR="00577D08" w:rsidRDefault="00330FC0">
      <w:pPr>
        <w:pStyle w:val="4"/>
        <w:numPr>
          <w:ilvl w:val="2"/>
          <w:numId w:val="45"/>
        </w:numPr>
        <w:rPr>
          <w:rFonts w:hint="eastAsia"/>
        </w:rPr>
      </w:pPr>
      <w:r>
        <w:t>公司认为必要或证券监管机构要求披露的其他内容</w:t>
      </w:r>
    </w:p>
    <w:sdt>
      <w:sdtPr>
        <w:rPr>
          <w:rFonts w:hint="eastAsia"/>
        </w:rPr>
        <w:alias w:val="是否适用：公司认为必要或证券监管机构要求披露的其他内容[双击切换]"/>
        <w:tag w:val="_GBC_b944a9eaa1de4bf49df496a2cfe2824e"/>
        <w:id w:val="1932622406"/>
        <w:placeholder>
          <w:docPart w:val="GBC22222222222222222222222222222"/>
        </w:placeholder>
      </w:sdtPr>
      <w:sdtContent>
        <w:p w14:paraId="03B166AA"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7BC49D8" w14:textId="77777777" w:rsidR="00577D08" w:rsidRDefault="00330FC0">
      <w:pPr>
        <w:pStyle w:val="3"/>
        <w:numPr>
          <w:ilvl w:val="1"/>
          <w:numId w:val="44"/>
        </w:numPr>
        <w:rPr>
          <w:szCs w:val="21"/>
        </w:rPr>
      </w:pPr>
      <w:r>
        <w:rPr>
          <w:szCs w:val="21"/>
        </w:rPr>
        <w:t>限售股份变动情况</w:t>
      </w:r>
    </w:p>
    <w:sdt>
      <w:sdtPr>
        <w:alias w:val="是否适用：限售股份变动情况表[双击切换]"/>
        <w:tag w:val="_GBC_c7cc39830d364bf68db1ac8777908a9e"/>
        <w:id w:val="373047980"/>
        <w:lock w:val="contentLocked"/>
        <w:placeholder>
          <w:docPart w:val="GBC22222222222222222222222222222"/>
        </w:placeholder>
      </w:sdtPr>
      <w:sdtContent>
        <w:p w14:paraId="1D69C54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DC103A9" w14:textId="77777777" w:rsidR="00577D08" w:rsidRDefault="00330FC0">
      <w:pPr>
        <w:jc w:val="right"/>
      </w:pPr>
      <w:r>
        <w:rPr>
          <w:rFonts w:hint="eastAsia"/>
        </w:rPr>
        <w:t>单位：</w:t>
      </w:r>
      <w:sdt>
        <w:sdtPr>
          <w:rPr>
            <w:rFonts w:hint="eastAsia"/>
          </w:rPr>
          <w:alias w:val="单位：限售股份变动情况表"/>
          <w:tag w:val="_GBC_78c7b80e74ad408295df799b1fb4f5cd"/>
          <w:id w:val="116260335"/>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rPr>
            <w:t>股</w:t>
          </w:r>
        </w:sdtContent>
      </w:sdt>
    </w:p>
    <w:tbl>
      <w:tblPr>
        <w:tblStyle w:val="aff2"/>
        <w:tblW w:w="9050" w:type="dxa"/>
        <w:tblLayout w:type="fixed"/>
        <w:tblLook w:val="04A0" w:firstRow="1" w:lastRow="0" w:firstColumn="1" w:lastColumn="0" w:noHBand="0" w:noVBand="1"/>
      </w:tblPr>
      <w:tblGrid>
        <w:gridCol w:w="1290"/>
        <w:gridCol w:w="1228"/>
        <w:gridCol w:w="1134"/>
        <w:gridCol w:w="992"/>
        <w:gridCol w:w="993"/>
        <w:gridCol w:w="2119"/>
        <w:gridCol w:w="1294"/>
      </w:tblGrid>
      <w:tr w:rsidR="00577D08" w14:paraId="244959B5" w14:textId="77777777">
        <w:sdt>
          <w:sdtPr>
            <w:rPr>
              <w:sz w:val="18"/>
              <w:szCs w:val="18"/>
            </w:rPr>
            <w:tag w:val="_PLD_c7a1e2914e714458adc9ffc59c440205"/>
            <w:id w:val="-2021461932"/>
          </w:sdtPr>
          <w:sdtContent>
            <w:tc>
              <w:tcPr>
                <w:tcW w:w="1290" w:type="dxa"/>
                <w:vAlign w:val="center"/>
              </w:tcPr>
              <w:p w14:paraId="70B65B4F" w14:textId="77777777" w:rsidR="00577D08" w:rsidRDefault="00330FC0">
                <w:pPr>
                  <w:jc w:val="center"/>
                  <w:rPr>
                    <w:sz w:val="18"/>
                    <w:szCs w:val="18"/>
                  </w:rPr>
                </w:pPr>
                <w:r>
                  <w:rPr>
                    <w:sz w:val="18"/>
                    <w:szCs w:val="18"/>
                  </w:rPr>
                  <w:t>股东名称</w:t>
                </w:r>
              </w:p>
            </w:tc>
          </w:sdtContent>
        </w:sdt>
        <w:sdt>
          <w:sdtPr>
            <w:rPr>
              <w:sz w:val="18"/>
              <w:szCs w:val="18"/>
            </w:rPr>
            <w:tag w:val="_PLD_bb0180621bd444d18234e236bd4fa08b"/>
            <w:id w:val="617568168"/>
          </w:sdtPr>
          <w:sdtContent>
            <w:tc>
              <w:tcPr>
                <w:tcW w:w="1228" w:type="dxa"/>
                <w:vAlign w:val="center"/>
              </w:tcPr>
              <w:p w14:paraId="1ED9DBB7" w14:textId="77777777" w:rsidR="00577D08" w:rsidRDefault="00330FC0">
                <w:pPr>
                  <w:jc w:val="center"/>
                  <w:rPr>
                    <w:sz w:val="18"/>
                    <w:szCs w:val="18"/>
                  </w:rPr>
                </w:pPr>
                <w:r>
                  <w:rPr>
                    <w:rFonts w:hint="eastAsia"/>
                    <w:sz w:val="18"/>
                    <w:szCs w:val="18"/>
                  </w:rPr>
                  <w:t>年</w:t>
                </w:r>
                <w:r>
                  <w:rPr>
                    <w:sz w:val="18"/>
                    <w:szCs w:val="18"/>
                  </w:rPr>
                  <w:t>初限售股数</w:t>
                </w:r>
              </w:p>
            </w:tc>
          </w:sdtContent>
        </w:sdt>
        <w:sdt>
          <w:sdtPr>
            <w:rPr>
              <w:sz w:val="18"/>
              <w:szCs w:val="18"/>
            </w:rPr>
            <w:tag w:val="_PLD_7b8d307040e34fe88a61e345f5c229e7"/>
            <w:id w:val="344907998"/>
          </w:sdtPr>
          <w:sdtContent>
            <w:tc>
              <w:tcPr>
                <w:tcW w:w="1134" w:type="dxa"/>
                <w:vAlign w:val="center"/>
              </w:tcPr>
              <w:p w14:paraId="26CEB241" w14:textId="77777777" w:rsidR="00577D08" w:rsidRDefault="00330FC0">
                <w:pPr>
                  <w:jc w:val="center"/>
                  <w:rPr>
                    <w:sz w:val="18"/>
                    <w:szCs w:val="18"/>
                  </w:rPr>
                </w:pPr>
                <w:r>
                  <w:rPr>
                    <w:rFonts w:hint="eastAsia"/>
                    <w:sz w:val="18"/>
                    <w:szCs w:val="18"/>
                  </w:rPr>
                  <w:t>本年</w:t>
                </w:r>
                <w:r>
                  <w:rPr>
                    <w:sz w:val="18"/>
                    <w:szCs w:val="18"/>
                  </w:rPr>
                  <w:t>解除限售股数</w:t>
                </w:r>
              </w:p>
            </w:tc>
          </w:sdtContent>
        </w:sdt>
        <w:sdt>
          <w:sdtPr>
            <w:rPr>
              <w:sz w:val="18"/>
              <w:szCs w:val="18"/>
            </w:rPr>
            <w:tag w:val="_PLD_f494b239f14f47d2818db9a79506f1ae"/>
            <w:id w:val="250099238"/>
          </w:sdtPr>
          <w:sdtContent>
            <w:tc>
              <w:tcPr>
                <w:tcW w:w="992" w:type="dxa"/>
                <w:vAlign w:val="center"/>
              </w:tcPr>
              <w:p w14:paraId="629938FC" w14:textId="77777777" w:rsidR="00577D08" w:rsidRDefault="00330FC0">
                <w:pPr>
                  <w:jc w:val="center"/>
                  <w:rPr>
                    <w:sz w:val="18"/>
                    <w:szCs w:val="18"/>
                  </w:rPr>
                </w:pPr>
                <w:r>
                  <w:rPr>
                    <w:rFonts w:hint="eastAsia"/>
                    <w:sz w:val="18"/>
                    <w:szCs w:val="18"/>
                  </w:rPr>
                  <w:t>本年</w:t>
                </w:r>
                <w:r>
                  <w:rPr>
                    <w:sz w:val="18"/>
                    <w:szCs w:val="18"/>
                  </w:rPr>
                  <w:t>增加限售股数</w:t>
                </w:r>
              </w:p>
            </w:tc>
          </w:sdtContent>
        </w:sdt>
        <w:sdt>
          <w:sdtPr>
            <w:rPr>
              <w:sz w:val="18"/>
              <w:szCs w:val="18"/>
            </w:rPr>
            <w:tag w:val="_PLD_7f6e541d006347e7a584639c7f427833"/>
            <w:id w:val="-1862817606"/>
          </w:sdtPr>
          <w:sdtContent>
            <w:tc>
              <w:tcPr>
                <w:tcW w:w="993" w:type="dxa"/>
                <w:vAlign w:val="center"/>
              </w:tcPr>
              <w:p w14:paraId="2B2BFF6E" w14:textId="77777777" w:rsidR="00577D08" w:rsidRDefault="00330FC0">
                <w:pPr>
                  <w:jc w:val="center"/>
                  <w:rPr>
                    <w:sz w:val="18"/>
                    <w:szCs w:val="18"/>
                  </w:rPr>
                </w:pPr>
                <w:r>
                  <w:rPr>
                    <w:rFonts w:hint="eastAsia"/>
                    <w:sz w:val="18"/>
                    <w:szCs w:val="18"/>
                  </w:rPr>
                  <w:t>年</w:t>
                </w:r>
                <w:r>
                  <w:rPr>
                    <w:sz w:val="18"/>
                    <w:szCs w:val="18"/>
                  </w:rPr>
                  <w:t>末限售股数</w:t>
                </w:r>
              </w:p>
            </w:tc>
          </w:sdtContent>
        </w:sdt>
        <w:sdt>
          <w:sdtPr>
            <w:rPr>
              <w:sz w:val="18"/>
              <w:szCs w:val="18"/>
            </w:rPr>
            <w:tag w:val="_PLD_d37fee9a3155489fbf6351ef4190eda4"/>
            <w:id w:val="1008174620"/>
          </w:sdtPr>
          <w:sdtContent>
            <w:tc>
              <w:tcPr>
                <w:tcW w:w="2119" w:type="dxa"/>
                <w:vAlign w:val="center"/>
              </w:tcPr>
              <w:p w14:paraId="51F2D74E" w14:textId="77777777" w:rsidR="00577D08" w:rsidRDefault="00330FC0">
                <w:pPr>
                  <w:jc w:val="center"/>
                  <w:rPr>
                    <w:sz w:val="18"/>
                    <w:szCs w:val="18"/>
                  </w:rPr>
                </w:pPr>
                <w:r>
                  <w:rPr>
                    <w:sz w:val="18"/>
                    <w:szCs w:val="18"/>
                  </w:rPr>
                  <w:t>限售原因</w:t>
                </w:r>
              </w:p>
            </w:tc>
          </w:sdtContent>
        </w:sdt>
        <w:sdt>
          <w:sdtPr>
            <w:rPr>
              <w:sz w:val="18"/>
              <w:szCs w:val="18"/>
            </w:rPr>
            <w:tag w:val="_PLD_ca5e79dfa7e44389b18b3a663f85094b"/>
            <w:id w:val="924541526"/>
          </w:sdtPr>
          <w:sdtContent>
            <w:tc>
              <w:tcPr>
                <w:tcW w:w="1294" w:type="dxa"/>
                <w:vAlign w:val="center"/>
              </w:tcPr>
              <w:p w14:paraId="6C3ABBF3" w14:textId="77777777" w:rsidR="00577D08" w:rsidRDefault="00330FC0">
                <w:pPr>
                  <w:jc w:val="center"/>
                  <w:rPr>
                    <w:sz w:val="18"/>
                    <w:szCs w:val="18"/>
                  </w:rPr>
                </w:pPr>
                <w:r>
                  <w:rPr>
                    <w:sz w:val="18"/>
                    <w:szCs w:val="18"/>
                  </w:rPr>
                  <w:t>解除限售日期</w:t>
                </w:r>
              </w:p>
            </w:tc>
          </w:sdtContent>
        </w:sdt>
      </w:tr>
      <w:tr w:rsidR="00577D08" w14:paraId="0A45B564" w14:textId="77777777">
        <w:tc>
          <w:tcPr>
            <w:tcW w:w="1290" w:type="dxa"/>
          </w:tcPr>
          <w:p w14:paraId="2D03351E" w14:textId="77777777" w:rsidR="00577D08" w:rsidRDefault="00330FC0">
            <w:pPr>
              <w:rPr>
                <w:sz w:val="18"/>
                <w:szCs w:val="18"/>
              </w:rPr>
            </w:pPr>
            <w:r>
              <w:rPr>
                <w:rFonts w:hint="eastAsia"/>
                <w:sz w:val="18"/>
                <w:szCs w:val="18"/>
              </w:rPr>
              <w:t>公司</w:t>
            </w:r>
            <w:r>
              <w:rPr>
                <w:rFonts w:hint="eastAsia"/>
                <w:sz w:val="18"/>
                <w:szCs w:val="18"/>
              </w:rPr>
              <w:t>2024</w:t>
            </w:r>
            <w:r>
              <w:rPr>
                <w:rFonts w:hint="eastAsia"/>
                <w:sz w:val="18"/>
                <w:szCs w:val="18"/>
              </w:rPr>
              <w:t>年度限制性股票激励计划预留授予</w:t>
            </w:r>
            <w:r>
              <w:rPr>
                <w:rFonts w:hint="eastAsia"/>
                <w:sz w:val="18"/>
                <w:szCs w:val="18"/>
              </w:rPr>
              <w:t>31</w:t>
            </w:r>
            <w:r>
              <w:rPr>
                <w:rFonts w:hint="eastAsia"/>
                <w:sz w:val="18"/>
                <w:szCs w:val="18"/>
              </w:rPr>
              <w:t>名激励对象</w:t>
            </w:r>
          </w:p>
        </w:tc>
        <w:tc>
          <w:tcPr>
            <w:tcW w:w="1228" w:type="dxa"/>
            <w:vAlign w:val="center"/>
          </w:tcPr>
          <w:p w14:paraId="6F199ADC" w14:textId="77777777" w:rsidR="00577D08" w:rsidRDefault="00330FC0">
            <w:pPr>
              <w:jc w:val="right"/>
              <w:rPr>
                <w:sz w:val="18"/>
                <w:szCs w:val="18"/>
              </w:rPr>
            </w:pPr>
            <w:r>
              <w:rPr>
                <w:rFonts w:hint="eastAsia"/>
                <w:sz w:val="18"/>
                <w:szCs w:val="18"/>
              </w:rPr>
              <w:t>0</w:t>
            </w:r>
          </w:p>
        </w:tc>
        <w:tc>
          <w:tcPr>
            <w:tcW w:w="1134" w:type="dxa"/>
            <w:vAlign w:val="center"/>
          </w:tcPr>
          <w:p w14:paraId="4456D764" w14:textId="77777777" w:rsidR="00577D08" w:rsidRDefault="00330FC0">
            <w:pPr>
              <w:jc w:val="right"/>
              <w:rPr>
                <w:sz w:val="18"/>
                <w:szCs w:val="18"/>
              </w:rPr>
            </w:pPr>
            <w:r>
              <w:rPr>
                <w:rFonts w:hint="eastAsia"/>
                <w:sz w:val="18"/>
                <w:szCs w:val="18"/>
              </w:rPr>
              <w:t>0</w:t>
            </w:r>
          </w:p>
        </w:tc>
        <w:tc>
          <w:tcPr>
            <w:tcW w:w="992" w:type="dxa"/>
            <w:vAlign w:val="center"/>
          </w:tcPr>
          <w:p w14:paraId="5291FFB4" w14:textId="77777777" w:rsidR="00577D08" w:rsidRDefault="00330FC0">
            <w:pPr>
              <w:jc w:val="right"/>
              <w:rPr>
                <w:sz w:val="18"/>
                <w:szCs w:val="18"/>
              </w:rPr>
            </w:pPr>
            <w:r>
              <w:rPr>
                <w:rFonts w:hint="eastAsia"/>
                <w:sz w:val="18"/>
                <w:szCs w:val="18"/>
              </w:rPr>
              <w:t>580,000</w:t>
            </w:r>
          </w:p>
        </w:tc>
        <w:tc>
          <w:tcPr>
            <w:tcW w:w="993" w:type="dxa"/>
            <w:vAlign w:val="center"/>
          </w:tcPr>
          <w:p w14:paraId="460B7734" w14:textId="77777777" w:rsidR="00577D08" w:rsidRDefault="00330FC0">
            <w:pPr>
              <w:jc w:val="right"/>
              <w:rPr>
                <w:sz w:val="18"/>
                <w:szCs w:val="18"/>
              </w:rPr>
            </w:pPr>
            <w:r>
              <w:rPr>
                <w:rFonts w:hint="eastAsia"/>
                <w:sz w:val="18"/>
                <w:szCs w:val="18"/>
              </w:rPr>
              <w:t>580,000</w:t>
            </w:r>
          </w:p>
        </w:tc>
        <w:tc>
          <w:tcPr>
            <w:tcW w:w="2119" w:type="dxa"/>
            <w:vAlign w:val="center"/>
          </w:tcPr>
          <w:p w14:paraId="40E8E56D" w14:textId="77777777" w:rsidR="00577D08" w:rsidRDefault="00330FC0">
            <w:pPr>
              <w:rPr>
                <w:sz w:val="18"/>
                <w:szCs w:val="18"/>
              </w:rPr>
            </w:pPr>
            <w:r>
              <w:rPr>
                <w:rFonts w:hint="eastAsia"/>
                <w:sz w:val="18"/>
                <w:szCs w:val="18"/>
              </w:rPr>
              <w:t>2024</w:t>
            </w:r>
            <w:r>
              <w:rPr>
                <w:rFonts w:hint="eastAsia"/>
                <w:sz w:val="18"/>
                <w:szCs w:val="18"/>
              </w:rPr>
              <w:t>年限制性股票激励计划预留授予</w:t>
            </w:r>
          </w:p>
        </w:tc>
        <w:tc>
          <w:tcPr>
            <w:tcW w:w="1294" w:type="dxa"/>
            <w:vAlign w:val="center"/>
          </w:tcPr>
          <w:p w14:paraId="41B650C7" w14:textId="77777777" w:rsidR="00577D08" w:rsidRDefault="00330FC0">
            <w:pPr>
              <w:rPr>
                <w:sz w:val="18"/>
                <w:szCs w:val="18"/>
              </w:rPr>
            </w:pPr>
            <w:r>
              <w:rPr>
                <w:rFonts w:hint="eastAsia"/>
                <w:sz w:val="18"/>
                <w:szCs w:val="18"/>
              </w:rPr>
              <w:t>根据《</w:t>
            </w:r>
            <w:r>
              <w:rPr>
                <w:rFonts w:hint="eastAsia"/>
                <w:sz w:val="18"/>
                <w:szCs w:val="18"/>
              </w:rPr>
              <w:t>2024</w:t>
            </w:r>
            <w:r>
              <w:rPr>
                <w:rFonts w:hint="eastAsia"/>
                <w:sz w:val="18"/>
                <w:szCs w:val="18"/>
              </w:rPr>
              <w:t>年限制性股票激励计划》相关规定分批解除限售</w:t>
            </w:r>
          </w:p>
        </w:tc>
      </w:tr>
      <w:tr w:rsidR="00577D08" w14:paraId="333E744D" w14:textId="77777777">
        <w:tc>
          <w:tcPr>
            <w:tcW w:w="1290" w:type="dxa"/>
          </w:tcPr>
          <w:p w14:paraId="2F4C81AA" w14:textId="77777777" w:rsidR="00577D08" w:rsidRDefault="00330FC0">
            <w:pPr>
              <w:rPr>
                <w:sz w:val="18"/>
                <w:szCs w:val="18"/>
              </w:rPr>
            </w:pPr>
            <w:r>
              <w:rPr>
                <w:rFonts w:hint="eastAsia"/>
                <w:sz w:val="18"/>
                <w:szCs w:val="18"/>
              </w:rPr>
              <w:t>控股股东、实际控制人及其一致行动人共计</w:t>
            </w:r>
            <w:r>
              <w:rPr>
                <w:rFonts w:hint="eastAsia"/>
                <w:sz w:val="18"/>
                <w:szCs w:val="18"/>
              </w:rPr>
              <w:t>9</w:t>
            </w:r>
            <w:r>
              <w:rPr>
                <w:rFonts w:hint="eastAsia"/>
                <w:sz w:val="18"/>
                <w:szCs w:val="18"/>
              </w:rPr>
              <w:t>人</w:t>
            </w:r>
          </w:p>
        </w:tc>
        <w:tc>
          <w:tcPr>
            <w:tcW w:w="1228" w:type="dxa"/>
            <w:vAlign w:val="center"/>
          </w:tcPr>
          <w:p w14:paraId="25172369" w14:textId="77777777" w:rsidR="00577D08" w:rsidRDefault="00330FC0">
            <w:pPr>
              <w:jc w:val="right"/>
              <w:rPr>
                <w:sz w:val="18"/>
                <w:szCs w:val="18"/>
              </w:rPr>
            </w:pPr>
            <w:r>
              <w:rPr>
                <w:rFonts w:hint="eastAsia"/>
                <w:sz w:val="18"/>
                <w:szCs w:val="18"/>
              </w:rPr>
              <w:t>143,911,541</w:t>
            </w:r>
          </w:p>
        </w:tc>
        <w:tc>
          <w:tcPr>
            <w:tcW w:w="1134" w:type="dxa"/>
            <w:vAlign w:val="center"/>
          </w:tcPr>
          <w:p w14:paraId="03B64605" w14:textId="77777777" w:rsidR="00577D08" w:rsidRDefault="00330FC0">
            <w:pPr>
              <w:jc w:val="right"/>
              <w:rPr>
                <w:sz w:val="18"/>
                <w:szCs w:val="18"/>
              </w:rPr>
            </w:pPr>
            <w:r>
              <w:rPr>
                <w:rFonts w:hint="eastAsia"/>
                <w:sz w:val="18"/>
                <w:szCs w:val="18"/>
              </w:rPr>
              <w:t>143,911,541</w:t>
            </w:r>
          </w:p>
        </w:tc>
        <w:tc>
          <w:tcPr>
            <w:tcW w:w="992" w:type="dxa"/>
            <w:vAlign w:val="center"/>
          </w:tcPr>
          <w:p w14:paraId="02A8DD40" w14:textId="77777777" w:rsidR="00577D08" w:rsidRDefault="00330FC0">
            <w:pPr>
              <w:jc w:val="right"/>
              <w:rPr>
                <w:sz w:val="18"/>
                <w:szCs w:val="18"/>
              </w:rPr>
            </w:pPr>
            <w:r>
              <w:rPr>
                <w:rFonts w:hint="eastAsia"/>
                <w:sz w:val="18"/>
                <w:szCs w:val="18"/>
              </w:rPr>
              <w:t>0</w:t>
            </w:r>
          </w:p>
        </w:tc>
        <w:tc>
          <w:tcPr>
            <w:tcW w:w="993" w:type="dxa"/>
            <w:vAlign w:val="center"/>
          </w:tcPr>
          <w:p w14:paraId="233C92E7" w14:textId="77777777" w:rsidR="00577D08" w:rsidRDefault="00330FC0">
            <w:pPr>
              <w:jc w:val="right"/>
              <w:rPr>
                <w:sz w:val="18"/>
                <w:szCs w:val="18"/>
              </w:rPr>
            </w:pPr>
            <w:r>
              <w:rPr>
                <w:rFonts w:hint="eastAsia"/>
                <w:sz w:val="18"/>
                <w:szCs w:val="18"/>
              </w:rPr>
              <w:t>0</w:t>
            </w:r>
          </w:p>
        </w:tc>
        <w:tc>
          <w:tcPr>
            <w:tcW w:w="2119" w:type="dxa"/>
            <w:vAlign w:val="center"/>
          </w:tcPr>
          <w:p w14:paraId="65DC79AA" w14:textId="77777777" w:rsidR="00577D08" w:rsidRDefault="00330FC0">
            <w:pPr>
              <w:rPr>
                <w:sz w:val="18"/>
                <w:szCs w:val="18"/>
              </w:rPr>
            </w:pPr>
            <w:r>
              <w:rPr>
                <w:rFonts w:hint="eastAsia"/>
                <w:sz w:val="18"/>
                <w:szCs w:val="18"/>
              </w:rPr>
              <w:t>首发上市之日起</w:t>
            </w:r>
            <w:r>
              <w:rPr>
                <w:rFonts w:hint="eastAsia"/>
                <w:sz w:val="18"/>
                <w:szCs w:val="18"/>
              </w:rPr>
              <w:t>36</w:t>
            </w:r>
            <w:r>
              <w:rPr>
                <w:rFonts w:hint="eastAsia"/>
                <w:sz w:val="18"/>
                <w:szCs w:val="18"/>
              </w:rPr>
              <w:t>个月后解除限售</w:t>
            </w:r>
          </w:p>
        </w:tc>
        <w:tc>
          <w:tcPr>
            <w:tcW w:w="1294" w:type="dxa"/>
            <w:vAlign w:val="center"/>
          </w:tcPr>
          <w:p w14:paraId="5634661E" w14:textId="77777777" w:rsidR="00577D08" w:rsidRDefault="00330FC0">
            <w:pPr>
              <w:rPr>
                <w:sz w:val="18"/>
                <w:szCs w:val="18"/>
              </w:rPr>
            </w:pPr>
            <w:r>
              <w:rPr>
                <w:rFonts w:hint="eastAsia"/>
                <w:sz w:val="18"/>
                <w:szCs w:val="18"/>
              </w:rPr>
              <w:t>2025.04.28</w:t>
            </w:r>
          </w:p>
        </w:tc>
      </w:tr>
      <w:tr w:rsidR="00577D08" w14:paraId="3E1BBFD2" w14:textId="77777777">
        <w:tc>
          <w:tcPr>
            <w:tcW w:w="1290" w:type="dxa"/>
            <w:vAlign w:val="center"/>
          </w:tcPr>
          <w:p w14:paraId="7E007AEC" w14:textId="77777777" w:rsidR="00577D08" w:rsidRDefault="00330FC0">
            <w:pPr>
              <w:jc w:val="center"/>
              <w:rPr>
                <w:sz w:val="18"/>
                <w:szCs w:val="18"/>
              </w:rPr>
            </w:pPr>
            <w:r>
              <w:rPr>
                <w:sz w:val="18"/>
                <w:szCs w:val="18"/>
              </w:rPr>
              <w:t>合计</w:t>
            </w:r>
          </w:p>
        </w:tc>
        <w:tc>
          <w:tcPr>
            <w:tcW w:w="1228" w:type="dxa"/>
            <w:vAlign w:val="center"/>
          </w:tcPr>
          <w:p w14:paraId="73789E7A" w14:textId="77777777" w:rsidR="00577D08" w:rsidRDefault="00330FC0">
            <w:pPr>
              <w:jc w:val="right"/>
              <w:rPr>
                <w:sz w:val="18"/>
                <w:szCs w:val="18"/>
              </w:rPr>
            </w:pPr>
            <w:r>
              <w:rPr>
                <w:sz w:val="18"/>
                <w:szCs w:val="18"/>
              </w:rPr>
              <w:t>143,911,541</w:t>
            </w:r>
          </w:p>
        </w:tc>
        <w:tc>
          <w:tcPr>
            <w:tcW w:w="1134" w:type="dxa"/>
            <w:vAlign w:val="center"/>
          </w:tcPr>
          <w:p w14:paraId="75649A24" w14:textId="77777777" w:rsidR="00577D08" w:rsidRDefault="00330FC0">
            <w:pPr>
              <w:jc w:val="right"/>
              <w:rPr>
                <w:sz w:val="18"/>
                <w:szCs w:val="18"/>
              </w:rPr>
            </w:pPr>
            <w:r>
              <w:rPr>
                <w:sz w:val="18"/>
                <w:szCs w:val="18"/>
              </w:rPr>
              <w:t>143,911,541</w:t>
            </w:r>
          </w:p>
        </w:tc>
        <w:tc>
          <w:tcPr>
            <w:tcW w:w="992" w:type="dxa"/>
            <w:vAlign w:val="center"/>
          </w:tcPr>
          <w:p w14:paraId="2F7A3F9B" w14:textId="77777777" w:rsidR="00577D08" w:rsidRDefault="00330FC0">
            <w:pPr>
              <w:jc w:val="right"/>
              <w:rPr>
                <w:sz w:val="18"/>
                <w:szCs w:val="18"/>
              </w:rPr>
            </w:pPr>
            <w:r>
              <w:rPr>
                <w:sz w:val="18"/>
                <w:szCs w:val="18"/>
              </w:rPr>
              <w:t>580,000</w:t>
            </w:r>
          </w:p>
        </w:tc>
        <w:tc>
          <w:tcPr>
            <w:tcW w:w="993" w:type="dxa"/>
            <w:vAlign w:val="center"/>
          </w:tcPr>
          <w:p w14:paraId="7FE6DFC4" w14:textId="77777777" w:rsidR="00577D08" w:rsidRDefault="00330FC0">
            <w:pPr>
              <w:jc w:val="right"/>
              <w:rPr>
                <w:sz w:val="18"/>
                <w:szCs w:val="18"/>
              </w:rPr>
            </w:pPr>
            <w:r>
              <w:rPr>
                <w:sz w:val="18"/>
                <w:szCs w:val="18"/>
              </w:rPr>
              <w:t>580,000</w:t>
            </w:r>
          </w:p>
        </w:tc>
        <w:tc>
          <w:tcPr>
            <w:tcW w:w="2119" w:type="dxa"/>
            <w:vAlign w:val="center"/>
          </w:tcPr>
          <w:p w14:paraId="572366D3" w14:textId="77777777" w:rsidR="00577D08" w:rsidRDefault="00330FC0">
            <w:pPr>
              <w:jc w:val="center"/>
              <w:rPr>
                <w:sz w:val="18"/>
                <w:szCs w:val="18"/>
              </w:rPr>
            </w:pPr>
            <w:r>
              <w:rPr>
                <w:rFonts w:hint="eastAsia"/>
                <w:sz w:val="18"/>
                <w:szCs w:val="18"/>
              </w:rPr>
              <w:t>/</w:t>
            </w:r>
          </w:p>
        </w:tc>
        <w:tc>
          <w:tcPr>
            <w:tcW w:w="1294" w:type="dxa"/>
            <w:vAlign w:val="center"/>
          </w:tcPr>
          <w:p w14:paraId="042C99FA" w14:textId="77777777" w:rsidR="00577D08" w:rsidRDefault="00330FC0">
            <w:pPr>
              <w:jc w:val="center"/>
              <w:rPr>
                <w:sz w:val="18"/>
                <w:szCs w:val="18"/>
              </w:rPr>
            </w:pPr>
            <w:r>
              <w:rPr>
                <w:rFonts w:hint="eastAsia"/>
                <w:sz w:val="18"/>
                <w:szCs w:val="18"/>
              </w:rPr>
              <w:t>/</w:t>
            </w:r>
          </w:p>
        </w:tc>
      </w:tr>
    </w:tbl>
    <w:p w14:paraId="499AB760" w14:textId="77777777" w:rsidR="00577D08" w:rsidRDefault="00577D08">
      <w:pPr>
        <w:rPr>
          <w:rFonts w:asciiTheme="minorEastAsia" w:eastAsiaTheme="minorEastAsia" w:hAnsiTheme="minorEastAsia" w:hint="eastAsia"/>
        </w:rPr>
      </w:pPr>
    </w:p>
    <w:p w14:paraId="4F79C0C8" w14:textId="77777777" w:rsidR="00577D08" w:rsidRDefault="00330FC0">
      <w:pPr>
        <w:pStyle w:val="2"/>
        <w:numPr>
          <w:ilvl w:val="0"/>
          <w:numId w:val="43"/>
        </w:numPr>
      </w:pPr>
      <w:r>
        <w:lastRenderedPageBreak/>
        <w:t>证券发行与上市情况</w:t>
      </w:r>
    </w:p>
    <w:p w14:paraId="0CE58982" w14:textId="77777777" w:rsidR="00577D08" w:rsidRDefault="00330FC0">
      <w:pPr>
        <w:pStyle w:val="3"/>
        <w:numPr>
          <w:ilvl w:val="0"/>
          <w:numId w:val="46"/>
        </w:numPr>
      </w:pPr>
      <w:bookmarkStart w:id="263" w:name="_Hlk89954403"/>
      <w:r>
        <w:t>截至</w:t>
      </w:r>
      <w:r>
        <w:rPr>
          <w:rFonts w:hint="eastAsia"/>
        </w:rPr>
        <w:t>报告期内</w:t>
      </w:r>
      <w:r>
        <w:t>证券发行情况</w:t>
      </w:r>
    </w:p>
    <w:sdt>
      <w:sdtPr>
        <w:alias w:val="是否适用：截至报告期内证券发行情况[双击切换]"/>
        <w:tag w:val="_GBC_a9b53137ff4442baa307fbc68ebc8cbc"/>
        <w:id w:val="-770468433"/>
        <w:placeholder>
          <w:docPart w:val="GBC22222222222222222222222222222"/>
        </w:placeholder>
      </w:sdtPr>
      <w:sdtContent>
        <w:p w14:paraId="5CD8F354"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9FBB2B6" w14:textId="77777777" w:rsidR="00577D08" w:rsidRDefault="00330FC0">
      <w:r>
        <w:t>截至</w:t>
      </w:r>
      <w:r>
        <w:rPr>
          <w:rFonts w:hint="eastAsia"/>
        </w:rPr>
        <w:t>报告期内</w:t>
      </w:r>
      <w:r>
        <w:t>证券发行情况的说明（存续期内利率不同的债券，请分别说明）：</w:t>
      </w:r>
    </w:p>
    <w:sdt>
      <w:sdtPr>
        <w:rPr>
          <w:rFonts w:hint="eastAsia"/>
        </w:rPr>
        <w:alias w:val="是否适用：截至报告期内证券发行情况的说明[双击切换]"/>
        <w:tag w:val="_GBC_41eee01683bd43189dc24a776753e295"/>
        <w:id w:val="1589880665"/>
        <w:placeholder>
          <w:docPart w:val="GBC22222222222222222222222222222"/>
        </w:placeholder>
      </w:sdtPr>
      <w:sdtContent>
        <w:p w14:paraId="1803B7C0"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63"/>
    <w:p w14:paraId="61AD0D1A" w14:textId="77777777" w:rsidR="00577D08" w:rsidRDefault="00330FC0">
      <w:pPr>
        <w:pStyle w:val="3"/>
        <w:numPr>
          <w:ilvl w:val="0"/>
          <w:numId w:val="46"/>
        </w:numPr>
        <w:rPr>
          <w:szCs w:val="21"/>
        </w:rPr>
      </w:pPr>
      <w:r>
        <w:rPr>
          <w:rFonts w:hint="eastAsia"/>
          <w:szCs w:val="21"/>
        </w:rPr>
        <w:t>公司股份总数及股东结构变动及公司资产和负债结构的变动情况</w:t>
      </w:r>
    </w:p>
    <w:sdt>
      <w:sdtPr>
        <w:rPr>
          <w:rFonts w:hint="eastAsia"/>
        </w:rPr>
        <w:alias w:val="是否适用：公司普通股股份总数及股东结构变动及公司资产和负债结构的变动情况[双击切换]"/>
        <w:tag w:val="_GBC_fb36c697d5b04775a7cf181dc8c2e9c2"/>
        <w:id w:val="-1346086227"/>
        <w:placeholder>
          <w:docPart w:val="GBC22222222222222222222222222222"/>
        </w:placeholder>
      </w:sdtPr>
      <w:sdtContent>
        <w:p w14:paraId="46DC7BC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386741E" w14:textId="77777777" w:rsidR="00577D08" w:rsidRDefault="00330FC0">
      <w:pPr>
        <w:pStyle w:val="3"/>
        <w:numPr>
          <w:ilvl w:val="0"/>
          <w:numId w:val="46"/>
        </w:numPr>
        <w:rPr>
          <w:szCs w:val="21"/>
        </w:rPr>
      </w:pPr>
      <w:r>
        <w:rPr>
          <w:rFonts w:hint="eastAsia"/>
          <w:szCs w:val="21"/>
        </w:rPr>
        <w:t>现存的内部职工股情况</w:t>
      </w:r>
    </w:p>
    <w:sdt>
      <w:sdtPr>
        <w:alias w:val="是否适用：现存的内部职工股情况[双击切换]"/>
        <w:tag w:val="_GBC_fa5e90226e14408b891f1c5a9dbbf2c5"/>
        <w:id w:val="-634414435"/>
        <w:placeholder>
          <w:docPart w:val="GBC22222222222222222222222222222"/>
        </w:placeholder>
      </w:sdtPr>
      <w:sdtContent>
        <w:p w14:paraId="2821540E"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A2568F" w14:textId="77777777" w:rsidR="00577D08" w:rsidRDefault="00330FC0">
      <w:pPr>
        <w:pStyle w:val="2"/>
        <w:numPr>
          <w:ilvl w:val="0"/>
          <w:numId w:val="43"/>
        </w:numPr>
      </w:pPr>
      <w:r>
        <w:t>股东</w:t>
      </w:r>
      <w:r>
        <w:rPr>
          <w:rFonts w:hint="eastAsia"/>
        </w:rPr>
        <w:t>和实际控制人</w:t>
      </w:r>
      <w:r>
        <w:t>情况</w:t>
      </w:r>
    </w:p>
    <w:p w14:paraId="6BDF6BA3" w14:textId="77777777" w:rsidR="00577D08" w:rsidRDefault="00330FC0">
      <w:pPr>
        <w:pStyle w:val="3"/>
        <w:numPr>
          <w:ilvl w:val="1"/>
          <w:numId w:val="47"/>
        </w:numPr>
        <w:tabs>
          <w:tab w:val="left" w:pos="851"/>
        </w:tabs>
        <w:ind w:left="426" w:hanging="426"/>
        <w:rPr>
          <w:szCs w:val="21"/>
        </w:rPr>
      </w:pPr>
      <w:r>
        <w:rPr>
          <w:rFonts w:hint="eastAsia"/>
          <w:szCs w:val="21"/>
        </w:rPr>
        <w:t>股东总数</w:t>
      </w:r>
    </w:p>
    <w:tbl>
      <w:tblPr>
        <w:tblStyle w:val="aff2"/>
        <w:tblW w:w="0" w:type="auto"/>
        <w:tblLayout w:type="fixed"/>
        <w:tblLook w:val="04A0" w:firstRow="1" w:lastRow="0" w:firstColumn="1" w:lastColumn="0" w:noHBand="0" w:noVBand="1"/>
      </w:tblPr>
      <w:tblGrid>
        <w:gridCol w:w="4524"/>
        <w:gridCol w:w="4524"/>
      </w:tblGrid>
      <w:tr w:rsidR="00577D08" w14:paraId="508831BA" w14:textId="77777777">
        <w:sdt>
          <w:sdtPr>
            <w:tag w:val="_PLD_34738880649c43ac9597effd663adc10"/>
            <w:id w:val="-1722122883"/>
          </w:sdtPr>
          <w:sdtContent>
            <w:tc>
              <w:tcPr>
                <w:tcW w:w="4524" w:type="dxa"/>
                <w:vAlign w:val="center"/>
              </w:tcPr>
              <w:p w14:paraId="75313530" w14:textId="77777777" w:rsidR="00577D08" w:rsidRDefault="00330FC0">
                <w:r>
                  <w:t>截</w:t>
                </w:r>
                <w:r>
                  <w:rPr>
                    <w:rFonts w:hint="eastAsia"/>
                  </w:rPr>
                  <w:t>至</w:t>
                </w:r>
                <w:r>
                  <w:t>报告期末</w:t>
                </w:r>
                <w:r>
                  <w:rPr>
                    <w:rFonts w:hint="eastAsia"/>
                  </w:rPr>
                  <w:t>普通股</w:t>
                </w:r>
                <w:r>
                  <w:t>股东总数</w:t>
                </w:r>
                <w:r>
                  <w:t>(</w:t>
                </w:r>
                <w:r>
                  <w:t>户</w:t>
                </w:r>
                <w:r>
                  <w:t>)</w:t>
                </w:r>
              </w:p>
            </w:tc>
          </w:sdtContent>
        </w:sdt>
        <w:sdt>
          <w:sdtPr>
            <w:alias w:val="报告期末股东总数"/>
            <w:tag w:val="_GBC_510087fb1e024fb293d32127713e45f8"/>
            <w:id w:val="-2070489708"/>
          </w:sdtPr>
          <w:sdtContent>
            <w:tc>
              <w:tcPr>
                <w:tcW w:w="4524" w:type="dxa"/>
                <w:vAlign w:val="center"/>
              </w:tcPr>
              <w:p w14:paraId="7BD25EB5" w14:textId="77777777" w:rsidR="00577D08" w:rsidRDefault="00330FC0">
                <w:pPr>
                  <w:jc w:val="right"/>
                </w:pPr>
                <w:r>
                  <w:t>27,730</w:t>
                </w:r>
              </w:p>
            </w:tc>
          </w:sdtContent>
        </w:sdt>
      </w:tr>
      <w:tr w:rsidR="00577D08" w14:paraId="7836D487" w14:textId="77777777">
        <w:tc>
          <w:tcPr>
            <w:tcW w:w="4524" w:type="dxa"/>
            <w:vAlign w:val="center"/>
          </w:tcPr>
          <w:p w14:paraId="13E87CAC" w14:textId="77777777" w:rsidR="00577D08" w:rsidRDefault="00330FC0">
            <w:r>
              <w:rPr>
                <w:rFonts w:hint="eastAsia"/>
              </w:rPr>
              <w:t>年度报告披露日前上一月末的普通股股东总数</w:t>
            </w:r>
            <w:r>
              <w:t>(</w:t>
            </w:r>
            <w:r>
              <w:t>户</w:t>
            </w:r>
            <w:r>
              <w:t>)</w:t>
            </w:r>
          </w:p>
        </w:tc>
        <w:tc>
          <w:tcPr>
            <w:tcW w:w="4524" w:type="dxa"/>
            <w:vAlign w:val="center"/>
          </w:tcPr>
          <w:p w14:paraId="59038CA1" w14:textId="77777777" w:rsidR="00577D08" w:rsidRDefault="00330FC0">
            <w:pPr>
              <w:jc w:val="right"/>
            </w:pPr>
            <w:r>
              <w:t>31,011</w:t>
            </w:r>
          </w:p>
        </w:tc>
      </w:tr>
      <w:tr w:rsidR="00577D08" w14:paraId="4ECB461D" w14:textId="77777777">
        <w:tc>
          <w:tcPr>
            <w:tcW w:w="4524" w:type="dxa"/>
            <w:vAlign w:val="center"/>
          </w:tcPr>
          <w:p w14:paraId="6A84294A" w14:textId="77777777" w:rsidR="00577D08" w:rsidRDefault="00330FC0">
            <w:r>
              <w:rPr>
                <w:rFonts w:hint="eastAsia"/>
              </w:rPr>
              <w:t>截至报告期末表决权恢复的优先股股东总数（户）</w:t>
            </w:r>
          </w:p>
        </w:tc>
        <w:tc>
          <w:tcPr>
            <w:tcW w:w="4524" w:type="dxa"/>
            <w:vAlign w:val="center"/>
          </w:tcPr>
          <w:p w14:paraId="6B30EB99" w14:textId="77777777" w:rsidR="00577D08" w:rsidRDefault="00330FC0">
            <w:pPr>
              <w:jc w:val="right"/>
            </w:pPr>
            <w:r>
              <w:rPr>
                <w:rFonts w:hint="eastAsia"/>
              </w:rPr>
              <w:t>0</w:t>
            </w:r>
          </w:p>
        </w:tc>
      </w:tr>
      <w:tr w:rsidR="00577D08" w14:paraId="20D2B543" w14:textId="77777777">
        <w:tc>
          <w:tcPr>
            <w:tcW w:w="4524" w:type="dxa"/>
            <w:vAlign w:val="center"/>
          </w:tcPr>
          <w:p w14:paraId="674DB859" w14:textId="77777777" w:rsidR="00577D08" w:rsidRDefault="00330FC0">
            <w:r>
              <w:rPr>
                <w:rFonts w:hint="eastAsia"/>
              </w:rPr>
              <w:t>年度报告披露日前上一月末表决权恢复的优先股股东总数（户）</w:t>
            </w:r>
          </w:p>
        </w:tc>
        <w:tc>
          <w:tcPr>
            <w:tcW w:w="4524" w:type="dxa"/>
            <w:vAlign w:val="center"/>
          </w:tcPr>
          <w:p w14:paraId="2BA62B2A" w14:textId="77777777" w:rsidR="00577D08" w:rsidRDefault="00330FC0">
            <w:pPr>
              <w:jc w:val="right"/>
            </w:pPr>
            <w:r>
              <w:rPr>
                <w:rFonts w:hint="eastAsia"/>
              </w:rPr>
              <w:t>0</w:t>
            </w:r>
          </w:p>
        </w:tc>
      </w:tr>
    </w:tbl>
    <w:p w14:paraId="4E809E5C" w14:textId="77777777" w:rsidR="00577D08" w:rsidRDefault="00330FC0">
      <w:pPr>
        <w:pStyle w:val="3"/>
        <w:numPr>
          <w:ilvl w:val="1"/>
          <w:numId w:val="47"/>
        </w:numPr>
        <w:ind w:left="426" w:hanging="426"/>
      </w:pPr>
      <w:bookmarkStart w:id="264" w:name="_Toc342059485"/>
      <w:bookmarkStart w:id="265" w:name="_Toc342565998"/>
      <w:r>
        <w:rPr>
          <w:rFonts w:hint="eastAsia"/>
          <w:szCs w:val="21"/>
        </w:rPr>
        <w:t>截至报告期末前十名股东、前十名流通股东（或无限售条件股东）持股情况表</w:t>
      </w:r>
    </w:p>
    <w:p w14:paraId="37481327" w14:textId="77777777" w:rsidR="00577D08" w:rsidRDefault="00330FC0">
      <w:pPr>
        <w:jc w:val="right"/>
      </w:pPr>
      <w:bookmarkStart w:id="266" w:name="_Hlk27487213"/>
      <w:bookmarkEnd w:id="264"/>
      <w:bookmarkEnd w:id="265"/>
      <w:r>
        <w:rPr>
          <w:bCs/>
        </w:rPr>
        <w:t>单位：</w:t>
      </w:r>
      <w:sdt>
        <w:sdtPr>
          <w:rPr>
            <w:bCs/>
          </w:rPr>
          <w:alias w:val="单位：前十名股东持股情况"/>
          <w:tag w:val="_GBC_b59e95c09d914c83b42ae5b68d0d6987"/>
          <w:id w:val="-138579454"/>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rPr>
            <w:t>股</w:t>
          </w:r>
        </w:sdtContent>
      </w:sdt>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1471"/>
        <w:gridCol w:w="1107"/>
        <w:gridCol w:w="758"/>
        <w:gridCol w:w="1314"/>
        <w:gridCol w:w="1253"/>
        <w:gridCol w:w="413"/>
        <w:gridCol w:w="89"/>
        <w:gridCol w:w="1212"/>
      </w:tblGrid>
      <w:tr w:rsidR="00577D08" w14:paraId="0085E30D" w14:textId="77777777">
        <w:trPr>
          <w:cantSplit/>
        </w:trPr>
        <w:sdt>
          <w:sdtPr>
            <w:rPr>
              <w:sz w:val="18"/>
              <w:szCs w:val="18"/>
            </w:rPr>
            <w:tag w:val="_PLD_12180439b5ff4b00a01ff1f87b70f1de"/>
            <w:id w:val="327420062"/>
          </w:sdtPr>
          <w:sdtContent>
            <w:tc>
              <w:tcPr>
                <w:tcW w:w="8833" w:type="dxa"/>
                <w:gridSpan w:val="9"/>
                <w:vAlign w:val="center"/>
              </w:tcPr>
              <w:p w14:paraId="63138FF0" w14:textId="77777777" w:rsidR="00577D08" w:rsidRDefault="00330FC0">
                <w:pPr>
                  <w:pStyle w:val="ab"/>
                  <w:jc w:val="center"/>
                  <w:rPr>
                    <w:rFonts w:ascii="宋体" w:hAnsi="宋体" w:hint="eastAsia"/>
                    <w:sz w:val="18"/>
                    <w:szCs w:val="18"/>
                  </w:rPr>
                </w:pPr>
                <w:r>
                  <w:rPr>
                    <w:rFonts w:ascii="宋体" w:hAnsi="宋体"/>
                    <w:sz w:val="18"/>
                    <w:szCs w:val="18"/>
                  </w:rPr>
                  <w:t>前十名股东持股情况</w:t>
                </w:r>
                <w:r>
                  <w:rPr>
                    <w:rFonts w:ascii="宋体" w:hAnsi="宋体" w:hint="eastAsia"/>
                    <w:sz w:val="18"/>
                    <w:szCs w:val="18"/>
                  </w:rPr>
                  <w:t>（不含通过转融通出借股份）</w:t>
                </w:r>
              </w:p>
            </w:tc>
          </w:sdtContent>
        </w:sdt>
      </w:tr>
      <w:tr w:rsidR="00577D08" w14:paraId="0292F72C" w14:textId="77777777">
        <w:trPr>
          <w:cantSplit/>
        </w:trPr>
        <w:sdt>
          <w:sdtPr>
            <w:rPr>
              <w:sz w:val="18"/>
              <w:szCs w:val="18"/>
            </w:rPr>
            <w:tag w:val="_PLD_4e40ad86e5ee4c0cb28f819aa3924fb2"/>
            <w:id w:val="-322131151"/>
          </w:sdtPr>
          <w:sdtContent>
            <w:tc>
              <w:tcPr>
                <w:tcW w:w="1216" w:type="dxa"/>
                <w:vMerge w:val="restart"/>
                <w:vAlign w:val="center"/>
              </w:tcPr>
              <w:p w14:paraId="2B641CAD" w14:textId="77777777" w:rsidR="00577D08" w:rsidRDefault="00330FC0">
                <w:pPr>
                  <w:jc w:val="center"/>
                  <w:rPr>
                    <w:sz w:val="18"/>
                    <w:szCs w:val="18"/>
                  </w:rPr>
                </w:pPr>
                <w:r>
                  <w:rPr>
                    <w:sz w:val="18"/>
                    <w:szCs w:val="18"/>
                  </w:rPr>
                  <w:t>股东名称</w:t>
                </w:r>
              </w:p>
              <w:p w14:paraId="3AACE01B" w14:textId="77777777" w:rsidR="00577D08" w:rsidRDefault="00330FC0">
                <w:pPr>
                  <w:jc w:val="center"/>
                  <w:rPr>
                    <w:sz w:val="18"/>
                    <w:szCs w:val="18"/>
                  </w:rPr>
                </w:pPr>
                <w:r>
                  <w:rPr>
                    <w:rFonts w:hint="eastAsia"/>
                    <w:sz w:val="18"/>
                    <w:szCs w:val="18"/>
                  </w:rPr>
                  <w:t>（全称）</w:t>
                </w:r>
              </w:p>
            </w:tc>
          </w:sdtContent>
        </w:sdt>
        <w:sdt>
          <w:sdtPr>
            <w:rPr>
              <w:sz w:val="18"/>
              <w:szCs w:val="18"/>
            </w:rPr>
            <w:tag w:val="_PLD_587b672a54ed4481b14f0963f010aefb"/>
            <w:id w:val="-694077743"/>
          </w:sdtPr>
          <w:sdtContent>
            <w:tc>
              <w:tcPr>
                <w:tcW w:w="1471" w:type="dxa"/>
                <w:vMerge w:val="restart"/>
                <w:vAlign w:val="center"/>
              </w:tcPr>
              <w:p w14:paraId="151E4730" w14:textId="77777777" w:rsidR="00577D08" w:rsidRDefault="00330FC0">
                <w:pPr>
                  <w:jc w:val="center"/>
                  <w:rPr>
                    <w:sz w:val="18"/>
                    <w:szCs w:val="18"/>
                  </w:rPr>
                </w:pPr>
                <w:r>
                  <w:rPr>
                    <w:sz w:val="18"/>
                    <w:szCs w:val="18"/>
                  </w:rPr>
                  <w:t>报告期内增减</w:t>
                </w:r>
              </w:p>
            </w:tc>
          </w:sdtContent>
        </w:sdt>
        <w:sdt>
          <w:sdtPr>
            <w:rPr>
              <w:sz w:val="18"/>
              <w:szCs w:val="18"/>
            </w:rPr>
            <w:tag w:val="_PLD_580f25e9dfa24c1d91f3845b6a6a42e5"/>
            <w:id w:val="1026670852"/>
          </w:sdtPr>
          <w:sdtContent>
            <w:tc>
              <w:tcPr>
                <w:tcW w:w="1107" w:type="dxa"/>
                <w:vMerge w:val="restart"/>
                <w:vAlign w:val="center"/>
              </w:tcPr>
              <w:p w14:paraId="459DB04A" w14:textId="77777777" w:rsidR="00577D08" w:rsidRDefault="00330FC0">
                <w:pPr>
                  <w:jc w:val="center"/>
                  <w:rPr>
                    <w:sz w:val="18"/>
                    <w:szCs w:val="18"/>
                  </w:rPr>
                </w:pPr>
                <w:r>
                  <w:rPr>
                    <w:sz w:val="18"/>
                    <w:szCs w:val="18"/>
                  </w:rPr>
                  <w:t>期末持股数量</w:t>
                </w:r>
              </w:p>
            </w:tc>
          </w:sdtContent>
        </w:sdt>
        <w:sdt>
          <w:sdtPr>
            <w:rPr>
              <w:sz w:val="18"/>
              <w:szCs w:val="18"/>
            </w:rPr>
            <w:tag w:val="_PLD_e80658c5388c4bb0871489372e62334d"/>
            <w:id w:val="715319401"/>
          </w:sdtPr>
          <w:sdtContent>
            <w:tc>
              <w:tcPr>
                <w:tcW w:w="758" w:type="dxa"/>
                <w:vMerge w:val="restart"/>
                <w:vAlign w:val="center"/>
              </w:tcPr>
              <w:p w14:paraId="4D80D508" w14:textId="77777777" w:rsidR="00577D08" w:rsidRDefault="00330FC0">
                <w:pPr>
                  <w:jc w:val="center"/>
                  <w:rPr>
                    <w:sz w:val="18"/>
                    <w:szCs w:val="18"/>
                  </w:rPr>
                </w:pPr>
                <w:r>
                  <w:rPr>
                    <w:sz w:val="18"/>
                    <w:szCs w:val="18"/>
                  </w:rPr>
                  <w:t>比例</w:t>
                </w:r>
                <w:r>
                  <w:rPr>
                    <w:sz w:val="18"/>
                    <w:szCs w:val="18"/>
                  </w:rPr>
                  <w:t>(%)</w:t>
                </w:r>
              </w:p>
            </w:tc>
          </w:sdtContent>
        </w:sdt>
        <w:sdt>
          <w:sdtPr>
            <w:rPr>
              <w:sz w:val="18"/>
              <w:szCs w:val="18"/>
            </w:rPr>
            <w:tag w:val="_PLD_0ed52eb839784cb0ab83b1692dc8b283"/>
            <w:id w:val="1841494853"/>
          </w:sdtPr>
          <w:sdtContent>
            <w:tc>
              <w:tcPr>
                <w:tcW w:w="1314" w:type="dxa"/>
                <w:vMerge w:val="restart"/>
                <w:vAlign w:val="center"/>
              </w:tcPr>
              <w:p w14:paraId="62797F0D" w14:textId="77777777" w:rsidR="00577D08" w:rsidRDefault="00330FC0">
                <w:pPr>
                  <w:pStyle w:val="a3"/>
                  <w:rPr>
                    <w:rFonts w:ascii="宋体" w:hAnsi="宋体" w:hint="eastAsia"/>
                    <w:bCs/>
                    <w:color w:val="00B050"/>
                    <w:sz w:val="18"/>
                    <w:szCs w:val="18"/>
                  </w:rPr>
                </w:pPr>
                <w:r>
                  <w:rPr>
                    <w:rFonts w:ascii="宋体" w:hAnsi="宋体"/>
                    <w:bCs/>
                    <w:sz w:val="18"/>
                    <w:szCs w:val="18"/>
                  </w:rPr>
                  <w:t>持有有限售条件股份数量</w:t>
                </w:r>
              </w:p>
            </w:tc>
          </w:sdtContent>
        </w:sdt>
        <w:sdt>
          <w:sdtPr>
            <w:rPr>
              <w:sz w:val="18"/>
              <w:szCs w:val="18"/>
            </w:rPr>
            <w:tag w:val="_PLD_6d0fce9e7c914a578f4702348340f346"/>
            <w:id w:val="-256293560"/>
          </w:sdtPr>
          <w:sdtContent>
            <w:tc>
              <w:tcPr>
                <w:tcW w:w="1755" w:type="dxa"/>
                <w:gridSpan w:val="3"/>
                <w:vAlign w:val="center"/>
              </w:tcPr>
              <w:p w14:paraId="6A0C0C2F" w14:textId="77777777" w:rsidR="00577D08" w:rsidRDefault="00330FC0">
                <w:pPr>
                  <w:jc w:val="center"/>
                  <w:rPr>
                    <w:sz w:val="18"/>
                    <w:szCs w:val="18"/>
                  </w:rPr>
                </w:pPr>
                <w:r>
                  <w:rPr>
                    <w:sz w:val="18"/>
                    <w:szCs w:val="18"/>
                  </w:rPr>
                  <w:t>质押</w:t>
                </w:r>
                <w:r>
                  <w:rPr>
                    <w:rFonts w:hint="eastAsia"/>
                    <w:sz w:val="18"/>
                    <w:szCs w:val="18"/>
                  </w:rPr>
                  <w:t>、标记</w:t>
                </w:r>
                <w:r>
                  <w:rPr>
                    <w:sz w:val="18"/>
                    <w:szCs w:val="18"/>
                  </w:rPr>
                  <w:t>或冻结情况</w:t>
                </w:r>
              </w:p>
            </w:tc>
          </w:sdtContent>
        </w:sdt>
        <w:sdt>
          <w:sdtPr>
            <w:rPr>
              <w:sz w:val="18"/>
              <w:szCs w:val="18"/>
            </w:rPr>
            <w:tag w:val="_PLD_57b1e0d0ab2d4113aada0c0394d1589d"/>
            <w:id w:val="1079483096"/>
          </w:sdtPr>
          <w:sdtContent>
            <w:tc>
              <w:tcPr>
                <w:tcW w:w="1212" w:type="dxa"/>
                <w:vMerge w:val="restart"/>
                <w:vAlign w:val="center"/>
              </w:tcPr>
              <w:p w14:paraId="6B3C4794" w14:textId="77777777" w:rsidR="00577D08" w:rsidRDefault="00330FC0">
                <w:pPr>
                  <w:jc w:val="center"/>
                  <w:rPr>
                    <w:sz w:val="18"/>
                    <w:szCs w:val="18"/>
                  </w:rPr>
                </w:pPr>
                <w:r>
                  <w:rPr>
                    <w:sz w:val="18"/>
                    <w:szCs w:val="18"/>
                  </w:rPr>
                  <w:t>股东性质</w:t>
                </w:r>
              </w:p>
            </w:tc>
          </w:sdtContent>
        </w:sdt>
      </w:tr>
      <w:tr w:rsidR="00577D08" w14:paraId="2E016693" w14:textId="77777777">
        <w:trPr>
          <w:cantSplit/>
        </w:trPr>
        <w:tc>
          <w:tcPr>
            <w:tcW w:w="1216" w:type="dxa"/>
            <w:vMerge/>
            <w:tcBorders>
              <w:bottom w:val="single" w:sz="4" w:space="0" w:color="auto"/>
            </w:tcBorders>
            <w:vAlign w:val="center"/>
          </w:tcPr>
          <w:p w14:paraId="5B2116F1" w14:textId="77777777" w:rsidR="00577D08" w:rsidRDefault="00577D08">
            <w:pPr>
              <w:jc w:val="center"/>
              <w:rPr>
                <w:sz w:val="18"/>
                <w:szCs w:val="18"/>
              </w:rPr>
            </w:pPr>
          </w:p>
        </w:tc>
        <w:tc>
          <w:tcPr>
            <w:tcW w:w="1471" w:type="dxa"/>
            <w:vMerge/>
            <w:tcBorders>
              <w:bottom w:val="single" w:sz="4" w:space="0" w:color="auto"/>
            </w:tcBorders>
            <w:vAlign w:val="center"/>
          </w:tcPr>
          <w:p w14:paraId="1F7A1218" w14:textId="77777777" w:rsidR="00577D08" w:rsidRDefault="00577D08">
            <w:pPr>
              <w:jc w:val="center"/>
              <w:rPr>
                <w:sz w:val="18"/>
                <w:szCs w:val="18"/>
              </w:rPr>
            </w:pPr>
          </w:p>
        </w:tc>
        <w:tc>
          <w:tcPr>
            <w:tcW w:w="1107" w:type="dxa"/>
            <w:vMerge/>
            <w:tcBorders>
              <w:bottom w:val="single" w:sz="4" w:space="0" w:color="auto"/>
            </w:tcBorders>
            <w:vAlign w:val="center"/>
          </w:tcPr>
          <w:p w14:paraId="2914D479" w14:textId="77777777" w:rsidR="00577D08" w:rsidRDefault="00577D08">
            <w:pPr>
              <w:jc w:val="center"/>
              <w:rPr>
                <w:sz w:val="18"/>
                <w:szCs w:val="18"/>
              </w:rPr>
            </w:pPr>
          </w:p>
        </w:tc>
        <w:tc>
          <w:tcPr>
            <w:tcW w:w="758" w:type="dxa"/>
            <w:vMerge/>
            <w:tcBorders>
              <w:bottom w:val="single" w:sz="4" w:space="0" w:color="auto"/>
            </w:tcBorders>
            <w:vAlign w:val="center"/>
          </w:tcPr>
          <w:p w14:paraId="1F27F0D0" w14:textId="77777777" w:rsidR="00577D08" w:rsidRDefault="00577D08">
            <w:pPr>
              <w:jc w:val="center"/>
              <w:rPr>
                <w:sz w:val="18"/>
                <w:szCs w:val="18"/>
              </w:rPr>
            </w:pPr>
          </w:p>
        </w:tc>
        <w:tc>
          <w:tcPr>
            <w:tcW w:w="1314" w:type="dxa"/>
            <w:vMerge/>
            <w:tcBorders>
              <w:bottom w:val="single" w:sz="4" w:space="0" w:color="auto"/>
            </w:tcBorders>
            <w:vAlign w:val="center"/>
          </w:tcPr>
          <w:p w14:paraId="5A4E20A5" w14:textId="77777777" w:rsidR="00577D08" w:rsidRDefault="00577D08">
            <w:pPr>
              <w:jc w:val="center"/>
              <w:rPr>
                <w:sz w:val="18"/>
                <w:szCs w:val="18"/>
              </w:rPr>
            </w:pPr>
          </w:p>
        </w:tc>
        <w:sdt>
          <w:sdtPr>
            <w:rPr>
              <w:sz w:val="18"/>
              <w:szCs w:val="18"/>
            </w:rPr>
            <w:tag w:val="_PLD_72b090b1925c46349c7beb3ca6c0032f"/>
            <w:id w:val="-1018388272"/>
          </w:sdtPr>
          <w:sdtContent>
            <w:tc>
              <w:tcPr>
                <w:tcW w:w="1253" w:type="dxa"/>
                <w:tcBorders>
                  <w:bottom w:val="single" w:sz="4" w:space="0" w:color="auto"/>
                </w:tcBorders>
                <w:vAlign w:val="center"/>
              </w:tcPr>
              <w:p w14:paraId="024745EB" w14:textId="77777777" w:rsidR="00577D08" w:rsidRDefault="00330FC0">
                <w:pPr>
                  <w:jc w:val="center"/>
                  <w:rPr>
                    <w:sz w:val="18"/>
                    <w:szCs w:val="18"/>
                  </w:rPr>
                </w:pPr>
                <w:r>
                  <w:rPr>
                    <w:sz w:val="18"/>
                    <w:szCs w:val="18"/>
                  </w:rPr>
                  <w:t>股份状态</w:t>
                </w:r>
              </w:p>
            </w:tc>
          </w:sdtContent>
        </w:sdt>
        <w:sdt>
          <w:sdtPr>
            <w:rPr>
              <w:sz w:val="18"/>
              <w:szCs w:val="18"/>
            </w:rPr>
            <w:tag w:val="_PLD_76e0ca0392384ff795b7613d764041da"/>
            <w:id w:val="-1322585570"/>
          </w:sdtPr>
          <w:sdtContent>
            <w:tc>
              <w:tcPr>
                <w:tcW w:w="502" w:type="dxa"/>
                <w:gridSpan w:val="2"/>
                <w:tcBorders>
                  <w:bottom w:val="single" w:sz="4" w:space="0" w:color="auto"/>
                </w:tcBorders>
                <w:vAlign w:val="center"/>
              </w:tcPr>
              <w:p w14:paraId="0351F209" w14:textId="77777777" w:rsidR="00577D08" w:rsidRDefault="00330FC0">
                <w:pPr>
                  <w:jc w:val="center"/>
                  <w:rPr>
                    <w:sz w:val="18"/>
                    <w:szCs w:val="18"/>
                  </w:rPr>
                </w:pPr>
                <w:r>
                  <w:rPr>
                    <w:sz w:val="18"/>
                    <w:szCs w:val="18"/>
                  </w:rPr>
                  <w:t>数量</w:t>
                </w:r>
              </w:p>
            </w:tc>
          </w:sdtContent>
        </w:sdt>
        <w:tc>
          <w:tcPr>
            <w:tcW w:w="1212" w:type="dxa"/>
            <w:vMerge/>
            <w:vAlign w:val="center"/>
          </w:tcPr>
          <w:p w14:paraId="79BEF672" w14:textId="77777777" w:rsidR="00577D08" w:rsidRDefault="00577D08">
            <w:pPr>
              <w:jc w:val="center"/>
              <w:rPr>
                <w:sz w:val="18"/>
                <w:szCs w:val="18"/>
              </w:rPr>
            </w:pPr>
          </w:p>
        </w:tc>
      </w:tr>
      <w:tr w:rsidR="00577D08" w14:paraId="2B38AC50" w14:textId="77777777">
        <w:trPr>
          <w:cantSplit/>
        </w:trPr>
        <w:tc>
          <w:tcPr>
            <w:tcW w:w="1216" w:type="dxa"/>
            <w:vAlign w:val="center"/>
          </w:tcPr>
          <w:p w14:paraId="06C8EEA5" w14:textId="77777777" w:rsidR="00577D08" w:rsidRDefault="00330FC0">
            <w:pPr>
              <w:jc w:val="center"/>
              <w:rPr>
                <w:sz w:val="18"/>
                <w:szCs w:val="18"/>
              </w:rPr>
            </w:pPr>
            <w:r>
              <w:rPr>
                <w:rFonts w:hint="eastAsia"/>
                <w:sz w:val="18"/>
                <w:szCs w:val="18"/>
              </w:rPr>
              <w:t>杨泽民</w:t>
            </w:r>
          </w:p>
        </w:tc>
        <w:tc>
          <w:tcPr>
            <w:tcW w:w="1471" w:type="dxa"/>
            <w:vAlign w:val="center"/>
          </w:tcPr>
          <w:p w14:paraId="6577F03A" w14:textId="77777777" w:rsidR="00577D08" w:rsidRDefault="00577D08">
            <w:pPr>
              <w:jc w:val="right"/>
              <w:rPr>
                <w:sz w:val="18"/>
                <w:szCs w:val="18"/>
              </w:rPr>
            </w:pPr>
          </w:p>
        </w:tc>
        <w:tc>
          <w:tcPr>
            <w:tcW w:w="1107" w:type="dxa"/>
            <w:vAlign w:val="center"/>
          </w:tcPr>
          <w:p w14:paraId="4547DB6E" w14:textId="77777777" w:rsidR="00577D08" w:rsidRDefault="00330FC0">
            <w:pPr>
              <w:jc w:val="right"/>
              <w:rPr>
                <w:sz w:val="18"/>
                <w:szCs w:val="18"/>
              </w:rPr>
            </w:pPr>
            <w:r>
              <w:rPr>
                <w:rFonts w:hint="eastAsia"/>
                <w:sz w:val="18"/>
                <w:szCs w:val="18"/>
              </w:rPr>
              <w:t xml:space="preserve"> 52,618,391 </w:t>
            </w:r>
          </w:p>
        </w:tc>
        <w:tc>
          <w:tcPr>
            <w:tcW w:w="758" w:type="dxa"/>
            <w:vAlign w:val="center"/>
          </w:tcPr>
          <w:p w14:paraId="70B9D630" w14:textId="77777777" w:rsidR="00577D08" w:rsidRDefault="00330FC0">
            <w:pPr>
              <w:jc w:val="right"/>
              <w:rPr>
                <w:sz w:val="18"/>
                <w:szCs w:val="18"/>
              </w:rPr>
            </w:pPr>
            <w:r>
              <w:rPr>
                <w:rFonts w:hint="eastAsia"/>
                <w:sz w:val="18"/>
                <w:szCs w:val="18"/>
              </w:rPr>
              <w:t>15.83</w:t>
            </w:r>
          </w:p>
        </w:tc>
        <w:tc>
          <w:tcPr>
            <w:tcW w:w="1314" w:type="dxa"/>
            <w:vAlign w:val="center"/>
          </w:tcPr>
          <w:p w14:paraId="245AD75D" w14:textId="77777777" w:rsidR="00577D08" w:rsidRDefault="00330FC0">
            <w:pPr>
              <w:jc w:val="right"/>
              <w:rPr>
                <w:sz w:val="18"/>
                <w:szCs w:val="18"/>
              </w:rPr>
            </w:pPr>
            <w:r>
              <w:rPr>
                <w:rFonts w:hint="eastAsia"/>
                <w:sz w:val="18"/>
                <w:szCs w:val="18"/>
              </w:rPr>
              <w:t>0</w:t>
            </w:r>
          </w:p>
        </w:tc>
        <w:tc>
          <w:tcPr>
            <w:tcW w:w="1253" w:type="dxa"/>
            <w:vAlign w:val="center"/>
          </w:tcPr>
          <w:p w14:paraId="4C04E23A" w14:textId="77777777" w:rsidR="00577D08" w:rsidRDefault="00330FC0">
            <w:pPr>
              <w:jc w:val="center"/>
              <w:rPr>
                <w:color w:val="FF9900"/>
                <w:sz w:val="18"/>
                <w:szCs w:val="18"/>
              </w:rPr>
            </w:pPr>
            <w:r>
              <w:rPr>
                <w:rFonts w:hint="eastAsia"/>
                <w:sz w:val="18"/>
                <w:szCs w:val="18"/>
              </w:rPr>
              <w:t>无</w:t>
            </w:r>
          </w:p>
        </w:tc>
        <w:tc>
          <w:tcPr>
            <w:tcW w:w="502" w:type="dxa"/>
            <w:gridSpan w:val="2"/>
            <w:vAlign w:val="center"/>
          </w:tcPr>
          <w:p w14:paraId="7267A3EF" w14:textId="77777777" w:rsidR="00577D08" w:rsidRDefault="00330FC0">
            <w:pPr>
              <w:jc w:val="right"/>
              <w:rPr>
                <w:sz w:val="18"/>
                <w:szCs w:val="18"/>
              </w:rPr>
            </w:pPr>
            <w:r>
              <w:rPr>
                <w:rFonts w:hint="eastAsia"/>
                <w:sz w:val="18"/>
                <w:szCs w:val="18"/>
              </w:rPr>
              <w:t>0</w:t>
            </w:r>
          </w:p>
        </w:tc>
        <w:tc>
          <w:tcPr>
            <w:tcW w:w="1212" w:type="dxa"/>
            <w:vAlign w:val="center"/>
          </w:tcPr>
          <w:p w14:paraId="0D08F200" w14:textId="77777777" w:rsidR="00577D08" w:rsidRDefault="00330FC0">
            <w:pPr>
              <w:jc w:val="center"/>
              <w:rPr>
                <w:color w:val="FF9900"/>
                <w:sz w:val="18"/>
                <w:szCs w:val="18"/>
              </w:rPr>
            </w:pPr>
            <w:r>
              <w:rPr>
                <w:rFonts w:hint="eastAsia"/>
                <w:sz w:val="18"/>
                <w:szCs w:val="18"/>
              </w:rPr>
              <w:t>境内自然人</w:t>
            </w:r>
          </w:p>
        </w:tc>
      </w:tr>
      <w:tr w:rsidR="00577D08" w14:paraId="32A2A6BF" w14:textId="77777777">
        <w:trPr>
          <w:cantSplit/>
        </w:trPr>
        <w:tc>
          <w:tcPr>
            <w:tcW w:w="1216" w:type="dxa"/>
            <w:vAlign w:val="center"/>
          </w:tcPr>
          <w:p w14:paraId="38374963" w14:textId="77777777" w:rsidR="00577D08" w:rsidRDefault="00330FC0">
            <w:pPr>
              <w:jc w:val="center"/>
              <w:rPr>
                <w:sz w:val="18"/>
                <w:szCs w:val="18"/>
              </w:rPr>
            </w:pPr>
            <w:r>
              <w:rPr>
                <w:rFonts w:hint="eastAsia"/>
                <w:sz w:val="18"/>
                <w:szCs w:val="18"/>
              </w:rPr>
              <w:t>秦惠兰</w:t>
            </w:r>
          </w:p>
        </w:tc>
        <w:tc>
          <w:tcPr>
            <w:tcW w:w="1471" w:type="dxa"/>
            <w:vAlign w:val="center"/>
          </w:tcPr>
          <w:p w14:paraId="3C072A04" w14:textId="77777777" w:rsidR="00577D08" w:rsidRDefault="00577D08">
            <w:pPr>
              <w:jc w:val="right"/>
              <w:rPr>
                <w:sz w:val="18"/>
                <w:szCs w:val="18"/>
              </w:rPr>
            </w:pPr>
          </w:p>
        </w:tc>
        <w:tc>
          <w:tcPr>
            <w:tcW w:w="1107" w:type="dxa"/>
            <w:vAlign w:val="center"/>
          </w:tcPr>
          <w:p w14:paraId="79E3A721" w14:textId="77777777" w:rsidR="00577D08" w:rsidRDefault="00330FC0">
            <w:pPr>
              <w:jc w:val="right"/>
              <w:rPr>
                <w:sz w:val="18"/>
                <w:szCs w:val="18"/>
              </w:rPr>
            </w:pPr>
            <w:r>
              <w:rPr>
                <w:rFonts w:hint="eastAsia"/>
                <w:sz w:val="18"/>
                <w:szCs w:val="18"/>
              </w:rPr>
              <w:t xml:space="preserve"> 40,841,700 </w:t>
            </w:r>
          </w:p>
        </w:tc>
        <w:tc>
          <w:tcPr>
            <w:tcW w:w="758" w:type="dxa"/>
            <w:vAlign w:val="center"/>
          </w:tcPr>
          <w:p w14:paraId="2D8F885D" w14:textId="77777777" w:rsidR="00577D08" w:rsidRDefault="00330FC0">
            <w:pPr>
              <w:jc w:val="right"/>
              <w:rPr>
                <w:sz w:val="18"/>
                <w:szCs w:val="18"/>
              </w:rPr>
            </w:pPr>
            <w:r>
              <w:rPr>
                <w:rFonts w:hint="eastAsia"/>
                <w:sz w:val="18"/>
                <w:szCs w:val="18"/>
              </w:rPr>
              <w:t>12.29</w:t>
            </w:r>
          </w:p>
        </w:tc>
        <w:tc>
          <w:tcPr>
            <w:tcW w:w="1314" w:type="dxa"/>
            <w:vAlign w:val="center"/>
          </w:tcPr>
          <w:p w14:paraId="766F167F" w14:textId="77777777" w:rsidR="00577D08" w:rsidRDefault="00330FC0">
            <w:pPr>
              <w:jc w:val="right"/>
              <w:rPr>
                <w:sz w:val="18"/>
                <w:szCs w:val="18"/>
              </w:rPr>
            </w:pPr>
            <w:r>
              <w:rPr>
                <w:rFonts w:hint="eastAsia"/>
                <w:sz w:val="18"/>
                <w:szCs w:val="18"/>
              </w:rPr>
              <w:t>0</w:t>
            </w:r>
          </w:p>
        </w:tc>
        <w:tc>
          <w:tcPr>
            <w:tcW w:w="1253" w:type="dxa"/>
            <w:vAlign w:val="center"/>
          </w:tcPr>
          <w:p w14:paraId="1EBF079D" w14:textId="77777777" w:rsidR="00577D08" w:rsidRDefault="00330FC0">
            <w:pPr>
              <w:jc w:val="center"/>
              <w:rPr>
                <w:color w:val="FF9900"/>
                <w:sz w:val="18"/>
                <w:szCs w:val="18"/>
              </w:rPr>
            </w:pPr>
            <w:r>
              <w:rPr>
                <w:rFonts w:hint="eastAsia"/>
                <w:sz w:val="18"/>
                <w:szCs w:val="18"/>
              </w:rPr>
              <w:t>无</w:t>
            </w:r>
          </w:p>
        </w:tc>
        <w:tc>
          <w:tcPr>
            <w:tcW w:w="502" w:type="dxa"/>
            <w:gridSpan w:val="2"/>
            <w:vAlign w:val="center"/>
          </w:tcPr>
          <w:p w14:paraId="2193E715" w14:textId="77777777" w:rsidR="00577D08" w:rsidRDefault="00330FC0">
            <w:pPr>
              <w:jc w:val="right"/>
              <w:rPr>
                <w:sz w:val="18"/>
                <w:szCs w:val="18"/>
              </w:rPr>
            </w:pPr>
            <w:r>
              <w:rPr>
                <w:rFonts w:hint="eastAsia"/>
                <w:sz w:val="18"/>
                <w:szCs w:val="18"/>
              </w:rPr>
              <w:t>0</w:t>
            </w:r>
          </w:p>
        </w:tc>
        <w:tc>
          <w:tcPr>
            <w:tcW w:w="1212" w:type="dxa"/>
            <w:vAlign w:val="center"/>
          </w:tcPr>
          <w:p w14:paraId="4214CA53" w14:textId="77777777" w:rsidR="00577D08" w:rsidRDefault="00330FC0">
            <w:pPr>
              <w:jc w:val="center"/>
              <w:rPr>
                <w:color w:val="FF9900"/>
                <w:sz w:val="18"/>
                <w:szCs w:val="18"/>
              </w:rPr>
            </w:pPr>
            <w:r>
              <w:rPr>
                <w:rFonts w:hint="eastAsia"/>
                <w:sz w:val="18"/>
                <w:szCs w:val="18"/>
              </w:rPr>
              <w:t>境内自然人</w:t>
            </w:r>
          </w:p>
        </w:tc>
      </w:tr>
      <w:tr w:rsidR="00577D08" w14:paraId="1FFB366C" w14:textId="77777777">
        <w:trPr>
          <w:cantSplit/>
        </w:trPr>
        <w:tc>
          <w:tcPr>
            <w:tcW w:w="1216" w:type="dxa"/>
            <w:vAlign w:val="center"/>
          </w:tcPr>
          <w:p w14:paraId="24E3CA00" w14:textId="77777777" w:rsidR="00577D08" w:rsidRDefault="00330FC0">
            <w:pPr>
              <w:jc w:val="center"/>
              <w:rPr>
                <w:sz w:val="18"/>
                <w:szCs w:val="18"/>
              </w:rPr>
            </w:pPr>
            <w:r>
              <w:rPr>
                <w:rFonts w:hint="eastAsia"/>
                <w:sz w:val="18"/>
                <w:szCs w:val="18"/>
              </w:rPr>
              <w:t>杨秦</w:t>
            </w:r>
          </w:p>
        </w:tc>
        <w:tc>
          <w:tcPr>
            <w:tcW w:w="1471" w:type="dxa"/>
            <w:vAlign w:val="center"/>
          </w:tcPr>
          <w:p w14:paraId="51C928F5" w14:textId="77777777" w:rsidR="00577D08" w:rsidRDefault="00577D08">
            <w:pPr>
              <w:jc w:val="right"/>
              <w:rPr>
                <w:sz w:val="18"/>
                <w:szCs w:val="18"/>
              </w:rPr>
            </w:pPr>
          </w:p>
        </w:tc>
        <w:tc>
          <w:tcPr>
            <w:tcW w:w="1107" w:type="dxa"/>
            <w:vAlign w:val="center"/>
          </w:tcPr>
          <w:p w14:paraId="2D35195E" w14:textId="77777777" w:rsidR="00577D08" w:rsidRDefault="00330FC0">
            <w:pPr>
              <w:jc w:val="right"/>
              <w:rPr>
                <w:sz w:val="18"/>
                <w:szCs w:val="18"/>
              </w:rPr>
            </w:pPr>
            <w:r>
              <w:rPr>
                <w:rFonts w:hint="eastAsia"/>
                <w:sz w:val="18"/>
                <w:szCs w:val="18"/>
              </w:rPr>
              <w:t xml:space="preserve"> 18,015,000 </w:t>
            </w:r>
          </w:p>
        </w:tc>
        <w:tc>
          <w:tcPr>
            <w:tcW w:w="758" w:type="dxa"/>
            <w:vAlign w:val="center"/>
          </w:tcPr>
          <w:p w14:paraId="691B073C" w14:textId="77777777" w:rsidR="00577D08" w:rsidRDefault="00330FC0">
            <w:pPr>
              <w:jc w:val="right"/>
              <w:rPr>
                <w:sz w:val="18"/>
                <w:szCs w:val="18"/>
              </w:rPr>
            </w:pPr>
            <w:r>
              <w:rPr>
                <w:rFonts w:hint="eastAsia"/>
                <w:sz w:val="18"/>
                <w:szCs w:val="18"/>
              </w:rPr>
              <w:t>5.42</w:t>
            </w:r>
          </w:p>
        </w:tc>
        <w:tc>
          <w:tcPr>
            <w:tcW w:w="1314" w:type="dxa"/>
            <w:vAlign w:val="center"/>
          </w:tcPr>
          <w:p w14:paraId="4CF16BB4" w14:textId="77777777" w:rsidR="00577D08" w:rsidRDefault="00330FC0">
            <w:pPr>
              <w:jc w:val="right"/>
              <w:rPr>
                <w:sz w:val="18"/>
                <w:szCs w:val="18"/>
              </w:rPr>
            </w:pPr>
            <w:r>
              <w:rPr>
                <w:rFonts w:hint="eastAsia"/>
                <w:sz w:val="18"/>
                <w:szCs w:val="18"/>
              </w:rPr>
              <w:t>0</w:t>
            </w:r>
          </w:p>
        </w:tc>
        <w:tc>
          <w:tcPr>
            <w:tcW w:w="1253" w:type="dxa"/>
            <w:vAlign w:val="center"/>
          </w:tcPr>
          <w:p w14:paraId="64BDA93D" w14:textId="77777777" w:rsidR="00577D08" w:rsidRDefault="00330FC0">
            <w:pPr>
              <w:jc w:val="center"/>
              <w:rPr>
                <w:color w:val="FF9900"/>
                <w:sz w:val="18"/>
                <w:szCs w:val="18"/>
              </w:rPr>
            </w:pPr>
            <w:r>
              <w:rPr>
                <w:rFonts w:hint="eastAsia"/>
                <w:sz w:val="18"/>
                <w:szCs w:val="18"/>
              </w:rPr>
              <w:t>无</w:t>
            </w:r>
          </w:p>
        </w:tc>
        <w:tc>
          <w:tcPr>
            <w:tcW w:w="502" w:type="dxa"/>
            <w:gridSpan w:val="2"/>
            <w:vAlign w:val="center"/>
          </w:tcPr>
          <w:p w14:paraId="5B1262A0" w14:textId="77777777" w:rsidR="00577D08" w:rsidRDefault="00330FC0">
            <w:pPr>
              <w:jc w:val="right"/>
              <w:rPr>
                <w:sz w:val="18"/>
                <w:szCs w:val="18"/>
              </w:rPr>
            </w:pPr>
            <w:r>
              <w:rPr>
                <w:rFonts w:hint="eastAsia"/>
                <w:sz w:val="18"/>
                <w:szCs w:val="18"/>
              </w:rPr>
              <w:t>0</w:t>
            </w:r>
          </w:p>
        </w:tc>
        <w:tc>
          <w:tcPr>
            <w:tcW w:w="1212" w:type="dxa"/>
            <w:vAlign w:val="center"/>
          </w:tcPr>
          <w:p w14:paraId="6B5E6951" w14:textId="77777777" w:rsidR="00577D08" w:rsidRDefault="00330FC0">
            <w:pPr>
              <w:jc w:val="center"/>
              <w:rPr>
                <w:color w:val="FF9900"/>
                <w:sz w:val="18"/>
                <w:szCs w:val="18"/>
              </w:rPr>
            </w:pPr>
            <w:r>
              <w:rPr>
                <w:rFonts w:hint="eastAsia"/>
                <w:sz w:val="18"/>
                <w:szCs w:val="18"/>
              </w:rPr>
              <w:t>境内自然人</w:t>
            </w:r>
          </w:p>
        </w:tc>
      </w:tr>
      <w:tr w:rsidR="00577D08" w14:paraId="65F84BC3" w14:textId="77777777">
        <w:trPr>
          <w:cantSplit/>
        </w:trPr>
        <w:tc>
          <w:tcPr>
            <w:tcW w:w="1216" w:type="dxa"/>
            <w:vAlign w:val="center"/>
          </w:tcPr>
          <w:p w14:paraId="03639997" w14:textId="77777777" w:rsidR="00577D08" w:rsidRDefault="00330FC0">
            <w:pPr>
              <w:jc w:val="center"/>
              <w:rPr>
                <w:sz w:val="18"/>
                <w:szCs w:val="18"/>
              </w:rPr>
            </w:pPr>
            <w:r>
              <w:rPr>
                <w:rFonts w:hint="eastAsia"/>
                <w:sz w:val="18"/>
                <w:szCs w:val="18"/>
              </w:rPr>
              <w:t>杨耀</w:t>
            </w:r>
          </w:p>
        </w:tc>
        <w:tc>
          <w:tcPr>
            <w:tcW w:w="1471" w:type="dxa"/>
            <w:vAlign w:val="center"/>
          </w:tcPr>
          <w:p w14:paraId="1F07ECDB" w14:textId="77777777" w:rsidR="00577D08" w:rsidRDefault="00577D08">
            <w:pPr>
              <w:jc w:val="right"/>
              <w:rPr>
                <w:sz w:val="18"/>
                <w:szCs w:val="18"/>
              </w:rPr>
            </w:pPr>
          </w:p>
        </w:tc>
        <w:tc>
          <w:tcPr>
            <w:tcW w:w="1107" w:type="dxa"/>
            <w:vAlign w:val="center"/>
          </w:tcPr>
          <w:p w14:paraId="0E164D7A" w14:textId="77777777" w:rsidR="00577D08" w:rsidRDefault="00330FC0">
            <w:pPr>
              <w:jc w:val="right"/>
              <w:rPr>
                <w:sz w:val="18"/>
                <w:szCs w:val="18"/>
              </w:rPr>
            </w:pPr>
            <w:r>
              <w:rPr>
                <w:rFonts w:hint="eastAsia"/>
                <w:sz w:val="18"/>
                <w:szCs w:val="18"/>
              </w:rPr>
              <w:t xml:space="preserve"> 18,000,050 </w:t>
            </w:r>
          </w:p>
        </w:tc>
        <w:tc>
          <w:tcPr>
            <w:tcW w:w="758" w:type="dxa"/>
            <w:vAlign w:val="center"/>
          </w:tcPr>
          <w:p w14:paraId="08A6F27A" w14:textId="77777777" w:rsidR="00577D08" w:rsidRDefault="00330FC0">
            <w:pPr>
              <w:jc w:val="right"/>
              <w:rPr>
                <w:sz w:val="18"/>
                <w:szCs w:val="18"/>
              </w:rPr>
            </w:pPr>
            <w:r>
              <w:rPr>
                <w:rFonts w:hint="eastAsia"/>
                <w:sz w:val="18"/>
                <w:szCs w:val="18"/>
              </w:rPr>
              <w:t>5.42</w:t>
            </w:r>
          </w:p>
        </w:tc>
        <w:tc>
          <w:tcPr>
            <w:tcW w:w="1314" w:type="dxa"/>
            <w:vAlign w:val="center"/>
          </w:tcPr>
          <w:p w14:paraId="07B0EBCB" w14:textId="77777777" w:rsidR="00577D08" w:rsidRDefault="00330FC0">
            <w:pPr>
              <w:jc w:val="right"/>
              <w:rPr>
                <w:sz w:val="18"/>
                <w:szCs w:val="18"/>
              </w:rPr>
            </w:pPr>
            <w:r>
              <w:rPr>
                <w:rFonts w:hint="eastAsia"/>
                <w:sz w:val="18"/>
                <w:szCs w:val="18"/>
              </w:rPr>
              <w:t>0</w:t>
            </w:r>
          </w:p>
        </w:tc>
        <w:tc>
          <w:tcPr>
            <w:tcW w:w="1253" w:type="dxa"/>
            <w:vAlign w:val="center"/>
          </w:tcPr>
          <w:p w14:paraId="29528A70" w14:textId="77777777" w:rsidR="00577D08" w:rsidRDefault="00330FC0">
            <w:pPr>
              <w:jc w:val="center"/>
              <w:rPr>
                <w:color w:val="FF9900"/>
                <w:sz w:val="18"/>
                <w:szCs w:val="18"/>
              </w:rPr>
            </w:pPr>
            <w:r>
              <w:rPr>
                <w:rFonts w:hint="eastAsia"/>
                <w:sz w:val="18"/>
                <w:szCs w:val="18"/>
              </w:rPr>
              <w:t>无</w:t>
            </w:r>
          </w:p>
        </w:tc>
        <w:tc>
          <w:tcPr>
            <w:tcW w:w="502" w:type="dxa"/>
            <w:gridSpan w:val="2"/>
            <w:vAlign w:val="center"/>
          </w:tcPr>
          <w:p w14:paraId="5E95AD4C" w14:textId="77777777" w:rsidR="00577D08" w:rsidRDefault="00330FC0">
            <w:pPr>
              <w:jc w:val="right"/>
              <w:rPr>
                <w:sz w:val="18"/>
                <w:szCs w:val="18"/>
              </w:rPr>
            </w:pPr>
            <w:r>
              <w:rPr>
                <w:rFonts w:hint="eastAsia"/>
                <w:sz w:val="18"/>
                <w:szCs w:val="18"/>
              </w:rPr>
              <w:t>0</w:t>
            </w:r>
          </w:p>
        </w:tc>
        <w:tc>
          <w:tcPr>
            <w:tcW w:w="1212" w:type="dxa"/>
            <w:vAlign w:val="center"/>
          </w:tcPr>
          <w:p w14:paraId="2F2628CF" w14:textId="77777777" w:rsidR="00577D08" w:rsidRDefault="00330FC0">
            <w:pPr>
              <w:jc w:val="center"/>
              <w:rPr>
                <w:color w:val="FF9900"/>
                <w:sz w:val="18"/>
                <w:szCs w:val="18"/>
              </w:rPr>
            </w:pPr>
            <w:r>
              <w:rPr>
                <w:rFonts w:hint="eastAsia"/>
                <w:sz w:val="18"/>
                <w:szCs w:val="18"/>
              </w:rPr>
              <w:t>境内自然人</w:t>
            </w:r>
          </w:p>
        </w:tc>
      </w:tr>
      <w:tr w:rsidR="00577D08" w14:paraId="0FA8CD8D" w14:textId="77777777">
        <w:trPr>
          <w:cantSplit/>
        </w:trPr>
        <w:tc>
          <w:tcPr>
            <w:tcW w:w="1216" w:type="dxa"/>
            <w:vAlign w:val="center"/>
          </w:tcPr>
          <w:p w14:paraId="017F6B62" w14:textId="77777777" w:rsidR="00577D08" w:rsidRDefault="00330FC0">
            <w:pPr>
              <w:jc w:val="center"/>
              <w:rPr>
                <w:sz w:val="18"/>
                <w:szCs w:val="18"/>
              </w:rPr>
            </w:pPr>
            <w:r>
              <w:rPr>
                <w:rFonts w:hint="eastAsia"/>
                <w:sz w:val="18"/>
                <w:szCs w:val="18"/>
              </w:rPr>
              <w:t>赵桂芬</w:t>
            </w:r>
          </w:p>
        </w:tc>
        <w:tc>
          <w:tcPr>
            <w:tcW w:w="1471" w:type="dxa"/>
            <w:vAlign w:val="center"/>
          </w:tcPr>
          <w:p w14:paraId="10474587" w14:textId="77777777" w:rsidR="00577D08" w:rsidRDefault="00330FC0">
            <w:pPr>
              <w:jc w:val="right"/>
              <w:rPr>
                <w:sz w:val="18"/>
                <w:szCs w:val="18"/>
              </w:rPr>
            </w:pPr>
            <w:r>
              <w:rPr>
                <w:rFonts w:hint="eastAsia"/>
                <w:sz w:val="18"/>
                <w:szCs w:val="18"/>
              </w:rPr>
              <w:t>+8,431,000</w:t>
            </w:r>
          </w:p>
        </w:tc>
        <w:tc>
          <w:tcPr>
            <w:tcW w:w="1107" w:type="dxa"/>
            <w:vAlign w:val="center"/>
          </w:tcPr>
          <w:p w14:paraId="194304FE" w14:textId="77777777" w:rsidR="00577D08" w:rsidRDefault="00330FC0">
            <w:pPr>
              <w:jc w:val="right"/>
              <w:rPr>
                <w:sz w:val="18"/>
                <w:szCs w:val="18"/>
              </w:rPr>
            </w:pPr>
            <w:r>
              <w:rPr>
                <w:rFonts w:hint="eastAsia"/>
                <w:sz w:val="18"/>
                <w:szCs w:val="18"/>
              </w:rPr>
              <w:t xml:space="preserve"> 8,431,000 </w:t>
            </w:r>
          </w:p>
        </w:tc>
        <w:tc>
          <w:tcPr>
            <w:tcW w:w="758" w:type="dxa"/>
            <w:vAlign w:val="center"/>
          </w:tcPr>
          <w:p w14:paraId="3B23450D" w14:textId="77777777" w:rsidR="00577D08" w:rsidRDefault="00330FC0">
            <w:pPr>
              <w:jc w:val="right"/>
              <w:rPr>
                <w:sz w:val="18"/>
                <w:szCs w:val="18"/>
              </w:rPr>
            </w:pPr>
            <w:r>
              <w:rPr>
                <w:rFonts w:hint="eastAsia"/>
                <w:sz w:val="18"/>
                <w:szCs w:val="18"/>
              </w:rPr>
              <w:t>2.54</w:t>
            </w:r>
          </w:p>
        </w:tc>
        <w:tc>
          <w:tcPr>
            <w:tcW w:w="1314" w:type="dxa"/>
            <w:vAlign w:val="center"/>
          </w:tcPr>
          <w:p w14:paraId="531CCB77" w14:textId="77777777" w:rsidR="00577D08" w:rsidRDefault="00330FC0">
            <w:pPr>
              <w:jc w:val="right"/>
              <w:rPr>
                <w:sz w:val="18"/>
                <w:szCs w:val="18"/>
              </w:rPr>
            </w:pPr>
            <w:r>
              <w:rPr>
                <w:rFonts w:hint="eastAsia"/>
                <w:sz w:val="18"/>
                <w:szCs w:val="18"/>
              </w:rPr>
              <w:t>0</w:t>
            </w:r>
          </w:p>
        </w:tc>
        <w:tc>
          <w:tcPr>
            <w:tcW w:w="1253" w:type="dxa"/>
            <w:vAlign w:val="center"/>
          </w:tcPr>
          <w:p w14:paraId="12B67E2F" w14:textId="77777777" w:rsidR="00577D08" w:rsidRDefault="00330FC0">
            <w:pPr>
              <w:jc w:val="center"/>
              <w:rPr>
                <w:sz w:val="18"/>
                <w:szCs w:val="18"/>
              </w:rPr>
            </w:pPr>
            <w:r>
              <w:rPr>
                <w:rFonts w:hint="eastAsia"/>
                <w:sz w:val="18"/>
                <w:szCs w:val="18"/>
              </w:rPr>
              <w:t>无</w:t>
            </w:r>
          </w:p>
        </w:tc>
        <w:tc>
          <w:tcPr>
            <w:tcW w:w="502" w:type="dxa"/>
            <w:gridSpan w:val="2"/>
            <w:vAlign w:val="center"/>
          </w:tcPr>
          <w:p w14:paraId="7E137E67" w14:textId="77777777" w:rsidR="00577D08" w:rsidRDefault="00330FC0">
            <w:pPr>
              <w:jc w:val="right"/>
              <w:rPr>
                <w:sz w:val="18"/>
                <w:szCs w:val="18"/>
              </w:rPr>
            </w:pPr>
            <w:r>
              <w:rPr>
                <w:rFonts w:hint="eastAsia"/>
                <w:sz w:val="18"/>
                <w:szCs w:val="18"/>
              </w:rPr>
              <w:t>0</w:t>
            </w:r>
          </w:p>
        </w:tc>
        <w:tc>
          <w:tcPr>
            <w:tcW w:w="1212" w:type="dxa"/>
            <w:vAlign w:val="center"/>
          </w:tcPr>
          <w:p w14:paraId="4CE53180" w14:textId="77777777" w:rsidR="00577D08" w:rsidRDefault="00330FC0">
            <w:pPr>
              <w:jc w:val="center"/>
              <w:rPr>
                <w:color w:val="FF9900"/>
                <w:sz w:val="18"/>
                <w:szCs w:val="18"/>
              </w:rPr>
            </w:pPr>
            <w:r>
              <w:rPr>
                <w:rFonts w:hint="eastAsia"/>
                <w:sz w:val="18"/>
                <w:szCs w:val="18"/>
              </w:rPr>
              <w:t>境内自然人</w:t>
            </w:r>
          </w:p>
        </w:tc>
      </w:tr>
      <w:tr w:rsidR="00577D08" w14:paraId="0BEC16B8" w14:textId="77777777">
        <w:trPr>
          <w:cantSplit/>
        </w:trPr>
        <w:tc>
          <w:tcPr>
            <w:tcW w:w="1216" w:type="dxa"/>
            <w:vAlign w:val="center"/>
          </w:tcPr>
          <w:p w14:paraId="59E249BA" w14:textId="77777777" w:rsidR="00577D08" w:rsidRDefault="00330FC0">
            <w:pPr>
              <w:jc w:val="center"/>
              <w:rPr>
                <w:sz w:val="18"/>
                <w:szCs w:val="18"/>
              </w:rPr>
            </w:pPr>
            <w:r>
              <w:rPr>
                <w:rFonts w:hint="eastAsia"/>
                <w:sz w:val="18"/>
                <w:szCs w:val="18"/>
              </w:rPr>
              <w:t>刘远初</w:t>
            </w:r>
          </w:p>
        </w:tc>
        <w:tc>
          <w:tcPr>
            <w:tcW w:w="1471" w:type="dxa"/>
            <w:vAlign w:val="center"/>
          </w:tcPr>
          <w:p w14:paraId="5933448D" w14:textId="77777777" w:rsidR="00577D08" w:rsidRDefault="00330FC0">
            <w:pPr>
              <w:jc w:val="right"/>
              <w:rPr>
                <w:sz w:val="18"/>
                <w:szCs w:val="18"/>
              </w:rPr>
            </w:pPr>
            <w:r>
              <w:rPr>
                <w:sz w:val="18"/>
                <w:szCs w:val="18"/>
              </w:rPr>
              <w:t>+4,680,044</w:t>
            </w:r>
          </w:p>
        </w:tc>
        <w:tc>
          <w:tcPr>
            <w:tcW w:w="1107" w:type="dxa"/>
            <w:vAlign w:val="center"/>
          </w:tcPr>
          <w:p w14:paraId="1ED9C937" w14:textId="77777777" w:rsidR="00577D08" w:rsidRDefault="00330FC0">
            <w:pPr>
              <w:jc w:val="right"/>
              <w:rPr>
                <w:sz w:val="18"/>
                <w:szCs w:val="18"/>
              </w:rPr>
            </w:pPr>
            <w:r>
              <w:rPr>
                <w:rFonts w:hint="eastAsia"/>
                <w:sz w:val="18"/>
                <w:szCs w:val="18"/>
              </w:rPr>
              <w:t xml:space="preserve"> 4,680,044 </w:t>
            </w:r>
          </w:p>
        </w:tc>
        <w:tc>
          <w:tcPr>
            <w:tcW w:w="758" w:type="dxa"/>
            <w:vAlign w:val="center"/>
          </w:tcPr>
          <w:p w14:paraId="2408FD5A" w14:textId="77777777" w:rsidR="00577D08" w:rsidRDefault="00330FC0">
            <w:pPr>
              <w:jc w:val="right"/>
              <w:rPr>
                <w:sz w:val="18"/>
                <w:szCs w:val="18"/>
              </w:rPr>
            </w:pPr>
            <w:r>
              <w:rPr>
                <w:rFonts w:hint="eastAsia"/>
                <w:sz w:val="18"/>
                <w:szCs w:val="18"/>
              </w:rPr>
              <w:t>1.41</w:t>
            </w:r>
          </w:p>
        </w:tc>
        <w:tc>
          <w:tcPr>
            <w:tcW w:w="1314" w:type="dxa"/>
            <w:vAlign w:val="center"/>
          </w:tcPr>
          <w:p w14:paraId="07EC2C48" w14:textId="77777777" w:rsidR="00577D08" w:rsidRDefault="00330FC0">
            <w:pPr>
              <w:jc w:val="right"/>
              <w:rPr>
                <w:sz w:val="18"/>
                <w:szCs w:val="18"/>
              </w:rPr>
            </w:pPr>
            <w:r>
              <w:rPr>
                <w:rFonts w:hint="eastAsia"/>
                <w:sz w:val="18"/>
                <w:szCs w:val="18"/>
              </w:rPr>
              <w:t>0</w:t>
            </w:r>
          </w:p>
        </w:tc>
        <w:tc>
          <w:tcPr>
            <w:tcW w:w="1253" w:type="dxa"/>
            <w:vAlign w:val="center"/>
          </w:tcPr>
          <w:p w14:paraId="0A6B7DAF" w14:textId="77777777" w:rsidR="00577D08" w:rsidRDefault="00330FC0">
            <w:pPr>
              <w:jc w:val="center"/>
              <w:rPr>
                <w:sz w:val="18"/>
                <w:szCs w:val="18"/>
              </w:rPr>
            </w:pPr>
            <w:r>
              <w:rPr>
                <w:rFonts w:hint="eastAsia"/>
                <w:sz w:val="18"/>
                <w:szCs w:val="18"/>
              </w:rPr>
              <w:t>无</w:t>
            </w:r>
          </w:p>
        </w:tc>
        <w:tc>
          <w:tcPr>
            <w:tcW w:w="502" w:type="dxa"/>
            <w:gridSpan w:val="2"/>
            <w:vAlign w:val="center"/>
          </w:tcPr>
          <w:p w14:paraId="58C1468A" w14:textId="77777777" w:rsidR="00577D08" w:rsidRDefault="00330FC0">
            <w:pPr>
              <w:jc w:val="right"/>
              <w:rPr>
                <w:sz w:val="18"/>
                <w:szCs w:val="18"/>
              </w:rPr>
            </w:pPr>
            <w:r>
              <w:rPr>
                <w:rFonts w:hint="eastAsia"/>
                <w:sz w:val="18"/>
                <w:szCs w:val="18"/>
              </w:rPr>
              <w:t>0</w:t>
            </w:r>
          </w:p>
        </w:tc>
        <w:tc>
          <w:tcPr>
            <w:tcW w:w="1212" w:type="dxa"/>
            <w:vAlign w:val="center"/>
          </w:tcPr>
          <w:p w14:paraId="09BBFD2B" w14:textId="77777777" w:rsidR="00577D08" w:rsidRDefault="00330FC0">
            <w:pPr>
              <w:jc w:val="center"/>
              <w:rPr>
                <w:color w:val="FF9900"/>
                <w:sz w:val="18"/>
                <w:szCs w:val="18"/>
              </w:rPr>
            </w:pPr>
            <w:r>
              <w:rPr>
                <w:rFonts w:hint="eastAsia"/>
                <w:sz w:val="18"/>
                <w:szCs w:val="18"/>
              </w:rPr>
              <w:t>境内自然人</w:t>
            </w:r>
          </w:p>
        </w:tc>
      </w:tr>
      <w:tr w:rsidR="00577D08" w14:paraId="069C39D6" w14:textId="77777777">
        <w:trPr>
          <w:cantSplit/>
        </w:trPr>
        <w:tc>
          <w:tcPr>
            <w:tcW w:w="1216" w:type="dxa"/>
            <w:vAlign w:val="center"/>
          </w:tcPr>
          <w:p w14:paraId="7B3037E1" w14:textId="77777777" w:rsidR="00577D08" w:rsidRDefault="00330FC0">
            <w:pPr>
              <w:jc w:val="center"/>
              <w:rPr>
                <w:sz w:val="18"/>
                <w:szCs w:val="18"/>
              </w:rPr>
            </w:pPr>
            <w:r>
              <w:rPr>
                <w:rFonts w:hint="eastAsia"/>
                <w:sz w:val="18"/>
                <w:szCs w:val="18"/>
              </w:rPr>
              <w:t>西南证券股份有限公司约定购回式证券交易专用证券账户</w:t>
            </w:r>
          </w:p>
        </w:tc>
        <w:tc>
          <w:tcPr>
            <w:tcW w:w="1471" w:type="dxa"/>
            <w:vAlign w:val="center"/>
          </w:tcPr>
          <w:p w14:paraId="03DCA4EF" w14:textId="77777777" w:rsidR="00577D08" w:rsidRDefault="00330FC0">
            <w:pPr>
              <w:jc w:val="right"/>
              <w:rPr>
                <w:sz w:val="18"/>
                <w:szCs w:val="18"/>
              </w:rPr>
            </w:pPr>
            <w:r>
              <w:rPr>
                <w:rFonts w:hint="eastAsia"/>
                <w:sz w:val="18"/>
                <w:szCs w:val="18"/>
              </w:rPr>
              <w:t>+1,636,800</w:t>
            </w:r>
          </w:p>
        </w:tc>
        <w:tc>
          <w:tcPr>
            <w:tcW w:w="1107" w:type="dxa"/>
            <w:vAlign w:val="center"/>
          </w:tcPr>
          <w:p w14:paraId="42B01168" w14:textId="77777777" w:rsidR="00577D08" w:rsidRDefault="00330FC0">
            <w:pPr>
              <w:jc w:val="right"/>
              <w:rPr>
                <w:sz w:val="18"/>
                <w:szCs w:val="18"/>
              </w:rPr>
            </w:pPr>
            <w:r>
              <w:rPr>
                <w:rFonts w:hint="eastAsia"/>
                <w:sz w:val="18"/>
                <w:szCs w:val="18"/>
              </w:rPr>
              <w:t xml:space="preserve"> 4,670,000 </w:t>
            </w:r>
          </w:p>
        </w:tc>
        <w:tc>
          <w:tcPr>
            <w:tcW w:w="758" w:type="dxa"/>
            <w:vAlign w:val="center"/>
          </w:tcPr>
          <w:p w14:paraId="77989F8A" w14:textId="77777777" w:rsidR="00577D08" w:rsidRDefault="00330FC0">
            <w:pPr>
              <w:jc w:val="right"/>
              <w:rPr>
                <w:sz w:val="18"/>
                <w:szCs w:val="18"/>
              </w:rPr>
            </w:pPr>
            <w:r>
              <w:rPr>
                <w:rFonts w:hint="eastAsia"/>
                <w:sz w:val="18"/>
                <w:szCs w:val="18"/>
              </w:rPr>
              <w:t>1.41</w:t>
            </w:r>
          </w:p>
        </w:tc>
        <w:tc>
          <w:tcPr>
            <w:tcW w:w="1314" w:type="dxa"/>
            <w:vAlign w:val="center"/>
          </w:tcPr>
          <w:p w14:paraId="352D6C64" w14:textId="77777777" w:rsidR="00577D08" w:rsidRDefault="00330FC0">
            <w:pPr>
              <w:jc w:val="right"/>
              <w:rPr>
                <w:sz w:val="18"/>
                <w:szCs w:val="18"/>
              </w:rPr>
            </w:pPr>
            <w:r>
              <w:rPr>
                <w:rFonts w:hint="eastAsia"/>
                <w:sz w:val="18"/>
                <w:szCs w:val="18"/>
              </w:rPr>
              <w:t>0</w:t>
            </w:r>
          </w:p>
        </w:tc>
        <w:tc>
          <w:tcPr>
            <w:tcW w:w="1253" w:type="dxa"/>
            <w:vAlign w:val="center"/>
          </w:tcPr>
          <w:p w14:paraId="2AA40A87" w14:textId="77777777" w:rsidR="00577D08" w:rsidRDefault="00330FC0">
            <w:pPr>
              <w:jc w:val="center"/>
              <w:rPr>
                <w:sz w:val="18"/>
                <w:szCs w:val="18"/>
              </w:rPr>
            </w:pPr>
            <w:r>
              <w:rPr>
                <w:rFonts w:hint="eastAsia"/>
                <w:sz w:val="18"/>
                <w:szCs w:val="18"/>
              </w:rPr>
              <w:t>无</w:t>
            </w:r>
          </w:p>
        </w:tc>
        <w:tc>
          <w:tcPr>
            <w:tcW w:w="502" w:type="dxa"/>
            <w:gridSpan w:val="2"/>
            <w:vAlign w:val="center"/>
          </w:tcPr>
          <w:p w14:paraId="72349A7B" w14:textId="77777777" w:rsidR="00577D08" w:rsidRDefault="00330FC0">
            <w:pPr>
              <w:jc w:val="right"/>
              <w:rPr>
                <w:sz w:val="18"/>
                <w:szCs w:val="18"/>
              </w:rPr>
            </w:pPr>
            <w:r>
              <w:rPr>
                <w:rFonts w:hint="eastAsia"/>
                <w:sz w:val="18"/>
                <w:szCs w:val="18"/>
              </w:rPr>
              <w:t>0</w:t>
            </w:r>
          </w:p>
        </w:tc>
        <w:tc>
          <w:tcPr>
            <w:tcW w:w="1212" w:type="dxa"/>
            <w:vAlign w:val="center"/>
          </w:tcPr>
          <w:p w14:paraId="67175EC9" w14:textId="77777777" w:rsidR="00577D08" w:rsidRDefault="00330FC0">
            <w:pPr>
              <w:jc w:val="center"/>
              <w:rPr>
                <w:color w:val="FF9900"/>
                <w:sz w:val="18"/>
                <w:szCs w:val="18"/>
              </w:rPr>
            </w:pPr>
            <w:r>
              <w:rPr>
                <w:rFonts w:hint="eastAsia"/>
                <w:sz w:val="18"/>
                <w:szCs w:val="18"/>
              </w:rPr>
              <w:t>境内非国有法人</w:t>
            </w:r>
          </w:p>
        </w:tc>
      </w:tr>
      <w:tr w:rsidR="00577D08" w14:paraId="7C37913E" w14:textId="77777777">
        <w:trPr>
          <w:cantSplit/>
        </w:trPr>
        <w:tc>
          <w:tcPr>
            <w:tcW w:w="1216" w:type="dxa"/>
            <w:vAlign w:val="center"/>
          </w:tcPr>
          <w:p w14:paraId="3263810A" w14:textId="77777777" w:rsidR="00577D08" w:rsidRDefault="00330FC0">
            <w:pPr>
              <w:jc w:val="center"/>
              <w:rPr>
                <w:sz w:val="18"/>
                <w:szCs w:val="18"/>
              </w:rPr>
            </w:pPr>
            <w:r>
              <w:rPr>
                <w:rFonts w:hint="eastAsia"/>
                <w:sz w:val="18"/>
                <w:szCs w:val="18"/>
              </w:rPr>
              <w:t>杨厚群</w:t>
            </w:r>
          </w:p>
        </w:tc>
        <w:tc>
          <w:tcPr>
            <w:tcW w:w="1471" w:type="dxa"/>
            <w:vAlign w:val="center"/>
          </w:tcPr>
          <w:p w14:paraId="2E5A1C40" w14:textId="77777777" w:rsidR="00577D08" w:rsidRDefault="00330FC0">
            <w:pPr>
              <w:jc w:val="right"/>
              <w:rPr>
                <w:sz w:val="18"/>
                <w:szCs w:val="18"/>
              </w:rPr>
            </w:pPr>
            <w:r>
              <w:rPr>
                <w:rFonts w:hint="eastAsia"/>
                <w:sz w:val="18"/>
                <w:szCs w:val="18"/>
              </w:rPr>
              <w:t>-3,498,256</w:t>
            </w:r>
          </w:p>
        </w:tc>
        <w:tc>
          <w:tcPr>
            <w:tcW w:w="1107" w:type="dxa"/>
            <w:vAlign w:val="center"/>
          </w:tcPr>
          <w:p w14:paraId="51FA7EE4" w14:textId="77777777" w:rsidR="00577D08" w:rsidRDefault="00330FC0">
            <w:pPr>
              <w:jc w:val="right"/>
              <w:rPr>
                <w:sz w:val="18"/>
                <w:szCs w:val="18"/>
              </w:rPr>
            </w:pPr>
            <w:r>
              <w:rPr>
                <w:rFonts w:hint="eastAsia"/>
                <w:sz w:val="18"/>
                <w:szCs w:val="18"/>
              </w:rPr>
              <w:t xml:space="preserve"> 4,001,744 </w:t>
            </w:r>
          </w:p>
        </w:tc>
        <w:tc>
          <w:tcPr>
            <w:tcW w:w="758" w:type="dxa"/>
            <w:vAlign w:val="center"/>
          </w:tcPr>
          <w:p w14:paraId="11E2E126" w14:textId="77777777" w:rsidR="00577D08" w:rsidRDefault="00330FC0">
            <w:pPr>
              <w:jc w:val="right"/>
              <w:rPr>
                <w:sz w:val="18"/>
                <w:szCs w:val="18"/>
              </w:rPr>
            </w:pPr>
            <w:r>
              <w:rPr>
                <w:rFonts w:hint="eastAsia"/>
                <w:sz w:val="18"/>
                <w:szCs w:val="18"/>
              </w:rPr>
              <w:t>1.20</w:t>
            </w:r>
          </w:p>
        </w:tc>
        <w:tc>
          <w:tcPr>
            <w:tcW w:w="1314" w:type="dxa"/>
            <w:vAlign w:val="center"/>
          </w:tcPr>
          <w:p w14:paraId="47E42CFF" w14:textId="77777777" w:rsidR="00577D08" w:rsidRDefault="00330FC0">
            <w:pPr>
              <w:jc w:val="right"/>
              <w:rPr>
                <w:sz w:val="18"/>
                <w:szCs w:val="18"/>
              </w:rPr>
            </w:pPr>
            <w:r>
              <w:rPr>
                <w:rFonts w:hint="eastAsia"/>
                <w:sz w:val="18"/>
                <w:szCs w:val="18"/>
              </w:rPr>
              <w:t>0</w:t>
            </w:r>
          </w:p>
        </w:tc>
        <w:tc>
          <w:tcPr>
            <w:tcW w:w="1253" w:type="dxa"/>
            <w:vAlign w:val="center"/>
          </w:tcPr>
          <w:p w14:paraId="179F0356" w14:textId="77777777" w:rsidR="00577D08" w:rsidRDefault="00330FC0">
            <w:pPr>
              <w:jc w:val="center"/>
              <w:rPr>
                <w:sz w:val="18"/>
                <w:szCs w:val="18"/>
              </w:rPr>
            </w:pPr>
            <w:r>
              <w:rPr>
                <w:rFonts w:hint="eastAsia"/>
                <w:sz w:val="18"/>
                <w:szCs w:val="18"/>
              </w:rPr>
              <w:t>无</w:t>
            </w:r>
          </w:p>
        </w:tc>
        <w:tc>
          <w:tcPr>
            <w:tcW w:w="502" w:type="dxa"/>
            <w:gridSpan w:val="2"/>
            <w:vAlign w:val="center"/>
          </w:tcPr>
          <w:p w14:paraId="4A4FC5C5" w14:textId="77777777" w:rsidR="00577D08" w:rsidRDefault="00330FC0">
            <w:pPr>
              <w:jc w:val="right"/>
              <w:rPr>
                <w:sz w:val="18"/>
                <w:szCs w:val="18"/>
              </w:rPr>
            </w:pPr>
            <w:r>
              <w:rPr>
                <w:rFonts w:hint="eastAsia"/>
                <w:sz w:val="18"/>
                <w:szCs w:val="18"/>
              </w:rPr>
              <w:t>0</w:t>
            </w:r>
          </w:p>
        </w:tc>
        <w:tc>
          <w:tcPr>
            <w:tcW w:w="1212" w:type="dxa"/>
            <w:vAlign w:val="center"/>
          </w:tcPr>
          <w:p w14:paraId="7162F400" w14:textId="77777777" w:rsidR="00577D08" w:rsidRDefault="00330FC0">
            <w:pPr>
              <w:jc w:val="center"/>
              <w:rPr>
                <w:color w:val="FF9900"/>
                <w:sz w:val="18"/>
                <w:szCs w:val="18"/>
              </w:rPr>
            </w:pPr>
            <w:r>
              <w:rPr>
                <w:rFonts w:hint="eastAsia"/>
                <w:sz w:val="18"/>
                <w:szCs w:val="18"/>
              </w:rPr>
              <w:t>境内自然人</w:t>
            </w:r>
          </w:p>
        </w:tc>
      </w:tr>
      <w:tr w:rsidR="00577D08" w14:paraId="65563342" w14:textId="77777777">
        <w:trPr>
          <w:cantSplit/>
        </w:trPr>
        <w:tc>
          <w:tcPr>
            <w:tcW w:w="1216" w:type="dxa"/>
            <w:vAlign w:val="center"/>
          </w:tcPr>
          <w:p w14:paraId="7ACBF16E" w14:textId="77777777" w:rsidR="00577D08" w:rsidRDefault="00330FC0">
            <w:pPr>
              <w:jc w:val="center"/>
              <w:rPr>
                <w:sz w:val="18"/>
                <w:szCs w:val="18"/>
              </w:rPr>
            </w:pPr>
            <w:r>
              <w:rPr>
                <w:rFonts w:hint="eastAsia"/>
                <w:sz w:val="18"/>
                <w:szCs w:val="18"/>
              </w:rPr>
              <w:t>香港中央结算有限公司</w:t>
            </w:r>
          </w:p>
        </w:tc>
        <w:tc>
          <w:tcPr>
            <w:tcW w:w="1471" w:type="dxa"/>
            <w:vAlign w:val="center"/>
          </w:tcPr>
          <w:p w14:paraId="7CF9F72D" w14:textId="77777777" w:rsidR="00577D08" w:rsidRDefault="00330FC0">
            <w:pPr>
              <w:jc w:val="right"/>
              <w:rPr>
                <w:sz w:val="18"/>
                <w:szCs w:val="18"/>
              </w:rPr>
            </w:pPr>
            <w:r>
              <w:rPr>
                <w:rFonts w:hint="eastAsia"/>
                <w:sz w:val="18"/>
                <w:szCs w:val="18"/>
              </w:rPr>
              <w:t>+2,764,011</w:t>
            </w:r>
          </w:p>
        </w:tc>
        <w:tc>
          <w:tcPr>
            <w:tcW w:w="1107" w:type="dxa"/>
            <w:vAlign w:val="center"/>
          </w:tcPr>
          <w:p w14:paraId="1C8C810C" w14:textId="77777777" w:rsidR="00577D08" w:rsidRDefault="00330FC0">
            <w:pPr>
              <w:jc w:val="right"/>
              <w:rPr>
                <w:sz w:val="18"/>
                <w:szCs w:val="18"/>
              </w:rPr>
            </w:pPr>
            <w:r>
              <w:rPr>
                <w:rFonts w:hint="eastAsia"/>
                <w:sz w:val="18"/>
                <w:szCs w:val="18"/>
              </w:rPr>
              <w:t xml:space="preserve"> 3,851,767 </w:t>
            </w:r>
          </w:p>
        </w:tc>
        <w:tc>
          <w:tcPr>
            <w:tcW w:w="758" w:type="dxa"/>
            <w:vAlign w:val="center"/>
          </w:tcPr>
          <w:p w14:paraId="553F5B09" w14:textId="77777777" w:rsidR="00577D08" w:rsidRDefault="00330FC0">
            <w:pPr>
              <w:jc w:val="right"/>
              <w:rPr>
                <w:sz w:val="18"/>
                <w:szCs w:val="18"/>
              </w:rPr>
            </w:pPr>
            <w:r>
              <w:rPr>
                <w:rFonts w:hint="eastAsia"/>
                <w:sz w:val="18"/>
                <w:szCs w:val="18"/>
              </w:rPr>
              <w:t>1.16</w:t>
            </w:r>
          </w:p>
        </w:tc>
        <w:tc>
          <w:tcPr>
            <w:tcW w:w="1314" w:type="dxa"/>
            <w:vAlign w:val="center"/>
          </w:tcPr>
          <w:p w14:paraId="7A945284" w14:textId="77777777" w:rsidR="00577D08" w:rsidRDefault="00330FC0">
            <w:pPr>
              <w:jc w:val="right"/>
              <w:rPr>
                <w:sz w:val="18"/>
                <w:szCs w:val="18"/>
              </w:rPr>
            </w:pPr>
            <w:r>
              <w:rPr>
                <w:rFonts w:hint="eastAsia"/>
                <w:sz w:val="18"/>
                <w:szCs w:val="18"/>
              </w:rPr>
              <w:t>0</w:t>
            </w:r>
          </w:p>
        </w:tc>
        <w:tc>
          <w:tcPr>
            <w:tcW w:w="1253" w:type="dxa"/>
            <w:vAlign w:val="center"/>
          </w:tcPr>
          <w:p w14:paraId="272E8186" w14:textId="77777777" w:rsidR="00577D08" w:rsidRDefault="00330FC0">
            <w:pPr>
              <w:jc w:val="center"/>
              <w:rPr>
                <w:sz w:val="18"/>
                <w:szCs w:val="18"/>
              </w:rPr>
            </w:pPr>
            <w:r>
              <w:rPr>
                <w:rFonts w:hint="eastAsia"/>
                <w:sz w:val="18"/>
                <w:szCs w:val="18"/>
              </w:rPr>
              <w:t>无</w:t>
            </w:r>
          </w:p>
        </w:tc>
        <w:tc>
          <w:tcPr>
            <w:tcW w:w="502" w:type="dxa"/>
            <w:gridSpan w:val="2"/>
            <w:vAlign w:val="center"/>
          </w:tcPr>
          <w:p w14:paraId="3E2BB6FD" w14:textId="77777777" w:rsidR="00577D08" w:rsidRDefault="00330FC0">
            <w:pPr>
              <w:jc w:val="right"/>
              <w:rPr>
                <w:sz w:val="18"/>
                <w:szCs w:val="18"/>
              </w:rPr>
            </w:pPr>
            <w:r>
              <w:rPr>
                <w:rFonts w:hint="eastAsia"/>
                <w:sz w:val="18"/>
                <w:szCs w:val="18"/>
              </w:rPr>
              <w:t>0</w:t>
            </w:r>
          </w:p>
        </w:tc>
        <w:tc>
          <w:tcPr>
            <w:tcW w:w="1212" w:type="dxa"/>
            <w:vAlign w:val="center"/>
          </w:tcPr>
          <w:p w14:paraId="2E17E26D" w14:textId="77777777" w:rsidR="00577D08" w:rsidRDefault="00330FC0">
            <w:pPr>
              <w:jc w:val="center"/>
              <w:rPr>
                <w:color w:val="FF9900"/>
                <w:sz w:val="18"/>
                <w:szCs w:val="18"/>
              </w:rPr>
            </w:pPr>
            <w:r>
              <w:rPr>
                <w:rFonts w:hint="eastAsia"/>
                <w:sz w:val="18"/>
                <w:szCs w:val="18"/>
              </w:rPr>
              <w:t>境外法人</w:t>
            </w:r>
          </w:p>
        </w:tc>
      </w:tr>
      <w:tr w:rsidR="00577D08" w14:paraId="1A8643A5" w14:textId="77777777">
        <w:trPr>
          <w:cantSplit/>
        </w:trPr>
        <w:tc>
          <w:tcPr>
            <w:tcW w:w="1216" w:type="dxa"/>
            <w:vAlign w:val="center"/>
          </w:tcPr>
          <w:p w14:paraId="36F945A4" w14:textId="77777777" w:rsidR="00577D08" w:rsidRDefault="00330FC0">
            <w:pPr>
              <w:jc w:val="center"/>
              <w:rPr>
                <w:sz w:val="18"/>
                <w:szCs w:val="18"/>
              </w:rPr>
            </w:pPr>
            <w:r>
              <w:rPr>
                <w:rFonts w:hint="eastAsia"/>
                <w:sz w:val="18"/>
                <w:szCs w:val="18"/>
              </w:rPr>
              <w:t>王育森</w:t>
            </w:r>
          </w:p>
        </w:tc>
        <w:tc>
          <w:tcPr>
            <w:tcW w:w="1471" w:type="dxa"/>
            <w:vAlign w:val="center"/>
          </w:tcPr>
          <w:p w14:paraId="13F1762E" w14:textId="77777777" w:rsidR="00577D08" w:rsidRDefault="00330FC0">
            <w:pPr>
              <w:jc w:val="right"/>
              <w:rPr>
                <w:sz w:val="18"/>
                <w:szCs w:val="18"/>
              </w:rPr>
            </w:pPr>
            <w:r>
              <w:rPr>
                <w:rFonts w:hint="eastAsia"/>
                <w:sz w:val="18"/>
                <w:szCs w:val="18"/>
              </w:rPr>
              <w:t>+250,000</w:t>
            </w:r>
          </w:p>
        </w:tc>
        <w:tc>
          <w:tcPr>
            <w:tcW w:w="1107" w:type="dxa"/>
            <w:vAlign w:val="center"/>
          </w:tcPr>
          <w:p w14:paraId="314F6EC5" w14:textId="77777777" w:rsidR="00577D08" w:rsidRDefault="00330FC0">
            <w:pPr>
              <w:jc w:val="right"/>
              <w:rPr>
                <w:sz w:val="18"/>
                <w:szCs w:val="18"/>
              </w:rPr>
            </w:pPr>
            <w:r>
              <w:rPr>
                <w:rFonts w:hint="eastAsia"/>
                <w:sz w:val="18"/>
                <w:szCs w:val="18"/>
              </w:rPr>
              <w:t xml:space="preserve"> 3,400,000 </w:t>
            </w:r>
          </w:p>
        </w:tc>
        <w:tc>
          <w:tcPr>
            <w:tcW w:w="758" w:type="dxa"/>
            <w:vAlign w:val="center"/>
          </w:tcPr>
          <w:p w14:paraId="4F594DE9" w14:textId="77777777" w:rsidR="00577D08" w:rsidRDefault="00330FC0">
            <w:pPr>
              <w:jc w:val="right"/>
              <w:rPr>
                <w:sz w:val="18"/>
                <w:szCs w:val="18"/>
              </w:rPr>
            </w:pPr>
            <w:r>
              <w:rPr>
                <w:rFonts w:hint="eastAsia"/>
                <w:sz w:val="18"/>
                <w:szCs w:val="18"/>
              </w:rPr>
              <w:t>1.02</w:t>
            </w:r>
          </w:p>
        </w:tc>
        <w:tc>
          <w:tcPr>
            <w:tcW w:w="1314" w:type="dxa"/>
            <w:vAlign w:val="center"/>
          </w:tcPr>
          <w:p w14:paraId="300ED563" w14:textId="77777777" w:rsidR="00577D08" w:rsidRDefault="00330FC0">
            <w:pPr>
              <w:jc w:val="right"/>
              <w:rPr>
                <w:sz w:val="18"/>
                <w:szCs w:val="18"/>
              </w:rPr>
            </w:pPr>
            <w:r>
              <w:rPr>
                <w:rFonts w:hint="eastAsia"/>
                <w:sz w:val="18"/>
                <w:szCs w:val="18"/>
              </w:rPr>
              <w:t>0</w:t>
            </w:r>
          </w:p>
        </w:tc>
        <w:tc>
          <w:tcPr>
            <w:tcW w:w="1253" w:type="dxa"/>
            <w:vAlign w:val="center"/>
          </w:tcPr>
          <w:p w14:paraId="441D0677" w14:textId="77777777" w:rsidR="00577D08" w:rsidRDefault="00330FC0">
            <w:pPr>
              <w:jc w:val="center"/>
              <w:rPr>
                <w:sz w:val="18"/>
                <w:szCs w:val="18"/>
              </w:rPr>
            </w:pPr>
            <w:r>
              <w:rPr>
                <w:rFonts w:hint="eastAsia"/>
                <w:sz w:val="18"/>
                <w:szCs w:val="18"/>
              </w:rPr>
              <w:t>无</w:t>
            </w:r>
          </w:p>
        </w:tc>
        <w:tc>
          <w:tcPr>
            <w:tcW w:w="502" w:type="dxa"/>
            <w:gridSpan w:val="2"/>
            <w:vAlign w:val="center"/>
          </w:tcPr>
          <w:p w14:paraId="288DD25B" w14:textId="77777777" w:rsidR="00577D08" w:rsidRDefault="00330FC0">
            <w:pPr>
              <w:jc w:val="right"/>
              <w:rPr>
                <w:sz w:val="18"/>
                <w:szCs w:val="18"/>
              </w:rPr>
            </w:pPr>
            <w:r>
              <w:rPr>
                <w:rFonts w:hint="eastAsia"/>
                <w:sz w:val="18"/>
                <w:szCs w:val="18"/>
              </w:rPr>
              <w:t>0</w:t>
            </w:r>
          </w:p>
        </w:tc>
        <w:tc>
          <w:tcPr>
            <w:tcW w:w="1212" w:type="dxa"/>
            <w:vAlign w:val="center"/>
          </w:tcPr>
          <w:p w14:paraId="63CBBFB4" w14:textId="77777777" w:rsidR="00577D08" w:rsidRDefault="00330FC0">
            <w:pPr>
              <w:jc w:val="center"/>
              <w:rPr>
                <w:color w:val="FF9900"/>
                <w:sz w:val="18"/>
                <w:szCs w:val="18"/>
              </w:rPr>
            </w:pPr>
            <w:r>
              <w:rPr>
                <w:rFonts w:hint="eastAsia"/>
                <w:sz w:val="18"/>
                <w:szCs w:val="18"/>
              </w:rPr>
              <w:t>境内自然人</w:t>
            </w:r>
          </w:p>
        </w:tc>
      </w:tr>
      <w:tr w:rsidR="00577D08" w14:paraId="777FBAA0" w14:textId="77777777">
        <w:trPr>
          <w:cantSplit/>
        </w:trPr>
        <w:sdt>
          <w:sdtPr>
            <w:rPr>
              <w:sz w:val="18"/>
              <w:szCs w:val="18"/>
            </w:rPr>
            <w:tag w:val="_PLD_7f241e5dc05a4ae7b61268f4f1627ca0"/>
            <w:id w:val="1878741082"/>
          </w:sdtPr>
          <w:sdtContent>
            <w:tc>
              <w:tcPr>
                <w:tcW w:w="8833" w:type="dxa"/>
                <w:gridSpan w:val="9"/>
                <w:vAlign w:val="center"/>
              </w:tcPr>
              <w:p w14:paraId="2BDDCFF5" w14:textId="77777777" w:rsidR="00577D08" w:rsidRDefault="00330FC0">
                <w:pPr>
                  <w:jc w:val="center"/>
                  <w:rPr>
                    <w:color w:val="FF9900"/>
                    <w:sz w:val="18"/>
                    <w:szCs w:val="18"/>
                  </w:rPr>
                </w:pPr>
                <w:r>
                  <w:rPr>
                    <w:sz w:val="18"/>
                    <w:szCs w:val="18"/>
                  </w:rPr>
                  <w:t>前十名无限售条件股东持股情况</w:t>
                </w:r>
                <w:r>
                  <w:rPr>
                    <w:rFonts w:hint="eastAsia"/>
                    <w:sz w:val="18"/>
                    <w:szCs w:val="18"/>
                  </w:rPr>
                  <w:t>（不含通过转融通出借股份）</w:t>
                </w:r>
              </w:p>
            </w:tc>
          </w:sdtContent>
        </w:sdt>
      </w:tr>
      <w:tr w:rsidR="00577D08" w14:paraId="7D70E96A" w14:textId="77777777">
        <w:trPr>
          <w:cantSplit/>
        </w:trPr>
        <w:sdt>
          <w:sdtPr>
            <w:rPr>
              <w:sz w:val="18"/>
              <w:szCs w:val="18"/>
            </w:rPr>
            <w:tag w:val="_PLD_0443ad39720a4d59be87cdf7b0bc4970"/>
            <w:id w:val="-482460772"/>
          </w:sdtPr>
          <w:sdtContent>
            <w:tc>
              <w:tcPr>
                <w:tcW w:w="2687" w:type="dxa"/>
                <w:gridSpan w:val="2"/>
                <w:vMerge w:val="restart"/>
                <w:vAlign w:val="center"/>
              </w:tcPr>
              <w:p w14:paraId="7A27770B" w14:textId="77777777" w:rsidR="00577D08" w:rsidRDefault="00330FC0">
                <w:pPr>
                  <w:jc w:val="center"/>
                  <w:rPr>
                    <w:color w:val="FF9900"/>
                    <w:sz w:val="18"/>
                    <w:szCs w:val="18"/>
                  </w:rPr>
                </w:pPr>
                <w:r>
                  <w:rPr>
                    <w:sz w:val="18"/>
                    <w:szCs w:val="18"/>
                  </w:rPr>
                  <w:t>股东名称</w:t>
                </w:r>
              </w:p>
            </w:tc>
          </w:sdtContent>
        </w:sdt>
        <w:sdt>
          <w:sdtPr>
            <w:rPr>
              <w:sz w:val="18"/>
              <w:szCs w:val="18"/>
            </w:rPr>
            <w:tag w:val="_PLD_a7f143afa2b94466a44af03e770016b0"/>
            <w:id w:val="450759577"/>
          </w:sdtPr>
          <w:sdtContent>
            <w:tc>
              <w:tcPr>
                <w:tcW w:w="3179" w:type="dxa"/>
                <w:gridSpan w:val="3"/>
                <w:vMerge w:val="restart"/>
                <w:vAlign w:val="center"/>
              </w:tcPr>
              <w:p w14:paraId="570EE8FD" w14:textId="77777777" w:rsidR="00577D08" w:rsidRDefault="00330FC0">
                <w:pPr>
                  <w:jc w:val="center"/>
                  <w:rPr>
                    <w:color w:val="FF9900"/>
                    <w:sz w:val="18"/>
                    <w:szCs w:val="18"/>
                  </w:rPr>
                </w:pPr>
                <w:r>
                  <w:rPr>
                    <w:sz w:val="18"/>
                    <w:szCs w:val="18"/>
                  </w:rPr>
                  <w:t>持有无限售条件流通股的数量</w:t>
                </w:r>
              </w:p>
            </w:tc>
          </w:sdtContent>
        </w:sdt>
        <w:sdt>
          <w:sdtPr>
            <w:rPr>
              <w:sz w:val="18"/>
              <w:szCs w:val="18"/>
            </w:rPr>
            <w:tag w:val="_PLD_fa97ca004a544042af7e1d7463bea345"/>
            <w:id w:val="879978682"/>
          </w:sdtPr>
          <w:sdtContent>
            <w:tc>
              <w:tcPr>
                <w:tcW w:w="2967" w:type="dxa"/>
                <w:gridSpan w:val="4"/>
                <w:tcBorders>
                  <w:bottom w:val="single" w:sz="4" w:space="0" w:color="auto"/>
                </w:tcBorders>
                <w:vAlign w:val="center"/>
              </w:tcPr>
              <w:p w14:paraId="720D25D2" w14:textId="77777777" w:rsidR="00577D08" w:rsidRDefault="00330FC0">
                <w:pPr>
                  <w:jc w:val="center"/>
                  <w:rPr>
                    <w:color w:val="FF9900"/>
                    <w:sz w:val="18"/>
                    <w:szCs w:val="18"/>
                  </w:rPr>
                </w:pPr>
                <w:r>
                  <w:rPr>
                    <w:sz w:val="18"/>
                    <w:szCs w:val="18"/>
                  </w:rPr>
                  <w:t>股份种类</w:t>
                </w:r>
                <w:r>
                  <w:rPr>
                    <w:rFonts w:hint="eastAsia"/>
                    <w:sz w:val="18"/>
                    <w:szCs w:val="18"/>
                  </w:rPr>
                  <w:t>及数量</w:t>
                </w:r>
              </w:p>
            </w:tc>
          </w:sdtContent>
        </w:sdt>
      </w:tr>
      <w:tr w:rsidR="00577D08" w14:paraId="5271AC73" w14:textId="77777777">
        <w:trPr>
          <w:cantSplit/>
        </w:trPr>
        <w:tc>
          <w:tcPr>
            <w:tcW w:w="2687" w:type="dxa"/>
            <w:gridSpan w:val="2"/>
            <w:vMerge/>
            <w:vAlign w:val="center"/>
          </w:tcPr>
          <w:p w14:paraId="6FB778B9" w14:textId="77777777" w:rsidR="00577D08" w:rsidRDefault="00577D08">
            <w:pPr>
              <w:jc w:val="center"/>
              <w:rPr>
                <w:color w:val="FF9900"/>
                <w:sz w:val="18"/>
                <w:szCs w:val="18"/>
              </w:rPr>
            </w:pPr>
          </w:p>
        </w:tc>
        <w:tc>
          <w:tcPr>
            <w:tcW w:w="3179" w:type="dxa"/>
            <w:gridSpan w:val="3"/>
            <w:vMerge/>
            <w:vAlign w:val="center"/>
          </w:tcPr>
          <w:p w14:paraId="6C9F3CBA" w14:textId="77777777" w:rsidR="00577D08" w:rsidRDefault="00577D08">
            <w:pPr>
              <w:jc w:val="center"/>
              <w:rPr>
                <w:color w:val="FF9900"/>
                <w:sz w:val="18"/>
                <w:szCs w:val="18"/>
              </w:rPr>
            </w:pPr>
          </w:p>
        </w:tc>
        <w:sdt>
          <w:sdtPr>
            <w:rPr>
              <w:sz w:val="18"/>
              <w:szCs w:val="18"/>
            </w:rPr>
            <w:tag w:val="_PLD_e67773187f2f4233a6666596947248e8"/>
            <w:id w:val="100530688"/>
          </w:sdtPr>
          <w:sdtContent>
            <w:tc>
              <w:tcPr>
                <w:tcW w:w="1666" w:type="dxa"/>
                <w:gridSpan w:val="2"/>
                <w:vAlign w:val="center"/>
              </w:tcPr>
              <w:p w14:paraId="33E99E96" w14:textId="77777777" w:rsidR="00577D08" w:rsidRDefault="00330FC0">
                <w:pPr>
                  <w:jc w:val="center"/>
                  <w:rPr>
                    <w:color w:val="008000"/>
                    <w:sz w:val="18"/>
                    <w:szCs w:val="18"/>
                  </w:rPr>
                </w:pPr>
                <w:r>
                  <w:rPr>
                    <w:rFonts w:hint="eastAsia"/>
                    <w:sz w:val="18"/>
                    <w:szCs w:val="18"/>
                  </w:rPr>
                  <w:t>种类</w:t>
                </w:r>
              </w:p>
            </w:tc>
          </w:sdtContent>
        </w:sdt>
        <w:sdt>
          <w:sdtPr>
            <w:rPr>
              <w:sz w:val="18"/>
              <w:szCs w:val="18"/>
            </w:rPr>
            <w:tag w:val="_PLD_2f2fd5088a82440f9265e00f4e298be0"/>
            <w:id w:val="1309515270"/>
          </w:sdtPr>
          <w:sdtContent>
            <w:tc>
              <w:tcPr>
                <w:tcW w:w="1301" w:type="dxa"/>
                <w:gridSpan w:val="2"/>
                <w:vAlign w:val="center"/>
              </w:tcPr>
              <w:p w14:paraId="2475B371" w14:textId="77777777" w:rsidR="00577D08" w:rsidRDefault="00330FC0">
                <w:pPr>
                  <w:jc w:val="center"/>
                  <w:rPr>
                    <w:color w:val="008000"/>
                    <w:sz w:val="18"/>
                    <w:szCs w:val="18"/>
                  </w:rPr>
                </w:pPr>
                <w:r>
                  <w:rPr>
                    <w:rFonts w:hint="eastAsia"/>
                    <w:sz w:val="18"/>
                    <w:szCs w:val="18"/>
                  </w:rPr>
                  <w:t>数量</w:t>
                </w:r>
              </w:p>
            </w:tc>
          </w:sdtContent>
        </w:sdt>
      </w:tr>
      <w:tr w:rsidR="00577D08" w14:paraId="316B3C56" w14:textId="77777777">
        <w:trPr>
          <w:cantSplit/>
        </w:trPr>
        <w:tc>
          <w:tcPr>
            <w:tcW w:w="2687" w:type="dxa"/>
            <w:gridSpan w:val="2"/>
          </w:tcPr>
          <w:p w14:paraId="6DF18CAB" w14:textId="77777777" w:rsidR="00577D08" w:rsidRDefault="00330FC0">
            <w:pPr>
              <w:rPr>
                <w:color w:val="FF9900"/>
                <w:sz w:val="18"/>
                <w:szCs w:val="18"/>
              </w:rPr>
            </w:pPr>
            <w:r>
              <w:rPr>
                <w:rFonts w:hint="eastAsia"/>
                <w:sz w:val="18"/>
                <w:szCs w:val="18"/>
              </w:rPr>
              <w:t>杨泽民</w:t>
            </w:r>
          </w:p>
        </w:tc>
        <w:tc>
          <w:tcPr>
            <w:tcW w:w="3179" w:type="dxa"/>
            <w:gridSpan w:val="3"/>
            <w:vAlign w:val="center"/>
          </w:tcPr>
          <w:p w14:paraId="66AE749B" w14:textId="77777777" w:rsidR="00577D08" w:rsidRDefault="00330FC0">
            <w:pPr>
              <w:jc w:val="right"/>
              <w:rPr>
                <w:sz w:val="18"/>
                <w:szCs w:val="18"/>
              </w:rPr>
            </w:pPr>
            <w:r>
              <w:rPr>
                <w:rFonts w:hint="eastAsia"/>
                <w:sz w:val="18"/>
                <w:szCs w:val="18"/>
              </w:rPr>
              <w:t xml:space="preserve"> 52,618,391 </w:t>
            </w:r>
          </w:p>
        </w:tc>
        <w:tc>
          <w:tcPr>
            <w:tcW w:w="1666" w:type="dxa"/>
            <w:gridSpan w:val="2"/>
          </w:tcPr>
          <w:p w14:paraId="4DBC3B25"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4935D64E" w14:textId="77777777" w:rsidR="00577D08" w:rsidRDefault="00330FC0">
            <w:pPr>
              <w:jc w:val="right"/>
              <w:rPr>
                <w:sz w:val="18"/>
                <w:szCs w:val="18"/>
              </w:rPr>
            </w:pPr>
            <w:r>
              <w:rPr>
                <w:rFonts w:hint="eastAsia"/>
                <w:sz w:val="18"/>
                <w:szCs w:val="18"/>
              </w:rPr>
              <w:t xml:space="preserve"> 52,618,391 </w:t>
            </w:r>
          </w:p>
        </w:tc>
      </w:tr>
      <w:tr w:rsidR="00577D08" w14:paraId="216E0858" w14:textId="77777777">
        <w:trPr>
          <w:cantSplit/>
        </w:trPr>
        <w:tc>
          <w:tcPr>
            <w:tcW w:w="2687" w:type="dxa"/>
            <w:gridSpan w:val="2"/>
          </w:tcPr>
          <w:p w14:paraId="79F68C73" w14:textId="77777777" w:rsidR="00577D08" w:rsidRDefault="00330FC0">
            <w:pPr>
              <w:rPr>
                <w:color w:val="FF9900"/>
                <w:sz w:val="18"/>
                <w:szCs w:val="18"/>
              </w:rPr>
            </w:pPr>
            <w:r>
              <w:rPr>
                <w:rFonts w:hint="eastAsia"/>
                <w:sz w:val="18"/>
                <w:szCs w:val="18"/>
              </w:rPr>
              <w:t>秦惠兰</w:t>
            </w:r>
          </w:p>
        </w:tc>
        <w:tc>
          <w:tcPr>
            <w:tcW w:w="3179" w:type="dxa"/>
            <w:gridSpan w:val="3"/>
            <w:vAlign w:val="center"/>
          </w:tcPr>
          <w:p w14:paraId="0277167C" w14:textId="77777777" w:rsidR="00577D08" w:rsidRDefault="00330FC0">
            <w:pPr>
              <w:jc w:val="right"/>
              <w:rPr>
                <w:sz w:val="18"/>
                <w:szCs w:val="18"/>
              </w:rPr>
            </w:pPr>
            <w:r>
              <w:rPr>
                <w:rFonts w:hint="eastAsia"/>
                <w:sz w:val="18"/>
                <w:szCs w:val="18"/>
              </w:rPr>
              <w:t xml:space="preserve"> 40,841,700 </w:t>
            </w:r>
          </w:p>
        </w:tc>
        <w:tc>
          <w:tcPr>
            <w:tcW w:w="1666" w:type="dxa"/>
            <w:gridSpan w:val="2"/>
          </w:tcPr>
          <w:p w14:paraId="2DA64C85"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5FD24A02" w14:textId="77777777" w:rsidR="00577D08" w:rsidRDefault="00330FC0">
            <w:pPr>
              <w:jc w:val="right"/>
              <w:rPr>
                <w:sz w:val="18"/>
                <w:szCs w:val="18"/>
              </w:rPr>
            </w:pPr>
            <w:r>
              <w:rPr>
                <w:rFonts w:hint="eastAsia"/>
                <w:sz w:val="18"/>
                <w:szCs w:val="18"/>
              </w:rPr>
              <w:t xml:space="preserve"> 40,841,700 </w:t>
            </w:r>
          </w:p>
        </w:tc>
      </w:tr>
      <w:tr w:rsidR="00577D08" w14:paraId="68DF9685" w14:textId="77777777">
        <w:trPr>
          <w:cantSplit/>
        </w:trPr>
        <w:tc>
          <w:tcPr>
            <w:tcW w:w="2687" w:type="dxa"/>
            <w:gridSpan w:val="2"/>
          </w:tcPr>
          <w:p w14:paraId="1542D4BD" w14:textId="77777777" w:rsidR="00577D08" w:rsidRDefault="00330FC0">
            <w:pPr>
              <w:rPr>
                <w:color w:val="FF9900"/>
                <w:sz w:val="18"/>
                <w:szCs w:val="18"/>
              </w:rPr>
            </w:pPr>
            <w:r>
              <w:rPr>
                <w:rFonts w:hint="eastAsia"/>
                <w:sz w:val="18"/>
                <w:szCs w:val="18"/>
              </w:rPr>
              <w:t>杨秦</w:t>
            </w:r>
          </w:p>
        </w:tc>
        <w:tc>
          <w:tcPr>
            <w:tcW w:w="3179" w:type="dxa"/>
            <w:gridSpan w:val="3"/>
            <w:vAlign w:val="center"/>
          </w:tcPr>
          <w:p w14:paraId="3FE8160D" w14:textId="77777777" w:rsidR="00577D08" w:rsidRDefault="00330FC0">
            <w:pPr>
              <w:jc w:val="right"/>
              <w:rPr>
                <w:sz w:val="18"/>
                <w:szCs w:val="18"/>
              </w:rPr>
            </w:pPr>
            <w:r>
              <w:rPr>
                <w:rFonts w:hint="eastAsia"/>
                <w:sz w:val="18"/>
                <w:szCs w:val="18"/>
              </w:rPr>
              <w:t xml:space="preserve"> 18,015,000 </w:t>
            </w:r>
          </w:p>
        </w:tc>
        <w:tc>
          <w:tcPr>
            <w:tcW w:w="1666" w:type="dxa"/>
            <w:gridSpan w:val="2"/>
          </w:tcPr>
          <w:p w14:paraId="45A2BDD3"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0F591DF9" w14:textId="77777777" w:rsidR="00577D08" w:rsidRDefault="00330FC0">
            <w:pPr>
              <w:jc w:val="right"/>
              <w:rPr>
                <w:sz w:val="18"/>
                <w:szCs w:val="18"/>
              </w:rPr>
            </w:pPr>
            <w:r>
              <w:rPr>
                <w:rFonts w:hint="eastAsia"/>
                <w:sz w:val="18"/>
                <w:szCs w:val="18"/>
              </w:rPr>
              <w:t xml:space="preserve"> 18,015,000 </w:t>
            </w:r>
          </w:p>
        </w:tc>
      </w:tr>
      <w:tr w:rsidR="00577D08" w14:paraId="4C64664A" w14:textId="77777777">
        <w:trPr>
          <w:cantSplit/>
        </w:trPr>
        <w:tc>
          <w:tcPr>
            <w:tcW w:w="2687" w:type="dxa"/>
            <w:gridSpan w:val="2"/>
          </w:tcPr>
          <w:p w14:paraId="649E6DF1" w14:textId="77777777" w:rsidR="00577D08" w:rsidRDefault="00330FC0">
            <w:pPr>
              <w:rPr>
                <w:color w:val="FF9900"/>
                <w:sz w:val="18"/>
                <w:szCs w:val="18"/>
              </w:rPr>
            </w:pPr>
            <w:r>
              <w:rPr>
                <w:rFonts w:hint="eastAsia"/>
                <w:sz w:val="18"/>
                <w:szCs w:val="18"/>
              </w:rPr>
              <w:lastRenderedPageBreak/>
              <w:t>杨耀</w:t>
            </w:r>
          </w:p>
        </w:tc>
        <w:tc>
          <w:tcPr>
            <w:tcW w:w="3179" w:type="dxa"/>
            <w:gridSpan w:val="3"/>
            <w:vAlign w:val="center"/>
          </w:tcPr>
          <w:p w14:paraId="2CEC9988" w14:textId="77777777" w:rsidR="00577D08" w:rsidRDefault="00330FC0">
            <w:pPr>
              <w:jc w:val="right"/>
              <w:rPr>
                <w:sz w:val="18"/>
                <w:szCs w:val="18"/>
              </w:rPr>
            </w:pPr>
            <w:r>
              <w:rPr>
                <w:rFonts w:hint="eastAsia"/>
                <w:sz w:val="18"/>
                <w:szCs w:val="18"/>
              </w:rPr>
              <w:t xml:space="preserve"> 18,000,050 </w:t>
            </w:r>
          </w:p>
        </w:tc>
        <w:tc>
          <w:tcPr>
            <w:tcW w:w="1666" w:type="dxa"/>
            <w:gridSpan w:val="2"/>
          </w:tcPr>
          <w:p w14:paraId="0BCACE3A"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7E56360C" w14:textId="77777777" w:rsidR="00577D08" w:rsidRDefault="00330FC0">
            <w:pPr>
              <w:jc w:val="right"/>
              <w:rPr>
                <w:sz w:val="18"/>
                <w:szCs w:val="18"/>
              </w:rPr>
            </w:pPr>
            <w:r>
              <w:rPr>
                <w:rFonts w:hint="eastAsia"/>
                <w:sz w:val="18"/>
                <w:szCs w:val="18"/>
              </w:rPr>
              <w:t xml:space="preserve"> 18,000,050 </w:t>
            </w:r>
          </w:p>
        </w:tc>
      </w:tr>
      <w:tr w:rsidR="00577D08" w14:paraId="40F12563" w14:textId="77777777">
        <w:trPr>
          <w:cantSplit/>
        </w:trPr>
        <w:tc>
          <w:tcPr>
            <w:tcW w:w="2687" w:type="dxa"/>
            <w:gridSpan w:val="2"/>
          </w:tcPr>
          <w:p w14:paraId="42B50F82" w14:textId="77777777" w:rsidR="00577D08" w:rsidRDefault="00330FC0">
            <w:pPr>
              <w:rPr>
                <w:color w:val="FF9900"/>
                <w:sz w:val="18"/>
                <w:szCs w:val="18"/>
              </w:rPr>
            </w:pPr>
            <w:r>
              <w:rPr>
                <w:rFonts w:hint="eastAsia"/>
                <w:sz w:val="18"/>
                <w:szCs w:val="18"/>
              </w:rPr>
              <w:t>赵桂芬</w:t>
            </w:r>
          </w:p>
        </w:tc>
        <w:tc>
          <w:tcPr>
            <w:tcW w:w="3179" w:type="dxa"/>
            <w:gridSpan w:val="3"/>
            <w:vAlign w:val="center"/>
          </w:tcPr>
          <w:p w14:paraId="3720B3E9" w14:textId="77777777" w:rsidR="00577D08" w:rsidRDefault="00330FC0">
            <w:pPr>
              <w:jc w:val="right"/>
              <w:rPr>
                <w:sz w:val="18"/>
                <w:szCs w:val="18"/>
              </w:rPr>
            </w:pPr>
            <w:r>
              <w:rPr>
                <w:rFonts w:hint="eastAsia"/>
                <w:sz w:val="18"/>
                <w:szCs w:val="18"/>
              </w:rPr>
              <w:t xml:space="preserve"> 8,431,000 </w:t>
            </w:r>
          </w:p>
        </w:tc>
        <w:tc>
          <w:tcPr>
            <w:tcW w:w="1666" w:type="dxa"/>
            <w:gridSpan w:val="2"/>
          </w:tcPr>
          <w:p w14:paraId="7CA2C8A2"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0BF7EAA3" w14:textId="77777777" w:rsidR="00577D08" w:rsidRDefault="00330FC0">
            <w:pPr>
              <w:jc w:val="right"/>
              <w:rPr>
                <w:sz w:val="18"/>
                <w:szCs w:val="18"/>
              </w:rPr>
            </w:pPr>
            <w:r>
              <w:rPr>
                <w:rFonts w:hint="eastAsia"/>
                <w:sz w:val="18"/>
                <w:szCs w:val="18"/>
              </w:rPr>
              <w:t xml:space="preserve"> 8,431,000 </w:t>
            </w:r>
          </w:p>
        </w:tc>
      </w:tr>
      <w:tr w:rsidR="00577D08" w14:paraId="3408E164" w14:textId="77777777">
        <w:trPr>
          <w:cantSplit/>
        </w:trPr>
        <w:tc>
          <w:tcPr>
            <w:tcW w:w="2687" w:type="dxa"/>
            <w:gridSpan w:val="2"/>
          </w:tcPr>
          <w:p w14:paraId="7E342D50" w14:textId="77777777" w:rsidR="00577D08" w:rsidRDefault="00330FC0">
            <w:pPr>
              <w:rPr>
                <w:color w:val="FF9900"/>
                <w:sz w:val="18"/>
                <w:szCs w:val="18"/>
              </w:rPr>
            </w:pPr>
            <w:r>
              <w:rPr>
                <w:rFonts w:hint="eastAsia"/>
                <w:sz w:val="18"/>
                <w:szCs w:val="18"/>
              </w:rPr>
              <w:t>刘远初</w:t>
            </w:r>
          </w:p>
        </w:tc>
        <w:tc>
          <w:tcPr>
            <w:tcW w:w="3179" w:type="dxa"/>
            <w:gridSpan w:val="3"/>
            <w:vAlign w:val="center"/>
          </w:tcPr>
          <w:p w14:paraId="32BB5AE9" w14:textId="77777777" w:rsidR="00577D08" w:rsidRDefault="00330FC0">
            <w:pPr>
              <w:jc w:val="right"/>
              <w:rPr>
                <w:sz w:val="18"/>
                <w:szCs w:val="18"/>
              </w:rPr>
            </w:pPr>
            <w:r>
              <w:rPr>
                <w:rFonts w:hint="eastAsia"/>
                <w:sz w:val="18"/>
                <w:szCs w:val="18"/>
              </w:rPr>
              <w:t xml:space="preserve"> 4,680,044 </w:t>
            </w:r>
          </w:p>
        </w:tc>
        <w:tc>
          <w:tcPr>
            <w:tcW w:w="1666" w:type="dxa"/>
            <w:gridSpan w:val="2"/>
          </w:tcPr>
          <w:p w14:paraId="589B786E"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5F68015B" w14:textId="77777777" w:rsidR="00577D08" w:rsidRDefault="00330FC0">
            <w:pPr>
              <w:jc w:val="right"/>
              <w:rPr>
                <w:sz w:val="18"/>
                <w:szCs w:val="18"/>
              </w:rPr>
            </w:pPr>
            <w:r>
              <w:rPr>
                <w:rFonts w:hint="eastAsia"/>
                <w:sz w:val="18"/>
                <w:szCs w:val="18"/>
              </w:rPr>
              <w:t xml:space="preserve"> 4,680,044 </w:t>
            </w:r>
          </w:p>
        </w:tc>
      </w:tr>
      <w:tr w:rsidR="00577D08" w14:paraId="51D8B9A7" w14:textId="77777777" w:rsidTr="00E6534C">
        <w:trPr>
          <w:cantSplit/>
        </w:trPr>
        <w:tc>
          <w:tcPr>
            <w:tcW w:w="2687" w:type="dxa"/>
            <w:gridSpan w:val="2"/>
          </w:tcPr>
          <w:p w14:paraId="53BB914B" w14:textId="77777777" w:rsidR="00577D08" w:rsidRDefault="00330FC0">
            <w:pPr>
              <w:rPr>
                <w:color w:val="FF9900"/>
                <w:sz w:val="18"/>
                <w:szCs w:val="18"/>
              </w:rPr>
            </w:pPr>
            <w:r>
              <w:rPr>
                <w:rFonts w:hint="eastAsia"/>
                <w:sz w:val="18"/>
                <w:szCs w:val="18"/>
              </w:rPr>
              <w:t>西南证券股份有限公司约定购回式证券交易专用证券账户</w:t>
            </w:r>
          </w:p>
        </w:tc>
        <w:tc>
          <w:tcPr>
            <w:tcW w:w="3179" w:type="dxa"/>
            <w:gridSpan w:val="3"/>
            <w:vAlign w:val="center"/>
          </w:tcPr>
          <w:p w14:paraId="5DC1CD86" w14:textId="77777777" w:rsidR="00577D08" w:rsidRDefault="00330FC0">
            <w:pPr>
              <w:jc w:val="right"/>
              <w:rPr>
                <w:sz w:val="18"/>
                <w:szCs w:val="18"/>
              </w:rPr>
            </w:pPr>
            <w:r>
              <w:rPr>
                <w:rFonts w:hint="eastAsia"/>
                <w:sz w:val="18"/>
                <w:szCs w:val="18"/>
              </w:rPr>
              <w:t xml:space="preserve"> 4,670,000 </w:t>
            </w:r>
          </w:p>
        </w:tc>
        <w:tc>
          <w:tcPr>
            <w:tcW w:w="1666" w:type="dxa"/>
            <w:gridSpan w:val="2"/>
            <w:vAlign w:val="center"/>
          </w:tcPr>
          <w:p w14:paraId="6EF6815E"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01CDDE60" w14:textId="77777777" w:rsidR="00577D08" w:rsidRDefault="00330FC0">
            <w:pPr>
              <w:jc w:val="right"/>
              <w:rPr>
                <w:sz w:val="18"/>
                <w:szCs w:val="18"/>
              </w:rPr>
            </w:pPr>
            <w:r>
              <w:rPr>
                <w:rFonts w:hint="eastAsia"/>
                <w:sz w:val="18"/>
                <w:szCs w:val="18"/>
              </w:rPr>
              <w:t xml:space="preserve"> 4,670,000 </w:t>
            </w:r>
          </w:p>
        </w:tc>
      </w:tr>
      <w:tr w:rsidR="00577D08" w14:paraId="7615AA3D" w14:textId="77777777">
        <w:trPr>
          <w:cantSplit/>
        </w:trPr>
        <w:tc>
          <w:tcPr>
            <w:tcW w:w="2687" w:type="dxa"/>
            <w:gridSpan w:val="2"/>
          </w:tcPr>
          <w:p w14:paraId="02571F08" w14:textId="77777777" w:rsidR="00577D08" w:rsidRDefault="00330FC0">
            <w:pPr>
              <w:rPr>
                <w:color w:val="FF9900"/>
                <w:sz w:val="18"/>
                <w:szCs w:val="18"/>
              </w:rPr>
            </w:pPr>
            <w:r>
              <w:rPr>
                <w:rFonts w:hint="eastAsia"/>
                <w:sz w:val="18"/>
                <w:szCs w:val="18"/>
              </w:rPr>
              <w:t>杨厚群</w:t>
            </w:r>
          </w:p>
        </w:tc>
        <w:tc>
          <w:tcPr>
            <w:tcW w:w="3179" w:type="dxa"/>
            <w:gridSpan w:val="3"/>
            <w:vAlign w:val="center"/>
          </w:tcPr>
          <w:p w14:paraId="634E147A" w14:textId="77777777" w:rsidR="00577D08" w:rsidRDefault="00330FC0">
            <w:pPr>
              <w:jc w:val="right"/>
              <w:rPr>
                <w:sz w:val="18"/>
                <w:szCs w:val="18"/>
              </w:rPr>
            </w:pPr>
            <w:r>
              <w:rPr>
                <w:rFonts w:hint="eastAsia"/>
                <w:sz w:val="18"/>
                <w:szCs w:val="18"/>
              </w:rPr>
              <w:t xml:space="preserve"> 4,001,744 </w:t>
            </w:r>
          </w:p>
        </w:tc>
        <w:tc>
          <w:tcPr>
            <w:tcW w:w="1666" w:type="dxa"/>
            <w:gridSpan w:val="2"/>
          </w:tcPr>
          <w:p w14:paraId="45746A5C"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1E211454" w14:textId="77777777" w:rsidR="00577D08" w:rsidRDefault="00330FC0">
            <w:pPr>
              <w:jc w:val="right"/>
              <w:rPr>
                <w:sz w:val="18"/>
                <w:szCs w:val="18"/>
              </w:rPr>
            </w:pPr>
            <w:r>
              <w:rPr>
                <w:rFonts w:hint="eastAsia"/>
                <w:sz w:val="18"/>
                <w:szCs w:val="18"/>
              </w:rPr>
              <w:t xml:space="preserve"> 4,001,744 </w:t>
            </w:r>
          </w:p>
        </w:tc>
      </w:tr>
      <w:tr w:rsidR="00577D08" w14:paraId="261FC916" w14:textId="77777777">
        <w:trPr>
          <w:cantSplit/>
        </w:trPr>
        <w:tc>
          <w:tcPr>
            <w:tcW w:w="2687" w:type="dxa"/>
            <w:gridSpan w:val="2"/>
          </w:tcPr>
          <w:p w14:paraId="3830CA31" w14:textId="77777777" w:rsidR="00577D08" w:rsidRDefault="00330FC0">
            <w:pPr>
              <w:rPr>
                <w:color w:val="FF9900"/>
                <w:sz w:val="18"/>
                <w:szCs w:val="18"/>
              </w:rPr>
            </w:pPr>
            <w:r>
              <w:rPr>
                <w:rFonts w:hint="eastAsia"/>
                <w:sz w:val="18"/>
                <w:szCs w:val="18"/>
              </w:rPr>
              <w:t>香港中央结算有限公司</w:t>
            </w:r>
          </w:p>
        </w:tc>
        <w:tc>
          <w:tcPr>
            <w:tcW w:w="3179" w:type="dxa"/>
            <w:gridSpan w:val="3"/>
            <w:vAlign w:val="center"/>
          </w:tcPr>
          <w:p w14:paraId="42C98029" w14:textId="77777777" w:rsidR="00577D08" w:rsidRDefault="00330FC0">
            <w:pPr>
              <w:jc w:val="right"/>
              <w:rPr>
                <w:sz w:val="18"/>
                <w:szCs w:val="18"/>
              </w:rPr>
            </w:pPr>
            <w:r>
              <w:rPr>
                <w:rFonts w:hint="eastAsia"/>
                <w:sz w:val="18"/>
                <w:szCs w:val="18"/>
              </w:rPr>
              <w:t xml:space="preserve"> 3,851,767 </w:t>
            </w:r>
          </w:p>
        </w:tc>
        <w:tc>
          <w:tcPr>
            <w:tcW w:w="1666" w:type="dxa"/>
            <w:gridSpan w:val="2"/>
          </w:tcPr>
          <w:p w14:paraId="47466DE0"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73F20110" w14:textId="77777777" w:rsidR="00577D08" w:rsidRDefault="00330FC0">
            <w:pPr>
              <w:jc w:val="right"/>
              <w:rPr>
                <w:sz w:val="18"/>
                <w:szCs w:val="18"/>
              </w:rPr>
            </w:pPr>
            <w:r>
              <w:rPr>
                <w:rFonts w:hint="eastAsia"/>
                <w:sz w:val="18"/>
                <w:szCs w:val="18"/>
              </w:rPr>
              <w:t xml:space="preserve"> 3,851,767 </w:t>
            </w:r>
          </w:p>
        </w:tc>
      </w:tr>
      <w:tr w:rsidR="00577D08" w14:paraId="750D9B20" w14:textId="77777777">
        <w:trPr>
          <w:cantSplit/>
        </w:trPr>
        <w:tc>
          <w:tcPr>
            <w:tcW w:w="2687" w:type="dxa"/>
            <w:gridSpan w:val="2"/>
          </w:tcPr>
          <w:p w14:paraId="2C7217A7" w14:textId="77777777" w:rsidR="00577D08" w:rsidRDefault="00330FC0">
            <w:pPr>
              <w:rPr>
                <w:color w:val="FF9900"/>
                <w:sz w:val="18"/>
                <w:szCs w:val="18"/>
              </w:rPr>
            </w:pPr>
            <w:r>
              <w:rPr>
                <w:rFonts w:hint="eastAsia"/>
                <w:sz w:val="18"/>
                <w:szCs w:val="18"/>
              </w:rPr>
              <w:t>王育森</w:t>
            </w:r>
          </w:p>
        </w:tc>
        <w:tc>
          <w:tcPr>
            <w:tcW w:w="3179" w:type="dxa"/>
            <w:gridSpan w:val="3"/>
            <w:vAlign w:val="center"/>
          </w:tcPr>
          <w:p w14:paraId="30022029" w14:textId="77777777" w:rsidR="00577D08" w:rsidRDefault="00330FC0">
            <w:pPr>
              <w:jc w:val="right"/>
              <w:rPr>
                <w:sz w:val="18"/>
                <w:szCs w:val="18"/>
              </w:rPr>
            </w:pPr>
            <w:r>
              <w:rPr>
                <w:rFonts w:hint="eastAsia"/>
                <w:sz w:val="18"/>
                <w:szCs w:val="18"/>
              </w:rPr>
              <w:t xml:space="preserve"> 3,400,000 </w:t>
            </w:r>
          </w:p>
        </w:tc>
        <w:tc>
          <w:tcPr>
            <w:tcW w:w="1666" w:type="dxa"/>
            <w:gridSpan w:val="2"/>
          </w:tcPr>
          <w:p w14:paraId="5C988B1A" w14:textId="77777777" w:rsidR="00577D08" w:rsidRDefault="00330FC0">
            <w:pPr>
              <w:jc w:val="center"/>
              <w:rPr>
                <w:bCs/>
                <w:sz w:val="18"/>
                <w:szCs w:val="18"/>
              </w:rPr>
            </w:pPr>
            <w:r>
              <w:rPr>
                <w:rFonts w:hint="eastAsia"/>
                <w:sz w:val="18"/>
                <w:szCs w:val="18"/>
              </w:rPr>
              <w:t>人民币普通股</w:t>
            </w:r>
          </w:p>
        </w:tc>
        <w:tc>
          <w:tcPr>
            <w:tcW w:w="1301" w:type="dxa"/>
            <w:gridSpan w:val="2"/>
            <w:vAlign w:val="center"/>
          </w:tcPr>
          <w:p w14:paraId="631D45DA" w14:textId="77777777" w:rsidR="00577D08" w:rsidRDefault="00330FC0">
            <w:pPr>
              <w:jc w:val="right"/>
              <w:rPr>
                <w:sz w:val="18"/>
                <w:szCs w:val="18"/>
              </w:rPr>
            </w:pPr>
            <w:r>
              <w:rPr>
                <w:rFonts w:hint="eastAsia"/>
                <w:sz w:val="18"/>
                <w:szCs w:val="18"/>
              </w:rPr>
              <w:t xml:space="preserve"> 3,400,000 </w:t>
            </w:r>
          </w:p>
        </w:tc>
      </w:tr>
      <w:tr w:rsidR="00577D08" w14:paraId="325E3F4E" w14:textId="77777777" w:rsidTr="00E6534C">
        <w:trPr>
          <w:cantSplit/>
        </w:trPr>
        <w:tc>
          <w:tcPr>
            <w:tcW w:w="2687" w:type="dxa"/>
            <w:gridSpan w:val="2"/>
            <w:vAlign w:val="center"/>
          </w:tcPr>
          <w:p w14:paraId="26052026" w14:textId="77777777" w:rsidR="00577D08" w:rsidRDefault="00330FC0">
            <w:pPr>
              <w:rPr>
                <w:sz w:val="18"/>
                <w:szCs w:val="18"/>
              </w:rPr>
            </w:pPr>
            <w:r>
              <w:rPr>
                <w:rFonts w:hint="eastAsia"/>
                <w:sz w:val="18"/>
                <w:szCs w:val="18"/>
              </w:rPr>
              <w:t>前十名股东中回购专户情况说明</w:t>
            </w:r>
          </w:p>
        </w:tc>
        <w:tc>
          <w:tcPr>
            <w:tcW w:w="6146" w:type="dxa"/>
            <w:gridSpan w:val="7"/>
            <w:vAlign w:val="center"/>
          </w:tcPr>
          <w:p w14:paraId="2DAF1FA8" w14:textId="77777777" w:rsidR="00577D08" w:rsidRDefault="00330FC0" w:rsidP="00E6534C">
            <w:pPr>
              <w:jc w:val="center"/>
              <w:rPr>
                <w:sz w:val="18"/>
                <w:szCs w:val="18"/>
              </w:rPr>
            </w:pPr>
            <w:r>
              <w:rPr>
                <w:rFonts w:hint="eastAsia"/>
                <w:sz w:val="18"/>
                <w:szCs w:val="18"/>
              </w:rPr>
              <w:t>无</w:t>
            </w:r>
          </w:p>
        </w:tc>
      </w:tr>
      <w:tr w:rsidR="00577D08" w14:paraId="017FB85F" w14:textId="77777777" w:rsidTr="00E6534C">
        <w:trPr>
          <w:cantSplit/>
        </w:trPr>
        <w:tc>
          <w:tcPr>
            <w:tcW w:w="2687" w:type="dxa"/>
            <w:gridSpan w:val="2"/>
            <w:vAlign w:val="center"/>
          </w:tcPr>
          <w:p w14:paraId="64AF73EB" w14:textId="77777777" w:rsidR="00577D08" w:rsidRDefault="00330FC0">
            <w:pPr>
              <w:rPr>
                <w:sz w:val="18"/>
                <w:szCs w:val="18"/>
              </w:rPr>
            </w:pPr>
            <w:r>
              <w:rPr>
                <w:sz w:val="18"/>
                <w:szCs w:val="18"/>
              </w:rPr>
              <w:t>上述股东</w:t>
            </w:r>
            <w:r>
              <w:rPr>
                <w:rFonts w:hint="eastAsia"/>
                <w:sz w:val="18"/>
                <w:szCs w:val="18"/>
              </w:rPr>
              <w:t>委托表决权、受托表决权、放弃表决权</w:t>
            </w:r>
            <w:r>
              <w:rPr>
                <w:sz w:val="18"/>
                <w:szCs w:val="18"/>
              </w:rPr>
              <w:t>的说明</w:t>
            </w:r>
          </w:p>
        </w:tc>
        <w:tc>
          <w:tcPr>
            <w:tcW w:w="6146" w:type="dxa"/>
            <w:gridSpan w:val="7"/>
            <w:vAlign w:val="center"/>
          </w:tcPr>
          <w:p w14:paraId="39FEDD62" w14:textId="77777777" w:rsidR="00577D08" w:rsidRDefault="00330FC0" w:rsidP="00E6534C">
            <w:pPr>
              <w:jc w:val="center"/>
              <w:rPr>
                <w:sz w:val="18"/>
                <w:szCs w:val="18"/>
              </w:rPr>
            </w:pPr>
            <w:r>
              <w:rPr>
                <w:rFonts w:hint="eastAsia"/>
                <w:sz w:val="18"/>
                <w:szCs w:val="18"/>
              </w:rPr>
              <w:t>无</w:t>
            </w:r>
          </w:p>
        </w:tc>
      </w:tr>
      <w:tr w:rsidR="00577D08" w14:paraId="7D7AA4BE" w14:textId="77777777">
        <w:trPr>
          <w:cantSplit/>
        </w:trPr>
        <w:tc>
          <w:tcPr>
            <w:tcW w:w="2687" w:type="dxa"/>
            <w:gridSpan w:val="2"/>
            <w:vAlign w:val="center"/>
          </w:tcPr>
          <w:p w14:paraId="1BD0B7BB" w14:textId="77777777" w:rsidR="00577D08" w:rsidRDefault="00330FC0">
            <w:pPr>
              <w:rPr>
                <w:sz w:val="18"/>
                <w:szCs w:val="18"/>
              </w:rPr>
            </w:pPr>
            <w:r>
              <w:rPr>
                <w:sz w:val="18"/>
                <w:szCs w:val="18"/>
              </w:rPr>
              <w:t>上述股东关联关系或一致行动的说明</w:t>
            </w:r>
          </w:p>
        </w:tc>
        <w:tc>
          <w:tcPr>
            <w:tcW w:w="6146" w:type="dxa"/>
            <w:gridSpan w:val="7"/>
          </w:tcPr>
          <w:p w14:paraId="312542A6" w14:textId="77777777" w:rsidR="00577D08" w:rsidRDefault="00330FC0">
            <w:pPr>
              <w:rPr>
                <w:sz w:val="18"/>
                <w:szCs w:val="18"/>
              </w:rPr>
            </w:pPr>
            <w:r>
              <w:rPr>
                <w:rFonts w:hint="eastAsia"/>
                <w:sz w:val="18"/>
                <w:szCs w:val="18"/>
              </w:rPr>
              <w:t>上述股东中杨泽民、秦惠兰、杨耀与杨秦系一致行动人，杨泽民与秦惠兰系夫妻关系，其女杨秦与其子杨耀系姐弟关系，杨泽民与杨厚群系兄妹关系；除此之外，公司未知上述股东是否存在关联关系，也未知上述股东之间是否属于《上市公司收购管理办法》规定的一致行动人。</w:t>
            </w:r>
          </w:p>
        </w:tc>
      </w:tr>
      <w:tr w:rsidR="00577D08" w14:paraId="77109675" w14:textId="77777777" w:rsidTr="00E6534C">
        <w:trPr>
          <w:cantSplit/>
        </w:trPr>
        <w:tc>
          <w:tcPr>
            <w:tcW w:w="2687" w:type="dxa"/>
            <w:gridSpan w:val="2"/>
            <w:vAlign w:val="center"/>
          </w:tcPr>
          <w:p w14:paraId="650F0BB0" w14:textId="77777777" w:rsidR="00577D08" w:rsidRDefault="00330FC0">
            <w:pPr>
              <w:rPr>
                <w:sz w:val="18"/>
                <w:szCs w:val="18"/>
              </w:rPr>
            </w:pPr>
            <w:r>
              <w:rPr>
                <w:rFonts w:hint="eastAsia"/>
                <w:sz w:val="18"/>
                <w:szCs w:val="18"/>
              </w:rPr>
              <w:t>表决权恢复的优先股股东及持股数量的说明</w:t>
            </w:r>
          </w:p>
        </w:tc>
        <w:tc>
          <w:tcPr>
            <w:tcW w:w="6146" w:type="dxa"/>
            <w:gridSpan w:val="7"/>
            <w:vAlign w:val="center"/>
          </w:tcPr>
          <w:p w14:paraId="0D404E82" w14:textId="77777777" w:rsidR="00577D08" w:rsidRDefault="00330FC0" w:rsidP="00E6534C">
            <w:pPr>
              <w:jc w:val="center"/>
              <w:rPr>
                <w:sz w:val="18"/>
                <w:szCs w:val="18"/>
              </w:rPr>
            </w:pPr>
            <w:r>
              <w:rPr>
                <w:rFonts w:hint="eastAsia"/>
                <w:sz w:val="18"/>
                <w:szCs w:val="18"/>
              </w:rPr>
              <w:t>无</w:t>
            </w:r>
          </w:p>
        </w:tc>
      </w:tr>
    </w:tbl>
    <w:p w14:paraId="52690069" w14:textId="77777777" w:rsidR="00577D08" w:rsidRDefault="00330FC0">
      <w:bookmarkStart w:id="267" w:name="_Hlk155094173"/>
      <w:r>
        <w:t>持</w:t>
      </w:r>
      <w:r>
        <w:rPr>
          <w:rFonts w:hint="eastAsia"/>
        </w:rPr>
        <w:t>股</w:t>
      </w:r>
      <w:r>
        <w:t>5%</w:t>
      </w:r>
      <w:r>
        <w:t>以上股东、前十名股东及前十名无限售流通股股东参与转融通业务出借股份情</w:t>
      </w:r>
      <w:r>
        <w:rPr>
          <w:rFonts w:hint="eastAsia"/>
        </w:rPr>
        <w:t>况</w:t>
      </w:r>
    </w:p>
    <w:sdt>
      <w:sdtPr>
        <w:rPr>
          <w:bCs/>
        </w:rPr>
        <w:alias w:val="是否适用：前十名股东参与转融通业务出借股份情况[双击切换]"/>
        <w:tag w:val="_GBC_2d74b1abb153475cb0679c2ab4305c0d"/>
        <w:id w:val="-67045882"/>
        <w:placeholder>
          <w:docPart w:val="GBC22222222222222222222222222222"/>
        </w:placeholder>
      </w:sdtPr>
      <w:sdtContent>
        <w:p w14:paraId="2141AA5E" w14:textId="77777777" w:rsidR="00577D08" w:rsidRDefault="00330FC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6F31930A" w14:textId="77777777" w:rsidR="00577D08" w:rsidRDefault="00330FC0">
      <w:bookmarkStart w:id="268" w:name="_Hlk155094189"/>
      <w:bookmarkEnd w:id="267"/>
      <w:r>
        <w:t>前十名股东及前</w:t>
      </w:r>
      <w:r>
        <w:rPr>
          <w:rFonts w:hint="eastAsia"/>
        </w:rPr>
        <w:t>十</w:t>
      </w:r>
      <w:r>
        <w:t>名无限售流通股股东因转融通出借</w:t>
      </w:r>
      <w:r>
        <w:t>/</w:t>
      </w:r>
      <w:r>
        <w:t>归还原因导致较上期发生变化</w:t>
      </w:r>
    </w:p>
    <w:sdt>
      <w:sdtPr>
        <w:rPr>
          <w:rFonts w:hint="eastAsia"/>
        </w:rPr>
        <w:alias w:val="是否适用：前十名股东较上期发生变化[双击切换]"/>
        <w:tag w:val="_GBC_610830f75bf04d59a67019ded47646e5"/>
        <w:id w:val="534084172"/>
        <w:placeholder>
          <w:docPart w:val="GBC22222222222222222222222222222"/>
        </w:placeholder>
      </w:sdtPr>
      <w:sdtContent>
        <w:p w14:paraId="5BE2DDF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68"/>
    <w:p w14:paraId="296B40C0" w14:textId="77777777" w:rsidR="00577D08" w:rsidRDefault="00330FC0">
      <w:r>
        <w:t>前十名有限售条件股东持股数量及限售条件</w:t>
      </w:r>
    </w:p>
    <w:sdt>
      <w:sdtPr>
        <w:rPr>
          <w:bCs/>
        </w:rPr>
        <w:alias w:val="是否适用：前十名有限售条件股东持股数量及限售条件[双击切换]"/>
        <w:tag w:val="_GBC_99ceff37849a42f4b21400880589fbc1"/>
        <w:id w:val="1761715414"/>
        <w:placeholder>
          <w:docPart w:val="GBC22222222222222222222222222222"/>
        </w:placeholder>
      </w:sdtPr>
      <w:sdtContent>
        <w:p w14:paraId="129FD9AC" w14:textId="77777777" w:rsidR="00577D08" w:rsidRDefault="00330FC0">
          <w:pPr>
            <w:rPr>
              <w:bCs/>
            </w:rPr>
          </w:pPr>
          <w:r>
            <w:rPr>
              <w:rFonts w:ascii="宋体" w:hAnsi="宋体"/>
              <w:bCs/>
            </w:rPr>
            <w:fldChar w:fldCharType="begin"/>
          </w:r>
          <w:r>
            <w:rPr>
              <w:rFonts w:ascii="宋体" w:hAnsi="宋体" w:hint="eastAsia"/>
              <w:bCs/>
            </w:rPr>
            <w:instrText xml:space="preserve">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196E5FBF" w14:textId="77777777" w:rsidR="00577D08" w:rsidRDefault="00330FC0">
      <w:pPr>
        <w:jc w:val="right"/>
      </w:pPr>
      <w:r>
        <w:t>单位：</w:t>
      </w:r>
      <w:sdt>
        <w:sdtPr>
          <w:alias w:val="单位：前十名有限售条件股东持股数量及限售条件"/>
          <w:tag w:val="_GBC_ccabf48d11fc4d67b71762bd50ae5faf"/>
          <w:id w:val="-60940246"/>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442"/>
        <w:gridCol w:w="1417"/>
        <w:gridCol w:w="1418"/>
        <w:gridCol w:w="1417"/>
        <w:gridCol w:w="2703"/>
      </w:tblGrid>
      <w:tr w:rsidR="00577D08" w14:paraId="07B6D7F3" w14:textId="77777777">
        <w:trPr>
          <w:cantSplit/>
        </w:trPr>
        <w:sdt>
          <w:sdtPr>
            <w:rPr>
              <w:rFonts w:ascii="宋体" w:hAnsi="宋体"/>
              <w:sz w:val="18"/>
              <w:szCs w:val="18"/>
            </w:rPr>
            <w:tag w:val="_PLD_d6b46c3e64c74877a86ed16591d841cb"/>
            <w:id w:val="947896543"/>
          </w:sdtPr>
          <w:sdtContent>
            <w:tc>
              <w:tcPr>
                <w:tcW w:w="651" w:type="dxa"/>
                <w:vMerge w:val="restart"/>
                <w:vAlign w:val="center"/>
              </w:tcPr>
              <w:p w14:paraId="3A5BE812" w14:textId="77777777" w:rsidR="00577D08" w:rsidRDefault="00330FC0">
                <w:pPr>
                  <w:jc w:val="center"/>
                  <w:rPr>
                    <w:rFonts w:ascii="宋体" w:hAnsi="宋体" w:hint="eastAsia"/>
                    <w:sz w:val="18"/>
                    <w:szCs w:val="18"/>
                  </w:rPr>
                </w:pPr>
                <w:r>
                  <w:rPr>
                    <w:rFonts w:ascii="宋体" w:hAnsi="宋体"/>
                    <w:sz w:val="18"/>
                    <w:szCs w:val="18"/>
                  </w:rPr>
                  <w:t>序号</w:t>
                </w:r>
              </w:p>
            </w:tc>
          </w:sdtContent>
        </w:sdt>
        <w:sdt>
          <w:sdtPr>
            <w:rPr>
              <w:rFonts w:ascii="宋体" w:hAnsi="宋体"/>
              <w:sz w:val="18"/>
              <w:szCs w:val="18"/>
            </w:rPr>
            <w:tag w:val="_PLD_158549a651c94037ae0e8f138b766d22"/>
            <w:id w:val="-1547670775"/>
          </w:sdtPr>
          <w:sdtContent>
            <w:tc>
              <w:tcPr>
                <w:tcW w:w="1442" w:type="dxa"/>
                <w:vMerge w:val="restart"/>
                <w:vAlign w:val="center"/>
              </w:tcPr>
              <w:p w14:paraId="72E2D187" w14:textId="77777777" w:rsidR="00577D08" w:rsidRDefault="00330FC0">
                <w:pPr>
                  <w:jc w:val="center"/>
                  <w:rPr>
                    <w:rFonts w:ascii="宋体" w:hAnsi="宋体" w:hint="eastAsia"/>
                    <w:sz w:val="18"/>
                    <w:szCs w:val="18"/>
                  </w:rPr>
                </w:pPr>
                <w:r>
                  <w:rPr>
                    <w:rFonts w:ascii="宋体" w:hAnsi="宋体"/>
                    <w:sz w:val="18"/>
                    <w:szCs w:val="18"/>
                  </w:rPr>
                  <w:t>有限售条件股东名称</w:t>
                </w:r>
              </w:p>
            </w:tc>
          </w:sdtContent>
        </w:sdt>
        <w:sdt>
          <w:sdtPr>
            <w:rPr>
              <w:rFonts w:ascii="宋体" w:hAnsi="宋体"/>
              <w:sz w:val="18"/>
              <w:szCs w:val="18"/>
            </w:rPr>
            <w:tag w:val="_PLD_367a1586e9074c6791b647b1d91d08f0"/>
            <w:id w:val="-1835833255"/>
          </w:sdtPr>
          <w:sdtContent>
            <w:tc>
              <w:tcPr>
                <w:tcW w:w="1417" w:type="dxa"/>
                <w:vMerge w:val="restart"/>
                <w:vAlign w:val="center"/>
              </w:tcPr>
              <w:p w14:paraId="028D23D4" w14:textId="77777777" w:rsidR="00577D08" w:rsidRDefault="00330FC0">
                <w:pPr>
                  <w:jc w:val="center"/>
                  <w:rPr>
                    <w:rFonts w:ascii="宋体" w:hAnsi="宋体" w:hint="eastAsia"/>
                    <w:sz w:val="18"/>
                    <w:szCs w:val="18"/>
                  </w:rPr>
                </w:pPr>
                <w:r>
                  <w:rPr>
                    <w:rFonts w:ascii="宋体" w:hAnsi="宋体"/>
                    <w:sz w:val="18"/>
                    <w:szCs w:val="18"/>
                  </w:rPr>
                  <w:t>持有的有限售条件股份数量</w:t>
                </w:r>
              </w:p>
            </w:tc>
          </w:sdtContent>
        </w:sdt>
        <w:sdt>
          <w:sdtPr>
            <w:rPr>
              <w:rFonts w:ascii="宋体" w:hAnsi="宋体"/>
              <w:sz w:val="18"/>
              <w:szCs w:val="18"/>
            </w:rPr>
            <w:tag w:val="_PLD_5fb0b4bcfdf54b5e822c8e6186b6a7d2"/>
            <w:id w:val="1882130074"/>
          </w:sdtPr>
          <w:sdtContent>
            <w:tc>
              <w:tcPr>
                <w:tcW w:w="2835" w:type="dxa"/>
                <w:gridSpan w:val="2"/>
                <w:vAlign w:val="center"/>
              </w:tcPr>
              <w:p w14:paraId="7BA4322F" w14:textId="77777777" w:rsidR="00577D08" w:rsidRDefault="00330FC0">
                <w:pPr>
                  <w:jc w:val="center"/>
                  <w:rPr>
                    <w:rFonts w:ascii="宋体" w:hAnsi="宋体" w:hint="eastAsia"/>
                    <w:sz w:val="18"/>
                    <w:szCs w:val="18"/>
                  </w:rPr>
                </w:pPr>
                <w:r>
                  <w:rPr>
                    <w:rFonts w:ascii="宋体" w:hAnsi="宋体"/>
                    <w:sz w:val="18"/>
                    <w:szCs w:val="18"/>
                  </w:rPr>
                  <w:t>有限售条件股份可上市交易情况</w:t>
                </w:r>
              </w:p>
            </w:tc>
          </w:sdtContent>
        </w:sdt>
        <w:sdt>
          <w:sdtPr>
            <w:rPr>
              <w:rFonts w:ascii="宋体" w:hAnsi="宋体"/>
              <w:sz w:val="18"/>
              <w:szCs w:val="18"/>
            </w:rPr>
            <w:tag w:val="_PLD_54c0ff189b7843d9a5ae49ddbb583e3d"/>
            <w:id w:val="-1771851409"/>
          </w:sdtPr>
          <w:sdtContent>
            <w:tc>
              <w:tcPr>
                <w:tcW w:w="2703" w:type="dxa"/>
                <w:vMerge w:val="restart"/>
                <w:vAlign w:val="center"/>
              </w:tcPr>
              <w:p w14:paraId="652641CA" w14:textId="77777777" w:rsidR="00577D08" w:rsidRDefault="00330FC0">
                <w:pPr>
                  <w:jc w:val="center"/>
                  <w:rPr>
                    <w:rFonts w:ascii="宋体" w:hAnsi="宋体" w:hint="eastAsia"/>
                    <w:sz w:val="18"/>
                    <w:szCs w:val="18"/>
                  </w:rPr>
                </w:pPr>
                <w:r>
                  <w:rPr>
                    <w:rFonts w:ascii="宋体" w:hAnsi="宋体"/>
                    <w:sz w:val="18"/>
                    <w:szCs w:val="18"/>
                  </w:rPr>
                  <w:t>限售条件</w:t>
                </w:r>
              </w:p>
            </w:tc>
          </w:sdtContent>
        </w:sdt>
      </w:tr>
      <w:tr w:rsidR="00577D08" w14:paraId="1A2B39A3" w14:textId="77777777">
        <w:trPr>
          <w:cantSplit/>
        </w:trPr>
        <w:tc>
          <w:tcPr>
            <w:tcW w:w="651" w:type="dxa"/>
            <w:vMerge/>
            <w:vAlign w:val="center"/>
          </w:tcPr>
          <w:p w14:paraId="0C873888" w14:textId="77777777" w:rsidR="00577D08" w:rsidRDefault="00577D08">
            <w:pPr>
              <w:jc w:val="center"/>
              <w:rPr>
                <w:rFonts w:ascii="宋体" w:hAnsi="宋体" w:hint="eastAsia"/>
                <w:sz w:val="18"/>
                <w:szCs w:val="18"/>
              </w:rPr>
            </w:pPr>
          </w:p>
        </w:tc>
        <w:tc>
          <w:tcPr>
            <w:tcW w:w="1442" w:type="dxa"/>
            <w:vMerge/>
            <w:vAlign w:val="center"/>
          </w:tcPr>
          <w:p w14:paraId="3A90762C" w14:textId="77777777" w:rsidR="00577D08" w:rsidRDefault="00577D08">
            <w:pPr>
              <w:jc w:val="center"/>
              <w:rPr>
                <w:rFonts w:ascii="宋体" w:hAnsi="宋体" w:hint="eastAsia"/>
                <w:sz w:val="18"/>
                <w:szCs w:val="18"/>
              </w:rPr>
            </w:pPr>
          </w:p>
        </w:tc>
        <w:tc>
          <w:tcPr>
            <w:tcW w:w="1417" w:type="dxa"/>
            <w:vMerge/>
            <w:vAlign w:val="center"/>
          </w:tcPr>
          <w:p w14:paraId="53125BBC" w14:textId="77777777" w:rsidR="00577D08" w:rsidRDefault="00577D08">
            <w:pPr>
              <w:jc w:val="center"/>
              <w:rPr>
                <w:rFonts w:ascii="宋体" w:hAnsi="宋体" w:hint="eastAsia"/>
                <w:sz w:val="18"/>
                <w:szCs w:val="18"/>
              </w:rPr>
            </w:pPr>
          </w:p>
        </w:tc>
        <w:sdt>
          <w:sdtPr>
            <w:rPr>
              <w:rFonts w:ascii="宋体" w:hAnsi="宋体"/>
              <w:sz w:val="18"/>
              <w:szCs w:val="18"/>
            </w:rPr>
            <w:tag w:val="_PLD_8b19569e4d664678885f9348aa052bc0"/>
            <w:id w:val="1367327217"/>
          </w:sdtPr>
          <w:sdtContent>
            <w:tc>
              <w:tcPr>
                <w:tcW w:w="1418" w:type="dxa"/>
                <w:vAlign w:val="center"/>
              </w:tcPr>
              <w:p w14:paraId="02562EC4" w14:textId="77777777" w:rsidR="00577D08" w:rsidRDefault="00330FC0">
                <w:pPr>
                  <w:jc w:val="center"/>
                  <w:rPr>
                    <w:rFonts w:ascii="宋体" w:hAnsi="宋体" w:hint="eastAsia"/>
                    <w:sz w:val="18"/>
                    <w:szCs w:val="18"/>
                  </w:rPr>
                </w:pPr>
                <w:r>
                  <w:rPr>
                    <w:rFonts w:ascii="宋体" w:hAnsi="宋体"/>
                    <w:sz w:val="18"/>
                    <w:szCs w:val="18"/>
                  </w:rPr>
                  <w:t>可上市交易时间</w:t>
                </w:r>
              </w:p>
            </w:tc>
          </w:sdtContent>
        </w:sdt>
        <w:sdt>
          <w:sdtPr>
            <w:rPr>
              <w:rFonts w:ascii="宋体" w:hAnsi="宋体"/>
              <w:sz w:val="18"/>
              <w:szCs w:val="18"/>
            </w:rPr>
            <w:tag w:val="_PLD_1b5fddbd7f52465db9e65269733ef622"/>
            <w:id w:val="-1906139558"/>
          </w:sdtPr>
          <w:sdtContent>
            <w:tc>
              <w:tcPr>
                <w:tcW w:w="1417" w:type="dxa"/>
                <w:vAlign w:val="center"/>
              </w:tcPr>
              <w:p w14:paraId="3F4CC528" w14:textId="77777777" w:rsidR="00577D08" w:rsidRDefault="00330FC0">
                <w:pPr>
                  <w:jc w:val="center"/>
                  <w:rPr>
                    <w:rFonts w:ascii="宋体" w:hAnsi="宋体" w:hint="eastAsia"/>
                    <w:sz w:val="18"/>
                    <w:szCs w:val="18"/>
                  </w:rPr>
                </w:pPr>
                <w:r>
                  <w:rPr>
                    <w:rFonts w:ascii="宋体" w:hAnsi="宋体"/>
                    <w:sz w:val="18"/>
                    <w:szCs w:val="18"/>
                  </w:rPr>
                  <w:t>新增可上市交易股份数量</w:t>
                </w:r>
              </w:p>
            </w:tc>
          </w:sdtContent>
        </w:sdt>
        <w:tc>
          <w:tcPr>
            <w:tcW w:w="2703" w:type="dxa"/>
            <w:vMerge/>
            <w:vAlign w:val="center"/>
          </w:tcPr>
          <w:p w14:paraId="7F3472F6" w14:textId="77777777" w:rsidR="00577D08" w:rsidRDefault="00577D08">
            <w:pPr>
              <w:jc w:val="center"/>
              <w:rPr>
                <w:rFonts w:ascii="宋体" w:hAnsi="宋体" w:hint="eastAsia"/>
                <w:sz w:val="18"/>
                <w:szCs w:val="18"/>
              </w:rPr>
            </w:pPr>
          </w:p>
        </w:tc>
      </w:tr>
      <w:tr w:rsidR="00577D08" w14:paraId="7A90870A" w14:textId="77777777">
        <w:trPr>
          <w:cantSplit/>
          <w:trHeight w:val="345"/>
        </w:trPr>
        <w:tc>
          <w:tcPr>
            <w:tcW w:w="651" w:type="dxa"/>
            <w:vAlign w:val="center"/>
          </w:tcPr>
          <w:p w14:paraId="074ED5D8" w14:textId="77777777" w:rsidR="00577D08" w:rsidRDefault="00330FC0">
            <w:pPr>
              <w:pStyle w:val="ab"/>
              <w:jc w:val="center"/>
              <w:rPr>
                <w:rFonts w:ascii="宋体" w:hAnsi="宋体" w:hint="eastAsia"/>
                <w:sz w:val="18"/>
                <w:szCs w:val="18"/>
              </w:rPr>
            </w:pPr>
            <w:r>
              <w:rPr>
                <w:rFonts w:ascii="宋体" w:hAnsi="宋体"/>
                <w:sz w:val="18"/>
                <w:szCs w:val="18"/>
              </w:rPr>
              <w:t>1</w:t>
            </w:r>
          </w:p>
        </w:tc>
        <w:tc>
          <w:tcPr>
            <w:tcW w:w="1442" w:type="dxa"/>
            <w:vAlign w:val="center"/>
          </w:tcPr>
          <w:p w14:paraId="766E78B6" w14:textId="77777777" w:rsidR="00577D08" w:rsidRDefault="00330FC0">
            <w:pPr>
              <w:jc w:val="center"/>
              <w:rPr>
                <w:rFonts w:ascii="宋体" w:hAnsi="宋体" w:hint="eastAsia"/>
                <w:sz w:val="18"/>
                <w:szCs w:val="18"/>
              </w:rPr>
            </w:pPr>
            <w:r>
              <w:rPr>
                <w:rFonts w:ascii="宋体" w:hAnsi="宋体" w:hint="eastAsia"/>
                <w:sz w:val="18"/>
                <w:szCs w:val="18"/>
              </w:rPr>
              <w:t>杨林</w:t>
            </w:r>
          </w:p>
        </w:tc>
        <w:tc>
          <w:tcPr>
            <w:tcW w:w="1417" w:type="dxa"/>
            <w:vAlign w:val="center"/>
          </w:tcPr>
          <w:p w14:paraId="0719D5A2" w14:textId="77777777" w:rsidR="00577D08" w:rsidRDefault="00330FC0">
            <w:pPr>
              <w:jc w:val="right"/>
              <w:rPr>
                <w:rFonts w:ascii="宋体" w:hAnsi="宋体" w:hint="eastAsia"/>
                <w:sz w:val="18"/>
                <w:szCs w:val="18"/>
              </w:rPr>
            </w:pPr>
            <w:r>
              <w:rPr>
                <w:rFonts w:ascii="宋体" w:hAnsi="宋体"/>
                <w:sz w:val="18"/>
                <w:szCs w:val="18"/>
              </w:rPr>
              <w:t xml:space="preserve"> 154,000 </w:t>
            </w:r>
          </w:p>
        </w:tc>
        <w:tc>
          <w:tcPr>
            <w:tcW w:w="1418" w:type="dxa"/>
            <w:vAlign w:val="center"/>
          </w:tcPr>
          <w:p w14:paraId="0525508B"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038F89D0"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34A6B593"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700AAE62" w14:textId="77777777">
        <w:trPr>
          <w:cantSplit/>
          <w:trHeight w:val="345"/>
        </w:trPr>
        <w:tc>
          <w:tcPr>
            <w:tcW w:w="651" w:type="dxa"/>
            <w:vAlign w:val="center"/>
          </w:tcPr>
          <w:p w14:paraId="15998525" w14:textId="77777777" w:rsidR="00577D08" w:rsidRDefault="00330FC0">
            <w:pPr>
              <w:pStyle w:val="ab"/>
              <w:jc w:val="center"/>
              <w:rPr>
                <w:rFonts w:ascii="宋体" w:hAnsi="宋体" w:hint="eastAsia"/>
                <w:sz w:val="18"/>
                <w:szCs w:val="18"/>
              </w:rPr>
            </w:pPr>
            <w:r>
              <w:rPr>
                <w:rFonts w:ascii="宋体" w:hAnsi="宋体"/>
                <w:sz w:val="18"/>
                <w:szCs w:val="18"/>
              </w:rPr>
              <w:t>2</w:t>
            </w:r>
          </w:p>
        </w:tc>
        <w:tc>
          <w:tcPr>
            <w:tcW w:w="1442" w:type="dxa"/>
            <w:vAlign w:val="center"/>
          </w:tcPr>
          <w:p w14:paraId="3D958F51" w14:textId="77777777" w:rsidR="00577D08" w:rsidRDefault="00330FC0">
            <w:pPr>
              <w:jc w:val="center"/>
              <w:rPr>
                <w:rFonts w:ascii="宋体" w:hAnsi="宋体" w:hint="eastAsia"/>
                <w:sz w:val="18"/>
                <w:szCs w:val="18"/>
              </w:rPr>
            </w:pPr>
            <w:r>
              <w:rPr>
                <w:rFonts w:ascii="宋体" w:hAnsi="宋体" w:hint="eastAsia"/>
                <w:sz w:val="18"/>
                <w:szCs w:val="18"/>
              </w:rPr>
              <w:t>刘柏林</w:t>
            </w:r>
          </w:p>
        </w:tc>
        <w:tc>
          <w:tcPr>
            <w:tcW w:w="1417" w:type="dxa"/>
            <w:vAlign w:val="center"/>
          </w:tcPr>
          <w:p w14:paraId="2DA7FD14" w14:textId="77777777" w:rsidR="00577D08" w:rsidRDefault="00330FC0">
            <w:pPr>
              <w:jc w:val="right"/>
              <w:rPr>
                <w:rFonts w:ascii="宋体" w:hAnsi="宋体" w:hint="eastAsia"/>
                <w:sz w:val="18"/>
                <w:szCs w:val="18"/>
              </w:rPr>
            </w:pPr>
            <w:r>
              <w:rPr>
                <w:rFonts w:ascii="宋体" w:hAnsi="宋体"/>
                <w:sz w:val="18"/>
                <w:szCs w:val="18"/>
              </w:rPr>
              <w:t xml:space="preserve"> 133,000 </w:t>
            </w:r>
          </w:p>
        </w:tc>
        <w:tc>
          <w:tcPr>
            <w:tcW w:w="1418" w:type="dxa"/>
            <w:vAlign w:val="center"/>
          </w:tcPr>
          <w:p w14:paraId="20A4BC43"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6AD72191"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5A2F9F9A"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1BB59D2C" w14:textId="77777777">
        <w:trPr>
          <w:cantSplit/>
          <w:trHeight w:val="345"/>
        </w:trPr>
        <w:tc>
          <w:tcPr>
            <w:tcW w:w="651" w:type="dxa"/>
            <w:vAlign w:val="center"/>
          </w:tcPr>
          <w:p w14:paraId="64D0E4D4" w14:textId="77777777" w:rsidR="00577D08" w:rsidRDefault="00330FC0">
            <w:pPr>
              <w:pStyle w:val="ab"/>
              <w:jc w:val="center"/>
              <w:rPr>
                <w:rFonts w:ascii="宋体" w:hAnsi="宋体" w:hint="eastAsia"/>
                <w:sz w:val="18"/>
                <w:szCs w:val="18"/>
              </w:rPr>
            </w:pPr>
            <w:r>
              <w:rPr>
                <w:rFonts w:ascii="宋体" w:hAnsi="宋体"/>
                <w:sz w:val="18"/>
                <w:szCs w:val="18"/>
              </w:rPr>
              <w:t>3</w:t>
            </w:r>
          </w:p>
        </w:tc>
        <w:tc>
          <w:tcPr>
            <w:tcW w:w="1442" w:type="dxa"/>
            <w:vAlign w:val="center"/>
          </w:tcPr>
          <w:p w14:paraId="3CE78357" w14:textId="77777777" w:rsidR="00577D08" w:rsidRDefault="00330FC0">
            <w:pPr>
              <w:jc w:val="center"/>
              <w:rPr>
                <w:rFonts w:ascii="宋体" w:hAnsi="宋体" w:hint="eastAsia"/>
                <w:sz w:val="18"/>
                <w:szCs w:val="18"/>
              </w:rPr>
            </w:pPr>
            <w:r>
              <w:rPr>
                <w:rFonts w:ascii="宋体" w:hAnsi="宋体" w:hint="eastAsia"/>
                <w:sz w:val="18"/>
                <w:szCs w:val="18"/>
              </w:rPr>
              <w:t>邹红</w:t>
            </w:r>
          </w:p>
        </w:tc>
        <w:tc>
          <w:tcPr>
            <w:tcW w:w="1417" w:type="dxa"/>
            <w:vAlign w:val="center"/>
          </w:tcPr>
          <w:p w14:paraId="18A670C8" w14:textId="77777777" w:rsidR="00577D08" w:rsidRDefault="00330FC0">
            <w:pPr>
              <w:jc w:val="right"/>
              <w:rPr>
                <w:rFonts w:ascii="宋体" w:hAnsi="宋体" w:hint="eastAsia"/>
                <w:sz w:val="18"/>
                <w:szCs w:val="18"/>
              </w:rPr>
            </w:pPr>
            <w:r>
              <w:rPr>
                <w:rFonts w:ascii="宋体" w:hAnsi="宋体"/>
                <w:sz w:val="18"/>
                <w:szCs w:val="18"/>
              </w:rPr>
              <w:t xml:space="preserve"> 98,000 </w:t>
            </w:r>
          </w:p>
        </w:tc>
        <w:tc>
          <w:tcPr>
            <w:tcW w:w="1418" w:type="dxa"/>
            <w:vAlign w:val="center"/>
          </w:tcPr>
          <w:p w14:paraId="444169C5"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1C837E7D"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7B9845AB"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3CC12236" w14:textId="77777777">
        <w:trPr>
          <w:cantSplit/>
          <w:trHeight w:val="345"/>
        </w:trPr>
        <w:tc>
          <w:tcPr>
            <w:tcW w:w="651" w:type="dxa"/>
            <w:vAlign w:val="center"/>
          </w:tcPr>
          <w:p w14:paraId="215B51C4" w14:textId="77777777" w:rsidR="00577D08" w:rsidRDefault="00330FC0">
            <w:pPr>
              <w:pStyle w:val="ab"/>
              <w:jc w:val="center"/>
              <w:rPr>
                <w:rFonts w:ascii="宋体" w:hAnsi="宋体" w:hint="eastAsia"/>
                <w:sz w:val="18"/>
                <w:szCs w:val="18"/>
              </w:rPr>
            </w:pPr>
            <w:r>
              <w:rPr>
                <w:rFonts w:ascii="宋体" w:hAnsi="宋体"/>
                <w:sz w:val="18"/>
                <w:szCs w:val="18"/>
              </w:rPr>
              <w:t>4</w:t>
            </w:r>
          </w:p>
        </w:tc>
        <w:tc>
          <w:tcPr>
            <w:tcW w:w="1442" w:type="dxa"/>
            <w:vAlign w:val="center"/>
          </w:tcPr>
          <w:p w14:paraId="475C8932" w14:textId="77777777" w:rsidR="00577D08" w:rsidRDefault="00330FC0">
            <w:pPr>
              <w:jc w:val="center"/>
              <w:rPr>
                <w:rFonts w:ascii="宋体" w:hAnsi="宋体" w:hint="eastAsia"/>
                <w:sz w:val="18"/>
                <w:szCs w:val="18"/>
              </w:rPr>
            </w:pPr>
            <w:r>
              <w:rPr>
                <w:rFonts w:ascii="宋体" w:hAnsi="宋体" w:hint="eastAsia"/>
                <w:sz w:val="18"/>
                <w:szCs w:val="18"/>
              </w:rPr>
              <w:t>胡守天</w:t>
            </w:r>
          </w:p>
        </w:tc>
        <w:tc>
          <w:tcPr>
            <w:tcW w:w="1417" w:type="dxa"/>
            <w:vAlign w:val="center"/>
          </w:tcPr>
          <w:p w14:paraId="44081775" w14:textId="77777777" w:rsidR="00577D08" w:rsidRDefault="00330FC0">
            <w:pPr>
              <w:jc w:val="right"/>
              <w:rPr>
                <w:rFonts w:ascii="宋体" w:hAnsi="宋体" w:hint="eastAsia"/>
                <w:sz w:val="18"/>
                <w:szCs w:val="18"/>
              </w:rPr>
            </w:pPr>
            <w:r>
              <w:rPr>
                <w:rFonts w:ascii="宋体" w:hAnsi="宋体"/>
                <w:sz w:val="18"/>
                <w:szCs w:val="18"/>
              </w:rPr>
              <w:t xml:space="preserve"> 63,000 </w:t>
            </w:r>
          </w:p>
        </w:tc>
        <w:tc>
          <w:tcPr>
            <w:tcW w:w="1418" w:type="dxa"/>
            <w:vAlign w:val="center"/>
          </w:tcPr>
          <w:p w14:paraId="0578CA9C"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060173C1"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00C2659E"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6AC202B3" w14:textId="77777777">
        <w:trPr>
          <w:cantSplit/>
          <w:trHeight w:val="345"/>
        </w:trPr>
        <w:tc>
          <w:tcPr>
            <w:tcW w:w="651" w:type="dxa"/>
            <w:vAlign w:val="center"/>
          </w:tcPr>
          <w:p w14:paraId="584A33DB" w14:textId="77777777" w:rsidR="00577D08" w:rsidRDefault="00330FC0">
            <w:pPr>
              <w:pStyle w:val="ab"/>
              <w:jc w:val="center"/>
              <w:rPr>
                <w:rFonts w:ascii="宋体" w:hAnsi="宋体" w:hint="eastAsia"/>
                <w:sz w:val="18"/>
                <w:szCs w:val="18"/>
              </w:rPr>
            </w:pPr>
            <w:r>
              <w:rPr>
                <w:rFonts w:ascii="宋体" w:hAnsi="宋体"/>
                <w:sz w:val="18"/>
                <w:szCs w:val="18"/>
              </w:rPr>
              <w:t>5</w:t>
            </w:r>
          </w:p>
        </w:tc>
        <w:tc>
          <w:tcPr>
            <w:tcW w:w="1442" w:type="dxa"/>
            <w:vAlign w:val="center"/>
          </w:tcPr>
          <w:p w14:paraId="31B42D61" w14:textId="77777777" w:rsidR="00577D08" w:rsidRDefault="00330FC0">
            <w:pPr>
              <w:jc w:val="center"/>
              <w:rPr>
                <w:rFonts w:ascii="宋体" w:hAnsi="宋体" w:hint="eastAsia"/>
                <w:sz w:val="18"/>
                <w:szCs w:val="18"/>
              </w:rPr>
            </w:pPr>
            <w:r>
              <w:rPr>
                <w:rFonts w:ascii="宋体" w:hAnsi="宋体" w:hint="eastAsia"/>
                <w:sz w:val="18"/>
                <w:szCs w:val="18"/>
              </w:rPr>
              <w:t>王海波</w:t>
            </w:r>
          </w:p>
        </w:tc>
        <w:tc>
          <w:tcPr>
            <w:tcW w:w="1417" w:type="dxa"/>
            <w:vAlign w:val="center"/>
          </w:tcPr>
          <w:p w14:paraId="683DAD64" w14:textId="77777777" w:rsidR="00577D08" w:rsidRDefault="00330FC0">
            <w:pPr>
              <w:jc w:val="right"/>
              <w:rPr>
                <w:rFonts w:ascii="宋体" w:hAnsi="宋体" w:hint="eastAsia"/>
                <w:sz w:val="18"/>
                <w:szCs w:val="18"/>
              </w:rPr>
            </w:pPr>
            <w:r>
              <w:rPr>
                <w:rFonts w:ascii="宋体" w:hAnsi="宋体"/>
                <w:sz w:val="18"/>
                <w:szCs w:val="18"/>
              </w:rPr>
              <w:t xml:space="preserve"> 63,000 </w:t>
            </w:r>
          </w:p>
        </w:tc>
        <w:tc>
          <w:tcPr>
            <w:tcW w:w="1418" w:type="dxa"/>
            <w:vAlign w:val="center"/>
          </w:tcPr>
          <w:p w14:paraId="2131B64A"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0B2AEA03"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08602041"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6DDFFC0E" w14:textId="77777777">
        <w:trPr>
          <w:cantSplit/>
          <w:trHeight w:val="345"/>
        </w:trPr>
        <w:tc>
          <w:tcPr>
            <w:tcW w:w="651" w:type="dxa"/>
            <w:vAlign w:val="center"/>
          </w:tcPr>
          <w:p w14:paraId="2FEE89DC" w14:textId="77777777" w:rsidR="00577D08" w:rsidRDefault="00330FC0">
            <w:pPr>
              <w:pStyle w:val="ab"/>
              <w:jc w:val="center"/>
              <w:rPr>
                <w:rFonts w:ascii="宋体" w:hAnsi="宋体" w:hint="eastAsia"/>
                <w:sz w:val="18"/>
                <w:szCs w:val="18"/>
              </w:rPr>
            </w:pPr>
            <w:r>
              <w:rPr>
                <w:rFonts w:ascii="宋体" w:hAnsi="宋体"/>
                <w:sz w:val="18"/>
                <w:szCs w:val="18"/>
              </w:rPr>
              <w:t>6</w:t>
            </w:r>
          </w:p>
        </w:tc>
        <w:tc>
          <w:tcPr>
            <w:tcW w:w="1442" w:type="dxa"/>
            <w:vAlign w:val="center"/>
          </w:tcPr>
          <w:p w14:paraId="6D2B87EC" w14:textId="77777777" w:rsidR="00577D08" w:rsidRDefault="00330FC0">
            <w:pPr>
              <w:jc w:val="center"/>
              <w:rPr>
                <w:rFonts w:ascii="宋体" w:hAnsi="宋体" w:hint="eastAsia"/>
                <w:sz w:val="18"/>
                <w:szCs w:val="18"/>
              </w:rPr>
            </w:pPr>
            <w:r>
              <w:rPr>
                <w:rFonts w:ascii="宋体" w:hAnsi="宋体" w:hint="eastAsia"/>
                <w:sz w:val="18"/>
                <w:szCs w:val="18"/>
              </w:rPr>
              <w:t>付康</w:t>
            </w:r>
          </w:p>
        </w:tc>
        <w:tc>
          <w:tcPr>
            <w:tcW w:w="1417" w:type="dxa"/>
            <w:vAlign w:val="center"/>
          </w:tcPr>
          <w:p w14:paraId="3A0A621E" w14:textId="77777777" w:rsidR="00577D08" w:rsidRDefault="00330FC0">
            <w:pPr>
              <w:jc w:val="right"/>
              <w:rPr>
                <w:rFonts w:ascii="宋体" w:hAnsi="宋体" w:hint="eastAsia"/>
                <w:sz w:val="18"/>
                <w:szCs w:val="18"/>
              </w:rPr>
            </w:pPr>
            <w:r>
              <w:rPr>
                <w:rFonts w:ascii="宋体" w:hAnsi="宋体"/>
                <w:sz w:val="18"/>
                <w:szCs w:val="18"/>
              </w:rPr>
              <w:t xml:space="preserve"> 63,000 </w:t>
            </w:r>
          </w:p>
        </w:tc>
        <w:tc>
          <w:tcPr>
            <w:tcW w:w="1418" w:type="dxa"/>
            <w:vAlign w:val="center"/>
          </w:tcPr>
          <w:p w14:paraId="3B62FCA1"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5F827D42"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2C0C45D6"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5EBA6912" w14:textId="77777777">
        <w:trPr>
          <w:cantSplit/>
          <w:trHeight w:val="345"/>
        </w:trPr>
        <w:tc>
          <w:tcPr>
            <w:tcW w:w="651" w:type="dxa"/>
            <w:vAlign w:val="center"/>
          </w:tcPr>
          <w:p w14:paraId="44D592B5" w14:textId="77777777" w:rsidR="00577D08" w:rsidRDefault="00330FC0">
            <w:pPr>
              <w:pStyle w:val="ab"/>
              <w:jc w:val="center"/>
              <w:rPr>
                <w:rFonts w:ascii="宋体" w:hAnsi="宋体" w:hint="eastAsia"/>
                <w:sz w:val="18"/>
                <w:szCs w:val="18"/>
              </w:rPr>
            </w:pPr>
            <w:r>
              <w:rPr>
                <w:rFonts w:ascii="宋体" w:hAnsi="宋体"/>
                <w:sz w:val="18"/>
                <w:szCs w:val="18"/>
              </w:rPr>
              <w:t>7</w:t>
            </w:r>
          </w:p>
        </w:tc>
        <w:tc>
          <w:tcPr>
            <w:tcW w:w="1442" w:type="dxa"/>
            <w:vAlign w:val="center"/>
          </w:tcPr>
          <w:p w14:paraId="5069F9B4" w14:textId="77777777" w:rsidR="00577D08" w:rsidRDefault="00330FC0">
            <w:pPr>
              <w:jc w:val="center"/>
              <w:rPr>
                <w:rFonts w:ascii="宋体" w:hAnsi="宋体" w:hint="eastAsia"/>
                <w:sz w:val="18"/>
                <w:szCs w:val="18"/>
              </w:rPr>
            </w:pPr>
            <w:r>
              <w:rPr>
                <w:rFonts w:ascii="宋体" w:hAnsi="宋体" w:hint="eastAsia"/>
                <w:sz w:val="18"/>
                <w:szCs w:val="18"/>
              </w:rPr>
              <w:t>李代萍</w:t>
            </w:r>
          </w:p>
        </w:tc>
        <w:tc>
          <w:tcPr>
            <w:tcW w:w="1417" w:type="dxa"/>
            <w:vAlign w:val="center"/>
          </w:tcPr>
          <w:p w14:paraId="0C9D40F7" w14:textId="77777777" w:rsidR="00577D08" w:rsidRDefault="00330FC0">
            <w:pPr>
              <w:jc w:val="right"/>
              <w:rPr>
                <w:rFonts w:ascii="宋体" w:hAnsi="宋体" w:hint="eastAsia"/>
                <w:sz w:val="18"/>
                <w:szCs w:val="18"/>
              </w:rPr>
            </w:pPr>
            <w:r>
              <w:rPr>
                <w:rFonts w:ascii="宋体" w:hAnsi="宋体"/>
                <w:sz w:val="18"/>
                <w:szCs w:val="18"/>
              </w:rPr>
              <w:t xml:space="preserve"> 63,000 </w:t>
            </w:r>
          </w:p>
        </w:tc>
        <w:tc>
          <w:tcPr>
            <w:tcW w:w="1418" w:type="dxa"/>
            <w:vAlign w:val="center"/>
          </w:tcPr>
          <w:p w14:paraId="07D1FDA7"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1DFCB2CE"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02645917"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07C32163" w14:textId="77777777">
        <w:trPr>
          <w:cantSplit/>
          <w:trHeight w:val="345"/>
        </w:trPr>
        <w:tc>
          <w:tcPr>
            <w:tcW w:w="651" w:type="dxa"/>
            <w:vAlign w:val="center"/>
          </w:tcPr>
          <w:p w14:paraId="305DCDB4" w14:textId="77777777" w:rsidR="00577D08" w:rsidRDefault="00330FC0">
            <w:pPr>
              <w:pStyle w:val="ab"/>
              <w:jc w:val="center"/>
              <w:rPr>
                <w:rFonts w:ascii="宋体" w:hAnsi="宋体" w:hint="eastAsia"/>
                <w:sz w:val="18"/>
                <w:szCs w:val="18"/>
              </w:rPr>
            </w:pPr>
            <w:r>
              <w:rPr>
                <w:rFonts w:ascii="宋体" w:hAnsi="宋体"/>
                <w:sz w:val="18"/>
                <w:szCs w:val="18"/>
              </w:rPr>
              <w:t>8</w:t>
            </w:r>
          </w:p>
        </w:tc>
        <w:tc>
          <w:tcPr>
            <w:tcW w:w="1442" w:type="dxa"/>
            <w:vAlign w:val="center"/>
          </w:tcPr>
          <w:p w14:paraId="19A94E08" w14:textId="77777777" w:rsidR="00577D08" w:rsidRDefault="00330FC0">
            <w:pPr>
              <w:jc w:val="center"/>
              <w:rPr>
                <w:rFonts w:ascii="宋体" w:hAnsi="宋体" w:hint="eastAsia"/>
                <w:sz w:val="18"/>
                <w:szCs w:val="18"/>
              </w:rPr>
            </w:pPr>
            <w:r>
              <w:rPr>
                <w:rFonts w:ascii="宋体" w:hAnsi="宋体" w:hint="eastAsia"/>
                <w:sz w:val="18"/>
                <w:szCs w:val="18"/>
              </w:rPr>
              <w:t>肖永号</w:t>
            </w:r>
          </w:p>
        </w:tc>
        <w:tc>
          <w:tcPr>
            <w:tcW w:w="1417" w:type="dxa"/>
            <w:vAlign w:val="center"/>
          </w:tcPr>
          <w:p w14:paraId="0F234201" w14:textId="77777777" w:rsidR="00577D08" w:rsidRDefault="00330FC0">
            <w:pPr>
              <w:jc w:val="right"/>
              <w:rPr>
                <w:rFonts w:ascii="宋体" w:hAnsi="宋体" w:hint="eastAsia"/>
                <w:sz w:val="18"/>
                <w:szCs w:val="18"/>
              </w:rPr>
            </w:pPr>
            <w:r>
              <w:rPr>
                <w:rFonts w:ascii="宋体" w:hAnsi="宋体"/>
                <w:sz w:val="18"/>
                <w:szCs w:val="18"/>
              </w:rPr>
              <w:t xml:space="preserve"> 63,000 </w:t>
            </w:r>
          </w:p>
        </w:tc>
        <w:tc>
          <w:tcPr>
            <w:tcW w:w="1418" w:type="dxa"/>
            <w:vAlign w:val="center"/>
          </w:tcPr>
          <w:p w14:paraId="56A7E393"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01D2559F"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7D2B78B8"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6B4C75E1" w14:textId="77777777">
        <w:trPr>
          <w:cantSplit/>
          <w:trHeight w:val="345"/>
        </w:trPr>
        <w:tc>
          <w:tcPr>
            <w:tcW w:w="651" w:type="dxa"/>
            <w:vAlign w:val="center"/>
          </w:tcPr>
          <w:p w14:paraId="63E484CA" w14:textId="77777777" w:rsidR="00577D08" w:rsidRDefault="00330FC0">
            <w:pPr>
              <w:pStyle w:val="ab"/>
              <w:jc w:val="center"/>
              <w:rPr>
                <w:rFonts w:ascii="宋体" w:hAnsi="宋体" w:hint="eastAsia"/>
                <w:sz w:val="18"/>
                <w:szCs w:val="18"/>
              </w:rPr>
            </w:pPr>
            <w:r>
              <w:rPr>
                <w:rFonts w:ascii="宋体" w:hAnsi="宋体"/>
                <w:sz w:val="18"/>
                <w:szCs w:val="18"/>
              </w:rPr>
              <w:t>9</w:t>
            </w:r>
          </w:p>
        </w:tc>
        <w:tc>
          <w:tcPr>
            <w:tcW w:w="1442" w:type="dxa"/>
            <w:vAlign w:val="center"/>
          </w:tcPr>
          <w:p w14:paraId="50C73191" w14:textId="77777777" w:rsidR="00577D08" w:rsidRDefault="00330FC0">
            <w:pPr>
              <w:jc w:val="center"/>
              <w:rPr>
                <w:rFonts w:ascii="宋体" w:hAnsi="宋体" w:hint="eastAsia"/>
                <w:sz w:val="18"/>
                <w:szCs w:val="18"/>
              </w:rPr>
            </w:pPr>
            <w:r>
              <w:rPr>
                <w:rFonts w:ascii="宋体" w:hAnsi="宋体" w:hint="eastAsia"/>
                <w:sz w:val="18"/>
                <w:szCs w:val="18"/>
              </w:rPr>
              <w:t>游晓红</w:t>
            </w:r>
          </w:p>
        </w:tc>
        <w:tc>
          <w:tcPr>
            <w:tcW w:w="1417" w:type="dxa"/>
            <w:vAlign w:val="center"/>
          </w:tcPr>
          <w:p w14:paraId="04C56F01" w14:textId="77777777" w:rsidR="00577D08" w:rsidRDefault="00330FC0">
            <w:pPr>
              <w:jc w:val="right"/>
              <w:rPr>
                <w:rFonts w:ascii="宋体" w:hAnsi="宋体" w:hint="eastAsia"/>
                <w:sz w:val="18"/>
                <w:szCs w:val="18"/>
              </w:rPr>
            </w:pPr>
            <w:r>
              <w:rPr>
                <w:rFonts w:ascii="宋体" w:hAnsi="宋体"/>
                <w:sz w:val="18"/>
                <w:szCs w:val="18"/>
              </w:rPr>
              <w:t xml:space="preserve"> 50,000 </w:t>
            </w:r>
          </w:p>
        </w:tc>
        <w:tc>
          <w:tcPr>
            <w:tcW w:w="1418" w:type="dxa"/>
            <w:vAlign w:val="center"/>
          </w:tcPr>
          <w:p w14:paraId="25403F59"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2CCB05D6"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03ABA7AE"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492601B8" w14:textId="77777777">
        <w:trPr>
          <w:cantSplit/>
          <w:trHeight w:val="345"/>
        </w:trPr>
        <w:tc>
          <w:tcPr>
            <w:tcW w:w="651" w:type="dxa"/>
            <w:vAlign w:val="center"/>
          </w:tcPr>
          <w:p w14:paraId="6F53375D" w14:textId="77777777" w:rsidR="00577D08" w:rsidRDefault="00330FC0">
            <w:pPr>
              <w:pStyle w:val="ab"/>
              <w:jc w:val="center"/>
              <w:rPr>
                <w:rFonts w:ascii="宋体" w:hAnsi="宋体" w:hint="eastAsia"/>
                <w:sz w:val="18"/>
                <w:szCs w:val="18"/>
              </w:rPr>
            </w:pPr>
            <w:r>
              <w:rPr>
                <w:rFonts w:ascii="宋体" w:hAnsi="宋体"/>
                <w:sz w:val="18"/>
                <w:szCs w:val="18"/>
              </w:rPr>
              <w:t>10</w:t>
            </w:r>
          </w:p>
        </w:tc>
        <w:tc>
          <w:tcPr>
            <w:tcW w:w="1442" w:type="dxa"/>
            <w:vAlign w:val="center"/>
          </w:tcPr>
          <w:p w14:paraId="667FEA16" w14:textId="77777777" w:rsidR="00577D08" w:rsidRDefault="00330FC0">
            <w:pPr>
              <w:jc w:val="center"/>
              <w:rPr>
                <w:rFonts w:ascii="宋体" w:hAnsi="宋体" w:hint="eastAsia"/>
                <w:sz w:val="18"/>
                <w:szCs w:val="18"/>
              </w:rPr>
            </w:pPr>
            <w:r>
              <w:rPr>
                <w:rFonts w:ascii="宋体" w:hAnsi="宋体" w:hint="eastAsia"/>
                <w:sz w:val="18"/>
                <w:szCs w:val="18"/>
              </w:rPr>
              <w:t>彭惠</w:t>
            </w:r>
          </w:p>
        </w:tc>
        <w:tc>
          <w:tcPr>
            <w:tcW w:w="1417" w:type="dxa"/>
            <w:vAlign w:val="center"/>
          </w:tcPr>
          <w:p w14:paraId="54443F35" w14:textId="77777777" w:rsidR="00577D08" w:rsidRDefault="00330FC0">
            <w:pPr>
              <w:jc w:val="right"/>
              <w:rPr>
                <w:rFonts w:ascii="宋体" w:hAnsi="宋体" w:hint="eastAsia"/>
                <w:sz w:val="18"/>
                <w:szCs w:val="18"/>
              </w:rPr>
            </w:pPr>
            <w:r>
              <w:rPr>
                <w:rFonts w:ascii="宋体" w:hAnsi="宋体"/>
                <w:sz w:val="18"/>
                <w:szCs w:val="18"/>
              </w:rPr>
              <w:t xml:space="preserve"> 50,000 </w:t>
            </w:r>
          </w:p>
        </w:tc>
        <w:tc>
          <w:tcPr>
            <w:tcW w:w="1418" w:type="dxa"/>
            <w:vAlign w:val="center"/>
          </w:tcPr>
          <w:p w14:paraId="5939BFB3" w14:textId="77777777" w:rsidR="00577D08" w:rsidRDefault="00330FC0">
            <w:pPr>
              <w:rPr>
                <w:rFonts w:ascii="宋体" w:hAnsi="宋体" w:hint="eastAsia"/>
                <w:sz w:val="18"/>
                <w:szCs w:val="18"/>
              </w:rPr>
            </w:pPr>
            <w:r>
              <w:rPr>
                <w:rFonts w:ascii="宋体" w:hAnsi="宋体" w:hint="eastAsia"/>
                <w:sz w:val="18"/>
                <w:szCs w:val="18"/>
              </w:rPr>
              <w:t>根据股权激励解除限售情况</w:t>
            </w:r>
          </w:p>
        </w:tc>
        <w:tc>
          <w:tcPr>
            <w:tcW w:w="1417" w:type="dxa"/>
            <w:vAlign w:val="center"/>
          </w:tcPr>
          <w:p w14:paraId="177C2200" w14:textId="77777777" w:rsidR="00577D08" w:rsidRDefault="00330FC0">
            <w:pPr>
              <w:jc w:val="right"/>
              <w:rPr>
                <w:rFonts w:ascii="宋体" w:hAnsi="宋体" w:hint="eastAsia"/>
                <w:sz w:val="18"/>
                <w:szCs w:val="18"/>
              </w:rPr>
            </w:pPr>
            <w:r>
              <w:rPr>
                <w:rFonts w:ascii="宋体" w:hAnsi="宋体" w:hint="eastAsia"/>
                <w:sz w:val="18"/>
                <w:szCs w:val="18"/>
              </w:rPr>
              <w:t>0</w:t>
            </w:r>
          </w:p>
        </w:tc>
        <w:tc>
          <w:tcPr>
            <w:tcW w:w="2703" w:type="dxa"/>
            <w:vAlign w:val="center"/>
          </w:tcPr>
          <w:p w14:paraId="10312A07" w14:textId="77777777" w:rsidR="00577D08" w:rsidRDefault="00330FC0">
            <w:pPr>
              <w:rPr>
                <w:rFonts w:ascii="宋体" w:hAnsi="宋体" w:hint="eastAsia"/>
                <w:sz w:val="18"/>
                <w:szCs w:val="18"/>
              </w:rPr>
            </w:pPr>
            <w:r>
              <w:rPr>
                <w:rFonts w:ascii="宋体" w:hAnsi="宋体" w:hint="eastAsia"/>
                <w:sz w:val="18"/>
                <w:szCs w:val="18"/>
              </w:rPr>
              <w:t>股权激励授予限制性股票</w:t>
            </w:r>
          </w:p>
        </w:tc>
      </w:tr>
      <w:tr w:rsidR="00577D08" w14:paraId="4E6CECE3" w14:textId="77777777">
        <w:trPr>
          <w:cantSplit/>
        </w:trPr>
        <w:tc>
          <w:tcPr>
            <w:tcW w:w="2093" w:type="dxa"/>
            <w:gridSpan w:val="2"/>
            <w:vAlign w:val="center"/>
          </w:tcPr>
          <w:p w14:paraId="521CCC01" w14:textId="77777777" w:rsidR="00577D08" w:rsidRDefault="00330FC0">
            <w:pPr>
              <w:ind w:rightChars="46" w:right="97"/>
              <w:rPr>
                <w:rFonts w:ascii="宋体" w:hAnsi="宋体" w:hint="eastAsia"/>
                <w:sz w:val="18"/>
                <w:szCs w:val="18"/>
              </w:rPr>
            </w:pPr>
            <w:r>
              <w:rPr>
                <w:rFonts w:ascii="宋体" w:hAnsi="宋体" w:hint="eastAsia"/>
                <w:sz w:val="18"/>
                <w:szCs w:val="18"/>
              </w:rPr>
              <w:t>上述股东关联关系或一致行动的说明</w:t>
            </w:r>
          </w:p>
        </w:tc>
        <w:tc>
          <w:tcPr>
            <w:tcW w:w="6955" w:type="dxa"/>
            <w:gridSpan w:val="4"/>
            <w:vAlign w:val="center"/>
          </w:tcPr>
          <w:p w14:paraId="35CB2C3D" w14:textId="77777777" w:rsidR="00577D08" w:rsidRDefault="00330FC0" w:rsidP="00E6534C">
            <w:pPr>
              <w:ind w:rightChars="46" w:right="97"/>
              <w:jc w:val="center"/>
              <w:rPr>
                <w:rFonts w:ascii="宋体" w:hAnsi="宋体" w:cs="Arial" w:hint="eastAsia"/>
                <w:sz w:val="18"/>
                <w:szCs w:val="18"/>
              </w:rPr>
            </w:pPr>
            <w:r>
              <w:rPr>
                <w:rFonts w:ascii="宋体" w:hAnsi="宋体" w:cs="Arial" w:hint="eastAsia"/>
                <w:sz w:val="18"/>
                <w:szCs w:val="18"/>
              </w:rPr>
              <w:t>无</w:t>
            </w:r>
          </w:p>
        </w:tc>
      </w:tr>
    </w:tbl>
    <w:p w14:paraId="43C89A4E" w14:textId="77777777" w:rsidR="00577D08" w:rsidRDefault="00577D08"/>
    <w:p w14:paraId="01D47403" w14:textId="77777777" w:rsidR="00577D08" w:rsidRDefault="00330FC0">
      <w:pPr>
        <w:pStyle w:val="3"/>
        <w:numPr>
          <w:ilvl w:val="1"/>
          <w:numId w:val="47"/>
        </w:numPr>
        <w:ind w:left="426" w:hanging="426"/>
        <w:rPr>
          <w:szCs w:val="21"/>
        </w:rPr>
      </w:pPr>
      <w:bookmarkStart w:id="269" w:name="_Hlk89352705"/>
      <w:bookmarkEnd w:id="266"/>
      <w:bookmarkEnd w:id="269"/>
      <w:r>
        <w:rPr>
          <w:szCs w:val="21"/>
        </w:rPr>
        <w:t>战略投资者或一般法人因配售新股成为前</w:t>
      </w:r>
      <w:r>
        <w:rPr>
          <w:szCs w:val="21"/>
        </w:rPr>
        <w:t>10</w:t>
      </w:r>
      <w:r>
        <w:rPr>
          <w:szCs w:val="21"/>
        </w:rPr>
        <w:t>名股东</w:t>
      </w:r>
    </w:p>
    <w:sdt>
      <w:sdtPr>
        <w:alias w:val="是否适用：战略投资者或一般法人因配售新股成为前10名股东[双击切换]"/>
        <w:tag w:val="_GBC_f3c63aafb8134fdcbdeb39fd33c2cd8d"/>
        <w:id w:val="973645618"/>
        <w:placeholder>
          <w:docPart w:val="GBC22222222222222222222222222222"/>
        </w:placeholder>
      </w:sdtPr>
      <w:sdtContent>
        <w:p w14:paraId="4E734A1E"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7EF2F20" w14:textId="77777777" w:rsidR="00577D08" w:rsidRDefault="00330FC0">
      <w:pPr>
        <w:pStyle w:val="2"/>
        <w:numPr>
          <w:ilvl w:val="0"/>
          <w:numId w:val="43"/>
        </w:numPr>
      </w:pPr>
      <w:r>
        <w:rPr>
          <w:rFonts w:hint="eastAsia"/>
        </w:rPr>
        <w:lastRenderedPageBreak/>
        <w:t>控股股东及实际控制人情况</w:t>
      </w:r>
    </w:p>
    <w:p w14:paraId="6DEFC161" w14:textId="77777777" w:rsidR="00577D08" w:rsidRDefault="00330FC0">
      <w:pPr>
        <w:pStyle w:val="3"/>
        <w:numPr>
          <w:ilvl w:val="0"/>
          <w:numId w:val="48"/>
        </w:numPr>
      </w:pPr>
      <w:r>
        <w:t>控股股东情况</w:t>
      </w:r>
    </w:p>
    <w:p w14:paraId="21DA8F84" w14:textId="77777777" w:rsidR="00577D08" w:rsidRDefault="00330FC0">
      <w:pPr>
        <w:pStyle w:val="4"/>
        <w:numPr>
          <w:ilvl w:val="0"/>
          <w:numId w:val="49"/>
        </w:numPr>
        <w:rPr>
          <w:rFonts w:hint="eastAsia"/>
        </w:rPr>
      </w:pPr>
      <w:r>
        <w:t>法人</w:t>
      </w:r>
    </w:p>
    <w:sdt>
      <w:sdtPr>
        <w:alias w:val="是否适用：法人_控股股东情况[双击切换]"/>
        <w:tag w:val="_GBC_eab2d7c8478645dbae996b49d203b0d9"/>
        <w:id w:val="-556706737"/>
        <w:placeholder>
          <w:docPart w:val="GBC22222222222222222222222222222"/>
        </w:placeholder>
      </w:sdtPr>
      <w:sdtContent>
        <w:p w14:paraId="58C0765F"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A89F5EC" w14:textId="77777777" w:rsidR="00577D08" w:rsidRDefault="00330FC0">
      <w:pPr>
        <w:pStyle w:val="4"/>
        <w:numPr>
          <w:ilvl w:val="0"/>
          <w:numId w:val="49"/>
        </w:numPr>
        <w:rPr>
          <w:rFonts w:hint="eastAsia"/>
        </w:rPr>
      </w:pPr>
      <w:r>
        <w:t>自然人</w:t>
      </w:r>
    </w:p>
    <w:sdt>
      <w:sdtPr>
        <w:alias w:val="是否适用：自然人_控股股东情况[双击切换]"/>
        <w:tag w:val="_GBC_050e33c59070475b9b048117126cc6ba"/>
        <w:id w:val="1802188581"/>
        <w:placeholder>
          <w:docPart w:val="GBC22222222222222222222222222222"/>
        </w:placeholder>
      </w:sdtPr>
      <w:sdtContent>
        <w:p w14:paraId="49AC4FA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3369"/>
        <w:gridCol w:w="5680"/>
      </w:tblGrid>
      <w:tr w:rsidR="00577D08" w14:paraId="4FB6ACFF" w14:textId="77777777">
        <w:trPr>
          <w:trHeight w:val="105"/>
        </w:trPr>
        <w:sdt>
          <w:sdtPr>
            <w:tag w:val="_PLD_03439092ce5a4b60ae749dbfc542870d"/>
            <w:id w:val="-1336137509"/>
          </w:sdtPr>
          <w:sdtContent>
            <w:tc>
              <w:tcPr>
                <w:tcW w:w="3369" w:type="dxa"/>
                <w:vAlign w:val="center"/>
              </w:tcPr>
              <w:p w14:paraId="7278893D" w14:textId="77777777" w:rsidR="00577D08" w:rsidRDefault="00330FC0">
                <w:r>
                  <w:rPr>
                    <w:rFonts w:hint="eastAsia"/>
                  </w:rPr>
                  <w:t>姓名</w:t>
                </w:r>
              </w:p>
            </w:tc>
          </w:sdtContent>
        </w:sdt>
        <w:tc>
          <w:tcPr>
            <w:tcW w:w="5680" w:type="dxa"/>
            <w:vAlign w:val="center"/>
          </w:tcPr>
          <w:p w14:paraId="1535E59E" w14:textId="77777777" w:rsidR="00577D08" w:rsidRDefault="00330FC0">
            <w:r>
              <w:rPr>
                <w:rFonts w:hint="eastAsia"/>
              </w:rPr>
              <w:t>杨泽民</w:t>
            </w:r>
          </w:p>
        </w:tc>
      </w:tr>
      <w:tr w:rsidR="00577D08" w14:paraId="6C3E7E60" w14:textId="77777777">
        <w:trPr>
          <w:trHeight w:val="165"/>
        </w:trPr>
        <w:tc>
          <w:tcPr>
            <w:tcW w:w="3369" w:type="dxa"/>
            <w:vAlign w:val="center"/>
          </w:tcPr>
          <w:p w14:paraId="2E17A13B" w14:textId="77777777" w:rsidR="00577D08" w:rsidRDefault="00330FC0">
            <w:r>
              <w:rPr>
                <w:rFonts w:hint="eastAsia"/>
              </w:rPr>
              <w:t>国籍</w:t>
            </w:r>
          </w:p>
        </w:tc>
        <w:tc>
          <w:tcPr>
            <w:tcW w:w="5680" w:type="dxa"/>
            <w:vAlign w:val="center"/>
          </w:tcPr>
          <w:p w14:paraId="5B91322B" w14:textId="77777777" w:rsidR="00577D08" w:rsidRDefault="00330FC0">
            <w:r>
              <w:rPr>
                <w:rFonts w:hint="eastAsia"/>
              </w:rPr>
              <w:t>中国</w:t>
            </w:r>
          </w:p>
        </w:tc>
      </w:tr>
      <w:tr w:rsidR="00577D08" w14:paraId="1FE7DEE8" w14:textId="77777777">
        <w:trPr>
          <w:trHeight w:val="180"/>
        </w:trPr>
        <w:tc>
          <w:tcPr>
            <w:tcW w:w="3369" w:type="dxa"/>
            <w:vAlign w:val="center"/>
          </w:tcPr>
          <w:p w14:paraId="34831226" w14:textId="77777777" w:rsidR="00577D08" w:rsidRDefault="00330FC0">
            <w:r>
              <w:rPr>
                <w:rFonts w:hint="eastAsia"/>
              </w:rPr>
              <w:t>是否取得其他国家或地区居留权</w:t>
            </w:r>
          </w:p>
        </w:tc>
        <w:sdt>
          <w:sdtPr>
            <w:rPr>
              <w:rFonts w:hint="eastAsia"/>
            </w:rPr>
            <w:alias w:val="自然人控股股东是否取得其他国家或地区居留权"/>
            <w:tag w:val="_GBC_e24c03a017144e74b73d04a41c8dc0d7"/>
            <w:id w:val="-1113211163"/>
            <w:comboBox>
              <w:listItem w:displayText="是" w:value="true"/>
              <w:listItem w:displayText="否" w:value="false"/>
            </w:comboBox>
          </w:sdtPr>
          <w:sdtContent>
            <w:tc>
              <w:tcPr>
                <w:tcW w:w="5680" w:type="dxa"/>
                <w:vAlign w:val="center"/>
              </w:tcPr>
              <w:p w14:paraId="235C1D97" w14:textId="77777777" w:rsidR="00577D08" w:rsidRDefault="00330FC0">
                <w:r>
                  <w:rPr>
                    <w:rFonts w:hint="eastAsia"/>
                  </w:rPr>
                  <w:t>否</w:t>
                </w:r>
              </w:p>
            </w:tc>
          </w:sdtContent>
        </w:sdt>
      </w:tr>
      <w:tr w:rsidR="00577D08" w14:paraId="48F08A85" w14:textId="77777777">
        <w:trPr>
          <w:trHeight w:val="117"/>
        </w:trPr>
        <w:tc>
          <w:tcPr>
            <w:tcW w:w="3369" w:type="dxa"/>
            <w:vAlign w:val="center"/>
          </w:tcPr>
          <w:p w14:paraId="1D5F34D6" w14:textId="77777777" w:rsidR="00577D08" w:rsidRDefault="00330FC0">
            <w:r>
              <w:rPr>
                <w:rFonts w:hint="eastAsia"/>
              </w:rPr>
              <w:t>主要</w:t>
            </w:r>
            <w:r>
              <w:t>职业及职务</w:t>
            </w:r>
          </w:p>
        </w:tc>
        <w:tc>
          <w:tcPr>
            <w:tcW w:w="5680" w:type="dxa"/>
            <w:vAlign w:val="center"/>
          </w:tcPr>
          <w:p w14:paraId="687AC550" w14:textId="77777777" w:rsidR="00577D08" w:rsidRDefault="00330FC0">
            <w:r>
              <w:rPr>
                <w:rFonts w:hint="eastAsia"/>
              </w:rPr>
              <w:t>董事长、总经理</w:t>
            </w:r>
          </w:p>
        </w:tc>
      </w:tr>
      <w:tr w:rsidR="00577D08" w14:paraId="7F2978C9" w14:textId="77777777">
        <w:trPr>
          <w:trHeight w:val="105"/>
        </w:trPr>
        <w:sdt>
          <w:sdtPr>
            <w:tag w:val="_PLD_03439092ce5a4b60ae749dbfc542870d"/>
            <w:id w:val="1092201114"/>
          </w:sdtPr>
          <w:sdtContent>
            <w:tc>
              <w:tcPr>
                <w:tcW w:w="3369" w:type="dxa"/>
                <w:vAlign w:val="center"/>
              </w:tcPr>
              <w:p w14:paraId="4EFEDED7" w14:textId="77777777" w:rsidR="00577D08" w:rsidRDefault="00330FC0">
                <w:r>
                  <w:rPr>
                    <w:rFonts w:hint="eastAsia"/>
                  </w:rPr>
                  <w:t>姓名</w:t>
                </w:r>
              </w:p>
            </w:tc>
          </w:sdtContent>
        </w:sdt>
        <w:sdt>
          <w:sdtPr>
            <w:rPr>
              <w:rFonts w:hint="eastAsia"/>
            </w:rPr>
            <w:alias w:val="自然人控股股东姓名"/>
            <w:tag w:val="_GBC_4f9d960791fd422c9453eb2f433fdfb0"/>
            <w:id w:val="-564102005"/>
          </w:sdtPr>
          <w:sdtContent>
            <w:tc>
              <w:tcPr>
                <w:tcW w:w="5680" w:type="dxa"/>
                <w:vAlign w:val="center"/>
              </w:tcPr>
              <w:p w14:paraId="22B7C5BC" w14:textId="77777777" w:rsidR="00577D08" w:rsidRDefault="00330FC0">
                <w:r>
                  <w:rPr>
                    <w:rFonts w:hint="eastAsia"/>
                  </w:rPr>
                  <w:t>秦惠兰</w:t>
                </w:r>
              </w:p>
            </w:tc>
          </w:sdtContent>
        </w:sdt>
      </w:tr>
      <w:tr w:rsidR="00577D08" w14:paraId="4E31851C" w14:textId="77777777">
        <w:trPr>
          <w:trHeight w:val="165"/>
        </w:trPr>
        <w:tc>
          <w:tcPr>
            <w:tcW w:w="3369" w:type="dxa"/>
            <w:vAlign w:val="center"/>
          </w:tcPr>
          <w:p w14:paraId="750BBFC3" w14:textId="77777777" w:rsidR="00577D08" w:rsidRDefault="00330FC0">
            <w:r>
              <w:rPr>
                <w:rFonts w:hint="eastAsia"/>
              </w:rPr>
              <w:t>国籍</w:t>
            </w:r>
          </w:p>
        </w:tc>
        <w:tc>
          <w:tcPr>
            <w:tcW w:w="5680" w:type="dxa"/>
            <w:vAlign w:val="center"/>
          </w:tcPr>
          <w:p w14:paraId="5EC888B6" w14:textId="77777777" w:rsidR="00577D08" w:rsidRDefault="00330FC0">
            <w:r>
              <w:rPr>
                <w:rFonts w:hint="eastAsia"/>
              </w:rPr>
              <w:t>中国</w:t>
            </w:r>
          </w:p>
        </w:tc>
      </w:tr>
      <w:tr w:rsidR="00577D08" w14:paraId="1CF763AF" w14:textId="77777777">
        <w:trPr>
          <w:trHeight w:val="180"/>
        </w:trPr>
        <w:tc>
          <w:tcPr>
            <w:tcW w:w="3369" w:type="dxa"/>
            <w:vAlign w:val="center"/>
          </w:tcPr>
          <w:p w14:paraId="5CCC5897" w14:textId="77777777" w:rsidR="00577D08" w:rsidRDefault="00330FC0">
            <w:r>
              <w:rPr>
                <w:rFonts w:hint="eastAsia"/>
              </w:rPr>
              <w:t>是否取得其他国家或地区居留权</w:t>
            </w:r>
          </w:p>
        </w:tc>
        <w:sdt>
          <w:sdtPr>
            <w:rPr>
              <w:rFonts w:hint="eastAsia"/>
            </w:rPr>
            <w:alias w:val="自然人控股股东是否取得其他国家或地区居留权"/>
            <w:tag w:val="_GBC_e24c03a017144e74b73d04a41c8dc0d7"/>
            <w:id w:val="-1909612053"/>
            <w:comboBox>
              <w:listItem w:displayText="是" w:value="true"/>
              <w:listItem w:displayText="否" w:value="false"/>
            </w:comboBox>
          </w:sdtPr>
          <w:sdtContent>
            <w:tc>
              <w:tcPr>
                <w:tcW w:w="5680" w:type="dxa"/>
                <w:vAlign w:val="center"/>
              </w:tcPr>
              <w:p w14:paraId="266F7565" w14:textId="77777777" w:rsidR="00577D08" w:rsidRDefault="00330FC0">
                <w:r>
                  <w:rPr>
                    <w:rFonts w:hint="eastAsia"/>
                  </w:rPr>
                  <w:t>否</w:t>
                </w:r>
              </w:p>
            </w:tc>
          </w:sdtContent>
        </w:sdt>
      </w:tr>
      <w:tr w:rsidR="00577D08" w14:paraId="2654D94E" w14:textId="77777777">
        <w:trPr>
          <w:trHeight w:val="117"/>
        </w:trPr>
        <w:tc>
          <w:tcPr>
            <w:tcW w:w="3369" w:type="dxa"/>
            <w:vAlign w:val="center"/>
          </w:tcPr>
          <w:p w14:paraId="59B7E8B2" w14:textId="77777777" w:rsidR="00577D08" w:rsidRDefault="00330FC0">
            <w:r>
              <w:rPr>
                <w:rFonts w:hint="eastAsia"/>
              </w:rPr>
              <w:t>主要</w:t>
            </w:r>
            <w:r>
              <w:t>职业及职务</w:t>
            </w:r>
          </w:p>
        </w:tc>
        <w:tc>
          <w:tcPr>
            <w:tcW w:w="5680" w:type="dxa"/>
            <w:vAlign w:val="center"/>
          </w:tcPr>
          <w:p w14:paraId="7F66D05F" w14:textId="77777777" w:rsidR="00577D08" w:rsidRDefault="00330FC0">
            <w:r>
              <w:rPr>
                <w:rFonts w:hint="eastAsia"/>
              </w:rPr>
              <w:t>无</w:t>
            </w:r>
          </w:p>
        </w:tc>
      </w:tr>
    </w:tbl>
    <w:p w14:paraId="20214481" w14:textId="77777777" w:rsidR="00577D08" w:rsidRDefault="00330FC0">
      <w:pPr>
        <w:pStyle w:val="4"/>
        <w:numPr>
          <w:ilvl w:val="0"/>
          <w:numId w:val="49"/>
        </w:numPr>
        <w:rPr>
          <w:rFonts w:hint="eastAsia"/>
        </w:rPr>
      </w:pPr>
      <w:r>
        <w:rPr>
          <w:rFonts w:hint="eastAsia"/>
        </w:rPr>
        <w:t>公司不存在控股股东情况的特别说明</w:t>
      </w:r>
    </w:p>
    <w:sdt>
      <w:sdtPr>
        <w:rPr>
          <w:rFonts w:hint="eastAsia"/>
        </w:rPr>
        <w:alias w:val="是否适用：公司不存在控股股东情况的特别说明[双击切换]"/>
        <w:tag w:val="_GBC_2c420ad8f9bd455b89ad3a0d10597af2"/>
        <w:id w:val="1655336246"/>
        <w:placeholder>
          <w:docPart w:val="GBC22222222222222222222222222222"/>
        </w:placeholder>
      </w:sdtPr>
      <w:sdtContent>
        <w:p w14:paraId="374DC10F"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CF43F21" w14:textId="77777777" w:rsidR="00577D08" w:rsidRDefault="00330FC0">
      <w:pPr>
        <w:pStyle w:val="4"/>
        <w:numPr>
          <w:ilvl w:val="0"/>
          <w:numId w:val="49"/>
        </w:numPr>
        <w:rPr>
          <w:rFonts w:hint="eastAsia"/>
        </w:rPr>
      </w:pPr>
      <w:r>
        <w:rPr>
          <w:rFonts w:hint="eastAsia"/>
        </w:rPr>
        <w:t>报告期内控股股东变更情况的说明</w:t>
      </w:r>
    </w:p>
    <w:sdt>
      <w:sdtPr>
        <w:rPr>
          <w:rFonts w:hint="eastAsia"/>
        </w:rPr>
        <w:alias w:val="是否适用：报告期内控股股东变更情况的说明[双击切换]"/>
        <w:tag w:val="_GBC_ba32d923117643d78736fd77472e578b"/>
        <w:id w:val="-1168086859"/>
        <w:placeholder>
          <w:docPart w:val="GBC22222222222222222222222222222"/>
        </w:placeholder>
      </w:sdtPr>
      <w:sdtContent>
        <w:p w14:paraId="0126B74C"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5529E13" w14:textId="77777777" w:rsidR="00577D08" w:rsidRDefault="00330FC0">
      <w:pPr>
        <w:pStyle w:val="4"/>
        <w:numPr>
          <w:ilvl w:val="0"/>
          <w:numId w:val="49"/>
        </w:numPr>
        <w:rPr>
          <w:rFonts w:hint="eastAsia"/>
        </w:rPr>
      </w:pPr>
      <w:r>
        <w:rPr>
          <w:rFonts w:hint="eastAsia"/>
        </w:rPr>
        <w:t>公司与控股股东之间的产权及控制关系的方框图</w:t>
      </w:r>
    </w:p>
    <w:sdt>
      <w:sdtPr>
        <w:alias w:val="是否适用：公司与控股股东之间的产权及控制关系的方框图[双击切换]"/>
        <w:tag w:val="_GBC_aa1ed4124bd443219ac5782763143cd7"/>
        <w:id w:val="2086800881"/>
        <w:placeholder>
          <w:docPart w:val="GBC22222222222222222222222222222"/>
        </w:placeholder>
      </w:sdtPr>
      <w:sdtContent>
        <w:p w14:paraId="0D8712FA"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hint="eastAsia"/>
        </w:rPr>
        <w:alias w:val="图片：公司与控股股东之间的产权及控制关系的方框图"/>
        <w:tag w:val="_GBC_237afe95a2de48a5baec021682951b46"/>
        <w:id w:val="366260954"/>
        <w:placeholder>
          <w:docPart w:val="GBC22222222222222222222222222222"/>
        </w:placeholder>
        <w:picture/>
      </w:sdtPr>
      <w:sdtContent>
        <w:p w14:paraId="11EFB81F" w14:textId="77777777" w:rsidR="00577D08" w:rsidRDefault="00330FC0">
          <w:pPr>
            <w:jc w:val="center"/>
          </w:pPr>
          <w:r>
            <w:rPr>
              <w:noProof/>
            </w:rPr>
            <w:drawing>
              <wp:inline distT="0" distB="0" distL="0" distR="0" wp14:anchorId="2F26BED2" wp14:editId="7C734265">
                <wp:extent cx="4180840" cy="229362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190551" cy="2298947"/>
                        </a:xfrm>
                        <a:prstGeom prst="rect">
                          <a:avLst/>
                        </a:prstGeom>
                        <a:noFill/>
                        <a:ln w="9525">
                          <a:noFill/>
                          <a:miter lim="800000"/>
                          <a:headEnd/>
                          <a:tailEnd/>
                        </a:ln>
                      </pic:spPr>
                    </pic:pic>
                  </a:graphicData>
                </a:graphic>
              </wp:inline>
            </w:drawing>
          </w:r>
        </w:p>
      </w:sdtContent>
    </w:sdt>
    <w:p w14:paraId="347732B0" w14:textId="77777777" w:rsidR="00577D08" w:rsidRDefault="00330FC0">
      <w:pPr>
        <w:pStyle w:val="3"/>
        <w:numPr>
          <w:ilvl w:val="0"/>
          <w:numId w:val="48"/>
        </w:numPr>
      </w:pPr>
      <w:r>
        <w:rPr>
          <w:rFonts w:hint="eastAsia"/>
        </w:rPr>
        <w:t>实际控制人情况</w:t>
      </w:r>
    </w:p>
    <w:p w14:paraId="5BE050F8" w14:textId="77777777" w:rsidR="00577D08" w:rsidRDefault="00330FC0">
      <w:pPr>
        <w:pStyle w:val="4"/>
        <w:numPr>
          <w:ilvl w:val="0"/>
          <w:numId w:val="50"/>
        </w:numPr>
        <w:rPr>
          <w:rFonts w:hint="eastAsia"/>
        </w:rPr>
      </w:pPr>
      <w:r>
        <w:rPr>
          <w:rFonts w:hint="eastAsia"/>
        </w:rPr>
        <w:t>法人</w:t>
      </w:r>
    </w:p>
    <w:sdt>
      <w:sdtPr>
        <w:alias w:val="是否适用：法人_实际控制人情况[双击切换]"/>
        <w:tag w:val="_GBC_6cb3195cd6c545489bd6151d0ee57d58"/>
        <w:id w:val="-1256590919"/>
        <w:placeholder>
          <w:docPart w:val="GBC22222222222222222222222222222"/>
        </w:placeholder>
      </w:sdtPr>
      <w:sdtContent>
        <w:p w14:paraId="478F1B6D"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81BFC90" w14:textId="77777777" w:rsidR="00577D08" w:rsidRDefault="00330FC0">
      <w:pPr>
        <w:pStyle w:val="4"/>
        <w:numPr>
          <w:ilvl w:val="0"/>
          <w:numId w:val="50"/>
        </w:numPr>
        <w:rPr>
          <w:rFonts w:hint="eastAsia"/>
        </w:rPr>
      </w:pPr>
      <w:r>
        <w:rPr>
          <w:rFonts w:hint="eastAsia"/>
        </w:rPr>
        <w:t>自然人</w:t>
      </w:r>
    </w:p>
    <w:sdt>
      <w:sdtPr>
        <w:alias w:val="是否适用：自然人_实际控制人情况[双击切换]"/>
        <w:tag w:val="_GBC_359229fa8cca4506ac3cec3de8b5e99b"/>
        <w:id w:val="-2098781069"/>
        <w:placeholder>
          <w:docPart w:val="GBC22222222222222222222222222222"/>
        </w:placeholder>
      </w:sdtPr>
      <w:sdtContent>
        <w:p w14:paraId="44B5039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Ind w:w="-5" w:type="dxa"/>
        <w:tblLayout w:type="fixed"/>
        <w:tblLook w:val="04A0" w:firstRow="1" w:lastRow="0" w:firstColumn="1" w:lastColumn="0" w:noHBand="0" w:noVBand="1"/>
      </w:tblPr>
      <w:tblGrid>
        <w:gridCol w:w="4678"/>
        <w:gridCol w:w="3119"/>
      </w:tblGrid>
      <w:tr w:rsidR="00577D08" w14:paraId="32D90FFD" w14:textId="77777777" w:rsidTr="00CC5C32">
        <w:trPr>
          <w:trHeight w:val="165"/>
        </w:trPr>
        <w:sdt>
          <w:sdtPr>
            <w:tag w:val="_PLD_3830c2543f934eef9f87e91c1b08ec23"/>
            <w:id w:val="292943022"/>
          </w:sdtPr>
          <w:sdtContent>
            <w:tc>
              <w:tcPr>
                <w:tcW w:w="4678" w:type="dxa"/>
                <w:vAlign w:val="center"/>
              </w:tcPr>
              <w:p w14:paraId="6F57AB8B" w14:textId="77777777" w:rsidR="00577D08" w:rsidRDefault="00330FC0">
                <w:r>
                  <w:t>姓名</w:t>
                </w:r>
              </w:p>
            </w:tc>
          </w:sdtContent>
        </w:sdt>
        <w:sdt>
          <w:sdtPr>
            <w:rPr>
              <w:rFonts w:hint="eastAsia"/>
            </w:rPr>
            <w:alias w:val="自然人实际控制人姓名"/>
            <w:tag w:val="_GBC_a31c4544eeb84b5e9cf3dfb7f96aa395"/>
            <w:id w:val="524909677"/>
          </w:sdtPr>
          <w:sdtContent>
            <w:tc>
              <w:tcPr>
                <w:tcW w:w="3119" w:type="dxa"/>
                <w:vAlign w:val="center"/>
              </w:tcPr>
              <w:p w14:paraId="115CDEB9" w14:textId="77777777" w:rsidR="00577D08" w:rsidRDefault="00330FC0" w:rsidP="00E6534C">
                <w:pPr>
                  <w:jc w:val="center"/>
                </w:pPr>
                <w:r>
                  <w:rPr>
                    <w:rFonts w:hint="eastAsia"/>
                  </w:rPr>
                  <w:t>杨泽民</w:t>
                </w:r>
              </w:p>
            </w:tc>
          </w:sdtContent>
        </w:sdt>
      </w:tr>
      <w:tr w:rsidR="00577D08" w14:paraId="0E8509B9" w14:textId="77777777" w:rsidTr="00CC5C32">
        <w:trPr>
          <w:trHeight w:val="195"/>
        </w:trPr>
        <w:tc>
          <w:tcPr>
            <w:tcW w:w="4678" w:type="dxa"/>
            <w:vAlign w:val="center"/>
          </w:tcPr>
          <w:p w14:paraId="4C4719E7" w14:textId="77777777" w:rsidR="00577D08" w:rsidRDefault="00330FC0">
            <w:r>
              <w:t>国籍</w:t>
            </w:r>
          </w:p>
        </w:tc>
        <w:tc>
          <w:tcPr>
            <w:tcW w:w="3119" w:type="dxa"/>
            <w:vAlign w:val="center"/>
          </w:tcPr>
          <w:p w14:paraId="5EB98736" w14:textId="77777777" w:rsidR="00577D08" w:rsidRDefault="00330FC0" w:rsidP="00E6534C">
            <w:pPr>
              <w:jc w:val="center"/>
            </w:pPr>
            <w:r>
              <w:rPr>
                <w:rFonts w:hint="eastAsia"/>
              </w:rPr>
              <w:t>中国</w:t>
            </w:r>
          </w:p>
        </w:tc>
      </w:tr>
      <w:tr w:rsidR="00577D08" w14:paraId="5C3405C6" w14:textId="77777777" w:rsidTr="00CC5C32">
        <w:trPr>
          <w:trHeight w:val="105"/>
        </w:trPr>
        <w:tc>
          <w:tcPr>
            <w:tcW w:w="4678" w:type="dxa"/>
            <w:vAlign w:val="center"/>
          </w:tcPr>
          <w:p w14:paraId="20D2AF4A" w14:textId="77777777" w:rsidR="00577D08" w:rsidRDefault="00330FC0">
            <w:r>
              <w:t>是否取得其他国家或地区居留权</w:t>
            </w:r>
          </w:p>
        </w:tc>
        <w:sdt>
          <w:sdtPr>
            <w:rPr>
              <w:rFonts w:hint="eastAsia"/>
            </w:rPr>
            <w:alias w:val="自然人实际控制人是否取得其他国家或地区居留权"/>
            <w:tag w:val="_GBC_f7a7b9fa20b64c878e9aae9e01be99d7"/>
            <w:id w:val="-1123915413"/>
            <w:comboBox>
              <w:listItem w:displayText="是" w:value="true"/>
              <w:listItem w:displayText="否" w:value="false"/>
            </w:comboBox>
          </w:sdtPr>
          <w:sdtContent>
            <w:tc>
              <w:tcPr>
                <w:tcW w:w="3119" w:type="dxa"/>
                <w:vAlign w:val="center"/>
              </w:tcPr>
              <w:p w14:paraId="4D9B5C62" w14:textId="77777777" w:rsidR="00577D08" w:rsidRDefault="00330FC0" w:rsidP="00E6534C">
                <w:pPr>
                  <w:jc w:val="center"/>
                </w:pPr>
                <w:r>
                  <w:rPr>
                    <w:rFonts w:hint="eastAsia"/>
                  </w:rPr>
                  <w:t>否</w:t>
                </w:r>
              </w:p>
            </w:tc>
          </w:sdtContent>
        </w:sdt>
      </w:tr>
      <w:tr w:rsidR="00577D08" w14:paraId="22109B03" w14:textId="77777777" w:rsidTr="00CC5C32">
        <w:trPr>
          <w:trHeight w:val="300"/>
        </w:trPr>
        <w:tc>
          <w:tcPr>
            <w:tcW w:w="4678" w:type="dxa"/>
            <w:vAlign w:val="center"/>
          </w:tcPr>
          <w:p w14:paraId="52CE6587" w14:textId="77777777" w:rsidR="00577D08" w:rsidRDefault="00330FC0">
            <w:r>
              <w:rPr>
                <w:rFonts w:hint="eastAsia"/>
              </w:rPr>
              <w:t>主要</w:t>
            </w:r>
            <w:r>
              <w:t>职业及职务</w:t>
            </w:r>
          </w:p>
        </w:tc>
        <w:tc>
          <w:tcPr>
            <w:tcW w:w="3119" w:type="dxa"/>
            <w:vAlign w:val="center"/>
          </w:tcPr>
          <w:p w14:paraId="5319DBC3" w14:textId="77777777" w:rsidR="00577D08" w:rsidRDefault="00330FC0" w:rsidP="00E6534C">
            <w:pPr>
              <w:jc w:val="center"/>
            </w:pPr>
            <w:r>
              <w:rPr>
                <w:rFonts w:hint="eastAsia"/>
              </w:rPr>
              <w:t>董事长、总经理</w:t>
            </w:r>
          </w:p>
        </w:tc>
      </w:tr>
      <w:tr w:rsidR="00577D08" w14:paraId="43B271F4" w14:textId="77777777" w:rsidTr="00CC5C32">
        <w:trPr>
          <w:trHeight w:val="309"/>
        </w:trPr>
        <w:tc>
          <w:tcPr>
            <w:tcW w:w="4678" w:type="dxa"/>
            <w:vAlign w:val="center"/>
          </w:tcPr>
          <w:p w14:paraId="72178D64" w14:textId="77777777" w:rsidR="00577D08" w:rsidRDefault="00330FC0">
            <w:r>
              <w:lastRenderedPageBreak/>
              <w:t>过去</w:t>
            </w:r>
            <w:r>
              <w:t>10</w:t>
            </w:r>
            <w:r>
              <w:t>年曾控股的境内外上市公司情况</w:t>
            </w:r>
          </w:p>
        </w:tc>
        <w:tc>
          <w:tcPr>
            <w:tcW w:w="3119" w:type="dxa"/>
            <w:vAlign w:val="center"/>
          </w:tcPr>
          <w:p w14:paraId="0C98243A" w14:textId="77777777" w:rsidR="00577D08" w:rsidRDefault="00330FC0" w:rsidP="00E6534C">
            <w:pPr>
              <w:jc w:val="center"/>
            </w:pPr>
            <w:r>
              <w:rPr>
                <w:rFonts w:hint="eastAsia"/>
              </w:rPr>
              <w:t>无</w:t>
            </w:r>
          </w:p>
        </w:tc>
      </w:tr>
      <w:tr w:rsidR="00577D08" w14:paraId="5FFF647D" w14:textId="77777777" w:rsidTr="00CC5C32">
        <w:trPr>
          <w:trHeight w:val="165"/>
        </w:trPr>
        <w:tc>
          <w:tcPr>
            <w:tcW w:w="4678" w:type="dxa"/>
            <w:vAlign w:val="center"/>
          </w:tcPr>
          <w:p w14:paraId="2FCA6FEA" w14:textId="77777777" w:rsidR="00577D08" w:rsidRDefault="00330FC0">
            <w:r>
              <w:t>姓名</w:t>
            </w:r>
          </w:p>
        </w:tc>
        <w:tc>
          <w:tcPr>
            <w:tcW w:w="3119" w:type="dxa"/>
            <w:vAlign w:val="center"/>
          </w:tcPr>
          <w:p w14:paraId="0434286C" w14:textId="77777777" w:rsidR="00577D08" w:rsidRDefault="00330FC0" w:rsidP="00E6534C">
            <w:pPr>
              <w:jc w:val="center"/>
            </w:pPr>
            <w:r>
              <w:rPr>
                <w:rFonts w:hint="eastAsia"/>
              </w:rPr>
              <w:t>秦惠兰</w:t>
            </w:r>
          </w:p>
        </w:tc>
      </w:tr>
      <w:tr w:rsidR="00577D08" w14:paraId="2BCC8054" w14:textId="77777777" w:rsidTr="00CC5C32">
        <w:trPr>
          <w:trHeight w:val="195"/>
        </w:trPr>
        <w:tc>
          <w:tcPr>
            <w:tcW w:w="4678" w:type="dxa"/>
            <w:vAlign w:val="center"/>
          </w:tcPr>
          <w:p w14:paraId="63BF0485" w14:textId="77777777" w:rsidR="00577D08" w:rsidRDefault="00330FC0">
            <w:r>
              <w:t>国籍</w:t>
            </w:r>
          </w:p>
        </w:tc>
        <w:tc>
          <w:tcPr>
            <w:tcW w:w="3119" w:type="dxa"/>
            <w:vAlign w:val="center"/>
          </w:tcPr>
          <w:p w14:paraId="321D5ED9" w14:textId="77777777" w:rsidR="00577D08" w:rsidRDefault="00330FC0" w:rsidP="00E6534C">
            <w:pPr>
              <w:jc w:val="center"/>
            </w:pPr>
            <w:r>
              <w:rPr>
                <w:rFonts w:hint="eastAsia"/>
              </w:rPr>
              <w:t>中国</w:t>
            </w:r>
          </w:p>
        </w:tc>
      </w:tr>
      <w:tr w:rsidR="00577D08" w14:paraId="234C0733" w14:textId="77777777" w:rsidTr="00CC5C32">
        <w:trPr>
          <w:trHeight w:val="105"/>
        </w:trPr>
        <w:tc>
          <w:tcPr>
            <w:tcW w:w="4678" w:type="dxa"/>
            <w:vAlign w:val="center"/>
          </w:tcPr>
          <w:p w14:paraId="5F63D3A8" w14:textId="77777777" w:rsidR="00577D08" w:rsidRDefault="00330FC0">
            <w:r>
              <w:t>是否取得其他国家或地区居留权</w:t>
            </w:r>
          </w:p>
        </w:tc>
        <w:sdt>
          <w:sdtPr>
            <w:rPr>
              <w:rFonts w:hint="eastAsia"/>
            </w:rPr>
            <w:alias w:val="自然人实际控制人是否取得其他国家或地区居留权"/>
            <w:tag w:val="_GBC_f7a7b9fa20b64c878e9aae9e01be99d7"/>
            <w:id w:val="1361088068"/>
            <w:comboBox>
              <w:listItem w:displayText="是" w:value="true"/>
              <w:listItem w:displayText="否" w:value="false"/>
            </w:comboBox>
          </w:sdtPr>
          <w:sdtContent>
            <w:tc>
              <w:tcPr>
                <w:tcW w:w="3119" w:type="dxa"/>
                <w:vAlign w:val="center"/>
              </w:tcPr>
              <w:p w14:paraId="13BBB644" w14:textId="77777777" w:rsidR="00577D08" w:rsidRDefault="00330FC0" w:rsidP="00E6534C">
                <w:pPr>
                  <w:jc w:val="center"/>
                </w:pPr>
                <w:r>
                  <w:rPr>
                    <w:rFonts w:hint="eastAsia"/>
                  </w:rPr>
                  <w:t>否</w:t>
                </w:r>
              </w:p>
            </w:tc>
          </w:sdtContent>
        </w:sdt>
      </w:tr>
      <w:tr w:rsidR="00577D08" w14:paraId="39403416" w14:textId="77777777" w:rsidTr="00CC5C32">
        <w:trPr>
          <w:trHeight w:val="300"/>
        </w:trPr>
        <w:tc>
          <w:tcPr>
            <w:tcW w:w="4678" w:type="dxa"/>
            <w:vAlign w:val="center"/>
          </w:tcPr>
          <w:p w14:paraId="36BD07B8" w14:textId="77777777" w:rsidR="00577D08" w:rsidRDefault="00330FC0">
            <w:r>
              <w:rPr>
                <w:rFonts w:hint="eastAsia"/>
              </w:rPr>
              <w:t>主要</w:t>
            </w:r>
            <w:r>
              <w:t>职业及职务</w:t>
            </w:r>
          </w:p>
        </w:tc>
        <w:tc>
          <w:tcPr>
            <w:tcW w:w="3119" w:type="dxa"/>
            <w:vAlign w:val="center"/>
          </w:tcPr>
          <w:p w14:paraId="0CDDEFAB" w14:textId="77777777" w:rsidR="00577D08" w:rsidRDefault="00330FC0" w:rsidP="00E6534C">
            <w:pPr>
              <w:jc w:val="center"/>
            </w:pPr>
            <w:r>
              <w:rPr>
                <w:rFonts w:hint="eastAsia"/>
              </w:rPr>
              <w:t>无</w:t>
            </w:r>
          </w:p>
        </w:tc>
      </w:tr>
      <w:tr w:rsidR="00577D08" w14:paraId="6058E929" w14:textId="77777777" w:rsidTr="00CC5C32">
        <w:trPr>
          <w:trHeight w:val="309"/>
        </w:trPr>
        <w:tc>
          <w:tcPr>
            <w:tcW w:w="4678" w:type="dxa"/>
            <w:vAlign w:val="center"/>
          </w:tcPr>
          <w:p w14:paraId="6F1AF5F9" w14:textId="77777777" w:rsidR="00577D08" w:rsidRDefault="00330FC0">
            <w:r>
              <w:t>过去</w:t>
            </w:r>
            <w:r>
              <w:t>10</w:t>
            </w:r>
            <w:r>
              <w:t>年曾控股的境内外上市公司情况</w:t>
            </w:r>
          </w:p>
        </w:tc>
        <w:tc>
          <w:tcPr>
            <w:tcW w:w="3119" w:type="dxa"/>
            <w:vAlign w:val="center"/>
          </w:tcPr>
          <w:p w14:paraId="785B4452" w14:textId="77777777" w:rsidR="00577D08" w:rsidRDefault="00330FC0" w:rsidP="00E6534C">
            <w:pPr>
              <w:jc w:val="center"/>
            </w:pPr>
            <w:r>
              <w:rPr>
                <w:rFonts w:hint="eastAsia"/>
              </w:rPr>
              <w:t>无</w:t>
            </w:r>
          </w:p>
        </w:tc>
      </w:tr>
      <w:tr w:rsidR="00577D08" w14:paraId="5819F315" w14:textId="77777777" w:rsidTr="00CC5C32">
        <w:trPr>
          <w:trHeight w:val="165"/>
        </w:trPr>
        <w:tc>
          <w:tcPr>
            <w:tcW w:w="4678" w:type="dxa"/>
            <w:vAlign w:val="center"/>
          </w:tcPr>
          <w:p w14:paraId="4DF5AEF9" w14:textId="77777777" w:rsidR="00577D08" w:rsidRDefault="00330FC0">
            <w:r>
              <w:t>姓名</w:t>
            </w:r>
          </w:p>
        </w:tc>
        <w:tc>
          <w:tcPr>
            <w:tcW w:w="3119" w:type="dxa"/>
            <w:vAlign w:val="center"/>
          </w:tcPr>
          <w:p w14:paraId="65466191" w14:textId="77777777" w:rsidR="00577D08" w:rsidRDefault="00330FC0" w:rsidP="00E6534C">
            <w:pPr>
              <w:jc w:val="center"/>
            </w:pPr>
            <w:r>
              <w:rPr>
                <w:rFonts w:hint="eastAsia"/>
              </w:rPr>
              <w:t>杨秦</w:t>
            </w:r>
          </w:p>
        </w:tc>
      </w:tr>
      <w:tr w:rsidR="00577D08" w14:paraId="5FB5CE17" w14:textId="77777777" w:rsidTr="00CC5C32">
        <w:trPr>
          <w:trHeight w:val="195"/>
        </w:trPr>
        <w:tc>
          <w:tcPr>
            <w:tcW w:w="4678" w:type="dxa"/>
            <w:vAlign w:val="center"/>
          </w:tcPr>
          <w:p w14:paraId="768F4CAF" w14:textId="77777777" w:rsidR="00577D08" w:rsidRDefault="00330FC0">
            <w:r>
              <w:t>国籍</w:t>
            </w:r>
          </w:p>
        </w:tc>
        <w:tc>
          <w:tcPr>
            <w:tcW w:w="3119" w:type="dxa"/>
            <w:vAlign w:val="center"/>
          </w:tcPr>
          <w:p w14:paraId="727DD087" w14:textId="77777777" w:rsidR="00577D08" w:rsidRDefault="00330FC0" w:rsidP="00E6534C">
            <w:pPr>
              <w:jc w:val="center"/>
            </w:pPr>
            <w:r>
              <w:rPr>
                <w:rFonts w:hint="eastAsia"/>
              </w:rPr>
              <w:t>中国</w:t>
            </w:r>
          </w:p>
        </w:tc>
      </w:tr>
      <w:tr w:rsidR="00577D08" w14:paraId="200ABD6E" w14:textId="77777777" w:rsidTr="00CC5C32">
        <w:trPr>
          <w:trHeight w:val="105"/>
        </w:trPr>
        <w:tc>
          <w:tcPr>
            <w:tcW w:w="4678" w:type="dxa"/>
            <w:vAlign w:val="center"/>
          </w:tcPr>
          <w:p w14:paraId="5CB03CB8" w14:textId="77777777" w:rsidR="00577D08" w:rsidRDefault="00330FC0">
            <w:r>
              <w:t>是否取得其他国家或地区居留权</w:t>
            </w:r>
          </w:p>
        </w:tc>
        <w:sdt>
          <w:sdtPr>
            <w:rPr>
              <w:rFonts w:hint="eastAsia"/>
            </w:rPr>
            <w:alias w:val="自然人实际控制人是否取得其他国家或地区居留权"/>
            <w:tag w:val="_GBC_f7a7b9fa20b64c878e9aae9e01be99d7"/>
            <w:id w:val="-2101019531"/>
            <w:comboBox>
              <w:listItem w:displayText="是" w:value="true"/>
              <w:listItem w:displayText="否" w:value="false"/>
            </w:comboBox>
          </w:sdtPr>
          <w:sdtContent>
            <w:tc>
              <w:tcPr>
                <w:tcW w:w="3119" w:type="dxa"/>
                <w:vAlign w:val="center"/>
              </w:tcPr>
              <w:p w14:paraId="70163C0D" w14:textId="77777777" w:rsidR="00577D08" w:rsidRDefault="00330FC0" w:rsidP="00E6534C">
                <w:pPr>
                  <w:jc w:val="center"/>
                </w:pPr>
                <w:r>
                  <w:rPr>
                    <w:rFonts w:hint="eastAsia"/>
                  </w:rPr>
                  <w:t>否</w:t>
                </w:r>
              </w:p>
            </w:tc>
          </w:sdtContent>
        </w:sdt>
      </w:tr>
      <w:tr w:rsidR="00577D08" w14:paraId="01334412" w14:textId="77777777" w:rsidTr="00CC5C32">
        <w:trPr>
          <w:trHeight w:val="300"/>
        </w:trPr>
        <w:tc>
          <w:tcPr>
            <w:tcW w:w="4678" w:type="dxa"/>
            <w:vAlign w:val="center"/>
          </w:tcPr>
          <w:p w14:paraId="5711DE6E" w14:textId="77777777" w:rsidR="00577D08" w:rsidRDefault="00330FC0">
            <w:r>
              <w:rPr>
                <w:rFonts w:hint="eastAsia"/>
              </w:rPr>
              <w:t>主要</w:t>
            </w:r>
            <w:r>
              <w:t>职业及职务</w:t>
            </w:r>
          </w:p>
        </w:tc>
        <w:tc>
          <w:tcPr>
            <w:tcW w:w="3119" w:type="dxa"/>
            <w:vAlign w:val="center"/>
          </w:tcPr>
          <w:p w14:paraId="638F0803" w14:textId="77777777" w:rsidR="00577D08" w:rsidRDefault="00330FC0" w:rsidP="00E6534C">
            <w:pPr>
              <w:jc w:val="center"/>
            </w:pPr>
            <w:r>
              <w:rPr>
                <w:rFonts w:hint="eastAsia"/>
              </w:rPr>
              <w:t>无</w:t>
            </w:r>
          </w:p>
        </w:tc>
      </w:tr>
      <w:tr w:rsidR="00577D08" w14:paraId="3FE888B6" w14:textId="77777777" w:rsidTr="00CC5C32">
        <w:trPr>
          <w:trHeight w:val="309"/>
        </w:trPr>
        <w:tc>
          <w:tcPr>
            <w:tcW w:w="4678" w:type="dxa"/>
            <w:vAlign w:val="center"/>
          </w:tcPr>
          <w:p w14:paraId="26C70603" w14:textId="77777777" w:rsidR="00577D08" w:rsidRDefault="00330FC0">
            <w:r>
              <w:t>过去</w:t>
            </w:r>
            <w:r>
              <w:t>10</w:t>
            </w:r>
            <w:r>
              <w:t>年曾控股的境内外上市公司情况</w:t>
            </w:r>
          </w:p>
        </w:tc>
        <w:tc>
          <w:tcPr>
            <w:tcW w:w="3119" w:type="dxa"/>
            <w:vAlign w:val="center"/>
          </w:tcPr>
          <w:p w14:paraId="3C3E5FA8" w14:textId="77777777" w:rsidR="00577D08" w:rsidRDefault="00330FC0" w:rsidP="00E6534C">
            <w:pPr>
              <w:jc w:val="center"/>
            </w:pPr>
            <w:r>
              <w:rPr>
                <w:rFonts w:hint="eastAsia"/>
              </w:rPr>
              <w:t>无</w:t>
            </w:r>
          </w:p>
        </w:tc>
      </w:tr>
      <w:tr w:rsidR="00577D08" w14:paraId="2DF914DE" w14:textId="77777777" w:rsidTr="00CC5C32">
        <w:trPr>
          <w:trHeight w:val="165"/>
        </w:trPr>
        <w:tc>
          <w:tcPr>
            <w:tcW w:w="4678" w:type="dxa"/>
            <w:vAlign w:val="center"/>
          </w:tcPr>
          <w:p w14:paraId="56D173A6" w14:textId="77777777" w:rsidR="00577D08" w:rsidRDefault="00330FC0">
            <w:r>
              <w:t>姓名</w:t>
            </w:r>
          </w:p>
        </w:tc>
        <w:tc>
          <w:tcPr>
            <w:tcW w:w="3119" w:type="dxa"/>
            <w:vAlign w:val="center"/>
          </w:tcPr>
          <w:p w14:paraId="3C4E96B9" w14:textId="77777777" w:rsidR="00577D08" w:rsidRDefault="00330FC0" w:rsidP="00E6534C">
            <w:pPr>
              <w:jc w:val="center"/>
            </w:pPr>
            <w:r>
              <w:rPr>
                <w:rFonts w:hint="eastAsia"/>
              </w:rPr>
              <w:t>杨耀</w:t>
            </w:r>
          </w:p>
        </w:tc>
      </w:tr>
      <w:tr w:rsidR="00577D08" w14:paraId="1673EB2E" w14:textId="77777777" w:rsidTr="00CC5C32">
        <w:trPr>
          <w:trHeight w:val="195"/>
        </w:trPr>
        <w:tc>
          <w:tcPr>
            <w:tcW w:w="4678" w:type="dxa"/>
            <w:vAlign w:val="center"/>
          </w:tcPr>
          <w:p w14:paraId="47A2646F" w14:textId="77777777" w:rsidR="00577D08" w:rsidRDefault="00330FC0">
            <w:r>
              <w:t>国籍</w:t>
            </w:r>
          </w:p>
        </w:tc>
        <w:tc>
          <w:tcPr>
            <w:tcW w:w="3119" w:type="dxa"/>
            <w:vAlign w:val="center"/>
          </w:tcPr>
          <w:p w14:paraId="3BF3E3B8" w14:textId="77777777" w:rsidR="00577D08" w:rsidRDefault="00330FC0" w:rsidP="00E6534C">
            <w:pPr>
              <w:jc w:val="center"/>
            </w:pPr>
            <w:r>
              <w:rPr>
                <w:rFonts w:hint="eastAsia"/>
              </w:rPr>
              <w:t>中国</w:t>
            </w:r>
          </w:p>
        </w:tc>
      </w:tr>
      <w:tr w:rsidR="00577D08" w14:paraId="775DBA5E" w14:textId="77777777" w:rsidTr="00CC5C32">
        <w:trPr>
          <w:trHeight w:val="105"/>
        </w:trPr>
        <w:tc>
          <w:tcPr>
            <w:tcW w:w="4678" w:type="dxa"/>
            <w:vAlign w:val="center"/>
          </w:tcPr>
          <w:p w14:paraId="7811F54F" w14:textId="77777777" w:rsidR="00577D08" w:rsidRDefault="00330FC0">
            <w:r>
              <w:t>是否取得其他国家或地区居留权</w:t>
            </w:r>
          </w:p>
        </w:tc>
        <w:sdt>
          <w:sdtPr>
            <w:rPr>
              <w:rFonts w:hint="eastAsia"/>
            </w:rPr>
            <w:alias w:val="自然人实际控制人是否取得其他国家或地区居留权"/>
            <w:tag w:val="_GBC_f7a7b9fa20b64c878e9aae9e01be99d7"/>
            <w:id w:val="2123487152"/>
            <w:comboBox>
              <w:listItem w:displayText="是" w:value="true"/>
              <w:listItem w:displayText="否" w:value="false"/>
            </w:comboBox>
          </w:sdtPr>
          <w:sdtContent>
            <w:tc>
              <w:tcPr>
                <w:tcW w:w="3119" w:type="dxa"/>
                <w:vAlign w:val="center"/>
              </w:tcPr>
              <w:p w14:paraId="63FCE157" w14:textId="77777777" w:rsidR="00577D08" w:rsidRDefault="00330FC0" w:rsidP="00E6534C">
                <w:pPr>
                  <w:jc w:val="center"/>
                </w:pPr>
                <w:r>
                  <w:rPr>
                    <w:rFonts w:hint="eastAsia"/>
                  </w:rPr>
                  <w:t>否</w:t>
                </w:r>
              </w:p>
            </w:tc>
          </w:sdtContent>
        </w:sdt>
      </w:tr>
      <w:tr w:rsidR="00577D08" w14:paraId="5B74D3FC" w14:textId="77777777" w:rsidTr="00CC5C32">
        <w:trPr>
          <w:trHeight w:val="300"/>
        </w:trPr>
        <w:tc>
          <w:tcPr>
            <w:tcW w:w="4678" w:type="dxa"/>
            <w:vAlign w:val="center"/>
          </w:tcPr>
          <w:p w14:paraId="61C39A56" w14:textId="77777777" w:rsidR="00577D08" w:rsidRDefault="00330FC0">
            <w:r>
              <w:rPr>
                <w:rFonts w:hint="eastAsia"/>
              </w:rPr>
              <w:t>主要</w:t>
            </w:r>
            <w:r>
              <w:t>职业及职务</w:t>
            </w:r>
          </w:p>
        </w:tc>
        <w:tc>
          <w:tcPr>
            <w:tcW w:w="3119" w:type="dxa"/>
            <w:vAlign w:val="center"/>
          </w:tcPr>
          <w:p w14:paraId="2804CE8E" w14:textId="77777777" w:rsidR="00577D08" w:rsidRDefault="00330FC0" w:rsidP="00E6534C">
            <w:pPr>
              <w:jc w:val="center"/>
            </w:pPr>
            <w:r>
              <w:rPr>
                <w:rFonts w:hint="eastAsia"/>
              </w:rPr>
              <w:t>新材料销售部经理</w:t>
            </w:r>
          </w:p>
        </w:tc>
      </w:tr>
      <w:tr w:rsidR="00577D08" w14:paraId="739A08D1" w14:textId="77777777" w:rsidTr="00CC5C32">
        <w:trPr>
          <w:trHeight w:val="309"/>
        </w:trPr>
        <w:tc>
          <w:tcPr>
            <w:tcW w:w="4678" w:type="dxa"/>
            <w:vAlign w:val="center"/>
          </w:tcPr>
          <w:p w14:paraId="2BF53F71" w14:textId="77777777" w:rsidR="00577D08" w:rsidRDefault="00330FC0">
            <w:r>
              <w:t>过去</w:t>
            </w:r>
            <w:r>
              <w:t>10</w:t>
            </w:r>
            <w:r>
              <w:t>年曾控股的境内外上市公司情况</w:t>
            </w:r>
          </w:p>
        </w:tc>
        <w:tc>
          <w:tcPr>
            <w:tcW w:w="3119" w:type="dxa"/>
            <w:vAlign w:val="center"/>
          </w:tcPr>
          <w:p w14:paraId="7A8FA42B" w14:textId="77777777" w:rsidR="00577D08" w:rsidRDefault="00330FC0" w:rsidP="00E6534C">
            <w:pPr>
              <w:jc w:val="center"/>
            </w:pPr>
            <w:r>
              <w:rPr>
                <w:rFonts w:hint="eastAsia"/>
              </w:rPr>
              <w:t>无</w:t>
            </w:r>
          </w:p>
        </w:tc>
      </w:tr>
    </w:tbl>
    <w:p w14:paraId="77513C39" w14:textId="77777777" w:rsidR="00577D08" w:rsidRDefault="00330FC0">
      <w:pPr>
        <w:pStyle w:val="4"/>
        <w:numPr>
          <w:ilvl w:val="0"/>
          <w:numId w:val="50"/>
        </w:numPr>
        <w:rPr>
          <w:rFonts w:hint="eastAsia"/>
        </w:rPr>
      </w:pPr>
      <w:r>
        <w:t>公司不存在实际控制人情况的特别说明</w:t>
      </w:r>
    </w:p>
    <w:sdt>
      <w:sdtPr>
        <w:rPr>
          <w:rFonts w:hint="eastAsia"/>
        </w:rPr>
        <w:alias w:val="是否适用：公司不存在实际控制人情况的特别说明[双击切换]"/>
        <w:tag w:val="_GBC_7380ff5e0fc6471583dc22db2252e039"/>
        <w:id w:val="-553384102"/>
        <w:placeholder>
          <w:docPart w:val="GBC22222222222222222222222222222"/>
        </w:placeholder>
      </w:sdtPr>
      <w:sdtContent>
        <w:p w14:paraId="0280521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FDB02AC" w14:textId="77777777" w:rsidR="00577D08" w:rsidRDefault="00330FC0">
      <w:pPr>
        <w:pStyle w:val="4"/>
        <w:numPr>
          <w:ilvl w:val="0"/>
          <w:numId w:val="50"/>
        </w:numPr>
        <w:rPr>
          <w:rFonts w:hint="eastAsia"/>
        </w:rPr>
      </w:pPr>
      <w:r>
        <w:t>报告期内</w:t>
      </w:r>
      <w:r>
        <w:rPr>
          <w:rFonts w:hint="eastAsia"/>
        </w:rPr>
        <w:t>公司</w:t>
      </w:r>
      <w:r>
        <w:t>控制</w:t>
      </w:r>
      <w:r>
        <w:rPr>
          <w:rFonts w:hint="eastAsia"/>
        </w:rPr>
        <w:t>权发生</w:t>
      </w:r>
      <w:r>
        <w:t>变更</w:t>
      </w:r>
      <w:r>
        <w:rPr>
          <w:rFonts w:hint="eastAsia"/>
        </w:rPr>
        <w:t>的情况说明</w:t>
      </w:r>
    </w:p>
    <w:sdt>
      <w:sdtPr>
        <w:rPr>
          <w:rFonts w:hint="eastAsia"/>
        </w:rPr>
        <w:alias w:val="是否适用：报告期内公司控制权发生变更的情况说明 [双击切换]"/>
        <w:tag w:val="_GBC_f12f62e5c67e473692b22389cda35aaa"/>
        <w:id w:val="-1878857028"/>
        <w:placeholder>
          <w:docPart w:val="GBC22222222222222222222222222222"/>
        </w:placeholder>
      </w:sdtPr>
      <w:sdtContent>
        <w:p w14:paraId="600235AF"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FD26A11" w14:textId="77777777" w:rsidR="00577D08" w:rsidRDefault="00330FC0">
      <w:pPr>
        <w:pStyle w:val="4"/>
        <w:numPr>
          <w:ilvl w:val="0"/>
          <w:numId w:val="50"/>
        </w:numPr>
        <w:rPr>
          <w:rFonts w:hint="eastAsia"/>
        </w:rPr>
      </w:pPr>
      <w:r>
        <w:t>公司与实际控制人之间的产权及控制关系的方框图</w:t>
      </w:r>
    </w:p>
    <w:sdt>
      <w:sdtPr>
        <w:alias w:val="是否适用：公司与实际控制人之间的产权及控制关系的方框图[双击切换]"/>
        <w:tag w:val="_GBC_8ddc5ba6a04141dc94582029460f81bd"/>
        <w:id w:val="-269704059"/>
        <w:placeholder>
          <w:docPart w:val="GBC22222222222222222222222222222"/>
        </w:placeholder>
      </w:sdtPr>
      <w:sdtContent>
        <w:p w14:paraId="563BF2CE"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DEA080" w14:textId="77777777" w:rsidR="00577D08" w:rsidRDefault="00000000">
      <w:pPr>
        <w:jc w:val="center"/>
      </w:pPr>
      <w:sdt>
        <w:sdtPr>
          <w:rPr>
            <w:rFonts w:hint="eastAsia"/>
          </w:rPr>
          <w:alias w:val="图片：公司与实际控制人之间的产权及控制关系的方框图"/>
          <w:tag w:val="_GBC_538f0b25ae684717a3c8362262a5a004"/>
          <w:id w:val="-472068496"/>
          <w:placeholder>
            <w:docPart w:val="GBC22222222222222222222222222222"/>
          </w:placeholder>
          <w:picture/>
        </w:sdtPr>
        <w:sdtContent>
          <w:r w:rsidR="00330FC0">
            <w:rPr>
              <w:noProof/>
            </w:rPr>
            <w:drawing>
              <wp:inline distT="0" distB="0" distL="0" distR="0" wp14:anchorId="6CC7212A" wp14:editId="2E50277E">
                <wp:extent cx="4488815" cy="2066290"/>
                <wp:effectExtent l="0" t="0" r="698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488815" cy="2066290"/>
                        </a:xfrm>
                        <a:prstGeom prst="rect">
                          <a:avLst/>
                        </a:prstGeom>
                        <a:noFill/>
                        <a:ln>
                          <a:noFill/>
                        </a:ln>
                      </pic:spPr>
                    </pic:pic>
                  </a:graphicData>
                </a:graphic>
              </wp:inline>
            </w:drawing>
          </w:r>
        </w:sdtContent>
      </w:sdt>
    </w:p>
    <w:p w14:paraId="7BC03C44" w14:textId="77777777" w:rsidR="00577D08" w:rsidRDefault="00330FC0">
      <w:pPr>
        <w:pStyle w:val="4"/>
        <w:numPr>
          <w:ilvl w:val="0"/>
          <w:numId w:val="50"/>
        </w:numPr>
        <w:rPr>
          <w:rFonts w:hint="eastAsia"/>
        </w:r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84472368"/>
        <w:placeholder>
          <w:docPart w:val="GBC22222222222222222222222222222"/>
        </w:placeholder>
      </w:sdtPr>
      <w:sdtContent>
        <w:p w14:paraId="18D500E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E8F7B19" w14:textId="77777777" w:rsidR="00577D08" w:rsidRDefault="00330FC0">
      <w:pPr>
        <w:pStyle w:val="3"/>
        <w:numPr>
          <w:ilvl w:val="0"/>
          <w:numId w:val="48"/>
        </w:numPr>
      </w:pPr>
      <w:r>
        <w:t>控股股东及实际控制人其他情况介绍</w:t>
      </w:r>
    </w:p>
    <w:sdt>
      <w:sdtPr>
        <w:rPr>
          <w:rFonts w:hint="eastAsia"/>
        </w:rPr>
        <w:alias w:val="是否适用：控股股东及实际控制人其他情况介绍[双击切换]"/>
        <w:tag w:val="_GBC_f45ea2fa04e04b71a116fba6ba3bff32"/>
        <w:id w:val="-1174183437"/>
        <w:placeholder>
          <w:docPart w:val="GBC22222222222222222222222222222"/>
        </w:placeholder>
      </w:sdtPr>
      <w:sdtContent>
        <w:p w14:paraId="2172533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9F006E1" w14:textId="77777777" w:rsidR="00577D08" w:rsidRDefault="00330FC0">
      <w:pPr>
        <w:pStyle w:val="2"/>
        <w:numPr>
          <w:ilvl w:val="0"/>
          <w:numId w:val="43"/>
        </w:numPr>
        <w:ind w:left="0" w:firstLine="0"/>
      </w:pPr>
      <w:bookmarkStart w:id="270" w:name="_Hlk89353035"/>
      <w:r>
        <w:t>公司控股股东或第一大股东及其一致行动人累计质押股份数量占其所持公司股份数量比例达到</w:t>
      </w:r>
      <w:r>
        <w:t>80%</w:t>
      </w:r>
      <w:r>
        <w:t>以上</w:t>
      </w:r>
    </w:p>
    <w:sdt>
      <w:sdtPr>
        <w:rPr>
          <w:rFonts w:hint="eastAsia"/>
        </w:rPr>
        <w:alias w:val="是否适用：公司控股股东或第一大股东及其一致行动人累计质押股份数量情况明细[双击切换]"/>
        <w:tag w:val="_GBC_f07bbd5a46a94903bbea3fbbdc7b769f"/>
        <w:id w:val="-99722380"/>
        <w:placeholder>
          <w:docPart w:val="GBC22222222222222222222222222222"/>
        </w:placeholder>
      </w:sdtPr>
      <w:sdtContent>
        <w:p w14:paraId="4844B6A9"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70"/>
    <w:p w14:paraId="0F2051D5" w14:textId="77777777" w:rsidR="00577D08" w:rsidRDefault="00330FC0">
      <w:pPr>
        <w:pStyle w:val="2"/>
        <w:numPr>
          <w:ilvl w:val="0"/>
          <w:numId w:val="43"/>
        </w:numPr>
      </w:pPr>
      <w:r>
        <w:rPr>
          <w:rFonts w:hint="eastAsia"/>
        </w:rPr>
        <w:t>其他持股在百分之十以上的法人股东</w:t>
      </w:r>
    </w:p>
    <w:sdt>
      <w:sdtPr>
        <w:alias w:val="是否适用：其他持股在百分之十以上的法人股东[双击切换]"/>
        <w:tag w:val="_GBC_7c5d05f2d72d4d3c9ef6e9b93777b39f"/>
        <w:id w:val="-12925686"/>
        <w:placeholder>
          <w:docPart w:val="GBC22222222222222222222222222222"/>
        </w:placeholder>
      </w:sdtPr>
      <w:sdtContent>
        <w:p w14:paraId="65F00316"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3B3515D" w14:textId="77777777" w:rsidR="00577D08" w:rsidRDefault="00330FC0">
      <w:pPr>
        <w:pStyle w:val="2"/>
        <w:numPr>
          <w:ilvl w:val="0"/>
          <w:numId w:val="43"/>
        </w:numPr>
      </w:pPr>
      <w:r>
        <w:rPr>
          <w:rFonts w:hint="eastAsia"/>
        </w:rPr>
        <w:lastRenderedPageBreak/>
        <w:t>股份限制减持情况说明</w:t>
      </w:r>
    </w:p>
    <w:p w14:paraId="5145259D" w14:textId="77777777" w:rsidR="00577D08" w:rsidRDefault="00000000">
      <w:sdt>
        <w:sdtPr>
          <w:rPr>
            <w:rFonts w:hint="eastAsia"/>
          </w:rPr>
          <w:alias w:val="是否适用：股份限制减持情况说明[双击切换]"/>
          <w:tag w:val="_GBC_38db60098ddc4e12bffd328b521e0c35"/>
          <w:id w:val="-1802378938"/>
          <w:placeholder>
            <w:docPart w:val="GBC22222222222222222222222222222"/>
          </w:placeholder>
        </w:sdtPr>
        <w:sdtEndPr>
          <w:rPr>
            <w:rFonts w:hint="default"/>
          </w:rPr>
        </w:sdtEndPr>
        <w:sdtContent>
          <w:r w:rsidR="00330FC0">
            <w:rPr>
              <w:rFonts w:ascii="宋体" w:hAnsi="宋体"/>
            </w:rPr>
            <w:fldChar w:fldCharType="begin"/>
          </w:r>
          <w:r w:rsidR="00330FC0">
            <w:rPr>
              <w:rFonts w:ascii="宋体" w:hAnsi="宋体"/>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64C0E727" w14:textId="77777777" w:rsidR="00577D08" w:rsidRDefault="00330FC0">
      <w:pPr>
        <w:pStyle w:val="2"/>
        <w:numPr>
          <w:ilvl w:val="0"/>
          <w:numId w:val="43"/>
        </w:numPr>
      </w:pPr>
      <w:bookmarkStart w:id="271" w:name="_Hlk89353439"/>
      <w:bookmarkStart w:id="272" w:name="_Hlk90042255"/>
      <w:r>
        <w:rPr>
          <w:rFonts w:hint="eastAsia"/>
        </w:rPr>
        <w:t>股份回购在报告期的具体实施情况</w:t>
      </w:r>
    </w:p>
    <w:sdt>
      <w:sdtPr>
        <w:rPr>
          <w:rFonts w:hint="eastAsia"/>
        </w:rPr>
        <w:alias w:val="是否适用：股份回购在报告期的具体实施情况[双击切换]"/>
        <w:tag w:val="_GBC_382f884c74d74cfd9a74c18c52645b0e"/>
        <w:id w:val="-1243255892"/>
        <w:placeholder>
          <w:docPart w:val="GBC22222222222222222222222222222"/>
        </w:placeholder>
      </w:sdtPr>
      <w:sdtContent>
        <w:p w14:paraId="5770AB5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71"/>
    <w:bookmarkEnd w:id="272"/>
    <w:p w14:paraId="18692EB3" w14:textId="77777777" w:rsidR="00577D08" w:rsidRDefault="00330FC0">
      <w:pPr>
        <w:pStyle w:val="2"/>
        <w:numPr>
          <w:ilvl w:val="0"/>
          <w:numId w:val="43"/>
        </w:numPr>
        <w:rPr>
          <w:rFonts w:ascii="Calibri" w:hAnsi="Calibri"/>
          <w:szCs w:val="22"/>
        </w:rPr>
      </w:pPr>
      <w:r>
        <w:rPr>
          <w:rFonts w:ascii="Calibri" w:hAnsi="Calibri" w:hint="eastAsia"/>
          <w:szCs w:val="22"/>
        </w:rPr>
        <w:t>优先股相关情况</w:t>
      </w:r>
    </w:p>
    <w:sdt>
      <w:sdtPr>
        <w:alias w:val="是否适用：优先股相关情况[双击切换]"/>
        <w:tag w:val="_GBC_0076278996ac412e9bff14977615c2e3"/>
        <w:id w:val="2050873634"/>
        <w:placeholder>
          <w:docPart w:val="GBC22222222222222222222222222222"/>
        </w:placeholder>
      </w:sdtPr>
      <w:sdtContent>
        <w:p w14:paraId="16314E90" w14:textId="77777777" w:rsidR="00577D08" w:rsidRDefault="00330FC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C9FB35D" w14:textId="77777777" w:rsidR="00577D08" w:rsidRDefault="00577D08">
      <w:bookmarkStart w:id="273" w:name="_Toc342566003"/>
    </w:p>
    <w:p w14:paraId="15B0FAD0" w14:textId="77777777" w:rsidR="00577D08" w:rsidRDefault="00577D08"/>
    <w:p w14:paraId="4192B323" w14:textId="77777777" w:rsidR="00577D08" w:rsidRDefault="00577D08">
      <w:pPr>
        <w:sectPr w:rsidR="00577D08">
          <w:pgSz w:w="11906" w:h="16838"/>
          <w:pgMar w:top="1525" w:right="1276" w:bottom="1440" w:left="1797" w:header="855" w:footer="992" w:gutter="0"/>
          <w:cols w:space="425"/>
          <w:docGrid w:linePitch="312"/>
        </w:sectPr>
      </w:pPr>
    </w:p>
    <w:p w14:paraId="33EF1AAF" w14:textId="77777777" w:rsidR="00577D08" w:rsidRDefault="00330FC0">
      <w:pPr>
        <w:pStyle w:val="1"/>
        <w:numPr>
          <w:ilvl w:val="0"/>
          <w:numId w:val="2"/>
        </w:numPr>
        <w:rPr>
          <w:bCs w:val="0"/>
          <w:szCs w:val="28"/>
        </w:rPr>
      </w:pPr>
      <w:bookmarkStart w:id="274" w:name="_Toc191024262"/>
      <w:bookmarkStart w:id="275" w:name="_Toc437440717"/>
      <w:bookmarkStart w:id="276" w:name="_Hlk90555499"/>
      <w:bookmarkEnd w:id="273"/>
      <w:r>
        <w:rPr>
          <w:rFonts w:hint="eastAsia"/>
          <w:bCs w:val="0"/>
          <w:szCs w:val="28"/>
        </w:rPr>
        <w:lastRenderedPageBreak/>
        <w:t>债券相关情况</w:t>
      </w:r>
    </w:p>
    <w:p w14:paraId="76DF84A9" w14:textId="77777777" w:rsidR="00577D08" w:rsidRDefault="00330FC0">
      <w:pPr>
        <w:pStyle w:val="2"/>
        <w:numPr>
          <w:ilvl w:val="0"/>
          <w:numId w:val="51"/>
        </w:numPr>
        <w:ind w:left="425" w:hanging="425"/>
        <w:rPr>
          <w:rFonts w:ascii="宋体" w:hAnsi="宋体" w:hint="eastAsia"/>
        </w:rPr>
      </w:pPr>
      <w:bookmarkStart w:id="277" w:name="_Hlk89353982"/>
      <w:bookmarkStart w:id="278" w:name="_Hlk89955979"/>
      <w:bookmarkStart w:id="279" w:name="_Hlk90042478"/>
      <w:bookmarkEnd w:id="274"/>
      <w:bookmarkEnd w:id="275"/>
      <w:r>
        <w:rPr>
          <w:rFonts w:ascii="宋体" w:hAnsi="宋体" w:hint="eastAsia"/>
        </w:rPr>
        <w:t>公司债券（含企业债券）和非金融企业债务融资工具</w:t>
      </w:r>
    </w:p>
    <w:bookmarkStart w:id="280" w:name="_Hlk73352152" w:displacedByCustomXml="next"/>
    <w:sdt>
      <w:sdtPr>
        <w:alias w:val="是否适用：债券相关情况[双击切换]"/>
        <w:tag w:val="_GBC_804ac0b5f8c94edbbb148299204e0a43"/>
        <w:id w:val="59759691"/>
        <w:placeholder>
          <w:docPart w:val="GBC22222222222222222222222222222"/>
        </w:placeholder>
      </w:sdtPr>
      <w:sdtContent>
        <w:p w14:paraId="77F14678"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77"/>
    <w:bookmarkEnd w:id="278"/>
    <w:bookmarkEnd w:id="280"/>
    <w:p w14:paraId="7E296C31" w14:textId="77777777" w:rsidR="00577D08" w:rsidRDefault="00330FC0">
      <w:pPr>
        <w:pStyle w:val="2"/>
        <w:numPr>
          <w:ilvl w:val="0"/>
          <w:numId w:val="51"/>
        </w:numPr>
        <w:ind w:left="425" w:hanging="425"/>
        <w:rPr>
          <w:rFonts w:ascii="宋体" w:hAnsi="宋体" w:hint="eastAsia"/>
        </w:rPr>
      </w:pPr>
      <w:r>
        <w:rPr>
          <w:rFonts w:ascii="宋体" w:hAnsi="宋体" w:hint="eastAsia"/>
        </w:rPr>
        <w:t>可转换公司债券情况</w:t>
      </w:r>
    </w:p>
    <w:sdt>
      <w:sdtPr>
        <w:rPr>
          <w:rFonts w:hint="eastAsia"/>
        </w:rPr>
        <w:alias w:val="是否适用：可转换公司债券情况[双击切换]"/>
        <w:tag w:val="_GBC_9680c57d3e6a4ee9b01aefbd4b8545db"/>
        <w:id w:val="1246688151"/>
        <w:placeholder>
          <w:docPart w:val="GBC22222222222222222222222222222"/>
        </w:placeholder>
      </w:sdtPr>
      <w:sdtContent>
        <w:p w14:paraId="162884B8"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B78567E" w14:textId="77777777" w:rsidR="00577D08" w:rsidRDefault="00577D08"/>
    <w:p w14:paraId="429AFCD6" w14:textId="77777777" w:rsidR="00577D08" w:rsidRDefault="00577D08">
      <w:pPr>
        <w:spacing w:line="360" w:lineRule="exact"/>
        <w:ind w:right="5"/>
      </w:pPr>
    </w:p>
    <w:bookmarkEnd w:id="276"/>
    <w:bookmarkEnd w:id="279"/>
    <w:p w14:paraId="4EE26825" w14:textId="77777777" w:rsidR="00577D08" w:rsidRDefault="00577D08">
      <w:pPr>
        <w:spacing w:line="360" w:lineRule="exact"/>
        <w:ind w:right="5"/>
      </w:pPr>
    </w:p>
    <w:p w14:paraId="5EC23B71" w14:textId="77777777" w:rsidR="00577D08" w:rsidRDefault="00577D08">
      <w:pPr>
        <w:spacing w:line="360" w:lineRule="exact"/>
        <w:ind w:right="5"/>
      </w:pPr>
    </w:p>
    <w:p w14:paraId="5C6F3C62" w14:textId="77777777" w:rsidR="00577D08" w:rsidRDefault="00577D08">
      <w:pPr>
        <w:spacing w:line="360" w:lineRule="exact"/>
        <w:ind w:right="5"/>
      </w:pPr>
    </w:p>
    <w:p w14:paraId="326C6FBE" w14:textId="77777777" w:rsidR="00577D08" w:rsidRDefault="00577D08">
      <w:pPr>
        <w:spacing w:line="360" w:lineRule="exact"/>
        <w:ind w:right="5"/>
      </w:pPr>
    </w:p>
    <w:p w14:paraId="05079455" w14:textId="77777777" w:rsidR="00577D08" w:rsidRDefault="00577D08">
      <w:pPr>
        <w:spacing w:line="360" w:lineRule="exact"/>
        <w:ind w:right="5"/>
      </w:pPr>
    </w:p>
    <w:p w14:paraId="0ED23F39" w14:textId="77777777" w:rsidR="00577D08" w:rsidRDefault="00577D08">
      <w:pPr>
        <w:spacing w:line="360" w:lineRule="exact"/>
        <w:ind w:right="5"/>
      </w:pPr>
    </w:p>
    <w:p w14:paraId="32D025FB" w14:textId="77777777" w:rsidR="00577D08" w:rsidRDefault="00577D08">
      <w:pPr>
        <w:spacing w:line="360" w:lineRule="exact"/>
        <w:ind w:right="5"/>
      </w:pPr>
    </w:p>
    <w:p w14:paraId="764DD177" w14:textId="77777777" w:rsidR="00577D08" w:rsidRDefault="00577D08">
      <w:pPr>
        <w:spacing w:line="360" w:lineRule="exact"/>
        <w:ind w:right="5"/>
      </w:pPr>
    </w:p>
    <w:p w14:paraId="2269C6C8" w14:textId="77777777" w:rsidR="00577D08" w:rsidRDefault="00577D08">
      <w:pPr>
        <w:spacing w:line="360" w:lineRule="exact"/>
        <w:ind w:right="5"/>
      </w:pPr>
    </w:p>
    <w:p w14:paraId="4EFBA692" w14:textId="77777777" w:rsidR="00577D08" w:rsidRDefault="00577D08">
      <w:pPr>
        <w:spacing w:line="360" w:lineRule="exact"/>
        <w:ind w:right="5"/>
      </w:pPr>
    </w:p>
    <w:p w14:paraId="2732068F" w14:textId="77777777" w:rsidR="00577D08" w:rsidRDefault="00577D08">
      <w:pPr>
        <w:spacing w:line="360" w:lineRule="exact"/>
        <w:ind w:right="5"/>
      </w:pPr>
    </w:p>
    <w:p w14:paraId="4532556B" w14:textId="77777777" w:rsidR="00577D08" w:rsidRDefault="00577D08">
      <w:pPr>
        <w:spacing w:line="360" w:lineRule="exact"/>
        <w:ind w:right="5"/>
      </w:pPr>
    </w:p>
    <w:p w14:paraId="3703CFED" w14:textId="77777777" w:rsidR="00577D08" w:rsidRDefault="00577D08">
      <w:pPr>
        <w:spacing w:line="360" w:lineRule="exact"/>
        <w:ind w:right="5"/>
      </w:pPr>
    </w:p>
    <w:p w14:paraId="284C79B6" w14:textId="77777777" w:rsidR="00577D08" w:rsidRDefault="00577D08">
      <w:pPr>
        <w:spacing w:line="360" w:lineRule="exact"/>
        <w:ind w:right="5"/>
      </w:pPr>
    </w:p>
    <w:p w14:paraId="18E600F4" w14:textId="77777777" w:rsidR="00577D08" w:rsidRDefault="00577D08">
      <w:pPr>
        <w:spacing w:line="360" w:lineRule="exact"/>
        <w:ind w:right="5"/>
      </w:pPr>
    </w:p>
    <w:p w14:paraId="4ABF4F35" w14:textId="77777777" w:rsidR="00577D08" w:rsidRDefault="00577D08">
      <w:pPr>
        <w:spacing w:line="360" w:lineRule="exact"/>
        <w:ind w:right="5"/>
      </w:pPr>
    </w:p>
    <w:p w14:paraId="284E716F" w14:textId="77777777" w:rsidR="00577D08" w:rsidRDefault="00577D08">
      <w:pPr>
        <w:spacing w:line="360" w:lineRule="exact"/>
        <w:ind w:right="5"/>
      </w:pPr>
    </w:p>
    <w:p w14:paraId="6462663F" w14:textId="77777777" w:rsidR="00577D08" w:rsidRDefault="00577D08">
      <w:pPr>
        <w:spacing w:line="360" w:lineRule="exact"/>
        <w:ind w:right="5"/>
      </w:pPr>
    </w:p>
    <w:p w14:paraId="2DF95E32" w14:textId="77777777" w:rsidR="00577D08" w:rsidRDefault="00577D08">
      <w:pPr>
        <w:spacing w:line="360" w:lineRule="exact"/>
        <w:ind w:right="5"/>
      </w:pPr>
    </w:p>
    <w:p w14:paraId="529F7FCD" w14:textId="77777777" w:rsidR="00577D08" w:rsidRDefault="00577D08">
      <w:pPr>
        <w:spacing w:line="360" w:lineRule="exact"/>
        <w:ind w:right="5"/>
      </w:pPr>
    </w:p>
    <w:p w14:paraId="4BF6BAEE" w14:textId="77777777" w:rsidR="00577D08" w:rsidRDefault="00577D08">
      <w:pPr>
        <w:spacing w:line="360" w:lineRule="exact"/>
        <w:ind w:right="5"/>
      </w:pPr>
    </w:p>
    <w:p w14:paraId="536E2609" w14:textId="77777777" w:rsidR="00577D08" w:rsidRDefault="00577D08">
      <w:pPr>
        <w:spacing w:line="360" w:lineRule="exact"/>
        <w:ind w:right="5"/>
      </w:pPr>
    </w:p>
    <w:p w14:paraId="43B5FE7C" w14:textId="77777777" w:rsidR="00577D08" w:rsidRDefault="00577D08">
      <w:pPr>
        <w:spacing w:line="360" w:lineRule="exact"/>
        <w:ind w:right="5"/>
      </w:pPr>
    </w:p>
    <w:p w14:paraId="37F0C55F" w14:textId="77777777" w:rsidR="00577D08" w:rsidRDefault="00577D08">
      <w:pPr>
        <w:spacing w:line="360" w:lineRule="exact"/>
        <w:ind w:right="5"/>
      </w:pPr>
    </w:p>
    <w:p w14:paraId="2AD09DB0" w14:textId="77777777" w:rsidR="00577D08" w:rsidRDefault="00577D08">
      <w:pPr>
        <w:spacing w:line="360" w:lineRule="exact"/>
        <w:ind w:right="5"/>
      </w:pPr>
    </w:p>
    <w:p w14:paraId="203E2A0D" w14:textId="77777777" w:rsidR="00577D08" w:rsidRDefault="00577D08">
      <w:pPr>
        <w:spacing w:line="360" w:lineRule="exact"/>
        <w:ind w:right="5"/>
      </w:pPr>
    </w:p>
    <w:p w14:paraId="0BE008A5" w14:textId="77777777" w:rsidR="00577D08" w:rsidRDefault="00577D08">
      <w:pPr>
        <w:spacing w:line="360" w:lineRule="exact"/>
        <w:ind w:right="5"/>
      </w:pPr>
    </w:p>
    <w:p w14:paraId="2CB86634" w14:textId="77777777" w:rsidR="00577D08" w:rsidRDefault="00577D08">
      <w:pPr>
        <w:spacing w:line="360" w:lineRule="exact"/>
        <w:ind w:right="5"/>
      </w:pPr>
    </w:p>
    <w:p w14:paraId="39359E93" w14:textId="77777777" w:rsidR="00577D08" w:rsidRDefault="00330FC0">
      <w:pPr>
        <w:pStyle w:val="1"/>
        <w:numPr>
          <w:ilvl w:val="0"/>
          <w:numId w:val="2"/>
        </w:numPr>
        <w:rPr>
          <w:bCs w:val="0"/>
          <w:szCs w:val="28"/>
        </w:rPr>
      </w:pPr>
      <w:bookmarkStart w:id="281" w:name="_Toc407111364"/>
      <w:bookmarkStart w:id="282" w:name="_Toc191024263"/>
      <w:r>
        <w:rPr>
          <w:bCs w:val="0"/>
          <w:szCs w:val="28"/>
        </w:rPr>
        <w:lastRenderedPageBreak/>
        <w:t>财务报告</w:t>
      </w:r>
    </w:p>
    <w:bookmarkEnd w:id="281"/>
    <w:bookmarkEnd w:id="282"/>
    <w:p w14:paraId="59114465" w14:textId="77777777" w:rsidR="00577D08" w:rsidRDefault="00330FC0">
      <w:pPr>
        <w:pStyle w:val="2"/>
        <w:numPr>
          <w:ilvl w:val="0"/>
          <w:numId w:val="52"/>
        </w:numPr>
        <w:rPr>
          <w:rFonts w:ascii="宋体" w:hAnsi="宋体" w:hint="eastAsia"/>
        </w:rPr>
      </w:pPr>
      <w:r>
        <w:rPr>
          <w:rFonts w:hint="eastAsia"/>
        </w:rPr>
        <w:t>审计报告</w:t>
      </w:r>
    </w:p>
    <w:sdt>
      <w:sdtPr>
        <w:alias w:val="是否适用：审计报告[双击切换]"/>
        <w:tag w:val="_GBC_8a37b9861aa34a8d89cae86ad0133ffb"/>
        <w:id w:val="-1432124760"/>
        <w:placeholder>
          <w:docPart w:val="GBC22222222222222222222222222222"/>
        </w:placeholder>
      </w:sdtPr>
      <w:sdtContent>
        <w:p w14:paraId="0679AC1D"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审计报告全文"/>
        <w:tag w:val="_GBC_08aaee8d8997491cb4fc7ef77b493e65"/>
        <w:id w:val="-924418521"/>
        <w:placeholder>
          <w:docPart w:val="GBC22222222222222222222222222222"/>
        </w:placeholder>
      </w:sdtPr>
      <w:sdtContent>
        <w:p w14:paraId="04CC8AB6" w14:textId="77777777" w:rsidR="00577D08" w:rsidRDefault="00330FC0">
          <w:pPr>
            <w:spacing w:line="360" w:lineRule="exact"/>
            <w:ind w:firstLineChars="200" w:firstLine="420"/>
            <w:jc w:val="both"/>
          </w:pPr>
          <w:r>
            <w:rPr>
              <w:rFonts w:hint="eastAsia"/>
            </w:rPr>
            <w:t>（一）审计意见</w:t>
          </w:r>
        </w:p>
        <w:p w14:paraId="35F2281B" w14:textId="77777777" w:rsidR="00577D08" w:rsidRDefault="00330FC0">
          <w:pPr>
            <w:spacing w:line="360" w:lineRule="exact"/>
            <w:ind w:firstLineChars="200" w:firstLine="420"/>
            <w:jc w:val="both"/>
          </w:pPr>
          <w:r>
            <w:rPr>
              <w:rFonts w:hint="eastAsia"/>
            </w:rPr>
            <w:t>我们审计了重庆望变电气（集团）股份有限公司（以下简称望变电气公司）财务报表，包括</w:t>
          </w:r>
          <w:r>
            <w:rPr>
              <w:rFonts w:hint="eastAsia"/>
            </w:rPr>
            <w:t>2025</w:t>
          </w:r>
          <w:r>
            <w:rPr>
              <w:rFonts w:hint="eastAsia"/>
            </w:rPr>
            <w:t>年</w:t>
          </w:r>
          <w:r>
            <w:rPr>
              <w:rFonts w:hint="eastAsia"/>
            </w:rPr>
            <w:t>12</w:t>
          </w:r>
          <w:r>
            <w:rPr>
              <w:rFonts w:hint="eastAsia"/>
            </w:rPr>
            <w:t>月</w:t>
          </w:r>
          <w:r>
            <w:rPr>
              <w:rFonts w:hint="eastAsia"/>
            </w:rPr>
            <w:t>31</w:t>
          </w:r>
          <w:r>
            <w:rPr>
              <w:rFonts w:hint="eastAsia"/>
            </w:rPr>
            <w:t>日的合并及母公司资产负债表，</w:t>
          </w:r>
          <w:r>
            <w:rPr>
              <w:rFonts w:hint="eastAsia"/>
            </w:rPr>
            <w:t>2025</w:t>
          </w:r>
          <w:r>
            <w:rPr>
              <w:rFonts w:hint="eastAsia"/>
            </w:rPr>
            <w:t>年度的合并及母公司利润表、合并及母公司现金流量表、合并及母公司所有者权益变动表，以及相关财务报表附注。</w:t>
          </w:r>
        </w:p>
        <w:p w14:paraId="25F9724C" w14:textId="77777777" w:rsidR="00577D08" w:rsidRDefault="00330FC0">
          <w:pPr>
            <w:spacing w:line="360" w:lineRule="exact"/>
            <w:ind w:firstLineChars="200" w:firstLine="420"/>
            <w:jc w:val="both"/>
          </w:pPr>
          <w:r>
            <w:rPr>
              <w:rFonts w:hint="eastAsia"/>
            </w:rPr>
            <w:t>我们认为，后附的财务报表在所有重大方面按照企业会计准则的规定编制，公允反映了望变电气公司</w:t>
          </w:r>
          <w:r>
            <w:rPr>
              <w:rFonts w:hint="eastAsia"/>
            </w:rPr>
            <w:t>2025</w:t>
          </w:r>
          <w:r>
            <w:rPr>
              <w:rFonts w:hint="eastAsia"/>
            </w:rPr>
            <w:t>年</w:t>
          </w:r>
          <w:r>
            <w:rPr>
              <w:rFonts w:hint="eastAsia"/>
            </w:rPr>
            <w:t>12</w:t>
          </w:r>
          <w:r>
            <w:rPr>
              <w:rFonts w:hint="eastAsia"/>
            </w:rPr>
            <w:t>月</w:t>
          </w:r>
          <w:r>
            <w:rPr>
              <w:rFonts w:hint="eastAsia"/>
            </w:rPr>
            <w:t>31</w:t>
          </w:r>
          <w:r>
            <w:rPr>
              <w:rFonts w:hint="eastAsia"/>
            </w:rPr>
            <w:t>日的合并及母公司财务状况，以及</w:t>
          </w:r>
          <w:r>
            <w:rPr>
              <w:rFonts w:hint="eastAsia"/>
            </w:rPr>
            <w:t>2025</w:t>
          </w:r>
          <w:r>
            <w:rPr>
              <w:rFonts w:hint="eastAsia"/>
            </w:rPr>
            <w:t>年度的合并及母公司经营成果和现金流量。</w:t>
          </w:r>
        </w:p>
        <w:p w14:paraId="6DA282F5" w14:textId="77777777" w:rsidR="00577D08" w:rsidRDefault="00330FC0">
          <w:pPr>
            <w:spacing w:line="360" w:lineRule="exact"/>
            <w:ind w:firstLineChars="200" w:firstLine="420"/>
            <w:jc w:val="both"/>
          </w:pPr>
          <w:r>
            <w:rPr>
              <w:rFonts w:hint="eastAsia"/>
            </w:rPr>
            <w:t>（二）形成审计意见的基础</w:t>
          </w:r>
        </w:p>
        <w:p w14:paraId="0E86D76F" w14:textId="77777777" w:rsidR="00577D08" w:rsidRDefault="00330FC0">
          <w:pPr>
            <w:spacing w:line="360" w:lineRule="exact"/>
            <w:ind w:firstLineChars="200" w:firstLine="420"/>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w:t>
          </w:r>
          <w:r>
            <w:rPr>
              <w:rFonts w:hint="eastAsia"/>
            </w:rPr>
            <w:t>1</w:t>
          </w:r>
          <w:r>
            <w:rPr>
              <w:rFonts w:hint="eastAsia"/>
            </w:rPr>
            <w:t>号——财务报表审计和审阅业务对独立性的要求》和中国注册会计师职业道德守则，我们独立于望变电气公司，并履行了职业道德方面的其他责任。我们在审计中遵循了对公众利益实体审计的独立性要求。我们相信，我们获取的审计证据是充分、适当的，为发表审计意见提供了基础。</w:t>
          </w:r>
        </w:p>
        <w:p w14:paraId="66037C7D" w14:textId="77777777" w:rsidR="00577D08" w:rsidRDefault="00330FC0">
          <w:pPr>
            <w:spacing w:line="360" w:lineRule="exact"/>
            <w:ind w:firstLineChars="200" w:firstLine="420"/>
            <w:jc w:val="both"/>
          </w:pPr>
          <w:r>
            <w:rPr>
              <w:rFonts w:hint="eastAsia"/>
            </w:rPr>
            <w:t>（三）关键审计事项</w:t>
          </w:r>
        </w:p>
        <w:p w14:paraId="2ECBA5F9" w14:textId="77777777" w:rsidR="00577D08" w:rsidRDefault="00330FC0">
          <w:pPr>
            <w:spacing w:line="360" w:lineRule="exact"/>
            <w:ind w:firstLineChars="200" w:firstLine="420"/>
            <w:jc w:val="both"/>
          </w:pPr>
          <w:r>
            <w:rPr>
              <w:rFonts w:hint="eastAsia"/>
            </w:rPr>
            <w:t>关键审计事项是我们根据职业判断，认为对本期财务报表审计最为重要的事项。这些事项的应对以对财务报表整体进行审计并形成审计意见为背景，我们不对这些事项单独发表意见。</w:t>
          </w:r>
        </w:p>
        <w:p w14:paraId="55AAFDC6" w14:textId="77777777" w:rsidR="00577D08" w:rsidRDefault="00330FC0">
          <w:pPr>
            <w:spacing w:line="360" w:lineRule="exact"/>
            <w:ind w:firstLineChars="200" w:firstLine="420"/>
            <w:jc w:val="both"/>
          </w:pPr>
          <w:r>
            <w:rPr>
              <w:rFonts w:hint="eastAsia"/>
            </w:rPr>
            <w:t>1</w:t>
          </w:r>
          <w:r>
            <w:rPr>
              <w:rFonts w:hint="eastAsia"/>
            </w:rPr>
            <w:t>、收入确认</w:t>
          </w:r>
        </w:p>
        <w:p w14:paraId="1BD6773D" w14:textId="77777777" w:rsidR="00577D08" w:rsidRDefault="00330FC0">
          <w:pPr>
            <w:spacing w:line="360" w:lineRule="exact"/>
            <w:ind w:firstLineChars="200" w:firstLine="420"/>
            <w:jc w:val="both"/>
          </w:pPr>
          <w:r>
            <w:rPr>
              <w:rFonts w:hint="eastAsia"/>
            </w:rPr>
            <w:t>（</w:t>
          </w:r>
          <w:r>
            <w:rPr>
              <w:rFonts w:hint="eastAsia"/>
            </w:rPr>
            <w:t>1</w:t>
          </w:r>
          <w:r>
            <w:rPr>
              <w:rFonts w:hint="eastAsia"/>
            </w:rPr>
            <w:t>）事项描述</w:t>
          </w:r>
        </w:p>
        <w:p w14:paraId="0DA91EA1" w14:textId="77777777" w:rsidR="00577D08" w:rsidRDefault="00330FC0">
          <w:pPr>
            <w:spacing w:line="360" w:lineRule="exact"/>
            <w:ind w:firstLineChars="200" w:firstLine="420"/>
            <w:jc w:val="both"/>
          </w:pPr>
          <w:r>
            <w:rPr>
              <w:rFonts w:hint="eastAsia"/>
            </w:rPr>
            <w:t>相关信息披露详见第八节</w:t>
          </w:r>
          <w:r>
            <w:rPr>
              <w:rFonts w:hint="eastAsia"/>
            </w:rPr>
            <w:t>.</w:t>
          </w:r>
          <w:r>
            <w:rPr>
              <w:rFonts w:hint="eastAsia"/>
            </w:rPr>
            <w:t>五、重要会计政策及会计估计</w:t>
          </w:r>
          <w:r>
            <w:rPr>
              <w:rFonts w:hint="eastAsia"/>
            </w:rPr>
            <w:t>.34</w:t>
          </w:r>
          <w:r>
            <w:rPr>
              <w:rFonts w:hint="eastAsia"/>
            </w:rPr>
            <w:t>、收入及第八节</w:t>
          </w:r>
          <w:r>
            <w:rPr>
              <w:rFonts w:hint="eastAsia"/>
            </w:rPr>
            <w:t>.</w:t>
          </w:r>
          <w:r>
            <w:rPr>
              <w:rFonts w:hint="eastAsia"/>
            </w:rPr>
            <w:t>七、合并财务报表项目注释</w:t>
          </w:r>
          <w:r>
            <w:rPr>
              <w:rFonts w:hint="eastAsia"/>
            </w:rPr>
            <w:t>.61</w:t>
          </w:r>
          <w:r>
            <w:rPr>
              <w:rFonts w:hint="eastAsia"/>
            </w:rPr>
            <w:t>、营业收入和营业成本。</w:t>
          </w:r>
        </w:p>
        <w:p w14:paraId="2C08B432" w14:textId="77777777" w:rsidR="00577D08" w:rsidRDefault="00330FC0">
          <w:pPr>
            <w:spacing w:line="360" w:lineRule="exact"/>
            <w:ind w:firstLineChars="200" w:firstLine="420"/>
            <w:jc w:val="both"/>
          </w:pPr>
          <w:r>
            <w:rPr>
              <w:rFonts w:hint="eastAsia"/>
            </w:rPr>
            <w:t>望变电气公司的营业收入主要来自于输配电及控制设备、取向硅钢产品销售。</w:t>
          </w:r>
          <w:r>
            <w:rPr>
              <w:rFonts w:hint="eastAsia"/>
            </w:rPr>
            <w:t>2025</w:t>
          </w:r>
          <w:r>
            <w:rPr>
              <w:rFonts w:hint="eastAsia"/>
            </w:rPr>
            <w:t>年度，望变电气公司的营业收入为人民币</w:t>
          </w:r>
          <w:r>
            <w:rPr>
              <w:rFonts w:hint="eastAsia"/>
            </w:rPr>
            <w:t>391,700.83</w:t>
          </w:r>
          <w:r>
            <w:rPr>
              <w:rFonts w:hint="eastAsia"/>
            </w:rPr>
            <w:t>万元。由于营业收入是望变电气公司关键业绩指标之一，可能存在望变电气公司管理层（以下简称管理层）通过不恰当的收入确认以达到特定目标或预期的固有风险，且收入确认涉及管理层的重大判断，因此，我们将收入确认确定为关键审计事项。</w:t>
          </w:r>
        </w:p>
        <w:p w14:paraId="64F5B45C" w14:textId="77777777" w:rsidR="00577D08" w:rsidRDefault="00330FC0">
          <w:pPr>
            <w:spacing w:line="360" w:lineRule="exact"/>
            <w:ind w:firstLineChars="200" w:firstLine="420"/>
            <w:jc w:val="both"/>
          </w:pPr>
          <w:r>
            <w:rPr>
              <w:rFonts w:hint="eastAsia"/>
            </w:rPr>
            <w:t>（</w:t>
          </w:r>
          <w:r>
            <w:rPr>
              <w:rFonts w:hint="eastAsia"/>
            </w:rPr>
            <w:t>2</w:t>
          </w:r>
          <w:r>
            <w:rPr>
              <w:rFonts w:hint="eastAsia"/>
            </w:rPr>
            <w:t>）审计应对</w:t>
          </w:r>
        </w:p>
        <w:p w14:paraId="4115113A" w14:textId="77777777" w:rsidR="00577D08" w:rsidRDefault="00330FC0">
          <w:pPr>
            <w:spacing w:line="360" w:lineRule="exact"/>
            <w:ind w:firstLineChars="200" w:firstLine="420"/>
            <w:jc w:val="both"/>
          </w:pPr>
          <w:r>
            <w:rPr>
              <w:rFonts w:hint="eastAsia"/>
            </w:rPr>
            <w:t>针对收入确认，我们实施的审计程序主要包括：</w:t>
          </w:r>
        </w:p>
        <w:p w14:paraId="6042B5CF" w14:textId="77777777" w:rsidR="00577D08" w:rsidRDefault="00330FC0">
          <w:pPr>
            <w:spacing w:line="360" w:lineRule="exact"/>
            <w:ind w:firstLineChars="200" w:firstLine="420"/>
            <w:jc w:val="both"/>
          </w:pPr>
          <w:r>
            <w:rPr>
              <w:rFonts w:hint="eastAsia"/>
            </w:rPr>
            <w:t>1</w:t>
          </w:r>
          <w:r>
            <w:rPr>
              <w:rFonts w:hint="eastAsia"/>
            </w:rPr>
            <w:t>）了解与收入确认相关的关键内部控制，评价这些控制的设计，确定其是否得到执行，并测试相关内部控制的运行有效性；</w:t>
          </w:r>
        </w:p>
        <w:p w14:paraId="7A45BAEF" w14:textId="77777777" w:rsidR="00577D08" w:rsidRDefault="00330FC0">
          <w:pPr>
            <w:spacing w:line="360" w:lineRule="exact"/>
            <w:ind w:firstLineChars="200" w:firstLine="420"/>
            <w:jc w:val="both"/>
          </w:pPr>
          <w:r>
            <w:rPr>
              <w:rFonts w:hint="eastAsia"/>
            </w:rPr>
            <w:t>2</w:t>
          </w:r>
          <w:r>
            <w:rPr>
              <w:rFonts w:hint="eastAsia"/>
            </w:rPr>
            <w:t>）检查销售合同，了解主要合同条款或条件，评价收入确认方法是否适当；</w:t>
          </w:r>
        </w:p>
        <w:p w14:paraId="602162E0" w14:textId="77777777" w:rsidR="00577D08" w:rsidRDefault="00330FC0">
          <w:pPr>
            <w:spacing w:line="360" w:lineRule="exact"/>
            <w:ind w:firstLineChars="200" w:firstLine="420"/>
            <w:jc w:val="both"/>
          </w:pPr>
          <w:r>
            <w:rPr>
              <w:rFonts w:hint="eastAsia"/>
            </w:rPr>
            <w:t>3</w:t>
          </w:r>
          <w:r>
            <w:rPr>
              <w:rFonts w:hint="eastAsia"/>
            </w:rPr>
            <w:t>）对营业收入和毛利率实施分析程序，识别是否存在重大或异常波动，并查明原因；</w:t>
          </w:r>
        </w:p>
        <w:p w14:paraId="7BDB158C" w14:textId="77777777" w:rsidR="00577D08" w:rsidRDefault="00330FC0">
          <w:pPr>
            <w:spacing w:line="360" w:lineRule="exact"/>
            <w:ind w:firstLineChars="200" w:firstLine="420"/>
            <w:jc w:val="both"/>
          </w:pPr>
          <w:r>
            <w:rPr>
              <w:rFonts w:hint="eastAsia"/>
            </w:rPr>
            <w:t>4</w:t>
          </w:r>
          <w:r>
            <w:rPr>
              <w:rFonts w:hint="eastAsia"/>
            </w:rPr>
            <w:t>）对于内销收入，选取项目检查相关支持性文件，包括销售合同、订单、销售发票、出库单、客户验收单等；对于出口收入，获取电子口岸信息并与账面记录核对，并选取项目检查相关支持</w:t>
          </w:r>
          <w:r>
            <w:rPr>
              <w:rFonts w:hint="eastAsia"/>
            </w:rPr>
            <w:lastRenderedPageBreak/>
            <w:t>性文件，包括销售合同、出口报关单、货运提单、销售发票等原始凭证，测试收入确认是否存在异常；</w:t>
          </w:r>
        </w:p>
        <w:p w14:paraId="1ED68476" w14:textId="77777777" w:rsidR="00577D08" w:rsidRDefault="00330FC0">
          <w:pPr>
            <w:spacing w:line="360" w:lineRule="exact"/>
            <w:ind w:firstLineChars="200" w:firstLine="420"/>
            <w:jc w:val="both"/>
          </w:pPr>
          <w:r>
            <w:rPr>
              <w:rFonts w:hint="eastAsia"/>
            </w:rPr>
            <w:t>5</w:t>
          </w:r>
          <w:r>
            <w:rPr>
              <w:rFonts w:hint="eastAsia"/>
            </w:rPr>
            <w:t>）结合应收账款函证，函证主要客户的交易金额；</w:t>
          </w:r>
        </w:p>
        <w:p w14:paraId="26A46C39" w14:textId="77777777" w:rsidR="00577D08" w:rsidRDefault="00330FC0">
          <w:pPr>
            <w:spacing w:line="360" w:lineRule="exact"/>
            <w:ind w:firstLineChars="200" w:firstLine="420"/>
            <w:jc w:val="both"/>
          </w:pPr>
          <w:r>
            <w:rPr>
              <w:rFonts w:hint="eastAsia"/>
            </w:rPr>
            <w:t>6</w:t>
          </w:r>
          <w:r>
            <w:rPr>
              <w:rFonts w:hint="eastAsia"/>
            </w:rPr>
            <w:t>）实施截止测试，检查收入是否在恰当期间确认；</w:t>
          </w:r>
        </w:p>
        <w:p w14:paraId="0CD899E2" w14:textId="77777777" w:rsidR="00577D08" w:rsidRDefault="00330FC0">
          <w:pPr>
            <w:spacing w:line="360" w:lineRule="exact"/>
            <w:ind w:firstLineChars="200" w:firstLine="420"/>
            <w:jc w:val="both"/>
          </w:pPr>
          <w:r>
            <w:rPr>
              <w:rFonts w:hint="eastAsia"/>
            </w:rPr>
            <w:t>7</w:t>
          </w:r>
          <w:r>
            <w:rPr>
              <w:rFonts w:hint="eastAsia"/>
            </w:rPr>
            <w:t>）获取资产负债表日后的销售退回记录，检查是否存在资产负债表日不满足收入确认条件的情况；</w:t>
          </w:r>
        </w:p>
        <w:p w14:paraId="6C94180A" w14:textId="77777777" w:rsidR="00577D08" w:rsidRDefault="00330FC0">
          <w:pPr>
            <w:spacing w:line="360" w:lineRule="exact"/>
            <w:ind w:firstLineChars="200" w:firstLine="420"/>
            <w:jc w:val="both"/>
          </w:pPr>
          <w:r>
            <w:rPr>
              <w:rFonts w:hint="eastAsia"/>
            </w:rPr>
            <w:t>8</w:t>
          </w:r>
          <w:r>
            <w:rPr>
              <w:rFonts w:hint="eastAsia"/>
            </w:rPr>
            <w:t>）检查与营业收入相关的信息是否已在财务报表中作出恰当列报。</w:t>
          </w:r>
        </w:p>
        <w:p w14:paraId="086B2688" w14:textId="77777777" w:rsidR="00577D08" w:rsidRDefault="00330FC0">
          <w:pPr>
            <w:spacing w:line="360" w:lineRule="exact"/>
            <w:ind w:firstLineChars="200" w:firstLine="420"/>
            <w:jc w:val="both"/>
          </w:pPr>
          <w:r>
            <w:rPr>
              <w:rFonts w:hint="eastAsia"/>
            </w:rPr>
            <w:t>2</w:t>
          </w:r>
          <w:r>
            <w:rPr>
              <w:rFonts w:hint="eastAsia"/>
            </w:rPr>
            <w:t>、应收账款减值</w:t>
          </w:r>
        </w:p>
        <w:p w14:paraId="11B1DC4B" w14:textId="77777777" w:rsidR="00577D08" w:rsidRDefault="00330FC0">
          <w:pPr>
            <w:spacing w:line="360" w:lineRule="exact"/>
            <w:ind w:firstLineChars="200" w:firstLine="420"/>
            <w:jc w:val="both"/>
          </w:pPr>
          <w:r>
            <w:rPr>
              <w:rFonts w:hint="eastAsia"/>
            </w:rPr>
            <w:t>（</w:t>
          </w:r>
          <w:r>
            <w:rPr>
              <w:rFonts w:hint="eastAsia"/>
            </w:rPr>
            <w:t>1</w:t>
          </w:r>
          <w:r>
            <w:rPr>
              <w:rFonts w:hint="eastAsia"/>
            </w:rPr>
            <w:t>）事项描述</w:t>
          </w:r>
        </w:p>
        <w:p w14:paraId="6F5CD527" w14:textId="77777777" w:rsidR="00577D08" w:rsidRDefault="00330FC0">
          <w:pPr>
            <w:spacing w:line="360" w:lineRule="exact"/>
            <w:ind w:firstLineChars="200" w:firstLine="420"/>
            <w:jc w:val="both"/>
          </w:pPr>
          <w:r>
            <w:rPr>
              <w:rFonts w:hint="eastAsia"/>
            </w:rPr>
            <w:t>相关信息披露详见第八节</w:t>
          </w:r>
          <w:r>
            <w:rPr>
              <w:rFonts w:hint="eastAsia"/>
            </w:rPr>
            <w:t>.</w:t>
          </w:r>
          <w:r>
            <w:rPr>
              <w:rFonts w:hint="eastAsia"/>
            </w:rPr>
            <w:t>五、重要会计政策及会计估计</w:t>
          </w:r>
          <w:r>
            <w:rPr>
              <w:rFonts w:hint="eastAsia"/>
            </w:rPr>
            <w:t>.13</w:t>
          </w:r>
          <w:r>
            <w:rPr>
              <w:rFonts w:hint="eastAsia"/>
            </w:rPr>
            <w:t>、应收账款及第八节</w:t>
          </w:r>
          <w:r>
            <w:rPr>
              <w:rFonts w:hint="eastAsia"/>
            </w:rPr>
            <w:t>.</w:t>
          </w:r>
          <w:r>
            <w:rPr>
              <w:rFonts w:hint="eastAsia"/>
            </w:rPr>
            <w:t>七、合并财务报表项目注释</w:t>
          </w:r>
          <w:r>
            <w:rPr>
              <w:rFonts w:hint="eastAsia"/>
            </w:rPr>
            <w:t>.5</w:t>
          </w:r>
          <w:r>
            <w:rPr>
              <w:rFonts w:hint="eastAsia"/>
            </w:rPr>
            <w:t>、应收账款。</w:t>
          </w:r>
        </w:p>
        <w:p w14:paraId="576A23F1" w14:textId="77777777" w:rsidR="00577D08" w:rsidRDefault="00330FC0">
          <w:pPr>
            <w:spacing w:line="360" w:lineRule="exact"/>
            <w:ind w:firstLineChars="200" w:firstLine="420"/>
            <w:jc w:val="both"/>
          </w:pPr>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日，望变电气公司应收账款账面余额为人民币</w:t>
          </w:r>
          <w:r>
            <w:rPr>
              <w:rFonts w:hint="eastAsia"/>
            </w:rPr>
            <w:t>218,402.33</w:t>
          </w:r>
          <w:r>
            <w:rPr>
              <w:rFonts w:hint="eastAsia"/>
            </w:rPr>
            <w:t>万元，坏账准备为人民币</w:t>
          </w:r>
          <w:r>
            <w:rPr>
              <w:rFonts w:hint="eastAsia"/>
            </w:rPr>
            <w:t>21,381.27</w:t>
          </w:r>
          <w:r>
            <w:rPr>
              <w:rFonts w:hint="eastAsia"/>
            </w:rPr>
            <w:t>万元，账面价值为人民币</w:t>
          </w:r>
          <w:r>
            <w:rPr>
              <w:rFonts w:hint="eastAsia"/>
            </w:rPr>
            <w:t>197,021.06</w:t>
          </w:r>
          <w:r>
            <w:rPr>
              <w:rFonts w:hint="eastAsia"/>
            </w:rPr>
            <w:t>万元。管理层根据各项应收账款的信用风险特征，以单项或组合为基础，按照相当于整个存续期内的预期信用损失金额计量其损失准备。由于应收账款金额重大，且应收账款减值测试涉及重大管理层判断，我们将应收账款减值确定为关键审计事项。</w:t>
          </w:r>
        </w:p>
        <w:p w14:paraId="1DF1A840" w14:textId="77777777" w:rsidR="00577D08" w:rsidRDefault="00330FC0">
          <w:pPr>
            <w:spacing w:line="360" w:lineRule="exact"/>
            <w:ind w:firstLineChars="200" w:firstLine="420"/>
            <w:jc w:val="both"/>
          </w:pPr>
          <w:r>
            <w:rPr>
              <w:rFonts w:hint="eastAsia"/>
            </w:rPr>
            <w:t>（</w:t>
          </w:r>
          <w:r>
            <w:rPr>
              <w:rFonts w:hint="eastAsia"/>
            </w:rPr>
            <w:t>2</w:t>
          </w:r>
          <w:r>
            <w:rPr>
              <w:rFonts w:hint="eastAsia"/>
            </w:rPr>
            <w:t>）审计应对</w:t>
          </w:r>
        </w:p>
        <w:p w14:paraId="5AD04E9A" w14:textId="77777777" w:rsidR="00577D08" w:rsidRDefault="00330FC0">
          <w:pPr>
            <w:spacing w:line="360" w:lineRule="exact"/>
            <w:ind w:firstLineChars="200" w:firstLine="420"/>
            <w:jc w:val="both"/>
          </w:pPr>
          <w:r>
            <w:rPr>
              <w:rFonts w:hint="eastAsia"/>
            </w:rPr>
            <w:t>针对应收账款减值，我们实施的审计程序主要包括：</w:t>
          </w:r>
        </w:p>
        <w:p w14:paraId="0464625C" w14:textId="77777777" w:rsidR="00577D08" w:rsidRDefault="00330FC0">
          <w:pPr>
            <w:spacing w:line="360" w:lineRule="exact"/>
            <w:ind w:firstLineChars="200" w:firstLine="420"/>
            <w:jc w:val="both"/>
          </w:pPr>
          <w:r>
            <w:rPr>
              <w:rFonts w:hint="eastAsia"/>
            </w:rPr>
            <w:t>1</w:t>
          </w:r>
          <w:r>
            <w:rPr>
              <w:rFonts w:hint="eastAsia"/>
            </w:rPr>
            <w:t>）了解与应收账款减值相关的关键内部控制，评价这些控制的设计，确定其是否得到执行，并测试相关内部控制的运行有效性；</w:t>
          </w:r>
        </w:p>
        <w:p w14:paraId="1A1E12EE" w14:textId="77777777" w:rsidR="00577D08" w:rsidRDefault="00330FC0">
          <w:pPr>
            <w:spacing w:line="360" w:lineRule="exact"/>
            <w:ind w:firstLineChars="200" w:firstLine="420"/>
            <w:jc w:val="both"/>
          </w:pPr>
          <w:r>
            <w:rPr>
              <w:rFonts w:hint="eastAsia"/>
            </w:rPr>
            <w:t>2</w:t>
          </w:r>
          <w:r>
            <w:rPr>
              <w:rFonts w:hint="eastAsia"/>
            </w:rPr>
            <w:t>）针对管理层以前年度就坏账准备所作估计，复核其结果或者管理层对其作出的后续重新估计；</w:t>
          </w:r>
        </w:p>
        <w:p w14:paraId="0EC8EE16" w14:textId="77777777" w:rsidR="00577D08" w:rsidRDefault="00330FC0">
          <w:pPr>
            <w:spacing w:line="360" w:lineRule="exact"/>
            <w:ind w:firstLineChars="200" w:firstLine="420"/>
            <w:jc w:val="both"/>
          </w:pPr>
          <w:r>
            <w:rPr>
              <w:rFonts w:hint="eastAsia"/>
            </w:rPr>
            <w:t>3</w:t>
          </w:r>
          <w:r>
            <w:rPr>
              <w:rFonts w:hint="eastAsia"/>
            </w:rPr>
            <w:t>）复核管理层对应收账款进行信用风险评估的相关考虑和客观证据，评价管理层是否恰当识别各项应收账款的信用风险特征；</w:t>
          </w:r>
        </w:p>
        <w:p w14:paraId="4D626941" w14:textId="77777777" w:rsidR="00577D08" w:rsidRDefault="00330FC0">
          <w:pPr>
            <w:spacing w:line="360" w:lineRule="exact"/>
            <w:ind w:firstLineChars="200" w:firstLine="420"/>
            <w:jc w:val="both"/>
          </w:pPr>
          <w:r>
            <w:rPr>
              <w:rFonts w:hint="eastAsia"/>
            </w:rPr>
            <w:t>4</w:t>
          </w:r>
          <w:r>
            <w:rPr>
              <w:rFonts w:hint="eastAsia"/>
            </w:rPr>
            <w:t>）对于以单项为基础计量预期信用损失的应收账款，复核管理层对预期收取现金流量的预测，评价在预测中使用的重大假设的适当性以及数据的适当性、相关性和可靠性，并与获取的外部证据进行核对；</w:t>
          </w:r>
        </w:p>
        <w:p w14:paraId="536CC358" w14:textId="77777777" w:rsidR="00577D08" w:rsidRDefault="00330FC0">
          <w:pPr>
            <w:spacing w:line="360" w:lineRule="exact"/>
            <w:ind w:firstLineChars="200" w:firstLine="420"/>
            <w:jc w:val="both"/>
          </w:pPr>
          <w:r>
            <w:rPr>
              <w:rFonts w:hint="eastAsia"/>
            </w:rPr>
            <w:t>5</w:t>
          </w:r>
          <w:r>
            <w:rPr>
              <w:rFonts w:hint="eastAsia"/>
            </w:rPr>
            <w:t>）对于以组合为基础计量预期信用损失的应收账款，评价管理层按信用风险特征划分组合的合理性；评价管理层确定的应收账款预期信用损失率的合理性，包括使用的重大假设的适当性以及数据的适当性、相关性和可靠性；测试管理层对坏账准备的计算是否准确；</w:t>
          </w:r>
        </w:p>
        <w:p w14:paraId="0E8EF3EB" w14:textId="77777777" w:rsidR="00577D08" w:rsidRDefault="00330FC0">
          <w:pPr>
            <w:spacing w:line="360" w:lineRule="exact"/>
            <w:ind w:firstLineChars="200" w:firstLine="420"/>
            <w:jc w:val="both"/>
          </w:pPr>
          <w:r>
            <w:rPr>
              <w:rFonts w:hint="eastAsia"/>
            </w:rPr>
            <w:t>6</w:t>
          </w:r>
          <w:r>
            <w:rPr>
              <w:rFonts w:hint="eastAsia"/>
            </w:rPr>
            <w:t>）结合应收账款函证以及期后回款情况，评价管理层计提坏账准备的合理性；</w:t>
          </w:r>
        </w:p>
        <w:p w14:paraId="1D3035E5" w14:textId="77777777" w:rsidR="00577D08" w:rsidRDefault="00330FC0">
          <w:pPr>
            <w:spacing w:line="360" w:lineRule="exact"/>
            <w:ind w:firstLineChars="200" w:firstLine="420"/>
            <w:jc w:val="both"/>
          </w:pPr>
          <w:r>
            <w:rPr>
              <w:rFonts w:hint="eastAsia"/>
            </w:rPr>
            <w:t>7</w:t>
          </w:r>
          <w:r>
            <w:rPr>
              <w:rFonts w:hint="eastAsia"/>
            </w:rPr>
            <w:t>）检查与应收账款减值相关的信息是否已在财务报表中作出恰当列报。</w:t>
          </w:r>
        </w:p>
        <w:p w14:paraId="5D905C85" w14:textId="77777777" w:rsidR="00577D08" w:rsidRDefault="00330FC0">
          <w:pPr>
            <w:spacing w:line="360" w:lineRule="exact"/>
            <w:ind w:firstLineChars="200" w:firstLine="420"/>
            <w:jc w:val="both"/>
          </w:pPr>
          <w:r>
            <w:rPr>
              <w:rFonts w:hint="eastAsia"/>
            </w:rPr>
            <w:t>（四）其他信息</w:t>
          </w:r>
        </w:p>
        <w:p w14:paraId="063A3B5A" w14:textId="77777777" w:rsidR="00577D08" w:rsidRDefault="00330FC0">
          <w:pPr>
            <w:spacing w:line="360" w:lineRule="exact"/>
            <w:ind w:firstLineChars="200" w:firstLine="420"/>
            <w:jc w:val="both"/>
          </w:pPr>
          <w:r>
            <w:rPr>
              <w:rFonts w:hint="eastAsia"/>
            </w:rPr>
            <w:t>管理层对其他信息负责。其他信息包括年度报告中涵盖的信息，但不包括财务报表和我们的审计报告。</w:t>
          </w:r>
        </w:p>
        <w:p w14:paraId="0303A7CB" w14:textId="77777777" w:rsidR="00577D08" w:rsidRDefault="00330FC0">
          <w:pPr>
            <w:spacing w:line="360" w:lineRule="exact"/>
            <w:ind w:firstLineChars="200" w:firstLine="420"/>
            <w:jc w:val="both"/>
          </w:pPr>
          <w:r>
            <w:rPr>
              <w:rFonts w:hint="eastAsia"/>
            </w:rPr>
            <w:t>我们对财务报表发表的审计意见不涵盖其他信息，我们也不对其他信息发表任何形式的鉴证结论。</w:t>
          </w:r>
        </w:p>
        <w:p w14:paraId="3E48BDC9" w14:textId="77777777" w:rsidR="00577D08" w:rsidRDefault="00330FC0">
          <w:pPr>
            <w:spacing w:line="360" w:lineRule="exact"/>
            <w:ind w:firstLineChars="200" w:firstLine="420"/>
            <w:jc w:val="both"/>
          </w:pPr>
          <w:r>
            <w:rPr>
              <w:rFonts w:hint="eastAsia"/>
            </w:rPr>
            <w:lastRenderedPageBreak/>
            <w:t>结合我们对财务报表的审计，我们的责任是阅读其他信息，在此过程中，考虑其他信息是否与财务报表或我们在审计过程中了解到的情况存在重大不一致或者似乎存在重大错报。</w:t>
          </w:r>
        </w:p>
        <w:p w14:paraId="07A593DA" w14:textId="77777777" w:rsidR="00577D08" w:rsidRDefault="00330FC0">
          <w:pPr>
            <w:spacing w:line="360" w:lineRule="exact"/>
            <w:ind w:firstLineChars="200" w:firstLine="420"/>
            <w:jc w:val="both"/>
          </w:pPr>
          <w:r>
            <w:rPr>
              <w:rFonts w:hint="eastAsia"/>
            </w:rPr>
            <w:t>基于我们已执行的工作，如果我们确定其他信息存在重大错报，我们应当报告该事实。在这方面，我们无任何事项需要报告。</w:t>
          </w:r>
        </w:p>
        <w:p w14:paraId="7625D5C7" w14:textId="77777777" w:rsidR="00577D08" w:rsidRDefault="00330FC0">
          <w:pPr>
            <w:spacing w:line="360" w:lineRule="exact"/>
            <w:ind w:firstLineChars="200" w:firstLine="420"/>
            <w:jc w:val="both"/>
          </w:pPr>
          <w:r>
            <w:rPr>
              <w:rFonts w:hint="eastAsia"/>
            </w:rPr>
            <w:t>（五）管理层和治理层对财务报表的责任</w:t>
          </w:r>
        </w:p>
        <w:p w14:paraId="24872D5A" w14:textId="77777777" w:rsidR="00577D08" w:rsidRDefault="00330FC0">
          <w:pPr>
            <w:spacing w:line="360" w:lineRule="exact"/>
            <w:ind w:firstLineChars="200" w:firstLine="420"/>
            <w:jc w:val="both"/>
          </w:pPr>
          <w:r>
            <w:rPr>
              <w:rFonts w:hint="eastAsia"/>
            </w:rPr>
            <w:t>管理层负责按照企业会计准则的规定编制财务报表，使其实现公允反映，并设计、执行和维护必要的内部控制，以使财务报表不存在由于舞弊或错误导致的重大错报。</w:t>
          </w:r>
        </w:p>
        <w:p w14:paraId="70E3AB7C" w14:textId="77777777" w:rsidR="00577D08" w:rsidRDefault="00330FC0">
          <w:pPr>
            <w:spacing w:line="360" w:lineRule="exact"/>
            <w:ind w:firstLineChars="200" w:firstLine="420"/>
            <w:jc w:val="both"/>
          </w:pPr>
          <w:r>
            <w:rPr>
              <w:rFonts w:hint="eastAsia"/>
            </w:rPr>
            <w:t>在编制财务报表时，管理层负责评估望变电气公司的持续经营能力，披露与持续经营相关的事项（如适用），并运用持续经营假设，除非计划进行清算、终止运营或别无其他现实的选择。</w:t>
          </w:r>
        </w:p>
        <w:p w14:paraId="6936B36C" w14:textId="77777777" w:rsidR="00577D08" w:rsidRDefault="00330FC0">
          <w:pPr>
            <w:spacing w:line="360" w:lineRule="exact"/>
            <w:ind w:firstLineChars="200" w:firstLine="420"/>
            <w:jc w:val="both"/>
          </w:pPr>
          <w:r>
            <w:rPr>
              <w:rFonts w:hint="eastAsia"/>
            </w:rPr>
            <w:t>望变电气公司治理层（以下简称治理层）负责监督望变电气公司的财务报告过程。</w:t>
          </w:r>
        </w:p>
        <w:p w14:paraId="728E2E57" w14:textId="77777777" w:rsidR="00577D08" w:rsidRDefault="00330FC0">
          <w:pPr>
            <w:spacing w:line="360" w:lineRule="exact"/>
            <w:ind w:firstLineChars="200" w:firstLine="420"/>
            <w:jc w:val="both"/>
          </w:pPr>
          <w:r>
            <w:rPr>
              <w:rFonts w:hint="eastAsia"/>
            </w:rPr>
            <w:t>（六）注册会计师对财务报表审计的责任</w:t>
          </w:r>
        </w:p>
        <w:p w14:paraId="5394C653" w14:textId="77777777" w:rsidR="00577D08" w:rsidRDefault="00330FC0">
          <w:pPr>
            <w:spacing w:line="360" w:lineRule="exact"/>
            <w:ind w:firstLineChars="200" w:firstLine="420"/>
            <w:jc w:val="both"/>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0D894EC6" w14:textId="77777777" w:rsidR="00577D08" w:rsidRDefault="00330FC0">
          <w:pPr>
            <w:spacing w:line="360" w:lineRule="exact"/>
            <w:ind w:firstLineChars="200" w:firstLine="420"/>
            <w:jc w:val="both"/>
          </w:pPr>
          <w:r>
            <w:rPr>
              <w:rFonts w:hint="eastAsia"/>
            </w:rPr>
            <w:t>在按照审计准则执行审计工作的过程中，我们运用职业判断，并保持职业怀疑。同时，我们也执行以下工作：</w:t>
          </w:r>
        </w:p>
        <w:p w14:paraId="679FB5A1" w14:textId="77777777" w:rsidR="00577D08" w:rsidRDefault="00330FC0">
          <w:pPr>
            <w:spacing w:line="360" w:lineRule="exact"/>
            <w:ind w:firstLineChars="200" w:firstLine="420"/>
            <w:jc w:val="both"/>
          </w:pPr>
          <w:r>
            <w:rPr>
              <w:rFonts w:hint="eastAsia"/>
            </w:rPr>
            <w:t>1</w:t>
          </w:r>
          <w:r>
            <w:rPr>
              <w:rFonts w:hint="eastAsia"/>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7507C810" w14:textId="77777777" w:rsidR="00577D08" w:rsidRDefault="00330FC0">
          <w:pPr>
            <w:spacing w:line="360" w:lineRule="exact"/>
            <w:ind w:firstLineChars="200" w:firstLine="420"/>
            <w:jc w:val="both"/>
          </w:pPr>
          <w:r>
            <w:rPr>
              <w:rFonts w:hint="eastAsia"/>
            </w:rPr>
            <w:t>2</w:t>
          </w:r>
          <w:r>
            <w:rPr>
              <w:rFonts w:hint="eastAsia"/>
            </w:rPr>
            <w:t>、了解与审计相关的内部控制，以设计恰当的审计程序。</w:t>
          </w:r>
        </w:p>
        <w:p w14:paraId="46930134" w14:textId="77777777" w:rsidR="00577D08" w:rsidRDefault="00330FC0">
          <w:pPr>
            <w:spacing w:line="360" w:lineRule="exact"/>
            <w:ind w:firstLineChars="200" w:firstLine="420"/>
            <w:jc w:val="both"/>
          </w:pPr>
          <w:r>
            <w:rPr>
              <w:rFonts w:hint="eastAsia"/>
            </w:rPr>
            <w:t>3</w:t>
          </w:r>
          <w:r>
            <w:rPr>
              <w:rFonts w:hint="eastAsia"/>
            </w:rPr>
            <w:t>、评价管理层选用会计政策的恰当性和作出会计估计及相关披露的合理性。</w:t>
          </w:r>
        </w:p>
        <w:p w14:paraId="10A1F73E" w14:textId="77777777" w:rsidR="00577D08" w:rsidRDefault="00330FC0">
          <w:pPr>
            <w:spacing w:line="360" w:lineRule="exact"/>
            <w:ind w:firstLineChars="200" w:firstLine="420"/>
            <w:jc w:val="both"/>
          </w:pPr>
          <w:r>
            <w:rPr>
              <w:rFonts w:hint="eastAsia"/>
            </w:rPr>
            <w:t>4</w:t>
          </w:r>
          <w:r>
            <w:rPr>
              <w:rFonts w:hint="eastAsia"/>
            </w:rPr>
            <w:t>、对管理层使用持续经营假设的恰当性得出结论。同时，根据获取的审计证据，就可能导致对望变电气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望变电气公司不能持续经营。</w:t>
          </w:r>
        </w:p>
        <w:p w14:paraId="3096C6B6" w14:textId="77777777" w:rsidR="00577D08" w:rsidRDefault="00330FC0">
          <w:pPr>
            <w:spacing w:line="360" w:lineRule="exact"/>
            <w:ind w:firstLineChars="200" w:firstLine="420"/>
            <w:jc w:val="both"/>
          </w:pPr>
          <w:r>
            <w:rPr>
              <w:rFonts w:hint="eastAsia"/>
            </w:rPr>
            <w:t>5</w:t>
          </w:r>
          <w:r>
            <w:rPr>
              <w:rFonts w:hint="eastAsia"/>
            </w:rPr>
            <w:t>、评价财务报表的总体列报、结构和内容，并评价财务报表是否公允反映相关交易和事项。</w:t>
          </w:r>
        </w:p>
        <w:p w14:paraId="23520F02" w14:textId="77777777" w:rsidR="00577D08" w:rsidRDefault="00330FC0">
          <w:pPr>
            <w:spacing w:line="360" w:lineRule="exact"/>
            <w:ind w:firstLineChars="200" w:firstLine="420"/>
            <w:jc w:val="both"/>
          </w:pPr>
          <w:r>
            <w:rPr>
              <w:rFonts w:hint="eastAsia"/>
            </w:rPr>
            <w:t>6</w:t>
          </w:r>
          <w:r>
            <w:rPr>
              <w:rFonts w:hint="eastAsia"/>
            </w:rPr>
            <w:t>、就望变电气公司中实体或业务活动的财务信息获取充分、适当的审计证据，以对财务报表发表审计意见。我们负责指导、监督和执行集团审计，并对审计意见承担全部责任。</w:t>
          </w:r>
        </w:p>
        <w:p w14:paraId="1E167FDE" w14:textId="77777777" w:rsidR="00577D08" w:rsidRDefault="00330FC0">
          <w:pPr>
            <w:spacing w:line="360" w:lineRule="exact"/>
            <w:ind w:firstLineChars="200" w:firstLine="420"/>
            <w:jc w:val="both"/>
          </w:pPr>
          <w:r>
            <w:rPr>
              <w:rFonts w:hint="eastAsia"/>
            </w:rPr>
            <w:t>我们与治理层就计划的审计范围、时间安排和重大审计发现等事项进行沟通，包括沟通我们在审计中识别出的值得关注的内部控制缺陷。</w:t>
          </w:r>
        </w:p>
        <w:p w14:paraId="60342DB4" w14:textId="77777777" w:rsidR="00577D08" w:rsidRDefault="00330FC0">
          <w:pPr>
            <w:spacing w:line="360" w:lineRule="exact"/>
            <w:ind w:firstLineChars="200" w:firstLine="420"/>
            <w:jc w:val="both"/>
          </w:pPr>
          <w:r>
            <w:rPr>
              <w:rFonts w:hint="eastAsia"/>
            </w:rPr>
            <w:t>我们还就已遵守与独立性相关的职业道德要求向治理层提供声明，并与治理层沟通可能被合理认为影响我们独立性的所有关系和其他事项，以及相关的防范措施（如适用）。</w:t>
          </w:r>
        </w:p>
        <w:p w14:paraId="4CCA4C39" w14:textId="77777777" w:rsidR="00577D08" w:rsidRDefault="00330FC0">
          <w:pPr>
            <w:spacing w:line="360" w:lineRule="exact"/>
            <w:ind w:firstLineChars="200" w:firstLine="420"/>
            <w:jc w:val="both"/>
          </w:pPr>
          <w:r>
            <w:rPr>
              <w:rFonts w:hint="eastAsia"/>
            </w:rPr>
            <w:t>从与治理层沟通过的事项中，我们确定哪些事项对本期财务报表审计最为重要，因而构成关键审计事项。我们在审计报告中描述这些事项，除非法律法规禁止公开披露这些事项，或在极少</w:t>
          </w:r>
          <w:r>
            <w:rPr>
              <w:rFonts w:hint="eastAsia"/>
            </w:rPr>
            <w:lastRenderedPageBreak/>
            <w:t>数情形下，如果合理预期在审计报告中沟通某事项造成的负面后果超过在公众利益方面产生的益处，我们确定不应在审计报告中沟通该事项。</w:t>
          </w:r>
        </w:p>
      </w:sdtContent>
    </w:sdt>
    <w:p w14:paraId="07DB0DE3" w14:textId="77777777" w:rsidR="00577D08" w:rsidRDefault="00330FC0">
      <w:pPr>
        <w:pStyle w:val="2"/>
        <w:numPr>
          <w:ilvl w:val="0"/>
          <w:numId w:val="52"/>
        </w:numPr>
        <w:rPr>
          <w:rFonts w:ascii="宋体" w:hAnsi="宋体" w:hint="eastAsia"/>
        </w:rPr>
      </w:pPr>
      <w:r>
        <w:rPr>
          <w:rFonts w:ascii="宋体" w:hAnsi="宋体" w:hint="eastAsia"/>
        </w:rPr>
        <w:t>财务报表</w:t>
      </w:r>
    </w:p>
    <w:p w14:paraId="79B07582" w14:textId="77777777" w:rsidR="00577D08" w:rsidRDefault="00330FC0">
      <w:pPr>
        <w:pStyle w:val="3"/>
        <w:jc w:val="center"/>
      </w:pPr>
      <w:bookmarkStart w:id="283" w:name="_Hlk24034092"/>
      <w:bookmarkStart w:id="284" w:name="_Hlk182475374"/>
      <w:bookmarkEnd w:id="283"/>
      <w:r>
        <w:rPr>
          <w:rFonts w:hint="eastAsia"/>
        </w:rPr>
        <w:t>合并资产负债表</w:t>
      </w:r>
    </w:p>
    <w:p w14:paraId="0198F756" w14:textId="77777777" w:rsidR="00577D08" w:rsidRDefault="00330FC0">
      <w:pPr>
        <w:snapToGrid w:val="0"/>
        <w:spacing w:line="240" w:lineRule="atLeast"/>
        <w:jc w:val="center"/>
        <w:rPr>
          <w:b/>
        </w:rPr>
      </w:pPr>
      <w:r>
        <w:t>2025</w:t>
      </w:r>
      <w:r>
        <w:t>年</w:t>
      </w:r>
      <w:r>
        <w:t>12</w:t>
      </w:r>
      <w:r>
        <w:t>月</w:t>
      </w:r>
      <w:r>
        <w:t>31</w:t>
      </w:r>
      <w:r>
        <w:t>日</w:t>
      </w:r>
    </w:p>
    <w:p w14:paraId="64556280" w14:textId="77777777" w:rsidR="00577D08" w:rsidRDefault="00330FC0">
      <w:r>
        <w:t>编制单位</w:t>
      </w:r>
      <w:r>
        <w:rPr>
          <w:rFonts w:hint="eastAsia"/>
        </w:rPr>
        <w:t>：</w:t>
      </w:r>
      <w:sdt>
        <w:sdtPr>
          <w:alias w:val="公司法定中文名称"/>
          <w:tag w:val="_GBC_22071e1c4bb04578b94539b252cb1c67"/>
          <w:id w:val="136542601"/>
          <w:placeholder>
            <w:docPart w:val="GBC22222222222222222222222222222"/>
          </w:placeholder>
          <w:dataBinding w:prefixMappings="xmlns:clcid-cgi='clcid-cgi'" w:xpath="/*/clcid-cgi:GongSiFaDingZhongWenMingCheng[not(@periodRef)]" w:storeItemID="{89EBAB94-44A0-46A2-B712-30D997D04A6D}"/>
          <w:text/>
        </w:sdtPr>
        <w:sdtContent>
          <w:r>
            <w:t>重庆望变电气（集团）股份有限公司</w:t>
          </w:r>
        </w:sdtContent>
      </w:sdt>
    </w:p>
    <w:p w14:paraId="3AB0B48C" w14:textId="0E37AD38" w:rsidR="00577D08" w:rsidRDefault="00330FC0">
      <w:pPr>
        <w:jc w:val="right"/>
      </w:pPr>
      <w:r>
        <w:t>单位：</w:t>
      </w:r>
      <w:sdt>
        <w:sdtPr>
          <w:alias w:val="单位：合并资产负债表"/>
          <w:tag w:val="_GBC_8c6918f285a44e0f8fb06fefffa27df4"/>
          <w:id w:val="-8642823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r w:rsidR="00CC5C32">
            <w:t xml:space="preserve"> </w:t>
          </w:r>
        </w:sdtContent>
      </w:sdt>
      <w:r>
        <w:t>币种：</w:t>
      </w:r>
      <w:sdt>
        <w:sdtPr>
          <w:alias w:val="币种：合并资产负债表"/>
          <w:tag w:val="_GBC_0953b26208a64010937af0b40efed509"/>
          <w:id w:val="16227214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903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4"/>
        <w:gridCol w:w="1133"/>
        <w:gridCol w:w="2550"/>
        <w:gridCol w:w="2411"/>
      </w:tblGrid>
      <w:tr w:rsidR="00577D08" w14:paraId="076E5D46" w14:textId="77777777">
        <w:trPr>
          <w:tblHeader/>
        </w:trPr>
        <w:bookmarkStart w:id="285" w:name="_Hlk137046697" w:displacedByCustomXml="next"/>
        <w:sdt>
          <w:sdtPr>
            <w:tag w:val="_PLD_e88f994cf669436ebd34aa04979abc4a"/>
            <w:id w:val="-22251439"/>
          </w:sdtPr>
          <w:sdtContent>
            <w:tc>
              <w:tcPr>
                <w:tcW w:w="2944" w:type="dxa"/>
                <w:tcBorders>
                  <w:top w:val="outset" w:sz="6" w:space="0" w:color="auto"/>
                  <w:left w:val="outset" w:sz="6" w:space="0" w:color="auto"/>
                  <w:bottom w:val="outset" w:sz="6" w:space="0" w:color="auto"/>
                  <w:right w:val="outset" w:sz="6" w:space="0" w:color="auto"/>
                </w:tcBorders>
                <w:vAlign w:val="center"/>
              </w:tcPr>
              <w:p w14:paraId="280B4151" w14:textId="77777777" w:rsidR="00577D08" w:rsidRDefault="00330FC0">
                <w:pPr>
                  <w:jc w:val="center"/>
                  <w:rPr>
                    <w:b/>
                    <w:color w:val="000000" w:themeColor="text1"/>
                  </w:rPr>
                </w:pPr>
                <w:r>
                  <w:rPr>
                    <w:b/>
                    <w:color w:val="000000" w:themeColor="text1"/>
                  </w:rPr>
                  <w:t>项目</w:t>
                </w:r>
              </w:p>
            </w:tc>
          </w:sdtContent>
        </w:sdt>
        <w:sdt>
          <w:sdtPr>
            <w:tag w:val="_PLD_1b1f75a08f0046c7a2abc9d59780d042"/>
            <w:id w:val="325637352"/>
          </w:sdtPr>
          <w:sdtContent>
            <w:tc>
              <w:tcPr>
                <w:tcW w:w="1133" w:type="dxa"/>
                <w:tcBorders>
                  <w:top w:val="outset" w:sz="6" w:space="0" w:color="auto"/>
                  <w:left w:val="outset" w:sz="6" w:space="0" w:color="auto"/>
                  <w:bottom w:val="outset" w:sz="6" w:space="0" w:color="auto"/>
                  <w:right w:val="outset" w:sz="6" w:space="0" w:color="auto"/>
                </w:tcBorders>
                <w:vAlign w:val="center"/>
              </w:tcPr>
              <w:p w14:paraId="52D58DD3" w14:textId="77777777" w:rsidR="00577D08" w:rsidRDefault="00330FC0">
                <w:pPr>
                  <w:jc w:val="center"/>
                  <w:rPr>
                    <w:b/>
                    <w:color w:val="000000" w:themeColor="text1"/>
                  </w:rPr>
                </w:pPr>
                <w:r>
                  <w:rPr>
                    <w:rFonts w:hint="eastAsia"/>
                    <w:b/>
                    <w:color w:val="000000" w:themeColor="text1"/>
                  </w:rPr>
                  <w:t>附注</w:t>
                </w:r>
              </w:p>
            </w:tc>
          </w:sdtContent>
        </w:sdt>
        <w:sdt>
          <w:sdtPr>
            <w:tag w:val="_PLD_afa4cd62e5184f80ba13c8e19e91baa5"/>
            <w:id w:val="704920447"/>
          </w:sdtPr>
          <w:sdtContent>
            <w:tc>
              <w:tcPr>
                <w:tcW w:w="2550" w:type="dxa"/>
                <w:tcBorders>
                  <w:top w:val="outset" w:sz="6" w:space="0" w:color="auto"/>
                  <w:left w:val="outset" w:sz="6" w:space="0" w:color="auto"/>
                  <w:bottom w:val="outset" w:sz="6" w:space="0" w:color="auto"/>
                  <w:right w:val="outset" w:sz="6" w:space="0" w:color="auto"/>
                </w:tcBorders>
                <w:vAlign w:val="center"/>
              </w:tcPr>
              <w:p w14:paraId="65AEC9D7" w14:textId="77777777" w:rsidR="00577D08" w:rsidRDefault="00330FC0">
                <w:pPr>
                  <w:jc w:val="center"/>
                  <w:rPr>
                    <w:b/>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12</w:t>
                </w:r>
                <w:r>
                  <w:rPr>
                    <w:rFonts w:hint="eastAsia"/>
                    <w:b/>
                    <w:color w:val="000000" w:themeColor="text1"/>
                  </w:rPr>
                  <w:t>月</w:t>
                </w:r>
                <w:r>
                  <w:rPr>
                    <w:b/>
                    <w:color w:val="000000" w:themeColor="text1"/>
                  </w:rPr>
                  <w:t>3</w:t>
                </w:r>
                <w:r>
                  <w:rPr>
                    <w:rFonts w:hint="eastAsia"/>
                    <w:b/>
                    <w:color w:val="000000" w:themeColor="text1"/>
                  </w:rPr>
                  <w:t>1</w:t>
                </w:r>
                <w:r>
                  <w:rPr>
                    <w:rFonts w:hint="eastAsia"/>
                    <w:b/>
                    <w:color w:val="000000" w:themeColor="text1"/>
                  </w:rPr>
                  <w:t>日</w:t>
                </w:r>
              </w:p>
            </w:tc>
          </w:sdtContent>
        </w:sdt>
        <w:sdt>
          <w:sdtPr>
            <w:tag w:val="_PLD_af2c4ec348eb42cba64145c988fe0f69"/>
            <w:id w:val="-1085377128"/>
          </w:sdtPr>
          <w:sdtContent>
            <w:tc>
              <w:tcPr>
                <w:tcW w:w="2411" w:type="dxa"/>
                <w:tcBorders>
                  <w:top w:val="outset" w:sz="6" w:space="0" w:color="auto"/>
                  <w:left w:val="outset" w:sz="6" w:space="0" w:color="auto"/>
                  <w:bottom w:val="outset" w:sz="6" w:space="0" w:color="auto"/>
                  <w:right w:val="outset" w:sz="6" w:space="0" w:color="auto"/>
                </w:tcBorders>
                <w:vAlign w:val="center"/>
              </w:tcPr>
              <w:p w14:paraId="7D823669" w14:textId="77777777" w:rsidR="00577D08" w:rsidRDefault="00330FC0">
                <w:pPr>
                  <w:jc w:val="center"/>
                  <w:rPr>
                    <w:b/>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577D08" w14:paraId="1654133C" w14:textId="77777777">
        <w:sdt>
          <w:sdtPr>
            <w:tag w:val="_PLD_38b46463546242c595dc585220b1a4b3"/>
            <w:id w:val="-1846939155"/>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2FFCF51C" w14:textId="77777777" w:rsidR="00577D08" w:rsidRDefault="00330FC0">
                <w:pPr>
                  <w:rPr>
                    <w:b/>
                    <w:color w:val="000000" w:themeColor="text1"/>
                  </w:rPr>
                </w:pPr>
                <w:r>
                  <w:rPr>
                    <w:rFonts w:hint="eastAsia"/>
                    <w:b/>
                    <w:color w:val="000000" w:themeColor="text1"/>
                  </w:rPr>
                  <w:t>流动资产：</w:t>
                </w:r>
              </w:p>
            </w:tc>
          </w:sdtContent>
        </w:sdt>
      </w:tr>
      <w:tr w:rsidR="00577D08" w14:paraId="56EEC5E3" w14:textId="77777777">
        <w:tc>
          <w:tcPr>
            <w:tcW w:w="2944" w:type="dxa"/>
            <w:tcBorders>
              <w:top w:val="outset" w:sz="6" w:space="0" w:color="auto"/>
              <w:left w:val="outset" w:sz="6" w:space="0" w:color="auto"/>
              <w:bottom w:val="outset" w:sz="6" w:space="0" w:color="auto"/>
              <w:right w:val="outset" w:sz="6" w:space="0" w:color="auto"/>
            </w:tcBorders>
            <w:vAlign w:val="center"/>
          </w:tcPr>
          <w:p w14:paraId="32729307" w14:textId="77777777" w:rsidR="00577D08" w:rsidRDefault="00330FC0">
            <w:pPr>
              <w:ind w:firstLineChars="100" w:firstLine="210"/>
              <w:rPr>
                <w:color w:val="000000" w:themeColor="text1"/>
              </w:rPr>
            </w:pPr>
            <w:r>
              <w:rPr>
                <w:rFonts w:hint="eastAsia"/>
                <w:color w:val="000000" w:themeColor="text1"/>
              </w:rPr>
              <w:t>货币资金</w:t>
            </w:r>
          </w:p>
        </w:tc>
        <w:tc>
          <w:tcPr>
            <w:tcW w:w="1133" w:type="dxa"/>
            <w:tcBorders>
              <w:top w:val="outset" w:sz="6" w:space="0" w:color="auto"/>
              <w:left w:val="outset" w:sz="6" w:space="0" w:color="auto"/>
              <w:bottom w:val="outset" w:sz="6" w:space="0" w:color="auto"/>
              <w:right w:val="outset" w:sz="6" w:space="0" w:color="auto"/>
            </w:tcBorders>
          </w:tcPr>
          <w:p w14:paraId="707F5027" w14:textId="77777777" w:rsidR="00577D08" w:rsidRDefault="00330FC0">
            <w:r>
              <w:rPr>
                <w:rFonts w:hint="eastAsia"/>
              </w:rPr>
              <w:t>七、</w:t>
            </w:r>
            <w:r>
              <w:rPr>
                <w:rFonts w:hint="eastAsia"/>
              </w:rPr>
              <w:t>1</w:t>
            </w:r>
          </w:p>
        </w:tc>
        <w:tc>
          <w:tcPr>
            <w:tcW w:w="2550" w:type="dxa"/>
            <w:tcBorders>
              <w:top w:val="outset" w:sz="6" w:space="0" w:color="auto"/>
              <w:left w:val="outset" w:sz="6" w:space="0" w:color="auto"/>
              <w:bottom w:val="outset" w:sz="6" w:space="0" w:color="auto"/>
              <w:right w:val="outset" w:sz="6" w:space="0" w:color="auto"/>
            </w:tcBorders>
          </w:tcPr>
          <w:p w14:paraId="5F32D57D" w14:textId="77777777" w:rsidR="00577D08" w:rsidRDefault="00330FC0">
            <w:pPr>
              <w:jc w:val="right"/>
            </w:pPr>
            <w:r>
              <w:t xml:space="preserve"> 1,385,204,671.27 </w:t>
            </w:r>
          </w:p>
        </w:tc>
        <w:tc>
          <w:tcPr>
            <w:tcW w:w="2411" w:type="dxa"/>
            <w:tcBorders>
              <w:top w:val="outset" w:sz="6" w:space="0" w:color="auto"/>
              <w:left w:val="outset" w:sz="6" w:space="0" w:color="auto"/>
              <w:bottom w:val="outset" w:sz="6" w:space="0" w:color="auto"/>
              <w:right w:val="outset" w:sz="6" w:space="0" w:color="auto"/>
            </w:tcBorders>
          </w:tcPr>
          <w:p w14:paraId="3C34F6D9" w14:textId="77777777" w:rsidR="00577D08" w:rsidRDefault="00330FC0">
            <w:pPr>
              <w:jc w:val="right"/>
            </w:pPr>
            <w:r>
              <w:t>1,155,274,052.43</w:t>
            </w:r>
          </w:p>
        </w:tc>
      </w:tr>
      <w:tr w:rsidR="00577D08" w14:paraId="5CFBF59A" w14:textId="77777777">
        <w:tc>
          <w:tcPr>
            <w:tcW w:w="2944" w:type="dxa"/>
            <w:tcBorders>
              <w:top w:val="outset" w:sz="6" w:space="0" w:color="auto"/>
              <w:left w:val="outset" w:sz="6" w:space="0" w:color="auto"/>
              <w:bottom w:val="outset" w:sz="6" w:space="0" w:color="auto"/>
              <w:right w:val="outset" w:sz="6" w:space="0" w:color="auto"/>
            </w:tcBorders>
            <w:vAlign w:val="center"/>
          </w:tcPr>
          <w:p w14:paraId="212A7440" w14:textId="77777777" w:rsidR="00577D08" w:rsidRDefault="00330FC0">
            <w:pPr>
              <w:ind w:firstLineChars="100" w:firstLine="210"/>
              <w:rPr>
                <w:color w:val="000000" w:themeColor="text1"/>
              </w:rPr>
            </w:pPr>
            <w:r>
              <w:rPr>
                <w:rFonts w:hint="eastAsia"/>
                <w:color w:val="000000" w:themeColor="text1"/>
              </w:rPr>
              <w:t>结算备付金</w:t>
            </w:r>
          </w:p>
        </w:tc>
        <w:tc>
          <w:tcPr>
            <w:tcW w:w="1133" w:type="dxa"/>
            <w:tcBorders>
              <w:top w:val="outset" w:sz="6" w:space="0" w:color="auto"/>
              <w:left w:val="outset" w:sz="6" w:space="0" w:color="auto"/>
              <w:bottom w:val="outset" w:sz="6" w:space="0" w:color="auto"/>
              <w:right w:val="outset" w:sz="6" w:space="0" w:color="auto"/>
            </w:tcBorders>
          </w:tcPr>
          <w:p w14:paraId="74BA8C7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3ABD3E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61ED0594" w14:textId="77777777" w:rsidR="00577D08" w:rsidRDefault="00577D08">
            <w:pPr>
              <w:jc w:val="right"/>
            </w:pPr>
          </w:p>
        </w:tc>
      </w:tr>
      <w:tr w:rsidR="00577D08" w14:paraId="6C86754A" w14:textId="77777777">
        <w:tc>
          <w:tcPr>
            <w:tcW w:w="2944" w:type="dxa"/>
            <w:tcBorders>
              <w:top w:val="outset" w:sz="6" w:space="0" w:color="auto"/>
              <w:left w:val="outset" w:sz="6" w:space="0" w:color="auto"/>
              <w:bottom w:val="outset" w:sz="6" w:space="0" w:color="auto"/>
              <w:right w:val="outset" w:sz="6" w:space="0" w:color="auto"/>
            </w:tcBorders>
            <w:vAlign w:val="center"/>
          </w:tcPr>
          <w:p w14:paraId="4909F1EE" w14:textId="77777777" w:rsidR="00577D08" w:rsidRDefault="00330FC0">
            <w:pPr>
              <w:ind w:firstLineChars="100" w:firstLine="210"/>
              <w:rPr>
                <w:color w:val="000000" w:themeColor="text1"/>
              </w:rPr>
            </w:pPr>
            <w:r>
              <w:rPr>
                <w:rFonts w:hint="eastAsia"/>
                <w:color w:val="000000" w:themeColor="text1"/>
              </w:rPr>
              <w:t>拆出资金</w:t>
            </w:r>
          </w:p>
        </w:tc>
        <w:tc>
          <w:tcPr>
            <w:tcW w:w="1133" w:type="dxa"/>
            <w:tcBorders>
              <w:top w:val="outset" w:sz="6" w:space="0" w:color="auto"/>
              <w:left w:val="outset" w:sz="6" w:space="0" w:color="auto"/>
              <w:bottom w:val="outset" w:sz="6" w:space="0" w:color="auto"/>
              <w:right w:val="outset" w:sz="6" w:space="0" w:color="auto"/>
            </w:tcBorders>
          </w:tcPr>
          <w:p w14:paraId="1D93214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06FCD19"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C1C160B" w14:textId="77777777" w:rsidR="00577D08" w:rsidRDefault="00577D08">
            <w:pPr>
              <w:jc w:val="right"/>
            </w:pPr>
          </w:p>
        </w:tc>
      </w:tr>
      <w:tr w:rsidR="00577D08" w14:paraId="28783AAE" w14:textId="77777777">
        <w:tc>
          <w:tcPr>
            <w:tcW w:w="2944" w:type="dxa"/>
            <w:tcBorders>
              <w:top w:val="outset" w:sz="6" w:space="0" w:color="auto"/>
              <w:left w:val="outset" w:sz="6" w:space="0" w:color="auto"/>
              <w:bottom w:val="outset" w:sz="6" w:space="0" w:color="auto"/>
              <w:right w:val="outset" w:sz="6" w:space="0" w:color="auto"/>
            </w:tcBorders>
            <w:vAlign w:val="center"/>
          </w:tcPr>
          <w:p w14:paraId="7D4E9B27" w14:textId="77777777" w:rsidR="00577D08" w:rsidRDefault="00330FC0">
            <w:pPr>
              <w:ind w:firstLineChars="100" w:firstLine="210"/>
              <w:rPr>
                <w:color w:val="000000" w:themeColor="text1"/>
              </w:rPr>
            </w:pPr>
            <w:r>
              <w:rPr>
                <w:rFonts w:hint="eastAsia"/>
                <w:color w:val="000000" w:themeColor="text1"/>
              </w:rPr>
              <w:t>交易性金融资产</w:t>
            </w:r>
          </w:p>
        </w:tc>
        <w:tc>
          <w:tcPr>
            <w:tcW w:w="1133" w:type="dxa"/>
            <w:tcBorders>
              <w:top w:val="outset" w:sz="6" w:space="0" w:color="auto"/>
              <w:left w:val="outset" w:sz="6" w:space="0" w:color="auto"/>
              <w:bottom w:val="outset" w:sz="6" w:space="0" w:color="auto"/>
              <w:right w:val="outset" w:sz="6" w:space="0" w:color="auto"/>
            </w:tcBorders>
          </w:tcPr>
          <w:p w14:paraId="4BA3305C" w14:textId="77777777" w:rsidR="00577D08" w:rsidRDefault="00330FC0">
            <w:r>
              <w:rPr>
                <w:rFonts w:hint="eastAsia"/>
              </w:rPr>
              <w:t>七、</w:t>
            </w:r>
            <w:r>
              <w:rPr>
                <w:rFonts w:hint="eastAsia"/>
              </w:rPr>
              <w:t>2</w:t>
            </w:r>
          </w:p>
        </w:tc>
        <w:tc>
          <w:tcPr>
            <w:tcW w:w="2550" w:type="dxa"/>
            <w:tcBorders>
              <w:top w:val="outset" w:sz="6" w:space="0" w:color="auto"/>
              <w:left w:val="outset" w:sz="6" w:space="0" w:color="auto"/>
              <w:bottom w:val="outset" w:sz="6" w:space="0" w:color="auto"/>
              <w:right w:val="outset" w:sz="6" w:space="0" w:color="auto"/>
            </w:tcBorders>
          </w:tcPr>
          <w:p w14:paraId="4E8329BD"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18E51C37" w14:textId="77777777" w:rsidR="00577D08" w:rsidRDefault="00330FC0">
            <w:pPr>
              <w:jc w:val="right"/>
            </w:pPr>
            <w:r>
              <w:t>25,058,819.44</w:t>
            </w:r>
          </w:p>
        </w:tc>
      </w:tr>
      <w:tr w:rsidR="00577D08" w14:paraId="108113D6" w14:textId="77777777">
        <w:tc>
          <w:tcPr>
            <w:tcW w:w="2944" w:type="dxa"/>
            <w:tcBorders>
              <w:top w:val="outset" w:sz="6" w:space="0" w:color="auto"/>
              <w:left w:val="outset" w:sz="6" w:space="0" w:color="auto"/>
              <w:bottom w:val="outset" w:sz="6" w:space="0" w:color="auto"/>
              <w:right w:val="outset" w:sz="6" w:space="0" w:color="auto"/>
            </w:tcBorders>
            <w:vAlign w:val="center"/>
          </w:tcPr>
          <w:p w14:paraId="276FF0BE" w14:textId="77777777" w:rsidR="00577D08" w:rsidRDefault="00330FC0">
            <w:pPr>
              <w:ind w:firstLineChars="100" w:firstLine="210"/>
              <w:rPr>
                <w:color w:val="000000" w:themeColor="text1"/>
              </w:rPr>
            </w:pPr>
            <w:r>
              <w:rPr>
                <w:rFonts w:hint="eastAsia"/>
                <w:color w:val="000000" w:themeColor="text1"/>
              </w:rPr>
              <w:t>衍生金融资产</w:t>
            </w:r>
          </w:p>
        </w:tc>
        <w:tc>
          <w:tcPr>
            <w:tcW w:w="1133" w:type="dxa"/>
            <w:tcBorders>
              <w:top w:val="outset" w:sz="6" w:space="0" w:color="auto"/>
              <w:left w:val="outset" w:sz="6" w:space="0" w:color="auto"/>
              <w:bottom w:val="outset" w:sz="6" w:space="0" w:color="auto"/>
              <w:right w:val="outset" w:sz="6" w:space="0" w:color="auto"/>
            </w:tcBorders>
          </w:tcPr>
          <w:p w14:paraId="0C73601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13A65F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866881F" w14:textId="77777777" w:rsidR="00577D08" w:rsidRDefault="00577D08">
            <w:pPr>
              <w:jc w:val="right"/>
            </w:pPr>
          </w:p>
        </w:tc>
      </w:tr>
      <w:tr w:rsidR="00577D08" w14:paraId="528F0738" w14:textId="77777777">
        <w:tc>
          <w:tcPr>
            <w:tcW w:w="2944" w:type="dxa"/>
            <w:tcBorders>
              <w:top w:val="outset" w:sz="6" w:space="0" w:color="auto"/>
              <w:left w:val="outset" w:sz="6" w:space="0" w:color="auto"/>
              <w:bottom w:val="outset" w:sz="6" w:space="0" w:color="auto"/>
              <w:right w:val="outset" w:sz="6" w:space="0" w:color="auto"/>
            </w:tcBorders>
            <w:vAlign w:val="center"/>
          </w:tcPr>
          <w:p w14:paraId="42E2B4E9" w14:textId="77777777" w:rsidR="00577D08" w:rsidRDefault="00330FC0">
            <w:pPr>
              <w:ind w:firstLineChars="100" w:firstLine="210"/>
              <w:rPr>
                <w:color w:val="000000" w:themeColor="text1"/>
              </w:rPr>
            </w:pPr>
            <w:r>
              <w:rPr>
                <w:rFonts w:hint="eastAsia"/>
                <w:color w:val="000000" w:themeColor="text1"/>
              </w:rPr>
              <w:t>应收票据</w:t>
            </w:r>
          </w:p>
        </w:tc>
        <w:tc>
          <w:tcPr>
            <w:tcW w:w="1133" w:type="dxa"/>
            <w:tcBorders>
              <w:top w:val="outset" w:sz="6" w:space="0" w:color="auto"/>
              <w:left w:val="outset" w:sz="6" w:space="0" w:color="auto"/>
              <w:bottom w:val="outset" w:sz="6" w:space="0" w:color="auto"/>
              <w:right w:val="outset" w:sz="6" w:space="0" w:color="auto"/>
            </w:tcBorders>
          </w:tcPr>
          <w:p w14:paraId="0E432304" w14:textId="77777777" w:rsidR="00577D08" w:rsidRDefault="00330FC0">
            <w:r>
              <w:rPr>
                <w:rFonts w:hint="eastAsia"/>
              </w:rPr>
              <w:t>七、</w:t>
            </w:r>
            <w:r>
              <w:rPr>
                <w:rFonts w:hint="eastAsia"/>
              </w:rPr>
              <w:t>4</w:t>
            </w:r>
          </w:p>
        </w:tc>
        <w:tc>
          <w:tcPr>
            <w:tcW w:w="2550" w:type="dxa"/>
            <w:tcBorders>
              <w:top w:val="outset" w:sz="6" w:space="0" w:color="auto"/>
              <w:left w:val="outset" w:sz="6" w:space="0" w:color="auto"/>
              <w:bottom w:val="outset" w:sz="6" w:space="0" w:color="auto"/>
              <w:right w:val="outset" w:sz="6" w:space="0" w:color="auto"/>
            </w:tcBorders>
          </w:tcPr>
          <w:p w14:paraId="40A31829" w14:textId="77777777" w:rsidR="00577D08" w:rsidRDefault="00330FC0">
            <w:pPr>
              <w:jc w:val="right"/>
            </w:pPr>
            <w:r>
              <w:t xml:space="preserve"> 286,692,728.03 </w:t>
            </w:r>
          </w:p>
        </w:tc>
        <w:tc>
          <w:tcPr>
            <w:tcW w:w="2411" w:type="dxa"/>
            <w:tcBorders>
              <w:top w:val="outset" w:sz="6" w:space="0" w:color="auto"/>
              <w:left w:val="outset" w:sz="6" w:space="0" w:color="auto"/>
              <w:bottom w:val="outset" w:sz="6" w:space="0" w:color="auto"/>
              <w:right w:val="outset" w:sz="6" w:space="0" w:color="auto"/>
            </w:tcBorders>
          </w:tcPr>
          <w:p w14:paraId="4BE2B037" w14:textId="77777777" w:rsidR="00577D08" w:rsidRDefault="00330FC0">
            <w:pPr>
              <w:jc w:val="right"/>
            </w:pPr>
            <w:r>
              <w:t>224,762,900.86</w:t>
            </w:r>
          </w:p>
        </w:tc>
      </w:tr>
      <w:tr w:rsidR="00577D08" w14:paraId="350E532B" w14:textId="77777777">
        <w:tc>
          <w:tcPr>
            <w:tcW w:w="2944" w:type="dxa"/>
            <w:tcBorders>
              <w:top w:val="outset" w:sz="6" w:space="0" w:color="auto"/>
              <w:left w:val="outset" w:sz="6" w:space="0" w:color="auto"/>
              <w:bottom w:val="outset" w:sz="6" w:space="0" w:color="auto"/>
              <w:right w:val="outset" w:sz="6" w:space="0" w:color="auto"/>
            </w:tcBorders>
            <w:vAlign w:val="center"/>
          </w:tcPr>
          <w:p w14:paraId="5414D5FF" w14:textId="77777777" w:rsidR="00577D08" w:rsidRDefault="00330FC0">
            <w:pPr>
              <w:ind w:firstLineChars="100" w:firstLine="210"/>
              <w:rPr>
                <w:color w:val="000000" w:themeColor="text1"/>
              </w:rPr>
            </w:pPr>
            <w:r>
              <w:rPr>
                <w:rFonts w:hint="eastAsia"/>
                <w:color w:val="000000" w:themeColor="text1"/>
              </w:rPr>
              <w:t>应收账款</w:t>
            </w:r>
          </w:p>
        </w:tc>
        <w:tc>
          <w:tcPr>
            <w:tcW w:w="1133" w:type="dxa"/>
            <w:tcBorders>
              <w:top w:val="outset" w:sz="6" w:space="0" w:color="auto"/>
              <w:left w:val="outset" w:sz="6" w:space="0" w:color="auto"/>
              <w:bottom w:val="outset" w:sz="6" w:space="0" w:color="auto"/>
              <w:right w:val="outset" w:sz="6" w:space="0" w:color="auto"/>
            </w:tcBorders>
          </w:tcPr>
          <w:p w14:paraId="3E626BA2" w14:textId="77777777" w:rsidR="00577D08" w:rsidRDefault="00330FC0">
            <w:r>
              <w:rPr>
                <w:rFonts w:hint="eastAsia"/>
              </w:rPr>
              <w:t>七、</w:t>
            </w:r>
            <w:r>
              <w:rPr>
                <w:rFonts w:hint="eastAsia"/>
              </w:rPr>
              <w:t>5</w:t>
            </w:r>
          </w:p>
        </w:tc>
        <w:tc>
          <w:tcPr>
            <w:tcW w:w="2550" w:type="dxa"/>
            <w:tcBorders>
              <w:top w:val="outset" w:sz="6" w:space="0" w:color="auto"/>
              <w:left w:val="outset" w:sz="6" w:space="0" w:color="auto"/>
              <w:bottom w:val="outset" w:sz="6" w:space="0" w:color="auto"/>
              <w:right w:val="outset" w:sz="6" w:space="0" w:color="auto"/>
            </w:tcBorders>
          </w:tcPr>
          <w:p w14:paraId="60C7F114" w14:textId="77777777" w:rsidR="00577D08" w:rsidRDefault="00330FC0">
            <w:pPr>
              <w:jc w:val="right"/>
            </w:pPr>
            <w:r>
              <w:t xml:space="preserve"> 1,970,210,637.25 </w:t>
            </w:r>
          </w:p>
        </w:tc>
        <w:tc>
          <w:tcPr>
            <w:tcW w:w="2411" w:type="dxa"/>
            <w:tcBorders>
              <w:top w:val="outset" w:sz="6" w:space="0" w:color="auto"/>
              <w:left w:val="outset" w:sz="6" w:space="0" w:color="auto"/>
              <w:bottom w:val="outset" w:sz="6" w:space="0" w:color="auto"/>
              <w:right w:val="outset" w:sz="6" w:space="0" w:color="auto"/>
            </w:tcBorders>
          </w:tcPr>
          <w:p w14:paraId="71787430" w14:textId="77777777" w:rsidR="00577D08" w:rsidRDefault="00330FC0">
            <w:pPr>
              <w:jc w:val="right"/>
            </w:pPr>
            <w:r>
              <w:t>1,642,015,243.49</w:t>
            </w:r>
          </w:p>
        </w:tc>
      </w:tr>
      <w:tr w:rsidR="00577D08" w14:paraId="15CE489E" w14:textId="77777777">
        <w:tc>
          <w:tcPr>
            <w:tcW w:w="2944" w:type="dxa"/>
            <w:tcBorders>
              <w:top w:val="outset" w:sz="6" w:space="0" w:color="auto"/>
              <w:left w:val="outset" w:sz="6" w:space="0" w:color="auto"/>
              <w:bottom w:val="outset" w:sz="6" w:space="0" w:color="auto"/>
              <w:right w:val="outset" w:sz="6" w:space="0" w:color="auto"/>
            </w:tcBorders>
            <w:vAlign w:val="center"/>
          </w:tcPr>
          <w:p w14:paraId="01996AAC" w14:textId="77777777" w:rsidR="00577D08" w:rsidRDefault="00330FC0">
            <w:pPr>
              <w:ind w:firstLineChars="100" w:firstLine="210"/>
              <w:rPr>
                <w:color w:val="000000" w:themeColor="text1"/>
              </w:rPr>
            </w:pPr>
            <w:r>
              <w:rPr>
                <w:rFonts w:hint="eastAsia"/>
                <w:color w:val="000000" w:themeColor="text1"/>
              </w:rPr>
              <w:t>应收款项融资</w:t>
            </w:r>
          </w:p>
        </w:tc>
        <w:tc>
          <w:tcPr>
            <w:tcW w:w="1133" w:type="dxa"/>
            <w:tcBorders>
              <w:top w:val="outset" w:sz="6" w:space="0" w:color="auto"/>
              <w:left w:val="outset" w:sz="6" w:space="0" w:color="auto"/>
              <w:bottom w:val="outset" w:sz="6" w:space="0" w:color="auto"/>
              <w:right w:val="outset" w:sz="6" w:space="0" w:color="auto"/>
            </w:tcBorders>
          </w:tcPr>
          <w:p w14:paraId="759DF7FC" w14:textId="77777777" w:rsidR="00577D08" w:rsidRDefault="00330FC0">
            <w:r>
              <w:rPr>
                <w:rFonts w:hint="eastAsia"/>
              </w:rPr>
              <w:t>七、</w:t>
            </w:r>
            <w:r>
              <w:rPr>
                <w:rFonts w:hint="eastAsia"/>
              </w:rPr>
              <w:t>7</w:t>
            </w:r>
          </w:p>
        </w:tc>
        <w:tc>
          <w:tcPr>
            <w:tcW w:w="2550" w:type="dxa"/>
            <w:tcBorders>
              <w:top w:val="outset" w:sz="6" w:space="0" w:color="auto"/>
              <w:left w:val="outset" w:sz="6" w:space="0" w:color="auto"/>
              <w:bottom w:val="outset" w:sz="6" w:space="0" w:color="auto"/>
              <w:right w:val="outset" w:sz="6" w:space="0" w:color="auto"/>
            </w:tcBorders>
          </w:tcPr>
          <w:p w14:paraId="483F84E5" w14:textId="77777777" w:rsidR="00577D08" w:rsidRDefault="00330FC0">
            <w:pPr>
              <w:jc w:val="right"/>
            </w:pPr>
            <w:r>
              <w:t xml:space="preserve"> 37,433,524.10 </w:t>
            </w:r>
          </w:p>
        </w:tc>
        <w:tc>
          <w:tcPr>
            <w:tcW w:w="2411" w:type="dxa"/>
            <w:tcBorders>
              <w:top w:val="outset" w:sz="6" w:space="0" w:color="auto"/>
              <w:left w:val="outset" w:sz="6" w:space="0" w:color="auto"/>
              <w:bottom w:val="outset" w:sz="6" w:space="0" w:color="auto"/>
              <w:right w:val="outset" w:sz="6" w:space="0" w:color="auto"/>
            </w:tcBorders>
          </w:tcPr>
          <w:p w14:paraId="47DA1E6E" w14:textId="77777777" w:rsidR="00577D08" w:rsidRDefault="00330FC0">
            <w:pPr>
              <w:jc w:val="right"/>
            </w:pPr>
            <w:r>
              <w:t>14,995,170.75</w:t>
            </w:r>
          </w:p>
        </w:tc>
      </w:tr>
      <w:tr w:rsidR="00577D08" w14:paraId="0FDB6EBD" w14:textId="77777777">
        <w:tc>
          <w:tcPr>
            <w:tcW w:w="2944" w:type="dxa"/>
            <w:tcBorders>
              <w:top w:val="outset" w:sz="6" w:space="0" w:color="auto"/>
              <w:left w:val="outset" w:sz="6" w:space="0" w:color="auto"/>
              <w:bottom w:val="outset" w:sz="6" w:space="0" w:color="auto"/>
              <w:right w:val="outset" w:sz="6" w:space="0" w:color="auto"/>
            </w:tcBorders>
            <w:vAlign w:val="center"/>
          </w:tcPr>
          <w:p w14:paraId="25C48308" w14:textId="77777777" w:rsidR="00577D08" w:rsidRDefault="00330FC0">
            <w:pPr>
              <w:ind w:firstLineChars="100" w:firstLine="210"/>
              <w:rPr>
                <w:color w:val="000000" w:themeColor="text1"/>
              </w:rPr>
            </w:pPr>
            <w:r>
              <w:rPr>
                <w:rFonts w:hint="eastAsia"/>
                <w:color w:val="000000" w:themeColor="text1"/>
              </w:rPr>
              <w:t>预付款项</w:t>
            </w:r>
          </w:p>
        </w:tc>
        <w:tc>
          <w:tcPr>
            <w:tcW w:w="1133" w:type="dxa"/>
            <w:tcBorders>
              <w:top w:val="outset" w:sz="6" w:space="0" w:color="auto"/>
              <w:left w:val="outset" w:sz="6" w:space="0" w:color="auto"/>
              <w:bottom w:val="outset" w:sz="6" w:space="0" w:color="auto"/>
              <w:right w:val="outset" w:sz="6" w:space="0" w:color="auto"/>
            </w:tcBorders>
          </w:tcPr>
          <w:p w14:paraId="7EE39521" w14:textId="77777777" w:rsidR="00577D08" w:rsidRDefault="00330FC0">
            <w:r>
              <w:rPr>
                <w:rFonts w:hint="eastAsia"/>
              </w:rPr>
              <w:t>七、</w:t>
            </w:r>
            <w:r>
              <w:rPr>
                <w:rFonts w:hint="eastAsia"/>
              </w:rPr>
              <w:t>8</w:t>
            </w:r>
          </w:p>
        </w:tc>
        <w:tc>
          <w:tcPr>
            <w:tcW w:w="2550" w:type="dxa"/>
            <w:tcBorders>
              <w:top w:val="outset" w:sz="6" w:space="0" w:color="auto"/>
              <w:left w:val="outset" w:sz="6" w:space="0" w:color="auto"/>
              <w:bottom w:val="outset" w:sz="6" w:space="0" w:color="auto"/>
              <w:right w:val="outset" w:sz="6" w:space="0" w:color="auto"/>
            </w:tcBorders>
          </w:tcPr>
          <w:p w14:paraId="7BDD2146" w14:textId="77777777" w:rsidR="00577D08" w:rsidRDefault="00330FC0">
            <w:pPr>
              <w:jc w:val="right"/>
            </w:pPr>
            <w:r>
              <w:t xml:space="preserve"> 142,709,339.57 </w:t>
            </w:r>
          </w:p>
        </w:tc>
        <w:tc>
          <w:tcPr>
            <w:tcW w:w="2411" w:type="dxa"/>
            <w:tcBorders>
              <w:top w:val="outset" w:sz="6" w:space="0" w:color="auto"/>
              <w:left w:val="outset" w:sz="6" w:space="0" w:color="auto"/>
              <w:bottom w:val="outset" w:sz="6" w:space="0" w:color="auto"/>
              <w:right w:val="outset" w:sz="6" w:space="0" w:color="auto"/>
            </w:tcBorders>
          </w:tcPr>
          <w:p w14:paraId="6D52783B" w14:textId="77777777" w:rsidR="00577D08" w:rsidRDefault="00330FC0">
            <w:pPr>
              <w:jc w:val="right"/>
            </w:pPr>
            <w:r>
              <w:t>80,762,581.64</w:t>
            </w:r>
          </w:p>
        </w:tc>
      </w:tr>
      <w:tr w:rsidR="00577D08" w14:paraId="73AA8B2E" w14:textId="77777777">
        <w:tc>
          <w:tcPr>
            <w:tcW w:w="2944" w:type="dxa"/>
            <w:tcBorders>
              <w:top w:val="outset" w:sz="6" w:space="0" w:color="auto"/>
              <w:left w:val="outset" w:sz="6" w:space="0" w:color="auto"/>
              <w:bottom w:val="outset" w:sz="6" w:space="0" w:color="auto"/>
              <w:right w:val="outset" w:sz="6" w:space="0" w:color="auto"/>
            </w:tcBorders>
            <w:vAlign w:val="center"/>
          </w:tcPr>
          <w:p w14:paraId="70341383" w14:textId="77777777" w:rsidR="00577D08" w:rsidRDefault="00330FC0">
            <w:pPr>
              <w:ind w:firstLineChars="100" w:firstLine="210"/>
              <w:rPr>
                <w:color w:val="000000" w:themeColor="text1"/>
              </w:rPr>
            </w:pPr>
            <w:r>
              <w:rPr>
                <w:rFonts w:hint="eastAsia"/>
                <w:color w:val="000000" w:themeColor="text1"/>
              </w:rPr>
              <w:t>应收保费</w:t>
            </w:r>
          </w:p>
        </w:tc>
        <w:tc>
          <w:tcPr>
            <w:tcW w:w="1133" w:type="dxa"/>
            <w:tcBorders>
              <w:top w:val="outset" w:sz="6" w:space="0" w:color="auto"/>
              <w:left w:val="outset" w:sz="6" w:space="0" w:color="auto"/>
              <w:bottom w:val="outset" w:sz="6" w:space="0" w:color="auto"/>
              <w:right w:val="outset" w:sz="6" w:space="0" w:color="auto"/>
            </w:tcBorders>
          </w:tcPr>
          <w:p w14:paraId="18DD740A"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02B9696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1E0CFF4A" w14:textId="77777777" w:rsidR="00577D08" w:rsidRDefault="00577D08">
            <w:pPr>
              <w:jc w:val="right"/>
            </w:pPr>
          </w:p>
        </w:tc>
      </w:tr>
      <w:tr w:rsidR="00577D08" w14:paraId="3E6BC851" w14:textId="77777777">
        <w:tc>
          <w:tcPr>
            <w:tcW w:w="2944" w:type="dxa"/>
            <w:tcBorders>
              <w:top w:val="outset" w:sz="6" w:space="0" w:color="auto"/>
              <w:left w:val="outset" w:sz="6" w:space="0" w:color="auto"/>
              <w:bottom w:val="outset" w:sz="6" w:space="0" w:color="auto"/>
              <w:right w:val="outset" w:sz="6" w:space="0" w:color="auto"/>
            </w:tcBorders>
            <w:vAlign w:val="center"/>
          </w:tcPr>
          <w:p w14:paraId="70AA579F" w14:textId="77777777" w:rsidR="00577D08" w:rsidRDefault="00330FC0">
            <w:pPr>
              <w:ind w:firstLineChars="100" w:firstLine="210"/>
              <w:rPr>
                <w:color w:val="000000" w:themeColor="text1"/>
              </w:rPr>
            </w:pPr>
            <w:r>
              <w:rPr>
                <w:rFonts w:hint="eastAsia"/>
                <w:color w:val="000000" w:themeColor="text1"/>
              </w:rPr>
              <w:t>应收分保账款</w:t>
            </w:r>
          </w:p>
        </w:tc>
        <w:tc>
          <w:tcPr>
            <w:tcW w:w="1133" w:type="dxa"/>
            <w:tcBorders>
              <w:top w:val="outset" w:sz="6" w:space="0" w:color="auto"/>
              <w:left w:val="outset" w:sz="6" w:space="0" w:color="auto"/>
              <w:bottom w:val="outset" w:sz="6" w:space="0" w:color="auto"/>
              <w:right w:val="outset" w:sz="6" w:space="0" w:color="auto"/>
            </w:tcBorders>
          </w:tcPr>
          <w:p w14:paraId="51F06EF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0FDDCB7B"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AD3E7AE" w14:textId="77777777" w:rsidR="00577D08" w:rsidRDefault="00577D08">
            <w:pPr>
              <w:jc w:val="right"/>
            </w:pPr>
          </w:p>
        </w:tc>
      </w:tr>
      <w:tr w:rsidR="00577D08" w14:paraId="1BD5626E" w14:textId="77777777">
        <w:tc>
          <w:tcPr>
            <w:tcW w:w="2944" w:type="dxa"/>
            <w:tcBorders>
              <w:top w:val="outset" w:sz="6" w:space="0" w:color="auto"/>
              <w:left w:val="outset" w:sz="6" w:space="0" w:color="auto"/>
              <w:bottom w:val="outset" w:sz="6" w:space="0" w:color="auto"/>
              <w:right w:val="outset" w:sz="6" w:space="0" w:color="auto"/>
            </w:tcBorders>
            <w:vAlign w:val="center"/>
          </w:tcPr>
          <w:p w14:paraId="47F0978E" w14:textId="77777777" w:rsidR="00577D08" w:rsidRDefault="00330FC0">
            <w:pPr>
              <w:ind w:firstLineChars="100" w:firstLine="210"/>
              <w:rPr>
                <w:color w:val="000000" w:themeColor="text1"/>
              </w:rPr>
            </w:pPr>
            <w:r>
              <w:rPr>
                <w:rFonts w:hint="eastAsia"/>
                <w:color w:val="000000" w:themeColor="text1"/>
              </w:rPr>
              <w:t>应收分保合同准备金</w:t>
            </w:r>
          </w:p>
        </w:tc>
        <w:tc>
          <w:tcPr>
            <w:tcW w:w="1133" w:type="dxa"/>
            <w:tcBorders>
              <w:top w:val="outset" w:sz="6" w:space="0" w:color="auto"/>
              <w:left w:val="outset" w:sz="6" w:space="0" w:color="auto"/>
              <w:bottom w:val="outset" w:sz="6" w:space="0" w:color="auto"/>
              <w:right w:val="outset" w:sz="6" w:space="0" w:color="auto"/>
            </w:tcBorders>
          </w:tcPr>
          <w:p w14:paraId="73F2EB0A"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92FD146"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A7C40F9" w14:textId="77777777" w:rsidR="00577D08" w:rsidRDefault="00577D08">
            <w:pPr>
              <w:jc w:val="right"/>
            </w:pPr>
          </w:p>
        </w:tc>
      </w:tr>
      <w:tr w:rsidR="00577D08" w14:paraId="35B5BC57" w14:textId="77777777">
        <w:tc>
          <w:tcPr>
            <w:tcW w:w="2944" w:type="dxa"/>
            <w:tcBorders>
              <w:top w:val="outset" w:sz="6" w:space="0" w:color="auto"/>
              <w:left w:val="outset" w:sz="6" w:space="0" w:color="auto"/>
              <w:bottom w:val="outset" w:sz="6" w:space="0" w:color="auto"/>
              <w:right w:val="outset" w:sz="6" w:space="0" w:color="auto"/>
            </w:tcBorders>
            <w:vAlign w:val="center"/>
          </w:tcPr>
          <w:p w14:paraId="642DE4DC" w14:textId="77777777" w:rsidR="00577D08" w:rsidRDefault="00330FC0">
            <w:pPr>
              <w:ind w:firstLineChars="100" w:firstLine="210"/>
              <w:rPr>
                <w:color w:val="000000" w:themeColor="text1"/>
              </w:rPr>
            </w:pPr>
            <w:r>
              <w:rPr>
                <w:rFonts w:hint="eastAsia"/>
                <w:color w:val="000000" w:themeColor="text1"/>
              </w:rPr>
              <w:t>其他应收款</w:t>
            </w:r>
          </w:p>
        </w:tc>
        <w:tc>
          <w:tcPr>
            <w:tcW w:w="1133" w:type="dxa"/>
            <w:tcBorders>
              <w:top w:val="outset" w:sz="6" w:space="0" w:color="auto"/>
              <w:left w:val="outset" w:sz="6" w:space="0" w:color="auto"/>
              <w:bottom w:val="outset" w:sz="6" w:space="0" w:color="auto"/>
              <w:right w:val="outset" w:sz="6" w:space="0" w:color="auto"/>
            </w:tcBorders>
          </w:tcPr>
          <w:p w14:paraId="4FB1B007" w14:textId="77777777" w:rsidR="00577D08" w:rsidRDefault="00330FC0">
            <w:r>
              <w:rPr>
                <w:rFonts w:hint="eastAsia"/>
              </w:rPr>
              <w:t>七、</w:t>
            </w:r>
            <w:r>
              <w:rPr>
                <w:rFonts w:hint="eastAsia"/>
              </w:rPr>
              <w:t>9</w:t>
            </w:r>
          </w:p>
        </w:tc>
        <w:tc>
          <w:tcPr>
            <w:tcW w:w="2550" w:type="dxa"/>
            <w:tcBorders>
              <w:top w:val="outset" w:sz="6" w:space="0" w:color="auto"/>
              <w:left w:val="outset" w:sz="6" w:space="0" w:color="auto"/>
              <w:bottom w:val="outset" w:sz="6" w:space="0" w:color="auto"/>
              <w:right w:val="outset" w:sz="6" w:space="0" w:color="auto"/>
            </w:tcBorders>
          </w:tcPr>
          <w:p w14:paraId="6EBAC9CB" w14:textId="77777777" w:rsidR="00577D08" w:rsidRDefault="00330FC0">
            <w:pPr>
              <w:jc w:val="right"/>
            </w:pPr>
            <w:r>
              <w:t xml:space="preserve"> 122,669,436.29 </w:t>
            </w:r>
          </w:p>
        </w:tc>
        <w:tc>
          <w:tcPr>
            <w:tcW w:w="2411" w:type="dxa"/>
            <w:tcBorders>
              <w:top w:val="outset" w:sz="6" w:space="0" w:color="auto"/>
              <w:left w:val="outset" w:sz="6" w:space="0" w:color="auto"/>
              <w:bottom w:val="outset" w:sz="6" w:space="0" w:color="auto"/>
              <w:right w:val="outset" w:sz="6" w:space="0" w:color="auto"/>
            </w:tcBorders>
          </w:tcPr>
          <w:p w14:paraId="0EDC5501" w14:textId="77777777" w:rsidR="00577D08" w:rsidRDefault="00330FC0">
            <w:pPr>
              <w:jc w:val="right"/>
            </w:pPr>
            <w:r>
              <w:t>125,149,623.36</w:t>
            </w:r>
          </w:p>
        </w:tc>
      </w:tr>
      <w:tr w:rsidR="00577D08" w14:paraId="48EF0C2D" w14:textId="77777777">
        <w:tc>
          <w:tcPr>
            <w:tcW w:w="2944" w:type="dxa"/>
            <w:tcBorders>
              <w:top w:val="outset" w:sz="6" w:space="0" w:color="auto"/>
              <w:left w:val="outset" w:sz="6" w:space="0" w:color="auto"/>
              <w:bottom w:val="outset" w:sz="6" w:space="0" w:color="auto"/>
              <w:right w:val="outset" w:sz="6" w:space="0" w:color="auto"/>
            </w:tcBorders>
            <w:vAlign w:val="center"/>
          </w:tcPr>
          <w:p w14:paraId="18071932" w14:textId="77777777" w:rsidR="00577D08" w:rsidRDefault="00330FC0">
            <w:pPr>
              <w:ind w:firstLineChars="100" w:firstLine="210"/>
              <w:rPr>
                <w:color w:val="000000" w:themeColor="text1"/>
              </w:rPr>
            </w:pPr>
            <w:r>
              <w:rPr>
                <w:rFonts w:hint="eastAsia"/>
                <w:color w:val="000000" w:themeColor="text1"/>
              </w:rPr>
              <w:t>其中：应收利息</w:t>
            </w:r>
          </w:p>
        </w:tc>
        <w:tc>
          <w:tcPr>
            <w:tcW w:w="1133" w:type="dxa"/>
            <w:tcBorders>
              <w:top w:val="outset" w:sz="6" w:space="0" w:color="auto"/>
              <w:left w:val="outset" w:sz="6" w:space="0" w:color="auto"/>
              <w:bottom w:val="outset" w:sz="6" w:space="0" w:color="auto"/>
              <w:right w:val="outset" w:sz="6" w:space="0" w:color="auto"/>
            </w:tcBorders>
          </w:tcPr>
          <w:p w14:paraId="635E407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1DD1DDB"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ACF2C9C" w14:textId="77777777" w:rsidR="00577D08" w:rsidRDefault="00577D08">
            <w:pPr>
              <w:jc w:val="right"/>
            </w:pPr>
          </w:p>
        </w:tc>
      </w:tr>
      <w:tr w:rsidR="00577D08" w14:paraId="1531F64C" w14:textId="77777777">
        <w:tc>
          <w:tcPr>
            <w:tcW w:w="2944" w:type="dxa"/>
            <w:tcBorders>
              <w:top w:val="outset" w:sz="6" w:space="0" w:color="auto"/>
              <w:left w:val="outset" w:sz="6" w:space="0" w:color="auto"/>
              <w:bottom w:val="outset" w:sz="6" w:space="0" w:color="auto"/>
              <w:right w:val="outset" w:sz="6" w:space="0" w:color="auto"/>
            </w:tcBorders>
            <w:vAlign w:val="center"/>
          </w:tcPr>
          <w:p w14:paraId="15B2FA55" w14:textId="77777777" w:rsidR="00577D08" w:rsidRDefault="00330FC0">
            <w:pPr>
              <w:ind w:firstLineChars="400" w:firstLine="840"/>
              <w:rPr>
                <w:color w:val="000000" w:themeColor="text1"/>
              </w:rPr>
            </w:pPr>
            <w:r>
              <w:rPr>
                <w:rFonts w:hint="eastAsia"/>
                <w:color w:val="000000" w:themeColor="text1"/>
              </w:rPr>
              <w:t>应收股利</w:t>
            </w:r>
          </w:p>
        </w:tc>
        <w:tc>
          <w:tcPr>
            <w:tcW w:w="1133" w:type="dxa"/>
            <w:tcBorders>
              <w:top w:val="outset" w:sz="6" w:space="0" w:color="auto"/>
              <w:left w:val="outset" w:sz="6" w:space="0" w:color="auto"/>
              <w:bottom w:val="outset" w:sz="6" w:space="0" w:color="auto"/>
              <w:right w:val="outset" w:sz="6" w:space="0" w:color="auto"/>
            </w:tcBorders>
          </w:tcPr>
          <w:p w14:paraId="0E3A5C82"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FFBA198"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373312B" w14:textId="77777777" w:rsidR="00577D08" w:rsidRDefault="00577D08">
            <w:pPr>
              <w:jc w:val="right"/>
            </w:pPr>
          </w:p>
        </w:tc>
      </w:tr>
      <w:tr w:rsidR="00577D08" w14:paraId="66C014E8" w14:textId="77777777">
        <w:tc>
          <w:tcPr>
            <w:tcW w:w="2944" w:type="dxa"/>
            <w:tcBorders>
              <w:top w:val="outset" w:sz="6" w:space="0" w:color="auto"/>
              <w:left w:val="outset" w:sz="6" w:space="0" w:color="auto"/>
              <w:bottom w:val="outset" w:sz="6" w:space="0" w:color="auto"/>
              <w:right w:val="outset" w:sz="6" w:space="0" w:color="auto"/>
            </w:tcBorders>
            <w:vAlign w:val="center"/>
          </w:tcPr>
          <w:p w14:paraId="38C27383" w14:textId="77777777" w:rsidR="00577D08" w:rsidRDefault="00330FC0">
            <w:pPr>
              <w:ind w:firstLineChars="100" w:firstLine="210"/>
              <w:rPr>
                <w:color w:val="000000" w:themeColor="text1"/>
              </w:rPr>
            </w:pPr>
            <w:r>
              <w:rPr>
                <w:rFonts w:hint="eastAsia"/>
                <w:color w:val="000000" w:themeColor="text1"/>
              </w:rPr>
              <w:t>买入返售金融资产</w:t>
            </w:r>
          </w:p>
        </w:tc>
        <w:tc>
          <w:tcPr>
            <w:tcW w:w="1133" w:type="dxa"/>
            <w:tcBorders>
              <w:top w:val="outset" w:sz="6" w:space="0" w:color="auto"/>
              <w:left w:val="outset" w:sz="6" w:space="0" w:color="auto"/>
              <w:bottom w:val="outset" w:sz="6" w:space="0" w:color="auto"/>
              <w:right w:val="outset" w:sz="6" w:space="0" w:color="auto"/>
            </w:tcBorders>
          </w:tcPr>
          <w:p w14:paraId="16D64162"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4970972"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15220C6" w14:textId="77777777" w:rsidR="00577D08" w:rsidRDefault="00577D08">
            <w:pPr>
              <w:jc w:val="right"/>
            </w:pPr>
          </w:p>
        </w:tc>
      </w:tr>
      <w:tr w:rsidR="00577D08" w14:paraId="2803AA62" w14:textId="77777777">
        <w:tc>
          <w:tcPr>
            <w:tcW w:w="2944" w:type="dxa"/>
            <w:tcBorders>
              <w:top w:val="outset" w:sz="6" w:space="0" w:color="auto"/>
              <w:left w:val="outset" w:sz="6" w:space="0" w:color="auto"/>
              <w:bottom w:val="outset" w:sz="6" w:space="0" w:color="auto"/>
              <w:right w:val="outset" w:sz="6" w:space="0" w:color="auto"/>
            </w:tcBorders>
            <w:vAlign w:val="center"/>
          </w:tcPr>
          <w:p w14:paraId="71EF0555" w14:textId="77777777" w:rsidR="00577D08" w:rsidRDefault="00330FC0">
            <w:pPr>
              <w:ind w:firstLineChars="100" w:firstLine="210"/>
              <w:rPr>
                <w:color w:val="000000" w:themeColor="text1"/>
              </w:rPr>
            </w:pPr>
            <w:r>
              <w:rPr>
                <w:rFonts w:hint="eastAsia"/>
                <w:color w:val="000000" w:themeColor="text1"/>
              </w:rPr>
              <w:t>存货</w:t>
            </w:r>
          </w:p>
        </w:tc>
        <w:tc>
          <w:tcPr>
            <w:tcW w:w="1133" w:type="dxa"/>
            <w:tcBorders>
              <w:top w:val="outset" w:sz="6" w:space="0" w:color="auto"/>
              <w:left w:val="outset" w:sz="6" w:space="0" w:color="auto"/>
              <w:bottom w:val="outset" w:sz="6" w:space="0" w:color="auto"/>
              <w:right w:val="outset" w:sz="6" w:space="0" w:color="auto"/>
            </w:tcBorders>
          </w:tcPr>
          <w:p w14:paraId="79AC9426" w14:textId="77777777" w:rsidR="00577D08" w:rsidRDefault="00330FC0">
            <w:r>
              <w:rPr>
                <w:rFonts w:hint="eastAsia"/>
              </w:rPr>
              <w:t>七、</w:t>
            </w:r>
            <w:r>
              <w:rPr>
                <w:rFonts w:hint="eastAsia"/>
              </w:rPr>
              <w:t>10</w:t>
            </w:r>
          </w:p>
        </w:tc>
        <w:tc>
          <w:tcPr>
            <w:tcW w:w="2550" w:type="dxa"/>
            <w:tcBorders>
              <w:top w:val="outset" w:sz="6" w:space="0" w:color="auto"/>
              <w:left w:val="outset" w:sz="6" w:space="0" w:color="auto"/>
              <w:bottom w:val="outset" w:sz="6" w:space="0" w:color="auto"/>
              <w:right w:val="outset" w:sz="6" w:space="0" w:color="auto"/>
            </w:tcBorders>
          </w:tcPr>
          <w:p w14:paraId="6CBC62D3" w14:textId="77777777" w:rsidR="00577D08" w:rsidRDefault="00330FC0">
            <w:pPr>
              <w:jc w:val="right"/>
            </w:pPr>
            <w:r>
              <w:t xml:space="preserve"> 992,574,354.94 </w:t>
            </w:r>
          </w:p>
        </w:tc>
        <w:tc>
          <w:tcPr>
            <w:tcW w:w="2411" w:type="dxa"/>
            <w:tcBorders>
              <w:top w:val="outset" w:sz="6" w:space="0" w:color="auto"/>
              <w:left w:val="outset" w:sz="6" w:space="0" w:color="auto"/>
              <w:bottom w:val="outset" w:sz="6" w:space="0" w:color="auto"/>
              <w:right w:val="outset" w:sz="6" w:space="0" w:color="auto"/>
            </w:tcBorders>
          </w:tcPr>
          <w:p w14:paraId="12281D95" w14:textId="77777777" w:rsidR="00577D08" w:rsidRDefault="00330FC0">
            <w:pPr>
              <w:jc w:val="right"/>
            </w:pPr>
            <w:r>
              <w:t>869,951,878.25</w:t>
            </w:r>
          </w:p>
        </w:tc>
      </w:tr>
      <w:tr w:rsidR="00577D08" w14:paraId="749E9050" w14:textId="77777777">
        <w:tc>
          <w:tcPr>
            <w:tcW w:w="2944" w:type="dxa"/>
            <w:tcBorders>
              <w:top w:val="outset" w:sz="6" w:space="0" w:color="auto"/>
              <w:left w:val="outset" w:sz="6" w:space="0" w:color="auto"/>
              <w:bottom w:val="outset" w:sz="6" w:space="0" w:color="auto"/>
              <w:right w:val="outset" w:sz="6" w:space="0" w:color="auto"/>
            </w:tcBorders>
            <w:vAlign w:val="center"/>
          </w:tcPr>
          <w:p w14:paraId="2FAC2F7E" w14:textId="77777777" w:rsidR="00577D08" w:rsidRDefault="00330FC0">
            <w:pPr>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tcPr>
          <w:p w14:paraId="7BA6CFF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984EC61"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B6D212E" w14:textId="77777777" w:rsidR="00577D08" w:rsidRDefault="00577D08">
            <w:pPr>
              <w:jc w:val="right"/>
            </w:pPr>
          </w:p>
        </w:tc>
      </w:tr>
      <w:tr w:rsidR="00577D08" w14:paraId="05231E07" w14:textId="77777777">
        <w:tc>
          <w:tcPr>
            <w:tcW w:w="2944" w:type="dxa"/>
            <w:tcBorders>
              <w:top w:val="outset" w:sz="6" w:space="0" w:color="auto"/>
              <w:left w:val="outset" w:sz="6" w:space="0" w:color="auto"/>
              <w:bottom w:val="outset" w:sz="6" w:space="0" w:color="auto"/>
              <w:right w:val="outset" w:sz="6" w:space="0" w:color="auto"/>
            </w:tcBorders>
            <w:vAlign w:val="center"/>
          </w:tcPr>
          <w:p w14:paraId="02134C85" w14:textId="77777777" w:rsidR="00577D08" w:rsidRDefault="00330FC0">
            <w:pPr>
              <w:ind w:firstLineChars="100" w:firstLine="210"/>
              <w:rPr>
                <w:color w:val="000000" w:themeColor="text1"/>
              </w:rPr>
            </w:pPr>
            <w:r>
              <w:rPr>
                <w:rFonts w:hint="eastAsia"/>
                <w:color w:val="000000" w:themeColor="text1"/>
              </w:rPr>
              <w:t>合同资产</w:t>
            </w:r>
          </w:p>
        </w:tc>
        <w:tc>
          <w:tcPr>
            <w:tcW w:w="1133" w:type="dxa"/>
            <w:tcBorders>
              <w:top w:val="outset" w:sz="6" w:space="0" w:color="auto"/>
              <w:left w:val="outset" w:sz="6" w:space="0" w:color="auto"/>
              <w:bottom w:val="outset" w:sz="6" w:space="0" w:color="auto"/>
              <w:right w:val="outset" w:sz="6" w:space="0" w:color="auto"/>
            </w:tcBorders>
          </w:tcPr>
          <w:p w14:paraId="396B3CB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206283B"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1423CCC" w14:textId="77777777" w:rsidR="00577D08" w:rsidRDefault="00577D08">
            <w:pPr>
              <w:jc w:val="right"/>
            </w:pPr>
          </w:p>
        </w:tc>
      </w:tr>
      <w:tr w:rsidR="00577D08" w14:paraId="5C00C76A" w14:textId="77777777">
        <w:tc>
          <w:tcPr>
            <w:tcW w:w="2944" w:type="dxa"/>
            <w:tcBorders>
              <w:top w:val="outset" w:sz="6" w:space="0" w:color="auto"/>
              <w:left w:val="outset" w:sz="6" w:space="0" w:color="auto"/>
              <w:bottom w:val="outset" w:sz="6" w:space="0" w:color="auto"/>
              <w:right w:val="outset" w:sz="6" w:space="0" w:color="auto"/>
            </w:tcBorders>
            <w:vAlign w:val="center"/>
          </w:tcPr>
          <w:p w14:paraId="2F43A3B3" w14:textId="77777777" w:rsidR="00577D08" w:rsidRDefault="00330FC0">
            <w:pPr>
              <w:ind w:firstLineChars="100" w:firstLine="210"/>
              <w:rPr>
                <w:color w:val="000000" w:themeColor="text1"/>
              </w:rPr>
            </w:pPr>
            <w:r>
              <w:rPr>
                <w:rFonts w:hint="eastAsia"/>
                <w:color w:val="000000" w:themeColor="text1"/>
              </w:rPr>
              <w:t>持有待售资产</w:t>
            </w:r>
          </w:p>
        </w:tc>
        <w:tc>
          <w:tcPr>
            <w:tcW w:w="1133" w:type="dxa"/>
            <w:tcBorders>
              <w:top w:val="outset" w:sz="6" w:space="0" w:color="auto"/>
              <w:left w:val="outset" w:sz="6" w:space="0" w:color="auto"/>
              <w:bottom w:val="outset" w:sz="6" w:space="0" w:color="auto"/>
              <w:right w:val="outset" w:sz="6" w:space="0" w:color="auto"/>
            </w:tcBorders>
          </w:tcPr>
          <w:p w14:paraId="50EBC37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FB7C52F"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814AB69" w14:textId="77777777" w:rsidR="00577D08" w:rsidRDefault="00577D08">
            <w:pPr>
              <w:jc w:val="right"/>
            </w:pPr>
          </w:p>
        </w:tc>
      </w:tr>
      <w:tr w:rsidR="00577D08" w14:paraId="2078DD4A" w14:textId="77777777">
        <w:tc>
          <w:tcPr>
            <w:tcW w:w="2944" w:type="dxa"/>
            <w:tcBorders>
              <w:top w:val="outset" w:sz="6" w:space="0" w:color="auto"/>
              <w:left w:val="outset" w:sz="6" w:space="0" w:color="auto"/>
              <w:bottom w:val="outset" w:sz="6" w:space="0" w:color="auto"/>
              <w:right w:val="outset" w:sz="6" w:space="0" w:color="auto"/>
            </w:tcBorders>
            <w:vAlign w:val="center"/>
          </w:tcPr>
          <w:p w14:paraId="24EF1968" w14:textId="77777777" w:rsidR="00577D08" w:rsidRDefault="00330FC0">
            <w:pPr>
              <w:ind w:firstLineChars="100" w:firstLine="210"/>
              <w:rPr>
                <w:color w:val="000000" w:themeColor="text1"/>
              </w:rPr>
            </w:pPr>
            <w:r>
              <w:rPr>
                <w:rFonts w:hint="eastAsia"/>
                <w:color w:val="000000" w:themeColor="text1"/>
              </w:rPr>
              <w:t>一年内到期的非流动资产</w:t>
            </w:r>
          </w:p>
        </w:tc>
        <w:tc>
          <w:tcPr>
            <w:tcW w:w="1133" w:type="dxa"/>
            <w:tcBorders>
              <w:top w:val="outset" w:sz="6" w:space="0" w:color="auto"/>
              <w:left w:val="outset" w:sz="6" w:space="0" w:color="auto"/>
              <w:bottom w:val="outset" w:sz="6" w:space="0" w:color="auto"/>
              <w:right w:val="outset" w:sz="6" w:space="0" w:color="auto"/>
            </w:tcBorders>
          </w:tcPr>
          <w:p w14:paraId="03AE73D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69EB66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1C86935" w14:textId="77777777" w:rsidR="00577D08" w:rsidRDefault="00577D08">
            <w:pPr>
              <w:jc w:val="right"/>
            </w:pPr>
          </w:p>
        </w:tc>
      </w:tr>
      <w:tr w:rsidR="00577D08" w14:paraId="09B041B6" w14:textId="77777777">
        <w:tc>
          <w:tcPr>
            <w:tcW w:w="2944" w:type="dxa"/>
            <w:tcBorders>
              <w:top w:val="outset" w:sz="6" w:space="0" w:color="auto"/>
              <w:left w:val="outset" w:sz="6" w:space="0" w:color="auto"/>
              <w:bottom w:val="outset" w:sz="6" w:space="0" w:color="auto"/>
              <w:right w:val="outset" w:sz="6" w:space="0" w:color="auto"/>
            </w:tcBorders>
            <w:vAlign w:val="center"/>
          </w:tcPr>
          <w:p w14:paraId="57CE1ADA" w14:textId="77777777" w:rsidR="00577D08" w:rsidRDefault="00330FC0">
            <w:pPr>
              <w:ind w:firstLineChars="100" w:firstLine="210"/>
              <w:rPr>
                <w:color w:val="000000" w:themeColor="text1"/>
              </w:rPr>
            </w:pPr>
            <w:r>
              <w:rPr>
                <w:rFonts w:hint="eastAsia"/>
                <w:color w:val="000000" w:themeColor="text1"/>
              </w:rPr>
              <w:t>其他流动资产</w:t>
            </w:r>
          </w:p>
        </w:tc>
        <w:tc>
          <w:tcPr>
            <w:tcW w:w="1133" w:type="dxa"/>
            <w:tcBorders>
              <w:top w:val="outset" w:sz="6" w:space="0" w:color="auto"/>
              <w:left w:val="outset" w:sz="6" w:space="0" w:color="auto"/>
              <w:bottom w:val="outset" w:sz="6" w:space="0" w:color="auto"/>
              <w:right w:val="outset" w:sz="6" w:space="0" w:color="auto"/>
            </w:tcBorders>
          </w:tcPr>
          <w:p w14:paraId="18E8F52A" w14:textId="77777777" w:rsidR="00577D08" w:rsidRDefault="00330FC0">
            <w:r>
              <w:rPr>
                <w:rFonts w:hint="eastAsia"/>
              </w:rPr>
              <w:t>七、</w:t>
            </w:r>
            <w:r>
              <w:rPr>
                <w:rFonts w:hint="eastAsia"/>
              </w:rPr>
              <w:t>13</w:t>
            </w:r>
          </w:p>
        </w:tc>
        <w:tc>
          <w:tcPr>
            <w:tcW w:w="2550" w:type="dxa"/>
            <w:tcBorders>
              <w:top w:val="outset" w:sz="6" w:space="0" w:color="auto"/>
              <w:left w:val="outset" w:sz="6" w:space="0" w:color="auto"/>
              <w:bottom w:val="outset" w:sz="6" w:space="0" w:color="auto"/>
              <w:right w:val="outset" w:sz="6" w:space="0" w:color="auto"/>
            </w:tcBorders>
          </w:tcPr>
          <w:p w14:paraId="3C12092D" w14:textId="77777777" w:rsidR="00577D08" w:rsidRDefault="00330FC0">
            <w:pPr>
              <w:jc w:val="right"/>
            </w:pPr>
            <w:r>
              <w:t xml:space="preserve"> 1,923,737.69 </w:t>
            </w:r>
          </w:p>
        </w:tc>
        <w:tc>
          <w:tcPr>
            <w:tcW w:w="2411" w:type="dxa"/>
            <w:tcBorders>
              <w:top w:val="outset" w:sz="6" w:space="0" w:color="auto"/>
              <w:left w:val="outset" w:sz="6" w:space="0" w:color="auto"/>
              <w:bottom w:val="outset" w:sz="6" w:space="0" w:color="auto"/>
              <w:right w:val="outset" w:sz="6" w:space="0" w:color="auto"/>
            </w:tcBorders>
          </w:tcPr>
          <w:p w14:paraId="1AF6D0AD" w14:textId="77777777" w:rsidR="00577D08" w:rsidRDefault="00330FC0">
            <w:pPr>
              <w:jc w:val="right"/>
            </w:pPr>
            <w:r>
              <w:t>2,092,551.25</w:t>
            </w:r>
          </w:p>
        </w:tc>
      </w:tr>
      <w:tr w:rsidR="00577D08" w14:paraId="410C4824" w14:textId="77777777">
        <w:tc>
          <w:tcPr>
            <w:tcW w:w="2944" w:type="dxa"/>
            <w:tcBorders>
              <w:top w:val="outset" w:sz="6" w:space="0" w:color="auto"/>
              <w:left w:val="outset" w:sz="6" w:space="0" w:color="auto"/>
              <w:bottom w:val="outset" w:sz="6" w:space="0" w:color="auto"/>
              <w:right w:val="outset" w:sz="6" w:space="0" w:color="auto"/>
            </w:tcBorders>
            <w:vAlign w:val="center"/>
          </w:tcPr>
          <w:p w14:paraId="49D593D2" w14:textId="77777777" w:rsidR="00577D08" w:rsidRDefault="00330FC0">
            <w:pPr>
              <w:ind w:firstLineChars="200" w:firstLine="420"/>
              <w:rPr>
                <w:color w:val="000000" w:themeColor="text1"/>
              </w:rPr>
            </w:pPr>
            <w:r>
              <w:rPr>
                <w:rFonts w:hint="eastAsia"/>
                <w:color w:val="000000" w:themeColor="text1"/>
              </w:rPr>
              <w:t>流动资产合计</w:t>
            </w:r>
          </w:p>
        </w:tc>
        <w:tc>
          <w:tcPr>
            <w:tcW w:w="1133" w:type="dxa"/>
            <w:tcBorders>
              <w:top w:val="outset" w:sz="6" w:space="0" w:color="auto"/>
              <w:left w:val="outset" w:sz="6" w:space="0" w:color="auto"/>
              <w:bottom w:val="outset" w:sz="6" w:space="0" w:color="auto"/>
              <w:right w:val="outset" w:sz="6" w:space="0" w:color="auto"/>
            </w:tcBorders>
          </w:tcPr>
          <w:p w14:paraId="2194BBA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1F0B443" w14:textId="77777777" w:rsidR="00577D08" w:rsidRDefault="00330FC0">
            <w:pPr>
              <w:jc w:val="right"/>
            </w:pPr>
            <w:r>
              <w:t xml:space="preserve"> 4,939,418,429.14 </w:t>
            </w:r>
          </w:p>
        </w:tc>
        <w:tc>
          <w:tcPr>
            <w:tcW w:w="2411" w:type="dxa"/>
            <w:tcBorders>
              <w:top w:val="outset" w:sz="6" w:space="0" w:color="auto"/>
              <w:left w:val="outset" w:sz="6" w:space="0" w:color="auto"/>
              <w:bottom w:val="outset" w:sz="6" w:space="0" w:color="auto"/>
              <w:right w:val="outset" w:sz="6" w:space="0" w:color="auto"/>
            </w:tcBorders>
          </w:tcPr>
          <w:p w14:paraId="6A405510" w14:textId="77777777" w:rsidR="00577D08" w:rsidRDefault="00330FC0">
            <w:pPr>
              <w:jc w:val="right"/>
            </w:pPr>
            <w:r>
              <w:t>4,140,062,821.47</w:t>
            </w:r>
          </w:p>
        </w:tc>
      </w:tr>
      <w:tr w:rsidR="00577D08" w14:paraId="7F02775F" w14:textId="77777777">
        <w:sdt>
          <w:sdtPr>
            <w:tag w:val="_PLD_2b01add84ac3492abc16500182326d8e"/>
            <w:id w:val="1987039381"/>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0F385430" w14:textId="77777777" w:rsidR="00577D08" w:rsidRDefault="00330FC0">
                <w:pPr>
                  <w:rPr>
                    <w:color w:val="000000" w:themeColor="text1"/>
                  </w:rPr>
                </w:pPr>
                <w:r>
                  <w:rPr>
                    <w:rFonts w:hint="eastAsia"/>
                    <w:b/>
                    <w:color w:val="000000" w:themeColor="text1"/>
                  </w:rPr>
                  <w:t>非流动资产：</w:t>
                </w:r>
              </w:p>
            </w:tc>
          </w:sdtContent>
        </w:sdt>
      </w:tr>
      <w:tr w:rsidR="00577D08" w14:paraId="0913AEC9" w14:textId="77777777">
        <w:tc>
          <w:tcPr>
            <w:tcW w:w="2944" w:type="dxa"/>
            <w:tcBorders>
              <w:top w:val="outset" w:sz="6" w:space="0" w:color="auto"/>
              <w:left w:val="outset" w:sz="6" w:space="0" w:color="auto"/>
              <w:bottom w:val="outset" w:sz="6" w:space="0" w:color="auto"/>
              <w:right w:val="outset" w:sz="6" w:space="0" w:color="auto"/>
            </w:tcBorders>
            <w:vAlign w:val="center"/>
          </w:tcPr>
          <w:p w14:paraId="1CAA71B9" w14:textId="77777777" w:rsidR="00577D08" w:rsidRDefault="00330FC0">
            <w:pPr>
              <w:ind w:firstLineChars="100" w:firstLine="210"/>
              <w:rPr>
                <w:color w:val="000000" w:themeColor="text1"/>
              </w:rPr>
            </w:pPr>
            <w:r>
              <w:rPr>
                <w:rFonts w:hint="eastAsia"/>
                <w:color w:val="000000" w:themeColor="text1"/>
              </w:rPr>
              <w:t>发放贷款和垫款</w:t>
            </w:r>
          </w:p>
        </w:tc>
        <w:tc>
          <w:tcPr>
            <w:tcW w:w="1133" w:type="dxa"/>
            <w:tcBorders>
              <w:top w:val="outset" w:sz="6" w:space="0" w:color="auto"/>
              <w:left w:val="outset" w:sz="6" w:space="0" w:color="auto"/>
              <w:bottom w:val="outset" w:sz="6" w:space="0" w:color="auto"/>
              <w:right w:val="outset" w:sz="6" w:space="0" w:color="auto"/>
            </w:tcBorders>
            <w:vAlign w:val="center"/>
          </w:tcPr>
          <w:p w14:paraId="51D9839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20996F2D"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394AE3D8" w14:textId="77777777" w:rsidR="00577D08" w:rsidRDefault="00577D08">
            <w:pPr>
              <w:jc w:val="right"/>
            </w:pPr>
          </w:p>
        </w:tc>
      </w:tr>
      <w:tr w:rsidR="00577D08" w14:paraId="753970CB" w14:textId="77777777">
        <w:tc>
          <w:tcPr>
            <w:tcW w:w="2944" w:type="dxa"/>
            <w:tcBorders>
              <w:top w:val="outset" w:sz="6" w:space="0" w:color="auto"/>
              <w:left w:val="outset" w:sz="6" w:space="0" w:color="auto"/>
              <w:bottom w:val="outset" w:sz="6" w:space="0" w:color="auto"/>
              <w:right w:val="outset" w:sz="6" w:space="0" w:color="auto"/>
            </w:tcBorders>
            <w:vAlign w:val="center"/>
          </w:tcPr>
          <w:p w14:paraId="53251C47" w14:textId="77777777" w:rsidR="00577D08" w:rsidRDefault="00330FC0">
            <w:pPr>
              <w:ind w:firstLineChars="100" w:firstLine="210"/>
              <w:rPr>
                <w:color w:val="000000" w:themeColor="text1"/>
              </w:rPr>
            </w:pPr>
            <w:r>
              <w:rPr>
                <w:rFonts w:hint="eastAsia"/>
                <w:color w:val="000000" w:themeColor="text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51BA9FAA"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7F8C2EB8"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3FE9539C" w14:textId="77777777" w:rsidR="00577D08" w:rsidRDefault="00577D08">
            <w:pPr>
              <w:jc w:val="right"/>
            </w:pPr>
          </w:p>
        </w:tc>
      </w:tr>
      <w:tr w:rsidR="00577D08" w14:paraId="493D2058" w14:textId="77777777">
        <w:tc>
          <w:tcPr>
            <w:tcW w:w="2944" w:type="dxa"/>
            <w:tcBorders>
              <w:top w:val="outset" w:sz="6" w:space="0" w:color="auto"/>
              <w:left w:val="outset" w:sz="6" w:space="0" w:color="auto"/>
              <w:bottom w:val="outset" w:sz="6" w:space="0" w:color="auto"/>
              <w:right w:val="outset" w:sz="6" w:space="0" w:color="auto"/>
            </w:tcBorders>
            <w:vAlign w:val="center"/>
          </w:tcPr>
          <w:p w14:paraId="37A915E1" w14:textId="77777777" w:rsidR="00577D08" w:rsidRDefault="00330FC0">
            <w:pPr>
              <w:ind w:firstLineChars="100" w:firstLine="210"/>
              <w:rPr>
                <w:color w:val="000000" w:themeColor="text1"/>
              </w:rPr>
            </w:pPr>
            <w:r>
              <w:rPr>
                <w:rFonts w:hint="eastAsia"/>
                <w:color w:val="000000" w:themeColor="text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6CB93592"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1849244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490112DA" w14:textId="77777777" w:rsidR="00577D08" w:rsidRDefault="00577D08">
            <w:pPr>
              <w:jc w:val="right"/>
            </w:pPr>
          </w:p>
        </w:tc>
      </w:tr>
      <w:tr w:rsidR="00577D08" w14:paraId="5751DBB9" w14:textId="77777777">
        <w:tc>
          <w:tcPr>
            <w:tcW w:w="2944" w:type="dxa"/>
            <w:tcBorders>
              <w:top w:val="outset" w:sz="6" w:space="0" w:color="auto"/>
              <w:left w:val="outset" w:sz="6" w:space="0" w:color="auto"/>
              <w:bottom w:val="outset" w:sz="6" w:space="0" w:color="auto"/>
              <w:right w:val="outset" w:sz="6" w:space="0" w:color="auto"/>
            </w:tcBorders>
            <w:vAlign w:val="center"/>
          </w:tcPr>
          <w:p w14:paraId="490EA011" w14:textId="77777777" w:rsidR="00577D08" w:rsidRDefault="00330FC0">
            <w:pPr>
              <w:ind w:firstLineChars="100" w:firstLine="210"/>
              <w:rPr>
                <w:color w:val="000000" w:themeColor="text1"/>
              </w:rPr>
            </w:pPr>
            <w:r>
              <w:rPr>
                <w:rFonts w:hint="eastAsia"/>
                <w:color w:val="000000" w:themeColor="text1"/>
              </w:rPr>
              <w:t>长期应收款</w:t>
            </w:r>
          </w:p>
        </w:tc>
        <w:tc>
          <w:tcPr>
            <w:tcW w:w="1133" w:type="dxa"/>
            <w:tcBorders>
              <w:top w:val="outset" w:sz="6" w:space="0" w:color="auto"/>
              <w:left w:val="outset" w:sz="6" w:space="0" w:color="auto"/>
              <w:bottom w:val="outset" w:sz="6" w:space="0" w:color="auto"/>
              <w:right w:val="outset" w:sz="6" w:space="0" w:color="auto"/>
            </w:tcBorders>
          </w:tcPr>
          <w:p w14:paraId="511F8CAF" w14:textId="77777777" w:rsidR="00577D08" w:rsidRDefault="00330FC0">
            <w:r>
              <w:rPr>
                <w:rFonts w:hint="eastAsia"/>
              </w:rPr>
              <w:t>七、</w:t>
            </w:r>
            <w:r>
              <w:rPr>
                <w:rFonts w:hint="eastAsia"/>
              </w:rPr>
              <w:t>16</w:t>
            </w:r>
          </w:p>
        </w:tc>
        <w:tc>
          <w:tcPr>
            <w:tcW w:w="2550" w:type="dxa"/>
            <w:tcBorders>
              <w:top w:val="outset" w:sz="6" w:space="0" w:color="auto"/>
              <w:left w:val="outset" w:sz="6" w:space="0" w:color="auto"/>
              <w:bottom w:val="outset" w:sz="6" w:space="0" w:color="auto"/>
              <w:right w:val="outset" w:sz="6" w:space="0" w:color="auto"/>
            </w:tcBorders>
          </w:tcPr>
          <w:p w14:paraId="4264ED9D" w14:textId="77777777" w:rsidR="00577D08" w:rsidRDefault="00330FC0">
            <w:pPr>
              <w:jc w:val="right"/>
            </w:pPr>
            <w:r>
              <w:t xml:space="preserve"> 3,642,085.59 </w:t>
            </w:r>
          </w:p>
        </w:tc>
        <w:tc>
          <w:tcPr>
            <w:tcW w:w="2411" w:type="dxa"/>
            <w:tcBorders>
              <w:top w:val="outset" w:sz="6" w:space="0" w:color="auto"/>
              <w:left w:val="outset" w:sz="6" w:space="0" w:color="auto"/>
              <w:bottom w:val="outset" w:sz="6" w:space="0" w:color="auto"/>
              <w:right w:val="outset" w:sz="6" w:space="0" w:color="auto"/>
            </w:tcBorders>
          </w:tcPr>
          <w:p w14:paraId="34FC8A49" w14:textId="77777777" w:rsidR="00577D08" w:rsidRDefault="00330FC0">
            <w:pPr>
              <w:jc w:val="right"/>
            </w:pPr>
            <w:r>
              <w:t>5,683,724.89</w:t>
            </w:r>
          </w:p>
        </w:tc>
      </w:tr>
      <w:tr w:rsidR="00577D08" w14:paraId="05E7BAD7" w14:textId="77777777">
        <w:tc>
          <w:tcPr>
            <w:tcW w:w="2944" w:type="dxa"/>
            <w:tcBorders>
              <w:top w:val="outset" w:sz="6" w:space="0" w:color="auto"/>
              <w:left w:val="outset" w:sz="6" w:space="0" w:color="auto"/>
              <w:bottom w:val="outset" w:sz="6" w:space="0" w:color="auto"/>
              <w:right w:val="outset" w:sz="6" w:space="0" w:color="auto"/>
            </w:tcBorders>
            <w:vAlign w:val="center"/>
          </w:tcPr>
          <w:p w14:paraId="7A6733CD" w14:textId="77777777" w:rsidR="00577D08" w:rsidRDefault="00330FC0">
            <w:pPr>
              <w:ind w:firstLineChars="100" w:firstLine="210"/>
              <w:rPr>
                <w:color w:val="000000" w:themeColor="text1"/>
              </w:rPr>
            </w:pPr>
            <w:r>
              <w:rPr>
                <w:rFonts w:hint="eastAsia"/>
                <w:color w:val="000000" w:themeColor="text1"/>
              </w:rPr>
              <w:t>长期股权投资</w:t>
            </w:r>
          </w:p>
        </w:tc>
        <w:tc>
          <w:tcPr>
            <w:tcW w:w="1133" w:type="dxa"/>
            <w:tcBorders>
              <w:top w:val="outset" w:sz="6" w:space="0" w:color="auto"/>
              <w:left w:val="outset" w:sz="6" w:space="0" w:color="auto"/>
              <w:bottom w:val="outset" w:sz="6" w:space="0" w:color="auto"/>
              <w:right w:val="outset" w:sz="6" w:space="0" w:color="auto"/>
            </w:tcBorders>
          </w:tcPr>
          <w:p w14:paraId="643B3961" w14:textId="77777777" w:rsidR="00577D08" w:rsidRDefault="00330FC0">
            <w:r>
              <w:rPr>
                <w:rFonts w:hint="eastAsia"/>
              </w:rPr>
              <w:t>七、</w:t>
            </w:r>
            <w:r>
              <w:rPr>
                <w:rFonts w:hint="eastAsia"/>
              </w:rPr>
              <w:t>17</w:t>
            </w:r>
          </w:p>
        </w:tc>
        <w:tc>
          <w:tcPr>
            <w:tcW w:w="2550" w:type="dxa"/>
            <w:tcBorders>
              <w:top w:val="outset" w:sz="6" w:space="0" w:color="auto"/>
              <w:left w:val="outset" w:sz="6" w:space="0" w:color="auto"/>
              <w:bottom w:val="outset" w:sz="6" w:space="0" w:color="auto"/>
              <w:right w:val="outset" w:sz="6" w:space="0" w:color="auto"/>
            </w:tcBorders>
          </w:tcPr>
          <w:p w14:paraId="4F152C75" w14:textId="77777777" w:rsidR="00577D08" w:rsidRDefault="00330FC0">
            <w:pPr>
              <w:jc w:val="right"/>
            </w:pPr>
            <w:r>
              <w:t xml:space="preserve"> 16,104,348.61 </w:t>
            </w:r>
          </w:p>
        </w:tc>
        <w:tc>
          <w:tcPr>
            <w:tcW w:w="2411" w:type="dxa"/>
            <w:tcBorders>
              <w:top w:val="outset" w:sz="6" w:space="0" w:color="auto"/>
              <w:left w:val="outset" w:sz="6" w:space="0" w:color="auto"/>
              <w:bottom w:val="outset" w:sz="6" w:space="0" w:color="auto"/>
              <w:right w:val="outset" w:sz="6" w:space="0" w:color="auto"/>
            </w:tcBorders>
          </w:tcPr>
          <w:p w14:paraId="7A5765C2" w14:textId="77777777" w:rsidR="00577D08" w:rsidRDefault="00330FC0">
            <w:pPr>
              <w:jc w:val="right"/>
            </w:pPr>
            <w:r>
              <w:t>14,718,479.56</w:t>
            </w:r>
          </w:p>
        </w:tc>
      </w:tr>
      <w:tr w:rsidR="00577D08" w14:paraId="5E61E57F" w14:textId="77777777">
        <w:tc>
          <w:tcPr>
            <w:tcW w:w="2944" w:type="dxa"/>
            <w:tcBorders>
              <w:top w:val="outset" w:sz="6" w:space="0" w:color="auto"/>
              <w:left w:val="outset" w:sz="6" w:space="0" w:color="auto"/>
              <w:bottom w:val="outset" w:sz="6" w:space="0" w:color="auto"/>
              <w:right w:val="outset" w:sz="6" w:space="0" w:color="auto"/>
            </w:tcBorders>
            <w:vAlign w:val="center"/>
          </w:tcPr>
          <w:p w14:paraId="25F78B38" w14:textId="77777777" w:rsidR="00577D08" w:rsidRDefault="00330FC0">
            <w:pPr>
              <w:ind w:firstLineChars="100" w:firstLine="210"/>
              <w:rPr>
                <w:color w:val="000000" w:themeColor="text1"/>
              </w:rPr>
            </w:pPr>
            <w:r>
              <w:rPr>
                <w:rFonts w:hint="eastAsia"/>
                <w:color w:val="000000" w:themeColor="text1"/>
              </w:rPr>
              <w:t>其他权益工具投资</w:t>
            </w:r>
          </w:p>
        </w:tc>
        <w:tc>
          <w:tcPr>
            <w:tcW w:w="1133" w:type="dxa"/>
            <w:tcBorders>
              <w:top w:val="outset" w:sz="6" w:space="0" w:color="auto"/>
              <w:left w:val="outset" w:sz="6" w:space="0" w:color="auto"/>
              <w:bottom w:val="outset" w:sz="6" w:space="0" w:color="auto"/>
              <w:right w:val="outset" w:sz="6" w:space="0" w:color="auto"/>
            </w:tcBorders>
          </w:tcPr>
          <w:p w14:paraId="24A4B744" w14:textId="77777777" w:rsidR="00577D08" w:rsidRDefault="00330FC0">
            <w:r>
              <w:rPr>
                <w:rFonts w:hint="eastAsia"/>
              </w:rPr>
              <w:t>七、</w:t>
            </w:r>
            <w:r>
              <w:rPr>
                <w:rFonts w:hint="eastAsia"/>
              </w:rPr>
              <w:t>18</w:t>
            </w:r>
          </w:p>
        </w:tc>
        <w:tc>
          <w:tcPr>
            <w:tcW w:w="2550" w:type="dxa"/>
            <w:tcBorders>
              <w:top w:val="outset" w:sz="6" w:space="0" w:color="auto"/>
              <w:left w:val="outset" w:sz="6" w:space="0" w:color="auto"/>
              <w:bottom w:val="outset" w:sz="6" w:space="0" w:color="auto"/>
              <w:right w:val="outset" w:sz="6" w:space="0" w:color="auto"/>
            </w:tcBorders>
          </w:tcPr>
          <w:p w14:paraId="5E176FF6" w14:textId="77777777" w:rsidR="00577D08" w:rsidRDefault="00330FC0">
            <w:pPr>
              <w:jc w:val="right"/>
            </w:pPr>
            <w:r>
              <w:t xml:space="preserve"> 15,122,992.50 </w:t>
            </w:r>
          </w:p>
        </w:tc>
        <w:tc>
          <w:tcPr>
            <w:tcW w:w="2411" w:type="dxa"/>
            <w:tcBorders>
              <w:top w:val="outset" w:sz="6" w:space="0" w:color="auto"/>
              <w:left w:val="outset" w:sz="6" w:space="0" w:color="auto"/>
              <w:bottom w:val="outset" w:sz="6" w:space="0" w:color="auto"/>
              <w:right w:val="outset" w:sz="6" w:space="0" w:color="auto"/>
            </w:tcBorders>
          </w:tcPr>
          <w:p w14:paraId="442F1C6A" w14:textId="77777777" w:rsidR="00577D08" w:rsidRDefault="00330FC0">
            <w:pPr>
              <w:jc w:val="right"/>
            </w:pPr>
            <w:r>
              <w:t>16,207,676.10</w:t>
            </w:r>
          </w:p>
        </w:tc>
      </w:tr>
      <w:tr w:rsidR="00577D08" w14:paraId="593AC6B7" w14:textId="77777777">
        <w:tc>
          <w:tcPr>
            <w:tcW w:w="2944" w:type="dxa"/>
            <w:tcBorders>
              <w:top w:val="outset" w:sz="6" w:space="0" w:color="auto"/>
              <w:left w:val="outset" w:sz="6" w:space="0" w:color="auto"/>
              <w:bottom w:val="outset" w:sz="6" w:space="0" w:color="auto"/>
              <w:right w:val="outset" w:sz="6" w:space="0" w:color="auto"/>
            </w:tcBorders>
            <w:vAlign w:val="center"/>
          </w:tcPr>
          <w:p w14:paraId="6CAE34EA" w14:textId="77777777" w:rsidR="00577D08" w:rsidRDefault="00330FC0">
            <w:pPr>
              <w:ind w:firstLineChars="100" w:firstLine="210"/>
              <w:rPr>
                <w:color w:val="000000" w:themeColor="text1"/>
              </w:rPr>
            </w:pPr>
            <w:r>
              <w:rPr>
                <w:rFonts w:hint="eastAsia"/>
                <w:color w:val="000000" w:themeColor="text1"/>
              </w:rPr>
              <w:t>其他非流动金融资产</w:t>
            </w:r>
          </w:p>
        </w:tc>
        <w:tc>
          <w:tcPr>
            <w:tcW w:w="1133" w:type="dxa"/>
            <w:tcBorders>
              <w:top w:val="outset" w:sz="6" w:space="0" w:color="auto"/>
              <w:left w:val="outset" w:sz="6" w:space="0" w:color="auto"/>
              <w:bottom w:val="outset" w:sz="6" w:space="0" w:color="auto"/>
              <w:right w:val="outset" w:sz="6" w:space="0" w:color="auto"/>
            </w:tcBorders>
          </w:tcPr>
          <w:p w14:paraId="7230F7E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BA365B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681B649" w14:textId="77777777" w:rsidR="00577D08" w:rsidRDefault="00577D08">
            <w:pPr>
              <w:jc w:val="right"/>
            </w:pPr>
          </w:p>
        </w:tc>
      </w:tr>
      <w:tr w:rsidR="00577D08" w14:paraId="0AB54930" w14:textId="77777777">
        <w:tc>
          <w:tcPr>
            <w:tcW w:w="2944" w:type="dxa"/>
            <w:tcBorders>
              <w:top w:val="outset" w:sz="6" w:space="0" w:color="auto"/>
              <w:left w:val="outset" w:sz="6" w:space="0" w:color="auto"/>
              <w:bottom w:val="outset" w:sz="6" w:space="0" w:color="auto"/>
              <w:right w:val="outset" w:sz="6" w:space="0" w:color="auto"/>
            </w:tcBorders>
            <w:vAlign w:val="center"/>
          </w:tcPr>
          <w:p w14:paraId="3EE63D29" w14:textId="77777777" w:rsidR="00577D08" w:rsidRDefault="00330FC0">
            <w:pPr>
              <w:ind w:firstLineChars="100" w:firstLine="210"/>
              <w:rPr>
                <w:color w:val="000000" w:themeColor="text1"/>
              </w:rPr>
            </w:pPr>
            <w:r>
              <w:rPr>
                <w:rFonts w:hint="eastAsia"/>
                <w:color w:val="000000" w:themeColor="text1"/>
              </w:rPr>
              <w:t>投资性房地产</w:t>
            </w:r>
          </w:p>
        </w:tc>
        <w:tc>
          <w:tcPr>
            <w:tcW w:w="1133" w:type="dxa"/>
            <w:tcBorders>
              <w:top w:val="outset" w:sz="6" w:space="0" w:color="auto"/>
              <w:left w:val="outset" w:sz="6" w:space="0" w:color="auto"/>
              <w:bottom w:val="outset" w:sz="6" w:space="0" w:color="auto"/>
              <w:right w:val="outset" w:sz="6" w:space="0" w:color="auto"/>
            </w:tcBorders>
          </w:tcPr>
          <w:p w14:paraId="21C53034"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4D6FA5B"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664F4920" w14:textId="77777777" w:rsidR="00577D08" w:rsidRDefault="00577D08">
            <w:pPr>
              <w:jc w:val="right"/>
            </w:pPr>
          </w:p>
        </w:tc>
      </w:tr>
      <w:tr w:rsidR="00577D08" w14:paraId="59ECD0E3" w14:textId="77777777">
        <w:tc>
          <w:tcPr>
            <w:tcW w:w="2944" w:type="dxa"/>
            <w:tcBorders>
              <w:top w:val="outset" w:sz="6" w:space="0" w:color="auto"/>
              <w:left w:val="outset" w:sz="6" w:space="0" w:color="auto"/>
              <w:bottom w:val="outset" w:sz="6" w:space="0" w:color="auto"/>
              <w:right w:val="outset" w:sz="6" w:space="0" w:color="auto"/>
            </w:tcBorders>
            <w:vAlign w:val="center"/>
          </w:tcPr>
          <w:p w14:paraId="67C573E0" w14:textId="77777777" w:rsidR="00577D08" w:rsidRDefault="00330FC0">
            <w:pPr>
              <w:ind w:firstLineChars="100" w:firstLine="210"/>
              <w:rPr>
                <w:color w:val="000000" w:themeColor="text1"/>
              </w:rPr>
            </w:pPr>
            <w:r>
              <w:rPr>
                <w:rFonts w:hint="eastAsia"/>
                <w:color w:val="000000" w:themeColor="text1"/>
              </w:rPr>
              <w:t>固定资产</w:t>
            </w:r>
          </w:p>
        </w:tc>
        <w:tc>
          <w:tcPr>
            <w:tcW w:w="1133" w:type="dxa"/>
            <w:tcBorders>
              <w:top w:val="outset" w:sz="6" w:space="0" w:color="auto"/>
              <w:left w:val="outset" w:sz="6" w:space="0" w:color="auto"/>
              <w:bottom w:val="outset" w:sz="6" w:space="0" w:color="auto"/>
              <w:right w:val="outset" w:sz="6" w:space="0" w:color="auto"/>
            </w:tcBorders>
          </w:tcPr>
          <w:p w14:paraId="1CFB567B" w14:textId="77777777" w:rsidR="00577D08" w:rsidRDefault="00330FC0">
            <w:r>
              <w:rPr>
                <w:rFonts w:hint="eastAsia"/>
              </w:rPr>
              <w:t>七、</w:t>
            </w:r>
            <w:r>
              <w:rPr>
                <w:rFonts w:hint="eastAsia"/>
              </w:rPr>
              <w:t>21</w:t>
            </w:r>
          </w:p>
        </w:tc>
        <w:tc>
          <w:tcPr>
            <w:tcW w:w="2550" w:type="dxa"/>
            <w:tcBorders>
              <w:top w:val="outset" w:sz="6" w:space="0" w:color="auto"/>
              <w:left w:val="outset" w:sz="6" w:space="0" w:color="auto"/>
              <w:bottom w:val="outset" w:sz="6" w:space="0" w:color="auto"/>
              <w:right w:val="outset" w:sz="6" w:space="0" w:color="auto"/>
            </w:tcBorders>
          </w:tcPr>
          <w:p w14:paraId="71317B0E" w14:textId="77777777" w:rsidR="00577D08" w:rsidRDefault="00330FC0">
            <w:pPr>
              <w:jc w:val="right"/>
            </w:pPr>
            <w:r>
              <w:t xml:space="preserve"> 1,923,504,168.59 </w:t>
            </w:r>
          </w:p>
        </w:tc>
        <w:tc>
          <w:tcPr>
            <w:tcW w:w="2411" w:type="dxa"/>
            <w:tcBorders>
              <w:top w:val="outset" w:sz="6" w:space="0" w:color="auto"/>
              <w:left w:val="outset" w:sz="6" w:space="0" w:color="auto"/>
              <w:bottom w:val="outset" w:sz="6" w:space="0" w:color="auto"/>
              <w:right w:val="outset" w:sz="6" w:space="0" w:color="auto"/>
            </w:tcBorders>
          </w:tcPr>
          <w:p w14:paraId="124AC824" w14:textId="77777777" w:rsidR="00577D08" w:rsidRDefault="00330FC0">
            <w:pPr>
              <w:jc w:val="right"/>
            </w:pPr>
            <w:r>
              <w:t>2,016,902,943.58</w:t>
            </w:r>
          </w:p>
        </w:tc>
      </w:tr>
      <w:tr w:rsidR="00577D08" w14:paraId="7ED1E3F5" w14:textId="77777777">
        <w:tc>
          <w:tcPr>
            <w:tcW w:w="2944" w:type="dxa"/>
            <w:tcBorders>
              <w:top w:val="outset" w:sz="6" w:space="0" w:color="auto"/>
              <w:left w:val="outset" w:sz="6" w:space="0" w:color="auto"/>
              <w:bottom w:val="outset" w:sz="6" w:space="0" w:color="auto"/>
              <w:right w:val="outset" w:sz="6" w:space="0" w:color="auto"/>
            </w:tcBorders>
            <w:vAlign w:val="center"/>
          </w:tcPr>
          <w:p w14:paraId="6D167D10" w14:textId="77777777" w:rsidR="00577D08" w:rsidRDefault="00330FC0">
            <w:pPr>
              <w:ind w:firstLineChars="100" w:firstLine="210"/>
              <w:rPr>
                <w:color w:val="000000" w:themeColor="text1"/>
              </w:rPr>
            </w:pPr>
            <w:r>
              <w:rPr>
                <w:rFonts w:hint="eastAsia"/>
                <w:color w:val="000000" w:themeColor="text1"/>
              </w:rPr>
              <w:t>在建工程</w:t>
            </w:r>
          </w:p>
        </w:tc>
        <w:tc>
          <w:tcPr>
            <w:tcW w:w="1133" w:type="dxa"/>
            <w:tcBorders>
              <w:top w:val="outset" w:sz="6" w:space="0" w:color="auto"/>
              <w:left w:val="outset" w:sz="6" w:space="0" w:color="auto"/>
              <w:bottom w:val="outset" w:sz="6" w:space="0" w:color="auto"/>
              <w:right w:val="outset" w:sz="6" w:space="0" w:color="auto"/>
            </w:tcBorders>
          </w:tcPr>
          <w:p w14:paraId="12C8BE89" w14:textId="77777777" w:rsidR="00577D08" w:rsidRDefault="00330FC0">
            <w:r>
              <w:rPr>
                <w:rFonts w:hint="eastAsia"/>
              </w:rPr>
              <w:t>七、</w:t>
            </w:r>
            <w:r>
              <w:rPr>
                <w:rFonts w:hint="eastAsia"/>
              </w:rPr>
              <w:t>22</w:t>
            </w:r>
          </w:p>
        </w:tc>
        <w:tc>
          <w:tcPr>
            <w:tcW w:w="2550" w:type="dxa"/>
            <w:tcBorders>
              <w:top w:val="outset" w:sz="6" w:space="0" w:color="auto"/>
              <w:left w:val="outset" w:sz="6" w:space="0" w:color="auto"/>
              <w:bottom w:val="outset" w:sz="6" w:space="0" w:color="auto"/>
              <w:right w:val="outset" w:sz="6" w:space="0" w:color="auto"/>
            </w:tcBorders>
          </w:tcPr>
          <w:p w14:paraId="3A423AA7" w14:textId="77777777" w:rsidR="00577D08" w:rsidRDefault="00330FC0">
            <w:pPr>
              <w:jc w:val="right"/>
            </w:pPr>
            <w:r>
              <w:t xml:space="preserve"> 34,835,289.06 </w:t>
            </w:r>
          </w:p>
        </w:tc>
        <w:tc>
          <w:tcPr>
            <w:tcW w:w="2411" w:type="dxa"/>
            <w:tcBorders>
              <w:top w:val="outset" w:sz="6" w:space="0" w:color="auto"/>
              <w:left w:val="outset" w:sz="6" w:space="0" w:color="auto"/>
              <w:bottom w:val="outset" w:sz="6" w:space="0" w:color="auto"/>
              <w:right w:val="outset" w:sz="6" w:space="0" w:color="auto"/>
            </w:tcBorders>
          </w:tcPr>
          <w:p w14:paraId="19D0EAF1" w14:textId="77777777" w:rsidR="00577D08" w:rsidRDefault="00330FC0">
            <w:pPr>
              <w:jc w:val="right"/>
            </w:pPr>
            <w:r>
              <w:t>25,034,215.15</w:t>
            </w:r>
          </w:p>
        </w:tc>
      </w:tr>
      <w:tr w:rsidR="00577D08" w14:paraId="7C9E8756" w14:textId="77777777">
        <w:tc>
          <w:tcPr>
            <w:tcW w:w="2944" w:type="dxa"/>
            <w:tcBorders>
              <w:top w:val="outset" w:sz="6" w:space="0" w:color="auto"/>
              <w:left w:val="outset" w:sz="6" w:space="0" w:color="auto"/>
              <w:bottom w:val="outset" w:sz="6" w:space="0" w:color="auto"/>
              <w:right w:val="outset" w:sz="6" w:space="0" w:color="auto"/>
            </w:tcBorders>
            <w:vAlign w:val="center"/>
          </w:tcPr>
          <w:p w14:paraId="552327FC" w14:textId="77777777" w:rsidR="00577D08" w:rsidRDefault="00330FC0">
            <w:pPr>
              <w:ind w:firstLineChars="100" w:firstLine="210"/>
              <w:rPr>
                <w:color w:val="000000" w:themeColor="text1"/>
              </w:rPr>
            </w:pPr>
            <w:r>
              <w:rPr>
                <w:rFonts w:hint="eastAsia"/>
                <w:color w:val="000000" w:themeColor="text1"/>
              </w:rPr>
              <w:t>生产性生物资产</w:t>
            </w:r>
          </w:p>
        </w:tc>
        <w:tc>
          <w:tcPr>
            <w:tcW w:w="1133" w:type="dxa"/>
            <w:tcBorders>
              <w:top w:val="outset" w:sz="6" w:space="0" w:color="auto"/>
              <w:left w:val="outset" w:sz="6" w:space="0" w:color="auto"/>
              <w:bottom w:val="outset" w:sz="6" w:space="0" w:color="auto"/>
              <w:right w:val="outset" w:sz="6" w:space="0" w:color="auto"/>
            </w:tcBorders>
          </w:tcPr>
          <w:p w14:paraId="40C1E3A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947A08F"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BE789CD" w14:textId="77777777" w:rsidR="00577D08" w:rsidRDefault="00577D08">
            <w:pPr>
              <w:jc w:val="right"/>
            </w:pPr>
          </w:p>
        </w:tc>
      </w:tr>
      <w:tr w:rsidR="00577D08" w14:paraId="77CB615F" w14:textId="77777777">
        <w:tc>
          <w:tcPr>
            <w:tcW w:w="2944" w:type="dxa"/>
            <w:tcBorders>
              <w:top w:val="outset" w:sz="6" w:space="0" w:color="auto"/>
              <w:left w:val="outset" w:sz="6" w:space="0" w:color="auto"/>
              <w:bottom w:val="outset" w:sz="6" w:space="0" w:color="auto"/>
              <w:right w:val="outset" w:sz="6" w:space="0" w:color="auto"/>
            </w:tcBorders>
            <w:vAlign w:val="center"/>
          </w:tcPr>
          <w:p w14:paraId="68BAF6D6" w14:textId="77777777" w:rsidR="00577D08" w:rsidRDefault="00330FC0">
            <w:pPr>
              <w:ind w:firstLineChars="100" w:firstLine="210"/>
              <w:rPr>
                <w:color w:val="000000" w:themeColor="text1"/>
              </w:rPr>
            </w:pPr>
            <w:r>
              <w:rPr>
                <w:rFonts w:hint="eastAsia"/>
                <w:color w:val="000000" w:themeColor="text1"/>
              </w:rPr>
              <w:t>油气资产</w:t>
            </w:r>
          </w:p>
        </w:tc>
        <w:tc>
          <w:tcPr>
            <w:tcW w:w="1133" w:type="dxa"/>
            <w:tcBorders>
              <w:top w:val="outset" w:sz="6" w:space="0" w:color="auto"/>
              <w:left w:val="outset" w:sz="6" w:space="0" w:color="auto"/>
              <w:bottom w:val="outset" w:sz="6" w:space="0" w:color="auto"/>
              <w:right w:val="outset" w:sz="6" w:space="0" w:color="auto"/>
            </w:tcBorders>
          </w:tcPr>
          <w:p w14:paraId="679C4EA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2832201"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BBC746E" w14:textId="77777777" w:rsidR="00577D08" w:rsidRDefault="00577D08">
            <w:pPr>
              <w:jc w:val="right"/>
            </w:pPr>
          </w:p>
        </w:tc>
      </w:tr>
      <w:tr w:rsidR="00577D08" w14:paraId="564B105D" w14:textId="77777777">
        <w:tc>
          <w:tcPr>
            <w:tcW w:w="2944" w:type="dxa"/>
            <w:tcBorders>
              <w:top w:val="outset" w:sz="6" w:space="0" w:color="auto"/>
              <w:left w:val="outset" w:sz="6" w:space="0" w:color="auto"/>
              <w:bottom w:val="outset" w:sz="6" w:space="0" w:color="auto"/>
              <w:right w:val="outset" w:sz="6" w:space="0" w:color="auto"/>
            </w:tcBorders>
            <w:vAlign w:val="center"/>
          </w:tcPr>
          <w:p w14:paraId="5063694E" w14:textId="77777777" w:rsidR="00577D08" w:rsidRDefault="00330FC0">
            <w:pPr>
              <w:ind w:firstLineChars="100" w:firstLine="210"/>
              <w:rPr>
                <w:color w:val="000000" w:themeColor="text1"/>
              </w:rPr>
            </w:pPr>
            <w:r>
              <w:rPr>
                <w:rFonts w:hint="eastAsia"/>
                <w:color w:val="000000" w:themeColor="text1"/>
              </w:rPr>
              <w:t>使用权资产</w:t>
            </w:r>
          </w:p>
        </w:tc>
        <w:tc>
          <w:tcPr>
            <w:tcW w:w="1133" w:type="dxa"/>
            <w:tcBorders>
              <w:top w:val="outset" w:sz="6" w:space="0" w:color="auto"/>
              <w:left w:val="outset" w:sz="6" w:space="0" w:color="auto"/>
              <w:bottom w:val="outset" w:sz="6" w:space="0" w:color="auto"/>
              <w:right w:val="outset" w:sz="6" w:space="0" w:color="auto"/>
            </w:tcBorders>
          </w:tcPr>
          <w:p w14:paraId="10CBAF7A" w14:textId="77777777" w:rsidR="00577D08" w:rsidRDefault="00330FC0">
            <w:r>
              <w:rPr>
                <w:rFonts w:hint="eastAsia"/>
              </w:rPr>
              <w:t>七、</w:t>
            </w:r>
            <w:r>
              <w:rPr>
                <w:rFonts w:hint="eastAsia"/>
              </w:rPr>
              <w:t>25</w:t>
            </w:r>
          </w:p>
        </w:tc>
        <w:tc>
          <w:tcPr>
            <w:tcW w:w="2550" w:type="dxa"/>
            <w:tcBorders>
              <w:top w:val="outset" w:sz="6" w:space="0" w:color="auto"/>
              <w:left w:val="outset" w:sz="6" w:space="0" w:color="auto"/>
              <w:bottom w:val="outset" w:sz="6" w:space="0" w:color="auto"/>
              <w:right w:val="outset" w:sz="6" w:space="0" w:color="auto"/>
            </w:tcBorders>
          </w:tcPr>
          <w:p w14:paraId="7117A280" w14:textId="77777777" w:rsidR="00577D08" w:rsidRDefault="00330FC0">
            <w:pPr>
              <w:jc w:val="right"/>
            </w:pPr>
            <w:r>
              <w:t xml:space="preserve"> 20,579,452.84 </w:t>
            </w:r>
          </w:p>
        </w:tc>
        <w:tc>
          <w:tcPr>
            <w:tcW w:w="2411" w:type="dxa"/>
            <w:tcBorders>
              <w:top w:val="outset" w:sz="6" w:space="0" w:color="auto"/>
              <w:left w:val="outset" w:sz="6" w:space="0" w:color="auto"/>
              <w:bottom w:val="outset" w:sz="6" w:space="0" w:color="auto"/>
              <w:right w:val="outset" w:sz="6" w:space="0" w:color="auto"/>
            </w:tcBorders>
          </w:tcPr>
          <w:p w14:paraId="32C1F7C5" w14:textId="77777777" w:rsidR="00577D08" w:rsidRDefault="00330FC0">
            <w:pPr>
              <w:jc w:val="right"/>
            </w:pPr>
            <w:r>
              <w:t>5,569,270.48</w:t>
            </w:r>
          </w:p>
        </w:tc>
      </w:tr>
      <w:tr w:rsidR="00577D08" w14:paraId="5D70C1D2" w14:textId="77777777">
        <w:tc>
          <w:tcPr>
            <w:tcW w:w="2944" w:type="dxa"/>
            <w:tcBorders>
              <w:top w:val="outset" w:sz="6" w:space="0" w:color="auto"/>
              <w:left w:val="outset" w:sz="6" w:space="0" w:color="auto"/>
              <w:bottom w:val="outset" w:sz="6" w:space="0" w:color="auto"/>
              <w:right w:val="outset" w:sz="6" w:space="0" w:color="auto"/>
            </w:tcBorders>
            <w:vAlign w:val="center"/>
          </w:tcPr>
          <w:p w14:paraId="18BFAAC9" w14:textId="77777777" w:rsidR="00577D08" w:rsidRDefault="00330FC0">
            <w:pPr>
              <w:ind w:firstLineChars="100" w:firstLine="210"/>
              <w:rPr>
                <w:color w:val="000000" w:themeColor="text1"/>
              </w:rPr>
            </w:pPr>
            <w:r>
              <w:rPr>
                <w:rFonts w:hint="eastAsia"/>
                <w:color w:val="000000" w:themeColor="text1"/>
              </w:rPr>
              <w:lastRenderedPageBreak/>
              <w:t>无形资产</w:t>
            </w:r>
          </w:p>
        </w:tc>
        <w:tc>
          <w:tcPr>
            <w:tcW w:w="1133" w:type="dxa"/>
            <w:tcBorders>
              <w:top w:val="outset" w:sz="6" w:space="0" w:color="auto"/>
              <w:left w:val="outset" w:sz="6" w:space="0" w:color="auto"/>
              <w:bottom w:val="outset" w:sz="6" w:space="0" w:color="auto"/>
              <w:right w:val="outset" w:sz="6" w:space="0" w:color="auto"/>
            </w:tcBorders>
          </w:tcPr>
          <w:p w14:paraId="0C07A32F" w14:textId="77777777" w:rsidR="00577D08" w:rsidRDefault="00330FC0">
            <w:r>
              <w:rPr>
                <w:rFonts w:hint="eastAsia"/>
              </w:rPr>
              <w:t>七、</w:t>
            </w:r>
            <w:r>
              <w:rPr>
                <w:rFonts w:hint="eastAsia"/>
              </w:rPr>
              <w:t>26</w:t>
            </w:r>
          </w:p>
        </w:tc>
        <w:tc>
          <w:tcPr>
            <w:tcW w:w="2550" w:type="dxa"/>
            <w:tcBorders>
              <w:top w:val="outset" w:sz="6" w:space="0" w:color="auto"/>
              <w:left w:val="outset" w:sz="6" w:space="0" w:color="auto"/>
              <w:bottom w:val="outset" w:sz="6" w:space="0" w:color="auto"/>
              <w:right w:val="outset" w:sz="6" w:space="0" w:color="auto"/>
            </w:tcBorders>
          </w:tcPr>
          <w:p w14:paraId="1C0C0477" w14:textId="77777777" w:rsidR="00577D08" w:rsidRDefault="00330FC0">
            <w:pPr>
              <w:jc w:val="right"/>
            </w:pPr>
            <w:r>
              <w:t xml:space="preserve"> 225,020,922.90 </w:t>
            </w:r>
          </w:p>
        </w:tc>
        <w:tc>
          <w:tcPr>
            <w:tcW w:w="2411" w:type="dxa"/>
            <w:tcBorders>
              <w:top w:val="outset" w:sz="6" w:space="0" w:color="auto"/>
              <w:left w:val="outset" w:sz="6" w:space="0" w:color="auto"/>
              <w:bottom w:val="outset" w:sz="6" w:space="0" w:color="auto"/>
              <w:right w:val="outset" w:sz="6" w:space="0" w:color="auto"/>
            </w:tcBorders>
          </w:tcPr>
          <w:p w14:paraId="1413FA29" w14:textId="77777777" w:rsidR="00577D08" w:rsidRDefault="00330FC0">
            <w:pPr>
              <w:jc w:val="right"/>
            </w:pPr>
            <w:r>
              <w:t>228,894,850.00</w:t>
            </w:r>
          </w:p>
        </w:tc>
      </w:tr>
      <w:tr w:rsidR="00577D08" w14:paraId="0C6140AC" w14:textId="77777777">
        <w:tc>
          <w:tcPr>
            <w:tcW w:w="2944" w:type="dxa"/>
            <w:tcBorders>
              <w:top w:val="outset" w:sz="6" w:space="0" w:color="auto"/>
              <w:left w:val="outset" w:sz="6" w:space="0" w:color="auto"/>
              <w:bottom w:val="outset" w:sz="6" w:space="0" w:color="auto"/>
              <w:right w:val="outset" w:sz="6" w:space="0" w:color="auto"/>
            </w:tcBorders>
            <w:vAlign w:val="center"/>
          </w:tcPr>
          <w:p w14:paraId="49C887B4" w14:textId="77777777" w:rsidR="00577D08" w:rsidRDefault="00330FC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tcPr>
          <w:p w14:paraId="2D0AEC3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715D6ED"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BE2F1C1" w14:textId="77777777" w:rsidR="00577D08" w:rsidRDefault="00577D08">
            <w:pPr>
              <w:jc w:val="right"/>
            </w:pPr>
          </w:p>
        </w:tc>
      </w:tr>
      <w:tr w:rsidR="00577D08" w14:paraId="20C12BBA" w14:textId="77777777">
        <w:tc>
          <w:tcPr>
            <w:tcW w:w="2944" w:type="dxa"/>
            <w:tcBorders>
              <w:top w:val="outset" w:sz="6" w:space="0" w:color="auto"/>
              <w:left w:val="outset" w:sz="6" w:space="0" w:color="auto"/>
              <w:bottom w:val="outset" w:sz="6" w:space="0" w:color="auto"/>
              <w:right w:val="outset" w:sz="6" w:space="0" w:color="auto"/>
            </w:tcBorders>
            <w:vAlign w:val="center"/>
          </w:tcPr>
          <w:p w14:paraId="09FACBDF" w14:textId="77777777" w:rsidR="00577D08" w:rsidRDefault="00330FC0">
            <w:pPr>
              <w:ind w:firstLineChars="100" w:firstLine="210"/>
              <w:rPr>
                <w:color w:val="000000" w:themeColor="text1"/>
              </w:rPr>
            </w:pPr>
            <w:r>
              <w:rPr>
                <w:rFonts w:hint="eastAsia"/>
                <w:color w:val="000000" w:themeColor="text1"/>
              </w:rPr>
              <w:t>开发支出</w:t>
            </w:r>
          </w:p>
        </w:tc>
        <w:tc>
          <w:tcPr>
            <w:tcW w:w="1133" w:type="dxa"/>
            <w:tcBorders>
              <w:top w:val="outset" w:sz="6" w:space="0" w:color="auto"/>
              <w:left w:val="outset" w:sz="6" w:space="0" w:color="auto"/>
              <w:bottom w:val="outset" w:sz="6" w:space="0" w:color="auto"/>
              <w:right w:val="outset" w:sz="6" w:space="0" w:color="auto"/>
            </w:tcBorders>
          </w:tcPr>
          <w:p w14:paraId="756BE52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74208E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B5BEDDE" w14:textId="77777777" w:rsidR="00577D08" w:rsidRDefault="00577D08">
            <w:pPr>
              <w:jc w:val="right"/>
            </w:pPr>
          </w:p>
        </w:tc>
      </w:tr>
      <w:tr w:rsidR="00577D08" w14:paraId="223B1791" w14:textId="77777777">
        <w:tc>
          <w:tcPr>
            <w:tcW w:w="2944" w:type="dxa"/>
            <w:tcBorders>
              <w:top w:val="outset" w:sz="6" w:space="0" w:color="auto"/>
              <w:left w:val="outset" w:sz="6" w:space="0" w:color="auto"/>
              <w:bottom w:val="outset" w:sz="6" w:space="0" w:color="auto"/>
              <w:right w:val="outset" w:sz="6" w:space="0" w:color="auto"/>
            </w:tcBorders>
            <w:vAlign w:val="center"/>
          </w:tcPr>
          <w:p w14:paraId="2DB73C63" w14:textId="77777777" w:rsidR="00577D08" w:rsidRDefault="00330FC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tcPr>
          <w:p w14:paraId="6994762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F86C93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0E1D1D0" w14:textId="77777777" w:rsidR="00577D08" w:rsidRDefault="00577D08">
            <w:pPr>
              <w:jc w:val="right"/>
            </w:pPr>
          </w:p>
        </w:tc>
      </w:tr>
      <w:tr w:rsidR="00577D08" w14:paraId="0DB67B54" w14:textId="77777777">
        <w:tc>
          <w:tcPr>
            <w:tcW w:w="2944" w:type="dxa"/>
            <w:tcBorders>
              <w:top w:val="outset" w:sz="6" w:space="0" w:color="auto"/>
              <w:left w:val="outset" w:sz="6" w:space="0" w:color="auto"/>
              <w:bottom w:val="outset" w:sz="6" w:space="0" w:color="auto"/>
              <w:right w:val="outset" w:sz="6" w:space="0" w:color="auto"/>
            </w:tcBorders>
            <w:vAlign w:val="center"/>
          </w:tcPr>
          <w:p w14:paraId="5003EB05" w14:textId="77777777" w:rsidR="00577D08" w:rsidRDefault="00330FC0">
            <w:pPr>
              <w:ind w:firstLineChars="100" w:firstLine="210"/>
              <w:rPr>
                <w:color w:val="000000" w:themeColor="text1"/>
              </w:rPr>
            </w:pPr>
            <w:r>
              <w:rPr>
                <w:rFonts w:hint="eastAsia"/>
                <w:color w:val="000000" w:themeColor="text1"/>
              </w:rPr>
              <w:t>商誉</w:t>
            </w:r>
          </w:p>
        </w:tc>
        <w:tc>
          <w:tcPr>
            <w:tcW w:w="1133" w:type="dxa"/>
            <w:tcBorders>
              <w:top w:val="outset" w:sz="6" w:space="0" w:color="auto"/>
              <w:left w:val="outset" w:sz="6" w:space="0" w:color="auto"/>
              <w:bottom w:val="outset" w:sz="6" w:space="0" w:color="auto"/>
              <w:right w:val="outset" w:sz="6" w:space="0" w:color="auto"/>
            </w:tcBorders>
          </w:tcPr>
          <w:p w14:paraId="415BF462" w14:textId="77777777" w:rsidR="00577D08" w:rsidRDefault="00330FC0">
            <w:r>
              <w:rPr>
                <w:rFonts w:hint="eastAsia"/>
              </w:rPr>
              <w:t>七、</w:t>
            </w:r>
            <w:r>
              <w:rPr>
                <w:rFonts w:hint="eastAsia"/>
              </w:rPr>
              <w:t>27</w:t>
            </w:r>
          </w:p>
        </w:tc>
        <w:tc>
          <w:tcPr>
            <w:tcW w:w="2550" w:type="dxa"/>
            <w:tcBorders>
              <w:top w:val="outset" w:sz="6" w:space="0" w:color="auto"/>
              <w:left w:val="outset" w:sz="6" w:space="0" w:color="auto"/>
              <w:bottom w:val="outset" w:sz="6" w:space="0" w:color="auto"/>
              <w:right w:val="outset" w:sz="6" w:space="0" w:color="auto"/>
            </w:tcBorders>
          </w:tcPr>
          <w:p w14:paraId="7FBB3E12" w14:textId="77777777" w:rsidR="00577D08" w:rsidRDefault="00330FC0">
            <w:pPr>
              <w:jc w:val="right"/>
            </w:pPr>
            <w:r>
              <w:t xml:space="preserve"> 45,542,860.20 </w:t>
            </w:r>
          </w:p>
        </w:tc>
        <w:tc>
          <w:tcPr>
            <w:tcW w:w="2411" w:type="dxa"/>
            <w:tcBorders>
              <w:top w:val="outset" w:sz="6" w:space="0" w:color="auto"/>
              <w:left w:val="outset" w:sz="6" w:space="0" w:color="auto"/>
              <w:bottom w:val="outset" w:sz="6" w:space="0" w:color="auto"/>
              <w:right w:val="outset" w:sz="6" w:space="0" w:color="auto"/>
            </w:tcBorders>
          </w:tcPr>
          <w:p w14:paraId="4D493D03" w14:textId="77777777" w:rsidR="00577D08" w:rsidRDefault="00330FC0">
            <w:pPr>
              <w:jc w:val="right"/>
            </w:pPr>
            <w:r>
              <w:t>45,542,860.20</w:t>
            </w:r>
          </w:p>
        </w:tc>
      </w:tr>
      <w:tr w:rsidR="00577D08" w14:paraId="0068BBAF" w14:textId="77777777">
        <w:tc>
          <w:tcPr>
            <w:tcW w:w="2944" w:type="dxa"/>
            <w:tcBorders>
              <w:top w:val="outset" w:sz="6" w:space="0" w:color="auto"/>
              <w:left w:val="outset" w:sz="6" w:space="0" w:color="auto"/>
              <w:bottom w:val="outset" w:sz="6" w:space="0" w:color="auto"/>
              <w:right w:val="outset" w:sz="6" w:space="0" w:color="auto"/>
            </w:tcBorders>
            <w:vAlign w:val="center"/>
          </w:tcPr>
          <w:p w14:paraId="2CA5F3D3" w14:textId="77777777" w:rsidR="00577D08" w:rsidRDefault="00330FC0">
            <w:pPr>
              <w:ind w:firstLineChars="100" w:firstLine="210"/>
              <w:rPr>
                <w:color w:val="000000" w:themeColor="text1"/>
              </w:rPr>
            </w:pPr>
            <w:r>
              <w:rPr>
                <w:rFonts w:hint="eastAsia"/>
                <w:color w:val="000000" w:themeColor="text1"/>
              </w:rPr>
              <w:t>长期待摊费用</w:t>
            </w:r>
          </w:p>
        </w:tc>
        <w:tc>
          <w:tcPr>
            <w:tcW w:w="1133" w:type="dxa"/>
            <w:tcBorders>
              <w:top w:val="outset" w:sz="6" w:space="0" w:color="auto"/>
              <w:left w:val="outset" w:sz="6" w:space="0" w:color="auto"/>
              <w:bottom w:val="outset" w:sz="6" w:space="0" w:color="auto"/>
              <w:right w:val="outset" w:sz="6" w:space="0" w:color="auto"/>
            </w:tcBorders>
          </w:tcPr>
          <w:p w14:paraId="7587A2DE" w14:textId="77777777" w:rsidR="00577D08" w:rsidRDefault="00330FC0">
            <w:r>
              <w:rPr>
                <w:rFonts w:hint="eastAsia"/>
              </w:rPr>
              <w:t>七、</w:t>
            </w:r>
            <w:r>
              <w:rPr>
                <w:rFonts w:hint="eastAsia"/>
              </w:rPr>
              <w:t>28</w:t>
            </w:r>
          </w:p>
        </w:tc>
        <w:tc>
          <w:tcPr>
            <w:tcW w:w="2550" w:type="dxa"/>
            <w:tcBorders>
              <w:top w:val="outset" w:sz="6" w:space="0" w:color="auto"/>
              <w:left w:val="outset" w:sz="6" w:space="0" w:color="auto"/>
              <w:bottom w:val="outset" w:sz="6" w:space="0" w:color="auto"/>
              <w:right w:val="outset" w:sz="6" w:space="0" w:color="auto"/>
            </w:tcBorders>
          </w:tcPr>
          <w:p w14:paraId="6F8007D8" w14:textId="77777777" w:rsidR="00577D08" w:rsidRDefault="00330FC0">
            <w:pPr>
              <w:jc w:val="right"/>
            </w:pPr>
            <w:r>
              <w:t xml:space="preserve"> 2,072,586.42 </w:t>
            </w:r>
          </w:p>
        </w:tc>
        <w:tc>
          <w:tcPr>
            <w:tcW w:w="2411" w:type="dxa"/>
            <w:tcBorders>
              <w:top w:val="outset" w:sz="6" w:space="0" w:color="auto"/>
              <w:left w:val="outset" w:sz="6" w:space="0" w:color="auto"/>
              <w:bottom w:val="outset" w:sz="6" w:space="0" w:color="auto"/>
              <w:right w:val="outset" w:sz="6" w:space="0" w:color="auto"/>
            </w:tcBorders>
          </w:tcPr>
          <w:p w14:paraId="1DB9EA93" w14:textId="77777777" w:rsidR="00577D08" w:rsidRDefault="00330FC0">
            <w:pPr>
              <w:jc w:val="right"/>
            </w:pPr>
            <w:r>
              <w:t>3,214,479.23</w:t>
            </w:r>
          </w:p>
        </w:tc>
      </w:tr>
      <w:tr w:rsidR="00577D08" w14:paraId="596149CF" w14:textId="77777777">
        <w:tc>
          <w:tcPr>
            <w:tcW w:w="2944" w:type="dxa"/>
            <w:tcBorders>
              <w:top w:val="outset" w:sz="6" w:space="0" w:color="auto"/>
              <w:left w:val="outset" w:sz="6" w:space="0" w:color="auto"/>
              <w:bottom w:val="outset" w:sz="6" w:space="0" w:color="auto"/>
              <w:right w:val="outset" w:sz="6" w:space="0" w:color="auto"/>
            </w:tcBorders>
            <w:vAlign w:val="center"/>
          </w:tcPr>
          <w:p w14:paraId="4CF4D77B" w14:textId="77777777" w:rsidR="00577D08" w:rsidRDefault="00330FC0">
            <w:pPr>
              <w:ind w:firstLineChars="100" w:firstLine="210"/>
              <w:rPr>
                <w:color w:val="000000" w:themeColor="text1"/>
              </w:rPr>
            </w:pPr>
            <w:r>
              <w:rPr>
                <w:rFonts w:hint="eastAsia"/>
                <w:color w:val="000000" w:themeColor="text1"/>
              </w:rPr>
              <w:t>递延所得税资产</w:t>
            </w:r>
          </w:p>
        </w:tc>
        <w:tc>
          <w:tcPr>
            <w:tcW w:w="1133" w:type="dxa"/>
            <w:tcBorders>
              <w:top w:val="outset" w:sz="6" w:space="0" w:color="auto"/>
              <w:left w:val="outset" w:sz="6" w:space="0" w:color="auto"/>
              <w:bottom w:val="outset" w:sz="6" w:space="0" w:color="auto"/>
              <w:right w:val="outset" w:sz="6" w:space="0" w:color="auto"/>
            </w:tcBorders>
          </w:tcPr>
          <w:p w14:paraId="67FB5848" w14:textId="77777777" w:rsidR="00577D08" w:rsidRDefault="00330FC0">
            <w:r>
              <w:rPr>
                <w:rFonts w:hint="eastAsia"/>
              </w:rPr>
              <w:t>七、</w:t>
            </w:r>
            <w:r>
              <w:rPr>
                <w:rFonts w:hint="eastAsia"/>
              </w:rPr>
              <w:t>29</w:t>
            </w:r>
          </w:p>
        </w:tc>
        <w:tc>
          <w:tcPr>
            <w:tcW w:w="2550" w:type="dxa"/>
            <w:tcBorders>
              <w:top w:val="outset" w:sz="6" w:space="0" w:color="auto"/>
              <w:left w:val="outset" w:sz="6" w:space="0" w:color="auto"/>
              <w:bottom w:val="outset" w:sz="6" w:space="0" w:color="auto"/>
              <w:right w:val="outset" w:sz="6" w:space="0" w:color="auto"/>
            </w:tcBorders>
          </w:tcPr>
          <w:p w14:paraId="3076BF23" w14:textId="77777777" w:rsidR="00577D08" w:rsidRDefault="00330FC0">
            <w:pPr>
              <w:jc w:val="right"/>
            </w:pPr>
            <w:r>
              <w:t xml:space="preserve"> 21,223,386.88 </w:t>
            </w:r>
          </w:p>
        </w:tc>
        <w:tc>
          <w:tcPr>
            <w:tcW w:w="2411" w:type="dxa"/>
            <w:tcBorders>
              <w:top w:val="outset" w:sz="6" w:space="0" w:color="auto"/>
              <w:left w:val="outset" w:sz="6" w:space="0" w:color="auto"/>
              <w:bottom w:val="outset" w:sz="6" w:space="0" w:color="auto"/>
              <w:right w:val="outset" w:sz="6" w:space="0" w:color="auto"/>
            </w:tcBorders>
          </w:tcPr>
          <w:p w14:paraId="568F7AA7" w14:textId="77777777" w:rsidR="00577D08" w:rsidRDefault="00330FC0">
            <w:pPr>
              <w:jc w:val="right"/>
            </w:pPr>
            <w:r>
              <w:t>18,461,556.75</w:t>
            </w:r>
          </w:p>
        </w:tc>
      </w:tr>
      <w:tr w:rsidR="00577D08" w14:paraId="48095721" w14:textId="77777777">
        <w:tc>
          <w:tcPr>
            <w:tcW w:w="2944" w:type="dxa"/>
            <w:tcBorders>
              <w:top w:val="outset" w:sz="6" w:space="0" w:color="auto"/>
              <w:left w:val="outset" w:sz="6" w:space="0" w:color="auto"/>
              <w:bottom w:val="outset" w:sz="6" w:space="0" w:color="auto"/>
              <w:right w:val="outset" w:sz="6" w:space="0" w:color="auto"/>
            </w:tcBorders>
            <w:vAlign w:val="center"/>
          </w:tcPr>
          <w:p w14:paraId="04596EAF" w14:textId="77777777" w:rsidR="00577D08" w:rsidRDefault="00330FC0">
            <w:pPr>
              <w:ind w:firstLineChars="100" w:firstLine="210"/>
              <w:rPr>
                <w:color w:val="000000" w:themeColor="text1"/>
              </w:rPr>
            </w:pPr>
            <w:r>
              <w:rPr>
                <w:rFonts w:hint="eastAsia"/>
                <w:color w:val="000000" w:themeColor="text1"/>
              </w:rPr>
              <w:t>其他非流动资产</w:t>
            </w:r>
          </w:p>
        </w:tc>
        <w:tc>
          <w:tcPr>
            <w:tcW w:w="1133" w:type="dxa"/>
            <w:tcBorders>
              <w:top w:val="outset" w:sz="6" w:space="0" w:color="auto"/>
              <w:left w:val="outset" w:sz="6" w:space="0" w:color="auto"/>
              <w:bottom w:val="outset" w:sz="6" w:space="0" w:color="auto"/>
              <w:right w:val="outset" w:sz="6" w:space="0" w:color="auto"/>
            </w:tcBorders>
          </w:tcPr>
          <w:p w14:paraId="75F7D2F0" w14:textId="77777777" w:rsidR="00577D08" w:rsidRDefault="00330FC0">
            <w:r>
              <w:rPr>
                <w:rFonts w:hint="eastAsia"/>
              </w:rPr>
              <w:t>七、</w:t>
            </w:r>
            <w:r>
              <w:rPr>
                <w:rFonts w:hint="eastAsia"/>
              </w:rPr>
              <w:t>30</w:t>
            </w:r>
          </w:p>
        </w:tc>
        <w:tc>
          <w:tcPr>
            <w:tcW w:w="2550" w:type="dxa"/>
            <w:tcBorders>
              <w:top w:val="outset" w:sz="6" w:space="0" w:color="auto"/>
              <w:left w:val="outset" w:sz="6" w:space="0" w:color="auto"/>
              <w:bottom w:val="outset" w:sz="6" w:space="0" w:color="auto"/>
              <w:right w:val="outset" w:sz="6" w:space="0" w:color="auto"/>
            </w:tcBorders>
          </w:tcPr>
          <w:p w14:paraId="3F643733" w14:textId="77777777" w:rsidR="00577D08" w:rsidRDefault="00330FC0">
            <w:pPr>
              <w:jc w:val="right"/>
            </w:pPr>
            <w:r>
              <w:t xml:space="preserve"> 11,320,873.96 </w:t>
            </w:r>
          </w:p>
        </w:tc>
        <w:tc>
          <w:tcPr>
            <w:tcW w:w="2411" w:type="dxa"/>
            <w:tcBorders>
              <w:top w:val="outset" w:sz="6" w:space="0" w:color="auto"/>
              <w:left w:val="outset" w:sz="6" w:space="0" w:color="auto"/>
              <w:bottom w:val="outset" w:sz="6" w:space="0" w:color="auto"/>
              <w:right w:val="outset" w:sz="6" w:space="0" w:color="auto"/>
            </w:tcBorders>
          </w:tcPr>
          <w:p w14:paraId="02A67CAB" w14:textId="77777777" w:rsidR="00577D08" w:rsidRDefault="00330FC0">
            <w:pPr>
              <w:jc w:val="right"/>
            </w:pPr>
            <w:r>
              <w:t>11,656,063.63</w:t>
            </w:r>
          </w:p>
        </w:tc>
      </w:tr>
      <w:tr w:rsidR="00577D08" w14:paraId="42A23736" w14:textId="77777777">
        <w:tc>
          <w:tcPr>
            <w:tcW w:w="2944" w:type="dxa"/>
            <w:tcBorders>
              <w:top w:val="outset" w:sz="6" w:space="0" w:color="auto"/>
              <w:left w:val="outset" w:sz="6" w:space="0" w:color="auto"/>
              <w:bottom w:val="outset" w:sz="6" w:space="0" w:color="auto"/>
              <w:right w:val="outset" w:sz="6" w:space="0" w:color="auto"/>
            </w:tcBorders>
            <w:vAlign w:val="center"/>
          </w:tcPr>
          <w:p w14:paraId="296070DF" w14:textId="77777777" w:rsidR="00577D08" w:rsidRDefault="00330FC0">
            <w:pPr>
              <w:ind w:firstLineChars="200" w:firstLine="420"/>
              <w:rPr>
                <w:color w:val="000000" w:themeColor="text1"/>
              </w:rPr>
            </w:pPr>
            <w:r>
              <w:rPr>
                <w:rFonts w:hint="eastAsia"/>
                <w:color w:val="000000" w:themeColor="text1"/>
              </w:rPr>
              <w:t>非流动资产合计</w:t>
            </w:r>
          </w:p>
        </w:tc>
        <w:tc>
          <w:tcPr>
            <w:tcW w:w="1133" w:type="dxa"/>
            <w:tcBorders>
              <w:top w:val="outset" w:sz="6" w:space="0" w:color="auto"/>
              <w:left w:val="outset" w:sz="6" w:space="0" w:color="auto"/>
              <w:bottom w:val="outset" w:sz="6" w:space="0" w:color="auto"/>
              <w:right w:val="outset" w:sz="6" w:space="0" w:color="auto"/>
            </w:tcBorders>
          </w:tcPr>
          <w:p w14:paraId="73D6EA5C"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6E9B2FA" w14:textId="77777777" w:rsidR="00577D08" w:rsidRDefault="00330FC0">
            <w:pPr>
              <w:jc w:val="right"/>
            </w:pPr>
            <w:r>
              <w:t xml:space="preserve"> 2,318,968,967.55 </w:t>
            </w:r>
          </w:p>
        </w:tc>
        <w:tc>
          <w:tcPr>
            <w:tcW w:w="2411" w:type="dxa"/>
            <w:tcBorders>
              <w:top w:val="outset" w:sz="6" w:space="0" w:color="auto"/>
              <w:left w:val="outset" w:sz="6" w:space="0" w:color="auto"/>
              <w:bottom w:val="outset" w:sz="6" w:space="0" w:color="auto"/>
              <w:right w:val="outset" w:sz="6" w:space="0" w:color="auto"/>
            </w:tcBorders>
          </w:tcPr>
          <w:p w14:paraId="1E83D57F" w14:textId="77777777" w:rsidR="00577D08" w:rsidRDefault="00330FC0">
            <w:pPr>
              <w:jc w:val="right"/>
            </w:pPr>
            <w:r>
              <w:t>2,391,886,119.57</w:t>
            </w:r>
          </w:p>
        </w:tc>
      </w:tr>
      <w:tr w:rsidR="00577D08" w14:paraId="4FF88623" w14:textId="77777777">
        <w:tc>
          <w:tcPr>
            <w:tcW w:w="2944" w:type="dxa"/>
            <w:tcBorders>
              <w:top w:val="outset" w:sz="6" w:space="0" w:color="auto"/>
              <w:left w:val="outset" w:sz="6" w:space="0" w:color="auto"/>
              <w:bottom w:val="outset" w:sz="6" w:space="0" w:color="auto"/>
              <w:right w:val="outset" w:sz="6" w:space="0" w:color="auto"/>
            </w:tcBorders>
            <w:vAlign w:val="center"/>
          </w:tcPr>
          <w:p w14:paraId="642CF6CB" w14:textId="77777777" w:rsidR="00577D08" w:rsidRDefault="00330FC0">
            <w:pPr>
              <w:ind w:firstLineChars="300" w:firstLine="630"/>
              <w:rPr>
                <w:color w:val="000000" w:themeColor="text1"/>
              </w:rPr>
            </w:pPr>
            <w:r>
              <w:rPr>
                <w:rFonts w:hint="eastAsia"/>
                <w:color w:val="000000" w:themeColor="text1"/>
              </w:rPr>
              <w:t>资产总计</w:t>
            </w:r>
          </w:p>
        </w:tc>
        <w:tc>
          <w:tcPr>
            <w:tcW w:w="1133" w:type="dxa"/>
            <w:tcBorders>
              <w:top w:val="outset" w:sz="6" w:space="0" w:color="auto"/>
              <w:left w:val="outset" w:sz="6" w:space="0" w:color="auto"/>
              <w:bottom w:val="outset" w:sz="6" w:space="0" w:color="auto"/>
              <w:right w:val="outset" w:sz="6" w:space="0" w:color="auto"/>
            </w:tcBorders>
          </w:tcPr>
          <w:p w14:paraId="2C04C45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DECAAA6" w14:textId="77777777" w:rsidR="00577D08" w:rsidRDefault="00330FC0">
            <w:pPr>
              <w:jc w:val="right"/>
            </w:pPr>
            <w:r>
              <w:t xml:space="preserve"> 7,258,387,396.69 </w:t>
            </w:r>
          </w:p>
        </w:tc>
        <w:tc>
          <w:tcPr>
            <w:tcW w:w="2411" w:type="dxa"/>
            <w:tcBorders>
              <w:top w:val="outset" w:sz="6" w:space="0" w:color="auto"/>
              <w:left w:val="outset" w:sz="6" w:space="0" w:color="auto"/>
              <w:bottom w:val="outset" w:sz="6" w:space="0" w:color="auto"/>
              <w:right w:val="outset" w:sz="6" w:space="0" w:color="auto"/>
            </w:tcBorders>
          </w:tcPr>
          <w:p w14:paraId="0B5B7DDF" w14:textId="77777777" w:rsidR="00577D08" w:rsidRDefault="00330FC0">
            <w:pPr>
              <w:jc w:val="right"/>
            </w:pPr>
            <w:r>
              <w:t>6,531,948,941.04</w:t>
            </w:r>
          </w:p>
        </w:tc>
      </w:tr>
      <w:tr w:rsidR="00577D08" w14:paraId="624DC4FC" w14:textId="77777777">
        <w:sdt>
          <w:sdtPr>
            <w:tag w:val="_PLD_411fdd3766f04bf1851e3afed0dd2f74"/>
            <w:id w:val="1285773800"/>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0C3EDA6A" w14:textId="77777777" w:rsidR="00577D08" w:rsidRDefault="00330FC0">
                <w:pPr>
                  <w:rPr>
                    <w:color w:val="000000" w:themeColor="text1"/>
                  </w:rPr>
                </w:pPr>
                <w:r>
                  <w:rPr>
                    <w:rFonts w:hint="eastAsia"/>
                    <w:b/>
                    <w:color w:val="000000" w:themeColor="text1"/>
                  </w:rPr>
                  <w:t>流动负债：</w:t>
                </w:r>
              </w:p>
            </w:tc>
          </w:sdtContent>
        </w:sdt>
      </w:tr>
      <w:tr w:rsidR="00577D08" w14:paraId="1788B50C" w14:textId="77777777">
        <w:tc>
          <w:tcPr>
            <w:tcW w:w="2944" w:type="dxa"/>
            <w:tcBorders>
              <w:top w:val="outset" w:sz="6" w:space="0" w:color="auto"/>
              <w:left w:val="outset" w:sz="6" w:space="0" w:color="auto"/>
              <w:bottom w:val="outset" w:sz="6" w:space="0" w:color="auto"/>
              <w:right w:val="outset" w:sz="6" w:space="0" w:color="auto"/>
            </w:tcBorders>
            <w:vAlign w:val="center"/>
          </w:tcPr>
          <w:p w14:paraId="5C8AE564" w14:textId="77777777" w:rsidR="00577D08" w:rsidRDefault="00330FC0">
            <w:pPr>
              <w:ind w:firstLineChars="100" w:firstLine="210"/>
              <w:rPr>
                <w:color w:val="000000" w:themeColor="text1"/>
              </w:rPr>
            </w:pPr>
            <w:r>
              <w:rPr>
                <w:rFonts w:hint="eastAsia"/>
                <w:color w:val="000000" w:themeColor="text1"/>
              </w:rPr>
              <w:t>短期借款</w:t>
            </w:r>
          </w:p>
        </w:tc>
        <w:tc>
          <w:tcPr>
            <w:tcW w:w="1133" w:type="dxa"/>
            <w:tcBorders>
              <w:top w:val="outset" w:sz="6" w:space="0" w:color="auto"/>
              <w:left w:val="outset" w:sz="6" w:space="0" w:color="auto"/>
              <w:bottom w:val="outset" w:sz="6" w:space="0" w:color="auto"/>
              <w:right w:val="outset" w:sz="6" w:space="0" w:color="auto"/>
            </w:tcBorders>
          </w:tcPr>
          <w:p w14:paraId="578F121B" w14:textId="77777777" w:rsidR="00577D08" w:rsidRDefault="00330FC0">
            <w:r>
              <w:rPr>
                <w:rFonts w:hint="eastAsia"/>
              </w:rPr>
              <w:t>七、</w:t>
            </w:r>
            <w:r>
              <w:rPr>
                <w:rFonts w:hint="eastAsia"/>
              </w:rPr>
              <w:t>32</w:t>
            </w:r>
          </w:p>
        </w:tc>
        <w:tc>
          <w:tcPr>
            <w:tcW w:w="2550" w:type="dxa"/>
            <w:tcBorders>
              <w:top w:val="outset" w:sz="6" w:space="0" w:color="auto"/>
              <w:left w:val="outset" w:sz="6" w:space="0" w:color="auto"/>
              <w:bottom w:val="outset" w:sz="6" w:space="0" w:color="auto"/>
              <w:right w:val="outset" w:sz="6" w:space="0" w:color="auto"/>
            </w:tcBorders>
          </w:tcPr>
          <w:p w14:paraId="26B67B6A" w14:textId="77777777" w:rsidR="00577D08" w:rsidRDefault="00330FC0">
            <w:pPr>
              <w:jc w:val="right"/>
            </w:pPr>
            <w:r>
              <w:t xml:space="preserve"> 260,133,690.90 </w:t>
            </w:r>
          </w:p>
        </w:tc>
        <w:tc>
          <w:tcPr>
            <w:tcW w:w="2411" w:type="dxa"/>
            <w:tcBorders>
              <w:top w:val="outset" w:sz="6" w:space="0" w:color="auto"/>
              <w:left w:val="outset" w:sz="6" w:space="0" w:color="auto"/>
              <w:bottom w:val="outset" w:sz="6" w:space="0" w:color="auto"/>
              <w:right w:val="outset" w:sz="6" w:space="0" w:color="auto"/>
            </w:tcBorders>
          </w:tcPr>
          <w:p w14:paraId="41A950AC" w14:textId="77777777" w:rsidR="00577D08" w:rsidRDefault="00330FC0">
            <w:pPr>
              <w:jc w:val="right"/>
            </w:pPr>
            <w:r>
              <w:t>270,060,922.08</w:t>
            </w:r>
          </w:p>
        </w:tc>
      </w:tr>
      <w:tr w:rsidR="00577D08" w14:paraId="44F89CF3" w14:textId="77777777">
        <w:tc>
          <w:tcPr>
            <w:tcW w:w="2944" w:type="dxa"/>
            <w:tcBorders>
              <w:top w:val="outset" w:sz="6" w:space="0" w:color="auto"/>
              <w:left w:val="outset" w:sz="6" w:space="0" w:color="auto"/>
              <w:bottom w:val="outset" w:sz="6" w:space="0" w:color="auto"/>
              <w:right w:val="outset" w:sz="6" w:space="0" w:color="auto"/>
            </w:tcBorders>
            <w:vAlign w:val="center"/>
          </w:tcPr>
          <w:p w14:paraId="729649AD" w14:textId="77777777" w:rsidR="00577D08" w:rsidRDefault="00330FC0">
            <w:pPr>
              <w:ind w:firstLineChars="100" w:firstLine="210"/>
              <w:rPr>
                <w:color w:val="000000" w:themeColor="text1"/>
              </w:rPr>
            </w:pPr>
            <w:r>
              <w:rPr>
                <w:rFonts w:hint="eastAsia"/>
                <w:color w:val="000000" w:themeColor="text1"/>
              </w:rPr>
              <w:t>向中央银行借款</w:t>
            </w:r>
          </w:p>
        </w:tc>
        <w:tc>
          <w:tcPr>
            <w:tcW w:w="1133" w:type="dxa"/>
            <w:tcBorders>
              <w:top w:val="outset" w:sz="6" w:space="0" w:color="auto"/>
              <w:left w:val="outset" w:sz="6" w:space="0" w:color="auto"/>
              <w:bottom w:val="outset" w:sz="6" w:space="0" w:color="auto"/>
              <w:right w:val="outset" w:sz="6" w:space="0" w:color="auto"/>
            </w:tcBorders>
          </w:tcPr>
          <w:p w14:paraId="0A95542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DCA41FF"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352A7B4" w14:textId="77777777" w:rsidR="00577D08" w:rsidRDefault="00577D08">
            <w:pPr>
              <w:jc w:val="right"/>
            </w:pPr>
          </w:p>
        </w:tc>
      </w:tr>
      <w:tr w:rsidR="00577D08" w14:paraId="759E24A2" w14:textId="77777777">
        <w:tc>
          <w:tcPr>
            <w:tcW w:w="2944" w:type="dxa"/>
            <w:tcBorders>
              <w:top w:val="outset" w:sz="6" w:space="0" w:color="auto"/>
              <w:left w:val="outset" w:sz="6" w:space="0" w:color="auto"/>
              <w:bottom w:val="outset" w:sz="6" w:space="0" w:color="auto"/>
              <w:right w:val="outset" w:sz="6" w:space="0" w:color="auto"/>
            </w:tcBorders>
            <w:vAlign w:val="center"/>
          </w:tcPr>
          <w:p w14:paraId="10A9FA29" w14:textId="77777777" w:rsidR="00577D08" w:rsidRDefault="00330FC0">
            <w:pPr>
              <w:ind w:firstLineChars="100" w:firstLine="210"/>
              <w:rPr>
                <w:color w:val="000000" w:themeColor="text1"/>
              </w:rPr>
            </w:pPr>
            <w:r>
              <w:rPr>
                <w:rFonts w:hint="eastAsia"/>
                <w:color w:val="000000" w:themeColor="text1"/>
              </w:rPr>
              <w:t>拆入资金</w:t>
            </w:r>
          </w:p>
        </w:tc>
        <w:tc>
          <w:tcPr>
            <w:tcW w:w="1133" w:type="dxa"/>
            <w:tcBorders>
              <w:top w:val="outset" w:sz="6" w:space="0" w:color="auto"/>
              <w:left w:val="outset" w:sz="6" w:space="0" w:color="auto"/>
              <w:bottom w:val="outset" w:sz="6" w:space="0" w:color="auto"/>
              <w:right w:val="outset" w:sz="6" w:space="0" w:color="auto"/>
            </w:tcBorders>
          </w:tcPr>
          <w:p w14:paraId="63EEAF3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6C5A7C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7C2575B" w14:textId="77777777" w:rsidR="00577D08" w:rsidRDefault="00577D08">
            <w:pPr>
              <w:jc w:val="right"/>
            </w:pPr>
          </w:p>
        </w:tc>
      </w:tr>
      <w:tr w:rsidR="00577D08" w14:paraId="1C6E929A" w14:textId="77777777">
        <w:tc>
          <w:tcPr>
            <w:tcW w:w="2944" w:type="dxa"/>
            <w:tcBorders>
              <w:top w:val="outset" w:sz="6" w:space="0" w:color="auto"/>
              <w:left w:val="outset" w:sz="6" w:space="0" w:color="auto"/>
              <w:bottom w:val="outset" w:sz="6" w:space="0" w:color="auto"/>
              <w:right w:val="outset" w:sz="6" w:space="0" w:color="auto"/>
            </w:tcBorders>
            <w:vAlign w:val="center"/>
          </w:tcPr>
          <w:p w14:paraId="4EF04E51" w14:textId="77777777" w:rsidR="00577D08" w:rsidRDefault="00330FC0">
            <w:pPr>
              <w:ind w:firstLineChars="100" w:firstLine="210"/>
              <w:rPr>
                <w:color w:val="000000" w:themeColor="text1"/>
              </w:rPr>
            </w:pPr>
            <w:r>
              <w:rPr>
                <w:rFonts w:hint="eastAsia"/>
                <w:color w:val="000000" w:themeColor="text1"/>
              </w:rPr>
              <w:t>交易性金融负债</w:t>
            </w:r>
          </w:p>
        </w:tc>
        <w:tc>
          <w:tcPr>
            <w:tcW w:w="1133" w:type="dxa"/>
            <w:tcBorders>
              <w:top w:val="outset" w:sz="6" w:space="0" w:color="auto"/>
              <w:left w:val="outset" w:sz="6" w:space="0" w:color="auto"/>
              <w:bottom w:val="outset" w:sz="6" w:space="0" w:color="auto"/>
              <w:right w:val="outset" w:sz="6" w:space="0" w:color="auto"/>
            </w:tcBorders>
          </w:tcPr>
          <w:p w14:paraId="73F94FD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E77EF53"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1A251A4C" w14:textId="77777777" w:rsidR="00577D08" w:rsidRDefault="00577D08">
            <w:pPr>
              <w:jc w:val="right"/>
            </w:pPr>
          </w:p>
        </w:tc>
      </w:tr>
      <w:tr w:rsidR="00577D08" w14:paraId="0A0C377E" w14:textId="77777777">
        <w:tc>
          <w:tcPr>
            <w:tcW w:w="2944" w:type="dxa"/>
            <w:tcBorders>
              <w:top w:val="outset" w:sz="6" w:space="0" w:color="auto"/>
              <w:left w:val="outset" w:sz="6" w:space="0" w:color="auto"/>
              <w:bottom w:val="outset" w:sz="6" w:space="0" w:color="auto"/>
              <w:right w:val="outset" w:sz="6" w:space="0" w:color="auto"/>
            </w:tcBorders>
            <w:vAlign w:val="center"/>
          </w:tcPr>
          <w:p w14:paraId="58FAF23D" w14:textId="77777777" w:rsidR="00577D08" w:rsidRDefault="00330FC0">
            <w:pPr>
              <w:ind w:firstLineChars="100" w:firstLine="210"/>
              <w:rPr>
                <w:color w:val="000000" w:themeColor="text1"/>
              </w:rPr>
            </w:pPr>
            <w:r>
              <w:rPr>
                <w:rFonts w:hint="eastAsia"/>
                <w:color w:val="000000" w:themeColor="text1"/>
              </w:rPr>
              <w:t>衍生金融负债</w:t>
            </w:r>
          </w:p>
        </w:tc>
        <w:tc>
          <w:tcPr>
            <w:tcW w:w="1133" w:type="dxa"/>
            <w:tcBorders>
              <w:top w:val="outset" w:sz="6" w:space="0" w:color="auto"/>
              <w:left w:val="outset" w:sz="6" w:space="0" w:color="auto"/>
              <w:bottom w:val="outset" w:sz="6" w:space="0" w:color="auto"/>
              <w:right w:val="outset" w:sz="6" w:space="0" w:color="auto"/>
            </w:tcBorders>
          </w:tcPr>
          <w:p w14:paraId="2E2BF54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76CE2C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5744EB85" w14:textId="77777777" w:rsidR="00577D08" w:rsidRDefault="00577D08">
            <w:pPr>
              <w:jc w:val="right"/>
            </w:pPr>
          </w:p>
        </w:tc>
      </w:tr>
      <w:tr w:rsidR="00577D08" w14:paraId="03A28EB8" w14:textId="77777777">
        <w:tc>
          <w:tcPr>
            <w:tcW w:w="2944" w:type="dxa"/>
            <w:tcBorders>
              <w:top w:val="outset" w:sz="6" w:space="0" w:color="auto"/>
              <w:left w:val="outset" w:sz="6" w:space="0" w:color="auto"/>
              <w:bottom w:val="outset" w:sz="6" w:space="0" w:color="auto"/>
              <w:right w:val="outset" w:sz="6" w:space="0" w:color="auto"/>
            </w:tcBorders>
            <w:vAlign w:val="center"/>
          </w:tcPr>
          <w:p w14:paraId="11B99F03" w14:textId="77777777" w:rsidR="00577D08" w:rsidRDefault="00330FC0">
            <w:pPr>
              <w:ind w:firstLineChars="100" w:firstLine="210"/>
              <w:rPr>
                <w:color w:val="000000" w:themeColor="text1"/>
              </w:rPr>
            </w:pPr>
            <w:r>
              <w:rPr>
                <w:rFonts w:hint="eastAsia"/>
                <w:color w:val="000000" w:themeColor="text1"/>
              </w:rPr>
              <w:t>应付票据</w:t>
            </w:r>
          </w:p>
        </w:tc>
        <w:tc>
          <w:tcPr>
            <w:tcW w:w="1133" w:type="dxa"/>
            <w:tcBorders>
              <w:top w:val="outset" w:sz="6" w:space="0" w:color="auto"/>
              <w:left w:val="outset" w:sz="6" w:space="0" w:color="auto"/>
              <w:bottom w:val="outset" w:sz="6" w:space="0" w:color="auto"/>
              <w:right w:val="outset" w:sz="6" w:space="0" w:color="auto"/>
            </w:tcBorders>
          </w:tcPr>
          <w:p w14:paraId="1915FF73" w14:textId="77777777" w:rsidR="00577D08" w:rsidRDefault="00330FC0">
            <w:r>
              <w:rPr>
                <w:rFonts w:hint="eastAsia"/>
              </w:rPr>
              <w:t>七、</w:t>
            </w:r>
            <w:r>
              <w:rPr>
                <w:rFonts w:hint="eastAsia"/>
              </w:rPr>
              <w:t>35</w:t>
            </w:r>
          </w:p>
        </w:tc>
        <w:tc>
          <w:tcPr>
            <w:tcW w:w="2550" w:type="dxa"/>
            <w:tcBorders>
              <w:top w:val="outset" w:sz="6" w:space="0" w:color="auto"/>
              <w:left w:val="outset" w:sz="6" w:space="0" w:color="auto"/>
              <w:bottom w:val="outset" w:sz="6" w:space="0" w:color="auto"/>
              <w:right w:val="outset" w:sz="6" w:space="0" w:color="auto"/>
            </w:tcBorders>
          </w:tcPr>
          <w:p w14:paraId="7BF58B95" w14:textId="77777777" w:rsidR="00577D08" w:rsidRDefault="00330FC0">
            <w:pPr>
              <w:jc w:val="right"/>
            </w:pPr>
            <w:r>
              <w:t xml:space="preserve"> 878,158,051.60 </w:t>
            </w:r>
          </w:p>
        </w:tc>
        <w:tc>
          <w:tcPr>
            <w:tcW w:w="2411" w:type="dxa"/>
            <w:tcBorders>
              <w:top w:val="outset" w:sz="6" w:space="0" w:color="auto"/>
              <w:left w:val="outset" w:sz="6" w:space="0" w:color="auto"/>
              <w:bottom w:val="outset" w:sz="6" w:space="0" w:color="auto"/>
              <w:right w:val="outset" w:sz="6" w:space="0" w:color="auto"/>
            </w:tcBorders>
          </w:tcPr>
          <w:p w14:paraId="15F8C4CC" w14:textId="77777777" w:rsidR="00577D08" w:rsidRDefault="00330FC0">
            <w:pPr>
              <w:jc w:val="right"/>
            </w:pPr>
            <w:r>
              <w:t>624,614,221.23</w:t>
            </w:r>
          </w:p>
        </w:tc>
      </w:tr>
      <w:tr w:rsidR="00577D08" w14:paraId="06AA607E" w14:textId="77777777">
        <w:tc>
          <w:tcPr>
            <w:tcW w:w="2944" w:type="dxa"/>
            <w:tcBorders>
              <w:top w:val="outset" w:sz="6" w:space="0" w:color="auto"/>
              <w:left w:val="outset" w:sz="6" w:space="0" w:color="auto"/>
              <w:bottom w:val="outset" w:sz="6" w:space="0" w:color="auto"/>
              <w:right w:val="outset" w:sz="6" w:space="0" w:color="auto"/>
            </w:tcBorders>
            <w:vAlign w:val="center"/>
          </w:tcPr>
          <w:p w14:paraId="0E49DCB3" w14:textId="77777777" w:rsidR="00577D08" w:rsidRDefault="00330FC0">
            <w:pPr>
              <w:ind w:firstLineChars="100" w:firstLine="210"/>
              <w:rPr>
                <w:color w:val="000000" w:themeColor="text1"/>
              </w:rPr>
            </w:pPr>
            <w:r>
              <w:rPr>
                <w:rFonts w:hint="eastAsia"/>
                <w:color w:val="000000" w:themeColor="text1"/>
              </w:rPr>
              <w:t>应付账款</w:t>
            </w:r>
          </w:p>
        </w:tc>
        <w:tc>
          <w:tcPr>
            <w:tcW w:w="1133" w:type="dxa"/>
            <w:tcBorders>
              <w:top w:val="outset" w:sz="6" w:space="0" w:color="auto"/>
              <w:left w:val="outset" w:sz="6" w:space="0" w:color="auto"/>
              <w:bottom w:val="outset" w:sz="6" w:space="0" w:color="auto"/>
              <w:right w:val="outset" w:sz="6" w:space="0" w:color="auto"/>
            </w:tcBorders>
          </w:tcPr>
          <w:p w14:paraId="42A466D0" w14:textId="77777777" w:rsidR="00577D08" w:rsidRDefault="00330FC0">
            <w:r>
              <w:rPr>
                <w:rFonts w:hint="eastAsia"/>
              </w:rPr>
              <w:t>七、</w:t>
            </w:r>
            <w:r>
              <w:rPr>
                <w:rFonts w:hint="eastAsia"/>
              </w:rPr>
              <w:t>36</w:t>
            </w:r>
          </w:p>
        </w:tc>
        <w:tc>
          <w:tcPr>
            <w:tcW w:w="2550" w:type="dxa"/>
            <w:tcBorders>
              <w:top w:val="outset" w:sz="6" w:space="0" w:color="auto"/>
              <w:left w:val="outset" w:sz="6" w:space="0" w:color="auto"/>
              <w:bottom w:val="outset" w:sz="6" w:space="0" w:color="auto"/>
              <w:right w:val="outset" w:sz="6" w:space="0" w:color="auto"/>
            </w:tcBorders>
          </w:tcPr>
          <w:p w14:paraId="380924B6" w14:textId="77777777" w:rsidR="00577D08" w:rsidRDefault="00330FC0">
            <w:pPr>
              <w:jc w:val="right"/>
            </w:pPr>
            <w:r>
              <w:t xml:space="preserve"> 743,992,815.82 </w:t>
            </w:r>
          </w:p>
        </w:tc>
        <w:tc>
          <w:tcPr>
            <w:tcW w:w="2411" w:type="dxa"/>
            <w:tcBorders>
              <w:top w:val="outset" w:sz="6" w:space="0" w:color="auto"/>
              <w:left w:val="outset" w:sz="6" w:space="0" w:color="auto"/>
              <w:bottom w:val="outset" w:sz="6" w:space="0" w:color="auto"/>
              <w:right w:val="outset" w:sz="6" w:space="0" w:color="auto"/>
            </w:tcBorders>
          </w:tcPr>
          <w:p w14:paraId="51D22A37" w14:textId="77777777" w:rsidR="00577D08" w:rsidRDefault="00330FC0">
            <w:pPr>
              <w:jc w:val="right"/>
            </w:pPr>
            <w:r>
              <w:t>855,537,235.95</w:t>
            </w:r>
          </w:p>
        </w:tc>
      </w:tr>
      <w:tr w:rsidR="00577D08" w14:paraId="2D509718" w14:textId="77777777">
        <w:tc>
          <w:tcPr>
            <w:tcW w:w="2944" w:type="dxa"/>
            <w:tcBorders>
              <w:top w:val="outset" w:sz="6" w:space="0" w:color="auto"/>
              <w:left w:val="outset" w:sz="6" w:space="0" w:color="auto"/>
              <w:bottom w:val="outset" w:sz="6" w:space="0" w:color="auto"/>
              <w:right w:val="outset" w:sz="6" w:space="0" w:color="auto"/>
            </w:tcBorders>
            <w:vAlign w:val="center"/>
          </w:tcPr>
          <w:p w14:paraId="51447373" w14:textId="77777777" w:rsidR="00577D08" w:rsidRDefault="00330FC0">
            <w:pPr>
              <w:ind w:firstLineChars="100" w:firstLine="210"/>
              <w:rPr>
                <w:color w:val="000000" w:themeColor="text1"/>
              </w:rPr>
            </w:pPr>
            <w:r>
              <w:rPr>
                <w:rFonts w:hint="eastAsia"/>
                <w:color w:val="000000" w:themeColor="text1"/>
              </w:rPr>
              <w:t>预收款项</w:t>
            </w:r>
          </w:p>
        </w:tc>
        <w:tc>
          <w:tcPr>
            <w:tcW w:w="1133" w:type="dxa"/>
            <w:tcBorders>
              <w:top w:val="outset" w:sz="6" w:space="0" w:color="auto"/>
              <w:left w:val="outset" w:sz="6" w:space="0" w:color="auto"/>
              <w:bottom w:val="outset" w:sz="6" w:space="0" w:color="auto"/>
              <w:right w:val="outset" w:sz="6" w:space="0" w:color="auto"/>
            </w:tcBorders>
          </w:tcPr>
          <w:p w14:paraId="4A0DED06"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34AEEC0"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CB600FC" w14:textId="77777777" w:rsidR="00577D08" w:rsidRDefault="00577D08">
            <w:pPr>
              <w:jc w:val="right"/>
            </w:pPr>
          </w:p>
        </w:tc>
      </w:tr>
      <w:tr w:rsidR="00577D08" w14:paraId="5F4E6997" w14:textId="77777777">
        <w:tc>
          <w:tcPr>
            <w:tcW w:w="2944" w:type="dxa"/>
            <w:tcBorders>
              <w:top w:val="outset" w:sz="6" w:space="0" w:color="auto"/>
              <w:left w:val="outset" w:sz="6" w:space="0" w:color="auto"/>
              <w:bottom w:val="outset" w:sz="6" w:space="0" w:color="auto"/>
              <w:right w:val="outset" w:sz="6" w:space="0" w:color="auto"/>
            </w:tcBorders>
            <w:vAlign w:val="center"/>
          </w:tcPr>
          <w:p w14:paraId="07C13B81" w14:textId="77777777" w:rsidR="00577D08" w:rsidRDefault="00330FC0">
            <w:pPr>
              <w:ind w:firstLineChars="100" w:firstLine="210"/>
              <w:rPr>
                <w:color w:val="000000" w:themeColor="text1"/>
              </w:rPr>
            </w:pPr>
            <w:r>
              <w:rPr>
                <w:rFonts w:hint="eastAsia"/>
                <w:color w:val="000000" w:themeColor="text1"/>
              </w:rPr>
              <w:t>合同负债</w:t>
            </w:r>
          </w:p>
        </w:tc>
        <w:tc>
          <w:tcPr>
            <w:tcW w:w="1133" w:type="dxa"/>
            <w:tcBorders>
              <w:top w:val="outset" w:sz="6" w:space="0" w:color="auto"/>
              <w:left w:val="outset" w:sz="6" w:space="0" w:color="auto"/>
              <w:bottom w:val="outset" w:sz="6" w:space="0" w:color="auto"/>
              <w:right w:val="outset" w:sz="6" w:space="0" w:color="auto"/>
            </w:tcBorders>
          </w:tcPr>
          <w:p w14:paraId="1B1477CB" w14:textId="77777777" w:rsidR="00577D08" w:rsidRDefault="00330FC0">
            <w:r>
              <w:rPr>
                <w:rFonts w:hint="eastAsia"/>
              </w:rPr>
              <w:t>七、</w:t>
            </w:r>
            <w:r>
              <w:rPr>
                <w:rFonts w:hint="eastAsia"/>
              </w:rPr>
              <w:t>38</w:t>
            </w:r>
          </w:p>
        </w:tc>
        <w:tc>
          <w:tcPr>
            <w:tcW w:w="2550" w:type="dxa"/>
            <w:tcBorders>
              <w:top w:val="outset" w:sz="6" w:space="0" w:color="auto"/>
              <w:left w:val="outset" w:sz="6" w:space="0" w:color="auto"/>
              <w:bottom w:val="outset" w:sz="6" w:space="0" w:color="auto"/>
              <w:right w:val="outset" w:sz="6" w:space="0" w:color="auto"/>
            </w:tcBorders>
          </w:tcPr>
          <w:p w14:paraId="7B445580" w14:textId="77777777" w:rsidR="00577D08" w:rsidRDefault="00330FC0">
            <w:pPr>
              <w:jc w:val="right"/>
            </w:pPr>
            <w:r>
              <w:t xml:space="preserve"> 127,805,864.76 </w:t>
            </w:r>
          </w:p>
        </w:tc>
        <w:tc>
          <w:tcPr>
            <w:tcW w:w="2411" w:type="dxa"/>
            <w:tcBorders>
              <w:top w:val="outset" w:sz="6" w:space="0" w:color="auto"/>
              <w:left w:val="outset" w:sz="6" w:space="0" w:color="auto"/>
              <w:bottom w:val="outset" w:sz="6" w:space="0" w:color="auto"/>
              <w:right w:val="outset" w:sz="6" w:space="0" w:color="auto"/>
            </w:tcBorders>
          </w:tcPr>
          <w:p w14:paraId="0790F688" w14:textId="77777777" w:rsidR="00577D08" w:rsidRDefault="00330FC0">
            <w:pPr>
              <w:jc w:val="right"/>
            </w:pPr>
            <w:r>
              <w:t>114,850,233.49</w:t>
            </w:r>
          </w:p>
        </w:tc>
      </w:tr>
      <w:tr w:rsidR="00577D08" w14:paraId="1B6DDFD6" w14:textId="77777777">
        <w:tc>
          <w:tcPr>
            <w:tcW w:w="2944" w:type="dxa"/>
            <w:tcBorders>
              <w:top w:val="outset" w:sz="6" w:space="0" w:color="auto"/>
              <w:left w:val="outset" w:sz="6" w:space="0" w:color="auto"/>
              <w:bottom w:val="outset" w:sz="6" w:space="0" w:color="auto"/>
              <w:right w:val="outset" w:sz="6" w:space="0" w:color="auto"/>
            </w:tcBorders>
            <w:vAlign w:val="center"/>
          </w:tcPr>
          <w:p w14:paraId="5E35A9CF" w14:textId="77777777" w:rsidR="00577D08" w:rsidRDefault="00330FC0">
            <w:pPr>
              <w:ind w:firstLineChars="100" w:firstLine="210"/>
              <w:rPr>
                <w:color w:val="000000" w:themeColor="text1"/>
              </w:rPr>
            </w:pPr>
            <w:r>
              <w:rPr>
                <w:rFonts w:hint="eastAsia"/>
                <w:color w:val="000000" w:themeColor="text1"/>
              </w:rPr>
              <w:t>卖出回购金融资产款</w:t>
            </w:r>
          </w:p>
        </w:tc>
        <w:tc>
          <w:tcPr>
            <w:tcW w:w="1133" w:type="dxa"/>
            <w:tcBorders>
              <w:top w:val="outset" w:sz="6" w:space="0" w:color="auto"/>
              <w:left w:val="outset" w:sz="6" w:space="0" w:color="auto"/>
              <w:bottom w:val="outset" w:sz="6" w:space="0" w:color="auto"/>
              <w:right w:val="outset" w:sz="6" w:space="0" w:color="auto"/>
            </w:tcBorders>
          </w:tcPr>
          <w:p w14:paraId="4BC04FE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BC530DF"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6F0B573" w14:textId="77777777" w:rsidR="00577D08" w:rsidRDefault="00577D08">
            <w:pPr>
              <w:jc w:val="right"/>
            </w:pPr>
          </w:p>
        </w:tc>
      </w:tr>
      <w:tr w:rsidR="00577D08" w14:paraId="322DD2C5" w14:textId="77777777">
        <w:tc>
          <w:tcPr>
            <w:tcW w:w="2944" w:type="dxa"/>
            <w:tcBorders>
              <w:top w:val="outset" w:sz="6" w:space="0" w:color="auto"/>
              <w:left w:val="outset" w:sz="6" w:space="0" w:color="auto"/>
              <w:bottom w:val="outset" w:sz="6" w:space="0" w:color="auto"/>
              <w:right w:val="outset" w:sz="6" w:space="0" w:color="auto"/>
            </w:tcBorders>
            <w:vAlign w:val="center"/>
          </w:tcPr>
          <w:p w14:paraId="6130CD29" w14:textId="77777777" w:rsidR="00577D08" w:rsidRDefault="00330FC0">
            <w:pPr>
              <w:ind w:firstLineChars="100" w:firstLine="210"/>
              <w:rPr>
                <w:color w:val="000000" w:themeColor="text1"/>
              </w:rPr>
            </w:pPr>
            <w:r>
              <w:rPr>
                <w:rFonts w:hint="eastAsia"/>
                <w:color w:val="000000" w:themeColor="text1"/>
              </w:rPr>
              <w:t>吸收存款及同业存放</w:t>
            </w:r>
          </w:p>
        </w:tc>
        <w:tc>
          <w:tcPr>
            <w:tcW w:w="1133" w:type="dxa"/>
            <w:tcBorders>
              <w:top w:val="outset" w:sz="6" w:space="0" w:color="auto"/>
              <w:left w:val="outset" w:sz="6" w:space="0" w:color="auto"/>
              <w:bottom w:val="outset" w:sz="6" w:space="0" w:color="auto"/>
              <w:right w:val="outset" w:sz="6" w:space="0" w:color="auto"/>
            </w:tcBorders>
          </w:tcPr>
          <w:p w14:paraId="283B957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0E265A1"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58619213" w14:textId="77777777" w:rsidR="00577D08" w:rsidRDefault="00577D08">
            <w:pPr>
              <w:jc w:val="right"/>
            </w:pPr>
          </w:p>
        </w:tc>
      </w:tr>
      <w:tr w:rsidR="00577D08" w14:paraId="14E40F66" w14:textId="77777777">
        <w:tc>
          <w:tcPr>
            <w:tcW w:w="2944" w:type="dxa"/>
            <w:tcBorders>
              <w:top w:val="outset" w:sz="6" w:space="0" w:color="auto"/>
              <w:left w:val="outset" w:sz="6" w:space="0" w:color="auto"/>
              <w:bottom w:val="outset" w:sz="6" w:space="0" w:color="auto"/>
              <w:right w:val="outset" w:sz="6" w:space="0" w:color="auto"/>
            </w:tcBorders>
            <w:vAlign w:val="center"/>
          </w:tcPr>
          <w:p w14:paraId="22FBB0AD" w14:textId="77777777" w:rsidR="00577D08" w:rsidRDefault="00330FC0">
            <w:pPr>
              <w:ind w:firstLineChars="100" w:firstLine="210"/>
              <w:rPr>
                <w:color w:val="000000" w:themeColor="text1"/>
              </w:rPr>
            </w:pPr>
            <w:r>
              <w:rPr>
                <w:rFonts w:hint="eastAsia"/>
                <w:color w:val="000000" w:themeColor="text1"/>
              </w:rPr>
              <w:t>代理买卖证券款</w:t>
            </w:r>
          </w:p>
        </w:tc>
        <w:tc>
          <w:tcPr>
            <w:tcW w:w="1133" w:type="dxa"/>
            <w:tcBorders>
              <w:top w:val="outset" w:sz="6" w:space="0" w:color="auto"/>
              <w:left w:val="outset" w:sz="6" w:space="0" w:color="auto"/>
              <w:bottom w:val="outset" w:sz="6" w:space="0" w:color="auto"/>
              <w:right w:val="outset" w:sz="6" w:space="0" w:color="auto"/>
            </w:tcBorders>
          </w:tcPr>
          <w:p w14:paraId="2CB59FE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EC476EC"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62132E4C" w14:textId="77777777" w:rsidR="00577D08" w:rsidRDefault="00577D08">
            <w:pPr>
              <w:jc w:val="right"/>
            </w:pPr>
          </w:p>
        </w:tc>
      </w:tr>
      <w:tr w:rsidR="00577D08" w14:paraId="43564692" w14:textId="77777777">
        <w:tc>
          <w:tcPr>
            <w:tcW w:w="2944" w:type="dxa"/>
            <w:tcBorders>
              <w:top w:val="outset" w:sz="6" w:space="0" w:color="auto"/>
              <w:left w:val="outset" w:sz="6" w:space="0" w:color="auto"/>
              <w:bottom w:val="outset" w:sz="6" w:space="0" w:color="auto"/>
              <w:right w:val="outset" w:sz="6" w:space="0" w:color="auto"/>
            </w:tcBorders>
            <w:vAlign w:val="center"/>
          </w:tcPr>
          <w:p w14:paraId="0C2F8437" w14:textId="77777777" w:rsidR="00577D08" w:rsidRDefault="00330FC0">
            <w:pPr>
              <w:ind w:firstLineChars="100" w:firstLine="210"/>
              <w:rPr>
                <w:color w:val="000000" w:themeColor="text1"/>
              </w:rPr>
            </w:pPr>
            <w:r>
              <w:rPr>
                <w:rFonts w:hint="eastAsia"/>
                <w:color w:val="000000" w:themeColor="text1"/>
              </w:rPr>
              <w:t>代理承销证券款</w:t>
            </w:r>
          </w:p>
        </w:tc>
        <w:tc>
          <w:tcPr>
            <w:tcW w:w="1133" w:type="dxa"/>
            <w:tcBorders>
              <w:top w:val="outset" w:sz="6" w:space="0" w:color="auto"/>
              <w:left w:val="outset" w:sz="6" w:space="0" w:color="auto"/>
              <w:bottom w:val="outset" w:sz="6" w:space="0" w:color="auto"/>
              <w:right w:val="outset" w:sz="6" w:space="0" w:color="auto"/>
            </w:tcBorders>
          </w:tcPr>
          <w:p w14:paraId="15EFE26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ECCB07B"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D9B2137" w14:textId="77777777" w:rsidR="00577D08" w:rsidRDefault="00577D08">
            <w:pPr>
              <w:jc w:val="right"/>
            </w:pPr>
          </w:p>
        </w:tc>
      </w:tr>
      <w:tr w:rsidR="00577D08" w14:paraId="33F4B489" w14:textId="77777777">
        <w:tc>
          <w:tcPr>
            <w:tcW w:w="2944" w:type="dxa"/>
            <w:tcBorders>
              <w:top w:val="outset" w:sz="6" w:space="0" w:color="auto"/>
              <w:left w:val="outset" w:sz="6" w:space="0" w:color="auto"/>
              <w:bottom w:val="outset" w:sz="6" w:space="0" w:color="auto"/>
              <w:right w:val="outset" w:sz="6" w:space="0" w:color="auto"/>
            </w:tcBorders>
            <w:vAlign w:val="center"/>
          </w:tcPr>
          <w:p w14:paraId="5FDE3829" w14:textId="77777777" w:rsidR="00577D08" w:rsidRDefault="00330FC0">
            <w:pPr>
              <w:ind w:firstLineChars="100" w:firstLine="210"/>
              <w:rPr>
                <w:color w:val="000000" w:themeColor="text1"/>
              </w:rPr>
            </w:pPr>
            <w:r>
              <w:rPr>
                <w:rFonts w:hint="eastAsia"/>
                <w:color w:val="000000" w:themeColor="text1"/>
              </w:rPr>
              <w:t>应付职工薪酬</w:t>
            </w:r>
          </w:p>
        </w:tc>
        <w:tc>
          <w:tcPr>
            <w:tcW w:w="1133" w:type="dxa"/>
            <w:tcBorders>
              <w:top w:val="outset" w:sz="6" w:space="0" w:color="auto"/>
              <w:left w:val="outset" w:sz="6" w:space="0" w:color="auto"/>
              <w:bottom w:val="outset" w:sz="6" w:space="0" w:color="auto"/>
              <w:right w:val="outset" w:sz="6" w:space="0" w:color="auto"/>
            </w:tcBorders>
          </w:tcPr>
          <w:p w14:paraId="6B1D7706" w14:textId="77777777" w:rsidR="00577D08" w:rsidRDefault="00330FC0">
            <w:r>
              <w:rPr>
                <w:rFonts w:hint="eastAsia"/>
              </w:rPr>
              <w:t>七、</w:t>
            </w:r>
            <w:r>
              <w:rPr>
                <w:rFonts w:hint="eastAsia"/>
              </w:rPr>
              <w:t>39</w:t>
            </w:r>
          </w:p>
        </w:tc>
        <w:tc>
          <w:tcPr>
            <w:tcW w:w="2550" w:type="dxa"/>
            <w:tcBorders>
              <w:top w:val="outset" w:sz="6" w:space="0" w:color="auto"/>
              <w:left w:val="outset" w:sz="6" w:space="0" w:color="auto"/>
              <w:bottom w:val="outset" w:sz="6" w:space="0" w:color="auto"/>
              <w:right w:val="outset" w:sz="6" w:space="0" w:color="auto"/>
            </w:tcBorders>
          </w:tcPr>
          <w:p w14:paraId="646C243A" w14:textId="77777777" w:rsidR="00577D08" w:rsidRDefault="00330FC0">
            <w:pPr>
              <w:jc w:val="right"/>
            </w:pPr>
            <w:r>
              <w:t xml:space="preserve"> 58,042,953.16 </w:t>
            </w:r>
          </w:p>
        </w:tc>
        <w:tc>
          <w:tcPr>
            <w:tcW w:w="2411" w:type="dxa"/>
            <w:tcBorders>
              <w:top w:val="outset" w:sz="6" w:space="0" w:color="auto"/>
              <w:left w:val="outset" w:sz="6" w:space="0" w:color="auto"/>
              <w:bottom w:val="outset" w:sz="6" w:space="0" w:color="auto"/>
              <w:right w:val="outset" w:sz="6" w:space="0" w:color="auto"/>
            </w:tcBorders>
          </w:tcPr>
          <w:p w14:paraId="23B6B970" w14:textId="77777777" w:rsidR="00577D08" w:rsidRDefault="00330FC0">
            <w:pPr>
              <w:jc w:val="right"/>
            </w:pPr>
            <w:r>
              <w:t>43,004,579.54</w:t>
            </w:r>
          </w:p>
        </w:tc>
      </w:tr>
      <w:tr w:rsidR="00577D08" w14:paraId="778493AD" w14:textId="77777777">
        <w:tc>
          <w:tcPr>
            <w:tcW w:w="2944" w:type="dxa"/>
            <w:tcBorders>
              <w:top w:val="outset" w:sz="6" w:space="0" w:color="auto"/>
              <w:left w:val="outset" w:sz="6" w:space="0" w:color="auto"/>
              <w:bottom w:val="outset" w:sz="6" w:space="0" w:color="auto"/>
              <w:right w:val="outset" w:sz="6" w:space="0" w:color="auto"/>
            </w:tcBorders>
            <w:vAlign w:val="center"/>
          </w:tcPr>
          <w:p w14:paraId="4DBEC41C" w14:textId="77777777" w:rsidR="00577D08" w:rsidRDefault="00330FC0">
            <w:pPr>
              <w:ind w:firstLineChars="100" w:firstLine="210"/>
              <w:rPr>
                <w:color w:val="000000" w:themeColor="text1"/>
              </w:rPr>
            </w:pPr>
            <w:r>
              <w:rPr>
                <w:rFonts w:hint="eastAsia"/>
                <w:color w:val="000000" w:themeColor="text1"/>
              </w:rPr>
              <w:t>应交税费</w:t>
            </w:r>
          </w:p>
        </w:tc>
        <w:tc>
          <w:tcPr>
            <w:tcW w:w="1133" w:type="dxa"/>
            <w:tcBorders>
              <w:top w:val="outset" w:sz="6" w:space="0" w:color="auto"/>
              <w:left w:val="outset" w:sz="6" w:space="0" w:color="auto"/>
              <w:bottom w:val="outset" w:sz="6" w:space="0" w:color="auto"/>
              <w:right w:val="outset" w:sz="6" w:space="0" w:color="auto"/>
            </w:tcBorders>
          </w:tcPr>
          <w:p w14:paraId="2A7645EF" w14:textId="77777777" w:rsidR="00577D08" w:rsidRDefault="00330FC0">
            <w:r>
              <w:rPr>
                <w:rFonts w:hint="eastAsia"/>
              </w:rPr>
              <w:t>七、</w:t>
            </w:r>
            <w:r>
              <w:rPr>
                <w:rFonts w:hint="eastAsia"/>
              </w:rPr>
              <w:t>40</w:t>
            </w:r>
          </w:p>
        </w:tc>
        <w:tc>
          <w:tcPr>
            <w:tcW w:w="2550" w:type="dxa"/>
            <w:tcBorders>
              <w:top w:val="outset" w:sz="6" w:space="0" w:color="auto"/>
              <w:left w:val="outset" w:sz="6" w:space="0" w:color="auto"/>
              <w:bottom w:val="outset" w:sz="6" w:space="0" w:color="auto"/>
              <w:right w:val="outset" w:sz="6" w:space="0" w:color="auto"/>
            </w:tcBorders>
          </w:tcPr>
          <w:p w14:paraId="16659A8C" w14:textId="77777777" w:rsidR="00577D08" w:rsidRDefault="00330FC0">
            <w:pPr>
              <w:jc w:val="right"/>
            </w:pPr>
            <w:r>
              <w:t xml:space="preserve"> 39,888,756.49 </w:t>
            </w:r>
          </w:p>
        </w:tc>
        <w:tc>
          <w:tcPr>
            <w:tcW w:w="2411" w:type="dxa"/>
            <w:tcBorders>
              <w:top w:val="outset" w:sz="6" w:space="0" w:color="auto"/>
              <w:left w:val="outset" w:sz="6" w:space="0" w:color="auto"/>
              <w:bottom w:val="outset" w:sz="6" w:space="0" w:color="auto"/>
              <w:right w:val="outset" w:sz="6" w:space="0" w:color="auto"/>
            </w:tcBorders>
          </w:tcPr>
          <w:p w14:paraId="52E6B397" w14:textId="77777777" w:rsidR="00577D08" w:rsidRDefault="00330FC0">
            <w:pPr>
              <w:jc w:val="right"/>
            </w:pPr>
            <w:r>
              <w:t>25,876,715.10</w:t>
            </w:r>
          </w:p>
        </w:tc>
      </w:tr>
      <w:tr w:rsidR="00577D08" w14:paraId="11BA18C0" w14:textId="77777777">
        <w:tc>
          <w:tcPr>
            <w:tcW w:w="2944" w:type="dxa"/>
            <w:tcBorders>
              <w:top w:val="outset" w:sz="6" w:space="0" w:color="auto"/>
              <w:left w:val="outset" w:sz="6" w:space="0" w:color="auto"/>
              <w:bottom w:val="outset" w:sz="6" w:space="0" w:color="auto"/>
              <w:right w:val="outset" w:sz="6" w:space="0" w:color="auto"/>
            </w:tcBorders>
            <w:vAlign w:val="center"/>
          </w:tcPr>
          <w:p w14:paraId="34223C4C" w14:textId="77777777" w:rsidR="00577D08" w:rsidRDefault="00330FC0">
            <w:pPr>
              <w:ind w:firstLineChars="100" w:firstLine="210"/>
              <w:rPr>
                <w:color w:val="000000" w:themeColor="text1"/>
              </w:rPr>
            </w:pPr>
            <w:r>
              <w:rPr>
                <w:rFonts w:hint="eastAsia"/>
                <w:color w:val="000000" w:themeColor="text1"/>
              </w:rPr>
              <w:t>其他应付款</w:t>
            </w:r>
          </w:p>
        </w:tc>
        <w:tc>
          <w:tcPr>
            <w:tcW w:w="1133" w:type="dxa"/>
            <w:tcBorders>
              <w:top w:val="outset" w:sz="6" w:space="0" w:color="auto"/>
              <w:left w:val="outset" w:sz="6" w:space="0" w:color="auto"/>
              <w:bottom w:val="outset" w:sz="6" w:space="0" w:color="auto"/>
              <w:right w:val="outset" w:sz="6" w:space="0" w:color="auto"/>
            </w:tcBorders>
          </w:tcPr>
          <w:p w14:paraId="2070118B" w14:textId="77777777" w:rsidR="00577D08" w:rsidRDefault="00330FC0">
            <w:r>
              <w:rPr>
                <w:rFonts w:hint="eastAsia"/>
              </w:rPr>
              <w:t>七、</w:t>
            </w:r>
            <w:r>
              <w:rPr>
                <w:rFonts w:hint="eastAsia"/>
              </w:rPr>
              <w:t>41</w:t>
            </w:r>
          </w:p>
        </w:tc>
        <w:tc>
          <w:tcPr>
            <w:tcW w:w="2550" w:type="dxa"/>
            <w:tcBorders>
              <w:top w:val="outset" w:sz="6" w:space="0" w:color="auto"/>
              <w:left w:val="outset" w:sz="6" w:space="0" w:color="auto"/>
              <w:bottom w:val="outset" w:sz="6" w:space="0" w:color="auto"/>
              <w:right w:val="outset" w:sz="6" w:space="0" w:color="auto"/>
            </w:tcBorders>
          </w:tcPr>
          <w:p w14:paraId="065DC47C" w14:textId="77777777" w:rsidR="00577D08" w:rsidRDefault="00330FC0">
            <w:pPr>
              <w:jc w:val="right"/>
            </w:pPr>
            <w:r>
              <w:t xml:space="preserve"> 62,168,818.34 </w:t>
            </w:r>
          </w:p>
        </w:tc>
        <w:tc>
          <w:tcPr>
            <w:tcW w:w="2411" w:type="dxa"/>
            <w:tcBorders>
              <w:top w:val="outset" w:sz="6" w:space="0" w:color="auto"/>
              <w:left w:val="outset" w:sz="6" w:space="0" w:color="auto"/>
              <w:bottom w:val="outset" w:sz="6" w:space="0" w:color="auto"/>
              <w:right w:val="outset" w:sz="6" w:space="0" w:color="auto"/>
            </w:tcBorders>
          </w:tcPr>
          <w:p w14:paraId="56478B5B" w14:textId="77777777" w:rsidR="00577D08" w:rsidRDefault="00330FC0">
            <w:pPr>
              <w:jc w:val="right"/>
            </w:pPr>
            <w:r>
              <w:t>60,784,232.00</w:t>
            </w:r>
          </w:p>
        </w:tc>
      </w:tr>
      <w:tr w:rsidR="00577D08" w14:paraId="59A5AFEA" w14:textId="77777777">
        <w:tc>
          <w:tcPr>
            <w:tcW w:w="2944" w:type="dxa"/>
            <w:tcBorders>
              <w:top w:val="outset" w:sz="6" w:space="0" w:color="auto"/>
              <w:left w:val="outset" w:sz="6" w:space="0" w:color="auto"/>
              <w:bottom w:val="outset" w:sz="6" w:space="0" w:color="auto"/>
              <w:right w:val="outset" w:sz="6" w:space="0" w:color="auto"/>
            </w:tcBorders>
            <w:vAlign w:val="center"/>
          </w:tcPr>
          <w:p w14:paraId="2B542670" w14:textId="77777777" w:rsidR="00577D08" w:rsidRDefault="00330FC0">
            <w:pPr>
              <w:ind w:firstLineChars="100" w:firstLine="210"/>
              <w:rPr>
                <w:color w:val="000000" w:themeColor="text1"/>
              </w:rPr>
            </w:pPr>
            <w:r>
              <w:rPr>
                <w:rFonts w:hint="eastAsia"/>
                <w:color w:val="000000" w:themeColor="text1"/>
              </w:rPr>
              <w:t>其中：应付利息</w:t>
            </w:r>
          </w:p>
        </w:tc>
        <w:tc>
          <w:tcPr>
            <w:tcW w:w="1133" w:type="dxa"/>
            <w:tcBorders>
              <w:top w:val="outset" w:sz="6" w:space="0" w:color="auto"/>
              <w:left w:val="outset" w:sz="6" w:space="0" w:color="auto"/>
              <w:bottom w:val="outset" w:sz="6" w:space="0" w:color="auto"/>
              <w:right w:val="outset" w:sz="6" w:space="0" w:color="auto"/>
            </w:tcBorders>
          </w:tcPr>
          <w:p w14:paraId="5653625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7F17528"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65286488" w14:textId="77777777" w:rsidR="00577D08" w:rsidRDefault="00577D08">
            <w:pPr>
              <w:jc w:val="right"/>
            </w:pPr>
          </w:p>
        </w:tc>
      </w:tr>
      <w:tr w:rsidR="00577D08" w14:paraId="1ACFC98A" w14:textId="77777777">
        <w:tc>
          <w:tcPr>
            <w:tcW w:w="2944" w:type="dxa"/>
            <w:tcBorders>
              <w:top w:val="outset" w:sz="6" w:space="0" w:color="auto"/>
              <w:left w:val="outset" w:sz="6" w:space="0" w:color="auto"/>
              <w:bottom w:val="outset" w:sz="6" w:space="0" w:color="auto"/>
              <w:right w:val="outset" w:sz="6" w:space="0" w:color="auto"/>
            </w:tcBorders>
            <w:vAlign w:val="center"/>
          </w:tcPr>
          <w:p w14:paraId="445A7D2C" w14:textId="77777777" w:rsidR="00577D08" w:rsidRDefault="00330FC0">
            <w:pPr>
              <w:ind w:firstLineChars="400" w:firstLine="840"/>
              <w:rPr>
                <w:color w:val="000000" w:themeColor="text1"/>
              </w:rPr>
            </w:pPr>
            <w:r>
              <w:rPr>
                <w:rFonts w:hint="eastAsia"/>
                <w:color w:val="000000" w:themeColor="text1"/>
              </w:rPr>
              <w:t>应付股利</w:t>
            </w:r>
          </w:p>
        </w:tc>
        <w:tc>
          <w:tcPr>
            <w:tcW w:w="1133" w:type="dxa"/>
            <w:tcBorders>
              <w:top w:val="outset" w:sz="6" w:space="0" w:color="auto"/>
              <w:left w:val="outset" w:sz="6" w:space="0" w:color="auto"/>
              <w:bottom w:val="outset" w:sz="6" w:space="0" w:color="auto"/>
              <w:right w:val="outset" w:sz="6" w:space="0" w:color="auto"/>
            </w:tcBorders>
          </w:tcPr>
          <w:p w14:paraId="5E80E0A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137D83D"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66F6704" w14:textId="77777777" w:rsidR="00577D08" w:rsidRDefault="00577D08">
            <w:pPr>
              <w:jc w:val="right"/>
            </w:pPr>
          </w:p>
        </w:tc>
      </w:tr>
      <w:tr w:rsidR="00577D08" w14:paraId="225F6F82" w14:textId="77777777">
        <w:tc>
          <w:tcPr>
            <w:tcW w:w="2944" w:type="dxa"/>
            <w:tcBorders>
              <w:top w:val="outset" w:sz="6" w:space="0" w:color="auto"/>
              <w:left w:val="outset" w:sz="6" w:space="0" w:color="auto"/>
              <w:bottom w:val="outset" w:sz="6" w:space="0" w:color="auto"/>
              <w:right w:val="outset" w:sz="6" w:space="0" w:color="auto"/>
            </w:tcBorders>
            <w:vAlign w:val="center"/>
          </w:tcPr>
          <w:p w14:paraId="307378BE" w14:textId="77777777" w:rsidR="00577D08" w:rsidRDefault="00330FC0">
            <w:pPr>
              <w:ind w:firstLineChars="100" w:firstLine="210"/>
              <w:rPr>
                <w:color w:val="000000" w:themeColor="text1"/>
              </w:rPr>
            </w:pPr>
            <w:r>
              <w:rPr>
                <w:rFonts w:hint="eastAsia"/>
                <w:color w:val="000000" w:themeColor="text1"/>
              </w:rPr>
              <w:t>应付手续费及佣金</w:t>
            </w:r>
          </w:p>
        </w:tc>
        <w:tc>
          <w:tcPr>
            <w:tcW w:w="1133" w:type="dxa"/>
            <w:tcBorders>
              <w:top w:val="outset" w:sz="6" w:space="0" w:color="auto"/>
              <w:left w:val="outset" w:sz="6" w:space="0" w:color="auto"/>
              <w:bottom w:val="outset" w:sz="6" w:space="0" w:color="auto"/>
              <w:right w:val="outset" w:sz="6" w:space="0" w:color="auto"/>
            </w:tcBorders>
          </w:tcPr>
          <w:p w14:paraId="58EBE10C"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C2562E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14FEDB7" w14:textId="77777777" w:rsidR="00577D08" w:rsidRDefault="00577D08">
            <w:pPr>
              <w:jc w:val="right"/>
            </w:pPr>
          </w:p>
        </w:tc>
      </w:tr>
      <w:tr w:rsidR="00577D08" w14:paraId="724F96F2" w14:textId="77777777">
        <w:tc>
          <w:tcPr>
            <w:tcW w:w="2944" w:type="dxa"/>
            <w:tcBorders>
              <w:top w:val="outset" w:sz="6" w:space="0" w:color="auto"/>
              <w:left w:val="outset" w:sz="6" w:space="0" w:color="auto"/>
              <w:bottom w:val="outset" w:sz="6" w:space="0" w:color="auto"/>
              <w:right w:val="outset" w:sz="6" w:space="0" w:color="auto"/>
            </w:tcBorders>
            <w:vAlign w:val="center"/>
          </w:tcPr>
          <w:p w14:paraId="4245829A" w14:textId="77777777" w:rsidR="00577D08" w:rsidRDefault="00330FC0">
            <w:pPr>
              <w:ind w:firstLineChars="100" w:firstLine="210"/>
              <w:rPr>
                <w:color w:val="000000" w:themeColor="text1"/>
              </w:rPr>
            </w:pPr>
            <w:r>
              <w:rPr>
                <w:rFonts w:hint="eastAsia"/>
                <w:color w:val="000000" w:themeColor="text1"/>
              </w:rPr>
              <w:t>应付分保账款</w:t>
            </w:r>
          </w:p>
        </w:tc>
        <w:tc>
          <w:tcPr>
            <w:tcW w:w="1133" w:type="dxa"/>
            <w:tcBorders>
              <w:top w:val="outset" w:sz="6" w:space="0" w:color="auto"/>
              <w:left w:val="outset" w:sz="6" w:space="0" w:color="auto"/>
              <w:bottom w:val="outset" w:sz="6" w:space="0" w:color="auto"/>
              <w:right w:val="outset" w:sz="6" w:space="0" w:color="auto"/>
            </w:tcBorders>
          </w:tcPr>
          <w:p w14:paraId="7FB02682"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3C23DE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6DCD269F" w14:textId="77777777" w:rsidR="00577D08" w:rsidRDefault="00577D08">
            <w:pPr>
              <w:jc w:val="right"/>
            </w:pPr>
          </w:p>
        </w:tc>
      </w:tr>
      <w:tr w:rsidR="00577D08" w14:paraId="57C299AB" w14:textId="77777777">
        <w:tc>
          <w:tcPr>
            <w:tcW w:w="2944" w:type="dxa"/>
            <w:tcBorders>
              <w:top w:val="outset" w:sz="6" w:space="0" w:color="auto"/>
              <w:left w:val="outset" w:sz="6" w:space="0" w:color="auto"/>
              <w:bottom w:val="outset" w:sz="6" w:space="0" w:color="auto"/>
              <w:right w:val="outset" w:sz="6" w:space="0" w:color="auto"/>
            </w:tcBorders>
            <w:vAlign w:val="center"/>
          </w:tcPr>
          <w:p w14:paraId="725EC569" w14:textId="77777777" w:rsidR="00577D08" w:rsidRDefault="00330FC0">
            <w:pPr>
              <w:ind w:firstLineChars="100" w:firstLine="210"/>
              <w:rPr>
                <w:color w:val="000000" w:themeColor="text1"/>
              </w:rPr>
            </w:pPr>
            <w:r>
              <w:rPr>
                <w:rFonts w:hint="eastAsia"/>
                <w:color w:val="000000" w:themeColor="text1"/>
              </w:rPr>
              <w:t>持有待售负债</w:t>
            </w:r>
          </w:p>
        </w:tc>
        <w:tc>
          <w:tcPr>
            <w:tcW w:w="1133" w:type="dxa"/>
            <w:tcBorders>
              <w:top w:val="outset" w:sz="6" w:space="0" w:color="auto"/>
              <w:left w:val="outset" w:sz="6" w:space="0" w:color="auto"/>
              <w:bottom w:val="outset" w:sz="6" w:space="0" w:color="auto"/>
              <w:right w:val="outset" w:sz="6" w:space="0" w:color="auto"/>
            </w:tcBorders>
          </w:tcPr>
          <w:p w14:paraId="38C844F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60A2F8F"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FCF88DE" w14:textId="77777777" w:rsidR="00577D08" w:rsidRDefault="00577D08">
            <w:pPr>
              <w:jc w:val="right"/>
            </w:pPr>
          </w:p>
        </w:tc>
      </w:tr>
      <w:tr w:rsidR="00577D08" w14:paraId="0A100226" w14:textId="77777777">
        <w:tc>
          <w:tcPr>
            <w:tcW w:w="2944" w:type="dxa"/>
            <w:tcBorders>
              <w:top w:val="outset" w:sz="6" w:space="0" w:color="auto"/>
              <w:left w:val="outset" w:sz="6" w:space="0" w:color="auto"/>
              <w:bottom w:val="outset" w:sz="6" w:space="0" w:color="auto"/>
              <w:right w:val="outset" w:sz="6" w:space="0" w:color="auto"/>
            </w:tcBorders>
            <w:vAlign w:val="center"/>
          </w:tcPr>
          <w:p w14:paraId="5F8E1A0C" w14:textId="77777777" w:rsidR="00577D08" w:rsidRDefault="00330FC0">
            <w:pPr>
              <w:ind w:firstLineChars="100" w:firstLine="210"/>
              <w:rPr>
                <w:color w:val="000000" w:themeColor="text1"/>
              </w:rPr>
            </w:pPr>
            <w:r>
              <w:rPr>
                <w:rFonts w:hint="eastAsia"/>
                <w:color w:val="000000" w:themeColor="text1"/>
              </w:rPr>
              <w:t>一年内到期的非流动负债</w:t>
            </w:r>
          </w:p>
        </w:tc>
        <w:tc>
          <w:tcPr>
            <w:tcW w:w="1133" w:type="dxa"/>
            <w:tcBorders>
              <w:top w:val="outset" w:sz="6" w:space="0" w:color="auto"/>
              <w:left w:val="outset" w:sz="6" w:space="0" w:color="auto"/>
              <w:bottom w:val="outset" w:sz="6" w:space="0" w:color="auto"/>
              <w:right w:val="outset" w:sz="6" w:space="0" w:color="auto"/>
            </w:tcBorders>
          </w:tcPr>
          <w:p w14:paraId="698A31E6" w14:textId="77777777" w:rsidR="00577D08" w:rsidRDefault="00330FC0">
            <w:r>
              <w:rPr>
                <w:rFonts w:hint="eastAsia"/>
              </w:rPr>
              <w:t>七、</w:t>
            </w:r>
            <w:r>
              <w:rPr>
                <w:rFonts w:hint="eastAsia"/>
              </w:rPr>
              <w:t>43</w:t>
            </w:r>
          </w:p>
        </w:tc>
        <w:tc>
          <w:tcPr>
            <w:tcW w:w="2550" w:type="dxa"/>
            <w:tcBorders>
              <w:top w:val="outset" w:sz="6" w:space="0" w:color="auto"/>
              <w:left w:val="outset" w:sz="6" w:space="0" w:color="auto"/>
              <w:bottom w:val="outset" w:sz="6" w:space="0" w:color="auto"/>
              <w:right w:val="outset" w:sz="6" w:space="0" w:color="auto"/>
            </w:tcBorders>
          </w:tcPr>
          <w:p w14:paraId="75A921D6" w14:textId="77777777" w:rsidR="00577D08" w:rsidRDefault="00330FC0">
            <w:pPr>
              <w:jc w:val="right"/>
            </w:pPr>
            <w:r>
              <w:t xml:space="preserve"> 465,468,089.35 </w:t>
            </w:r>
          </w:p>
        </w:tc>
        <w:tc>
          <w:tcPr>
            <w:tcW w:w="2411" w:type="dxa"/>
            <w:tcBorders>
              <w:top w:val="outset" w:sz="6" w:space="0" w:color="auto"/>
              <w:left w:val="outset" w:sz="6" w:space="0" w:color="auto"/>
              <w:bottom w:val="outset" w:sz="6" w:space="0" w:color="auto"/>
              <w:right w:val="outset" w:sz="6" w:space="0" w:color="auto"/>
            </w:tcBorders>
          </w:tcPr>
          <w:p w14:paraId="74841469" w14:textId="77777777" w:rsidR="00577D08" w:rsidRDefault="00330FC0">
            <w:pPr>
              <w:jc w:val="right"/>
            </w:pPr>
            <w:r>
              <w:t>499,213,978.20</w:t>
            </w:r>
          </w:p>
        </w:tc>
      </w:tr>
      <w:tr w:rsidR="00577D08" w14:paraId="1422C087" w14:textId="77777777">
        <w:tc>
          <w:tcPr>
            <w:tcW w:w="2944" w:type="dxa"/>
            <w:tcBorders>
              <w:top w:val="outset" w:sz="6" w:space="0" w:color="auto"/>
              <w:left w:val="outset" w:sz="6" w:space="0" w:color="auto"/>
              <w:bottom w:val="outset" w:sz="6" w:space="0" w:color="auto"/>
              <w:right w:val="outset" w:sz="6" w:space="0" w:color="auto"/>
            </w:tcBorders>
            <w:vAlign w:val="center"/>
          </w:tcPr>
          <w:p w14:paraId="232F24FA" w14:textId="77777777" w:rsidR="00577D08" w:rsidRDefault="00330FC0">
            <w:pPr>
              <w:ind w:firstLineChars="100" w:firstLine="210"/>
              <w:rPr>
                <w:color w:val="000000" w:themeColor="text1"/>
              </w:rPr>
            </w:pPr>
            <w:r>
              <w:rPr>
                <w:rFonts w:hint="eastAsia"/>
                <w:color w:val="000000" w:themeColor="text1"/>
              </w:rPr>
              <w:t>其他流动负债</w:t>
            </w:r>
          </w:p>
        </w:tc>
        <w:tc>
          <w:tcPr>
            <w:tcW w:w="1133" w:type="dxa"/>
            <w:tcBorders>
              <w:top w:val="outset" w:sz="6" w:space="0" w:color="auto"/>
              <w:left w:val="outset" w:sz="6" w:space="0" w:color="auto"/>
              <w:bottom w:val="outset" w:sz="6" w:space="0" w:color="auto"/>
              <w:right w:val="outset" w:sz="6" w:space="0" w:color="auto"/>
            </w:tcBorders>
          </w:tcPr>
          <w:p w14:paraId="62AA54FF" w14:textId="77777777" w:rsidR="00577D08" w:rsidRDefault="00330FC0">
            <w:r>
              <w:rPr>
                <w:rFonts w:hint="eastAsia"/>
              </w:rPr>
              <w:t>七、</w:t>
            </w:r>
            <w:r>
              <w:rPr>
                <w:rFonts w:hint="eastAsia"/>
              </w:rPr>
              <w:t>44</w:t>
            </w:r>
          </w:p>
        </w:tc>
        <w:tc>
          <w:tcPr>
            <w:tcW w:w="2550" w:type="dxa"/>
            <w:tcBorders>
              <w:top w:val="outset" w:sz="6" w:space="0" w:color="auto"/>
              <w:left w:val="outset" w:sz="6" w:space="0" w:color="auto"/>
              <w:bottom w:val="outset" w:sz="6" w:space="0" w:color="auto"/>
              <w:right w:val="outset" w:sz="6" w:space="0" w:color="auto"/>
            </w:tcBorders>
          </w:tcPr>
          <w:p w14:paraId="3B8BB419" w14:textId="77777777" w:rsidR="00577D08" w:rsidRDefault="00330FC0">
            <w:pPr>
              <w:jc w:val="right"/>
            </w:pPr>
            <w:r>
              <w:t xml:space="preserve"> 330,232,486.51 </w:t>
            </w:r>
          </w:p>
        </w:tc>
        <w:tc>
          <w:tcPr>
            <w:tcW w:w="2411" w:type="dxa"/>
            <w:tcBorders>
              <w:top w:val="outset" w:sz="6" w:space="0" w:color="auto"/>
              <w:left w:val="outset" w:sz="6" w:space="0" w:color="auto"/>
              <w:bottom w:val="outset" w:sz="6" w:space="0" w:color="auto"/>
              <w:right w:val="outset" w:sz="6" w:space="0" w:color="auto"/>
            </w:tcBorders>
          </w:tcPr>
          <w:p w14:paraId="7988E76A" w14:textId="77777777" w:rsidR="00577D08" w:rsidRDefault="00330FC0">
            <w:pPr>
              <w:jc w:val="right"/>
            </w:pPr>
            <w:r>
              <w:t>258,559,539.43</w:t>
            </w:r>
          </w:p>
        </w:tc>
      </w:tr>
      <w:tr w:rsidR="00577D08" w14:paraId="58ACE655" w14:textId="77777777">
        <w:tc>
          <w:tcPr>
            <w:tcW w:w="2944" w:type="dxa"/>
            <w:tcBorders>
              <w:top w:val="outset" w:sz="6" w:space="0" w:color="auto"/>
              <w:left w:val="outset" w:sz="6" w:space="0" w:color="auto"/>
              <w:bottom w:val="outset" w:sz="6" w:space="0" w:color="auto"/>
              <w:right w:val="outset" w:sz="6" w:space="0" w:color="auto"/>
            </w:tcBorders>
            <w:vAlign w:val="center"/>
          </w:tcPr>
          <w:p w14:paraId="1440A7A1" w14:textId="77777777" w:rsidR="00577D08" w:rsidRDefault="00330FC0">
            <w:pPr>
              <w:ind w:firstLineChars="200" w:firstLine="420"/>
              <w:rPr>
                <w:color w:val="000000" w:themeColor="text1"/>
              </w:rPr>
            </w:pPr>
            <w:r>
              <w:rPr>
                <w:rFonts w:hint="eastAsia"/>
                <w:color w:val="000000" w:themeColor="text1"/>
              </w:rPr>
              <w:t>流动负债合计</w:t>
            </w:r>
          </w:p>
        </w:tc>
        <w:tc>
          <w:tcPr>
            <w:tcW w:w="1133" w:type="dxa"/>
            <w:tcBorders>
              <w:top w:val="outset" w:sz="6" w:space="0" w:color="auto"/>
              <w:left w:val="outset" w:sz="6" w:space="0" w:color="auto"/>
              <w:bottom w:val="outset" w:sz="6" w:space="0" w:color="auto"/>
              <w:right w:val="outset" w:sz="6" w:space="0" w:color="auto"/>
            </w:tcBorders>
          </w:tcPr>
          <w:p w14:paraId="0F6B81E4"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A62B65C" w14:textId="77777777" w:rsidR="00577D08" w:rsidRDefault="00330FC0">
            <w:pPr>
              <w:jc w:val="right"/>
            </w:pPr>
            <w:r>
              <w:t xml:space="preserve"> 2,965,891,526.93 </w:t>
            </w:r>
          </w:p>
        </w:tc>
        <w:tc>
          <w:tcPr>
            <w:tcW w:w="2411" w:type="dxa"/>
            <w:tcBorders>
              <w:top w:val="outset" w:sz="6" w:space="0" w:color="auto"/>
              <w:left w:val="outset" w:sz="6" w:space="0" w:color="auto"/>
              <w:bottom w:val="outset" w:sz="6" w:space="0" w:color="auto"/>
              <w:right w:val="outset" w:sz="6" w:space="0" w:color="auto"/>
            </w:tcBorders>
          </w:tcPr>
          <w:p w14:paraId="27FAB98C" w14:textId="77777777" w:rsidR="00577D08" w:rsidRDefault="00330FC0">
            <w:pPr>
              <w:jc w:val="right"/>
            </w:pPr>
            <w:r>
              <w:t>2,752,501,657.02</w:t>
            </w:r>
          </w:p>
        </w:tc>
      </w:tr>
      <w:tr w:rsidR="00577D08" w14:paraId="1F941507" w14:textId="77777777">
        <w:sdt>
          <w:sdtPr>
            <w:tag w:val="_PLD_371b1fd441234f58b41e1d581fa3f62e"/>
            <w:id w:val="1998451551"/>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7C0D26BD" w14:textId="77777777" w:rsidR="00577D08" w:rsidRDefault="00330FC0">
                <w:pPr>
                  <w:rPr>
                    <w:color w:val="000000" w:themeColor="text1"/>
                  </w:rPr>
                </w:pPr>
                <w:r>
                  <w:rPr>
                    <w:rFonts w:hint="eastAsia"/>
                    <w:b/>
                    <w:color w:val="000000" w:themeColor="text1"/>
                  </w:rPr>
                  <w:t>非流动负债：</w:t>
                </w:r>
              </w:p>
            </w:tc>
          </w:sdtContent>
        </w:sdt>
      </w:tr>
      <w:tr w:rsidR="00577D08" w14:paraId="2C5A39C1" w14:textId="77777777">
        <w:tc>
          <w:tcPr>
            <w:tcW w:w="2944" w:type="dxa"/>
            <w:tcBorders>
              <w:top w:val="outset" w:sz="6" w:space="0" w:color="auto"/>
              <w:left w:val="outset" w:sz="6" w:space="0" w:color="auto"/>
              <w:bottom w:val="outset" w:sz="6" w:space="0" w:color="auto"/>
              <w:right w:val="outset" w:sz="6" w:space="0" w:color="auto"/>
            </w:tcBorders>
            <w:vAlign w:val="center"/>
          </w:tcPr>
          <w:p w14:paraId="0EF76478" w14:textId="77777777" w:rsidR="00577D08" w:rsidRDefault="00330FC0">
            <w:pPr>
              <w:ind w:firstLineChars="100" w:firstLine="210"/>
              <w:rPr>
                <w:color w:val="000000" w:themeColor="text1"/>
              </w:rPr>
            </w:pPr>
            <w:r>
              <w:rPr>
                <w:rFonts w:hint="eastAsia"/>
                <w:color w:val="000000" w:themeColor="text1"/>
              </w:rPr>
              <w:t>保险合同准备金</w:t>
            </w:r>
          </w:p>
        </w:tc>
        <w:tc>
          <w:tcPr>
            <w:tcW w:w="1133" w:type="dxa"/>
            <w:tcBorders>
              <w:top w:val="outset" w:sz="6" w:space="0" w:color="auto"/>
              <w:left w:val="outset" w:sz="6" w:space="0" w:color="auto"/>
              <w:bottom w:val="outset" w:sz="6" w:space="0" w:color="auto"/>
              <w:right w:val="outset" w:sz="6" w:space="0" w:color="auto"/>
            </w:tcBorders>
            <w:vAlign w:val="center"/>
          </w:tcPr>
          <w:p w14:paraId="43D6088A"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051271C6"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2FA37207" w14:textId="77777777" w:rsidR="00577D08" w:rsidRDefault="00577D08">
            <w:pPr>
              <w:jc w:val="right"/>
            </w:pPr>
          </w:p>
        </w:tc>
      </w:tr>
      <w:tr w:rsidR="00577D08" w14:paraId="5BF969FC" w14:textId="77777777">
        <w:tc>
          <w:tcPr>
            <w:tcW w:w="2944" w:type="dxa"/>
            <w:tcBorders>
              <w:top w:val="outset" w:sz="6" w:space="0" w:color="auto"/>
              <w:left w:val="outset" w:sz="6" w:space="0" w:color="auto"/>
              <w:bottom w:val="outset" w:sz="6" w:space="0" w:color="auto"/>
              <w:right w:val="outset" w:sz="6" w:space="0" w:color="auto"/>
            </w:tcBorders>
            <w:vAlign w:val="center"/>
          </w:tcPr>
          <w:p w14:paraId="1C667855" w14:textId="77777777" w:rsidR="00577D08" w:rsidRDefault="00330FC0">
            <w:pPr>
              <w:ind w:firstLineChars="100" w:firstLine="210"/>
              <w:rPr>
                <w:color w:val="000000" w:themeColor="text1"/>
              </w:rPr>
            </w:pPr>
            <w:r>
              <w:rPr>
                <w:rFonts w:hint="eastAsia"/>
                <w:color w:val="000000" w:themeColor="text1"/>
              </w:rPr>
              <w:t>长期借款</w:t>
            </w:r>
          </w:p>
        </w:tc>
        <w:tc>
          <w:tcPr>
            <w:tcW w:w="1133" w:type="dxa"/>
            <w:tcBorders>
              <w:top w:val="outset" w:sz="6" w:space="0" w:color="auto"/>
              <w:left w:val="outset" w:sz="6" w:space="0" w:color="auto"/>
              <w:bottom w:val="outset" w:sz="6" w:space="0" w:color="auto"/>
              <w:right w:val="outset" w:sz="6" w:space="0" w:color="auto"/>
            </w:tcBorders>
          </w:tcPr>
          <w:p w14:paraId="222318D7" w14:textId="77777777" w:rsidR="00577D08" w:rsidRDefault="00330FC0">
            <w:r>
              <w:rPr>
                <w:rFonts w:hint="eastAsia"/>
              </w:rPr>
              <w:t>七、</w:t>
            </w:r>
            <w:r>
              <w:rPr>
                <w:rFonts w:hint="eastAsia"/>
              </w:rPr>
              <w:t>45</w:t>
            </w:r>
          </w:p>
        </w:tc>
        <w:tc>
          <w:tcPr>
            <w:tcW w:w="2550" w:type="dxa"/>
            <w:tcBorders>
              <w:top w:val="outset" w:sz="6" w:space="0" w:color="auto"/>
              <w:left w:val="outset" w:sz="6" w:space="0" w:color="auto"/>
              <w:bottom w:val="outset" w:sz="6" w:space="0" w:color="auto"/>
              <w:right w:val="outset" w:sz="6" w:space="0" w:color="auto"/>
            </w:tcBorders>
          </w:tcPr>
          <w:p w14:paraId="377CC048" w14:textId="77777777" w:rsidR="00577D08" w:rsidRDefault="00330FC0">
            <w:pPr>
              <w:jc w:val="right"/>
            </w:pPr>
            <w:r>
              <w:t xml:space="preserve"> 1,527,715,083.81 </w:t>
            </w:r>
          </w:p>
        </w:tc>
        <w:tc>
          <w:tcPr>
            <w:tcW w:w="2411" w:type="dxa"/>
            <w:tcBorders>
              <w:top w:val="outset" w:sz="6" w:space="0" w:color="auto"/>
              <w:left w:val="outset" w:sz="6" w:space="0" w:color="auto"/>
              <w:bottom w:val="outset" w:sz="6" w:space="0" w:color="auto"/>
              <w:right w:val="outset" w:sz="6" w:space="0" w:color="auto"/>
            </w:tcBorders>
          </w:tcPr>
          <w:p w14:paraId="47E94B45" w14:textId="77777777" w:rsidR="00577D08" w:rsidRDefault="00330FC0">
            <w:pPr>
              <w:jc w:val="right"/>
            </w:pPr>
            <w:r>
              <w:t>1,103,571,465.88</w:t>
            </w:r>
          </w:p>
        </w:tc>
      </w:tr>
      <w:tr w:rsidR="00577D08" w14:paraId="5198492D" w14:textId="77777777">
        <w:tc>
          <w:tcPr>
            <w:tcW w:w="2944" w:type="dxa"/>
            <w:tcBorders>
              <w:top w:val="outset" w:sz="6" w:space="0" w:color="auto"/>
              <w:left w:val="outset" w:sz="6" w:space="0" w:color="auto"/>
              <w:bottom w:val="outset" w:sz="6" w:space="0" w:color="auto"/>
              <w:right w:val="outset" w:sz="6" w:space="0" w:color="auto"/>
            </w:tcBorders>
            <w:vAlign w:val="center"/>
          </w:tcPr>
          <w:p w14:paraId="0A63D32C" w14:textId="77777777" w:rsidR="00577D08" w:rsidRDefault="00330FC0">
            <w:pPr>
              <w:ind w:firstLineChars="100" w:firstLine="210"/>
              <w:rPr>
                <w:color w:val="000000" w:themeColor="text1"/>
              </w:rPr>
            </w:pPr>
            <w:r>
              <w:rPr>
                <w:rFonts w:hint="eastAsia"/>
                <w:color w:val="000000" w:themeColor="text1"/>
              </w:rPr>
              <w:t>应付债券</w:t>
            </w:r>
          </w:p>
        </w:tc>
        <w:tc>
          <w:tcPr>
            <w:tcW w:w="1133" w:type="dxa"/>
            <w:tcBorders>
              <w:top w:val="outset" w:sz="6" w:space="0" w:color="auto"/>
              <w:left w:val="outset" w:sz="6" w:space="0" w:color="auto"/>
              <w:bottom w:val="outset" w:sz="6" w:space="0" w:color="auto"/>
              <w:right w:val="outset" w:sz="6" w:space="0" w:color="auto"/>
            </w:tcBorders>
          </w:tcPr>
          <w:p w14:paraId="32A904A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924EB1E"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85C8CF4" w14:textId="77777777" w:rsidR="00577D08" w:rsidRDefault="00577D08">
            <w:pPr>
              <w:jc w:val="right"/>
            </w:pPr>
          </w:p>
        </w:tc>
      </w:tr>
      <w:tr w:rsidR="00577D08" w14:paraId="0C12F183" w14:textId="77777777">
        <w:tc>
          <w:tcPr>
            <w:tcW w:w="2944" w:type="dxa"/>
            <w:tcBorders>
              <w:top w:val="outset" w:sz="6" w:space="0" w:color="auto"/>
              <w:left w:val="outset" w:sz="6" w:space="0" w:color="auto"/>
              <w:bottom w:val="outset" w:sz="6" w:space="0" w:color="auto"/>
              <w:right w:val="outset" w:sz="6" w:space="0" w:color="auto"/>
            </w:tcBorders>
            <w:vAlign w:val="center"/>
          </w:tcPr>
          <w:p w14:paraId="5A3C29B3" w14:textId="77777777" w:rsidR="00577D08" w:rsidRDefault="00330FC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tcPr>
          <w:p w14:paraId="5118968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752FB4E"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57F9F67" w14:textId="77777777" w:rsidR="00577D08" w:rsidRDefault="00577D08">
            <w:pPr>
              <w:jc w:val="right"/>
            </w:pPr>
          </w:p>
        </w:tc>
      </w:tr>
      <w:tr w:rsidR="00577D08" w14:paraId="283F7882" w14:textId="77777777">
        <w:tc>
          <w:tcPr>
            <w:tcW w:w="2944" w:type="dxa"/>
            <w:tcBorders>
              <w:top w:val="outset" w:sz="6" w:space="0" w:color="auto"/>
              <w:left w:val="outset" w:sz="6" w:space="0" w:color="auto"/>
              <w:bottom w:val="outset" w:sz="6" w:space="0" w:color="auto"/>
              <w:right w:val="outset" w:sz="6" w:space="0" w:color="auto"/>
            </w:tcBorders>
            <w:vAlign w:val="center"/>
          </w:tcPr>
          <w:p w14:paraId="4DC7DFD1" w14:textId="77777777" w:rsidR="00577D08" w:rsidRDefault="00330FC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tcPr>
          <w:p w14:paraId="07E23BB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0D1A3081"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0C387D9" w14:textId="77777777" w:rsidR="00577D08" w:rsidRDefault="00577D08">
            <w:pPr>
              <w:jc w:val="right"/>
            </w:pPr>
          </w:p>
        </w:tc>
      </w:tr>
      <w:tr w:rsidR="00577D08" w14:paraId="2FAAD8B7" w14:textId="77777777">
        <w:tc>
          <w:tcPr>
            <w:tcW w:w="2944" w:type="dxa"/>
            <w:tcBorders>
              <w:top w:val="outset" w:sz="6" w:space="0" w:color="auto"/>
              <w:left w:val="outset" w:sz="6" w:space="0" w:color="auto"/>
              <w:bottom w:val="outset" w:sz="6" w:space="0" w:color="auto"/>
              <w:right w:val="outset" w:sz="6" w:space="0" w:color="auto"/>
            </w:tcBorders>
            <w:vAlign w:val="center"/>
          </w:tcPr>
          <w:p w14:paraId="25FEE38D" w14:textId="77777777" w:rsidR="00577D08" w:rsidRDefault="00330FC0">
            <w:pPr>
              <w:ind w:firstLineChars="100" w:firstLine="210"/>
              <w:rPr>
                <w:color w:val="000000" w:themeColor="text1"/>
              </w:rPr>
            </w:pPr>
            <w:r>
              <w:rPr>
                <w:rFonts w:hint="eastAsia"/>
                <w:color w:val="000000" w:themeColor="text1"/>
              </w:rPr>
              <w:t>租赁负债</w:t>
            </w:r>
          </w:p>
        </w:tc>
        <w:tc>
          <w:tcPr>
            <w:tcW w:w="1133" w:type="dxa"/>
            <w:tcBorders>
              <w:top w:val="outset" w:sz="6" w:space="0" w:color="auto"/>
              <w:left w:val="outset" w:sz="6" w:space="0" w:color="auto"/>
              <w:bottom w:val="outset" w:sz="6" w:space="0" w:color="auto"/>
              <w:right w:val="outset" w:sz="6" w:space="0" w:color="auto"/>
            </w:tcBorders>
          </w:tcPr>
          <w:p w14:paraId="3E6C6746" w14:textId="77777777" w:rsidR="00577D08" w:rsidRDefault="00330FC0">
            <w:r>
              <w:rPr>
                <w:rFonts w:hint="eastAsia"/>
              </w:rPr>
              <w:t>七、</w:t>
            </w:r>
            <w:r>
              <w:rPr>
                <w:rFonts w:hint="eastAsia"/>
              </w:rPr>
              <w:t>47</w:t>
            </w:r>
          </w:p>
        </w:tc>
        <w:tc>
          <w:tcPr>
            <w:tcW w:w="2550" w:type="dxa"/>
            <w:tcBorders>
              <w:top w:val="outset" w:sz="6" w:space="0" w:color="auto"/>
              <w:left w:val="outset" w:sz="6" w:space="0" w:color="auto"/>
              <w:bottom w:val="outset" w:sz="6" w:space="0" w:color="auto"/>
              <w:right w:val="outset" w:sz="6" w:space="0" w:color="auto"/>
            </w:tcBorders>
          </w:tcPr>
          <w:p w14:paraId="5FC2B41B" w14:textId="77777777" w:rsidR="00577D08" w:rsidRDefault="00330FC0">
            <w:pPr>
              <w:jc w:val="right"/>
            </w:pPr>
            <w:r>
              <w:t xml:space="preserve"> 12,129,816.01 </w:t>
            </w:r>
          </w:p>
        </w:tc>
        <w:tc>
          <w:tcPr>
            <w:tcW w:w="2411" w:type="dxa"/>
            <w:tcBorders>
              <w:top w:val="outset" w:sz="6" w:space="0" w:color="auto"/>
              <w:left w:val="outset" w:sz="6" w:space="0" w:color="auto"/>
              <w:bottom w:val="outset" w:sz="6" w:space="0" w:color="auto"/>
              <w:right w:val="outset" w:sz="6" w:space="0" w:color="auto"/>
            </w:tcBorders>
          </w:tcPr>
          <w:p w14:paraId="4B845B2E" w14:textId="77777777" w:rsidR="00577D08" w:rsidRDefault="00330FC0">
            <w:pPr>
              <w:jc w:val="right"/>
            </w:pPr>
            <w:r>
              <w:t>3,055,490.50</w:t>
            </w:r>
          </w:p>
        </w:tc>
      </w:tr>
      <w:tr w:rsidR="00577D08" w14:paraId="13CABD9A" w14:textId="77777777">
        <w:tc>
          <w:tcPr>
            <w:tcW w:w="2944" w:type="dxa"/>
            <w:tcBorders>
              <w:top w:val="outset" w:sz="6" w:space="0" w:color="auto"/>
              <w:left w:val="outset" w:sz="6" w:space="0" w:color="auto"/>
              <w:bottom w:val="outset" w:sz="6" w:space="0" w:color="auto"/>
              <w:right w:val="outset" w:sz="6" w:space="0" w:color="auto"/>
            </w:tcBorders>
            <w:vAlign w:val="center"/>
          </w:tcPr>
          <w:p w14:paraId="4848B8A0" w14:textId="77777777" w:rsidR="00577D08" w:rsidRDefault="00330FC0">
            <w:pPr>
              <w:ind w:firstLineChars="100" w:firstLine="210"/>
              <w:rPr>
                <w:color w:val="000000" w:themeColor="text1"/>
              </w:rPr>
            </w:pPr>
            <w:r>
              <w:rPr>
                <w:rFonts w:hint="eastAsia"/>
                <w:color w:val="000000" w:themeColor="text1"/>
              </w:rPr>
              <w:t>长期应付款</w:t>
            </w:r>
          </w:p>
        </w:tc>
        <w:tc>
          <w:tcPr>
            <w:tcW w:w="1133" w:type="dxa"/>
            <w:tcBorders>
              <w:top w:val="outset" w:sz="6" w:space="0" w:color="auto"/>
              <w:left w:val="outset" w:sz="6" w:space="0" w:color="auto"/>
              <w:bottom w:val="outset" w:sz="6" w:space="0" w:color="auto"/>
              <w:right w:val="outset" w:sz="6" w:space="0" w:color="auto"/>
            </w:tcBorders>
          </w:tcPr>
          <w:p w14:paraId="28DFAB4B" w14:textId="77777777" w:rsidR="00577D08" w:rsidRDefault="00330FC0">
            <w:r>
              <w:rPr>
                <w:rFonts w:hint="eastAsia"/>
              </w:rPr>
              <w:t>七、</w:t>
            </w:r>
            <w:r>
              <w:rPr>
                <w:rFonts w:hint="eastAsia"/>
              </w:rPr>
              <w:t>48</w:t>
            </w:r>
          </w:p>
        </w:tc>
        <w:tc>
          <w:tcPr>
            <w:tcW w:w="2550" w:type="dxa"/>
            <w:tcBorders>
              <w:top w:val="outset" w:sz="6" w:space="0" w:color="auto"/>
              <w:left w:val="outset" w:sz="6" w:space="0" w:color="auto"/>
              <w:bottom w:val="outset" w:sz="6" w:space="0" w:color="auto"/>
              <w:right w:val="outset" w:sz="6" w:space="0" w:color="auto"/>
            </w:tcBorders>
          </w:tcPr>
          <w:p w14:paraId="27BB1591" w14:textId="77777777" w:rsidR="00577D08" w:rsidRDefault="00330FC0">
            <w:pPr>
              <w:jc w:val="right"/>
            </w:pPr>
            <w:r>
              <w:t xml:space="preserve"> 141,501,816.72 </w:t>
            </w:r>
          </w:p>
        </w:tc>
        <w:tc>
          <w:tcPr>
            <w:tcW w:w="2411" w:type="dxa"/>
            <w:tcBorders>
              <w:top w:val="outset" w:sz="6" w:space="0" w:color="auto"/>
              <w:left w:val="outset" w:sz="6" w:space="0" w:color="auto"/>
              <w:bottom w:val="outset" w:sz="6" w:space="0" w:color="auto"/>
              <w:right w:val="outset" w:sz="6" w:space="0" w:color="auto"/>
            </w:tcBorders>
          </w:tcPr>
          <w:p w14:paraId="4F3733CA" w14:textId="77777777" w:rsidR="00577D08" w:rsidRDefault="00577D08">
            <w:pPr>
              <w:jc w:val="right"/>
            </w:pPr>
          </w:p>
        </w:tc>
      </w:tr>
      <w:tr w:rsidR="00577D08" w14:paraId="32693E96" w14:textId="77777777">
        <w:tc>
          <w:tcPr>
            <w:tcW w:w="2944" w:type="dxa"/>
            <w:tcBorders>
              <w:top w:val="outset" w:sz="6" w:space="0" w:color="auto"/>
              <w:left w:val="outset" w:sz="6" w:space="0" w:color="auto"/>
              <w:bottom w:val="outset" w:sz="6" w:space="0" w:color="auto"/>
              <w:right w:val="outset" w:sz="6" w:space="0" w:color="auto"/>
            </w:tcBorders>
            <w:vAlign w:val="center"/>
          </w:tcPr>
          <w:p w14:paraId="63D88207" w14:textId="77777777" w:rsidR="00577D08" w:rsidRDefault="00330FC0">
            <w:pPr>
              <w:ind w:firstLineChars="100" w:firstLine="210"/>
              <w:rPr>
                <w:color w:val="000000" w:themeColor="text1"/>
              </w:rPr>
            </w:pPr>
            <w:r>
              <w:rPr>
                <w:rFonts w:hint="eastAsia"/>
                <w:color w:val="000000" w:themeColor="text1"/>
              </w:rPr>
              <w:t>长期应付职工薪酬</w:t>
            </w:r>
          </w:p>
        </w:tc>
        <w:tc>
          <w:tcPr>
            <w:tcW w:w="1133" w:type="dxa"/>
            <w:tcBorders>
              <w:top w:val="outset" w:sz="6" w:space="0" w:color="auto"/>
              <w:left w:val="outset" w:sz="6" w:space="0" w:color="auto"/>
              <w:bottom w:val="outset" w:sz="6" w:space="0" w:color="auto"/>
              <w:right w:val="outset" w:sz="6" w:space="0" w:color="auto"/>
            </w:tcBorders>
          </w:tcPr>
          <w:p w14:paraId="0401328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CFBC1FA"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14D6D5D" w14:textId="77777777" w:rsidR="00577D08" w:rsidRDefault="00577D08">
            <w:pPr>
              <w:jc w:val="right"/>
            </w:pPr>
          </w:p>
        </w:tc>
      </w:tr>
      <w:tr w:rsidR="00577D08" w14:paraId="0DF60D23" w14:textId="77777777">
        <w:tc>
          <w:tcPr>
            <w:tcW w:w="2944" w:type="dxa"/>
            <w:tcBorders>
              <w:top w:val="outset" w:sz="6" w:space="0" w:color="auto"/>
              <w:left w:val="outset" w:sz="6" w:space="0" w:color="auto"/>
              <w:bottom w:val="outset" w:sz="6" w:space="0" w:color="auto"/>
              <w:right w:val="outset" w:sz="6" w:space="0" w:color="auto"/>
            </w:tcBorders>
            <w:vAlign w:val="center"/>
          </w:tcPr>
          <w:p w14:paraId="0A92C402" w14:textId="77777777" w:rsidR="00577D08" w:rsidRDefault="00330FC0">
            <w:pPr>
              <w:ind w:firstLineChars="100" w:firstLine="210"/>
              <w:rPr>
                <w:color w:val="000000" w:themeColor="text1"/>
              </w:rPr>
            </w:pPr>
            <w:r>
              <w:rPr>
                <w:rFonts w:hint="eastAsia"/>
                <w:color w:val="000000" w:themeColor="text1"/>
              </w:rPr>
              <w:t>预计负债</w:t>
            </w:r>
          </w:p>
        </w:tc>
        <w:tc>
          <w:tcPr>
            <w:tcW w:w="1133" w:type="dxa"/>
            <w:tcBorders>
              <w:top w:val="outset" w:sz="6" w:space="0" w:color="auto"/>
              <w:left w:val="outset" w:sz="6" w:space="0" w:color="auto"/>
              <w:bottom w:val="outset" w:sz="6" w:space="0" w:color="auto"/>
              <w:right w:val="outset" w:sz="6" w:space="0" w:color="auto"/>
            </w:tcBorders>
          </w:tcPr>
          <w:p w14:paraId="3B762717" w14:textId="77777777" w:rsidR="00577D08" w:rsidRDefault="00330FC0">
            <w:r>
              <w:rPr>
                <w:rFonts w:hint="eastAsia"/>
              </w:rPr>
              <w:t>七、</w:t>
            </w:r>
            <w:r>
              <w:rPr>
                <w:rFonts w:hint="eastAsia"/>
              </w:rPr>
              <w:t>50</w:t>
            </w:r>
          </w:p>
        </w:tc>
        <w:tc>
          <w:tcPr>
            <w:tcW w:w="2550" w:type="dxa"/>
            <w:tcBorders>
              <w:top w:val="outset" w:sz="6" w:space="0" w:color="auto"/>
              <w:left w:val="outset" w:sz="6" w:space="0" w:color="auto"/>
              <w:bottom w:val="outset" w:sz="6" w:space="0" w:color="auto"/>
              <w:right w:val="outset" w:sz="6" w:space="0" w:color="auto"/>
            </w:tcBorders>
          </w:tcPr>
          <w:p w14:paraId="3EC67732" w14:textId="77777777" w:rsidR="00577D08" w:rsidRDefault="00330FC0">
            <w:pPr>
              <w:jc w:val="right"/>
            </w:pPr>
            <w:r>
              <w:t xml:space="preserve"> 2,893,417.02 </w:t>
            </w:r>
          </w:p>
        </w:tc>
        <w:tc>
          <w:tcPr>
            <w:tcW w:w="2411" w:type="dxa"/>
            <w:tcBorders>
              <w:top w:val="outset" w:sz="6" w:space="0" w:color="auto"/>
              <w:left w:val="outset" w:sz="6" w:space="0" w:color="auto"/>
              <w:bottom w:val="outset" w:sz="6" w:space="0" w:color="auto"/>
              <w:right w:val="outset" w:sz="6" w:space="0" w:color="auto"/>
            </w:tcBorders>
          </w:tcPr>
          <w:p w14:paraId="5ED78AD6" w14:textId="77777777" w:rsidR="00577D08" w:rsidRDefault="00330FC0">
            <w:pPr>
              <w:jc w:val="right"/>
            </w:pPr>
            <w:r>
              <w:t>1,239,272.68</w:t>
            </w:r>
          </w:p>
        </w:tc>
      </w:tr>
      <w:tr w:rsidR="00577D08" w14:paraId="5A006295" w14:textId="77777777">
        <w:tc>
          <w:tcPr>
            <w:tcW w:w="2944" w:type="dxa"/>
            <w:tcBorders>
              <w:top w:val="outset" w:sz="6" w:space="0" w:color="auto"/>
              <w:left w:val="outset" w:sz="6" w:space="0" w:color="auto"/>
              <w:bottom w:val="outset" w:sz="6" w:space="0" w:color="auto"/>
              <w:right w:val="outset" w:sz="6" w:space="0" w:color="auto"/>
            </w:tcBorders>
            <w:vAlign w:val="center"/>
          </w:tcPr>
          <w:p w14:paraId="33629F94" w14:textId="77777777" w:rsidR="00577D08" w:rsidRDefault="00330FC0">
            <w:pPr>
              <w:ind w:firstLineChars="100" w:firstLine="210"/>
              <w:rPr>
                <w:color w:val="000000" w:themeColor="text1"/>
              </w:rPr>
            </w:pPr>
            <w:r>
              <w:rPr>
                <w:rFonts w:hint="eastAsia"/>
                <w:color w:val="000000" w:themeColor="text1"/>
              </w:rPr>
              <w:t>递延收益</w:t>
            </w:r>
          </w:p>
        </w:tc>
        <w:tc>
          <w:tcPr>
            <w:tcW w:w="1133" w:type="dxa"/>
            <w:tcBorders>
              <w:top w:val="outset" w:sz="6" w:space="0" w:color="auto"/>
              <w:left w:val="outset" w:sz="6" w:space="0" w:color="auto"/>
              <w:bottom w:val="outset" w:sz="6" w:space="0" w:color="auto"/>
              <w:right w:val="outset" w:sz="6" w:space="0" w:color="auto"/>
            </w:tcBorders>
          </w:tcPr>
          <w:p w14:paraId="6990BC84" w14:textId="77777777" w:rsidR="00577D08" w:rsidRDefault="00330FC0">
            <w:r>
              <w:rPr>
                <w:rFonts w:hint="eastAsia"/>
              </w:rPr>
              <w:t>七、</w:t>
            </w:r>
            <w:r>
              <w:rPr>
                <w:rFonts w:hint="eastAsia"/>
              </w:rPr>
              <w:t>51</w:t>
            </w:r>
          </w:p>
        </w:tc>
        <w:tc>
          <w:tcPr>
            <w:tcW w:w="2550" w:type="dxa"/>
            <w:tcBorders>
              <w:top w:val="outset" w:sz="6" w:space="0" w:color="auto"/>
              <w:left w:val="outset" w:sz="6" w:space="0" w:color="auto"/>
              <w:bottom w:val="outset" w:sz="6" w:space="0" w:color="auto"/>
              <w:right w:val="outset" w:sz="6" w:space="0" w:color="auto"/>
            </w:tcBorders>
          </w:tcPr>
          <w:p w14:paraId="709D064B" w14:textId="77777777" w:rsidR="00577D08" w:rsidRDefault="00330FC0">
            <w:pPr>
              <w:jc w:val="right"/>
            </w:pPr>
            <w:r>
              <w:t xml:space="preserve"> 68,350,233.52 </w:t>
            </w:r>
          </w:p>
        </w:tc>
        <w:tc>
          <w:tcPr>
            <w:tcW w:w="2411" w:type="dxa"/>
            <w:tcBorders>
              <w:top w:val="outset" w:sz="6" w:space="0" w:color="auto"/>
              <w:left w:val="outset" w:sz="6" w:space="0" w:color="auto"/>
              <w:bottom w:val="outset" w:sz="6" w:space="0" w:color="auto"/>
              <w:right w:val="outset" w:sz="6" w:space="0" w:color="auto"/>
            </w:tcBorders>
          </w:tcPr>
          <w:p w14:paraId="53074C21" w14:textId="77777777" w:rsidR="00577D08" w:rsidRDefault="00330FC0">
            <w:pPr>
              <w:jc w:val="right"/>
            </w:pPr>
            <w:r>
              <w:t>73,234,976.95</w:t>
            </w:r>
          </w:p>
        </w:tc>
      </w:tr>
      <w:tr w:rsidR="00577D08" w14:paraId="161D78D3" w14:textId="77777777">
        <w:tc>
          <w:tcPr>
            <w:tcW w:w="2944" w:type="dxa"/>
            <w:tcBorders>
              <w:top w:val="outset" w:sz="6" w:space="0" w:color="auto"/>
              <w:left w:val="outset" w:sz="6" w:space="0" w:color="auto"/>
              <w:bottom w:val="outset" w:sz="6" w:space="0" w:color="auto"/>
              <w:right w:val="outset" w:sz="6" w:space="0" w:color="auto"/>
            </w:tcBorders>
            <w:vAlign w:val="center"/>
          </w:tcPr>
          <w:p w14:paraId="5BD2CABD" w14:textId="77777777" w:rsidR="00577D08" w:rsidRDefault="00330FC0">
            <w:pPr>
              <w:ind w:firstLineChars="100" w:firstLine="210"/>
              <w:rPr>
                <w:color w:val="000000" w:themeColor="text1"/>
              </w:rPr>
            </w:pPr>
            <w:r>
              <w:rPr>
                <w:rFonts w:hint="eastAsia"/>
                <w:color w:val="000000" w:themeColor="text1"/>
              </w:rPr>
              <w:t>递延所得税负债</w:t>
            </w:r>
          </w:p>
        </w:tc>
        <w:tc>
          <w:tcPr>
            <w:tcW w:w="1133" w:type="dxa"/>
            <w:tcBorders>
              <w:top w:val="outset" w:sz="6" w:space="0" w:color="auto"/>
              <w:left w:val="outset" w:sz="6" w:space="0" w:color="auto"/>
              <w:bottom w:val="outset" w:sz="6" w:space="0" w:color="auto"/>
              <w:right w:val="outset" w:sz="6" w:space="0" w:color="auto"/>
            </w:tcBorders>
          </w:tcPr>
          <w:p w14:paraId="40B8A1FB" w14:textId="77777777" w:rsidR="00577D08" w:rsidRDefault="00330FC0">
            <w:r>
              <w:rPr>
                <w:rFonts w:hint="eastAsia"/>
              </w:rPr>
              <w:t>七、</w:t>
            </w:r>
            <w:r>
              <w:rPr>
                <w:rFonts w:hint="eastAsia"/>
              </w:rPr>
              <w:t>29</w:t>
            </w:r>
          </w:p>
        </w:tc>
        <w:tc>
          <w:tcPr>
            <w:tcW w:w="2550" w:type="dxa"/>
            <w:tcBorders>
              <w:top w:val="outset" w:sz="6" w:space="0" w:color="auto"/>
              <w:left w:val="outset" w:sz="6" w:space="0" w:color="auto"/>
              <w:bottom w:val="outset" w:sz="6" w:space="0" w:color="auto"/>
              <w:right w:val="outset" w:sz="6" w:space="0" w:color="auto"/>
            </w:tcBorders>
          </w:tcPr>
          <w:p w14:paraId="062AF48D" w14:textId="77777777" w:rsidR="00577D08" w:rsidRDefault="00330FC0">
            <w:pPr>
              <w:jc w:val="right"/>
            </w:pPr>
            <w:r>
              <w:t xml:space="preserve"> 41,633,400.55 </w:t>
            </w:r>
          </w:p>
        </w:tc>
        <w:tc>
          <w:tcPr>
            <w:tcW w:w="2411" w:type="dxa"/>
            <w:tcBorders>
              <w:top w:val="outset" w:sz="6" w:space="0" w:color="auto"/>
              <w:left w:val="outset" w:sz="6" w:space="0" w:color="auto"/>
              <w:bottom w:val="outset" w:sz="6" w:space="0" w:color="auto"/>
              <w:right w:val="outset" w:sz="6" w:space="0" w:color="auto"/>
            </w:tcBorders>
          </w:tcPr>
          <w:p w14:paraId="38F47AF2" w14:textId="77777777" w:rsidR="00577D08" w:rsidRDefault="00330FC0">
            <w:pPr>
              <w:jc w:val="right"/>
            </w:pPr>
            <w:r>
              <w:t>45,504,180.98</w:t>
            </w:r>
          </w:p>
        </w:tc>
      </w:tr>
      <w:tr w:rsidR="00577D08" w14:paraId="2331C65D" w14:textId="77777777">
        <w:tc>
          <w:tcPr>
            <w:tcW w:w="2944" w:type="dxa"/>
            <w:tcBorders>
              <w:top w:val="outset" w:sz="6" w:space="0" w:color="auto"/>
              <w:left w:val="outset" w:sz="6" w:space="0" w:color="auto"/>
              <w:bottom w:val="outset" w:sz="6" w:space="0" w:color="auto"/>
              <w:right w:val="outset" w:sz="6" w:space="0" w:color="auto"/>
            </w:tcBorders>
            <w:vAlign w:val="center"/>
          </w:tcPr>
          <w:p w14:paraId="03B0E124" w14:textId="77777777" w:rsidR="00577D08" w:rsidRDefault="00330FC0">
            <w:pPr>
              <w:ind w:firstLineChars="100" w:firstLine="210"/>
              <w:rPr>
                <w:color w:val="000000" w:themeColor="text1"/>
              </w:rPr>
            </w:pPr>
            <w:r>
              <w:rPr>
                <w:rFonts w:hint="eastAsia"/>
                <w:color w:val="000000" w:themeColor="text1"/>
              </w:rPr>
              <w:lastRenderedPageBreak/>
              <w:t>其他非流动负债</w:t>
            </w:r>
          </w:p>
        </w:tc>
        <w:tc>
          <w:tcPr>
            <w:tcW w:w="1133" w:type="dxa"/>
            <w:tcBorders>
              <w:top w:val="outset" w:sz="6" w:space="0" w:color="auto"/>
              <w:left w:val="outset" w:sz="6" w:space="0" w:color="auto"/>
              <w:bottom w:val="outset" w:sz="6" w:space="0" w:color="auto"/>
              <w:right w:val="outset" w:sz="6" w:space="0" w:color="auto"/>
            </w:tcBorders>
          </w:tcPr>
          <w:p w14:paraId="33B9D52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B341AE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18F8FDEA" w14:textId="77777777" w:rsidR="00577D08" w:rsidRDefault="00577D08">
            <w:pPr>
              <w:jc w:val="right"/>
            </w:pPr>
          </w:p>
        </w:tc>
      </w:tr>
      <w:tr w:rsidR="00577D08" w14:paraId="38A765BE" w14:textId="77777777">
        <w:tc>
          <w:tcPr>
            <w:tcW w:w="2944" w:type="dxa"/>
            <w:tcBorders>
              <w:top w:val="outset" w:sz="6" w:space="0" w:color="auto"/>
              <w:left w:val="outset" w:sz="6" w:space="0" w:color="auto"/>
              <w:bottom w:val="outset" w:sz="6" w:space="0" w:color="auto"/>
              <w:right w:val="outset" w:sz="6" w:space="0" w:color="auto"/>
            </w:tcBorders>
            <w:vAlign w:val="center"/>
          </w:tcPr>
          <w:p w14:paraId="479394C8" w14:textId="77777777" w:rsidR="00577D08" w:rsidRDefault="00330FC0">
            <w:pPr>
              <w:ind w:firstLineChars="200" w:firstLine="420"/>
              <w:rPr>
                <w:color w:val="000000" w:themeColor="text1"/>
              </w:rPr>
            </w:pPr>
            <w:r>
              <w:rPr>
                <w:rFonts w:hint="eastAsia"/>
                <w:color w:val="000000" w:themeColor="text1"/>
              </w:rPr>
              <w:t>非流动负债合计</w:t>
            </w:r>
          </w:p>
        </w:tc>
        <w:tc>
          <w:tcPr>
            <w:tcW w:w="1133" w:type="dxa"/>
            <w:tcBorders>
              <w:top w:val="outset" w:sz="6" w:space="0" w:color="auto"/>
              <w:left w:val="outset" w:sz="6" w:space="0" w:color="auto"/>
              <w:bottom w:val="outset" w:sz="6" w:space="0" w:color="auto"/>
              <w:right w:val="outset" w:sz="6" w:space="0" w:color="auto"/>
            </w:tcBorders>
          </w:tcPr>
          <w:p w14:paraId="03BFA2F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9DA8257" w14:textId="77777777" w:rsidR="00577D08" w:rsidRDefault="00330FC0">
            <w:pPr>
              <w:jc w:val="right"/>
            </w:pPr>
            <w:r>
              <w:t xml:space="preserve"> 1,794,223,767.63 </w:t>
            </w:r>
          </w:p>
        </w:tc>
        <w:tc>
          <w:tcPr>
            <w:tcW w:w="2411" w:type="dxa"/>
            <w:tcBorders>
              <w:top w:val="outset" w:sz="6" w:space="0" w:color="auto"/>
              <w:left w:val="outset" w:sz="6" w:space="0" w:color="auto"/>
              <w:bottom w:val="outset" w:sz="6" w:space="0" w:color="auto"/>
              <w:right w:val="outset" w:sz="6" w:space="0" w:color="auto"/>
            </w:tcBorders>
          </w:tcPr>
          <w:p w14:paraId="7EC7236F" w14:textId="77777777" w:rsidR="00577D08" w:rsidRDefault="00330FC0">
            <w:pPr>
              <w:jc w:val="right"/>
            </w:pPr>
            <w:r>
              <w:t>1,226,605,386.99</w:t>
            </w:r>
          </w:p>
        </w:tc>
      </w:tr>
      <w:tr w:rsidR="00577D08" w14:paraId="7D294378" w14:textId="77777777">
        <w:tc>
          <w:tcPr>
            <w:tcW w:w="2944" w:type="dxa"/>
            <w:tcBorders>
              <w:top w:val="outset" w:sz="6" w:space="0" w:color="auto"/>
              <w:left w:val="outset" w:sz="6" w:space="0" w:color="auto"/>
              <w:bottom w:val="outset" w:sz="6" w:space="0" w:color="auto"/>
              <w:right w:val="outset" w:sz="6" w:space="0" w:color="auto"/>
            </w:tcBorders>
            <w:vAlign w:val="center"/>
          </w:tcPr>
          <w:p w14:paraId="08F6ECCA" w14:textId="77777777" w:rsidR="00577D08" w:rsidRDefault="00330FC0">
            <w:pPr>
              <w:ind w:firstLineChars="300" w:firstLine="630"/>
              <w:rPr>
                <w:color w:val="000000" w:themeColor="text1"/>
              </w:rPr>
            </w:pPr>
            <w:r>
              <w:rPr>
                <w:rFonts w:hint="eastAsia"/>
                <w:color w:val="000000" w:themeColor="text1"/>
              </w:rPr>
              <w:t>负债合计</w:t>
            </w:r>
          </w:p>
        </w:tc>
        <w:tc>
          <w:tcPr>
            <w:tcW w:w="1133" w:type="dxa"/>
            <w:tcBorders>
              <w:top w:val="outset" w:sz="6" w:space="0" w:color="auto"/>
              <w:left w:val="outset" w:sz="6" w:space="0" w:color="auto"/>
              <w:bottom w:val="outset" w:sz="6" w:space="0" w:color="auto"/>
              <w:right w:val="outset" w:sz="6" w:space="0" w:color="auto"/>
            </w:tcBorders>
          </w:tcPr>
          <w:p w14:paraId="03E6AEC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3CC5812" w14:textId="77777777" w:rsidR="00577D08" w:rsidRDefault="00330FC0">
            <w:pPr>
              <w:jc w:val="right"/>
            </w:pPr>
            <w:r>
              <w:t xml:space="preserve"> 4,760,115,294.56 </w:t>
            </w:r>
          </w:p>
        </w:tc>
        <w:tc>
          <w:tcPr>
            <w:tcW w:w="2411" w:type="dxa"/>
            <w:tcBorders>
              <w:top w:val="outset" w:sz="6" w:space="0" w:color="auto"/>
              <w:left w:val="outset" w:sz="6" w:space="0" w:color="auto"/>
              <w:bottom w:val="outset" w:sz="6" w:space="0" w:color="auto"/>
              <w:right w:val="outset" w:sz="6" w:space="0" w:color="auto"/>
            </w:tcBorders>
          </w:tcPr>
          <w:p w14:paraId="115B7878" w14:textId="77777777" w:rsidR="00577D08" w:rsidRDefault="00330FC0">
            <w:pPr>
              <w:jc w:val="right"/>
            </w:pPr>
            <w:r>
              <w:t>3,979,107,044.01</w:t>
            </w:r>
          </w:p>
        </w:tc>
      </w:tr>
      <w:tr w:rsidR="00577D08" w14:paraId="47EFC968" w14:textId="77777777">
        <w:sdt>
          <w:sdtPr>
            <w:tag w:val="_PLD_7d66d1050f504dbab14e7e96bff21c69"/>
            <w:id w:val="-537586385"/>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330E556B" w14:textId="77777777" w:rsidR="00577D08" w:rsidRDefault="00330FC0">
                <w:pPr>
                  <w:rPr>
                    <w:color w:val="000000" w:themeColor="text1"/>
                  </w:rPr>
                </w:pPr>
                <w:r>
                  <w:rPr>
                    <w:rFonts w:hint="eastAsia"/>
                    <w:b/>
                    <w:color w:val="000000" w:themeColor="text1"/>
                  </w:rPr>
                  <w:t>所有者权益（或股东权益）：</w:t>
                </w:r>
              </w:p>
            </w:tc>
          </w:sdtContent>
        </w:sdt>
      </w:tr>
      <w:tr w:rsidR="00577D08" w14:paraId="441DA963" w14:textId="77777777">
        <w:tc>
          <w:tcPr>
            <w:tcW w:w="2944" w:type="dxa"/>
            <w:tcBorders>
              <w:top w:val="outset" w:sz="6" w:space="0" w:color="auto"/>
              <w:left w:val="outset" w:sz="6" w:space="0" w:color="auto"/>
              <w:bottom w:val="outset" w:sz="6" w:space="0" w:color="auto"/>
              <w:right w:val="outset" w:sz="6" w:space="0" w:color="auto"/>
            </w:tcBorders>
            <w:vAlign w:val="center"/>
          </w:tcPr>
          <w:p w14:paraId="550E64F6" w14:textId="77777777" w:rsidR="00577D08" w:rsidRDefault="00330FC0">
            <w:pPr>
              <w:ind w:firstLineChars="100" w:firstLine="210"/>
              <w:rPr>
                <w:color w:val="000000" w:themeColor="text1"/>
              </w:rPr>
            </w:pPr>
            <w:r>
              <w:rPr>
                <w:rFonts w:hint="eastAsia"/>
                <w:color w:val="000000" w:themeColor="text1"/>
              </w:rPr>
              <w:t>实收资本（或股本）</w:t>
            </w:r>
          </w:p>
        </w:tc>
        <w:tc>
          <w:tcPr>
            <w:tcW w:w="1133" w:type="dxa"/>
            <w:tcBorders>
              <w:top w:val="outset" w:sz="6" w:space="0" w:color="auto"/>
              <w:left w:val="outset" w:sz="6" w:space="0" w:color="auto"/>
              <w:bottom w:val="outset" w:sz="6" w:space="0" w:color="auto"/>
              <w:right w:val="outset" w:sz="6" w:space="0" w:color="auto"/>
            </w:tcBorders>
          </w:tcPr>
          <w:p w14:paraId="24440477" w14:textId="77777777" w:rsidR="00577D08" w:rsidRDefault="00330FC0">
            <w:r>
              <w:rPr>
                <w:rFonts w:hint="eastAsia"/>
              </w:rPr>
              <w:t>七、</w:t>
            </w:r>
            <w:r>
              <w:rPr>
                <w:rFonts w:hint="eastAsia"/>
              </w:rPr>
              <w:t>53</w:t>
            </w:r>
          </w:p>
        </w:tc>
        <w:tc>
          <w:tcPr>
            <w:tcW w:w="2550" w:type="dxa"/>
            <w:tcBorders>
              <w:top w:val="outset" w:sz="6" w:space="0" w:color="auto"/>
              <w:left w:val="outset" w:sz="6" w:space="0" w:color="auto"/>
              <w:bottom w:val="outset" w:sz="6" w:space="0" w:color="auto"/>
              <w:right w:val="outset" w:sz="6" w:space="0" w:color="auto"/>
            </w:tcBorders>
            <w:vAlign w:val="center"/>
          </w:tcPr>
          <w:p w14:paraId="606C0D90" w14:textId="77777777" w:rsidR="00577D08" w:rsidRDefault="00330FC0">
            <w:pPr>
              <w:jc w:val="right"/>
            </w:pPr>
            <w:r>
              <w:t xml:space="preserve"> 332,353,407.00 </w:t>
            </w:r>
          </w:p>
        </w:tc>
        <w:tc>
          <w:tcPr>
            <w:tcW w:w="2411" w:type="dxa"/>
            <w:tcBorders>
              <w:top w:val="outset" w:sz="6" w:space="0" w:color="auto"/>
              <w:left w:val="outset" w:sz="6" w:space="0" w:color="auto"/>
              <w:bottom w:val="outset" w:sz="6" w:space="0" w:color="auto"/>
              <w:right w:val="outset" w:sz="6" w:space="0" w:color="auto"/>
            </w:tcBorders>
            <w:vAlign w:val="center"/>
          </w:tcPr>
          <w:p w14:paraId="2C514054" w14:textId="77777777" w:rsidR="00577D08" w:rsidRDefault="00330FC0">
            <w:pPr>
              <w:jc w:val="right"/>
            </w:pPr>
            <w:r>
              <w:t>333,167,407.00</w:t>
            </w:r>
          </w:p>
        </w:tc>
      </w:tr>
      <w:tr w:rsidR="00577D08" w14:paraId="660EBEF3" w14:textId="77777777">
        <w:tc>
          <w:tcPr>
            <w:tcW w:w="2944" w:type="dxa"/>
            <w:tcBorders>
              <w:top w:val="outset" w:sz="6" w:space="0" w:color="auto"/>
              <w:left w:val="outset" w:sz="6" w:space="0" w:color="auto"/>
              <w:bottom w:val="outset" w:sz="6" w:space="0" w:color="auto"/>
              <w:right w:val="outset" w:sz="6" w:space="0" w:color="auto"/>
            </w:tcBorders>
            <w:vAlign w:val="center"/>
          </w:tcPr>
          <w:p w14:paraId="40F810C2" w14:textId="77777777" w:rsidR="00577D08" w:rsidRDefault="00330FC0">
            <w:pPr>
              <w:ind w:firstLineChars="100" w:firstLine="210"/>
              <w:rPr>
                <w:color w:val="000000" w:themeColor="text1"/>
              </w:rPr>
            </w:pPr>
            <w:r>
              <w:rPr>
                <w:rFonts w:hint="eastAsia"/>
                <w:color w:val="000000" w:themeColor="text1"/>
              </w:rPr>
              <w:t>其他权益工具</w:t>
            </w:r>
          </w:p>
        </w:tc>
        <w:tc>
          <w:tcPr>
            <w:tcW w:w="1133" w:type="dxa"/>
            <w:tcBorders>
              <w:top w:val="outset" w:sz="6" w:space="0" w:color="auto"/>
              <w:left w:val="outset" w:sz="6" w:space="0" w:color="auto"/>
              <w:bottom w:val="outset" w:sz="6" w:space="0" w:color="auto"/>
              <w:right w:val="outset" w:sz="6" w:space="0" w:color="auto"/>
            </w:tcBorders>
          </w:tcPr>
          <w:p w14:paraId="07A7BB7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8D0A28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06F7A8AE" w14:textId="77777777" w:rsidR="00577D08" w:rsidRDefault="00577D08">
            <w:pPr>
              <w:jc w:val="right"/>
            </w:pPr>
          </w:p>
        </w:tc>
      </w:tr>
      <w:tr w:rsidR="00577D08" w14:paraId="0097AB98" w14:textId="77777777">
        <w:tc>
          <w:tcPr>
            <w:tcW w:w="2944" w:type="dxa"/>
            <w:tcBorders>
              <w:top w:val="outset" w:sz="6" w:space="0" w:color="auto"/>
              <w:left w:val="outset" w:sz="6" w:space="0" w:color="auto"/>
              <w:bottom w:val="outset" w:sz="6" w:space="0" w:color="auto"/>
              <w:right w:val="outset" w:sz="6" w:space="0" w:color="auto"/>
            </w:tcBorders>
            <w:vAlign w:val="center"/>
          </w:tcPr>
          <w:p w14:paraId="5EC062C4" w14:textId="77777777" w:rsidR="00577D08" w:rsidRDefault="00330FC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tcPr>
          <w:p w14:paraId="1599E806"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C66FA7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25A330E6" w14:textId="77777777" w:rsidR="00577D08" w:rsidRDefault="00577D08">
            <w:pPr>
              <w:jc w:val="right"/>
            </w:pPr>
          </w:p>
        </w:tc>
      </w:tr>
      <w:tr w:rsidR="00577D08" w14:paraId="0F5D6702" w14:textId="77777777">
        <w:tc>
          <w:tcPr>
            <w:tcW w:w="2944" w:type="dxa"/>
            <w:tcBorders>
              <w:top w:val="outset" w:sz="6" w:space="0" w:color="auto"/>
              <w:left w:val="outset" w:sz="6" w:space="0" w:color="auto"/>
              <w:bottom w:val="outset" w:sz="6" w:space="0" w:color="auto"/>
              <w:right w:val="outset" w:sz="6" w:space="0" w:color="auto"/>
            </w:tcBorders>
            <w:vAlign w:val="center"/>
          </w:tcPr>
          <w:p w14:paraId="559E96FF" w14:textId="77777777" w:rsidR="00577D08" w:rsidRDefault="00330FC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tcPr>
          <w:p w14:paraId="401397F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ABACB08"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7B0BD0FD" w14:textId="77777777" w:rsidR="00577D08" w:rsidRDefault="00577D08">
            <w:pPr>
              <w:jc w:val="right"/>
            </w:pPr>
          </w:p>
        </w:tc>
      </w:tr>
      <w:tr w:rsidR="00577D08" w14:paraId="7B6CA8B5" w14:textId="77777777">
        <w:tc>
          <w:tcPr>
            <w:tcW w:w="2944" w:type="dxa"/>
            <w:tcBorders>
              <w:top w:val="outset" w:sz="6" w:space="0" w:color="auto"/>
              <w:left w:val="outset" w:sz="6" w:space="0" w:color="auto"/>
              <w:bottom w:val="outset" w:sz="6" w:space="0" w:color="auto"/>
              <w:right w:val="outset" w:sz="6" w:space="0" w:color="auto"/>
            </w:tcBorders>
            <w:vAlign w:val="center"/>
          </w:tcPr>
          <w:p w14:paraId="0D457D30" w14:textId="77777777" w:rsidR="00577D08" w:rsidRDefault="00330FC0">
            <w:pPr>
              <w:ind w:firstLineChars="100" w:firstLine="210"/>
              <w:rPr>
                <w:color w:val="000000" w:themeColor="text1"/>
              </w:rPr>
            </w:pPr>
            <w:r>
              <w:rPr>
                <w:rFonts w:hint="eastAsia"/>
                <w:color w:val="000000" w:themeColor="text1"/>
              </w:rPr>
              <w:t>资本公积</w:t>
            </w:r>
          </w:p>
        </w:tc>
        <w:tc>
          <w:tcPr>
            <w:tcW w:w="1133" w:type="dxa"/>
            <w:tcBorders>
              <w:top w:val="outset" w:sz="6" w:space="0" w:color="auto"/>
              <w:left w:val="outset" w:sz="6" w:space="0" w:color="auto"/>
              <w:bottom w:val="outset" w:sz="6" w:space="0" w:color="auto"/>
              <w:right w:val="outset" w:sz="6" w:space="0" w:color="auto"/>
            </w:tcBorders>
          </w:tcPr>
          <w:p w14:paraId="3DE05C86" w14:textId="77777777" w:rsidR="00577D08" w:rsidRDefault="00330FC0">
            <w:r>
              <w:rPr>
                <w:rFonts w:hint="eastAsia"/>
              </w:rPr>
              <w:t>七、</w:t>
            </w:r>
            <w:r>
              <w:rPr>
                <w:rFonts w:hint="eastAsia"/>
              </w:rPr>
              <w:t>55</w:t>
            </w:r>
          </w:p>
        </w:tc>
        <w:tc>
          <w:tcPr>
            <w:tcW w:w="2550" w:type="dxa"/>
            <w:tcBorders>
              <w:top w:val="outset" w:sz="6" w:space="0" w:color="auto"/>
              <w:left w:val="outset" w:sz="6" w:space="0" w:color="auto"/>
              <w:bottom w:val="outset" w:sz="6" w:space="0" w:color="auto"/>
              <w:right w:val="outset" w:sz="6" w:space="0" w:color="auto"/>
            </w:tcBorders>
            <w:vAlign w:val="center"/>
          </w:tcPr>
          <w:p w14:paraId="634A6276" w14:textId="77777777" w:rsidR="00577D08" w:rsidRDefault="00330FC0">
            <w:pPr>
              <w:jc w:val="right"/>
            </w:pPr>
            <w:r>
              <w:t xml:space="preserve"> 979,601,250.80 </w:t>
            </w:r>
          </w:p>
        </w:tc>
        <w:tc>
          <w:tcPr>
            <w:tcW w:w="2411" w:type="dxa"/>
            <w:tcBorders>
              <w:top w:val="outset" w:sz="6" w:space="0" w:color="auto"/>
              <w:left w:val="outset" w:sz="6" w:space="0" w:color="auto"/>
              <w:bottom w:val="outset" w:sz="6" w:space="0" w:color="auto"/>
              <w:right w:val="outset" w:sz="6" w:space="0" w:color="auto"/>
            </w:tcBorders>
            <w:vAlign w:val="center"/>
          </w:tcPr>
          <w:p w14:paraId="37B02448" w14:textId="77777777" w:rsidR="00577D08" w:rsidRDefault="00330FC0">
            <w:pPr>
              <w:jc w:val="right"/>
            </w:pPr>
            <w:r>
              <w:t>960,873,722.51</w:t>
            </w:r>
          </w:p>
        </w:tc>
      </w:tr>
      <w:tr w:rsidR="00577D08" w14:paraId="1B8EDF93" w14:textId="77777777">
        <w:tc>
          <w:tcPr>
            <w:tcW w:w="2944" w:type="dxa"/>
            <w:tcBorders>
              <w:top w:val="outset" w:sz="6" w:space="0" w:color="auto"/>
              <w:left w:val="outset" w:sz="6" w:space="0" w:color="auto"/>
              <w:bottom w:val="outset" w:sz="6" w:space="0" w:color="auto"/>
              <w:right w:val="outset" w:sz="6" w:space="0" w:color="auto"/>
            </w:tcBorders>
            <w:vAlign w:val="center"/>
          </w:tcPr>
          <w:p w14:paraId="12911DB2" w14:textId="77777777" w:rsidR="00577D08" w:rsidRDefault="00330FC0">
            <w:pPr>
              <w:ind w:firstLineChars="100" w:firstLine="210"/>
              <w:rPr>
                <w:color w:val="000000" w:themeColor="text1"/>
              </w:rPr>
            </w:pPr>
            <w:r>
              <w:rPr>
                <w:rFonts w:hint="eastAsia"/>
                <w:color w:val="000000" w:themeColor="text1"/>
              </w:rPr>
              <w:t>减：库存股</w:t>
            </w:r>
          </w:p>
        </w:tc>
        <w:tc>
          <w:tcPr>
            <w:tcW w:w="1133" w:type="dxa"/>
            <w:tcBorders>
              <w:top w:val="outset" w:sz="6" w:space="0" w:color="auto"/>
              <w:left w:val="outset" w:sz="6" w:space="0" w:color="auto"/>
              <w:bottom w:val="outset" w:sz="6" w:space="0" w:color="auto"/>
              <w:right w:val="outset" w:sz="6" w:space="0" w:color="auto"/>
            </w:tcBorders>
          </w:tcPr>
          <w:p w14:paraId="642CE58B" w14:textId="77777777" w:rsidR="00577D08" w:rsidRDefault="00330FC0">
            <w:r>
              <w:rPr>
                <w:rFonts w:hint="eastAsia"/>
              </w:rPr>
              <w:t>七、</w:t>
            </w:r>
            <w:r>
              <w:rPr>
                <w:rFonts w:hint="eastAsia"/>
              </w:rPr>
              <w:t>56</w:t>
            </w:r>
          </w:p>
        </w:tc>
        <w:tc>
          <w:tcPr>
            <w:tcW w:w="2550" w:type="dxa"/>
            <w:tcBorders>
              <w:top w:val="outset" w:sz="6" w:space="0" w:color="auto"/>
              <w:left w:val="outset" w:sz="6" w:space="0" w:color="auto"/>
              <w:bottom w:val="outset" w:sz="6" w:space="0" w:color="auto"/>
              <w:right w:val="outset" w:sz="6" w:space="0" w:color="auto"/>
            </w:tcBorders>
            <w:vAlign w:val="center"/>
          </w:tcPr>
          <w:p w14:paraId="296EE1F6" w14:textId="77777777" w:rsidR="00577D08" w:rsidRDefault="00330FC0">
            <w:pPr>
              <w:jc w:val="right"/>
            </w:pPr>
            <w:r>
              <w:t xml:space="preserve"> 19,807,681.28 </w:t>
            </w:r>
          </w:p>
        </w:tc>
        <w:tc>
          <w:tcPr>
            <w:tcW w:w="2411" w:type="dxa"/>
            <w:tcBorders>
              <w:top w:val="outset" w:sz="6" w:space="0" w:color="auto"/>
              <w:left w:val="outset" w:sz="6" w:space="0" w:color="auto"/>
              <w:bottom w:val="outset" w:sz="6" w:space="0" w:color="auto"/>
              <w:right w:val="outset" w:sz="6" w:space="0" w:color="auto"/>
            </w:tcBorders>
            <w:vAlign w:val="center"/>
          </w:tcPr>
          <w:p w14:paraId="1DDF5364" w14:textId="77777777" w:rsidR="00577D08" w:rsidRDefault="00330FC0">
            <w:pPr>
              <w:jc w:val="right"/>
            </w:pPr>
            <w:r>
              <w:t>30,893,741.28</w:t>
            </w:r>
          </w:p>
        </w:tc>
      </w:tr>
      <w:tr w:rsidR="00577D08" w14:paraId="2B18ADC5" w14:textId="77777777">
        <w:tc>
          <w:tcPr>
            <w:tcW w:w="2944" w:type="dxa"/>
            <w:tcBorders>
              <w:top w:val="outset" w:sz="6" w:space="0" w:color="auto"/>
              <w:left w:val="outset" w:sz="6" w:space="0" w:color="auto"/>
              <w:bottom w:val="outset" w:sz="6" w:space="0" w:color="auto"/>
              <w:right w:val="outset" w:sz="6" w:space="0" w:color="auto"/>
            </w:tcBorders>
            <w:vAlign w:val="center"/>
          </w:tcPr>
          <w:p w14:paraId="5323BF60" w14:textId="77777777" w:rsidR="00577D08" w:rsidRDefault="00330FC0">
            <w:pPr>
              <w:ind w:firstLineChars="100" w:firstLine="210"/>
              <w:rPr>
                <w:color w:val="000000" w:themeColor="text1"/>
              </w:rPr>
            </w:pPr>
            <w:r>
              <w:rPr>
                <w:rFonts w:hint="eastAsia"/>
                <w:color w:val="000000" w:themeColor="text1"/>
              </w:rPr>
              <w:t>其他综合收益</w:t>
            </w:r>
          </w:p>
        </w:tc>
        <w:tc>
          <w:tcPr>
            <w:tcW w:w="1133" w:type="dxa"/>
            <w:tcBorders>
              <w:top w:val="outset" w:sz="6" w:space="0" w:color="auto"/>
              <w:left w:val="outset" w:sz="6" w:space="0" w:color="auto"/>
              <w:bottom w:val="outset" w:sz="6" w:space="0" w:color="auto"/>
              <w:right w:val="outset" w:sz="6" w:space="0" w:color="auto"/>
            </w:tcBorders>
          </w:tcPr>
          <w:p w14:paraId="1D71AFD3" w14:textId="77777777" w:rsidR="00577D08" w:rsidRDefault="00330FC0">
            <w:r>
              <w:rPr>
                <w:rFonts w:hint="eastAsia"/>
              </w:rPr>
              <w:t>七、</w:t>
            </w:r>
            <w:r>
              <w:rPr>
                <w:rFonts w:hint="eastAsia"/>
              </w:rPr>
              <w:t>57</w:t>
            </w:r>
          </w:p>
        </w:tc>
        <w:tc>
          <w:tcPr>
            <w:tcW w:w="2550" w:type="dxa"/>
            <w:tcBorders>
              <w:top w:val="outset" w:sz="6" w:space="0" w:color="auto"/>
              <w:left w:val="outset" w:sz="6" w:space="0" w:color="auto"/>
              <w:bottom w:val="outset" w:sz="6" w:space="0" w:color="auto"/>
              <w:right w:val="outset" w:sz="6" w:space="0" w:color="auto"/>
            </w:tcBorders>
            <w:vAlign w:val="center"/>
          </w:tcPr>
          <w:p w14:paraId="2D730559" w14:textId="77777777" w:rsidR="00577D08" w:rsidRDefault="00330FC0">
            <w:pPr>
              <w:jc w:val="right"/>
            </w:pPr>
            <w:r>
              <w:t xml:space="preserve"> 1,023,934.45 </w:t>
            </w:r>
          </w:p>
        </w:tc>
        <w:tc>
          <w:tcPr>
            <w:tcW w:w="2411" w:type="dxa"/>
            <w:tcBorders>
              <w:top w:val="outset" w:sz="6" w:space="0" w:color="auto"/>
              <w:left w:val="outset" w:sz="6" w:space="0" w:color="auto"/>
              <w:bottom w:val="outset" w:sz="6" w:space="0" w:color="auto"/>
              <w:right w:val="outset" w:sz="6" w:space="0" w:color="auto"/>
            </w:tcBorders>
            <w:vAlign w:val="center"/>
          </w:tcPr>
          <w:p w14:paraId="30A0FD0D" w14:textId="77777777" w:rsidR="00577D08" w:rsidRDefault="00330FC0">
            <w:pPr>
              <w:jc w:val="right"/>
            </w:pPr>
            <w:r>
              <w:t>2,027,597.71</w:t>
            </w:r>
          </w:p>
        </w:tc>
      </w:tr>
      <w:tr w:rsidR="00577D08" w14:paraId="652D06F0" w14:textId="77777777">
        <w:tc>
          <w:tcPr>
            <w:tcW w:w="2944" w:type="dxa"/>
            <w:tcBorders>
              <w:top w:val="outset" w:sz="6" w:space="0" w:color="auto"/>
              <w:left w:val="outset" w:sz="6" w:space="0" w:color="auto"/>
              <w:bottom w:val="outset" w:sz="6" w:space="0" w:color="auto"/>
              <w:right w:val="outset" w:sz="6" w:space="0" w:color="auto"/>
            </w:tcBorders>
            <w:vAlign w:val="center"/>
          </w:tcPr>
          <w:p w14:paraId="6CCF346F" w14:textId="77777777" w:rsidR="00577D08" w:rsidRDefault="00330FC0">
            <w:pPr>
              <w:ind w:firstLineChars="100" w:firstLine="210"/>
              <w:rPr>
                <w:color w:val="000000" w:themeColor="text1"/>
              </w:rPr>
            </w:pPr>
            <w:r>
              <w:rPr>
                <w:rFonts w:hint="eastAsia"/>
                <w:color w:val="000000" w:themeColor="text1"/>
              </w:rPr>
              <w:t>专项储备</w:t>
            </w:r>
          </w:p>
        </w:tc>
        <w:tc>
          <w:tcPr>
            <w:tcW w:w="1133" w:type="dxa"/>
            <w:tcBorders>
              <w:top w:val="outset" w:sz="6" w:space="0" w:color="auto"/>
              <w:left w:val="outset" w:sz="6" w:space="0" w:color="auto"/>
              <w:bottom w:val="outset" w:sz="6" w:space="0" w:color="auto"/>
              <w:right w:val="outset" w:sz="6" w:space="0" w:color="auto"/>
            </w:tcBorders>
          </w:tcPr>
          <w:p w14:paraId="641B664E" w14:textId="77777777" w:rsidR="00577D08" w:rsidRDefault="00330FC0">
            <w:r>
              <w:rPr>
                <w:rFonts w:hint="eastAsia"/>
              </w:rPr>
              <w:t>七、</w:t>
            </w:r>
            <w:r>
              <w:rPr>
                <w:rFonts w:hint="eastAsia"/>
              </w:rPr>
              <w:t>58</w:t>
            </w:r>
          </w:p>
        </w:tc>
        <w:tc>
          <w:tcPr>
            <w:tcW w:w="2550" w:type="dxa"/>
            <w:tcBorders>
              <w:top w:val="outset" w:sz="6" w:space="0" w:color="auto"/>
              <w:left w:val="outset" w:sz="6" w:space="0" w:color="auto"/>
              <w:bottom w:val="outset" w:sz="6" w:space="0" w:color="auto"/>
              <w:right w:val="outset" w:sz="6" w:space="0" w:color="auto"/>
            </w:tcBorders>
            <w:vAlign w:val="center"/>
          </w:tcPr>
          <w:p w14:paraId="0A30B267" w14:textId="77777777" w:rsidR="00577D08" w:rsidRDefault="00330FC0">
            <w:pPr>
              <w:jc w:val="right"/>
            </w:pPr>
            <w:r>
              <w:t xml:space="preserve"> 22,715,521.68 </w:t>
            </w:r>
          </w:p>
        </w:tc>
        <w:tc>
          <w:tcPr>
            <w:tcW w:w="2411" w:type="dxa"/>
            <w:tcBorders>
              <w:top w:val="outset" w:sz="6" w:space="0" w:color="auto"/>
              <w:left w:val="outset" w:sz="6" w:space="0" w:color="auto"/>
              <w:bottom w:val="outset" w:sz="6" w:space="0" w:color="auto"/>
              <w:right w:val="outset" w:sz="6" w:space="0" w:color="auto"/>
            </w:tcBorders>
            <w:vAlign w:val="center"/>
          </w:tcPr>
          <w:p w14:paraId="0938DAC2" w14:textId="77777777" w:rsidR="00577D08" w:rsidRDefault="00330FC0">
            <w:pPr>
              <w:jc w:val="right"/>
            </w:pPr>
            <w:r>
              <w:t>22,440,561.28</w:t>
            </w:r>
          </w:p>
        </w:tc>
      </w:tr>
      <w:tr w:rsidR="00577D08" w14:paraId="19D0F730" w14:textId="77777777">
        <w:tc>
          <w:tcPr>
            <w:tcW w:w="2944" w:type="dxa"/>
            <w:tcBorders>
              <w:top w:val="outset" w:sz="6" w:space="0" w:color="auto"/>
              <w:left w:val="outset" w:sz="6" w:space="0" w:color="auto"/>
              <w:bottom w:val="outset" w:sz="6" w:space="0" w:color="auto"/>
              <w:right w:val="outset" w:sz="6" w:space="0" w:color="auto"/>
            </w:tcBorders>
            <w:vAlign w:val="center"/>
          </w:tcPr>
          <w:p w14:paraId="0B700373" w14:textId="77777777" w:rsidR="00577D08" w:rsidRDefault="00330FC0">
            <w:pPr>
              <w:ind w:firstLineChars="100" w:firstLine="210"/>
              <w:rPr>
                <w:color w:val="000000" w:themeColor="text1"/>
              </w:rPr>
            </w:pPr>
            <w:r>
              <w:rPr>
                <w:rFonts w:hint="eastAsia"/>
                <w:color w:val="000000" w:themeColor="text1"/>
              </w:rPr>
              <w:t>盈余公积</w:t>
            </w:r>
          </w:p>
        </w:tc>
        <w:tc>
          <w:tcPr>
            <w:tcW w:w="1133" w:type="dxa"/>
            <w:tcBorders>
              <w:top w:val="outset" w:sz="6" w:space="0" w:color="auto"/>
              <w:left w:val="outset" w:sz="6" w:space="0" w:color="auto"/>
              <w:bottom w:val="outset" w:sz="6" w:space="0" w:color="auto"/>
              <w:right w:val="outset" w:sz="6" w:space="0" w:color="auto"/>
            </w:tcBorders>
          </w:tcPr>
          <w:p w14:paraId="63411995" w14:textId="77777777" w:rsidR="00577D08" w:rsidRDefault="00330FC0">
            <w:r>
              <w:rPr>
                <w:rFonts w:hint="eastAsia"/>
              </w:rPr>
              <w:t>七、</w:t>
            </w:r>
            <w:r>
              <w:rPr>
                <w:rFonts w:hint="eastAsia"/>
              </w:rPr>
              <w:t>59</w:t>
            </w:r>
          </w:p>
        </w:tc>
        <w:tc>
          <w:tcPr>
            <w:tcW w:w="2550" w:type="dxa"/>
            <w:tcBorders>
              <w:top w:val="outset" w:sz="6" w:space="0" w:color="auto"/>
              <w:left w:val="outset" w:sz="6" w:space="0" w:color="auto"/>
              <w:bottom w:val="outset" w:sz="6" w:space="0" w:color="auto"/>
              <w:right w:val="outset" w:sz="6" w:space="0" w:color="auto"/>
            </w:tcBorders>
            <w:vAlign w:val="center"/>
          </w:tcPr>
          <w:p w14:paraId="537F5BEB" w14:textId="77777777" w:rsidR="00577D08" w:rsidRDefault="00330FC0">
            <w:pPr>
              <w:jc w:val="right"/>
            </w:pPr>
            <w:r>
              <w:t xml:space="preserve"> 127,047,120.13 </w:t>
            </w:r>
          </w:p>
        </w:tc>
        <w:tc>
          <w:tcPr>
            <w:tcW w:w="2411" w:type="dxa"/>
            <w:tcBorders>
              <w:top w:val="outset" w:sz="6" w:space="0" w:color="auto"/>
              <w:left w:val="outset" w:sz="6" w:space="0" w:color="auto"/>
              <w:bottom w:val="outset" w:sz="6" w:space="0" w:color="auto"/>
              <w:right w:val="outset" w:sz="6" w:space="0" w:color="auto"/>
            </w:tcBorders>
            <w:vAlign w:val="center"/>
          </w:tcPr>
          <w:p w14:paraId="57F62AB3" w14:textId="77777777" w:rsidR="00577D08" w:rsidRDefault="00330FC0">
            <w:pPr>
              <w:jc w:val="right"/>
            </w:pPr>
            <w:r>
              <w:t>122,195,454.42</w:t>
            </w:r>
          </w:p>
        </w:tc>
      </w:tr>
      <w:tr w:rsidR="00577D08" w14:paraId="5226EF5B" w14:textId="77777777">
        <w:tc>
          <w:tcPr>
            <w:tcW w:w="2944" w:type="dxa"/>
            <w:tcBorders>
              <w:top w:val="outset" w:sz="6" w:space="0" w:color="auto"/>
              <w:left w:val="outset" w:sz="6" w:space="0" w:color="auto"/>
              <w:bottom w:val="outset" w:sz="6" w:space="0" w:color="auto"/>
              <w:right w:val="outset" w:sz="6" w:space="0" w:color="auto"/>
            </w:tcBorders>
            <w:vAlign w:val="center"/>
          </w:tcPr>
          <w:p w14:paraId="00A79DF8" w14:textId="77777777" w:rsidR="00577D08" w:rsidRDefault="00330FC0">
            <w:pPr>
              <w:ind w:firstLineChars="100" w:firstLine="210"/>
              <w:rPr>
                <w:color w:val="000000" w:themeColor="text1"/>
              </w:rPr>
            </w:pPr>
            <w:r>
              <w:rPr>
                <w:rFonts w:hint="eastAsia"/>
                <w:color w:val="000000" w:themeColor="text1"/>
              </w:rPr>
              <w:t>一般风险准备</w:t>
            </w:r>
          </w:p>
        </w:tc>
        <w:tc>
          <w:tcPr>
            <w:tcW w:w="1133" w:type="dxa"/>
            <w:tcBorders>
              <w:top w:val="outset" w:sz="6" w:space="0" w:color="auto"/>
              <w:left w:val="outset" w:sz="6" w:space="0" w:color="auto"/>
              <w:bottom w:val="outset" w:sz="6" w:space="0" w:color="auto"/>
              <w:right w:val="outset" w:sz="6" w:space="0" w:color="auto"/>
            </w:tcBorders>
          </w:tcPr>
          <w:p w14:paraId="3963E90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8F01C72"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3E80115D" w14:textId="77777777" w:rsidR="00577D08" w:rsidRDefault="00577D08">
            <w:pPr>
              <w:jc w:val="right"/>
            </w:pPr>
          </w:p>
        </w:tc>
      </w:tr>
      <w:tr w:rsidR="00577D08" w14:paraId="5A8F4D13" w14:textId="77777777">
        <w:tc>
          <w:tcPr>
            <w:tcW w:w="2944" w:type="dxa"/>
            <w:tcBorders>
              <w:top w:val="outset" w:sz="6" w:space="0" w:color="auto"/>
              <w:left w:val="outset" w:sz="6" w:space="0" w:color="auto"/>
              <w:bottom w:val="outset" w:sz="6" w:space="0" w:color="auto"/>
              <w:right w:val="outset" w:sz="6" w:space="0" w:color="auto"/>
            </w:tcBorders>
            <w:vAlign w:val="center"/>
          </w:tcPr>
          <w:p w14:paraId="3AB95658" w14:textId="77777777" w:rsidR="00577D08" w:rsidRDefault="00330FC0">
            <w:pPr>
              <w:ind w:firstLineChars="100" w:firstLine="210"/>
              <w:rPr>
                <w:color w:val="000000" w:themeColor="text1"/>
              </w:rPr>
            </w:pPr>
            <w:r>
              <w:rPr>
                <w:rFonts w:hint="eastAsia"/>
                <w:color w:val="000000" w:themeColor="text1"/>
              </w:rPr>
              <w:t>未分配利润</w:t>
            </w:r>
          </w:p>
        </w:tc>
        <w:tc>
          <w:tcPr>
            <w:tcW w:w="1133" w:type="dxa"/>
            <w:tcBorders>
              <w:top w:val="outset" w:sz="6" w:space="0" w:color="auto"/>
              <w:left w:val="outset" w:sz="6" w:space="0" w:color="auto"/>
              <w:bottom w:val="outset" w:sz="6" w:space="0" w:color="auto"/>
              <w:right w:val="outset" w:sz="6" w:space="0" w:color="auto"/>
            </w:tcBorders>
          </w:tcPr>
          <w:p w14:paraId="7332311A" w14:textId="77777777" w:rsidR="00577D08" w:rsidRDefault="00330FC0">
            <w:r>
              <w:rPr>
                <w:rFonts w:hint="eastAsia"/>
              </w:rPr>
              <w:t>七、</w:t>
            </w:r>
            <w:r>
              <w:rPr>
                <w:rFonts w:hint="eastAsia"/>
              </w:rPr>
              <w:t>60</w:t>
            </w:r>
          </w:p>
        </w:tc>
        <w:tc>
          <w:tcPr>
            <w:tcW w:w="2550" w:type="dxa"/>
            <w:tcBorders>
              <w:top w:val="outset" w:sz="6" w:space="0" w:color="auto"/>
              <w:left w:val="outset" w:sz="6" w:space="0" w:color="auto"/>
              <w:bottom w:val="outset" w:sz="6" w:space="0" w:color="auto"/>
              <w:right w:val="outset" w:sz="6" w:space="0" w:color="auto"/>
            </w:tcBorders>
            <w:vAlign w:val="center"/>
          </w:tcPr>
          <w:p w14:paraId="6792A90E" w14:textId="77777777" w:rsidR="00577D08" w:rsidRDefault="00330FC0">
            <w:pPr>
              <w:jc w:val="right"/>
            </w:pPr>
            <w:r>
              <w:t xml:space="preserve"> 1,051,708,163.82 </w:t>
            </w:r>
          </w:p>
        </w:tc>
        <w:tc>
          <w:tcPr>
            <w:tcW w:w="2411" w:type="dxa"/>
            <w:tcBorders>
              <w:top w:val="outset" w:sz="6" w:space="0" w:color="auto"/>
              <w:left w:val="outset" w:sz="6" w:space="0" w:color="auto"/>
              <w:bottom w:val="outset" w:sz="6" w:space="0" w:color="auto"/>
              <w:right w:val="outset" w:sz="6" w:space="0" w:color="auto"/>
            </w:tcBorders>
            <w:vAlign w:val="center"/>
          </w:tcPr>
          <w:p w14:paraId="006C6C9C" w14:textId="77777777" w:rsidR="00577D08" w:rsidRDefault="00330FC0">
            <w:pPr>
              <w:jc w:val="right"/>
            </w:pPr>
            <w:r>
              <w:t>1,003,432,341.75</w:t>
            </w:r>
          </w:p>
        </w:tc>
      </w:tr>
      <w:tr w:rsidR="00577D08" w14:paraId="72F4480A" w14:textId="77777777">
        <w:tc>
          <w:tcPr>
            <w:tcW w:w="2944" w:type="dxa"/>
            <w:tcBorders>
              <w:top w:val="outset" w:sz="6" w:space="0" w:color="auto"/>
              <w:left w:val="outset" w:sz="6" w:space="0" w:color="auto"/>
              <w:bottom w:val="outset" w:sz="6" w:space="0" w:color="auto"/>
              <w:right w:val="outset" w:sz="6" w:space="0" w:color="auto"/>
            </w:tcBorders>
            <w:vAlign w:val="center"/>
          </w:tcPr>
          <w:p w14:paraId="468CB8C8" w14:textId="77777777" w:rsidR="00577D08" w:rsidRDefault="00330FC0">
            <w:pPr>
              <w:ind w:firstLineChars="100" w:firstLine="210"/>
              <w:rPr>
                <w:color w:val="000000" w:themeColor="text1"/>
              </w:rPr>
            </w:pPr>
            <w:r>
              <w:rPr>
                <w:rFonts w:hint="eastAsia"/>
                <w:color w:val="000000" w:themeColor="text1"/>
              </w:rPr>
              <w:t>归属于母公司所有者权益（或股东权益）合计</w:t>
            </w:r>
          </w:p>
        </w:tc>
        <w:tc>
          <w:tcPr>
            <w:tcW w:w="1133" w:type="dxa"/>
            <w:tcBorders>
              <w:top w:val="outset" w:sz="6" w:space="0" w:color="auto"/>
              <w:left w:val="outset" w:sz="6" w:space="0" w:color="auto"/>
              <w:bottom w:val="outset" w:sz="6" w:space="0" w:color="auto"/>
              <w:right w:val="outset" w:sz="6" w:space="0" w:color="auto"/>
            </w:tcBorders>
          </w:tcPr>
          <w:p w14:paraId="1F999EA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6368703D" w14:textId="77777777" w:rsidR="00577D08" w:rsidRDefault="00330FC0">
            <w:pPr>
              <w:jc w:val="right"/>
            </w:pPr>
            <w:r>
              <w:t xml:space="preserve"> 2,494,641,716.60 </w:t>
            </w:r>
          </w:p>
        </w:tc>
        <w:tc>
          <w:tcPr>
            <w:tcW w:w="2411" w:type="dxa"/>
            <w:tcBorders>
              <w:top w:val="outset" w:sz="6" w:space="0" w:color="auto"/>
              <w:left w:val="outset" w:sz="6" w:space="0" w:color="auto"/>
              <w:bottom w:val="outset" w:sz="6" w:space="0" w:color="auto"/>
              <w:right w:val="outset" w:sz="6" w:space="0" w:color="auto"/>
            </w:tcBorders>
            <w:vAlign w:val="center"/>
          </w:tcPr>
          <w:p w14:paraId="38A6D2DD" w14:textId="77777777" w:rsidR="00577D08" w:rsidRDefault="00330FC0">
            <w:pPr>
              <w:jc w:val="right"/>
            </w:pPr>
            <w:r>
              <w:t>2,413,243,343.39</w:t>
            </w:r>
          </w:p>
        </w:tc>
      </w:tr>
      <w:tr w:rsidR="00577D08" w14:paraId="16A7A285" w14:textId="77777777">
        <w:tc>
          <w:tcPr>
            <w:tcW w:w="2944" w:type="dxa"/>
            <w:tcBorders>
              <w:top w:val="outset" w:sz="6" w:space="0" w:color="auto"/>
              <w:left w:val="outset" w:sz="6" w:space="0" w:color="auto"/>
              <w:bottom w:val="outset" w:sz="6" w:space="0" w:color="auto"/>
              <w:right w:val="outset" w:sz="6" w:space="0" w:color="auto"/>
            </w:tcBorders>
            <w:vAlign w:val="center"/>
          </w:tcPr>
          <w:p w14:paraId="207CAD15" w14:textId="77777777" w:rsidR="00577D08" w:rsidRDefault="00330FC0">
            <w:pPr>
              <w:ind w:firstLineChars="100" w:firstLine="210"/>
              <w:rPr>
                <w:color w:val="000000" w:themeColor="text1"/>
              </w:rPr>
            </w:pPr>
            <w:r>
              <w:rPr>
                <w:rFonts w:hint="eastAsia"/>
                <w:color w:val="000000" w:themeColor="text1"/>
              </w:rPr>
              <w:t>少数股东权益</w:t>
            </w:r>
          </w:p>
        </w:tc>
        <w:tc>
          <w:tcPr>
            <w:tcW w:w="1133" w:type="dxa"/>
            <w:tcBorders>
              <w:top w:val="outset" w:sz="6" w:space="0" w:color="auto"/>
              <w:left w:val="outset" w:sz="6" w:space="0" w:color="auto"/>
              <w:bottom w:val="outset" w:sz="6" w:space="0" w:color="auto"/>
              <w:right w:val="outset" w:sz="6" w:space="0" w:color="auto"/>
            </w:tcBorders>
          </w:tcPr>
          <w:p w14:paraId="6A08C56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6D8B261D" w14:textId="77777777" w:rsidR="00577D08" w:rsidRDefault="00330FC0">
            <w:pPr>
              <w:jc w:val="right"/>
            </w:pPr>
            <w:r>
              <w:t xml:space="preserve"> 3,630,385.53 </w:t>
            </w:r>
          </w:p>
        </w:tc>
        <w:tc>
          <w:tcPr>
            <w:tcW w:w="2411" w:type="dxa"/>
            <w:tcBorders>
              <w:top w:val="outset" w:sz="6" w:space="0" w:color="auto"/>
              <w:left w:val="outset" w:sz="6" w:space="0" w:color="auto"/>
              <w:bottom w:val="outset" w:sz="6" w:space="0" w:color="auto"/>
              <w:right w:val="outset" w:sz="6" w:space="0" w:color="auto"/>
            </w:tcBorders>
            <w:vAlign w:val="center"/>
          </w:tcPr>
          <w:p w14:paraId="0E420ADE" w14:textId="77777777" w:rsidR="00577D08" w:rsidRDefault="00330FC0">
            <w:pPr>
              <w:jc w:val="right"/>
            </w:pPr>
            <w:r>
              <w:t>139,598,553.64</w:t>
            </w:r>
          </w:p>
        </w:tc>
      </w:tr>
      <w:tr w:rsidR="00577D08" w14:paraId="7A326A26" w14:textId="77777777">
        <w:tc>
          <w:tcPr>
            <w:tcW w:w="2944" w:type="dxa"/>
            <w:tcBorders>
              <w:top w:val="outset" w:sz="6" w:space="0" w:color="auto"/>
              <w:left w:val="outset" w:sz="6" w:space="0" w:color="auto"/>
              <w:bottom w:val="outset" w:sz="6" w:space="0" w:color="auto"/>
              <w:right w:val="outset" w:sz="6" w:space="0" w:color="auto"/>
            </w:tcBorders>
            <w:vAlign w:val="center"/>
          </w:tcPr>
          <w:p w14:paraId="381280D0" w14:textId="77777777" w:rsidR="00577D08" w:rsidRDefault="00330FC0">
            <w:pPr>
              <w:ind w:firstLineChars="200" w:firstLine="420"/>
              <w:rPr>
                <w:color w:val="000000" w:themeColor="text1"/>
              </w:rPr>
            </w:pPr>
            <w:r>
              <w:rPr>
                <w:rFonts w:hint="eastAsia"/>
                <w:color w:val="000000" w:themeColor="text1"/>
              </w:rPr>
              <w:t>所有者权益（或股东权益）合计</w:t>
            </w:r>
          </w:p>
        </w:tc>
        <w:tc>
          <w:tcPr>
            <w:tcW w:w="1133" w:type="dxa"/>
            <w:tcBorders>
              <w:top w:val="outset" w:sz="6" w:space="0" w:color="auto"/>
              <w:left w:val="outset" w:sz="6" w:space="0" w:color="auto"/>
              <w:bottom w:val="outset" w:sz="6" w:space="0" w:color="auto"/>
              <w:right w:val="outset" w:sz="6" w:space="0" w:color="auto"/>
            </w:tcBorders>
          </w:tcPr>
          <w:p w14:paraId="38E483C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319F54F0" w14:textId="77777777" w:rsidR="00577D08" w:rsidRDefault="00330FC0">
            <w:pPr>
              <w:jc w:val="right"/>
            </w:pPr>
            <w:r>
              <w:t xml:space="preserve"> 2,498,272,102.13 </w:t>
            </w:r>
          </w:p>
        </w:tc>
        <w:tc>
          <w:tcPr>
            <w:tcW w:w="2411" w:type="dxa"/>
            <w:tcBorders>
              <w:top w:val="outset" w:sz="6" w:space="0" w:color="auto"/>
              <w:left w:val="outset" w:sz="6" w:space="0" w:color="auto"/>
              <w:bottom w:val="outset" w:sz="6" w:space="0" w:color="auto"/>
              <w:right w:val="outset" w:sz="6" w:space="0" w:color="auto"/>
            </w:tcBorders>
            <w:vAlign w:val="center"/>
          </w:tcPr>
          <w:p w14:paraId="488A3C26" w14:textId="77777777" w:rsidR="00577D08" w:rsidRDefault="00330FC0">
            <w:pPr>
              <w:jc w:val="right"/>
            </w:pPr>
            <w:r>
              <w:t>2,552,841,897.03</w:t>
            </w:r>
          </w:p>
        </w:tc>
      </w:tr>
      <w:tr w:rsidR="00577D08" w14:paraId="39BA6C9D" w14:textId="77777777">
        <w:tc>
          <w:tcPr>
            <w:tcW w:w="2944" w:type="dxa"/>
            <w:tcBorders>
              <w:top w:val="outset" w:sz="6" w:space="0" w:color="auto"/>
              <w:left w:val="outset" w:sz="6" w:space="0" w:color="auto"/>
              <w:bottom w:val="outset" w:sz="6" w:space="0" w:color="auto"/>
              <w:right w:val="outset" w:sz="6" w:space="0" w:color="auto"/>
            </w:tcBorders>
            <w:vAlign w:val="center"/>
          </w:tcPr>
          <w:p w14:paraId="7B1F26AB" w14:textId="77777777" w:rsidR="00577D08" w:rsidRDefault="00330FC0">
            <w:pPr>
              <w:ind w:firstLineChars="300" w:firstLine="630"/>
              <w:rPr>
                <w:color w:val="000000" w:themeColor="text1"/>
              </w:rPr>
            </w:pPr>
            <w:r>
              <w:rPr>
                <w:rFonts w:hint="eastAsia"/>
                <w:color w:val="000000" w:themeColor="text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tcPr>
          <w:p w14:paraId="751B597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35451BDA" w14:textId="77777777" w:rsidR="00577D08" w:rsidRDefault="00330FC0">
            <w:pPr>
              <w:jc w:val="right"/>
            </w:pPr>
            <w:r>
              <w:t xml:space="preserve"> 7,258,387,396.69 </w:t>
            </w:r>
          </w:p>
        </w:tc>
        <w:tc>
          <w:tcPr>
            <w:tcW w:w="2411" w:type="dxa"/>
            <w:tcBorders>
              <w:top w:val="outset" w:sz="6" w:space="0" w:color="auto"/>
              <w:left w:val="outset" w:sz="6" w:space="0" w:color="auto"/>
              <w:bottom w:val="outset" w:sz="6" w:space="0" w:color="auto"/>
              <w:right w:val="outset" w:sz="6" w:space="0" w:color="auto"/>
            </w:tcBorders>
            <w:vAlign w:val="center"/>
          </w:tcPr>
          <w:p w14:paraId="374A5562" w14:textId="77777777" w:rsidR="00577D08" w:rsidRDefault="00330FC0">
            <w:pPr>
              <w:jc w:val="right"/>
            </w:pPr>
            <w:r>
              <w:t>6,531,948,941.04</w:t>
            </w:r>
          </w:p>
        </w:tc>
      </w:tr>
    </w:tbl>
    <w:bookmarkEnd w:id="285"/>
    <w:p w14:paraId="3FE59EF9" w14:textId="77777777" w:rsidR="00577D08" w:rsidRDefault="00330FC0">
      <w:pPr>
        <w:ind w:rightChars="-73" w:right="-153"/>
        <w:rPr>
          <w:color w:val="008000"/>
          <w:u w:val="single"/>
        </w:rPr>
      </w:pPr>
      <w:r>
        <w:rPr>
          <w:rFonts w:hint="eastAsia"/>
        </w:rPr>
        <w:t>公司负责</w:t>
      </w:r>
      <w:r>
        <w:t>人</w:t>
      </w:r>
      <w:r>
        <w:rPr>
          <w:rFonts w:hint="eastAsia"/>
        </w:rPr>
        <w:t>：</w:t>
      </w:r>
      <w:sdt>
        <w:sdtPr>
          <w:rPr>
            <w:rFonts w:hint="eastAsia"/>
          </w:rPr>
          <w:alias w:val="公司负责人姓名"/>
          <w:tag w:val="_GBC_295740a12aa8498286bf2ef11896dbe9"/>
          <w:id w:val="-218058803"/>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095c1df7dd6b412590466f3e711cd1e6"/>
          <w:id w:val="-1424184738"/>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b9cb47d6db784ba8a6b148d9331df451"/>
          <w:id w:val="971797932"/>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p w14:paraId="67108B6C" w14:textId="77777777" w:rsidR="00577D08" w:rsidRDefault="00577D08"/>
    <w:p w14:paraId="00C1ADB1" w14:textId="77777777" w:rsidR="00577D08" w:rsidRDefault="00330FC0">
      <w:pPr>
        <w:pStyle w:val="3"/>
        <w:jc w:val="center"/>
      </w:pPr>
      <w:bookmarkStart w:id="286" w:name="_Hlk24034197"/>
      <w:r>
        <w:rPr>
          <w:rFonts w:hint="eastAsia"/>
        </w:rPr>
        <w:t>母公司</w:t>
      </w:r>
      <w:r>
        <w:t>资产负债表</w:t>
      </w:r>
    </w:p>
    <w:p w14:paraId="213111A8" w14:textId="77777777" w:rsidR="00577D08" w:rsidRDefault="00330FC0">
      <w:pPr>
        <w:jc w:val="center"/>
        <w:rPr>
          <w:b/>
          <w:bCs/>
        </w:rPr>
      </w:pPr>
      <w:r>
        <w:t>2025</w:t>
      </w:r>
      <w:r>
        <w:t>年</w:t>
      </w:r>
      <w:r>
        <w:t>12</w:t>
      </w:r>
      <w:r>
        <w:t>月</w:t>
      </w:r>
      <w:r>
        <w:t>31</w:t>
      </w:r>
      <w:r>
        <w:t>日</w:t>
      </w:r>
    </w:p>
    <w:p w14:paraId="727F0FE7" w14:textId="77777777" w:rsidR="00577D08" w:rsidRDefault="00330FC0">
      <w:r>
        <w:t>编制单位</w:t>
      </w:r>
      <w:r>
        <w:rPr>
          <w:rFonts w:hint="eastAsia"/>
        </w:rPr>
        <w:t>：</w:t>
      </w:r>
      <w:sdt>
        <w:sdtPr>
          <w:alias w:val="公司法定中文名称"/>
          <w:tag w:val="_GBC_476f9df1cf8d4d36868d3058a4da7d15"/>
          <w:id w:val="-1492405586"/>
          <w:placeholder>
            <w:docPart w:val="GBC22222222222222222222222222222"/>
          </w:placeholder>
          <w:dataBinding w:prefixMappings="xmlns:clcid-cgi='clcid-cgi'" w:xpath="/*/clcid-cgi:GongSiFaDingZhongWenMingCheng[not(@periodRef)]" w:storeItemID="{89EBAB94-44A0-46A2-B712-30D997D04A6D}"/>
          <w:text/>
        </w:sdtPr>
        <w:sdtContent>
          <w:r>
            <w:t>重庆望变电气（集团）股份有限公司</w:t>
          </w:r>
        </w:sdtContent>
      </w:sdt>
    </w:p>
    <w:p w14:paraId="0F920D44" w14:textId="381EB8D0" w:rsidR="00577D08" w:rsidRDefault="00330FC0">
      <w:pPr>
        <w:jc w:val="right"/>
      </w:pPr>
      <w:r>
        <w:t>单位：</w:t>
      </w:r>
      <w:sdt>
        <w:sdtPr>
          <w:alias w:val="单位：母公司资产负债表"/>
          <w:tag w:val="_GBC_e3e6bb2b9b89482085daf4528af32780"/>
          <w:id w:val="6087069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r w:rsidR="00CC5C32">
            <w:t xml:space="preserve"> </w:t>
          </w:r>
        </w:sdtContent>
      </w:sdt>
      <w:r>
        <w:t>币种：</w:t>
      </w:r>
      <w:sdt>
        <w:sdtPr>
          <w:alias w:val="币种：母公司资产负债表"/>
          <w:tag w:val="_GBC_31e3f7c7e30144c684d9b3387d64ec2f"/>
          <w:id w:val="-2446449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903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4"/>
        <w:gridCol w:w="1133"/>
        <w:gridCol w:w="2550"/>
        <w:gridCol w:w="2411"/>
      </w:tblGrid>
      <w:tr w:rsidR="00577D08" w14:paraId="00F888B6" w14:textId="77777777">
        <w:trPr>
          <w:tblHeader/>
        </w:trPr>
        <w:bookmarkStart w:id="287" w:name="_Hlk105686791" w:displacedByCustomXml="next"/>
        <w:sdt>
          <w:sdtPr>
            <w:tag w:val="_PLD_e123561b4eea486cbee629a83db9ddc0"/>
            <w:id w:val="-1559238436"/>
          </w:sdtPr>
          <w:sdtContent>
            <w:tc>
              <w:tcPr>
                <w:tcW w:w="2944" w:type="dxa"/>
                <w:tcBorders>
                  <w:top w:val="outset" w:sz="6" w:space="0" w:color="auto"/>
                  <w:left w:val="outset" w:sz="6" w:space="0" w:color="auto"/>
                  <w:bottom w:val="outset" w:sz="6" w:space="0" w:color="auto"/>
                  <w:right w:val="outset" w:sz="6" w:space="0" w:color="auto"/>
                </w:tcBorders>
                <w:vAlign w:val="center"/>
              </w:tcPr>
              <w:p w14:paraId="71139AA1" w14:textId="77777777" w:rsidR="00577D08" w:rsidRDefault="00330FC0">
                <w:pPr>
                  <w:jc w:val="center"/>
                  <w:rPr>
                    <w:b/>
                    <w:bCs/>
                    <w:color w:val="000000" w:themeColor="text1"/>
                  </w:rPr>
                </w:pPr>
                <w:r>
                  <w:rPr>
                    <w:b/>
                    <w:color w:val="000000" w:themeColor="text1"/>
                  </w:rPr>
                  <w:t>项目</w:t>
                </w:r>
              </w:p>
            </w:tc>
          </w:sdtContent>
        </w:sdt>
        <w:sdt>
          <w:sdtPr>
            <w:tag w:val="_PLD_06c4ac69e0084d108604170c58444649"/>
            <w:id w:val="-1504353994"/>
          </w:sdtPr>
          <w:sdtContent>
            <w:tc>
              <w:tcPr>
                <w:tcW w:w="1133" w:type="dxa"/>
                <w:tcBorders>
                  <w:top w:val="outset" w:sz="6" w:space="0" w:color="auto"/>
                  <w:left w:val="outset" w:sz="6" w:space="0" w:color="auto"/>
                  <w:bottom w:val="outset" w:sz="6" w:space="0" w:color="auto"/>
                  <w:right w:val="outset" w:sz="6" w:space="0" w:color="auto"/>
                </w:tcBorders>
                <w:vAlign w:val="center"/>
              </w:tcPr>
              <w:p w14:paraId="182003C8" w14:textId="77777777" w:rsidR="00577D08" w:rsidRDefault="00330FC0">
                <w:pPr>
                  <w:jc w:val="center"/>
                  <w:rPr>
                    <w:b/>
                    <w:bCs/>
                    <w:color w:val="000000" w:themeColor="text1"/>
                  </w:rPr>
                </w:pPr>
                <w:r>
                  <w:rPr>
                    <w:rFonts w:hint="eastAsia"/>
                    <w:b/>
                    <w:color w:val="000000" w:themeColor="text1"/>
                  </w:rPr>
                  <w:t>附注</w:t>
                </w:r>
              </w:p>
            </w:tc>
          </w:sdtContent>
        </w:sdt>
        <w:sdt>
          <w:sdtPr>
            <w:tag w:val="_PLD_b1c54371985a4504b749b9d71cf1412e"/>
            <w:id w:val="-1233006094"/>
          </w:sdtPr>
          <w:sdtContent>
            <w:tc>
              <w:tcPr>
                <w:tcW w:w="2550" w:type="dxa"/>
                <w:tcBorders>
                  <w:top w:val="outset" w:sz="6" w:space="0" w:color="auto"/>
                  <w:left w:val="outset" w:sz="6" w:space="0" w:color="auto"/>
                  <w:bottom w:val="outset" w:sz="6" w:space="0" w:color="auto"/>
                  <w:right w:val="outset" w:sz="6" w:space="0" w:color="auto"/>
                </w:tcBorders>
                <w:vAlign w:val="center"/>
              </w:tcPr>
              <w:p w14:paraId="1F3DDBB6" w14:textId="77777777" w:rsidR="00577D08" w:rsidRDefault="00330FC0">
                <w:pPr>
                  <w:jc w:val="center"/>
                  <w:rPr>
                    <w:b/>
                    <w:bCs/>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12</w:t>
                </w:r>
                <w:r>
                  <w:rPr>
                    <w:rFonts w:hint="eastAsia"/>
                    <w:b/>
                    <w:color w:val="000000" w:themeColor="text1"/>
                  </w:rPr>
                  <w:t>月</w:t>
                </w:r>
                <w:r>
                  <w:rPr>
                    <w:b/>
                    <w:color w:val="000000" w:themeColor="text1"/>
                  </w:rPr>
                  <w:t>3</w:t>
                </w:r>
                <w:r>
                  <w:rPr>
                    <w:rFonts w:hint="eastAsia"/>
                    <w:b/>
                    <w:color w:val="000000" w:themeColor="text1"/>
                  </w:rPr>
                  <w:t>1</w:t>
                </w:r>
                <w:r>
                  <w:rPr>
                    <w:rFonts w:hint="eastAsia"/>
                    <w:b/>
                    <w:color w:val="000000" w:themeColor="text1"/>
                  </w:rPr>
                  <w:t>日</w:t>
                </w:r>
              </w:p>
            </w:tc>
          </w:sdtContent>
        </w:sdt>
        <w:sdt>
          <w:sdtPr>
            <w:tag w:val="_PLD_26edb5cd36ce4083a97dc26772b099ab"/>
            <w:id w:val="-1954942796"/>
          </w:sdtPr>
          <w:sdtContent>
            <w:tc>
              <w:tcPr>
                <w:tcW w:w="2411" w:type="dxa"/>
                <w:tcBorders>
                  <w:top w:val="outset" w:sz="6" w:space="0" w:color="auto"/>
                  <w:left w:val="outset" w:sz="6" w:space="0" w:color="auto"/>
                  <w:bottom w:val="outset" w:sz="6" w:space="0" w:color="auto"/>
                  <w:right w:val="outset" w:sz="6" w:space="0" w:color="auto"/>
                </w:tcBorders>
                <w:vAlign w:val="center"/>
              </w:tcPr>
              <w:p w14:paraId="2322969B" w14:textId="77777777" w:rsidR="00577D08" w:rsidRDefault="00330FC0">
                <w:pPr>
                  <w:jc w:val="center"/>
                  <w:rPr>
                    <w:b/>
                    <w:bCs/>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577D08" w14:paraId="1E973C7D" w14:textId="77777777">
        <w:sdt>
          <w:sdtPr>
            <w:tag w:val="_PLD_b54d834a04b8464892f4dccc28fbd9e0"/>
            <w:id w:val="-1980064199"/>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59A15DC5" w14:textId="77777777" w:rsidR="00577D08" w:rsidRDefault="00330FC0">
                <w:pPr>
                  <w:rPr>
                    <w:b/>
                    <w:color w:val="000000" w:themeColor="text1"/>
                  </w:rPr>
                </w:pPr>
                <w:r>
                  <w:rPr>
                    <w:rFonts w:hint="eastAsia"/>
                    <w:b/>
                    <w:color w:val="000000" w:themeColor="text1"/>
                  </w:rPr>
                  <w:t>流动资产：</w:t>
                </w:r>
              </w:p>
            </w:tc>
          </w:sdtContent>
        </w:sdt>
      </w:tr>
      <w:tr w:rsidR="00577D08" w14:paraId="50D77FAB" w14:textId="77777777">
        <w:tc>
          <w:tcPr>
            <w:tcW w:w="2944" w:type="dxa"/>
            <w:tcBorders>
              <w:top w:val="outset" w:sz="6" w:space="0" w:color="auto"/>
              <w:left w:val="outset" w:sz="6" w:space="0" w:color="auto"/>
              <w:bottom w:val="outset" w:sz="6" w:space="0" w:color="auto"/>
              <w:right w:val="outset" w:sz="6" w:space="0" w:color="auto"/>
            </w:tcBorders>
            <w:vAlign w:val="center"/>
          </w:tcPr>
          <w:p w14:paraId="2AF85842" w14:textId="77777777" w:rsidR="00577D08" w:rsidRDefault="00330FC0">
            <w:pPr>
              <w:ind w:firstLineChars="100" w:firstLine="210"/>
              <w:rPr>
                <w:color w:val="000000" w:themeColor="text1"/>
              </w:rPr>
            </w:pPr>
            <w:r>
              <w:rPr>
                <w:rFonts w:hint="eastAsia"/>
                <w:color w:val="000000" w:themeColor="text1"/>
              </w:rPr>
              <w:t>货币资金</w:t>
            </w:r>
          </w:p>
        </w:tc>
        <w:tc>
          <w:tcPr>
            <w:tcW w:w="1133" w:type="dxa"/>
            <w:tcBorders>
              <w:top w:val="outset" w:sz="6" w:space="0" w:color="auto"/>
              <w:left w:val="outset" w:sz="6" w:space="0" w:color="auto"/>
              <w:bottom w:val="outset" w:sz="6" w:space="0" w:color="auto"/>
              <w:right w:val="outset" w:sz="6" w:space="0" w:color="auto"/>
            </w:tcBorders>
          </w:tcPr>
          <w:p w14:paraId="145EB572"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063853F" w14:textId="77777777" w:rsidR="00577D08" w:rsidRDefault="00330FC0">
            <w:pPr>
              <w:jc w:val="right"/>
            </w:pPr>
            <w:r>
              <w:t xml:space="preserve"> 1,117,398,944.39 </w:t>
            </w:r>
          </w:p>
        </w:tc>
        <w:tc>
          <w:tcPr>
            <w:tcW w:w="2411" w:type="dxa"/>
            <w:tcBorders>
              <w:top w:val="outset" w:sz="6" w:space="0" w:color="auto"/>
              <w:left w:val="outset" w:sz="6" w:space="0" w:color="auto"/>
              <w:bottom w:val="outset" w:sz="6" w:space="0" w:color="auto"/>
              <w:right w:val="outset" w:sz="6" w:space="0" w:color="auto"/>
            </w:tcBorders>
          </w:tcPr>
          <w:p w14:paraId="54FB8984" w14:textId="77777777" w:rsidR="00577D08" w:rsidRDefault="00330FC0">
            <w:pPr>
              <w:jc w:val="right"/>
            </w:pPr>
            <w:r>
              <w:t>1,056,009,362.86</w:t>
            </w:r>
          </w:p>
        </w:tc>
      </w:tr>
      <w:tr w:rsidR="00577D08" w14:paraId="20226D3C" w14:textId="77777777">
        <w:tc>
          <w:tcPr>
            <w:tcW w:w="2944" w:type="dxa"/>
            <w:tcBorders>
              <w:top w:val="outset" w:sz="6" w:space="0" w:color="auto"/>
              <w:left w:val="outset" w:sz="6" w:space="0" w:color="auto"/>
              <w:bottom w:val="outset" w:sz="6" w:space="0" w:color="auto"/>
              <w:right w:val="outset" w:sz="6" w:space="0" w:color="auto"/>
            </w:tcBorders>
            <w:vAlign w:val="center"/>
          </w:tcPr>
          <w:p w14:paraId="7649A07B" w14:textId="77777777" w:rsidR="00577D08" w:rsidRDefault="00330FC0">
            <w:pPr>
              <w:ind w:firstLineChars="100" w:firstLine="210"/>
              <w:rPr>
                <w:color w:val="000000" w:themeColor="text1"/>
              </w:rPr>
            </w:pPr>
            <w:r>
              <w:rPr>
                <w:rFonts w:hint="eastAsia"/>
                <w:color w:val="000000" w:themeColor="text1"/>
              </w:rPr>
              <w:t>交易性金融资产</w:t>
            </w:r>
          </w:p>
        </w:tc>
        <w:tc>
          <w:tcPr>
            <w:tcW w:w="1133" w:type="dxa"/>
            <w:tcBorders>
              <w:top w:val="outset" w:sz="6" w:space="0" w:color="auto"/>
              <w:left w:val="outset" w:sz="6" w:space="0" w:color="auto"/>
              <w:bottom w:val="outset" w:sz="6" w:space="0" w:color="auto"/>
              <w:right w:val="outset" w:sz="6" w:space="0" w:color="auto"/>
            </w:tcBorders>
          </w:tcPr>
          <w:p w14:paraId="019E74F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6F9D8F6"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A0515CF" w14:textId="77777777" w:rsidR="00577D08" w:rsidRDefault="00330FC0">
            <w:pPr>
              <w:jc w:val="right"/>
            </w:pPr>
            <w:r>
              <w:t>25,058,819.44</w:t>
            </w:r>
          </w:p>
        </w:tc>
      </w:tr>
      <w:tr w:rsidR="00577D08" w14:paraId="07DC3CC0" w14:textId="77777777">
        <w:tc>
          <w:tcPr>
            <w:tcW w:w="2944" w:type="dxa"/>
            <w:tcBorders>
              <w:top w:val="outset" w:sz="6" w:space="0" w:color="auto"/>
              <w:left w:val="outset" w:sz="6" w:space="0" w:color="auto"/>
              <w:bottom w:val="outset" w:sz="6" w:space="0" w:color="auto"/>
              <w:right w:val="outset" w:sz="6" w:space="0" w:color="auto"/>
            </w:tcBorders>
            <w:vAlign w:val="center"/>
          </w:tcPr>
          <w:p w14:paraId="63C551C3" w14:textId="77777777" w:rsidR="00577D08" w:rsidRDefault="00330FC0">
            <w:pPr>
              <w:ind w:firstLineChars="100" w:firstLine="210"/>
              <w:rPr>
                <w:color w:val="000000" w:themeColor="text1"/>
              </w:rPr>
            </w:pPr>
            <w:r>
              <w:rPr>
                <w:rFonts w:hint="eastAsia"/>
                <w:color w:val="000000" w:themeColor="text1"/>
              </w:rPr>
              <w:t>衍生金融资产</w:t>
            </w:r>
          </w:p>
        </w:tc>
        <w:tc>
          <w:tcPr>
            <w:tcW w:w="1133" w:type="dxa"/>
            <w:tcBorders>
              <w:top w:val="outset" w:sz="6" w:space="0" w:color="auto"/>
              <w:left w:val="outset" w:sz="6" w:space="0" w:color="auto"/>
              <w:bottom w:val="outset" w:sz="6" w:space="0" w:color="auto"/>
              <w:right w:val="outset" w:sz="6" w:space="0" w:color="auto"/>
            </w:tcBorders>
          </w:tcPr>
          <w:p w14:paraId="23DEA42C"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F4CE8E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48FB33F" w14:textId="77777777" w:rsidR="00577D08" w:rsidRDefault="00577D08">
            <w:pPr>
              <w:jc w:val="right"/>
            </w:pPr>
          </w:p>
        </w:tc>
      </w:tr>
      <w:tr w:rsidR="00577D08" w14:paraId="06EB0866" w14:textId="77777777">
        <w:tc>
          <w:tcPr>
            <w:tcW w:w="2944" w:type="dxa"/>
            <w:tcBorders>
              <w:top w:val="outset" w:sz="6" w:space="0" w:color="auto"/>
              <w:left w:val="outset" w:sz="6" w:space="0" w:color="auto"/>
              <w:bottom w:val="outset" w:sz="6" w:space="0" w:color="auto"/>
              <w:right w:val="outset" w:sz="6" w:space="0" w:color="auto"/>
            </w:tcBorders>
            <w:vAlign w:val="center"/>
          </w:tcPr>
          <w:p w14:paraId="27134275" w14:textId="77777777" w:rsidR="00577D08" w:rsidRDefault="00330FC0">
            <w:pPr>
              <w:ind w:firstLineChars="100" w:firstLine="210"/>
              <w:rPr>
                <w:color w:val="000000" w:themeColor="text1"/>
              </w:rPr>
            </w:pPr>
            <w:r>
              <w:rPr>
                <w:rFonts w:hint="eastAsia"/>
                <w:color w:val="000000" w:themeColor="text1"/>
              </w:rPr>
              <w:t>应收票据</w:t>
            </w:r>
          </w:p>
        </w:tc>
        <w:tc>
          <w:tcPr>
            <w:tcW w:w="1133" w:type="dxa"/>
            <w:tcBorders>
              <w:top w:val="outset" w:sz="6" w:space="0" w:color="auto"/>
              <w:left w:val="outset" w:sz="6" w:space="0" w:color="auto"/>
              <w:bottom w:val="outset" w:sz="6" w:space="0" w:color="auto"/>
              <w:right w:val="outset" w:sz="6" w:space="0" w:color="auto"/>
            </w:tcBorders>
          </w:tcPr>
          <w:p w14:paraId="28E9388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62A6B76" w14:textId="77777777" w:rsidR="00577D08" w:rsidRDefault="00330FC0">
            <w:pPr>
              <w:jc w:val="right"/>
            </w:pPr>
            <w:r>
              <w:t xml:space="preserve"> 270,555,723.85 </w:t>
            </w:r>
          </w:p>
        </w:tc>
        <w:tc>
          <w:tcPr>
            <w:tcW w:w="2411" w:type="dxa"/>
            <w:tcBorders>
              <w:top w:val="outset" w:sz="6" w:space="0" w:color="auto"/>
              <w:left w:val="outset" w:sz="6" w:space="0" w:color="auto"/>
              <w:bottom w:val="outset" w:sz="6" w:space="0" w:color="auto"/>
              <w:right w:val="outset" w:sz="6" w:space="0" w:color="auto"/>
            </w:tcBorders>
          </w:tcPr>
          <w:p w14:paraId="74694E3A" w14:textId="77777777" w:rsidR="00577D08" w:rsidRDefault="00330FC0">
            <w:pPr>
              <w:jc w:val="right"/>
            </w:pPr>
            <w:r>
              <w:t>193,886,379.94</w:t>
            </w:r>
          </w:p>
        </w:tc>
      </w:tr>
      <w:tr w:rsidR="00577D08" w14:paraId="648ECF81" w14:textId="77777777">
        <w:tc>
          <w:tcPr>
            <w:tcW w:w="2944" w:type="dxa"/>
            <w:tcBorders>
              <w:top w:val="outset" w:sz="6" w:space="0" w:color="auto"/>
              <w:left w:val="outset" w:sz="6" w:space="0" w:color="auto"/>
              <w:bottom w:val="outset" w:sz="6" w:space="0" w:color="auto"/>
              <w:right w:val="outset" w:sz="6" w:space="0" w:color="auto"/>
            </w:tcBorders>
            <w:vAlign w:val="center"/>
          </w:tcPr>
          <w:p w14:paraId="01ADF851" w14:textId="77777777" w:rsidR="00577D08" w:rsidRDefault="00330FC0">
            <w:pPr>
              <w:ind w:firstLineChars="100" w:firstLine="210"/>
              <w:rPr>
                <w:color w:val="000000" w:themeColor="text1"/>
              </w:rPr>
            </w:pPr>
            <w:r>
              <w:rPr>
                <w:rFonts w:hint="eastAsia"/>
                <w:color w:val="000000" w:themeColor="text1"/>
              </w:rPr>
              <w:t>应收账款</w:t>
            </w:r>
          </w:p>
        </w:tc>
        <w:tc>
          <w:tcPr>
            <w:tcW w:w="1133" w:type="dxa"/>
            <w:tcBorders>
              <w:top w:val="outset" w:sz="6" w:space="0" w:color="auto"/>
              <w:left w:val="outset" w:sz="6" w:space="0" w:color="auto"/>
              <w:bottom w:val="outset" w:sz="6" w:space="0" w:color="auto"/>
              <w:right w:val="outset" w:sz="6" w:space="0" w:color="auto"/>
            </w:tcBorders>
          </w:tcPr>
          <w:p w14:paraId="0A1BE4F1" w14:textId="77777777" w:rsidR="00577D08" w:rsidRDefault="00330FC0">
            <w:r>
              <w:rPr>
                <w:rFonts w:hint="eastAsia"/>
              </w:rPr>
              <w:t>十九、</w:t>
            </w:r>
            <w:r>
              <w:rPr>
                <w:rFonts w:hint="eastAsia"/>
              </w:rPr>
              <w:t>1</w:t>
            </w:r>
          </w:p>
        </w:tc>
        <w:tc>
          <w:tcPr>
            <w:tcW w:w="2550" w:type="dxa"/>
            <w:tcBorders>
              <w:top w:val="outset" w:sz="6" w:space="0" w:color="auto"/>
              <w:left w:val="outset" w:sz="6" w:space="0" w:color="auto"/>
              <w:bottom w:val="outset" w:sz="6" w:space="0" w:color="auto"/>
              <w:right w:val="outset" w:sz="6" w:space="0" w:color="auto"/>
            </w:tcBorders>
          </w:tcPr>
          <w:p w14:paraId="6B2A96CA" w14:textId="77777777" w:rsidR="00577D08" w:rsidRDefault="00330FC0">
            <w:pPr>
              <w:jc w:val="right"/>
            </w:pPr>
            <w:r>
              <w:t xml:space="preserve"> 1,150,085,767.86 </w:t>
            </w:r>
          </w:p>
        </w:tc>
        <w:tc>
          <w:tcPr>
            <w:tcW w:w="2411" w:type="dxa"/>
            <w:tcBorders>
              <w:top w:val="outset" w:sz="6" w:space="0" w:color="auto"/>
              <w:left w:val="outset" w:sz="6" w:space="0" w:color="auto"/>
              <w:bottom w:val="outset" w:sz="6" w:space="0" w:color="auto"/>
              <w:right w:val="outset" w:sz="6" w:space="0" w:color="auto"/>
            </w:tcBorders>
          </w:tcPr>
          <w:p w14:paraId="5BE7BEC7" w14:textId="77777777" w:rsidR="00577D08" w:rsidRDefault="00330FC0">
            <w:pPr>
              <w:jc w:val="right"/>
            </w:pPr>
            <w:r>
              <w:t>919,355,457.70</w:t>
            </w:r>
          </w:p>
        </w:tc>
      </w:tr>
      <w:tr w:rsidR="00577D08" w14:paraId="51FA49CE" w14:textId="77777777">
        <w:tc>
          <w:tcPr>
            <w:tcW w:w="2944" w:type="dxa"/>
            <w:tcBorders>
              <w:top w:val="outset" w:sz="6" w:space="0" w:color="auto"/>
              <w:left w:val="outset" w:sz="6" w:space="0" w:color="auto"/>
              <w:bottom w:val="outset" w:sz="6" w:space="0" w:color="auto"/>
              <w:right w:val="outset" w:sz="6" w:space="0" w:color="auto"/>
            </w:tcBorders>
            <w:vAlign w:val="center"/>
          </w:tcPr>
          <w:p w14:paraId="55BB6154" w14:textId="77777777" w:rsidR="00577D08" w:rsidRDefault="00330FC0">
            <w:pPr>
              <w:ind w:firstLineChars="100" w:firstLine="210"/>
              <w:rPr>
                <w:color w:val="000000" w:themeColor="text1"/>
              </w:rPr>
            </w:pPr>
            <w:r>
              <w:rPr>
                <w:rFonts w:hint="eastAsia"/>
                <w:color w:val="000000" w:themeColor="text1"/>
              </w:rPr>
              <w:t>应收款项融资</w:t>
            </w:r>
          </w:p>
        </w:tc>
        <w:tc>
          <w:tcPr>
            <w:tcW w:w="1133" w:type="dxa"/>
            <w:tcBorders>
              <w:top w:val="outset" w:sz="6" w:space="0" w:color="auto"/>
              <w:left w:val="outset" w:sz="6" w:space="0" w:color="auto"/>
              <w:bottom w:val="outset" w:sz="6" w:space="0" w:color="auto"/>
              <w:right w:val="outset" w:sz="6" w:space="0" w:color="auto"/>
            </w:tcBorders>
          </w:tcPr>
          <w:p w14:paraId="1091A8B6"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F0215C0" w14:textId="77777777" w:rsidR="00577D08" w:rsidRDefault="00330FC0">
            <w:pPr>
              <w:jc w:val="right"/>
            </w:pPr>
            <w:r>
              <w:t xml:space="preserve"> 29,744,229.08 </w:t>
            </w:r>
          </w:p>
        </w:tc>
        <w:tc>
          <w:tcPr>
            <w:tcW w:w="2411" w:type="dxa"/>
            <w:tcBorders>
              <w:top w:val="outset" w:sz="6" w:space="0" w:color="auto"/>
              <w:left w:val="outset" w:sz="6" w:space="0" w:color="auto"/>
              <w:bottom w:val="outset" w:sz="6" w:space="0" w:color="auto"/>
              <w:right w:val="outset" w:sz="6" w:space="0" w:color="auto"/>
            </w:tcBorders>
          </w:tcPr>
          <w:p w14:paraId="4E09331A" w14:textId="77777777" w:rsidR="00577D08" w:rsidRDefault="00330FC0">
            <w:pPr>
              <w:jc w:val="right"/>
            </w:pPr>
            <w:r>
              <w:t>4,462,766.73</w:t>
            </w:r>
          </w:p>
        </w:tc>
      </w:tr>
      <w:tr w:rsidR="00577D08" w14:paraId="2710EB57" w14:textId="77777777">
        <w:tc>
          <w:tcPr>
            <w:tcW w:w="2944" w:type="dxa"/>
            <w:tcBorders>
              <w:top w:val="outset" w:sz="6" w:space="0" w:color="auto"/>
              <w:left w:val="outset" w:sz="6" w:space="0" w:color="auto"/>
              <w:bottom w:val="outset" w:sz="6" w:space="0" w:color="auto"/>
              <w:right w:val="outset" w:sz="6" w:space="0" w:color="auto"/>
            </w:tcBorders>
            <w:vAlign w:val="center"/>
          </w:tcPr>
          <w:p w14:paraId="09EE4A1E" w14:textId="77777777" w:rsidR="00577D08" w:rsidRDefault="00330FC0">
            <w:pPr>
              <w:ind w:firstLineChars="100" w:firstLine="210"/>
              <w:rPr>
                <w:color w:val="000000" w:themeColor="text1"/>
              </w:rPr>
            </w:pPr>
            <w:r>
              <w:rPr>
                <w:rFonts w:hint="eastAsia"/>
                <w:color w:val="000000" w:themeColor="text1"/>
              </w:rPr>
              <w:t>预付款项</w:t>
            </w:r>
          </w:p>
        </w:tc>
        <w:tc>
          <w:tcPr>
            <w:tcW w:w="1133" w:type="dxa"/>
            <w:tcBorders>
              <w:top w:val="outset" w:sz="6" w:space="0" w:color="auto"/>
              <w:left w:val="outset" w:sz="6" w:space="0" w:color="auto"/>
              <w:bottom w:val="outset" w:sz="6" w:space="0" w:color="auto"/>
              <w:right w:val="outset" w:sz="6" w:space="0" w:color="auto"/>
            </w:tcBorders>
          </w:tcPr>
          <w:p w14:paraId="159E120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C275C8E" w14:textId="77777777" w:rsidR="00577D08" w:rsidRDefault="00330FC0">
            <w:pPr>
              <w:jc w:val="right"/>
            </w:pPr>
            <w:r>
              <w:t xml:space="preserve"> 36,113,916.40 </w:t>
            </w:r>
          </w:p>
        </w:tc>
        <w:tc>
          <w:tcPr>
            <w:tcW w:w="2411" w:type="dxa"/>
            <w:tcBorders>
              <w:top w:val="outset" w:sz="6" w:space="0" w:color="auto"/>
              <w:left w:val="outset" w:sz="6" w:space="0" w:color="auto"/>
              <w:bottom w:val="outset" w:sz="6" w:space="0" w:color="auto"/>
              <w:right w:val="outset" w:sz="6" w:space="0" w:color="auto"/>
            </w:tcBorders>
          </w:tcPr>
          <w:p w14:paraId="3D1699A4" w14:textId="77777777" w:rsidR="00577D08" w:rsidRDefault="00330FC0">
            <w:pPr>
              <w:jc w:val="right"/>
            </w:pPr>
            <w:r>
              <w:t>76,541,336.56</w:t>
            </w:r>
          </w:p>
        </w:tc>
      </w:tr>
      <w:tr w:rsidR="00577D08" w14:paraId="3A9346F4" w14:textId="77777777">
        <w:tc>
          <w:tcPr>
            <w:tcW w:w="2944" w:type="dxa"/>
            <w:tcBorders>
              <w:top w:val="outset" w:sz="6" w:space="0" w:color="auto"/>
              <w:left w:val="outset" w:sz="6" w:space="0" w:color="auto"/>
              <w:bottom w:val="outset" w:sz="6" w:space="0" w:color="auto"/>
              <w:right w:val="outset" w:sz="6" w:space="0" w:color="auto"/>
            </w:tcBorders>
            <w:vAlign w:val="center"/>
          </w:tcPr>
          <w:p w14:paraId="4F213C60" w14:textId="77777777" w:rsidR="00577D08" w:rsidRDefault="00330FC0">
            <w:pPr>
              <w:ind w:firstLineChars="100" w:firstLine="210"/>
              <w:rPr>
                <w:color w:val="000000" w:themeColor="text1"/>
              </w:rPr>
            </w:pPr>
            <w:r>
              <w:rPr>
                <w:rFonts w:hint="eastAsia"/>
                <w:color w:val="000000" w:themeColor="text1"/>
              </w:rPr>
              <w:t>其他应收款</w:t>
            </w:r>
          </w:p>
        </w:tc>
        <w:tc>
          <w:tcPr>
            <w:tcW w:w="1133" w:type="dxa"/>
            <w:tcBorders>
              <w:top w:val="outset" w:sz="6" w:space="0" w:color="auto"/>
              <w:left w:val="outset" w:sz="6" w:space="0" w:color="auto"/>
              <w:bottom w:val="outset" w:sz="6" w:space="0" w:color="auto"/>
              <w:right w:val="outset" w:sz="6" w:space="0" w:color="auto"/>
            </w:tcBorders>
          </w:tcPr>
          <w:p w14:paraId="49160B90" w14:textId="77777777" w:rsidR="00577D08" w:rsidRDefault="00330FC0">
            <w:r>
              <w:rPr>
                <w:rFonts w:hint="eastAsia"/>
              </w:rPr>
              <w:t>十九、</w:t>
            </w:r>
            <w:r>
              <w:rPr>
                <w:rFonts w:hint="eastAsia"/>
              </w:rPr>
              <w:t>2</w:t>
            </w:r>
          </w:p>
        </w:tc>
        <w:tc>
          <w:tcPr>
            <w:tcW w:w="2550" w:type="dxa"/>
            <w:tcBorders>
              <w:top w:val="outset" w:sz="6" w:space="0" w:color="auto"/>
              <w:left w:val="outset" w:sz="6" w:space="0" w:color="auto"/>
              <w:bottom w:val="outset" w:sz="6" w:space="0" w:color="auto"/>
              <w:right w:val="outset" w:sz="6" w:space="0" w:color="auto"/>
            </w:tcBorders>
          </w:tcPr>
          <w:p w14:paraId="6DC6613C" w14:textId="77777777" w:rsidR="00577D08" w:rsidRDefault="00330FC0">
            <w:pPr>
              <w:jc w:val="right"/>
            </w:pPr>
            <w:r>
              <w:t xml:space="preserve"> 382,065,489.93 </w:t>
            </w:r>
          </w:p>
        </w:tc>
        <w:tc>
          <w:tcPr>
            <w:tcW w:w="2411" w:type="dxa"/>
            <w:tcBorders>
              <w:top w:val="outset" w:sz="6" w:space="0" w:color="auto"/>
              <w:left w:val="outset" w:sz="6" w:space="0" w:color="auto"/>
              <w:bottom w:val="outset" w:sz="6" w:space="0" w:color="auto"/>
              <w:right w:val="outset" w:sz="6" w:space="0" w:color="auto"/>
            </w:tcBorders>
          </w:tcPr>
          <w:p w14:paraId="6E8D3766" w14:textId="77777777" w:rsidR="00577D08" w:rsidRDefault="00330FC0">
            <w:pPr>
              <w:jc w:val="right"/>
            </w:pPr>
            <w:r>
              <w:t>325,553,719.91</w:t>
            </w:r>
          </w:p>
        </w:tc>
      </w:tr>
      <w:tr w:rsidR="00577D08" w14:paraId="19B0DE1C" w14:textId="77777777">
        <w:tc>
          <w:tcPr>
            <w:tcW w:w="2944" w:type="dxa"/>
            <w:tcBorders>
              <w:top w:val="outset" w:sz="6" w:space="0" w:color="auto"/>
              <w:left w:val="outset" w:sz="6" w:space="0" w:color="auto"/>
              <w:bottom w:val="outset" w:sz="6" w:space="0" w:color="auto"/>
              <w:right w:val="outset" w:sz="6" w:space="0" w:color="auto"/>
            </w:tcBorders>
            <w:vAlign w:val="center"/>
          </w:tcPr>
          <w:p w14:paraId="3F15E511" w14:textId="77777777" w:rsidR="00577D08" w:rsidRDefault="00330FC0">
            <w:pPr>
              <w:ind w:firstLineChars="100" w:firstLine="210"/>
              <w:rPr>
                <w:color w:val="000000" w:themeColor="text1"/>
              </w:rPr>
            </w:pPr>
            <w:r>
              <w:rPr>
                <w:rFonts w:hint="eastAsia"/>
                <w:color w:val="000000" w:themeColor="text1"/>
              </w:rPr>
              <w:t>其中：应收利息</w:t>
            </w:r>
          </w:p>
        </w:tc>
        <w:tc>
          <w:tcPr>
            <w:tcW w:w="1133" w:type="dxa"/>
            <w:tcBorders>
              <w:top w:val="outset" w:sz="6" w:space="0" w:color="auto"/>
              <w:left w:val="outset" w:sz="6" w:space="0" w:color="auto"/>
              <w:bottom w:val="outset" w:sz="6" w:space="0" w:color="auto"/>
              <w:right w:val="outset" w:sz="6" w:space="0" w:color="auto"/>
            </w:tcBorders>
          </w:tcPr>
          <w:p w14:paraId="4601A2A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7C8D21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E303010" w14:textId="77777777" w:rsidR="00577D08" w:rsidRDefault="00577D08">
            <w:pPr>
              <w:jc w:val="right"/>
            </w:pPr>
          </w:p>
        </w:tc>
      </w:tr>
      <w:tr w:rsidR="00577D08" w14:paraId="0FBA17FA" w14:textId="77777777">
        <w:tc>
          <w:tcPr>
            <w:tcW w:w="2944" w:type="dxa"/>
            <w:tcBorders>
              <w:top w:val="outset" w:sz="6" w:space="0" w:color="auto"/>
              <w:left w:val="outset" w:sz="6" w:space="0" w:color="auto"/>
              <w:bottom w:val="outset" w:sz="6" w:space="0" w:color="auto"/>
              <w:right w:val="outset" w:sz="6" w:space="0" w:color="auto"/>
            </w:tcBorders>
            <w:vAlign w:val="center"/>
          </w:tcPr>
          <w:p w14:paraId="31459B3C" w14:textId="77777777" w:rsidR="00577D08" w:rsidRDefault="00330FC0">
            <w:pPr>
              <w:ind w:firstLineChars="400" w:firstLine="840"/>
              <w:rPr>
                <w:color w:val="000000" w:themeColor="text1"/>
              </w:rPr>
            </w:pPr>
            <w:r>
              <w:rPr>
                <w:rFonts w:hint="eastAsia"/>
                <w:color w:val="000000" w:themeColor="text1"/>
              </w:rPr>
              <w:t>应收股利</w:t>
            </w:r>
          </w:p>
        </w:tc>
        <w:tc>
          <w:tcPr>
            <w:tcW w:w="1133" w:type="dxa"/>
            <w:tcBorders>
              <w:top w:val="outset" w:sz="6" w:space="0" w:color="auto"/>
              <w:left w:val="outset" w:sz="6" w:space="0" w:color="auto"/>
              <w:bottom w:val="outset" w:sz="6" w:space="0" w:color="auto"/>
              <w:right w:val="outset" w:sz="6" w:space="0" w:color="auto"/>
            </w:tcBorders>
          </w:tcPr>
          <w:p w14:paraId="5661161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598C97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175D005" w14:textId="77777777" w:rsidR="00577D08" w:rsidRDefault="00577D08">
            <w:pPr>
              <w:jc w:val="right"/>
            </w:pPr>
          </w:p>
        </w:tc>
      </w:tr>
      <w:tr w:rsidR="00577D08" w14:paraId="4B7CA182" w14:textId="77777777">
        <w:tc>
          <w:tcPr>
            <w:tcW w:w="2944" w:type="dxa"/>
            <w:tcBorders>
              <w:top w:val="outset" w:sz="6" w:space="0" w:color="auto"/>
              <w:left w:val="outset" w:sz="6" w:space="0" w:color="auto"/>
              <w:bottom w:val="outset" w:sz="6" w:space="0" w:color="auto"/>
              <w:right w:val="outset" w:sz="6" w:space="0" w:color="auto"/>
            </w:tcBorders>
            <w:vAlign w:val="center"/>
          </w:tcPr>
          <w:p w14:paraId="71368239" w14:textId="77777777" w:rsidR="00577D08" w:rsidRDefault="00330FC0">
            <w:pPr>
              <w:ind w:firstLineChars="100" w:firstLine="210"/>
              <w:rPr>
                <w:color w:val="000000" w:themeColor="text1"/>
              </w:rPr>
            </w:pPr>
            <w:r>
              <w:rPr>
                <w:rFonts w:hint="eastAsia"/>
                <w:color w:val="000000" w:themeColor="text1"/>
              </w:rPr>
              <w:t>存货</w:t>
            </w:r>
          </w:p>
        </w:tc>
        <w:tc>
          <w:tcPr>
            <w:tcW w:w="1133" w:type="dxa"/>
            <w:tcBorders>
              <w:top w:val="outset" w:sz="6" w:space="0" w:color="auto"/>
              <w:left w:val="outset" w:sz="6" w:space="0" w:color="auto"/>
              <w:bottom w:val="outset" w:sz="6" w:space="0" w:color="auto"/>
              <w:right w:val="outset" w:sz="6" w:space="0" w:color="auto"/>
            </w:tcBorders>
          </w:tcPr>
          <w:p w14:paraId="532EAB9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0795C1B" w14:textId="77777777" w:rsidR="00577D08" w:rsidRDefault="00330FC0">
            <w:pPr>
              <w:jc w:val="right"/>
            </w:pPr>
            <w:r>
              <w:t xml:space="preserve"> 507,717,452.77 </w:t>
            </w:r>
          </w:p>
        </w:tc>
        <w:tc>
          <w:tcPr>
            <w:tcW w:w="2411" w:type="dxa"/>
            <w:tcBorders>
              <w:top w:val="outset" w:sz="6" w:space="0" w:color="auto"/>
              <w:left w:val="outset" w:sz="6" w:space="0" w:color="auto"/>
              <w:bottom w:val="outset" w:sz="6" w:space="0" w:color="auto"/>
              <w:right w:val="outset" w:sz="6" w:space="0" w:color="auto"/>
            </w:tcBorders>
          </w:tcPr>
          <w:p w14:paraId="0ACF3DA5" w14:textId="77777777" w:rsidR="00577D08" w:rsidRDefault="00330FC0">
            <w:pPr>
              <w:jc w:val="right"/>
            </w:pPr>
            <w:r>
              <w:t>471,208,951.30</w:t>
            </w:r>
          </w:p>
        </w:tc>
      </w:tr>
      <w:tr w:rsidR="00577D08" w14:paraId="01027838" w14:textId="77777777">
        <w:tc>
          <w:tcPr>
            <w:tcW w:w="2944" w:type="dxa"/>
            <w:tcBorders>
              <w:top w:val="outset" w:sz="6" w:space="0" w:color="auto"/>
              <w:left w:val="outset" w:sz="6" w:space="0" w:color="auto"/>
              <w:bottom w:val="outset" w:sz="6" w:space="0" w:color="auto"/>
              <w:right w:val="outset" w:sz="6" w:space="0" w:color="auto"/>
            </w:tcBorders>
            <w:vAlign w:val="center"/>
          </w:tcPr>
          <w:p w14:paraId="074CC568" w14:textId="77777777" w:rsidR="00577D08" w:rsidRDefault="00330FC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tcPr>
          <w:p w14:paraId="273DDDB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0B6F21B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16CABAA" w14:textId="77777777" w:rsidR="00577D08" w:rsidRDefault="00577D08">
            <w:pPr>
              <w:jc w:val="right"/>
            </w:pPr>
          </w:p>
        </w:tc>
      </w:tr>
      <w:tr w:rsidR="00577D08" w14:paraId="73D14BE7" w14:textId="77777777">
        <w:tc>
          <w:tcPr>
            <w:tcW w:w="2944" w:type="dxa"/>
            <w:tcBorders>
              <w:top w:val="outset" w:sz="6" w:space="0" w:color="auto"/>
              <w:left w:val="outset" w:sz="6" w:space="0" w:color="auto"/>
              <w:bottom w:val="outset" w:sz="6" w:space="0" w:color="auto"/>
              <w:right w:val="outset" w:sz="6" w:space="0" w:color="auto"/>
            </w:tcBorders>
            <w:vAlign w:val="center"/>
          </w:tcPr>
          <w:p w14:paraId="56CABF8E" w14:textId="77777777" w:rsidR="00577D08" w:rsidRDefault="00330FC0">
            <w:pPr>
              <w:ind w:firstLineChars="100" w:firstLine="210"/>
              <w:rPr>
                <w:color w:val="000000" w:themeColor="text1"/>
              </w:rPr>
            </w:pPr>
            <w:r>
              <w:rPr>
                <w:rFonts w:hint="eastAsia"/>
                <w:color w:val="000000" w:themeColor="text1"/>
              </w:rPr>
              <w:t>合同资产</w:t>
            </w:r>
          </w:p>
        </w:tc>
        <w:tc>
          <w:tcPr>
            <w:tcW w:w="1133" w:type="dxa"/>
            <w:tcBorders>
              <w:top w:val="outset" w:sz="6" w:space="0" w:color="auto"/>
              <w:left w:val="outset" w:sz="6" w:space="0" w:color="auto"/>
              <w:bottom w:val="outset" w:sz="6" w:space="0" w:color="auto"/>
              <w:right w:val="outset" w:sz="6" w:space="0" w:color="auto"/>
            </w:tcBorders>
          </w:tcPr>
          <w:p w14:paraId="3B2381CE"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C378B42"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59E6517F" w14:textId="77777777" w:rsidR="00577D08" w:rsidRDefault="00577D08">
            <w:pPr>
              <w:jc w:val="right"/>
            </w:pPr>
          </w:p>
        </w:tc>
      </w:tr>
      <w:tr w:rsidR="00577D08" w14:paraId="5EF9437D" w14:textId="77777777">
        <w:tc>
          <w:tcPr>
            <w:tcW w:w="2944" w:type="dxa"/>
            <w:tcBorders>
              <w:top w:val="outset" w:sz="6" w:space="0" w:color="auto"/>
              <w:left w:val="outset" w:sz="6" w:space="0" w:color="auto"/>
              <w:bottom w:val="outset" w:sz="6" w:space="0" w:color="auto"/>
              <w:right w:val="outset" w:sz="6" w:space="0" w:color="auto"/>
            </w:tcBorders>
            <w:vAlign w:val="center"/>
          </w:tcPr>
          <w:p w14:paraId="3F59C3CB" w14:textId="77777777" w:rsidR="00577D08" w:rsidRDefault="00330FC0">
            <w:pPr>
              <w:ind w:firstLineChars="100" w:firstLine="210"/>
              <w:rPr>
                <w:color w:val="000000" w:themeColor="text1"/>
              </w:rPr>
            </w:pPr>
            <w:r>
              <w:rPr>
                <w:rFonts w:hint="eastAsia"/>
                <w:color w:val="000000" w:themeColor="text1"/>
              </w:rPr>
              <w:t>持有待售资产</w:t>
            </w:r>
          </w:p>
        </w:tc>
        <w:tc>
          <w:tcPr>
            <w:tcW w:w="1133" w:type="dxa"/>
            <w:tcBorders>
              <w:top w:val="outset" w:sz="6" w:space="0" w:color="auto"/>
              <w:left w:val="outset" w:sz="6" w:space="0" w:color="auto"/>
              <w:bottom w:val="outset" w:sz="6" w:space="0" w:color="auto"/>
              <w:right w:val="outset" w:sz="6" w:space="0" w:color="auto"/>
            </w:tcBorders>
          </w:tcPr>
          <w:p w14:paraId="71B92BB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7CF1E0A"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FC04A91" w14:textId="77777777" w:rsidR="00577D08" w:rsidRDefault="00577D08">
            <w:pPr>
              <w:jc w:val="right"/>
            </w:pPr>
          </w:p>
        </w:tc>
      </w:tr>
      <w:tr w:rsidR="00577D08" w14:paraId="7707A1EB" w14:textId="77777777">
        <w:tc>
          <w:tcPr>
            <w:tcW w:w="2944" w:type="dxa"/>
            <w:tcBorders>
              <w:top w:val="outset" w:sz="6" w:space="0" w:color="auto"/>
              <w:left w:val="outset" w:sz="6" w:space="0" w:color="auto"/>
              <w:bottom w:val="outset" w:sz="6" w:space="0" w:color="auto"/>
              <w:right w:val="outset" w:sz="6" w:space="0" w:color="auto"/>
            </w:tcBorders>
            <w:vAlign w:val="center"/>
          </w:tcPr>
          <w:p w14:paraId="1B9EEFB3" w14:textId="77777777" w:rsidR="00577D08" w:rsidRDefault="00330FC0">
            <w:pPr>
              <w:ind w:firstLineChars="100" w:firstLine="210"/>
              <w:rPr>
                <w:color w:val="000000" w:themeColor="text1"/>
              </w:rPr>
            </w:pPr>
            <w:r>
              <w:rPr>
                <w:rFonts w:hint="eastAsia"/>
                <w:color w:val="000000" w:themeColor="text1"/>
              </w:rPr>
              <w:t>一年内到期的非流动资产</w:t>
            </w:r>
          </w:p>
        </w:tc>
        <w:tc>
          <w:tcPr>
            <w:tcW w:w="1133" w:type="dxa"/>
            <w:tcBorders>
              <w:top w:val="outset" w:sz="6" w:space="0" w:color="auto"/>
              <w:left w:val="outset" w:sz="6" w:space="0" w:color="auto"/>
              <w:bottom w:val="outset" w:sz="6" w:space="0" w:color="auto"/>
              <w:right w:val="outset" w:sz="6" w:space="0" w:color="auto"/>
            </w:tcBorders>
          </w:tcPr>
          <w:p w14:paraId="3B5E5EF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E6E5219"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5950422D" w14:textId="77777777" w:rsidR="00577D08" w:rsidRDefault="00577D08">
            <w:pPr>
              <w:jc w:val="right"/>
            </w:pPr>
          </w:p>
        </w:tc>
      </w:tr>
      <w:tr w:rsidR="00577D08" w14:paraId="7D82D7AF" w14:textId="77777777">
        <w:tc>
          <w:tcPr>
            <w:tcW w:w="2944" w:type="dxa"/>
            <w:tcBorders>
              <w:top w:val="outset" w:sz="6" w:space="0" w:color="auto"/>
              <w:left w:val="outset" w:sz="6" w:space="0" w:color="auto"/>
              <w:bottom w:val="outset" w:sz="6" w:space="0" w:color="auto"/>
              <w:right w:val="outset" w:sz="6" w:space="0" w:color="auto"/>
            </w:tcBorders>
            <w:vAlign w:val="center"/>
          </w:tcPr>
          <w:p w14:paraId="7ADBB1F3" w14:textId="77777777" w:rsidR="00577D08" w:rsidRDefault="00330FC0">
            <w:pPr>
              <w:ind w:firstLineChars="100" w:firstLine="210"/>
              <w:rPr>
                <w:color w:val="000000" w:themeColor="text1"/>
              </w:rPr>
            </w:pPr>
            <w:r>
              <w:rPr>
                <w:rFonts w:hint="eastAsia"/>
                <w:color w:val="000000" w:themeColor="text1"/>
              </w:rPr>
              <w:t>其他流动资产</w:t>
            </w:r>
          </w:p>
        </w:tc>
        <w:tc>
          <w:tcPr>
            <w:tcW w:w="1133" w:type="dxa"/>
            <w:tcBorders>
              <w:top w:val="outset" w:sz="6" w:space="0" w:color="auto"/>
              <w:left w:val="outset" w:sz="6" w:space="0" w:color="auto"/>
              <w:bottom w:val="outset" w:sz="6" w:space="0" w:color="auto"/>
              <w:right w:val="outset" w:sz="6" w:space="0" w:color="auto"/>
            </w:tcBorders>
          </w:tcPr>
          <w:p w14:paraId="5946A19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05B26133"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747833F" w14:textId="77777777" w:rsidR="00577D08" w:rsidRDefault="00330FC0">
            <w:pPr>
              <w:jc w:val="right"/>
            </w:pPr>
            <w:r>
              <w:t>1,777,273.27</w:t>
            </w:r>
          </w:p>
        </w:tc>
      </w:tr>
      <w:tr w:rsidR="00577D08" w14:paraId="6E3080BC" w14:textId="77777777">
        <w:tc>
          <w:tcPr>
            <w:tcW w:w="2944" w:type="dxa"/>
            <w:tcBorders>
              <w:top w:val="outset" w:sz="6" w:space="0" w:color="auto"/>
              <w:left w:val="outset" w:sz="6" w:space="0" w:color="auto"/>
              <w:bottom w:val="outset" w:sz="6" w:space="0" w:color="auto"/>
              <w:right w:val="outset" w:sz="6" w:space="0" w:color="auto"/>
            </w:tcBorders>
            <w:vAlign w:val="center"/>
          </w:tcPr>
          <w:p w14:paraId="1F993F93" w14:textId="77777777" w:rsidR="00577D08" w:rsidRDefault="00330FC0">
            <w:pPr>
              <w:ind w:firstLineChars="200" w:firstLine="420"/>
              <w:rPr>
                <w:color w:val="000000" w:themeColor="text1"/>
              </w:rPr>
            </w:pPr>
            <w:r>
              <w:rPr>
                <w:rFonts w:hint="eastAsia"/>
                <w:color w:val="000000" w:themeColor="text1"/>
              </w:rPr>
              <w:t>流动资产合计</w:t>
            </w:r>
          </w:p>
        </w:tc>
        <w:tc>
          <w:tcPr>
            <w:tcW w:w="1133" w:type="dxa"/>
            <w:tcBorders>
              <w:top w:val="outset" w:sz="6" w:space="0" w:color="auto"/>
              <w:left w:val="outset" w:sz="6" w:space="0" w:color="auto"/>
              <w:bottom w:val="outset" w:sz="6" w:space="0" w:color="auto"/>
              <w:right w:val="outset" w:sz="6" w:space="0" w:color="auto"/>
            </w:tcBorders>
          </w:tcPr>
          <w:p w14:paraId="5528AC9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470F911" w14:textId="77777777" w:rsidR="00577D08" w:rsidRDefault="00330FC0">
            <w:pPr>
              <w:jc w:val="right"/>
            </w:pPr>
            <w:r>
              <w:t xml:space="preserve"> 3,493,681,524.28 </w:t>
            </w:r>
          </w:p>
        </w:tc>
        <w:tc>
          <w:tcPr>
            <w:tcW w:w="2411" w:type="dxa"/>
            <w:tcBorders>
              <w:top w:val="outset" w:sz="6" w:space="0" w:color="auto"/>
              <w:left w:val="outset" w:sz="6" w:space="0" w:color="auto"/>
              <w:bottom w:val="outset" w:sz="6" w:space="0" w:color="auto"/>
              <w:right w:val="outset" w:sz="6" w:space="0" w:color="auto"/>
            </w:tcBorders>
          </w:tcPr>
          <w:p w14:paraId="4D0FB21A" w14:textId="77777777" w:rsidR="00577D08" w:rsidRDefault="00330FC0">
            <w:pPr>
              <w:jc w:val="right"/>
            </w:pPr>
            <w:r>
              <w:t>3,073,854,067.71</w:t>
            </w:r>
          </w:p>
        </w:tc>
      </w:tr>
      <w:tr w:rsidR="00577D08" w14:paraId="6620940A" w14:textId="77777777">
        <w:sdt>
          <w:sdtPr>
            <w:tag w:val="_PLD_3bf4878ec6d14b78be43557bc0d9a302"/>
            <w:id w:val="1654177423"/>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55C79EB6" w14:textId="77777777" w:rsidR="00577D08" w:rsidRDefault="00330FC0">
                <w:pPr>
                  <w:rPr>
                    <w:color w:val="000000" w:themeColor="text1"/>
                  </w:rPr>
                </w:pPr>
                <w:r>
                  <w:rPr>
                    <w:rFonts w:hint="eastAsia"/>
                    <w:b/>
                    <w:color w:val="000000" w:themeColor="text1"/>
                  </w:rPr>
                  <w:t>非流动资产：</w:t>
                </w:r>
              </w:p>
            </w:tc>
          </w:sdtContent>
        </w:sdt>
      </w:tr>
      <w:tr w:rsidR="00577D08" w14:paraId="3877073C" w14:textId="77777777">
        <w:tc>
          <w:tcPr>
            <w:tcW w:w="2944" w:type="dxa"/>
            <w:tcBorders>
              <w:top w:val="outset" w:sz="6" w:space="0" w:color="auto"/>
              <w:left w:val="outset" w:sz="6" w:space="0" w:color="auto"/>
              <w:bottom w:val="outset" w:sz="6" w:space="0" w:color="auto"/>
              <w:right w:val="outset" w:sz="6" w:space="0" w:color="auto"/>
            </w:tcBorders>
            <w:vAlign w:val="center"/>
          </w:tcPr>
          <w:p w14:paraId="0ADC415E" w14:textId="77777777" w:rsidR="00577D08" w:rsidRDefault="00330FC0">
            <w:pPr>
              <w:ind w:firstLineChars="100" w:firstLine="210"/>
              <w:rPr>
                <w:color w:val="000000" w:themeColor="text1"/>
              </w:rPr>
            </w:pPr>
            <w:r>
              <w:rPr>
                <w:rFonts w:hint="eastAsia"/>
                <w:color w:val="000000" w:themeColor="text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3EC45EA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0E712782"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26056817" w14:textId="77777777" w:rsidR="00577D08" w:rsidRDefault="00577D08">
            <w:pPr>
              <w:jc w:val="right"/>
            </w:pPr>
          </w:p>
        </w:tc>
      </w:tr>
      <w:tr w:rsidR="00577D08" w14:paraId="154F287B" w14:textId="77777777">
        <w:tc>
          <w:tcPr>
            <w:tcW w:w="2944" w:type="dxa"/>
            <w:tcBorders>
              <w:top w:val="outset" w:sz="6" w:space="0" w:color="auto"/>
              <w:left w:val="outset" w:sz="6" w:space="0" w:color="auto"/>
              <w:bottom w:val="outset" w:sz="6" w:space="0" w:color="auto"/>
              <w:right w:val="outset" w:sz="6" w:space="0" w:color="auto"/>
            </w:tcBorders>
            <w:vAlign w:val="center"/>
          </w:tcPr>
          <w:p w14:paraId="495D4A36" w14:textId="77777777" w:rsidR="00577D08" w:rsidRDefault="00330FC0">
            <w:pPr>
              <w:ind w:firstLineChars="100" w:firstLine="210"/>
              <w:rPr>
                <w:color w:val="000000" w:themeColor="text1"/>
              </w:rPr>
            </w:pPr>
            <w:r>
              <w:rPr>
                <w:rFonts w:hint="eastAsia"/>
                <w:color w:val="000000" w:themeColor="text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1AF4C30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3AEB7D80"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773A5EAE" w14:textId="77777777" w:rsidR="00577D08" w:rsidRDefault="00577D08">
            <w:pPr>
              <w:jc w:val="right"/>
            </w:pPr>
          </w:p>
        </w:tc>
      </w:tr>
      <w:tr w:rsidR="00577D08" w14:paraId="5243BACD" w14:textId="77777777">
        <w:tc>
          <w:tcPr>
            <w:tcW w:w="2944" w:type="dxa"/>
            <w:tcBorders>
              <w:top w:val="outset" w:sz="6" w:space="0" w:color="auto"/>
              <w:left w:val="outset" w:sz="6" w:space="0" w:color="auto"/>
              <w:bottom w:val="outset" w:sz="6" w:space="0" w:color="auto"/>
              <w:right w:val="outset" w:sz="6" w:space="0" w:color="auto"/>
            </w:tcBorders>
            <w:vAlign w:val="center"/>
          </w:tcPr>
          <w:p w14:paraId="18D0C67C" w14:textId="77777777" w:rsidR="00577D08" w:rsidRDefault="00330FC0">
            <w:pPr>
              <w:ind w:firstLineChars="100" w:firstLine="210"/>
              <w:rPr>
                <w:color w:val="000000" w:themeColor="text1"/>
              </w:rPr>
            </w:pPr>
            <w:r>
              <w:rPr>
                <w:rFonts w:hint="eastAsia"/>
                <w:color w:val="000000" w:themeColor="text1"/>
              </w:rPr>
              <w:t>长期应收款</w:t>
            </w:r>
          </w:p>
        </w:tc>
        <w:tc>
          <w:tcPr>
            <w:tcW w:w="1133" w:type="dxa"/>
            <w:tcBorders>
              <w:top w:val="outset" w:sz="6" w:space="0" w:color="auto"/>
              <w:left w:val="outset" w:sz="6" w:space="0" w:color="auto"/>
              <w:bottom w:val="outset" w:sz="6" w:space="0" w:color="auto"/>
              <w:right w:val="outset" w:sz="6" w:space="0" w:color="auto"/>
            </w:tcBorders>
          </w:tcPr>
          <w:p w14:paraId="1C5B47A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4D9C6BC" w14:textId="77777777" w:rsidR="00577D08" w:rsidRDefault="00330FC0">
            <w:pPr>
              <w:jc w:val="right"/>
            </w:pPr>
            <w:r>
              <w:t xml:space="preserve"> 3,642,085.59 </w:t>
            </w:r>
          </w:p>
        </w:tc>
        <w:tc>
          <w:tcPr>
            <w:tcW w:w="2411" w:type="dxa"/>
            <w:tcBorders>
              <w:top w:val="outset" w:sz="6" w:space="0" w:color="auto"/>
              <w:left w:val="outset" w:sz="6" w:space="0" w:color="auto"/>
              <w:bottom w:val="outset" w:sz="6" w:space="0" w:color="auto"/>
              <w:right w:val="outset" w:sz="6" w:space="0" w:color="auto"/>
            </w:tcBorders>
          </w:tcPr>
          <w:p w14:paraId="61AA030B" w14:textId="77777777" w:rsidR="00577D08" w:rsidRDefault="00330FC0">
            <w:pPr>
              <w:jc w:val="right"/>
            </w:pPr>
            <w:r>
              <w:t>5,683,724.89</w:t>
            </w:r>
          </w:p>
        </w:tc>
      </w:tr>
      <w:tr w:rsidR="00577D08" w14:paraId="43E53437" w14:textId="77777777">
        <w:tc>
          <w:tcPr>
            <w:tcW w:w="2944" w:type="dxa"/>
            <w:tcBorders>
              <w:top w:val="outset" w:sz="6" w:space="0" w:color="auto"/>
              <w:left w:val="outset" w:sz="6" w:space="0" w:color="auto"/>
              <w:bottom w:val="outset" w:sz="6" w:space="0" w:color="auto"/>
              <w:right w:val="outset" w:sz="6" w:space="0" w:color="auto"/>
            </w:tcBorders>
            <w:vAlign w:val="center"/>
          </w:tcPr>
          <w:p w14:paraId="0B622357" w14:textId="77777777" w:rsidR="00577D08" w:rsidRDefault="00330FC0">
            <w:pPr>
              <w:ind w:firstLineChars="100" w:firstLine="210"/>
              <w:rPr>
                <w:color w:val="000000" w:themeColor="text1"/>
              </w:rPr>
            </w:pPr>
            <w:r>
              <w:rPr>
                <w:rFonts w:hint="eastAsia"/>
                <w:color w:val="000000" w:themeColor="text1"/>
              </w:rPr>
              <w:t>长期股权投资</w:t>
            </w:r>
          </w:p>
        </w:tc>
        <w:tc>
          <w:tcPr>
            <w:tcW w:w="1133" w:type="dxa"/>
            <w:tcBorders>
              <w:top w:val="outset" w:sz="6" w:space="0" w:color="auto"/>
              <w:left w:val="outset" w:sz="6" w:space="0" w:color="auto"/>
              <w:bottom w:val="outset" w:sz="6" w:space="0" w:color="auto"/>
              <w:right w:val="outset" w:sz="6" w:space="0" w:color="auto"/>
            </w:tcBorders>
          </w:tcPr>
          <w:p w14:paraId="4EF2846A" w14:textId="77777777" w:rsidR="00577D08" w:rsidRDefault="00330FC0">
            <w:r>
              <w:rPr>
                <w:rFonts w:hint="eastAsia"/>
              </w:rPr>
              <w:t>十九、</w:t>
            </w:r>
            <w:r>
              <w:rPr>
                <w:rFonts w:hint="eastAsia"/>
              </w:rPr>
              <w:t>3</w:t>
            </w:r>
          </w:p>
        </w:tc>
        <w:tc>
          <w:tcPr>
            <w:tcW w:w="2550" w:type="dxa"/>
            <w:tcBorders>
              <w:top w:val="outset" w:sz="6" w:space="0" w:color="auto"/>
              <w:left w:val="outset" w:sz="6" w:space="0" w:color="auto"/>
              <w:bottom w:val="outset" w:sz="6" w:space="0" w:color="auto"/>
              <w:right w:val="outset" w:sz="6" w:space="0" w:color="auto"/>
            </w:tcBorders>
          </w:tcPr>
          <w:p w14:paraId="48CEBF1C" w14:textId="77777777" w:rsidR="00577D08" w:rsidRDefault="00330FC0">
            <w:pPr>
              <w:jc w:val="right"/>
            </w:pPr>
            <w:r>
              <w:t xml:space="preserve"> 854,083,024.51 </w:t>
            </w:r>
          </w:p>
        </w:tc>
        <w:tc>
          <w:tcPr>
            <w:tcW w:w="2411" w:type="dxa"/>
            <w:tcBorders>
              <w:top w:val="outset" w:sz="6" w:space="0" w:color="auto"/>
              <w:left w:val="outset" w:sz="6" w:space="0" w:color="auto"/>
              <w:bottom w:val="outset" w:sz="6" w:space="0" w:color="auto"/>
              <w:right w:val="outset" w:sz="6" w:space="0" w:color="auto"/>
            </w:tcBorders>
          </w:tcPr>
          <w:p w14:paraId="3E865E87" w14:textId="77777777" w:rsidR="00577D08" w:rsidRDefault="00330FC0">
            <w:pPr>
              <w:jc w:val="right"/>
            </w:pPr>
            <w:r>
              <w:t>675,144,055.46</w:t>
            </w:r>
          </w:p>
        </w:tc>
      </w:tr>
      <w:tr w:rsidR="00577D08" w14:paraId="4BE02D8F" w14:textId="77777777">
        <w:tc>
          <w:tcPr>
            <w:tcW w:w="2944" w:type="dxa"/>
            <w:tcBorders>
              <w:top w:val="outset" w:sz="6" w:space="0" w:color="auto"/>
              <w:left w:val="outset" w:sz="6" w:space="0" w:color="auto"/>
              <w:bottom w:val="outset" w:sz="6" w:space="0" w:color="auto"/>
              <w:right w:val="outset" w:sz="6" w:space="0" w:color="auto"/>
            </w:tcBorders>
            <w:vAlign w:val="center"/>
          </w:tcPr>
          <w:p w14:paraId="4B10ED48" w14:textId="77777777" w:rsidR="00577D08" w:rsidRDefault="00330FC0">
            <w:pPr>
              <w:ind w:firstLineChars="100" w:firstLine="210"/>
              <w:rPr>
                <w:color w:val="000000" w:themeColor="text1"/>
              </w:rPr>
            </w:pPr>
            <w:r>
              <w:rPr>
                <w:rFonts w:hint="eastAsia"/>
                <w:color w:val="000000" w:themeColor="text1"/>
              </w:rPr>
              <w:t>其他权益工具投资</w:t>
            </w:r>
          </w:p>
        </w:tc>
        <w:tc>
          <w:tcPr>
            <w:tcW w:w="1133" w:type="dxa"/>
            <w:tcBorders>
              <w:top w:val="outset" w:sz="6" w:space="0" w:color="auto"/>
              <w:left w:val="outset" w:sz="6" w:space="0" w:color="auto"/>
              <w:bottom w:val="outset" w:sz="6" w:space="0" w:color="auto"/>
              <w:right w:val="outset" w:sz="6" w:space="0" w:color="auto"/>
            </w:tcBorders>
          </w:tcPr>
          <w:p w14:paraId="636BD20C"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A660FF8"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87F6F5D" w14:textId="77777777" w:rsidR="00577D08" w:rsidRDefault="00577D08">
            <w:pPr>
              <w:jc w:val="right"/>
            </w:pPr>
          </w:p>
        </w:tc>
      </w:tr>
      <w:tr w:rsidR="00577D08" w14:paraId="3683DD5B" w14:textId="77777777">
        <w:tc>
          <w:tcPr>
            <w:tcW w:w="2944" w:type="dxa"/>
            <w:tcBorders>
              <w:top w:val="outset" w:sz="6" w:space="0" w:color="auto"/>
              <w:left w:val="outset" w:sz="6" w:space="0" w:color="auto"/>
              <w:bottom w:val="outset" w:sz="6" w:space="0" w:color="auto"/>
              <w:right w:val="outset" w:sz="6" w:space="0" w:color="auto"/>
            </w:tcBorders>
            <w:vAlign w:val="center"/>
          </w:tcPr>
          <w:p w14:paraId="72409AA4" w14:textId="77777777" w:rsidR="00577D08" w:rsidRDefault="00330FC0">
            <w:pPr>
              <w:ind w:firstLineChars="100" w:firstLine="210"/>
              <w:rPr>
                <w:color w:val="000000" w:themeColor="text1"/>
              </w:rPr>
            </w:pPr>
            <w:r>
              <w:rPr>
                <w:rFonts w:hint="eastAsia"/>
                <w:color w:val="000000" w:themeColor="text1"/>
              </w:rPr>
              <w:t>其他非流动金融资产</w:t>
            </w:r>
          </w:p>
        </w:tc>
        <w:tc>
          <w:tcPr>
            <w:tcW w:w="1133" w:type="dxa"/>
            <w:tcBorders>
              <w:top w:val="outset" w:sz="6" w:space="0" w:color="auto"/>
              <w:left w:val="outset" w:sz="6" w:space="0" w:color="auto"/>
              <w:bottom w:val="outset" w:sz="6" w:space="0" w:color="auto"/>
              <w:right w:val="outset" w:sz="6" w:space="0" w:color="auto"/>
            </w:tcBorders>
          </w:tcPr>
          <w:p w14:paraId="337981A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7700271"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F1A7EEA" w14:textId="77777777" w:rsidR="00577D08" w:rsidRDefault="00577D08">
            <w:pPr>
              <w:jc w:val="right"/>
            </w:pPr>
          </w:p>
        </w:tc>
      </w:tr>
      <w:tr w:rsidR="00577D08" w14:paraId="5B8EFF90" w14:textId="77777777">
        <w:tc>
          <w:tcPr>
            <w:tcW w:w="2944" w:type="dxa"/>
            <w:tcBorders>
              <w:top w:val="outset" w:sz="6" w:space="0" w:color="auto"/>
              <w:left w:val="outset" w:sz="6" w:space="0" w:color="auto"/>
              <w:bottom w:val="outset" w:sz="6" w:space="0" w:color="auto"/>
              <w:right w:val="outset" w:sz="6" w:space="0" w:color="auto"/>
            </w:tcBorders>
            <w:vAlign w:val="center"/>
          </w:tcPr>
          <w:p w14:paraId="7BCFB9C2" w14:textId="77777777" w:rsidR="00577D08" w:rsidRDefault="00330FC0">
            <w:pPr>
              <w:ind w:firstLineChars="100" w:firstLine="210"/>
              <w:rPr>
                <w:color w:val="000000" w:themeColor="text1"/>
              </w:rPr>
            </w:pPr>
            <w:r>
              <w:rPr>
                <w:rFonts w:hint="eastAsia"/>
                <w:color w:val="000000" w:themeColor="text1"/>
              </w:rPr>
              <w:t>投资性房地产</w:t>
            </w:r>
          </w:p>
        </w:tc>
        <w:tc>
          <w:tcPr>
            <w:tcW w:w="1133" w:type="dxa"/>
            <w:tcBorders>
              <w:top w:val="outset" w:sz="6" w:space="0" w:color="auto"/>
              <w:left w:val="outset" w:sz="6" w:space="0" w:color="auto"/>
              <w:bottom w:val="outset" w:sz="6" w:space="0" w:color="auto"/>
              <w:right w:val="outset" w:sz="6" w:space="0" w:color="auto"/>
            </w:tcBorders>
          </w:tcPr>
          <w:p w14:paraId="6B162F2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D1CBA2C"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621F0851" w14:textId="77777777" w:rsidR="00577D08" w:rsidRDefault="00577D08">
            <w:pPr>
              <w:jc w:val="right"/>
            </w:pPr>
          </w:p>
        </w:tc>
      </w:tr>
      <w:tr w:rsidR="00577D08" w14:paraId="6D71E144" w14:textId="77777777">
        <w:tc>
          <w:tcPr>
            <w:tcW w:w="2944" w:type="dxa"/>
            <w:tcBorders>
              <w:top w:val="outset" w:sz="6" w:space="0" w:color="auto"/>
              <w:left w:val="outset" w:sz="6" w:space="0" w:color="auto"/>
              <w:bottom w:val="outset" w:sz="6" w:space="0" w:color="auto"/>
              <w:right w:val="outset" w:sz="6" w:space="0" w:color="auto"/>
            </w:tcBorders>
            <w:vAlign w:val="center"/>
          </w:tcPr>
          <w:p w14:paraId="17EF25FC" w14:textId="77777777" w:rsidR="00577D08" w:rsidRDefault="00330FC0">
            <w:pPr>
              <w:ind w:firstLineChars="100" w:firstLine="210"/>
              <w:rPr>
                <w:color w:val="000000" w:themeColor="text1"/>
              </w:rPr>
            </w:pPr>
            <w:r>
              <w:rPr>
                <w:rFonts w:hint="eastAsia"/>
                <w:color w:val="000000" w:themeColor="text1"/>
              </w:rPr>
              <w:t>固定资产</w:t>
            </w:r>
          </w:p>
        </w:tc>
        <w:tc>
          <w:tcPr>
            <w:tcW w:w="1133" w:type="dxa"/>
            <w:tcBorders>
              <w:top w:val="outset" w:sz="6" w:space="0" w:color="auto"/>
              <w:left w:val="outset" w:sz="6" w:space="0" w:color="auto"/>
              <w:bottom w:val="outset" w:sz="6" w:space="0" w:color="auto"/>
              <w:right w:val="outset" w:sz="6" w:space="0" w:color="auto"/>
            </w:tcBorders>
          </w:tcPr>
          <w:p w14:paraId="4C90F2E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FC2CD19" w14:textId="77777777" w:rsidR="00577D08" w:rsidRDefault="00330FC0">
            <w:pPr>
              <w:jc w:val="right"/>
            </w:pPr>
            <w:r>
              <w:t xml:space="preserve"> 1,469,109,976.07 </w:t>
            </w:r>
          </w:p>
        </w:tc>
        <w:tc>
          <w:tcPr>
            <w:tcW w:w="2411" w:type="dxa"/>
            <w:tcBorders>
              <w:top w:val="outset" w:sz="6" w:space="0" w:color="auto"/>
              <w:left w:val="outset" w:sz="6" w:space="0" w:color="auto"/>
              <w:bottom w:val="outset" w:sz="6" w:space="0" w:color="auto"/>
              <w:right w:val="outset" w:sz="6" w:space="0" w:color="auto"/>
            </w:tcBorders>
          </w:tcPr>
          <w:p w14:paraId="1F4321BC" w14:textId="77777777" w:rsidR="00577D08" w:rsidRDefault="00330FC0">
            <w:pPr>
              <w:jc w:val="right"/>
            </w:pPr>
            <w:r>
              <w:t>1,579,393,637.14</w:t>
            </w:r>
          </w:p>
        </w:tc>
      </w:tr>
      <w:tr w:rsidR="00577D08" w14:paraId="210B0F2E" w14:textId="77777777">
        <w:tc>
          <w:tcPr>
            <w:tcW w:w="2944" w:type="dxa"/>
            <w:tcBorders>
              <w:top w:val="outset" w:sz="6" w:space="0" w:color="auto"/>
              <w:left w:val="outset" w:sz="6" w:space="0" w:color="auto"/>
              <w:bottom w:val="outset" w:sz="6" w:space="0" w:color="auto"/>
              <w:right w:val="outset" w:sz="6" w:space="0" w:color="auto"/>
            </w:tcBorders>
            <w:vAlign w:val="center"/>
          </w:tcPr>
          <w:p w14:paraId="44DBE1D8" w14:textId="77777777" w:rsidR="00577D08" w:rsidRDefault="00330FC0">
            <w:pPr>
              <w:ind w:firstLineChars="100" w:firstLine="210"/>
              <w:rPr>
                <w:color w:val="000000" w:themeColor="text1"/>
              </w:rPr>
            </w:pPr>
            <w:r>
              <w:rPr>
                <w:rFonts w:hint="eastAsia"/>
                <w:color w:val="000000" w:themeColor="text1"/>
              </w:rPr>
              <w:t>在建工程</w:t>
            </w:r>
          </w:p>
        </w:tc>
        <w:tc>
          <w:tcPr>
            <w:tcW w:w="1133" w:type="dxa"/>
            <w:tcBorders>
              <w:top w:val="outset" w:sz="6" w:space="0" w:color="auto"/>
              <w:left w:val="outset" w:sz="6" w:space="0" w:color="auto"/>
              <w:bottom w:val="outset" w:sz="6" w:space="0" w:color="auto"/>
              <w:right w:val="outset" w:sz="6" w:space="0" w:color="auto"/>
            </w:tcBorders>
          </w:tcPr>
          <w:p w14:paraId="4273E3E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2FBC75F" w14:textId="77777777" w:rsidR="00577D08" w:rsidRDefault="00330FC0">
            <w:pPr>
              <w:jc w:val="right"/>
            </w:pPr>
            <w:r>
              <w:t xml:space="preserve"> 3,576,344.95 </w:t>
            </w:r>
          </w:p>
        </w:tc>
        <w:tc>
          <w:tcPr>
            <w:tcW w:w="2411" w:type="dxa"/>
            <w:tcBorders>
              <w:top w:val="outset" w:sz="6" w:space="0" w:color="auto"/>
              <w:left w:val="outset" w:sz="6" w:space="0" w:color="auto"/>
              <w:bottom w:val="outset" w:sz="6" w:space="0" w:color="auto"/>
              <w:right w:val="outset" w:sz="6" w:space="0" w:color="auto"/>
            </w:tcBorders>
          </w:tcPr>
          <w:p w14:paraId="401C8445" w14:textId="77777777" w:rsidR="00577D08" w:rsidRDefault="00330FC0">
            <w:pPr>
              <w:jc w:val="right"/>
            </w:pPr>
            <w:r>
              <w:t>6,433,170.83</w:t>
            </w:r>
          </w:p>
        </w:tc>
      </w:tr>
      <w:tr w:rsidR="00577D08" w14:paraId="1D9FB4EC" w14:textId="77777777">
        <w:tc>
          <w:tcPr>
            <w:tcW w:w="2944" w:type="dxa"/>
            <w:tcBorders>
              <w:top w:val="outset" w:sz="6" w:space="0" w:color="auto"/>
              <w:left w:val="outset" w:sz="6" w:space="0" w:color="auto"/>
              <w:bottom w:val="outset" w:sz="6" w:space="0" w:color="auto"/>
              <w:right w:val="outset" w:sz="6" w:space="0" w:color="auto"/>
            </w:tcBorders>
            <w:vAlign w:val="center"/>
          </w:tcPr>
          <w:p w14:paraId="40520F75" w14:textId="77777777" w:rsidR="00577D08" w:rsidRDefault="00330FC0">
            <w:pPr>
              <w:ind w:firstLineChars="100" w:firstLine="210"/>
              <w:rPr>
                <w:color w:val="000000" w:themeColor="text1"/>
              </w:rPr>
            </w:pPr>
            <w:r>
              <w:rPr>
                <w:rFonts w:hint="eastAsia"/>
                <w:color w:val="000000" w:themeColor="text1"/>
              </w:rPr>
              <w:t>生产性生物资产</w:t>
            </w:r>
          </w:p>
        </w:tc>
        <w:tc>
          <w:tcPr>
            <w:tcW w:w="1133" w:type="dxa"/>
            <w:tcBorders>
              <w:top w:val="outset" w:sz="6" w:space="0" w:color="auto"/>
              <w:left w:val="outset" w:sz="6" w:space="0" w:color="auto"/>
              <w:bottom w:val="outset" w:sz="6" w:space="0" w:color="auto"/>
              <w:right w:val="outset" w:sz="6" w:space="0" w:color="auto"/>
            </w:tcBorders>
          </w:tcPr>
          <w:p w14:paraId="2727DAB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EFF595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6512CF18" w14:textId="77777777" w:rsidR="00577D08" w:rsidRDefault="00577D08">
            <w:pPr>
              <w:jc w:val="right"/>
            </w:pPr>
          </w:p>
        </w:tc>
      </w:tr>
      <w:tr w:rsidR="00577D08" w14:paraId="57D2D236" w14:textId="77777777">
        <w:tc>
          <w:tcPr>
            <w:tcW w:w="2944" w:type="dxa"/>
            <w:tcBorders>
              <w:top w:val="outset" w:sz="6" w:space="0" w:color="auto"/>
              <w:left w:val="outset" w:sz="6" w:space="0" w:color="auto"/>
              <w:bottom w:val="outset" w:sz="6" w:space="0" w:color="auto"/>
              <w:right w:val="outset" w:sz="6" w:space="0" w:color="auto"/>
            </w:tcBorders>
            <w:vAlign w:val="center"/>
          </w:tcPr>
          <w:p w14:paraId="12EC761D" w14:textId="77777777" w:rsidR="00577D08" w:rsidRDefault="00330FC0">
            <w:pPr>
              <w:ind w:firstLineChars="100" w:firstLine="210"/>
              <w:rPr>
                <w:color w:val="000000" w:themeColor="text1"/>
              </w:rPr>
            </w:pPr>
            <w:r>
              <w:rPr>
                <w:rFonts w:hint="eastAsia"/>
                <w:color w:val="000000" w:themeColor="text1"/>
              </w:rPr>
              <w:t>油气资产</w:t>
            </w:r>
          </w:p>
        </w:tc>
        <w:tc>
          <w:tcPr>
            <w:tcW w:w="1133" w:type="dxa"/>
            <w:tcBorders>
              <w:top w:val="outset" w:sz="6" w:space="0" w:color="auto"/>
              <w:left w:val="outset" w:sz="6" w:space="0" w:color="auto"/>
              <w:bottom w:val="outset" w:sz="6" w:space="0" w:color="auto"/>
              <w:right w:val="outset" w:sz="6" w:space="0" w:color="auto"/>
            </w:tcBorders>
          </w:tcPr>
          <w:p w14:paraId="147BE8B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09C68F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B737817" w14:textId="77777777" w:rsidR="00577D08" w:rsidRDefault="00577D08">
            <w:pPr>
              <w:jc w:val="right"/>
            </w:pPr>
          </w:p>
        </w:tc>
      </w:tr>
      <w:tr w:rsidR="00577D08" w14:paraId="774B35BF" w14:textId="77777777">
        <w:tc>
          <w:tcPr>
            <w:tcW w:w="2944" w:type="dxa"/>
            <w:tcBorders>
              <w:top w:val="outset" w:sz="6" w:space="0" w:color="auto"/>
              <w:left w:val="outset" w:sz="6" w:space="0" w:color="auto"/>
              <w:bottom w:val="outset" w:sz="6" w:space="0" w:color="auto"/>
              <w:right w:val="outset" w:sz="6" w:space="0" w:color="auto"/>
            </w:tcBorders>
            <w:vAlign w:val="center"/>
          </w:tcPr>
          <w:p w14:paraId="4DD742E0" w14:textId="77777777" w:rsidR="00577D08" w:rsidRDefault="00330FC0">
            <w:pPr>
              <w:ind w:firstLineChars="100" w:firstLine="210"/>
              <w:rPr>
                <w:color w:val="000000" w:themeColor="text1"/>
              </w:rPr>
            </w:pPr>
            <w:r>
              <w:rPr>
                <w:rFonts w:hint="eastAsia"/>
                <w:color w:val="000000" w:themeColor="text1"/>
              </w:rPr>
              <w:t>使用权资产</w:t>
            </w:r>
          </w:p>
        </w:tc>
        <w:tc>
          <w:tcPr>
            <w:tcW w:w="1133" w:type="dxa"/>
            <w:tcBorders>
              <w:top w:val="outset" w:sz="6" w:space="0" w:color="auto"/>
              <w:left w:val="outset" w:sz="6" w:space="0" w:color="auto"/>
              <w:bottom w:val="outset" w:sz="6" w:space="0" w:color="auto"/>
              <w:right w:val="outset" w:sz="6" w:space="0" w:color="auto"/>
            </w:tcBorders>
          </w:tcPr>
          <w:p w14:paraId="562D5C5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53D8FEA" w14:textId="77777777" w:rsidR="00577D08" w:rsidRDefault="00330FC0">
            <w:pPr>
              <w:jc w:val="right"/>
            </w:pPr>
            <w:r>
              <w:t xml:space="preserve"> 9,199,568.63 </w:t>
            </w:r>
          </w:p>
        </w:tc>
        <w:tc>
          <w:tcPr>
            <w:tcW w:w="2411" w:type="dxa"/>
            <w:tcBorders>
              <w:top w:val="outset" w:sz="6" w:space="0" w:color="auto"/>
              <w:left w:val="outset" w:sz="6" w:space="0" w:color="auto"/>
              <w:bottom w:val="outset" w:sz="6" w:space="0" w:color="auto"/>
              <w:right w:val="outset" w:sz="6" w:space="0" w:color="auto"/>
            </w:tcBorders>
          </w:tcPr>
          <w:p w14:paraId="45C6D0F6" w14:textId="77777777" w:rsidR="00577D08" w:rsidRDefault="00330FC0">
            <w:pPr>
              <w:jc w:val="right"/>
            </w:pPr>
            <w:r>
              <w:t>5,569,270.48</w:t>
            </w:r>
          </w:p>
        </w:tc>
      </w:tr>
      <w:tr w:rsidR="00577D08" w14:paraId="0F973814" w14:textId="77777777">
        <w:tc>
          <w:tcPr>
            <w:tcW w:w="2944" w:type="dxa"/>
            <w:tcBorders>
              <w:top w:val="outset" w:sz="6" w:space="0" w:color="auto"/>
              <w:left w:val="outset" w:sz="6" w:space="0" w:color="auto"/>
              <w:bottom w:val="outset" w:sz="6" w:space="0" w:color="auto"/>
              <w:right w:val="outset" w:sz="6" w:space="0" w:color="auto"/>
            </w:tcBorders>
            <w:vAlign w:val="center"/>
          </w:tcPr>
          <w:p w14:paraId="1B59CC10" w14:textId="77777777" w:rsidR="00577D08" w:rsidRDefault="00330FC0">
            <w:pPr>
              <w:ind w:firstLineChars="100" w:firstLine="210"/>
              <w:rPr>
                <w:color w:val="000000" w:themeColor="text1"/>
              </w:rPr>
            </w:pPr>
            <w:r>
              <w:rPr>
                <w:rFonts w:hint="eastAsia"/>
                <w:color w:val="000000" w:themeColor="text1"/>
              </w:rPr>
              <w:t>无形资产</w:t>
            </w:r>
          </w:p>
        </w:tc>
        <w:tc>
          <w:tcPr>
            <w:tcW w:w="1133" w:type="dxa"/>
            <w:tcBorders>
              <w:top w:val="outset" w:sz="6" w:space="0" w:color="auto"/>
              <w:left w:val="outset" w:sz="6" w:space="0" w:color="auto"/>
              <w:bottom w:val="outset" w:sz="6" w:space="0" w:color="auto"/>
              <w:right w:val="outset" w:sz="6" w:space="0" w:color="auto"/>
            </w:tcBorders>
          </w:tcPr>
          <w:p w14:paraId="5EF6360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683E843" w14:textId="77777777" w:rsidR="00577D08" w:rsidRDefault="00330FC0">
            <w:pPr>
              <w:jc w:val="right"/>
            </w:pPr>
            <w:r>
              <w:t xml:space="preserve"> 120,716,062.82 </w:t>
            </w:r>
          </w:p>
        </w:tc>
        <w:tc>
          <w:tcPr>
            <w:tcW w:w="2411" w:type="dxa"/>
            <w:tcBorders>
              <w:top w:val="outset" w:sz="6" w:space="0" w:color="auto"/>
              <w:left w:val="outset" w:sz="6" w:space="0" w:color="auto"/>
              <w:bottom w:val="outset" w:sz="6" w:space="0" w:color="auto"/>
              <w:right w:val="outset" w:sz="6" w:space="0" w:color="auto"/>
            </w:tcBorders>
          </w:tcPr>
          <w:p w14:paraId="2D7228E2" w14:textId="77777777" w:rsidR="00577D08" w:rsidRDefault="00330FC0">
            <w:pPr>
              <w:jc w:val="right"/>
            </w:pPr>
            <w:r>
              <w:t>121,648,047.80</w:t>
            </w:r>
          </w:p>
        </w:tc>
      </w:tr>
      <w:tr w:rsidR="00577D08" w14:paraId="543691E3" w14:textId="77777777">
        <w:tc>
          <w:tcPr>
            <w:tcW w:w="2944" w:type="dxa"/>
            <w:tcBorders>
              <w:top w:val="outset" w:sz="6" w:space="0" w:color="auto"/>
              <w:left w:val="outset" w:sz="6" w:space="0" w:color="auto"/>
              <w:bottom w:val="outset" w:sz="6" w:space="0" w:color="auto"/>
              <w:right w:val="outset" w:sz="6" w:space="0" w:color="auto"/>
            </w:tcBorders>
            <w:vAlign w:val="center"/>
          </w:tcPr>
          <w:p w14:paraId="374EFFCD" w14:textId="77777777" w:rsidR="00577D08" w:rsidRDefault="00330FC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tcPr>
          <w:p w14:paraId="6CB83F9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36BDE0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C3123C9" w14:textId="77777777" w:rsidR="00577D08" w:rsidRDefault="00577D08">
            <w:pPr>
              <w:jc w:val="right"/>
            </w:pPr>
          </w:p>
        </w:tc>
      </w:tr>
      <w:tr w:rsidR="00577D08" w14:paraId="40E1C91A" w14:textId="77777777">
        <w:tc>
          <w:tcPr>
            <w:tcW w:w="2944" w:type="dxa"/>
            <w:tcBorders>
              <w:top w:val="outset" w:sz="6" w:space="0" w:color="auto"/>
              <w:left w:val="outset" w:sz="6" w:space="0" w:color="auto"/>
              <w:bottom w:val="outset" w:sz="6" w:space="0" w:color="auto"/>
              <w:right w:val="outset" w:sz="6" w:space="0" w:color="auto"/>
            </w:tcBorders>
            <w:vAlign w:val="center"/>
          </w:tcPr>
          <w:p w14:paraId="4C879053" w14:textId="77777777" w:rsidR="00577D08" w:rsidRDefault="00330FC0">
            <w:pPr>
              <w:ind w:firstLineChars="100" w:firstLine="210"/>
              <w:rPr>
                <w:color w:val="000000" w:themeColor="text1"/>
              </w:rPr>
            </w:pPr>
            <w:r>
              <w:rPr>
                <w:rFonts w:hint="eastAsia"/>
                <w:color w:val="000000" w:themeColor="text1"/>
              </w:rPr>
              <w:t>开发支出</w:t>
            </w:r>
          </w:p>
        </w:tc>
        <w:tc>
          <w:tcPr>
            <w:tcW w:w="1133" w:type="dxa"/>
            <w:tcBorders>
              <w:top w:val="outset" w:sz="6" w:space="0" w:color="auto"/>
              <w:left w:val="outset" w:sz="6" w:space="0" w:color="auto"/>
              <w:bottom w:val="outset" w:sz="6" w:space="0" w:color="auto"/>
              <w:right w:val="outset" w:sz="6" w:space="0" w:color="auto"/>
            </w:tcBorders>
          </w:tcPr>
          <w:p w14:paraId="07B8985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FB939CA"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FEAE1B6" w14:textId="77777777" w:rsidR="00577D08" w:rsidRDefault="00577D08">
            <w:pPr>
              <w:jc w:val="right"/>
            </w:pPr>
          </w:p>
        </w:tc>
      </w:tr>
      <w:tr w:rsidR="00577D08" w14:paraId="3E642D9D" w14:textId="77777777">
        <w:tc>
          <w:tcPr>
            <w:tcW w:w="2944" w:type="dxa"/>
            <w:tcBorders>
              <w:top w:val="outset" w:sz="6" w:space="0" w:color="auto"/>
              <w:left w:val="outset" w:sz="6" w:space="0" w:color="auto"/>
              <w:bottom w:val="outset" w:sz="6" w:space="0" w:color="auto"/>
              <w:right w:val="outset" w:sz="6" w:space="0" w:color="auto"/>
            </w:tcBorders>
            <w:vAlign w:val="center"/>
          </w:tcPr>
          <w:p w14:paraId="30ECB6F3" w14:textId="77777777" w:rsidR="00577D08" w:rsidRDefault="00330FC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tcPr>
          <w:p w14:paraId="04334D3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F25EEA7"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D4154EF" w14:textId="77777777" w:rsidR="00577D08" w:rsidRDefault="00577D08">
            <w:pPr>
              <w:jc w:val="right"/>
            </w:pPr>
          </w:p>
        </w:tc>
      </w:tr>
      <w:tr w:rsidR="00577D08" w14:paraId="1E5457B3" w14:textId="77777777">
        <w:tc>
          <w:tcPr>
            <w:tcW w:w="2944" w:type="dxa"/>
            <w:tcBorders>
              <w:top w:val="outset" w:sz="6" w:space="0" w:color="auto"/>
              <w:left w:val="outset" w:sz="6" w:space="0" w:color="auto"/>
              <w:bottom w:val="outset" w:sz="6" w:space="0" w:color="auto"/>
              <w:right w:val="outset" w:sz="6" w:space="0" w:color="auto"/>
            </w:tcBorders>
            <w:vAlign w:val="center"/>
          </w:tcPr>
          <w:p w14:paraId="2436C33E" w14:textId="77777777" w:rsidR="00577D08" w:rsidRDefault="00330FC0">
            <w:pPr>
              <w:ind w:firstLineChars="100" w:firstLine="210"/>
              <w:rPr>
                <w:color w:val="000000" w:themeColor="text1"/>
              </w:rPr>
            </w:pPr>
            <w:r>
              <w:rPr>
                <w:rFonts w:hint="eastAsia"/>
                <w:color w:val="000000" w:themeColor="text1"/>
              </w:rPr>
              <w:t>商誉</w:t>
            </w:r>
          </w:p>
        </w:tc>
        <w:tc>
          <w:tcPr>
            <w:tcW w:w="1133" w:type="dxa"/>
            <w:tcBorders>
              <w:top w:val="outset" w:sz="6" w:space="0" w:color="auto"/>
              <w:left w:val="outset" w:sz="6" w:space="0" w:color="auto"/>
              <w:bottom w:val="outset" w:sz="6" w:space="0" w:color="auto"/>
              <w:right w:val="outset" w:sz="6" w:space="0" w:color="auto"/>
            </w:tcBorders>
          </w:tcPr>
          <w:p w14:paraId="63ECE7E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2889216"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1C590653" w14:textId="77777777" w:rsidR="00577D08" w:rsidRDefault="00577D08">
            <w:pPr>
              <w:jc w:val="right"/>
            </w:pPr>
          </w:p>
        </w:tc>
      </w:tr>
      <w:tr w:rsidR="00577D08" w14:paraId="2226EE7B" w14:textId="77777777">
        <w:tc>
          <w:tcPr>
            <w:tcW w:w="2944" w:type="dxa"/>
            <w:tcBorders>
              <w:top w:val="outset" w:sz="6" w:space="0" w:color="auto"/>
              <w:left w:val="outset" w:sz="6" w:space="0" w:color="auto"/>
              <w:bottom w:val="outset" w:sz="6" w:space="0" w:color="auto"/>
              <w:right w:val="outset" w:sz="6" w:space="0" w:color="auto"/>
            </w:tcBorders>
            <w:vAlign w:val="center"/>
          </w:tcPr>
          <w:p w14:paraId="24B534B0" w14:textId="77777777" w:rsidR="00577D08" w:rsidRDefault="00330FC0">
            <w:pPr>
              <w:ind w:firstLineChars="100" w:firstLine="210"/>
              <w:rPr>
                <w:color w:val="000000" w:themeColor="text1"/>
              </w:rPr>
            </w:pPr>
            <w:r>
              <w:rPr>
                <w:rFonts w:hint="eastAsia"/>
                <w:color w:val="000000" w:themeColor="text1"/>
              </w:rPr>
              <w:t>长期待摊费用</w:t>
            </w:r>
          </w:p>
        </w:tc>
        <w:tc>
          <w:tcPr>
            <w:tcW w:w="1133" w:type="dxa"/>
            <w:tcBorders>
              <w:top w:val="outset" w:sz="6" w:space="0" w:color="auto"/>
              <w:left w:val="outset" w:sz="6" w:space="0" w:color="auto"/>
              <w:bottom w:val="outset" w:sz="6" w:space="0" w:color="auto"/>
              <w:right w:val="outset" w:sz="6" w:space="0" w:color="auto"/>
            </w:tcBorders>
          </w:tcPr>
          <w:p w14:paraId="56B3026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C70FC2C" w14:textId="77777777" w:rsidR="00577D08" w:rsidRDefault="00330FC0">
            <w:pPr>
              <w:jc w:val="right"/>
            </w:pPr>
            <w:r>
              <w:t xml:space="preserve"> 1,074,611.89 </w:t>
            </w:r>
          </w:p>
        </w:tc>
        <w:tc>
          <w:tcPr>
            <w:tcW w:w="2411" w:type="dxa"/>
            <w:tcBorders>
              <w:top w:val="outset" w:sz="6" w:space="0" w:color="auto"/>
              <w:left w:val="outset" w:sz="6" w:space="0" w:color="auto"/>
              <w:bottom w:val="outset" w:sz="6" w:space="0" w:color="auto"/>
              <w:right w:val="outset" w:sz="6" w:space="0" w:color="auto"/>
            </w:tcBorders>
          </w:tcPr>
          <w:p w14:paraId="0586DF08" w14:textId="77777777" w:rsidR="00577D08" w:rsidRDefault="00330FC0">
            <w:pPr>
              <w:jc w:val="right"/>
            </w:pPr>
            <w:r>
              <w:t>2,062,433.14</w:t>
            </w:r>
          </w:p>
        </w:tc>
      </w:tr>
      <w:tr w:rsidR="00577D08" w14:paraId="4C8BC25E" w14:textId="77777777">
        <w:tc>
          <w:tcPr>
            <w:tcW w:w="2944" w:type="dxa"/>
            <w:tcBorders>
              <w:top w:val="outset" w:sz="6" w:space="0" w:color="auto"/>
              <w:left w:val="outset" w:sz="6" w:space="0" w:color="auto"/>
              <w:bottom w:val="outset" w:sz="6" w:space="0" w:color="auto"/>
              <w:right w:val="outset" w:sz="6" w:space="0" w:color="auto"/>
            </w:tcBorders>
            <w:vAlign w:val="center"/>
          </w:tcPr>
          <w:p w14:paraId="4A979D7B" w14:textId="77777777" w:rsidR="00577D08" w:rsidRDefault="00330FC0">
            <w:pPr>
              <w:ind w:firstLineChars="100" w:firstLine="210"/>
              <w:rPr>
                <w:color w:val="000000" w:themeColor="text1"/>
              </w:rPr>
            </w:pPr>
            <w:r>
              <w:rPr>
                <w:rFonts w:hint="eastAsia"/>
                <w:color w:val="000000" w:themeColor="text1"/>
              </w:rPr>
              <w:t>递延所得税资产</w:t>
            </w:r>
          </w:p>
        </w:tc>
        <w:tc>
          <w:tcPr>
            <w:tcW w:w="1133" w:type="dxa"/>
            <w:tcBorders>
              <w:top w:val="outset" w:sz="6" w:space="0" w:color="auto"/>
              <w:left w:val="outset" w:sz="6" w:space="0" w:color="auto"/>
              <w:bottom w:val="outset" w:sz="6" w:space="0" w:color="auto"/>
              <w:right w:val="outset" w:sz="6" w:space="0" w:color="auto"/>
            </w:tcBorders>
          </w:tcPr>
          <w:p w14:paraId="3581456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B4FA84E"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9F87ACB" w14:textId="77777777" w:rsidR="00577D08" w:rsidRDefault="00577D08">
            <w:pPr>
              <w:jc w:val="right"/>
            </w:pPr>
          </w:p>
        </w:tc>
      </w:tr>
      <w:tr w:rsidR="00577D08" w14:paraId="65393D0E" w14:textId="77777777">
        <w:tc>
          <w:tcPr>
            <w:tcW w:w="2944" w:type="dxa"/>
            <w:tcBorders>
              <w:top w:val="outset" w:sz="6" w:space="0" w:color="auto"/>
              <w:left w:val="outset" w:sz="6" w:space="0" w:color="auto"/>
              <w:bottom w:val="outset" w:sz="6" w:space="0" w:color="auto"/>
              <w:right w:val="outset" w:sz="6" w:space="0" w:color="auto"/>
            </w:tcBorders>
            <w:vAlign w:val="center"/>
          </w:tcPr>
          <w:p w14:paraId="28AC7D78" w14:textId="77777777" w:rsidR="00577D08" w:rsidRDefault="00330FC0">
            <w:pPr>
              <w:ind w:firstLineChars="100" w:firstLine="210"/>
              <w:rPr>
                <w:color w:val="000000" w:themeColor="text1"/>
              </w:rPr>
            </w:pPr>
            <w:r>
              <w:rPr>
                <w:rFonts w:hint="eastAsia"/>
                <w:color w:val="000000" w:themeColor="text1"/>
              </w:rPr>
              <w:t>其他非流动资产</w:t>
            </w:r>
          </w:p>
        </w:tc>
        <w:tc>
          <w:tcPr>
            <w:tcW w:w="1133" w:type="dxa"/>
            <w:tcBorders>
              <w:top w:val="outset" w:sz="6" w:space="0" w:color="auto"/>
              <w:left w:val="outset" w:sz="6" w:space="0" w:color="auto"/>
              <w:bottom w:val="outset" w:sz="6" w:space="0" w:color="auto"/>
              <w:right w:val="outset" w:sz="6" w:space="0" w:color="auto"/>
            </w:tcBorders>
          </w:tcPr>
          <w:p w14:paraId="7C563EF4"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3BA1918" w14:textId="77777777" w:rsidR="00577D08" w:rsidRDefault="00330FC0">
            <w:pPr>
              <w:jc w:val="right"/>
            </w:pPr>
            <w:r>
              <w:t xml:space="preserve"> 4,902,784.04 </w:t>
            </w:r>
          </w:p>
        </w:tc>
        <w:tc>
          <w:tcPr>
            <w:tcW w:w="2411" w:type="dxa"/>
            <w:tcBorders>
              <w:top w:val="outset" w:sz="6" w:space="0" w:color="auto"/>
              <w:left w:val="outset" w:sz="6" w:space="0" w:color="auto"/>
              <w:bottom w:val="outset" w:sz="6" w:space="0" w:color="auto"/>
              <w:right w:val="outset" w:sz="6" w:space="0" w:color="auto"/>
            </w:tcBorders>
          </w:tcPr>
          <w:p w14:paraId="65616A55" w14:textId="77777777" w:rsidR="00577D08" w:rsidRDefault="00330FC0">
            <w:pPr>
              <w:jc w:val="right"/>
            </w:pPr>
            <w:r>
              <w:t>4,287,749.80</w:t>
            </w:r>
          </w:p>
        </w:tc>
      </w:tr>
      <w:tr w:rsidR="00577D08" w14:paraId="302E98D8" w14:textId="77777777">
        <w:tc>
          <w:tcPr>
            <w:tcW w:w="2944" w:type="dxa"/>
            <w:tcBorders>
              <w:top w:val="outset" w:sz="6" w:space="0" w:color="auto"/>
              <w:left w:val="outset" w:sz="6" w:space="0" w:color="auto"/>
              <w:bottom w:val="outset" w:sz="6" w:space="0" w:color="auto"/>
              <w:right w:val="outset" w:sz="6" w:space="0" w:color="auto"/>
            </w:tcBorders>
            <w:vAlign w:val="center"/>
          </w:tcPr>
          <w:p w14:paraId="5FE83DCA" w14:textId="77777777" w:rsidR="00577D08" w:rsidRDefault="00330FC0">
            <w:pPr>
              <w:ind w:firstLineChars="200" w:firstLine="420"/>
              <w:rPr>
                <w:color w:val="000000" w:themeColor="text1"/>
              </w:rPr>
            </w:pPr>
            <w:r>
              <w:rPr>
                <w:rFonts w:hint="eastAsia"/>
                <w:color w:val="000000" w:themeColor="text1"/>
              </w:rPr>
              <w:t>非流动资产合计</w:t>
            </w:r>
          </w:p>
        </w:tc>
        <w:tc>
          <w:tcPr>
            <w:tcW w:w="1133" w:type="dxa"/>
            <w:tcBorders>
              <w:top w:val="outset" w:sz="6" w:space="0" w:color="auto"/>
              <w:left w:val="outset" w:sz="6" w:space="0" w:color="auto"/>
              <w:bottom w:val="outset" w:sz="6" w:space="0" w:color="auto"/>
              <w:right w:val="outset" w:sz="6" w:space="0" w:color="auto"/>
            </w:tcBorders>
          </w:tcPr>
          <w:p w14:paraId="6B976A5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AD6698A" w14:textId="77777777" w:rsidR="00577D08" w:rsidRDefault="00330FC0">
            <w:pPr>
              <w:jc w:val="right"/>
            </w:pPr>
            <w:r>
              <w:t xml:space="preserve"> 2,466,304,458.50 </w:t>
            </w:r>
          </w:p>
        </w:tc>
        <w:tc>
          <w:tcPr>
            <w:tcW w:w="2411" w:type="dxa"/>
            <w:tcBorders>
              <w:top w:val="outset" w:sz="6" w:space="0" w:color="auto"/>
              <w:left w:val="outset" w:sz="6" w:space="0" w:color="auto"/>
              <w:bottom w:val="outset" w:sz="6" w:space="0" w:color="auto"/>
              <w:right w:val="outset" w:sz="6" w:space="0" w:color="auto"/>
            </w:tcBorders>
          </w:tcPr>
          <w:p w14:paraId="7E9B8AF3" w14:textId="77777777" w:rsidR="00577D08" w:rsidRDefault="00330FC0">
            <w:pPr>
              <w:jc w:val="right"/>
            </w:pPr>
            <w:r>
              <w:t>2,400,222,089.54</w:t>
            </w:r>
          </w:p>
        </w:tc>
      </w:tr>
      <w:tr w:rsidR="00577D08" w14:paraId="08217671" w14:textId="77777777">
        <w:tc>
          <w:tcPr>
            <w:tcW w:w="2944" w:type="dxa"/>
            <w:tcBorders>
              <w:top w:val="outset" w:sz="6" w:space="0" w:color="auto"/>
              <w:left w:val="outset" w:sz="6" w:space="0" w:color="auto"/>
              <w:bottom w:val="outset" w:sz="6" w:space="0" w:color="auto"/>
              <w:right w:val="outset" w:sz="6" w:space="0" w:color="auto"/>
            </w:tcBorders>
            <w:vAlign w:val="center"/>
          </w:tcPr>
          <w:p w14:paraId="06AA6705" w14:textId="77777777" w:rsidR="00577D08" w:rsidRDefault="00330FC0">
            <w:pPr>
              <w:ind w:firstLineChars="300" w:firstLine="630"/>
              <w:rPr>
                <w:color w:val="000000" w:themeColor="text1"/>
              </w:rPr>
            </w:pPr>
            <w:r>
              <w:rPr>
                <w:rFonts w:hint="eastAsia"/>
                <w:color w:val="000000" w:themeColor="text1"/>
              </w:rPr>
              <w:t>资产总计</w:t>
            </w:r>
          </w:p>
        </w:tc>
        <w:tc>
          <w:tcPr>
            <w:tcW w:w="1133" w:type="dxa"/>
            <w:tcBorders>
              <w:top w:val="outset" w:sz="6" w:space="0" w:color="auto"/>
              <w:left w:val="outset" w:sz="6" w:space="0" w:color="auto"/>
              <w:bottom w:val="outset" w:sz="6" w:space="0" w:color="auto"/>
              <w:right w:val="outset" w:sz="6" w:space="0" w:color="auto"/>
            </w:tcBorders>
          </w:tcPr>
          <w:p w14:paraId="523EE86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266C375" w14:textId="77777777" w:rsidR="00577D08" w:rsidRDefault="00330FC0">
            <w:pPr>
              <w:jc w:val="right"/>
            </w:pPr>
            <w:r>
              <w:t xml:space="preserve"> 5,959,985,982.78 </w:t>
            </w:r>
          </w:p>
        </w:tc>
        <w:tc>
          <w:tcPr>
            <w:tcW w:w="2411" w:type="dxa"/>
            <w:tcBorders>
              <w:top w:val="outset" w:sz="6" w:space="0" w:color="auto"/>
              <w:left w:val="outset" w:sz="6" w:space="0" w:color="auto"/>
              <w:bottom w:val="outset" w:sz="6" w:space="0" w:color="auto"/>
              <w:right w:val="outset" w:sz="6" w:space="0" w:color="auto"/>
            </w:tcBorders>
          </w:tcPr>
          <w:p w14:paraId="4B654C00" w14:textId="77777777" w:rsidR="00577D08" w:rsidRDefault="00330FC0">
            <w:pPr>
              <w:jc w:val="right"/>
            </w:pPr>
            <w:r>
              <w:t>5,474,076,157.25</w:t>
            </w:r>
          </w:p>
        </w:tc>
      </w:tr>
      <w:tr w:rsidR="00577D08" w14:paraId="7CB61CCE" w14:textId="77777777">
        <w:sdt>
          <w:sdtPr>
            <w:tag w:val="_PLD_3c4382c3caa043de84ae1c13bc2ce793"/>
            <w:id w:val="-571963581"/>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06C989BF" w14:textId="77777777" w:rsidR="00577D08" w:rsidRDefault="00330FC0">
                <w:pPr>
                  <w:rPr>
                    <w:color w:val="000000" w:themeColor="text1"/>
                  </w:rPr>
                </w:pPr>
                <w:r>
                  <w:rPr>
                    <w:rFonts w:hint="eastAsia"/>
                    <w:b/>
                    <w:color w:val="000000" w:themeColor="text1"/>
                  </w:rPr>
                  <w:t>流动负债：</w:t>
                </w:r>
              </w:p>
            </w:tc>
          </w:sdtContent>
        </w:sdt>
      </w:tr>
      <w:tr w:rsidR="00577D08" w14:paraId="79500251" w14:textId="77777777">
        <w:tc>
          <w:tcPr>
            <w:tcW w:w="2944" w:type="dxa"/>
            <w:tcBorders>
              <w:top w:val="outset" w:sz="6" w:space="0" w:color="auto"/>
              <w:left w:val="outset" w:sz="6" w:space="0" w:color="auto"/>
              <w:bottom w:val="outset" w:sz="6" w:space="0" w:color="auto"/>
              <w:right w:val="outset" w:sz="6" w:space="0" w:color="auto"/>
            </w:tcBorders>
            <w:vAlign w:val="center"/>
          </w:tcPr>
          <w:p w14:paraId="717C026B" w14:textId="77777777" w:rsidR="00577D08" w:rsidRDefault="00330FC0">
            <w:pPr>
              <w:ind w:firstLineChars="100" w:firstLine="210"/>
              <w:rPr>
                <w:color w:val="000000" w:themeColor="text1"/>
              </w:rPr>
            </w:pPr>
            <w:r>
              <w:rPr>
                <w:rFonts w:hint="eastAsia"/>
                <w:color w:val="000000" w:themeColor="text1"/>
              </w:rPr>
              <w:t>短期借款</w:t>
            </w:r>
          </w:p>
        </w:tc>
        <w:tc>
          <w:tcPr>
            <w:tcW w:w="1133" w:type="dxa"/>
            <w:tcBorders>
              <w:top w:val="outset" w:sz="6" w:space="0" w:color="auto"/>
              <w:left w:val="outset" w:sz="6" w:space="0" w:color="auto"/>
              <w:bottom w:val="outset" w:sz="6" w:space="0" w:color="auto"/>
              <w:right w:val="outset" w:sz="6" w:space="0" w:color="auto"/>
            </w:tcBorders>
            <w:vAlign w:val="center"/>
          </w:tcPr>
          <w:p w14:paraId="3D75BF2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934085F" w14:textId="77777777" w:rsidR="00577D08" w:rsidRDefault="00330FC0">
            <w:pPr>
              <w:jc w:val="right"/>
            </w:pPr>
            <w:r>
              <w:t xml:space="preserve"> 199,996,650.20 </w:t>
            </w:r>
          </w:p>
        </w:tc>
        <w:tc>
          <w:tcPr>
            <w:tcW w:w="2411" w:type="dxa"/>
            <w:tcBorders>
              <w:top w:val="outset" w:sz="6" w:space="0" w:color="auto"/>
              <w:left w:val="outset" w:sz="6" w:space="0" w:color="auto"/>
              <w:bottom w:val="outset" w:sz="6" w:space="0" w:color="auto"/>
              <w:right w:val="outset" w:sz="6" w:space="0" w:color="auto"/>
            </w:tcBorders>
          </w:tcPr>
          <w:p w14:paraId="0C321B5A" w14:textId="77777777" w:rsidR="00577D08" w:rsidRDefault="00330FC0">
            <w:pPr>
              <w:jc w:val="right"/>
            </w:pPr>
            <w:r>
              <w:t>131,434,776.24</w:t>
            </w:r>
          </w:p>
        </w:tc>
      </w:tr>
      <w:tr w:rsidR="00577D08" w14:paraId="68843A8C" w14:textId="77777777">
        <w:tc>
          <w:tcPr>
            <w:tcW w:w="2944" w:type="dxa"/>
            <w:tcBorders>
              <w:top w:val="outset" w:sz="6" w:space="0" w:color="auto"/>
              <w:left w:val="outset" w:sz="6" w:space="0" w:color="auto"/>
              <w:bottom w:val="outset" w:sz="6" w:space="0" w:color="auto"/>
              <w:right w:val="outset" w:sz="6" w:space="0" w:color="auto"/>
            </w:tcBorders>
            <w:vAlign w:val="center"/>
          </w:tcPr>
          <w:p w14:paraId="0D75C73A" w14:textId="77777777" w:rsidR="00577D08" w:rsidRDefault="00330FC0">
            <w:pPr>
              <w:ind w:firstLineChars="100" w:firstLine="210"/>
              <w:rPr>
                <w:color w:val="000000" w:themeColor="text1"/>
              </w:rPr>
            </w:pPr>
            <w:r>
              <w:rPr>
                <w:rFonts w:hint="eastAsia"/>
                <w:color w:val="000000" w:themeColor="text1"/>
              </w:rPr>
              <w:t>交易性金融负债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7A68C1D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FE0BFFA"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C31AB45" w14:textId="77777777" w:rsidR="00577D08" w:rsidRDefault="00577D08">
            <w:pPr>
              <w:jc w:val="right"/>
            </w:pPr>
          </w:p>
        </w:tc>
      </w:tr>
      <w:tr w:rsidR="00577D08" w14:paraId="6862B252" w14:textId="77777777">
        <w:tc>
          <w:tcPr>
            <w:tcW w:w="2944" w:type="dxa"/>
            <w:tcBorders>
              <w:top w:val="outset" w:sz="6" w:space="0" w:color="auto"/>
              <w:left w:val="outset" w:sz="6" w:space="0" w:color="auto"/>
              <w:bottom w:val="outset" w:sz="6" w:space="0" w:color="auto"/>
              <w:right w:val="outset" w:sz="6" w:space="0" w:color="auto"/>
            </w:tcBorders>
            <w:vAlign w:val="center"/>
          </w:tcPr>
          <w:p w14:paraId="33C70DD0" w14:textId="77777777" w:rsidR="00577D08" w:rsidRDefault="00330FC0">
            <w:pPr>
              <w:ind w:firstLineChars="100" w:firstLine="210"/>
              <w:rPr>
                <w:color w:val="000000" w:themeColor="text1"/>
              </w:rPr>
            </w:pPr>
            <w:r>
              <w:rPr>
                <w:rFonts w:hint="eastAsia"/>
                <w:color w:val="000000" w:themeColor="text1"/>
              </w:rPr>
              <w:t>衍生金融负债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7669AF3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F72C158"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0701F05" w14:textId="77777777" w:rsidR="00577D08" w:rsidRDefault="00577D08">
            <w:pPr>
              <w:jc w:val="right"/>
            </w:pPr>
          </w:p>
        </w:tc>
      </w:tr>
      <w:tr w:rsidR="00577D08" w14:paraId="6C07E16B" w14:textId="77777777">
        <w:tc>
          <w:tcPr>
            <w:tcW w:w="2944" w:type="dxa"/>
            <w:tcBorders>
              <w:top w:val="outset" w:sz="6" w:space="0" w:color="auto"/>
              <w:left w:val="outset" w:sz="6" w:space="0" w:color="auto"/>
              <w:bottom w:val="outset" w:sz="6" w:space="0" w:color="auto"/>
              <w:right w:val="outset" w:sz="6" w:space="0" w:color="auto"/>
            </w:tcBorders>
            <w:vAlign w:val="center"/>
          </w:tcPr>
          <w:p w14:paraId="2D5FD3C6" w14:textId="77777777" w:rsidR="00577D08" w:rsidRDefault="00330FC0">
            <w:pPr>
              <w:ind w:firstLineChars="100" w:firstLine="210"/>
              <w:rPr>
                <w:color w:val="000000" w:themeColor="text1"/>
              </w:rPr>
            </w:pPr>
            <w:r>
              <w:rPr>
                <w:rFonts w:hint="eastAsia"/>
                <w:color w:val="000000" w:themeColor="text1"/>
              </w:rPr>
              <w:t>应付票据</w:t>
            </w:r>
          </w:p>
        </w:tc>
        <w:tc>
          <w:tcPr>
            <w:tcW w:w="1133" w:type="dxa"/>
            <w:tcBorders>
              <w:top w:val="outset" w:sz="6" w:space="0" w:color="auto"/>
              <w:left w:val="outset" w:sz="6" w:space="0" w:color="auto"/>
              <w:bottom w:val="outset" w:sz="6" w:space="0" w:color="auto"/>
              <w:right w:val="outset" w:sz="6" w:space="0" w:color="auto"/>
            </w:tcBorders>
            <w:vAlign w:val="center"/>
          </w:tcPr>
          <w:p w14:paraId="504C2C0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5419489" w14:textId="77777777" w:rsidR="00577D08" w:rsidRDefault="00330FC0">
            <w:pPr>
              <w:jc w:val="right"/>
            </w:pPr>
            <w:r>
              <w:t xml:space="preserve"> 608,605,292.80 </w:t>
            </w:r>
          </w:p>
        </w:tc>
        <w:tc>
          <w:tcPr>
            <w:tcW w:w="2411" w:type="dxa"/>
            <w:tcBorders>
              <w:top w:val="outset" w:sz="6" w:space="0" w:color="auto"/>
              <w:left w:val="outset" w:sz="6" w:space="0" w:color="auto"/>
              <w:bottom w:val="outset" w:sz="6" w:space="0" w:color="auto"/>
              <w:right w:val="outset" w:sz="6" w:space="0" w:color="auto"/>
            </w:tcBorders>
          </w:tcPr>
          <w:p w14:paraId="0FEC01A5" w14:textId="77777777" w:rsidR="00577D08" w:rsidRDefault="00330FC0">
            <w:pPr>
              <w:jc w:val="right"/>
            </w:pPr>
            <w:r>
              <w:t>432,129,516.42</w:t>
            </w:r>
          </w:p>
        </w:tc>
      </w:tr>
      <w:tr w:rsidR="00577D08" w14:paraId="2EE17A8B" w14:textId="77777777">
        <w:tc>
          <w:tcPr>
            <w:tcW w:w="2944" w:type="dxa"/>
            <w:tcBorders>
              <w:top w:val="outset" w:sz="6" w:space="0" w:color="auto"/>
              <w:left w:val="outset" w:sz="6" w:space="0" w:color="auto"/>
              <w:bottom w:val="outset" w:sz="6" w:space="0" w:color="auto"/>
              <w:right w:val="outset" w:sz="6" w:space="0" w:color="auto"/>
            </w:tcBorders>
            <w:vAlign w:val="center"/>
          </w:tcPr>
          <w:p w14:paraId="055FB4D8" w14:textId="77777777" w:rsidR="00577D08" w:rsidRDefault="00330FC0">
            <w:pPr>
              <w:ind w:firstLineChars="100" w:firstLine="210"/>
              <w:rPr>
                <w:color w:val="000000" w:themeColor="text1"/>
              </w:rPr>
            </w:pPr>
            <w:r>
              <w:rPr>
                <w:rFonts w:hint="eastAsia"/>
                <w:color w:val="000000" w:themeColor="text1"/>
              </w:rPr>
              <w:t>应付账款</w:t>
            </w:r>
          </w:p>
        </w:tc>
        <w:tc>
          <w:tcPr>
            <w:tcW w:w="1133" w:type="dxa"/>
            <w:tcBorders>
              <w:top w:val="outset" w:sz="6" w:space="0" w:color="auto"/>
              <w:left w:val="outset" w:sz="6" w:space="0" w:color="auto"/>
              <w:bottom w:val="outset" w:sz="6" w:space="0" w:color="auto"/>
              <w:right w:val="outset" w:sz="6" w:space="0" w:color="auto"/>
            </w:tcBorders>
            <w:vAlign w:val="center"/>
          </w:tcPr>
          <w:p w14:paraId="43A9766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72FD5CF" w14:textId="77777777" w:rsidR="00577D08" w:rsidRDefault="00330FC0">
            <w:pPr>
              <w:jc w:val="right"/>
            </w:pPr>
            <w:r>
              <w:t xml:space="preserve"> 384,060,901.32 </w:t>
            </w:r>
          </w:p>
        </w:tc>
        <w:tc>
          <w:tcPr>
            <w:tcW w:w="2411" w:type="dxa"/>
            <w:tcBorders>
              <w:top w:val="outset" w:sz="6" w:space="0" w:color="auto"/>
              <w:left w:val="outset" w:sz="6" w:space="0" w:color="auto"/>
              <w:bottom w:val="outset" w:sz="6" w:space="0" w:color="auto"/>
              <w:right w:val="outset" w:sz="6" w:space="0" w:color="auto"/>
            </w:tcBorders>
          </w:tcPr>
          <w:p w14:paraId="612A4D39" w14:textId="77777777" w:rsidR="00577D08" w:rsidRDefault="00330FC0">
            <w:pPr>
              <w:jc w:val="right"/>
            </w:pPr>
            <w:r>
              <w:t>522,073,216.45</w:t>
            </w:r>
          </w:p>
        </w:tc>
      </w:tr>
      <w:tr w:rsidR="00577D08" w14:paraId="5871848E" w14:textId="77777777">
        <w:tc>
          <w:tcPr>
            <w:tcW w:w="2944" w:type="dxa"/>
            <w:tcBorders>
              <w:top w:val="outset" w:sz="6" w:space="0" w:color="auto"/>
              <w:left w:val="outset" w:sz="6" w:space="0" w:color="auto"/>
              <w:bottom w:val="outset" w:sz="6" w:space="0" w:color="auto"/>
              <w:right w:val="outset" w:sz="6" w:space="0" w:color="auto"/>
            </w:tcBorders>
            <w:vAlign w:val="center"/>
          </w:tcPr>
          <w:p w14:paraId="1B27037C" w14:textId="77777777" w:rsidR="00577D08" w:rsidRDefault="00330FC0">
            <w:pPr>
              <w:ind w:firstLineChars="100" w:firstLine="210"/>
              <w:rPr>
                <w:color w:val="000000" w:themeColor="text1"/>
              </w:rPr>
            </w:pPr>
            <w:r>
              <w:rPr>
                <w:rFonts w:hint="eastAsia"/>
                <w:color w:val="000000" w:themeColor="text1"/>
              </w:rPr>
              <w:t>预收款项</w:t>
            </w:r>
          </w:p>
        </w:tc>
        <w:tc>
          <w:tcPr>
            <w:tcW w:w="1133" w:type="dxa"/>
            <w:tcBorders>
              <w:top w:val="outset" w:sz="6" w:space="0" w:color="auto"/>
              <w:left w:val="outset" w:sz="6" w:space="0" w:color="auto"/>
              <w:bottom w:val="outset" w:sz="6" w:space="0" w:color="auto"/>
              <w:right w:val="outset" w:sz="6" w:space="0" w:color="auto"/>
            </w:tcBorders>
            <w:vAlign w:val="center"/>
          </w:tcPr>
          <w:p w14:paraId="42BD6F7C"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86AADCD"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F9A95CC" w14:textId="77777777" w:rsidR="00577D08" w:rsidRDefault="00577D08">
            <w:pPr>
              <w:jc w:val="right"/>
            </w:pPr>
          </w:p>
        </w:tc>
      </w:tr>
      <w:tr w:rsidR="00577D08" w14:paraId="756AA072" w14:textId="77777777">
        <w:tc>
          <w:tcPr>
            <w:tcW w:w="2944" w:type="dxa"/>
            <w:tcBorders>
              <w:top w:val="outset" w:sz="6" w:space="0" w:color="auto"/>
              <w:left w:val="outset" w:sz="6" w:space="0" w:color="auto"/>
              <w:bottom w:val="outset" w:sz="6" w:space="0" w:color="auto"/>
              <w:right w:val="outset" w:sz="6" w:space="0" w:color="auto"/>
            </w:tcBorders>
            <w:vAlign w:val="center"/>
          </w:tcPr>
          <w:p w14:paraId="15F72670" w14:textId="77777777" w:rsidR="00577D08" w:rsidRDefault="00330FC0">
            <w:pPr>
              <w:ind w:firstLineChars="100" w:firstLine="210"/>
              <w:rPr>
                <w:color w:val="000000" w:themeColor="text1"/>
              </w:rPr>
            </w:pPr>
            <w:r>
              <w:rPr>
                <w:rFonts w:hint="eastAsia"/>
                <w:color w:val="000000" w:themeColor="text1"/>
              </w:rPr>
              <w:t>合同负债</w:t>
            </w:r>
          </w:p>
        </w:tc>
        <w:tc>
          <w:tcPr>
            <w:tcW w:w="1133" w:type="dxa"/>
            <w:tcBorders>
              <w:top w:val="outset" w:sz="6" w:space="0" w:color="auto"/>
              <w:left w:val="outset" w:sz="6" w:space="0" w:color="auto"/>
              <w:bottom w:val="outset" w:sz="6" w:space="0" w:color="auto"/>
              <w:right w:val="outset" w:sz="6" w:space="0" w:color="auto"/>
            </w:tcBorders>
            <w:vAlign w:val="center"/>
          </w:tcPr>
          <w:p w14:paraId="458A4AEA"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568BDA2" w14:textId="77777777" w:rsidR="00577D08" w:rsidRDefault="00330FC0">
            <w:pPr>
              <w:jc w:val="right"/>
            </w:pPr>
            <w:r>
              <w:t xml:space="preserve"> 47,886,062.79 </w:t>
            </w:r>
          </w:p>
        </w:tc>
        <w:tc>
          <w:tcPr>
            <w:tcW w:w="2411" w:type="dxa"/>
            <w:tcBorders>
              <w:top w:val="outset" w:sz="6" w:space="0" w:color="auto"/>
              <w:left w:val="outset" w:sz="6" w:space="0" w:color="auto"/>
              <w:bottom w:val="outset" w:sz="6" w:space="0" w:color="auto"/>
              <w:right w:val="outset" w:sz="6" w:space="0" w:color="auto"/>
            </w:tcBorders>
          </w:tcPr>
          <w:p w14:paraId="7E3FECC1" w14:textId="77777777" w:rsidR="00577D08" w:rsidRDefault="00330FC0">
            <w:pPr>
              <w:jc w:val="right"/>
            </w:pPr>
            <w:r>
              <w:t>50,892,682.02</w:t>
            </w:r>
          </w:p>
        </w:tc>
      </w:tr>
      <w:tr w:rsidR="00577D08" w14:paraId="3B5FD1D5" w14:textId="77777777">
        <w:tc>
          <w:tcPr>
            <w:tcW w:w="2944" w:type="dxa"/>
            <w:tcBorders>
              <w:top w:val="outset" w:sz="6" w:space="0" w:color="auto"/>
              <w:left w:val="outset" w:sz="6" w:space="0" w:color="auto"/>
              <w:bottom w:val="outset" w:sz="6" w:space="0" w:color="auto"/>
              <w:right w:val="outset" w:sz="6" w:space="0" w:color="auto"/>
            </w:tcBorders>
            <w:vAlign w:val="center"/>
          </w:tcPr>
          <w:p w14:paraId="169A2AD4" w14:textId="77777777" w:rsidR="00577D08" w:rsidRDefault="00330FC0">
            <w:pPr>
              <w:ind w:firstLineChars="100" w:firstLine="210"/>
              <w:rPr>
                <w:color w:val="000000" w:themeColor="text1"/>
              </w:rPr>
            </w:pPr>
            <w:r>
              <w:rPr>
                <w:rFonts w:hint="eastAsia"/>
                <w:color w:val="000000" w:themeColor="text1"/>
              </w:rPr>
              <w:t>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3369D2C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DC79B8A" w14:textId="77777777" w:rsidR="00577D08" w:rsidRDefault="00330FC0">
            <w:pPr>
              <w:jc w:val="right"/>
            </w:pPr>
            <w:r>
              <w:t xml:space="preserve"> 31,473,685.47 </w:t>
            </w:r>
          </w:p>
        </w:tc>
        <w:tc>
          <w:tcPr>
            <w:tcW w:w="2411" w:type="dxa"/>
            <w:tcBorders>
              <w:top w:val="outset" w:sz="6" w:space="0" w:color="auto"/>
              <w:left w:val="outset" w:sz="6" w:space="0" w:color="auto"/>
              <w:bottom w:val="outset" w:sz="6" w:space="0" w:color="auto"/>
              <w:right w:val="outset" w:sz="6" w:space="0" w:color="auto"/>
            </w:tcBorders>
          </w:tcPr>
          <w:p w14:paraId="6DA70460" w14:textId="77777777" w:rsidR="00577D08" w:rsidRDefault="00330FC0">
            <w:pPr>
              <w:jc w:val="right"/>
            </w:pPr>
            <w:r>
              <w:t>24,615,422.05</w:t>
            </w:r>
          </w:p>
        </w:tc>
      </w:tr>
      <w:tr w:rsidR="00577D08" w14:paraId="354B4E70" w14:textId="77777777">
        <w:tc>
          <w:tcPr>
            <w:tcW w:w="2944" w:type="dxa"/>
            <w:tcBorders>
              <w:top w:val="outset" w:sz="6" w:space="0" w:color="auto"/>
              <w:left w:val="outset" w:sz="6" w:space="0" w:color="auto"/>
              <w:bottom w:val="outset" w:sz="6" w:space="0" w:color="auto"/>
              <w:right w:val="outset" w:sz="6" w:space="0" w:color="auto"/>
            </w:tcBorders>
            <w:vAlign w:val="center"/>
          </w:tcPr>
          <w:p w14:paraId="6601B510" w14:textId="77777777" w:rsidR="00577D08" w:rsidRDefault="00330FC0">
            <w:pPr>
              <w:ind w:firstLineChars="100" w:firstLine="210"/>
              <w:rPr>
                <w:color w:val="000000" w:themeColor="text1"/>
              </w:rPr>
            </w:pPr>
            <w:r>
              <w:rPr>
                <w:rFonts w:hint="eastAsia"/>
                <w:color w:val="000000" w:themeColor="text1"/>
              </w:rPr>
              <w:t>应交税费</w:t>
            </w:r>
          </w:p>
        </w:tc>
        <w:tc>
          <w:tcPr>
            <w:tcW w:w="1133" w:type="dxa"/>
            <w:tcBorders>
              <w:top w:val="outset" w:sz="6" w:space="0" w:color="auto"/>
              <w:left w:val="outset" w:sz="6" w:space="0" w:color="auto"/>
              <w:bottom w:val="outset" w:sz="6" w:space="0" w:color="auto"/>
              <w:right w:val="outset" w:sz="6" w:space="0" w:color="auto"/>
            </w:tcBorders>
            <w:vAlign w:val="center"/>
          </w:tcPr>
          <w:p w14:paraId="6A8C1B19"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BF88AB1" w14:textId="77777777" w:rsidR="00577D08" w:rsidRDefault="00330FC0">
            <w:pPr>
              <w:jc w:val="right"/>
            </w:pPr>
            <w:r>
              <w:t xml:space="preserve"> 23,133,054.82 </w:t>
            </w:r>
          </w:p>
        </w:tc>
        <w:tc>
          <w:tcPr>
            <w:tcW w:w="2411" w:type="dxa"/>
            <w:tcBorders>
              <w:top w:val="outset" w:sz="6" w:space="0" w:color="auto"/>
              <w:left w:val="outset" w:sz="6" w:space="0" w:color="auto"/>
              <w:bottom w:val="outset" w:sz="6" w:space="0" w:color="auto"/>
              <w:right w:val="outset" w:sz="6" w:space="0" w:color="auto"/>
            </w:tcBorders>
          </w:tcPr>
          <w:p w14:paraId="28ED5E67" w14:textId="77777777" w:rsidR="00577D08" w:rsidRDefault="00330FC0">
            <w:pPr>
              <w:jc w:val="right"/>
            </w:pPr>
            <w:r>
              <w:t>961,658.15</w:t>
            </w:r>
          </w:p>
        </w:tc>
      </w:tr>
      <w:tr w:rsidR="00577D08" w14:paraId="1BD1B3E7" w14:textId="77777777">
        <w:tc>
          <w:tcPr>
            <w:tcW w:w="2944" w:type="dxa"/>
            <w:tcBorders>
              <w:top w:val="outset" w:sz="6" w:space="0" w:color="auto"/>
              <w:left w:val="outset" w:sz="6" w:space="0" w:color="auto"/>
              <w:bottom w:val="outset" w:sz="6" w:space="0" w:color="auto"/>
              <w:right w:val="outset" w:sz="6" w:space="0" w:color="auto"/>
            </w:tcBorders>
            <w:vAlign w:val="center"/>
          </w:tcPr>
          <w:p w14:paraId="250D014C" w14:textId="77777777" w:rsidR="00577D08" w:rsidRDefault="00330FC0">
            <w:pPr>
              <w:ind w:firstLineChars="100" w:firstLine="210"/>
              <w:rPr>
                <w:color w:val="000000" w:themeColor="text1"/>
              </w:rPr>
            </w:pPr>
            <w:r>
              <w:rPr>
                <w:rFonts w:hint="eastAsia"/>
                <w:color w:val="000000" w:themeColor="text1"/>
              </w:rPr>
              <w:t>其他应付款</w:t>
            </w:r>
          </w:p>
        </w:tc>
        <w:tc>
          <w:tcPr>
            <w:tcW w:w="1133" w:type="dxa"/>
            <w:tcBorders>
              <w:top w:val="outset" w:sz="6" w:space="0" w:color="auto"/>
              <w:left w:val="outset" w:sz="6" w:space="0" w:color="auto"/>
              <w:bottom w:val="outset" w:sz="6" w:space="0" w:color="auto"/>
              <w:right w:val="outset" w:sz="6" w:space="0" w:color="auto"/>
            </w:tcBorders>
            <w:vAlign w:val="center"/>
          </w:tcPr>
          <w:p w14:paraId="7EF7759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666BF13" w14:textId="77777777" w:rsidR="00577D08" w:rsidRDefault="00330FC0">
            <w:pPr>
              <w:jc w:val="right"/>
            </w:pPr>
            <w:r>
              <w:t xml:space="preserve"> 33,595,423.16 </w:t>
            </w:r>
          </w:p>
        </w:tc>
        <w:tc>
          <w:tcPr>
            <w:tcW w:w="2411" w:type="dxa"/>
            <w:tcBorders>
              <w:top w:val="outset" w:sz="6" w:space="0" w:color="auto"/>
              <w:left w:val="outset" w:sz="6" w:space="0" w:color="auto"/>
              <w:bottom w:val="outset" w:sz="6" w:space="0" w:color="auto"/>
              <w:right w:val="outset" w:sz="6" w:space="0" w:color="auto"/>
            </w:tcBorders>
          </w:tcPr>
          <w:p w14:paraId="5EBD361C" w14:textId="77777777" w:rsidR="00577D08" w:rsidRDefault="00330FC0">
            <w:pPr>
              <w:jc w:val="right"/>
            </w:pPr>
            <w:r>
              <w:t>34,661,296.82</w:t>
            </w:r>
          </w:p>
        </w:tc>
      </w:tr>
      <w:tr w:rsidR="00577D08" w14:paraId="3D150D6F" w14:textId="77777777">
        <w:tc>
          <w:tcPr>
            <w:tcW w:w="2944" w:type="dxa"/>
            <w:tcBorders>
              <w:top w:val="outset" w:sz="6" w:space="0" w:color="auto"/>
              <w:left w:val="outset" w:sz="6" w:space="0" w:color="auto"/>
              <w:bottom w:val="outset" w:sz="6" w:space="0" w:color="auto"/>
              <w:right w:val="outset" w:sz="6" w:space="0" w:color="auto"/>
            </w:tcBorders>
            <w:vAlign w:val="center"/>
          </w:tcPr>
          <w:p w14:paraId="56EF75B1" w14:textId="77777777" w:rsidR="00577D08" w:rsidRDefault="00330FC0">
            <w:pPr>
              <w:ind w:firstLineChars="100" w:firstLine="210"/>
              <w:rPr>
                <w:color w:val="000000" w:themeColor="text1"/>
              </w:rPr>
            </w:pPr>
            <w:r>
              <w:rPr>
                <w:rFonts w:hint="eastAsia"/>
                <w:color w:val="000000" w:themeColor="text1"/>
              </w:rPr>
              <w:t>其中：应付利息</w:t>
            </w:r>
          </w:p>
        </w:tc>
        <w:tc>
          <w:tcPr>
            <w:tcW w:w="1133" w:type="dxa"/>
            <w:tcBorders>
              <w:top w:val="outset" w:sz="6" w:space="0" w:color="auto"/>
              <w:left w:val="outset" w:sz="6" w:space="0" w:color="auto"/>
              <w:bottom w:val="outset" w:sz="6" w:space="0" w:color="auto"/>
              <w:right w:val="outset" w:sz="6" w:space="0" w:color="auto"/>
            </w:tcBorders>
            <w:vAlign w:val="center"/>
          </w:tcPr>
          <w:p w14:paraId="3B82D9CC"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5EA406D"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6B65CDB" w14:textId="77777777" w:rsidR="00577D08" w:rsidRDefault="00577D08">
            <w:pPr>
              <w:jc w:val="right"/>
            </w:pPr>
          </w:p>
        </w:tc>
      </w:tr>
      <w:tr w:rsidR="00577D08" w14:paraId="1744C3E1" w14:textId="77777777">
        <w:tc>
          <w:tcPr>
            <w:tcW w:w="2944" w:type="dxa"/>
            <w:tcBorders>
              <w:top w:val="outset" w:sz="6" w:space="0" w:color="auto"/>
              <w:left w:val="outset" w:sz="6" w:space="0" w:color="auto"/>
              <w:bottom w:val="outset" w:sz="6" w:space="0" w:color="auto"/>
              <w:right w:val="outset" w:sz="6" w:space="0" w:color="auto"/>
            </w:tcBorders>
            <w:vAlign w:val="center"/>
          </w:tcPr>
          <w:p w14:paraId="6BB126ED" w14:textId="77777777" w:rsidR="00577D08" w:rsidRDefault="00330FC0">
            <w:pPr>
              <w:ind w:firstLineChars="400" w:firstLine="840"/>
              <w:rPr>
                <w:color w:val="000000" w:themeColor="text1"/>
              </w:rPr>
            </w:pPr>
            <w:r>
              <w:rPr>
                <w:rFonts w:hint="eastAsia"/>
                <w:color w:val="000000" w:themeColor="text1"/>
              </w:rPr>
              <w:t>应付股利</w:t>
            </w:r>
          </w:p>
        </w:tc>
        <w:tc>
          <w:tcPr>
            <w:tcW w:w="1133" w:type="dxa"/>
            <w:tcBorders>
              <w:top w:val="outset" w:sz="6" w:space="0" w:color="auto"/>
              <w:left w:val="outset" w:sz="6" w:space="0" w:color="auto"/>
              <w:bottom w:val="outset" w:sz="6" w:space="0" w:color="auto"/>
              <w:right w:val="outset" w:sz="6" w:space="0" w:color="auto"/>
            </w:tcBorders>
            <w:vAlign w:val="center"/>
          </w:tcPr>
          <w:p w14:paraId="062F368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C4AB59F"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9268EE5" w14:textId="77777777" w:rsidR="00577D08" w:rsidRDefault="00577D08">
            <w:pPr>
              <w:jc w:val="right"/>
            </w:pPr>
          </w:p>
        </w:tc>
      </w:tr>
      <w:tr w:rsidR="00577D08" w14:paraId="606277EE" w14:textId="77777777">
        <w:tc>
          <w:tcPr>
            <w:tcW w:w="2944" w:type="dxa"/>
            <w:tcBorders>
              <w:top w:val="outset" w:sz="6" w:space="0" w:color="auto"/>
              <w:left w:val="outset" w:sz="6" w:space="0" w:color="auto"/>
              <w:bottom w:val="outset" w:sz="6" w:space="0" w:color="auto"/>
              <w:right w:val="outset" w:sz="6" w:space="0" w:color="auto"/>
            </w:tcBorders>
            <w:vAlign w:val="center"/>
          </w:tcPr>
          <w:p w14:paraId="441B5CAA" w14:textId="77777777" w:rsidR="00577D08" w:rsidRDefault="00330FC0">
            <w:pPr>
              <w:ind w:firstLineChars="100" w:firstLine="210"/>
              <w:rPr>
                <w:color w:val="000000" w:themeColor="text1"/>
              </w:rPr>
            </w:pPr>
            <w:r>
              <w:rPr>
                <w:rFonts w:hint="eastAsia"/>
                <w:color w:val="000000" w:themeColor="text1"/>
              </w:rPr>
              <w:t>持有待售负债</w:t>
            </w:r>
          </w:p>
        </w:tc>
        <w:tc>
          <w:tcPr>
            <w:tcW w:w="1133" w:type="dxa"/>
            <w:tcBorders>
              <w:top w:val="outset" w:sz="6" w:space="0" w:color="auto"/>
              <w:left w:val="outset" w:sz="6" w:space="0" w:color="auto"/>
              <w:bottom w:val="outset" w:sz="6" w:space="0" w:color="auto"/>
              <w:right w:val="outset" w:sz="6" w:space="0" w:color="auto"/>
            </w:tcBorders>
            <w:vAlign w:val="center"/>
          </w:tcPr>
          <w:p w14:paraId="68BEBC0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83F287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2A001641" w14:textId="77777777" w:rsidR="00577D08" w:rsidRDefault="00577D08">
            <w:pPr>
              <w:jc w:val="right"/>
            </w:pPr>
          </w:p>
        </w:tc>
      </w:tr>
      <w:tr w:rsidR="00577D08" w14:paraId="19D68843" w14:textId="77777777">
        <w:tc>
          <w:tcPr>
            <w:tcW w:w="2944" w:type="dxa"/>
            <w:tcBorders>
              <w:top w:val="outset" w:sz="6" w:space="0" w:color="auto"/>
              <w:left w:val="outset" w:sz="6" w:space="0" w:color="auto"/>
              <w:bottom w:val="outset" w:sz="6" w:space="0" w:color="auto"/>
              <w:right w:val="outset" w:sz="6" w:space="0" w:color="auto"/>
            </w:tcBorders>
            <w:vAlign w:val="center"/>
          </w:tcPr>
          <w:p w14:paraId="3C9FC7C4" w14:textId="77777777" w:rsidR="00577D08" w:rsidRDefault="00330FC0">
            <w:pPr>
              <w:ind w:firstLineChars="100" w:firstLine="210"/>
              <w:rPr>
                <w:color w:val="000000" w:themeColor="text1"/>
              </w:rPr>
            </w:pPr>
            <w:r>
              <w:rPr>
                <w:rFonts w:hint="eastAsia"/>
                <w:color w:val="000000" w:themeColor="text1"/>
              </w:rPr>
              <w:t>一年内到期的非流动负债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58BF900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80556FA" w14:textId="77777777" w:rsidR="00577D08" w:rsidRDefault="00330FC0">
            <w:pPr>
              <w:jc w:val="right"/>
            </w:pPr>
            <w:r>
              <w:t xml:space="preserve"> 346,276,724.83 </w:t>
            </w:r>
          </w:p>
        </w:tc>
        <w:tc>
          <w:tcPr>
            <w:tcW w:w="2411" w:type="dxa"/>
            <w:tcBorders>
              <w:top w:val="outset" w:sz="6" w:space="0" w:color="auto"/>
              <w:left w:val="outset" w:sz="6" w:space="0" w:color="auto"/>
              <w:bottom w:val="outset" w:sz="6" w:space="0" w:color="auto"/>
              <w:right w:val="outset" w:sz="6" w:space="0" w:color="auto"/>
            </w:tcBorders>
          </w:tcPr>
          <w:p w14:paraId="0FE68705" w14:textId="77777777" w:rsidR="00577D08" w:rsidRDefault="00330FC0">
            <w:pPr>
              <w:jc w:val="right"/>
            </w:pPr>
            <w:r>
              <w:t>472,817,020.55</w:t>
            </w:r>
          </w:p>
        </w:tc>
      </w:tr>
      <w:tr w:rsidR="00577D08" w14:paraId="4CCB96DD" w14:textId="77777777">
        <w:tc>
          <w:tcPr>
            <w:tcW w:w="2944" w:type="dxa"/>
            <w:tcBorders>
              <w:top w:val="outset" w:sz="6" w:space="0" w:color="auto"/>
              <w:left w:val="outset" w:sz="6" w:space="0" w:color="auto"/>
              <w:bottom w:val="outset" w:sz="6" w:space="0" w:color="auto"/>
              <w:right w:val="outset" w:sz="6" w:space="0" w:color="auto"/>
            </w:tcBorders>
            <w:vAlign w:val="center"/>
          </w:tcPr>
          <w:p w14:paraId="563623B7" w14:textId="77777777" w:rsidR="00577D08" w:rsidRDefault="00330FC0">
            <w:pPr>
              <w:ind w:firstLineChars="100" w:firstLine="210"/>
              <w:rPr>
                <w:color w:val="000000" w:themeColor="text1"/>
              </w:rPr>
            </w:pPr>
            <w:r>
              <w:rPr>
                <w:rFonts w:hint="eastAsia"/>
                <w:color w:val="000000" w:themeColor="text1"/>
              </w:rPr>
              <w:t>其他流动负债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7605183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C7EF609" w14:textId="77777777" w:rsidR="00577D08" w:rsidRDefault="00330FC0">
            <w:pPr>
              <w:jc w:val="right"/>
            </w:pPr>
            <w:r>
              <w:t xml:space="preserve"> 266,250,979.96 </w:t>
            </w:r>
          </w:p>
        </w:tc>
        <w:tc>
          <w:tcPr>
            <w:tcW w:w="2411" w:type="dxa"/>
            <w:tcBorders>
              <w:top w:val="outset" w:sz="6" w:space="0" w:color="auto"/>
              <w:left w:val="outset" w:sz="6" w:space="0" w:color="auto"/>
              <w:bottom w:val="outset" w:sz="6" w:space="0" w:color="auto"/>
              <w:right w:val="outset" w:sz="6" w:space="0" w:color="auto"/>
            </w:tcBorders>
          </w:tcPr>
          <w:p w14:paraId="6DB17B14" w14:textId="77777777" w:rsidR="00577D08" w:rsidRDefault="00330FC0">
            <w:pPr>
              <w:jc w:val="right"/>
            </w:pPr>
            <w:r>
              <w:t>224,762,823.13</w:t>
            </w:r>
          </w:p>
        </w:tc>
      </w:tr>
      <w:tr w:rsidR="00577D08" w14:paraId="01C84693" w14:textId="77777777">
        <w:tc>
          <w:tcPr>
            <w:tcW w:w="2944" w:type="dxa"/>
            <w:tcBorders>
              <w:top w:val="outset" w:sz="6" w:space="0" w:color="auto"/>
              <w:left w:val="outset" w:sz="6" w:space="0" w:color="auto"/>
              <w:bottom w:val="outset" w:sz="6" w:space="0" w:color="auto"/>
              <w:right w:val="outset" w:sz="6" w:space="0" w:color="auto"/>
            </w:tcBorders>
            <w:vAlign w:val="center"/>
          </w:tcPr>
          <w:p w14:paraId="39678C01" w14:textId="77777777" w:rsidR="00577D08" w:rsidRDefault="00330FC0">
            <w:pPr>
              <w:ind w:firstLineChars="200" w:firstLine="420"/>
              <w:rPr>
                <w:color w:val="000000" w:themeColor="text1"/>
              </w:rPr>
            </w:pPr>
            <w:r>
              <w:rPr>
                <w:rFonts w:hint="eastAsia"/>
                <w:color w:val="000000" w:themeColor="text1"/>
              </w:rPr>
              <w:t>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5472D58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476B412" w14:textId="77777777" w:rsidR="00577D08" w:rsidRDefault="00330FC0">
            <w:pPr>
              <w:jc w:val="right"/>
            </w:pPr>
            <w:r>
              <w:t xml:space="preserve"> 1,941,278,775.35 </w:t>
            </w:r>
          </w:p>
        </w:tc>
        <w:tc>
          <w:tcPr>
            <w:tcW w:w="2411" w:type="dxa"/>
            <w:tcBorders>
              <w:top w:val="outset" w:sz="6" w:space="0" w:color="auto"/>
              <w:left w:val="outset" w:sz="6" w:space="0" w:color="auto"/>
              <w:bottom w:val="outset" w:sz="6" w:space="0" w:color="auto"/>
              <w:right w:val="outset" w:sz="6" w:space="0" w:color="auto"/>
            </w:tcBorders>
          </w:tcPr>
          <w:p w14:paraId="68E7056E" w14:textId="77777777" w:rsidR="00577D08" w:rsidRDefault="00330FC0">
            <w:pPr>
              <w:jc w:val="right"/>
            </w:pPr>
            <w:r>
              <w:t>1,894,348,411.83</w:t>
            </w:r>
          </w:p>
        </w:tc>
      </w:tr>
      <w:tr w:rsidR="00577D08" w14:paraId="1932BE7A" w14:textId="77777777">
        <w:sdt>
          <w:sdtPr>
            <w:tag w:val="_PLD_96b3279b94864dce855f778a549d0817"/>
            <w:id w:val="2124114027"/>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7B48214F" w14:textId="77777777" w:rsidR="00577D08" w:rsidRDefault="00330FC0">
                <w:pPr>
                  <w:rPr>
                    <w:color w:val="000000" w:themeColor="text1"/>
                  </w:rPr>
                </w:pPr>
                <w:r>
                  <w:rPr>
                    <w:rFonts w:hint="eastAsia"/>
                    <w:b/>
                    <w:color w:val="000000" w:themeColor="text1"/>
                  </w:rPr>
                  <w:t>非流动负债：</w:t>
                </w:r>
              </w:p>
            </w:tc>
          </w:sdtContent>
        </w:sdt>
      </w:tr>
      <w:tr w:rsidR="00577D08" w14:paraId="43AD4CE6" w14:textId="77777777">
        <w:tc>
          <w:tcPr>
            <w:tcW w:w="2944" w:type="dxa"/>
            <w:tcBorders>
              <w:top w:val="outset" w:sz="6" w:space="0" w:color="auto"/>
              <w:left w:val="outset" w:sz="6" w:space="0" w:color="auto"/>
              <w:bottom w:val="outset" w:sz="6" w:space="0" w:color="auto"/>
              <w:right w:val="outset" w:sz="6" w:space="0" w:color="auto"/>
            </w:tcBorders>
            <w:vAlign w:val="center"/>
          </w:tcPr>
          <w:p w14:paraId="4AC21294" w14:textId="77777777" w:rsidR="00577D08" w:rsidRDefault="00330FC0">
            <w:pPr>
              <w:ind w:firstLineChars="100" w:firstLine="210"/>
              <w:rPr>
                <w:color w:val="000000" w:themeColor="text1"/>
              </w:rPr>
            </w:pPr>
            <w:r>
              <w:rPr>
                <w:rFonts w:hint="eastAsia"/>
                <w:color w:val="000000" w:themeColor="text1"/>
              </w:rPr>
              <w:t>长期借款</w:t>
            </w:r>
          </w:p>
        </w:tc>
        <w:tc>
          <w:tcPr>
            <w:tcW w:w="1133" w:type="dxa"/>
            <w:tcBorders>
              <w:top w:val="outset" w:sz="6" w:space="0" w:color="auto"/>
              <w:left w:val="outset" w:sz="6" w:space="0" w:color="auto"/>
              <w:bottom w:val="outset" w:sz="6" w:space="0" w:color="auto"/>
              <w:right w:val="outset" w:sz="6" w:space="0" w:color="auto"/>
            </w:tcBorders>
            <w:vAlign w:val="center"/>
          </w:tcPr>
          <w:p w14:paraId="124FA3D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44C398F" w14:textId="77777777" w:rsidR="00577D08" w:rsidRDefault="00330FC0">
            <w:pPr>
              <w:jc w:val="right"/>
            </w:pPr>
            <w:r>
              <w:t xml:space="preserve"> 1,345,094,914.65 </w:t>
            </w:r>
          </w:p>
        </w:tc>
        <w:tc>
          <w:tcPr>
            <w:tcW w:w="2411" w:type="dxa"/>
            <w:tcBorders>
              <w:top w:val="outset" w:sz="6" w:space="0" w:color="auto"/>
              <w:left w:val="outset" w:sz="6" w:space="0" w:color="auto"/>
              <w:bottom w:val="outset" w:sz="6" w:space="0" w:color="auto"/>
              <w:right w:val="outset" w:sz="6" w:space="0" w:color="auto"/>
            </w:tcBorders>
          </w:tcPr>
          <w:p w14:paraId="4B48D201" w14:textId="77777777" w:rsidR="00577D08" w:rsidRDefault="00330FC0">
            <w:pPr>
              <w:jc w:val="right"/>
            </w:pPr>
            <w:r>
              <w:t>1,077,411,936.25</w:t>
            </w:r>
          </w:p>
        </w:tc>
      </w:tr>
      <w:tr w:rsidR="00577D08" w14:paraId="19013FC8" w14:textId="77777777">
        <w:tc>
          <w:tcPr>
            <w:tcW w:w="2944" w:type="dxa"/>
            <w:tcBorders>
              <w:top w:val="outset" w:sz="6" w:space="0" w:color="auto"/>
              <w:left w:val="outset" w:sz="6" w:space="0" w:color="auto"/>
              <w:bottom w:val="outset" w:sz="6" w:space="0" w:color="auto"/>
              <w:right w:val="outset" w:sz="6" w:space="0" w:color="auto"/>
            </w:tcBorders>
            <w:vAlign w:val="center"/>
          </w:tcPr>
          <w:p w14:paraId="6A6BF9E8" w14:textId="77777777" w:rsidR="00577D08" w:rsidRDefault="00330FC0">
            <w:pPr>
              <w:ind w:firstLineChars="100" w:firstLine="210"/>
              <w:rPr>
                <w:color w:val="000000" w:themeColor="text1"/>
              </w:rPr>
            </w:pPr>
            <w:r>
              <w:rPr>
                <w:rFonts w:hint="eastAsia"/>
                <w:color w:val="000000" w:themeColor="text1"/>
              </w:rPr>
              <w:t>应付债券</w:t>
            </w:r>
          </w:p>
        </w:tc>
        <w:tc>
          <w:tcPr>
            <w:tcW w:w="1133" w:type="dxa"/>
            <w:tcBorders>
              <w:top w:val="outset" w:sz="6" w:space="0" w:color="auto"/>
              <w:left w:val="outset" w:sz="6" w:space="0" w:color="auto"/>
              <w:bottom w:val="outset" w:sz="6" w:space="0" w:color="auto"/>
              <w:right w:val="outset" w:sz="6" w:space="0" w:color="auto"/>
            </w:tcBorders>
            <w:vAlign w:val="center"/>
          </w:tcPr>
          <w:p w14:paraId="4B5F17C4"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A1F95EB"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48C7186F" w14:textId="77777777" w:rsidR="00577D08" w:rsidRDefault="00577D08">
            <w:pPr>
              <w:jc w:val="right"/>
            </w:pPr>
          </w:p>
        </w:tc>
      </w:tr>
      <w:tr w:rsidR="00577D08" w14:paraId="5A3E9A62" w14:textId="77777777">
        <w:tc>
          <w:tcPr>
            <w:tcW w:w="2944" w:type="dxa"/>
            <w:tcBorders>
              <w:top w:val="outset" w:sz="6" w:space="0" w:color="auto"/>
              <w:left w:val="outset" w:sz="6" w:space="0" w:color="auto"/>
              <w:bottom w:val="outset" w:sz="6" w:space="0" w:color="auto"/>
              <w:right w:val="outset" w:sz="6" w:space="0" w:color="auto"/>
            </w:tcBorders>
            <w:vAlign w:val="center"/>
          </w:tcPr>
          <w:p w14:paraId="5FF88CE2" w14:textId="77777777" w:rsidR="00577D08" w:rsidRDefault="00330FC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5D41A0E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39C69FDA"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13EF312F" w14:textId="77777777" w:rsidR="00577D08" w:rsidRDefault="00577D08">
            <w:pPr>
              <w:jc w:val="right"/>
            </w:pPr>
          </w:p>
        </w:tc>
      </w:tr>
      <w:tr w:rsidR="00577D08" w14:paraId="7DAC7203" w14:textId="77777777">
        <w:tc>
          <w:tcPr>
            <w:tcW w:w="2944" w:type="dxa"/>
            <w:tcBorders>
              <w:top w:val="outset" w:sz="6" w:space="0" w:color="auto"/>
              <w:left w:val="outset" w:sz="6" w:space="0" w:color="auto"/>
              <w:bottom w:val="outset" w:sz="6" w:space="0" w:color="auto"/>
              <w:right w:val="outset" w:sz="6" w:space="0" w:color="auto"/>
            </w:tcBorders>
            <w:vAlign w:val="center"/>
          </w:tcPr>
          <w:p w14:paraId="2EB5984A" w14:textId="77777777" w:rsidR="00577D08" w:rsidRDefault="00330FC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07A01DF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4A92581"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08108AE0" w14:textId="77777777" w:rsidR="00577D08" w:rsidRDefault="00577D08">
            <w:pPr>
              <w:jc w:val="right"/>
            </w:pPr>
          </w:p>
        </w:tc>
      </w:tr>
      <w:tr w:rsidR="00577D08" w14:paraId="3A8245D4" w14:textId="77777777">
        <w:tc>
          <w:tcPr>
            <w:tcW w:w="2944" w:type="dxa"/>
            <w:tcBorders>
              <w:top w:val="outset" w:sz="6" w:space="0" w:color="auto"/>
              <w:left w:val="outset" w:sz="6" w:space="0" w:color="auto"/>
              <w:bottom w:val="outset" w:sz="6" w:space="0" w:color="auto"/>
              <w:right w:val="outset" w:sz="6" w:space="0" w:color="auto"/>
            </w:tcBorders>
            <w:vAlign w:val="center"/>
          </w:tcPr>
          <w:p w14:paraId="5B9ED799" w14:textId="77777777" w:rsidR="00577D08" w:rsidRDefault="00330FC0">
            <w:pPr>
              <w:ind w:firstLineChars="100" w:firstLine="210"/>
              <w:rPr>
                <w:color w:val="000000" w:themeColor="text1"/>
              </w:rPr>
            </w:pPr>
            <w:r>
              <w:rPr>
                <w:rFonts w:hint="eastAsia"/>
                <w:color w:val="000000" w:themeColor="text1"/>
              </w:rPr>
              <w:t>租赁负债</w:t>
            </w:r>
          </w:p>
        </w:tc>
        <w:tc>
          <w:tcPr>
            <w:tcW w:w="1133" w:type="dxa"/>
            <w:tcBorders>
              <w:top w:val="outset" w:sz="6" w:space="0" w:color="auto"/>
              <w:left w:val="outset" w:sz="6" w:space="0" w:color="auto"/>
              <w:bottom w:val="outset" w:sz="6" w:space="0" w:color="auto"/>
              <w:right w:val="outset" w:sz="6" w:space="0" w:color="auto"/>
            </w:tcBorders>
            <w:vAlign w:val="center"/>
          </w:tcPr>
          <w:p w14:paraId="77C1E1D2"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4011BF0" w14:textId="77777777" w:rsidR="00577D08" w:rsidRDefault="00330FC0">
            <w:pPr>
              <w:jc w:val="right"/>
            </w:pPr>
            <w:r>
              <w:t xml:space="preserve"> 4,348,971.71 </w:t>
            </w:r>
          </w:p>
        </w:tc>
        <w:tc>
          <w:tcPr>
            <w:tcW w:w="2411" w:type="dxa"/>
            <w:tcBorders>
              <w:top w:val="outset" w:sz="6" w:space="0" w:color="auto"/>
              <w:left w:val="outset" w:sz="6" w:space="0" w:color="auto"/>
              <w:bottom w:val="outset" w:sz="6" w:space="0" w:color="auto"/>
              <w:right w:val="outset" w:sz="6" w:space="0" w:color="auto"/>
            </w:tcBorders>
          </w:tcPr>
          <w:p w14:paraId="1999C0B3" w14:textId="77777777" w:rsidR="00577D08" w:rsidRDefault="00330FC0">
            <w:pPr>
              <w:jc w:val="right"/>
            </w:pPr>
            <w:r>
              <w:t>3,055,490.50</w:t>
            </w:r>
          </w:p>
        </w:tc>
      </w:tr>
      <w:tr w:rsidR="00577D08" w14:paraId="54D39C46" w14:textId="77777777">
        <w:tc>
          <w:tcPr>
            <w:tcW w:w="2944" w:type="dxa"/>
            <w:tcBorders>
              <w:top w:val="outset" w:sz="6" w:space="0" w:color="auto"/>
              <w:left w:val="outset" w:sz="6" w:space="0" w:color="auto"/>
              <w:bottom w:val="outset" w:sz="6" w:space="0" w:color="auto"/>
              <w:right w:val="outset" w:sz="6" w:space="0" w:color="auto"/>
            </w:tcBorders>
            <w:vAlign w:val="center"/>
          </w:tcPr>
          <w:p w14:paraId="32BDB5B3" w14:textId="77777777" w:rsidR="00577D08" w:rsidRDefault="00330FC0">
            <w:pPr>
              <w:ind w:firstLineChars="100" w:firstLine="210"/>
              <w:rPr>
                <w:color w:val="000000" w:themeColor="text1"/>
              </w:rPr>
            </w:pPr>
            <w:r>
              <w:rPr>
                <w:rFonts w:hint="eastAsia"/>
                <w:color w:val="000000" w:themeColor="text1"/>
              </w:rPr>
              <w:t>长期应付款</w:t>
            </w:r>
          </w:p>
        </w:tc>
        <w:tc>
          <w:tcPr>
            <w:tcW w:w="1133" w:type="dxa"/>
            <w:tcBorders>
              <w:top w:val="outset" w:sz="6" w:space="0" w:color="auto"/>
              <w:left w:val="outset" w:sz="6" w:space="0" w:color="auto"/>
              <w:bottom w:val="outset" w:sz="6" w:space="0" w:color="auto"/>
              <w:right w:val="outset" w:sz="6" w:space="0" w:color="auto"/>
            </w:tcBorders>
            <w:vAlign w:val="center"/>
          </w:tcPr>
          <w:p w14:paraId="32F06C2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C71924B" w14:textId="77777777" w:rsidR="00577D08" w:rsidRDefault="00330FC0">
            <w:pPr>
              <w:jc w:val="right"/>
            </w:pPr>
            <w:r>
              <w:t xml:space="preserve"> 141,501,816.72 </w:t>
            </w:r>
          </w:p>
        </w:tc>
        <w:tc>
          <w:tcPr>
            <w:tcW w:w="2411" w:type="dxa"/>
            <w:tcBorders>
              <w:top w:val="outset" w:sz="6" w:space="0" w:color="auto"/>
              <w:left w:val="outset" w:sz="6" w:space="0" w:color="auto"/>
              <w:bottom w:val="outset" w:sz="6" w:space="0" w:color="auto"/>
              <w:right w:val="outset" w:sz="6" w:space="0" w:color="auto"/>
            </w:tcBorders>
          </w:tcPr>
          <w:p w14:paraId="3C0632B2" w14:textId="77777777" w:rsidR="00577D08" w:rsidRDefault="00577D08">
            <w:pPr>
              <w:jc w:val="right"/>
            </w:pPr>
          </w:p>
        </w:tc>
      </w:tr>
      <w:tr w:rsidR="00577D08" w14:paraId="37C887C4" w14:textId="77777777">
        <w:tc>
          <w:tcPr>
            <w:tcW w:w="2944" w:type="dxa"/>
            <w:tcBorders>
              <w:top w:val="outset" w:sz="6" w:space="0" w:color="auto"/>
              <w:left w:val="outset" w:sz="6" w:space="0" w:color="auto"/>
              <w:bottom w:val="outset" w:sz="6" w:space="0" w:color="auto"/>
              <w:right w:val="outset" w:sz="6" w:space="0" w:color="auto"/>
            </w:tcBorders>
            <w:vAlign w:val="center"/>
          </w:tcPr>
          <w:p w14:paraId="551EF974" w14:textId="77777777" w:rsidR="00577D08" w:rsidRDefault="00330FC0">
            <w:pPr>
              <w:ind w:firstLineChars="100" w:firstLine="210"/>
              <w:rPr>
                <w:color w:val="000000" w:themeColor="text1"/>
              </w:rPr>
            </w:pPr>
            <w:r>
              <w:rPr>
                <w:rFonts w:hint="eastAsia"/>
                <w:color w:val="000000" w:themeColor="text1"/>
              </w:rPr>
              <w:lastRenderedPageBreak/>
              <w:t>长期应付职工薪酬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2054B0A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6C0ADF5F"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78282962" w14:textId="77777777" w:rsidR="00577D08" w:rsidRDefault="00577D08">
            <w:pPr>
              <w:jc w:val="right"/>
            </w:pPr>
          </w:p>
        </w:tc>
      </w:tr>
      <w:tr w:rsidR="00577D08" w14:paraId="12785D5E" w14:textId="77777777">
        <w:tc>
          <w:tcPr>
            <w:tcW w:w="2944" w:type="dxa"/>
            <w:tcBorders>
              <w:top w:val="outset" w:sz="6" w:space="0" w:color="auto"/>
              <w:left w:val="outset" w:sz="6" w:space="0" w:color="auto"/>
              <w:bottom w:val="outset" w:sz="6" w:space="0" w:color="auto"/>
              <w:right w:val="outset" w:sz="6" w:space="0" w:color="auto"/>
            </w:tcBorders>
            <w:vAlign w:val="center"/>
          </w:tcPr>
          <w:p w14:paraId="230D4B16" w14:textId="77777777" w:rsidR="00577D08" w:rsidRDefault="00330FC0">
            <w:pPr>
              <w:ind w:firstLineChars="100" w:firstLine="210"/>
              <w:rPr>
                <w:color w:val="000000" w:themeColor="text1"/>
              </w:rPr>
            </w:pPr>
            <w:r>
              <w:rPr>
                <w:rFonts w:hint="eastAsia"/>
                <w:color w:val="000000" w:themeColor="text1"/>
              </w:rPr>
              <w:t>预计负债</w:t>
            </w:r>
          </w:p>
        </w:tc>
        <w:tc>
          <w:tcPr>
            <w:tcW w:w="1133" w:type="dxa"/>
            <w:tcBorders>
              <w:top w:val="outset" w:sz="6" w:space="0" w:color="auto"/>
              <w:left w:val="outset" w:sz="6" w:space="0" w:color="auto"/>
              <w:bottom w:val="outset" w:sz="6" w:space="0" w:color="auto"/>
              <w:right w:val="outset" w:sz="6" w:space="0" w:color="auto"/>
            </w:tcBorders>
            <w:vAlign w:val="center"/>
          </w:tcPr>
          <w:p w14:paraId="50065F83"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F8AFA3C" w14:textId="77777777" w:rsidR="00577D08" w:rsidRDefault="00330FC0">
            <w:pPr>
              <w:jc w:val="right"/>
            </w:pPr>
            <w:r>
              <w:t xml:space="preserve"> 491,453.48 </w:t>
            </w:r>
          </w:p>
        </w:tc>
        <w:tc>
          <w:tcPr>
            <w:tcW w:w="2411" w:type="dxa"/>
            <w:tcBorders>
              <w:top w:val="outset" w:sz="6" w:space="0" w:color="auto"/>
              <w:left w:val="outset" w:sz="6" w:space="0" w:color="auto"/>
              <w:bottom w:val="outset" w:sz="6" w:space="0" w:color="auto"/>
              <w:right w:val="outset" w:sz="6" w:space="0" w:color="auto"/>
            </w:tcBorders>
          </w:tcPr>
          <w:p w14:paraId="31AE9AE0" w14:textId="77777777" w:rsidR="00577D08" w:rsidRDefault="00330FC0">
            <w:pPr>
              <w:jc w:val="right"/>
            </w:pPr>
            <w:r>
              <w:t>591,038.64</w:t>
            </w:r>
          </w:p>
        </w:tc>
      </w:tr>
      <w:tr w:rsidR="00577D08" w14:paraId="3E6D2ABC" w14:textId="77777777">
        <w:tc>
          <w:tcPr>
            <w:tcW w:w="2944" w:type="dxa"/>
            <w:tcBorders>
              <w:top w:val="outset" w:sz="6" w:space="0" w:color="auto"/>
              <w:left w:val="outset" w:sz="6" w:space="0" w:color="auto"/>
              <w:bottom w:val="outset" w:sz="6" w:space="0" w:color="auto"/>
              <w:right w:val="outset" w:sz="6" w:space="0" w:color="auto"/>
            </w:tcBorders>
            <w:vAlign w:val="center"/>
          </w:tcPr>
          <w:p w14:paraId="2EA29865" w14:textId="77777777" w:rsidR="00577D08" w:rsidRDefault="00330FC0">
            <w:pPr>
              <w:ind w:firstLineChars="100" w:firstLine="210"/>
              <w:rPr>
                <w:color w:val="000000" w:themeColor="text1"/>
              </w:rPr>
            </w:pPr>
            <w:r>
              <w:rPr>
                <w:rFonts w:hint="eastAsia"/>
                <w:color w:val="000000" w:themeColor="text1"/>
              </w:rPr>
              <w:t>递延收益</w:t>
            </w:r>
          </w:p>
        </w:tc>
        <w:tc>
          <w:tcPr>
            <w:tcW w:w="1133" w:type="dxa"/>
            <w:tcBorders>
              <w:top w:val="outset" w:sz="6" w:space="0" w:color="auto"/>
              <w:left w:val="outset" w:sz="6" w:space="0" w:color="auto"/>
              <w:bottom w:val="outset" w:sz="6" w:space="0" w:color="auto"/>
              <w:right w:val="outset" w:sz="6" w:space="0" w:color="auto"/>
            </w:tcBorders>
            <w:vAlign w:val="center"/>
          </w:tcPr>
          <w:p w14:paraId="2EBD2BD7"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2A47A615" w14:textId="77777777" w:rsidR="00577D08" w:rsidRDefault="00330FC0">
            <w:pPr>
              <w:jc w:val="right"/>
            </w:pPr>
            <w:r>
              <w:t xml:space="preserve"> 65,949,466.53 </w:t>
            </w:r>
          </w:p>
        </w:tc>
        <w:tc>
          <w:tcPr>
            <w:tcW w:w="2411" w:type="dxa"/>
            <w:tcBorders>
              <w:top w:val="outset" w:sz="6" w:space="0" w:color="auto"/>
              <w:left w:val="outset" w:sz="6" w:space="0" w:color="auto"/>
              <w:bottom w:val="outset" w:sz="6" w:space="0" w:color="auto"/>
              <w:right w:val="outset" w:sz="6" w:space="0" w:color="auto"/>
            </w:tcBorders>
          </w:tcPr>
          <w:p w14:paraId="19BB3857" w14:textId="77777777" w:rsidR="00577D08" w:rsidRDefault="00330FC0">
            <w:pPr>
              <w:jc w:val="right"/>
            </w:pPr>
            <w:r>
              <w:t>70,884,128.25</w:t>
            </w:r>
          </w:p>
        </w:tc>
      </w:tr>
      <w:tr w:rsidR="00577D08" w14:paraId="05185832" w14:textId="77777777">
        <w:tc>
          <w:tcPr>
            <w:tcW w:w="2944" w:type="dxa"/>
            <w:tcBorders>
              <w:top w:val="outset" w:sz="6" w:space="0" w:color="auto"/>
              <w:left w:val="outset" w:sz="6" w:space="0" w:color="auto"/>
              <w:bottom w:val="outset" w:sz="6" w:space="0" w:color="auto"/>
              <w:right w:val="outset" w:sz="6" w:space="0" w:color="auto"/>
            </w:tcBorders>
            <w:vAlign w:val="center"/>
          </w:tcPr>
          <w:p w14:paraId="7D0D52EC" w14:textId="77777777" w:rsidR="00577D08" w:rsidRDefault="00330FC0">
            <w:pPr>
              <w:ind w:firstLineChars="100" w:firstLine="210"/>
              <w:rPr>
                <w:color w:val="000000" w:themeColor="text1"/>
              </w:rPr>
            </w:pPr>
            <w:r>
              <w:rPr>
                <w:rFonts w:hint="eastAsia"/>
                <w:color w:val="000000" w:themeColor="text1"/>
              </w:rPr>
              <w:t>递延所得税负债</w:t>
            </w:r>
          </w:p>
        </w:tc>
        <w:tc>
          <w:tcPr>
            <w:tcW w:w="1133" w:type="dxa"/>
            <w:tcBorders>
              <w:top w:val="outset" w:sz="6" w:space="0" w:color="auto"/>
              <w:left w:val="outset" w:sz="6" w:space="0" w:color="auto"/>
              <w:bottom w:val="outset" w:sz="6" w:space="0" w:color="auto"/>
              <w:right w:val="outset" w:sz="6" w:space="0" w:color="auto"/>
            </w:tcBorders>
            <w:vAlign w:val="center"/>
          </w:tcPr>
          <w:p w14:paraId="033325C5"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5C3C97C2" w14:textId="77777777" w:rsidR="00577D08" w:rsidRDefault="00330FC0">
            <w:pPr>
              <w:jc w:val="right"/>
            </w:pPr>
            <w:r>
              <w:t xml:space="preserve"> 28,822,400.21 </w:t>
            </w:r>
          </w:p>
        </w:tc>
        <w:tc>
          <w:tcPr>
            <w:tcW w:w="2411" w:type="dxa"/>
            <w:tcBorders>
              <w:top w:val="outset" w:sz="6" w:space="0" w:color="auto"/>
              <w:left w:val="outset" w:sz="6" w:space="0" w:color="auto"/>
              <w:bottom w:val="outset" w:sz="6" w:space="0" w:color="auto"/>
              <w:right w:val="outset" w:sz="6" w:space="0" w:color="auto"/>
            </w:tcBorders>
          </w:tcPr>
          <w:p w14:paraId="1B96D93A" w14:textId="77777777" w:rsidR="00577D08" w:rsidRDefault="00330FC0">
            <w:pPr>
              <w:jc w:val="right"/>
            </w:pPr>
            <w:r>
              <w:t>31,895,977.19</w:t>
            </w:r>
          </w:p>
        </w:tc>
      </w:tr>
      <w:tr w:rsidR="00577D08" w14:paraId="3394F059" w14:textId="77777777">
        <w:tc>
          <w:tcPr>
            <w:tcW w:w="2944" w:type="dxa"/>
            <w:tcBorders>
              <w:top w:val="outset" w:sz="6" w:space="0" w:color="auto"/>
              <w:left w:val="outset" w:sz="6" w:space="0" w:color="auto"/>
              <w:bottom w:val="outset" w:sz="6" w:space="0" w:color="auto"/>
              <w:right w:val="outset" w:sz="6" w:space="0" w:color="auto"/>
            </w:tcBorders>
            <w:vAlign w:val="center"/>
          </w:tcPr>
          <w:p w14:paraId="11FC2CA4" w14:textId="77777777" w:rsidR="00577D08" w:rsidRDefault="00330FC0">
            <w:pPr>
              <w:ind w:firstLineChars="100" w:firstLine="210"/>
              <w:rPr>
                <w:color w:val="000000" w:themeColor="text1"/>
              </w:rPr>
            </w:pPr>
            <w:r>
              <w:rPr>
                <w:rFonts w:hint="eastAsia"/>
                <w:color w:val="000000" w:themeColor="text1"/>
              </w:rPr>
              <w:t>其他非流动负债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12494514"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1FEBDE45"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tcPr>
          <w:p w14:paraId="36BAB3EA" w14:textId="77777777" w:rsidR="00577D08" w:rsidRDefault="00577D08">
            <w:pPr>
              <w:jc w:val="right"/>
            </w:pPr>
          </w:p>
        </w:tc>
      </w:tr>
      <w:tr w:rsidR="00577D08" w14:paraId="40A266A9" w14:textId="77777777">
        <w:tc>
          <w:tcPr>
            <w:tcW w:w="2944" w:type="dxa"/>
            <w:tcBorders>
              <w:top w:val="outset" w:sz="6" w:space="0" w:color="auto"/>
              <w:left w:val="outset" w:sz="6" w:space="0" w:color="auto"/>
              <w:bottom w:val="outset" w:sz="6" w:space="0" w:color="auto"/>
              <w:right w:val="outset" w:sz="6" w:space="0" w:color="auto"/>
            </w:tcBorders>
            <w:vAlign w:val="center"/>
          </w:tcPr>
          <w:p w14:paraId="73D56616" w14:textId="77777777" w:rsidR="00577D08" w:rsidRDefault="00330FC0">
            <w:pPr>
              <w:ind w:firstLineChars="200" w:firstLine="420"/>
              <w:rPr>
                <w:color w:val="000000" w:themeColor="text1"/>
              </w:rPr>
            </w:pPr>
            <w:r>
              <w:rPr>
                <w:rFonts w:hint="eastAsia"/>
                <w:color w:val="000000" w:themeColor="text1"/>
              </w:rPr>
              <w:t>非流动负债合计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5CBA5F70"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74EC38DB" w14:textId="77777777" w:rsidR="00577D08" w:rsidRDefault="00330FC0">
            <w:pPr>
              <w:jc w:val="right"/>
            </w:pPr>
            <w:r>
              <w:t xml:space="preserve"> 1,586,209,023.30 </w:t>
            </w:r>
          </w:p>
        </w:tc>
        <w:tc>
          <w:tcPr>
            <w:tcW w:w="2411" w:type="dxa"/>
            <w:tcBorders>
              <w:top w:val="outset" w:sz="6" w:space="0" w:color="auto"/>
              <w:left w:val="outset" w:sz="6" w:space="0" w:color="auto"/>
              <w:bottom w:val="outset" w:sz="6" w:space="0" w:color="auto"/>
              <w:right w:val="outset" w:sz="6" w:space="0" w:color="auto"/>
            </w:tcBorders>
          </w:tcPr>
          <w:p w14:paraId="254E1C5A" w14:textId="77777777" w:rsidR="00577D08" w:rsidRDefault="00330FC0">
            <w:pPr>
              <w:jc w:val="right"/>
            </w:pPr>
            <w:r>
              <w:t>1,183,838,570.83</w:t>
            </w:r>
          </w:p>
        </w:tc>
      </w:tr>
      <w:tr w:rsidR="00577D08" w14:paraId="593030A4" w14:textId="77777777">
        <w:tc>
          <w:tcPr>
            <w:tcW w:w="2944" w:type="dxa"/>
            <w:tcBorders>
              <w:top w:val="outset" w:sz="6" w:space="0" w:color="auto"/>
              <w:left w:val="outset" w:sz="6" w:space="0" w:color="auto"/>
              <w:bottom w:val="outset" w:sz="6" w:space="0" w:color="auto"/>
              <w:right w:val="outset" w:sz="6" w:space="0" w:color="auto"/>
            </w:tcBorders>
            <w:vAlign w:val="center"/>
          </w:tcPr>
          <w:p w14:paraId="3149438D" w14:textId="77777777" w:rsidR="00577D08" w:rsidRDefault="00330FC0">
            <w:pPr>
              <w:ind w:firstLineChars="300" w:firstLine="630"/>
              <w:rPr>
                <w:color w:val="000000" w:themeColor="text1"/>
              </w:rPr>
            </w:pPr>
            <w:r>
              <w:rPr>
                <w:rFonts w:hint="eastAsia"/>
                <w:color w:val="000000" w:themeColor="text1"/>
              </w:rPr>
              <w:t>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62B1501D"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tcPr>
          <w:p w14:paraId="475B44D9" w14:textId="77777777" w:rsidR="00577D08" w:rsidRDefault="00330FC0">
            <w:pPr>
              <w:jc w:val="right"/>
            </w:pPr>
            <w:r>
              <w:t xml:space="preserve"> 3,527,487,798.65 </w:t>
            </w:r>
          </w:p>
        </w:tc>
        <w:tc>
          <w:tcPr>
            <w:tcW w:w="2411" w:type="dxa"/>
            <w:tcBorders>
              <w:top w:val="outset" w:sz="6" w:space="0" w:color="auto"/>
              <w:left w:val="outset" w:sz="6" w:space="0" w:color="auto"/>
              <w:bottom w:val="outset" w:sz="6" w:space="0" w:color="auto"/>
              <w:right w:val="outset" w:sz="6" w:space="0" w:color="auto"/>
            </w:tcBorders>
          </w:tcPr>
          <w:p w14:paraId="136D0A48" w14:textId="77777777" w:rsidR="00577D08" w:rsidRDefault="00330FC0">
            <w:pPr>
              <w:jc w:val="right"/>
            </w:pPr>
            <w:r>
              <w:t>3,078,186,982.66</w:t>
            </w:r>
          </w:p>
        </w:tc>
      </w:tr>
      <w:tr w:rsidR="00577D08" w14:paraId="7045E23F" w14:textId="77777777">
        <w:sdt>
          <w:sdtPr>
            <w:tag w:val="_PLD_2b8d2554b6394d8daf706f571f2c850a"/>
            <w:id w:val="689190683"/>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28C6DE2B" w14:textId="77777777" w:rsidR="00577D08" w:rsidRDefault="00330FC0">
                <w:pPr>
                  <w:rPr>
                    <w:color w:val="000000" w:themeColor="text1"/>
                  </w:rPr>
                </w:pPr>
                <w:r>
                  <w:rPr>
                    <w:rFonts w:hint="eastAsia"/>
                    <w:b/>
                    <w:color w:val="000000" w:themeColor="text1"/>
                  </w:rPr>
                  <w:t>所有者权益（或股东权益）：</w:t>
                </w:r>
              </w:p>
            </w:tc>
          </w:sdtContent>
        </w:sdt>
      </w:tr>
      <w:tr w:rsidR="00577D08" w14:paraId="59D86971" w14:textId="77777777">
        <w:tc>
          <w:tcPr>
            <w:tcW w:w="2944" w:type="dxa"/>
            <w:tcBorders>
              <w:top w:val="outset" w:sz="6" w:space="0" w:color="auto"/>
              <w:left w:val="outset" w:sz="6" w:space="0" w:color="auto"/>
              <w:bottom w:val="outset" w:sz="6" w:space="0" w:color="auto"/>
              <w:right w:val="outset" w:sz="6" w:space="0" w:color="auto"/>
            </w:tcBorders>
            <w:vAlign w:val="center"/>
          </w:tcPr>
          <w:p w14:paraId="440587CB" w14:textId="77777777" w:rsidR="00577D08" w:rsidRDefault="00330FC0">
            <w:pPr>
              <w:ind w:firstLineChars="100" w:firstLine="210"/>
              <w:rPr>
                <w:color w:val="000000" w:themeColor="text1"/>
              </w:rPr>
            </w:pPr>
            <w:r>
              <w:rPr>
                <w:rFonts w:hint="eastAsia"/>
                <w:color w:val="000000" w:themeColor="text1"/>
              </w:rPr>
              <w:t>实收资本（或股本）</w:t>
            </w:r>
          </w:p>
        </w:tc>
        <w:tc>
          <w:tcPr>
            <w:tcW w:w="1133" w:type="dxa"/>
            <w:tcBorders>
              <w:top w:val="outset" w:sz="6" w:space="0" w:color="auto"/>
              <w:left w:val="outset" w:sz="6" w:space="0" w:color="auto"/>
              <w:bottom w:val="outset" w:sz="6" w:space="0" w:color="auto"/>
              <w:right w:val="outset" w:sz="6" w:space="0" w:color="auto"/>
            </w:tcBorders>
            <w:vAlign w:val="center"/>
          </w:tcPr>
          <w:p w14:paraId="233748C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1AF0699E" w14:textId="77777777" w:rsidR="00577D08" w:rsidRDefault="00330FC0">
            <w:pPr>
              <w:jc w:val="right"/>
            </w:pPr>
            <w:r>
              <w:t xml:space="preserve"> 332,353,407.00 </w:t>
            </w:r>
          </w:p>
        </w:tc>
        <w:tc>
          <w:tcPr>
            <w:tcW w:w="2411" w:type="dxa"/>
            <w:tcBorders>
              <w:top w:val="outset" w:sz="6" w:space="0" w:color="auto"/>
              <w:left w:val="outset" w:sz="6" w:space="0" w:color="auto"/>
              <w:bottom w:val="outset" w:sz="6" w:space="0" w:color="auto"/>
              <w:right w:val="outset" w:sz="6" w:space="0" w:color="auto"/>
            </w:tcBorders>
            <w:vAlign w:val="center"/>
          </w:tcPr>
          <w:p w14:paraId="14108C05" w14:textId="77777777" w:rsidR="00577D08" w:rsidRDefault="00330FC0">
            <w:pPr>
              <w:jc w:val="right"/>
            </w:pPr>
            <w:r>
              <w:t>333,167,407.00</w:t>
            </w:r>
          </w:p>
        </w:tc>
      </w:tr>
      <w:tr w:rsidR="00577D08" w14:paraId="083BA7CA" w14:textId="77777777">
        <w:tc>
          <w:tcPr>
            <w:tcW w:w="2944" w:type="dxa"/>
            <w:tcBorders>
              <w:top w:val="outset" w:sz="6" w:space="0" w:color="auto"/>
              <w:left w:val="outset" w:sz="6" w:space="0" w:color="auto"/>
              <w:bottom w:val="outset" w:sz="6" w:space="0" w:color="auto"/>
              <w:right w:val="outset" w:sz="6" w:space="0" w:color="auto"/>
            </w:tcBorders>
            <w:vAlign w:val="center"/>
          </w:tcPr>
          <w:p w14:paraId="5E51F4C8" w14:textId="77777777" w:rsidR="00577D08" w:rsidRDefault="00330FC0">
            <w:pPr>
              <w:ind w:firstLineChars="100" w:firstLine="210"/>
              <w:rPr>
                <w:color w:val="000000" w:themeColor="text1"/>
              </w:rPr>
            </w:pPr>
            <w:r>
              <w:rPr>
                <w:rFonts w:hint="eastAsia"/>
                <w:color w:val="000000" w:themeColor="text1"/>
              </w:rPr>
              <w:t>其他权益工具</w:t>
            </w:r>
          </w:p>
        </w:tc>
        <w:tc>
          <w:tcPr>
            <w:tcW w:w="1133" w:type="dxa"/>
            <w:tcBorders>
              <w:top w:val="outset" w:sz="6" w:space="0" w:color="auto"/>
              <w:left w:val="outset" w:sz="6" w:space="0" w:color="auto"/>
              <w:bottom w:val="outset" w:sz="6" w:space="0" w:color="auto"/>
              <w:right w:val="outset" w:sz="6" w:space="0" w:color="auto"/>
            </w:tcBorders>
            <w:vAlign w:val="center"/>
          </w:tcPr>
          <w:p w14:paraId="0928899B"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7333B6D4"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21F9D3B6" w14:textId="77777777" w:rsidR="00577D08" w:rsidRDefault="00577D08">
            <w:pPr>
              <w:jc w:val="right"/>
            </w:pPr>
          </w:p>
        </w:tc>
      </w:tr>
      <w:tr w:rsidR="00577D08" w14:paraId="1A71A281" w14:textId="77777777">
        <w:tc>
          <w:tcPr>
            <w:tcW w:w="2944" w:type="dxa"/>
            <w:tcBorders>
              <w:top w:val="outset" w:sz="6" w:space="0" w:color="auto"/>
              <w:left w:val="outset" w:sz="6" w:space="0" w:color="auto"/>
              <w:bottom w:val="outset" w:sz="6" w:space="0" w:color="auto"/>
              <w:right w:val="outset" w:sz="6" w:space="0" w:color="auto"/>
            </w:tcBorders>
            <w:vAlign w:val="center"/>
          </w:tcPr>
          <w:p w14:paraId="73A0AC79" w14:textId="77777777" w:rsidR="00577D08" w:rsidRDefault="00330FC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760591B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EB4321C"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71F33628" w14:textId="77777777" w:rsidR="00577D08" w:rsidRDefault="00577D08">
            <w:pPr>
              <w:jc w:val="right"/>
            </w:pPr>
          </w:p>
        </w:tc>
      </w:tr>
      <w:tr w:rsidR="00577D08" w14:paraId="522E3ED9" w14:textId="77777777">
        <w:tc>
          <w:tcPr>
            <w:tcW w:w="2944" w:type="dxa"/>
            <w:tcBorders>
              <w:top w:val="outset" w:sz="6" w:space="0" w:color="auto"/>
              <w:left w:val="outset" w:sz="6" w:space="0" w:color="auto"/>
              <w:bottom w:val="outset" w:sz="6" w:space="0" w:color="auto"/>
              <w:right w:val="outset" w:sz="6" w:space="0" w:color="auto"/>
            </w:tcBorders>
            <w:vAlign w:val="center"/>
          </w:tcPr>
          <w:p w14:paraId="14740003" w14:textId="77777777" w:rsidR="00577D08" w:rsidRDefault="00330FC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41314211"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19C04AE3" w14:textId="77777777" w:rsidR="00577D08" w:rsidRDefault="00577D08">
            <w:pPr>
              <w:jc w:val="right"/>
            </w:pPr>
          </w:p>
        </w:tc>
        <w:tc>
          <w:tcPr>
            <w:tcW w:w="2411" w:type="dxa"/>
            <w:tcBorders>
              <w:top w:val="outset" w:sz="6" w:space="0" w:color="auto"/>
              <w:left w:val="outset" w:sz="6" w:space="0" w:color="auto"/>
              <w:bottom w:val="outset" w:sz="6" w:space="0" w:color="auto"/>
              <w:right w:val="outset" w:sz="6" w:space="0" w:color="auto"/>
            </w:tcBorders>
            <w:vAlign w:val="center"/>
          </w:tcPr>
          <w:p w14:paraId="0105AF99" w14:textId="77777777" w:rsidR="00577D08" w:rsidRDefault="00577D08">
            <w:pPr>
              <w:jc w:val="right"/>
            </w:pPr>
          </w:p>
        </w:tc>
      </w:tr>
      <w:tr w:rsidR="00577D08" w14:paraId="43B0BC72" w14:textId="77777777">
        <w:tc>
          <w:tcPr>
            <w:tcW w:w="2944" w:type="dxa"/>
            <w:tcBorders>
              <w:top w:val="outset" w:sz="6" w:space="0" w:color="auto"/>
              <w:left w:val="outset" w:sz="6" w:space="0" w:color="auto"/>
              <w:bottom w:val="outset" w:sz="6" w:space="0" w:color="auto"/>
              <w:right w:val="outset" w:sz="6" w:space="0" w:color="auto"/>
            </w:tcBorders>
            <w:vAlign w:val="center"/>
          </w:tcPr>
          <w:p w14:paraId="532DE280" w14:textId="77777777" w:rsidR="00577D08" w:rsidRDefault="00330FC0">
            <w:pPr>
              <w:ind w:firstLineChars="100" w:firstLine="210"/>
              <w:rPr>
                <w:color w:val="000000" w:themeColor="text1"/>
              </w:rPr>
            </w:pPr>
            <w:r>
              <w:rPr>
                <w:rFonts w:hint="eastAsia"/>
                <w:color w:val="000000" w:themeColor="text1"/>
              </w:rPr>
              <w:t>资本公积</w:t>
            </w:r>
          </w:p>
        </w:tc>
        <w:tc>
          <w:tcPr>
            <w:tcW w:w="1133" w:type="dxa"/>
            <w:tcBorders>
              <w:top w:val="outset" w:sz="6" w:space="0" w:color="auto"/>
              <w:left w:val="outset" w:sz="6" w:space="0" w:color="auto"/>
              <w:bottom w:val="outset" w:sz="6" w:space="0" w:color="auto"/>
              <w:right w:val="outset" w:sz="6" w:space="0" w:color="auto"/>
            </w:tcBorders>
            <w:vAlign w:val="center"/>
          </w:tcPr>
          <w:p w14:paraId="22571B5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02C1E14F" w14:textId="77777777" w:rsidR="00577D08" w:rsidRDefault="00330FC0">
            <w:pPr>
              <w:jc w:val="right"/>
            </w:pPr>
            <w:r>
              <w:t xml:space="preserve"> 962,663,251.43 </w:t>
            </w:r>
          </w:p>
        </w:tc>
        <w:tc>
          <w:tcPr>
            <w:tcW w:w="2411" w:type="dxa"/>
            <w:tcBorders>
              <w:top w:val="outset" w:sz="6" w:space="0" w:color="auto"/>
              <w:left w:val="outset" w:sz="6" w:space="0" w:color="auto"/>
              <w:bottom w:val="outset" w:sz="6" w:space="0" w:color="auto"/>
              <w:right w:val="outset" w:sz="6" w:space="0" w:color="auto"/>
            </w:tcBorders>
            <w:vAlign w:val="center"/>
          </w:tcPr>
          <w:p w14:paraId="62ED4659" w14:textId="77777777" w:rsidR="00577D08" w:rsidRDefault="00330FC0">
            <w:pPr>
              <w:jc w:val="right"/>
            </w:pPr>
            <w:r>
              <w:t>969,891,813.86</w:t>
            </w:r>
          </w:p>
        </w:tc>
      </w:tr>
      <w:tr w:rsidR="00577D08" w14:paraId="1E32903A" w14:textId="77777777">
        <w:tc>
          <w:tcPr>
            <w:tcW w:w="2944" w:type="dxa"/>
            <w:tcBorders>
              <w:top w:val="outset" w:sz="6" w:space="0" w:color="auto"/>
              <w:left w:val="outset" w:sz="6" w:space="0" w:color="auto"/>
              <w:bottom w:val="outset" w:sz="6" w:space="0" w:color="auto"/>
              <w:right w:val="outset" w:sz="6" w:space="0" w:color="auto"/>
            </w:tcBorders>
            <w:vAlign w:val="center"/>
          </w:tcPr>
          <w:p w14:paraId="6E3A3269" w14:textId="77777777" w:rsidR="00577D08" w:rsidRDefault="00330FC0">
            <w:pPr>
              <w:ind w:firstLineChars="100" w:firstLine="210"/>
              <w:rPr>
                <w:color w:val="000000" w:themeColor="text1"/>
              </w:rPr>
            </w:pPr>
            <w:r>
              <w:rPr>
                <w:rFonts w:hint="eastAsia"/>
                <w:color w:val="000000" w:themeColor="text1"/>
              </w:rPr>
              <w:t>减：库存股</w:t>
            </w:r>
          </w:p>
        </w:tc>
        <w:tc>
          <w:tcPr>
            <w:tcW w:w="1133" w:type="dxa"/>
            <w:tcBorders>
              <w:top w:val="outset" w:sz="6" w:space="0" w:color="auto"/>
              <w:left w:val="outset" w:sz="6" w:space="0" w:color="auto"/>
              <w:bottom w:val="outset" w:sz="6" w:space="0" w:color="auto"/>
              <w:right w:val="outset" w:sz="6" w:space="0" w:color="auto"/>
            </w:tcBorders>
            <w:vAlign w:val="center"/>
          </w:tcPr>
          <w:p w14:paraId="49ACCD8C"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055640D1" w14:textId="77777777" w:rsidR="00577D08" w:rsidRDefault="00330FC0">
            <w:pPr>
              <w:jc w:val="right"/>
            </w:pPr>
            <w:r>
              <w:t xml:space="preserve"> 19,807,681.28 </w:t>
            </w:r>
          </w:p>
        </w:tc>
        <w:tc>
          <w:tcPr>
            <w:tcW w:w="2411" w:type="dxa"/>
            <w:tcBorders>
              <w:top w:val="outset" w:sz="6" w:space="0" w:color="auto"/>
              <w:left w:val="outset" w:sz="6" w:space="0" w:color="auto"/>
              <w:bottom w:val="outset" w:sz="6" w:space="0" w:color="auto"/>
              <w:right w:val="outset" w:sz="6" w:space="0" w:color="auto"/>
            </w:tcBorders>
            <w:vAlign w:val="center"/>
          </w:tcPr>
          <w:p w14:paraId="590133F1" w14:textId="77777777" w:rsidR="00577D08" w:rsidRDefault="00330FC0">
            <w:pPr>
              <w:jc w:val="right"/>
            </w:pPr>
            <w:r>
              <w:t>30,893,741.28</w:t>
            </w:r>
          </w:p>
        </w:tc>
      </w:tr>
      <w:tr w:rsidR="00577D08" w14:paraId="01F69B52" w14:textId="77777777">
        <w:tc>
          <w:tcPr>
            <w:tcW w:w="2944" w:type="dxa"/>
            <w:tcBorders>
              <w:top w:val="outset" w:sz="6" w:space="0" w:color="auto"/>
              <w:left w:val="outset" w:sz="6" w:space="0" w:color="auto"/>
              <w:bottom w:val="outset" w:sz="6" w:space="0" w:color="auto"/>
              <w:right w:val="outset" w:sz="6" w:space="0" w:color="auto"/>
            </w:tcBorders>
            <w:vAlign w:val="center"/>
          </w:tcPr>
          <w:p w14:paraId="14D3B539" w14:textId="77777777" w:rsidR="00577D08" w:rsidRDefault="00330FC0">
            <w:pPr>
              <w:ind w:firstLineChars="100" w:firstLine="210"/>
              <w:rPr>
                <w:color w:val="000000" w:themeColor="text1"/>
              </w:rPr>
            </w:pPr>
            <w:r>
              <w:rPr>
                <w:rFonts w:hint="eastAsia"/>
                <w:color w:val="000000" w:themeColor="text1"/>
              </w:rPr>
              <w:t>其他综合收益</w:t>
            </w:r>
          </w:p>
        </w:tc>
        <w:tc>
          <w:tcPr>
            <w:tcW w:w="1133" w:type="dxa"/>
            <w:tcBorders>
              <w:top w:val="outset" w:sz="6" w:space="0" w:color="auto"/>
              <w:left w:val="outset" w:sz="6" w:space="0" w:color="auto"/>
              <w:bottom w:val="outset" w:sz="6" w:space="0" w:color="auto"/>
              <w:right w:val="outset" w:sz="6" w:space="0" w:color="auto"/>
            </w:tcBorders>
            <w:vAlign w:val="center"/>
          </w:tcPr>
          <w:p w14:paraId="18DC0F5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D4663D0" w14:textId="77777777" w:rsidR="00577D08" w:rsidRDefault="00330FC0">
            <w:pPr>
              <w:ind w:right="210"/>
              <w:jc w:val="right"/>
            </w:pPr>
            <w:r>
              <w:t xml:space="preserve">  </w:t>
            </w:r>
          </w:p>
        </w:tc>
        <w:tc>
          <w:tcPr>
            <w:tcW w:w="2411" w:type="dxa"/>
            <w:tcBorders>
              <w:top w:val="outset" w:sz="6" w:space="0" w:color="auto"/>
              <w:left w:val="outset" w:sz="6" w:space="0" w:color="auto"/>
              <w:bottom w:val="outset" w:sz="6" w:space="0" w:color="auto"/>
              <w:right w:val="outset" w:sz="6" w:space="0" w:color="auto"/>
            </w:tcBorders>
            <w:vAlign w:val="center"/>
          </w:tcPr>
          <w:p w14:paraId="206FF429" w14:textId="77777777" w:rsidR="00577D08" w:rsidRDefault="00577D08">
            <w:pPr>
              <w:jc w:val="right"/>
            </w:pPr>
          </w:p>
        </w:tc>
      </w:tr>
      <w:tr w:rsidR="00577D08" w14:paraId="532633A3" w14:textId="77777777">
        <w:tc>
          <w:tcPr>
            <w:tcW w:w="2944" w:type="dxa"/>
            <w:tcBorders>
              <w:top w:val="outset" w:sz="6" w:space="0" w:color="auto"/>
              <w:left w:val="outset" w:sz="6" w:space="0" w:color="auto"/>
              <w:bottom w:val="outset" w:sz="6" w:space="0" w:color="auto"/>
              <w:right w:val="outset" w:sz="6" w:space="0" w:color="auto"/>
            </w:tcBorders>
            <w:vAlign w:val="center"/>
          </w:tcPr>
          <w:p w14:paraId="6CB144C5" w14:textId="77777777" w:rsidR="00577D08" w:rsidRDefault="00330FC0">
            <w:pPr>
              <w:ind w:firstLineChars="100" w:firstLine="210"/>
              <w:rPr>
                <w:color w:val="000000" w:themeColor="text1"/>
              </w:rPr>
            </w:pPr>
            <w:r>
              <w:rPr>
                <w:rFonts w:hint="eastAsia"/>
                <w:color w:val="000000" w:themeColor="text1"/>
              </w:rPr>
              <w:t>专项储备</w:t>
            </w:r>
          </w:p>
        </w:tc>
        <w:tc>
          <w:tcPr>
            <w:tcW w:w="1133" w:type="dxa"/>
            <w:tcBorders>
              <w:top w:val="outset" w:sz="6" w:space="0" w:color="auto"/>
              <w:left w:val="outset" w:sz="6" w:space="0" w:color="auto"/>
              <w:bottom w:val="outset" w:sz="6" w:space="0" w:color="auto"/>
              <w:right w:val="outset" w:sz="6" w:space="0" w:color="auto"/>
            </w:tcBorders>
            <w:vAlign w:val="center"/>
          </w:tcPr>
          <w:p w14:paraId="67A82B4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39925C47" w14:textId="77777777" w:rsidR="00577D08" w:rsidRDefault="00330FC0">
            <w:pPr>
              <w:jc w:val="right"/>
            </w:pPr>
            <w:r>
              <w:t xml:space="preserve"> 20,467,028.68 </w:t>
            </w:r>
          </w:p>
        </w:tc>
        <w:tc>
          <w:tcPr>
            <w:tcW w:w="2411" w:type="dxa"/>
            <w:tcBorders>
              <w:top w:val="outset" w:sz="6" w:space="0" w:color="auto"/>
              <w:left w:val="outset" w:sz="6" w:space="0" w:color="auto"/>
              <w:bottom w:val="outset" w:sz="6" w:space="0" w:color="auto"/>
              <w:right w:val="outset" w:sz="6" w:space="0" w:color="auto"/>
            </w:tcBorders>
            <w:vAlign w:val="center"/>
          </w:tcPr>
          <w:p w14:paraId="3EEADCD2" w14:textId="77777777" w:rsidR="00577D08" w:rsidRDefault="00330FC0">
            <w:pPr>
              <w:jc w:val="right"/>
            </w:pPr>
            <w:r>
              <w:t>19,302,441.84</w:t>
            </w:r>
          </w:p>
        </w:tc>
      </w:tr>
      <w:tr w:rsidR="00577D08" w14:paraId="5F2B888B" w14:textId="77777777">
        <w:tc>
          <w:tcPr>
            <w:tcW w:w="2944" w:type="dxa"/>
            <w:tcBorders>
              <w:top w:val="outset" w:sz="6" w:space="0" w:color="auto"/>
              <w:left w:val="outset" w:sz="6" w:space="0" w:color="auto"/>
              <w:bottom w:val="outset" w:sz="6" w:space="0" w:color="auto"/>
              <w:right w:val="outset" w:sz="6" w:space="0" w:color="auto"/>
            </w:tcBorders>
            <w:vAlign w:val="center"/>
          </w:tcPr>
          <w:p w14:paraId="7B97DBC3" w14:textId="77777777" w:rsidR="00577D08" w:rsidRDefault="00330FC0">
            <w:pPr>
              <w:ind w:firstLineChars="100" w:firstLine="210"/>
              <w:rPr>
                <w:color w:val="000000" w:themeColor="text1"/>
              </w:rPr>
            </w:pPr>
            <w:r>
              <w:rPr>
                <w:rFonts w:hint="eastAsia"/>
                <w:color w:val="000000" w:themeColor="text1"/>
              </w:rPr>
              <w:t>盈余公积</w:t>
            </w:r>
          </w:p>
        </w:tc>
        <w:tc>
          <w:tcPr>
            <w:tcW w:w="1133" w:type="dxa"/>
            <w:tcBorders>
              <w:top w:val="outset" w:sz="6" w:space="0" w:color="auto"/>
              <w:left w:val="outset" w:sz="6" w:space="0" w:color="auto"/>
              <w:bottom w:val="outset" w:sz="6" w:space="0" w:color="auto"/>
              <w:right w:val="outset" w:sz="6" w:space="0" w:color="auto"/>
            </w:tcBorders>
            <w:vAlign w:val="center"/>
          </w:tcPr>
          <w:p w14:paraId="0BD6C91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9ED5DEF" w14:textId="77777777" w:rsidR="00577D08" w:rsidRDefault="00330FC0">
            <w:pPr>
              <w:jc w:val="right"/>
            </w:pPr>
            <w:r>
              <w:t xml:space="preserve"> 126,346,004.08 </w:t>
            </w:r>
          </w:p>
        </w:tc>
        <w:tc>
          <w:tcPr>
            <w:tcW w:w="2411" w:type="dxa"/>
            <w:tcBorders>
              <w:top w:val="outset" w:sz="6" w:space="0" w:color="auto"/>
              <w:left w:val="outset" w:sz="6" w:space="0" w:color="auto"/>
              <w:bottom w:val="outset" w:sz="6" w:space="0" w:color="auto"/>
              <w:right w:val="outset" w:sz="6" w:space="0" w:color="auto"/>
            </w:tcBorders>
            <w:vAlign w:val="center"/>
          </w:tcPr>
          <w:p w14:paraId="323966DA" w14:textId="77777777" w:rsidR="00577D08" w:rsidRDefault="00330FC0">
            <w:pPr>
              <w:jc w:val="right"/>
            </w:pPr>
            <w:r>
              <w:t>121,494,338.37</w:t>
            </w:r>
          </w:p>
        </w:tc>
      </w:tr>
      <w:tr w:rsidR="00577D08" w14:paraId="19DF1970" w14:textId="77777777">
        <w:tc>
          <w:tcPr>
            <w:tcW w:w="2944" w:type="dxa"/>
            <w:tcBorders>
              <w:top w:val="outset" w:sz="6" w:space="0" w:color="auto"/>
              <w:left w:val="outset" w:sz="6" w:space="0" w:color="auto"/>
              <w:bottom w:val="outset" w:sz="6" w:space="0" w:color="auto"/>
              <w:right w:val="outset" w:sz="6" w:space="0" w:color="auto"/>
            </w:tcBorders>
            <w:vAlign w:val="center"/>
          </w:tcPr>
          <w:p w14:paraId="2422240D" w14:textId="77777777" w:rsidR="00577D08" w:rsidRDefault="00330FC0">
            <w:pPr>
              <w:ind w:firstLineChars="100" w:firstLine="210"/>
              <w:rPr>
                <w:color w:val="000000" w:themeColor="text1"/>
              </w:rPr>
            </w:pPr>
            <w:r>
              <w:rPr>
                <w:rFonts w:hint="eastAsia"/>
                <w:color w:val="000000" w:themeColor="text1"/>
              </w:rPr>
              <w:t>未分配利润</w:t>
            </w:r>
          </w:p>
        </w:tc>
        <w:tc>
          <w:tcPr>
            <w:tcW w:w="1133" w:type="dxa"/>
            <w:tcBorders>
              <w:top w:val="outset" w:sz="6" w:space="0" w:color="auto"/>
              <w:left w:val="outset" w:sz="6" w:space="0" w:color="auto"/>
              <w:bottom w:val="outset" w:sz="6" w:space="0" w:color="auto"/>
              <w:right w:val="outset" w:sz="6" w:space="0" w:color="auto"/>
            </w:tcBorders>
            <w:vAlign w:val="center"/>
          </w:tcPr>
          <w:p w14:paraId="4CCDBB3F"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0B954664" w14:textId="77777777" w:rsidR="00577D08" w:rsidRDefault="00330FC0">
            <w:pPr>
              <w:jc w:val="right"/>
            </w:pPr>
            <w:r>
              <w:t xml:space="preserve"> 1,010,476,174.22 </w:t>
            </w:r>
          </w:p>
        </w:tc>
        <w:tc>
          <w:tcPr>
            <w:tcW w:w="2411" w:type="dxa"/>
            <w:tcBorders>
              <w:top w:val="outset" w:sz="6" w:space="0" w:color="auto"/>
              <w:left w:val="outset" w:sz="6" w:space="0" w:color="auto"/>
              <w:bottom w:val="outset" w:sz="6" w:space="0" w:color="auto"/>
              <w:right w:val="outset" w:sz="6" w:space="0" w:color="auto"/>
            </w:tcBorders>
            <w:vAlign w:val="center"/>
          </w:tcPr>
          <w:p w14:paraId="78BA3062" w14:textId="77777777" w:rsidR="00577D08" w:rsidRDefault="00330FC0">
            <w:pPr>
              <w:jc w:val="right"/>
            </w:pPr>
            <w:r>
              <w:t>982,926,914.80</w:t>
            </w:r>
          </w:p>
        </w:tc>
      </w:tr>
      <w:tr w:rsidR="00577D08" w14:paraId="1B992669" w14:textId="77777777">
        <w:tc>
          <w:tcPr>
            <w:tcW w:w="2944" w:type="dxa"/>
            <w:tcBorders>
              <w:top w:val="outset" w:sz="6" w:space="0" w:color="auto"/>
              <w:left w:val="outset" w:sz="6" w:space="0" w:color="auto"/>
              <w:bottom w:val="outset" w:sz="6" w:space="0" w:color="auto"/>
              <w:right w:val="outset" w:sz="6" w:space="0" w:color="auto"/>
            </w:tcBorders>
            <w:vAlign w:val="center"/>
          </w:tcPr>
          <w:p w14:paraId="1EDF9EA7" w14:textId="77777777" w:rsidR="00577D08" w:rsidRDefault="00330FC0">
            <w:pPr>
              <w:ind w:firstLineChars="200" w:firstLine="420"/>
              <w:rPr>
                <w:color w:val="000000" w:themeColor="text1"/>
              </w:rPr>
            </w:pPr>
            <w:r>
              <w:rPr>
                <w:rFonts w:hint="eastAsia"/>
                <w:color w:val="000000" w:themeColor="text1"/>
              </w:rPr>
              <w:t>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03D632A8"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4B61FD2B" w14:textId="77777777" w:rsidR="00577D08" w:rsidRDefault="00330FC0">
            <w:pPr>
              <w:jc w:val="right"/>
            </w:pPr>
            <w:r>
              <w:t xml:space="preserve"> 2,432,498,184.13 </w:t>
            </w:r>
          </w:p>
        </w:tc>
        <w:tc>
          <w:tcPr>
            <w:tcW w:w="2411" w:type="dxa"/>
            <w:tcBorders>
              <w:top w:val="outset" w:sz="6" w:space="0" w:color="auto"/>
              <w:left w:val="outset" w:sz="6" w:space="0" w:color="auto"/>
              <w:bottom w:val="outset" w:sz="6" w:space="0" w:color="auto"/>
              <w:right w:val="outset" w:sz="6" w:space="0" w:color="auto"/>
            </w:tcBorders>
            <w:vAlign w:val="center"/>
          </w:tcPr>
          <w:p w14:paraId="093A45EC" w14:textId="77777777" w:rsidR="00577D08" w:rsidRDefault="00330FC0">
            <w:pPr>
              <w:jc w:val="right"/>
            </w:pPr>
            <w:r>
              <w:t>2,395,889,174.59</w:t>
            </w:r>
          </w:p>
        </w:tc>
      </w:tr>
      <w:tr w:rsidR="00577D08" w14:paraId="2C52EBD5" w14:textId="77777777">
        <w:tc>
          <w:tcPr>
            <w:tcW w:w="2944" w:type="dxa"/>
            <w:tcBorders>
              <w:top w:val="outset" w:sz="6" w:space="0" w:color="auto"/>
              <w:left w:val="outset" w:sz="6" w:space="0" w:color="auto"/>
              <w:bottom w:val="outset" w:sz="6" w:space="0" w:color="auto"/>
              <w:right w:val="outset" w:sz="6" w:space="0" w:color="auto"/>
            </w:tcBorders>
            <w:vAlign w:val="center"/>
          </w:tcPr>
          <w:p w14:paraId="5D633C0C" w14:textId="77777777" w:rsidR="00577D08" w:rsidRDefault="00330FC0">
            <w:pPr>
              <w:ind w:firstLineChars="300" w:firstLine="630"/>
              <w:rPr>
                <w:color w:val="000000" w:themeColor="text1"/>
              </w:rPr>
            </w:pPr>
            <w:r>
              <w:rPr>
                <w:rFonts w:hint="eastAsia"/>
                <w:color w:val="000000" w:themeColor="text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vAlign w:val="center"/>
          </w:tcPr>
          <w:p w14:paraId="43037126" w14:textId="77777777" w:rsidR="00577D08" w:rsidRDefault="00577D08"/>
        </w:tc>
        <w:tc>
          <w:tcPr>
            <w:tcW w:w="2550" w:type="dxa"/>
            <w:tcBorders>
              <w:top w:val="outset" w:sz="6" w:space="0" w:color="auto"/>
              <w:left w:val="outset" w:sz="6" w:space="0" w:color="auto"/>
              <w:bottom w:val="outset" w:sz="6" w:space="0" w:color="auto"/>
              <w:right w:val="outset" w:sz="6" w:space="0" w:color="auto"/>
            </w:tcBorders>
            <w:vAlign w:val="center"/>
          </w:tcPr>
          <w:p w14:paraId="7618A202" w14:textId="77777777" w:rsidR="00577D08" w:rsidRDefault="00330FC0">
            <w:pPr>
              <w:jc w:val="right"/>
            </w:pPr>
            <w:r>
              <w:t xml:space="preserve"> 5,959,985,982.78 </w:t>
            </w:r>
          </w:p>
        </w:tc>
        <w:tc>
          <w:tcPr>
            <w:tcW w:w="2411" w:type="dxa"/>
            <w:tcBorders>
              <w:top w:val="outset" w:sz="6" w:space="0" w:color="auto"/>
              <w:left w:val="outset" w:sz="6" w:space="0" w:color="auto"/>
              <w:bottom w:val="outset" w:sz="6" w:space="0" w:color="auto"/>
              <w:right w:val="outset" w:sz="6" w:space="0" w:color="auto"/>
            </w:tcBorders>
            <w:vAlign w:val="center"/>
          </w:tcPr>
          <w:p w14:paraId="2A0C1373" w14:textId="77777777" w:rsidR="00577D08" w:rsidRDefault="00330FC0">
            <w:pPr>
              <w:jc w:val="right"/>
            </w:pPr>
            <w:r>
              <w:t>5,474,076,157.25</w:t>
            </w:r>
          </w:p>
        </w:tc>
      </w:tr>
    </w:tbl>
    <w:bookmarkEnd w:id="287"/>
    <w:p w14:paraId="042E280B" w14:textId="77777777" w:rsidR="00577D08" w:rsidRDefault="00330FC0">
      <w:pPr>
        <w:ind w:rightChars="-73" w:right="-153"/>
      </w:pPr>
      <w:r>
        <w:rPr>
          <w:rFonts w:hint="eastAsia"/>
        </w:rPr>
        <w:t>公司负责</w:t>
      </w:r>
      <w:r>
        <w:t>人</w:t>
      </w:r>
      <w:r>
        <w:rPr>
          <w:rFonts w:hint="eastAsia"/>
        </w:rPr>
        <w:t>：</w:t>
      </w:r>
      <w:sdt>
        <w:sdtPr>
          <w:rPr>
            <w:rFonts w:hint="eastAsia"/>
          </w:rPr>
          <w:alias w:val="公司负责人姓名"/>
          <w:tag w:val="_GBC_a81a61c6d7bb46bfa69f34f205086804"/>
          <w:id w:val="1515953784"/>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12b89d18f9094da18899493b997b98a8"/>
          <w:id w:val="-1232379427"/>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80397291c44b4713afb5a711c98f3ea6"/>
          <w:id w:val="-1235239060"/>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p w14:paraId="79C2E36B" w14:textId="77777777" w:rsidR="00577D08" w:rsidRDefault="00577D08">
      <w:pPr>
        <w:rPr>
          <w:color w:val="FF0000"/>
        </w:rPr>
      </w:pPr>
      <w:bookmarkStart w:id="288" w:name="_Hlk24033458"/>
      <w:bookmarkEnd w:id="284"/>
      <w:bookmarkEnd w:id="286"/>
      <w:bookmarkEnd w:id="288"/>
    </w:p>
    <w:p w14:paraId="449B6D44" w14:textId="77777777" w:rsidR="00577D08" w:rsidRDefault="00330FC0">
      <w:pPr>
        <w:pStyle w:val="3"/>
        <w:jc w:val="center"/>
      </w:pPr>
      <w:bookmarkStart w:id="289" w:name="_Hlk24038378"/>
      <w:r>
        <w:rPr>
          <w:rFonts w:hint="eastAsia"/>
        </w:rPr>
        <w:t>合并</w:t>
      </w:r>
      <w:r>
        <w:t>利润表</w:t>
      </w:r>
    </w:p>
    <w:p w14:paraId="19BBAB0A" w14:textId="77777777" w:rsidR="00577D08" w:rsidRDefault="00330FC0">
      <w:pPr>
        <w:jc w:val="center"/>
        <w:rPr>
          <w:b/>
          <w:bCs/>
        </w:rPr>
      </w:pPr>
      <w:r>
        <w:t>2025</w:t>
      </w:r>
      <w:r>
        <w:t>年</w:t>
      </w:r>
      <w:r>
        <w:rPr>
          <w:rFonts w:hint="eastAsia"/>
        </w:rPr>
        <w:t>1</w:t>
      </w:r>
      <w:r>
        <w:rPr>
          <w:rFonts w:hint="eastAsia"/>
        </w:rPr>
        <w:t>—</w:t>
      </w:r>
      <w:r>
        <w:t>12</w:t>
      </w:r>
      <w:r>
        <w:t>月</w:t>
      </w:r>
    </w:p>
    <w:p w14:paraId="4F9D503C" w14:textId="075876EC" w:rsidR="00577D08" w:rsidRDefault="00330FC0">
      <w:pPr>
        <w:jc w:val="right"/>
      </w:pPr>
      <w:r>
        <w:t>单位：</w:t>
      </w:r>
      <w:sdt>
        <w:sdtPr>
          <w:alias w:val="单位：合并利润表"/>
          <w:tag w:val="_GBC_95830fead96c480388a2e386c3331383"/>
          <w:id w:val="-355068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r w:rsidR="00CC5C32">
            <w:t xml:space="preserve"> </w:t>
          </w:r>
        </w:sdtContent>
      </w:sdt>
      <w:r>
        <w:t>币种：</w:t>
      </w:r>
      <w:sdt>
        <w:sdtPr>
          <w:alias w:val="币种：合并利润表"/>
          <w:tag w:val="_GBC_4902a1798447427ba99922213b04b39b"/>
          <w:id w:val="14565936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07"/>
        <w:gridCol w:w="1516"/>
        <w:gridCol w:w="2008"/>
        <w:gridCol w:w="2018"/>
      </w:tblGrid>
      <w:tr w:rsidR="00577D08" w14:paraId="7359006A" w14:textId="77777777">
        <w:trPr>
          <w:cantSplit/>
          <w:tblHeader/>
        </w:trPr>
        <w:sdt>
          <w:sdtPr>
            <w:tag w:val="_PLD_2e3f33fcce354b339a86add10899a6c5"/>
            <w:id w:val="1503621078"/>
          </w:sdtPr>
          <w:sdtContent>
            <w:tc>
              <w:tcPr>
                <w:tcW w:w="3507" w:type="dxa"/>
                <w:tcBorders>
                  <w:top w:val="outset" w:sz="4" w:space="0" w:color="auto"/>
                  <w:left w:val="outset" w:sz="4" w:space="0" w:color="auto"/>
                  <w:bottom w:val="outset" w:sz="4" w:space="0" w:color="auto"/>
                  <w:right w:val="outset" w:sz="4" w:space="0" w:color="auto"/>
                </w:tcBorders>
                <w:vAlign w:val="center"/>
              </w:tcPr>
              <w:p w14:paraId="611BF113" w14:textId="77777777" w:rsidR="00577D08" w:rsidRDefault="00330FC0">
                <w:pPr>
                  <w:ind w:leftChars="-19" w:hangingChars="19" w:hanging="40"/>
                  <w:jc w:val="center"/>
                  <w:rPr>
                    <w:b/>
                  </w:rPr>
                </w:pPr>
                <w:r>
                  <w:rPr>
                    <w:b/>
                  </w:rPr>
                  <w:t>项目</w:t>
                </w:r>
              </w:p>
            </w:tc>
          </w:sdtContent>
        </w:sdt>
        <w:sdt>
          <w:sdtPr>
            <w:tag w:val="_PLD_93edd7a3846d4cd58b14d043e9b33f2c"/>
            <w:id w:val="-1231309363"/>
          </w:sdtPr>
          <w:sdtContent>
            <w:tc>
              <w:tcPr>
                <w:tcW w:w="1516" w:type="dxa"/>
                <w:tcBorders>
                  <w:top w:val="outset" w:sz="4" w:space="0" w:color="auto"/>
                  <w:left w:val="outset" w:sz="4" w:space="0" w:color="auto"/>
                  <w:bottom w:val="outset" w:sz="4" w:space="0" w:color="auto"/>
                  <w:right w:val="outset" w:sz="4" w:space="0" w:color="auto"/>
                </w:tcBorders>
                <w:vAlign w:val="center"/>
              </w:tcPr>
              <w:p w14:paraId="07FC5998" w14:textId="77777777" w:rsidR="00577D08" w:rsidRDefault="00330FC0">
                <w:pPr>
                  <w:jc w:val="center"/>
                  <w:rPr>
                    <w:b/>
                  </w:rPr>
                </w:pPr>
                <w:r>
                  <w:rPr>
                    <w:rFonts w:hint="eastAsia"/>
                    <w:b/>
                  </w:rPr>
                  <w:t>附注</w:t>
                </w:r>
              </w:p>
            </w:tc>
          </w:sdtContent>
        </w:sdt>
        <w:sdt>
          <w:sdtPr>
            <w:tag w:val="_PLD_49f84cca199c45e7bc0f9fea5b73078c"/>
            <w:id w:val="-348797964"/>
          </w:sdtPr>
          <w:sdtContent>
            <w:tc>
              <w:tcPr>
                <w:tcW w:w="2008" w:type="dxa"/>
                <w:tcBorders>
                  <w:top w:val="outset" w:sz="4" w:space="0" w:color="auto"/>
                  <w:left w:val="outset" w:sz="4" w:space="0" w:color="auto"/>
                  <w:bottom w:val="outset" w:sz="4" w:space="0" w:color="auto"/>
                  <w:right w:val="outset" w:sz="4" w:space="0" w:color="auto"/>
                </w:tcBorders>
                <w:vAlign w:val="center"/>
              </w:tcPr>
              <w:p w14:paraId="7705E113" w14:textId="77777777" w:rsidR="00577D08" w:rsidRDefault="00330FC0">
                <w:pPr>
                  <w:jc w:val="center"/>
                  <w:rPr>
                    <w:b/>
                  </w:rPr>
                </w:pPr>
                <w:r>
                  <w:rPr>
                    <w:rFonts w:hint="eastAsia"/>
                    <w:b/>
                  </w:rPr>
                  <w:t>2025</w:t>
                </w:r>
                <w:r>
                  <w:rPr>
                    <w:rFonts w:hint="eastAsia"/>
                    <w:b/>
                  </w:rPr>
                  <w:t>年度</w:t>
                </w:r>
              </w:p>
            </w:tc>
          </w:sdtContent>
        </w:sdt>
        <w:sdt>
          <w:sdtPr>
            <w:tag w:val="_PLD_8b5fde21bc974404b892a88906dec352"/>
            <w:id w:val="-580365348"/>
          </w:sdtPr>
          <w:sdtContent>
            <w:tc>
              <w:tcPr>
                <w:tcW w:w="2018" w:type="dxa"/>
                <w:tcBorders>
                  <w:top w:val="outset" w:sz="4" w:space="0" w:color="auto"/>
                  <w:left w:val="outset" w:sz="4" w:space="0" w:color="auto"/>
                  <w:bottom w:val="outset" w:sz="4" w:space="0" w:color="auto"/>
                  <w:right w:val="outset" w:sz="4" w:space="0" w:color="auto"/>
                </w:tcBorders>
                <w:vAlign w:val="center"/>
              </w:tcPr>
              <w:p w14:paraId="37989355" w14:textId="77777777" w:rsidR="00577D08" w:rsidRDefault="00330FC0">
                <w:pPr>
                  <w:jc w:val="center"/>
                  <w:rPr>
                    <w:b/>
                  </w:rPr>
                </w:pPr>
                <w:r>
                  <w:rPr>
                    <w:rFonts w:hint="eastAsia"/>
                    <w:b/>
                  </w:rPr>
                  <w:t>2024</w:t>
                </w:r>
                <w:r>
                  <w:rPr>
                    <w:rFonts w:hint="eastAsia"/>
                    <w:b/>
                  </w:rPr>
                  <w:t>年度</w:t>
                </w:r>
              </w:p>
            </w:tc>
          </w:sdtContent>
        </w:sdt>
      </w:tr>
      <w:tr w:rsidR="00577D08" w14:paraId="611C0FC5" w14:textId="77777777">
        <w:tc>
          <w:tcPr>
            <w:tcW w:w="3507" w:type="dxa"/>
            <w:tcBorders>
              <w:top w:val="outset" w:sz="4" w:space="0" w:color="auto"/>
              <w:left w:val="outset" w:sz="4" w:space="0" w:color="auto"/>
              <w:bottom w:val="outset" w:sz="4" w:space="0" w:color="auto"/>
              <w:right w:val="outset" w:sz="4" w:space="0" w:color="auto"/>
            </w:tcBorders>
            <w:vAlign w:val="center"/>
          </w:tcPr>
          <w:p w14:paraId="3871C8DC" w14:textId="77777777" w:rsidR="00577D08" w:rsidRDefault="00330FC0">
            <w:pPr>
              <w:rPr>
                <w:color w:val="000000"/>
              </w:rPr>
            </w:pPr>
            <w:r>
              <w:rPr>
                <w:rFonts w:hint="eastAsia"/>
              </w:rPr>
              <w:t>一、营业总收入</w:t>
            </w:r>
          </w:p>
        </w:tc>
        <w:tc>
          <w:tcPr>
            <w:tcW w:w="1516" w:type="dxa"/>
            <w:tcBorders>
              <w:top w:val="outset" w:sz="4" w:space="0" w:color="auto"/>
              <w:left w:val="outset" w:sz="4" w:space="0" w:color="auto"/>
              <w:bottom w:val="outset" w:sz="4" w:space="0" w:color="auto"/>
              <w:right w:val="outset" w:sz="4" w:space="0" w:color="auto"/>
            </w:tcBorders>
          </w:tcPr>
          <w:p w14:paraId="00337E8F"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28AF73C" w14:textId="77777777" w:rsidR="00577D08" w:rsidRDefault="00330FC0">
            <w:pPr>
              <w:jc w:val="right"/>
            </w:pPr>
            <w:r>
              <w:t xml:space="preserve"> 3,917,008,279.18 </w:t>
            </w:r>
          </w:p>
        </w:tc>
        <w:tc>
          <w:tcPr>
            <w:tcW w:w="2018" w:type="dxa"/>
            <w:tcBorders>
              <w:top w:val="outset" w:sz="4" w:space="0" w:color="auto"/>
              <w:left w:val="outset" w:sz="4" w:space="0" w:color="auto"/>
              <w:bottom w:val="outset" w:sz="4" w:space="0" w:color="auto"/>
              <w:right w:val="outset" w:sz="4" w:space="0" w:color="auto"/>
            </w:tcBorders>
            <w:vAlign w:val="center"/>
          </w:tcPr>
          <w:p w14:paraId="383B96FC" w14:textId="77777777" w:rsidR="00577D08" w:rsidRDefault="00330FC0">
            <w:pPr>
              <w:jc w:val="right"/>
            </w:pPr>
            <w:r>
              <w:t>3,351,570,003.30</w:t>
            </w:r>
          </w:p>
        </w:tc>
      </w:tr>
      <w:tr w:rsidR="00577D08" w14:paraId="52E06107" w14:textId="77777777">
        <w:tc>
          <w:tcPr>
            <w:tcW w:w="3507" w:type="dxa"/>
            <w:tcBorders>
              <w:top w:val="outset" w:sz="4" w:space="0" w:color="auto"/>
              <w:left w:val="outset" w:sz="4" w:space="0" w:color="auto"/>
              <w:bottom w:val="outset" w:sz="4" w:space="0" w:color="auto"/>
              <w:right w:val="outset" w:sz="4" w:space="0" w:color="auto"/>
            </w:tcBorders>
            <w:vAlign w:val="center"/>
          </w:tcPr>
          <w:p w14:paraId="0C95EAB0" w14:textId="77777777" w:rsidR="00577D08" w:rsidRDefault="00330FC0">
            <w:pPr>
              <w:rPr>
                <w:color w:val="000000"/>
              </w:rPr>
            </w:pPr>
            <w:r>
              <w:rPr>
                <w:rFonts w:hint="eastAsia"/>
              </w:rPr>
              <w:t>其中：营业收入</w:t>
            </w:r>
          </w:p>
        </w:tc>
        <w:tc>
          <w:tcPr>
            <w:tcW w:w="1516" w:type="dxa"/>
            <w:tcBorders>
              <w:top w:val="outset" w:sz="4" w:space="0" w:color="auto"/>
              <w:left w:val="outset" w:sz="4" w:space="0" w:color="auto"/>
              <w:bottom w:val="outset" w:sz="4" w:space="0" w:color="auto"/>
              <w:right w:val="outset" w:sz="4" w:space="0" w:color="auto"/>
            </w:tcBorders>
            <w:vAlign w:val="center"/>
          </w:tcPr>
          <w:p w14:paraId="6E59078D" w14:textId="77777777" w:rsidR="00577D08" w:rsidRDefault="00330FC0">
            <w:pPr>
              <w:jc w:val="both"/>
            </w:pPr>
            <w:r>
              <w:rPr>
                <w:rFonts w:hint="eastAsia"/>
              </w:rPr>
              <w:t>七、</w:t>
            </w:r>
            <w:r>
              <w:rPr>
                <w:rFonts w:hint="eastAsia"/>
              </w:rPr>
              <w:t>61</w:t>
            </w:r>
          </w:p>
        </w:tc>
        <w:tc>
          <w:tcPr>
            <w:tcW w:w="2008" w:type="dxa"/>
            <w:tcBorders>
              <w:top w:val="outset" w:sz="4" w:space="0" w:color="auto"/>
              <w:left w:val="outset" w:sz="4" w:space="0" w:color="auto"/>
              <w:bottom w:val="outset" w:sz="4" w:space="0" w:color="auto"/>
              <w:right w:val="outset" w:sz="4" w:space="0" w:color="auto"/>
            </w:tcBorders>
            <w:vAlign w:val="center"/>
          </w:tcPr>
          <w:p w14:paraId="68838D1A" w14:textId="77777777" w:rsidR="00577D08" w:rsidRDefault="00330FC0">
            <w:pPr>
              <w:jc w:val="right"/>
            </w:pPr>
            <w:r>
              <w:t xml:space="preserve"> 3,917,008,279.18 </w:t>
            </w:r>
          </w:p>
        </w:tc>
        <w:tc>
          <w:tcPr>
            <w:tcW w:w="2018" w:type="dxa"/>
            <w:tcBorders>
              <w:top w:val="outset" w:sz="4" w:space="0" w:color="auto"/>
              <w:left w:val="outset" w:sz="4" w:space="0" w:color="auto"/>
              <w:bottom w:val="outset" w:sz="4" w:space="0" w:color="auto"/>
              <w:right w:val="outset" w:sz="4" w:space="0" w:color="auto"/>
            </w:tcBorders>
            <w:vAlign w:val="center"/>
          </w:tcPr>
          <w:p w14:paraId="19C91968" w14:textId="77777777" w:rsidR="00577D08" w:rsidRDefault="00330FC0">
            <w:pPr>
              <w:jc w:val="right"/>
            </w:pPr>
            <w:r>
              <w:t>3,351,570,003.30</w:t>
            </w:r>
          </w:p>
        </w:tc>
      </w:tr>
      <w:tr w:rsidR="00577D08" w14:paraId="25EF5BA6" w14:textId="77777777">
        <w:tc>
          <w:tcPr>
            <w:tcW w:w="3507" w:type="dxa"/>
            <w:tcBorders>
              <w:top w:val="outset" w:sz="4" w:space="0" w:color="auto"/>
              <w:left w:val="outset" w:sz="4" w:space="0" w:color="auto"/>
              <w:bottom w:val="outset" w:sz="4" w:space="0" w:color="auto"/>
              <w:right w:val="outset" w:sz="4" w:space="0" w:color="auto"/>
            </w:tcBorders>
            <w:vAlign w:val="center"/>
          </w:tcPr>
          <w:p w14:paraId="04F736DE" w14:textId="77777777" w:rsidR="00577D08" w:rsidRDefault="00330FC0">
            <w:pPr>
              <w:ind w:firstLineChars="300" w:firstLine="630"/>
              <w:rPr>
                <w:color w:val="000000"/>
              </w:rPr>
            </w:pPr>
            <w:r>
              <w:rPr>
                <w:rFonts w:hint="eastAsia"/>
              </w:rPr>
              <w:t>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1B0096A7"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00A03A65"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1DECF13C" w14:textId="77777777" w:rsidR="00577D08" w:rsidRDefault="00577D08">
            <w:pPr>
              <w:jc w:val="right"/>
            </w:pPr>
          </w:p>
        </w:tc>
      </w:tr>
      <w:tr w:rsidR="00577D08" w14:paraId="54588EF6" w14:textId="77777777">
        <w:tc>
          <w:tcPr>
            <w:tcW w:w="3507" w:type="dxa"/>
            <w:tcBorders>
              <w:top w:val="outset" w:sz="4" w:space="0" w:color="auto"/>
              <w:left w:val="outset" w:sz="4" w:space="0" w:color="auto"/>
              <w:bottom w:val="outset" w:sz="4" w:space="0" w:color="auto"/>
              <w:right w:val="outset" w:sz="4" w:space="0" w:color="auto"/>
            </w:tcBorders>
            <w:vAlign w:val="center"/>
          </w:tcPr>
          <w:p w14:paraId="6A9BADE8" w14:textId="77777777" w:rsidR="00577D08" w:rsidRDefault="00330FC0">
            <w:pPr>
              <w:ind w:firstLineChars="300" w:firstLine="630"/>
            </w:pPr>
            <w:r>
              <w:rPr>
                <w:rFonts w:hint="eastAsia"/>
              </w:rPr>
              <w:t>已赚保费</w:t>
            </w:r>
          </w:p>
        </w:tc>
        <w:tc>
          <w:tcPr>
            <w:tcW w:w="1516" w:type="dxa"/>
            <w:tcBorders>
              <w:top w:val="outset" w:sz="4" w:space="0" w:color="auto"/>
              <w:left w:val="outset" w:sz="4" w:space="0" w:color="auto"/>
              <w:bottom w:val="outset" w:sz="4" w:space="0" w:color="auto"/>
              <w:right w:val="outset" w:sz="4" w:space="0" w:color="auto"/>
            </w:tcBorders>
            <w:vAlign w:val="center"/>
          </w:tcPr>
          <w:p w14:paraId="716B811F"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444570B5"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37019FB4" w14:textId="77777777" w:rsidR="00577D08" w:rsidRDefault="00577D08">
            <w:pPr>
              <w:jc w:val="right"/>
            </w:pPr>
          </w:p>
        </w:tc>
      </w:tr>
      <w:tr w:rsidR="00577D08" w14:paraId="2A0D03B4" w14:textId="77777777">
        <w:tc>
          <w:tcPr>
            <w:tcW w:w="3507" w:type="dxa"/>
            <w:tcBorders>
              <w:top w:val="outset" w:sz="4" w:space="0" w:color="auto"/>
              <w:left w:val="outset" w:sz="4" w:space="0" w:color="auto"/>
              <w:bottom w:val="outset" w:sz="4" w:space="0" w:color="auto"/>
              <w:right w:val="outset" w:sz="4" w:space="0" w:color="auto"/>
            </w:tcBorders>
            <w:vAlign w:val="center"/>
          </w:tcPr>
          <w:p w14:paraId="647153A6" w14:textId="77777777" w:rsidR="00577D08" w:rsidRDefault="00330FC0">
            <w:pPr>
              <w:ind w:firstLineChars="300" w:firstLine="630"/>
            </w:pPr>
            <w:r>
              <w:rPr>
                <w:rFonts w:hint="eastAsia"/>
              </w:rPr>
              <w:t>手续费及佣金收入</w:t>
            </w:r>
          </w:p>
        </w:tc>
        <w:tc>
          <w:tcPr>
            <w:tcW w:w="1516" w:type="dxa"/>
            <w:tcBorders>
              <w:top w:val="outset" w:sz="4" w:space="0" w:color="auto"/>
              <w:left w:val="outset" w:sz="4" w:space="0" w:color="auto"/>
              <w:bottom w:val="outset" w:sz="4" w:space="0" w:color="auto"/>
              <w:right w:val="outset" w:sz="4" w:space="0" w:color="auto"/>
            </w:tcBorders>
            <w:vAlign w:val="center"/>
          </w:tcPr>
          <w:p w14:paraId="6AA2F0CD"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07FCDF16"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B071714" w14:textId="77777777" w:rsidR="00577D08" w:rsidRDefault="00577D08">
            <w:pPr>
              <w:jc w:val="right"/>
            </w:pPr>
          </w:p>
        </w:tc>
      </w:tr>
      <w:tr w:rsidR="00577D08" w14:paraId="11263071" w14:textId="77777777">
        <w:tc>
          <w:tcPr>
            <w:tcW w:w="3507" w:type="dxa"/>
            <w:tcBorders>
              <w:top w:val="outset" w:sz="4" w:space="0" w:color="auto"/>
              <w:left w:val="outset" w:sz="4" w:space="0" w:color="auto"/>
              <w:bottom w:val="outset" w:sz="4" w:space="0" w:color="auto"/>
              <w:right w:val="outset" w:sz="4" w:space="0" w:color="auto"/>
            </w:tcBorders>
            <w:vAlign w:val="center"/>
          </w:tcPr>
          <w:p w14:paraId="5053D506" w14:textId="77777777" w:rsidR="00577D08" w:rsidRDefault="00330FC0">
            <w:pPr>
              <w:rPr>
                <w:color w:val="000000"/>
              </w:rPr>
            </w:pPr>
            <w:r>
              <w:rPr>
                <w:rFonts w:hint="eastAsia"/>
              </w:rPr>
              <w:t>二、营业总成本</w:t>
            </w:r>
          </w:p>
        </w:tc>
        <w:tc>
          <w:tcPr>
            <w:tcW w:w="1516" w:type="dxa"/>
            <w:tcBorders>
              <w:top w:val="outset" w:sz="4" w:space="0" w:color="auto"/>
              <w:left w:val="outset" w:sz="4" w:space="0" w:color="auto"/>
              <w:bottom w:val="outset" w:sz="4" w:space="0" w:color="auto"/>
              <w:right w:val="outset" w:sz="4" w:space="0" w:color="auto"/>
            </w:tcBorders>
            <w:vAlign w:val="center"/>
          </w:tcPr>
          <w:p w14:paraId="3B202FB5"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5CD2F524" w14:textId="77777777" w:rsidR="00577D08" w:rsidRDefault="00330FC0">
            <w:pPr>
              <w:jc w:val="right"/>
            </w:pPr>
            <w:r>
              <w:t xml:space="preserve"> 3,808,896,107.85 </w:t>
            </w:r>
          </w:p>
        </w:tc>
        <w:tc>
          <w:tcPr>
            <w:tcW w:w="2018" w:type="dxa"/>
            <w:tcBorders>
              <w:top w:val="outset" w:sz="4" w:space="0" w:color="auto"/>
              <w:left w:val="outset" w:sz="4" w:space="0" w:color="auto"/>
              <w:bottom w:val="outset" w:sz="4" w:space="0" w:color="auto"/>
              <w:right w:val="outset" w:sz="4" w:space="0" w:color="auto"/>
            </w:tcBorders>
            <w:vAlign w:val="center"/>
          </w:tcPr>
          <w:p w14:paraId="24133D5F" w14:textId="77777777" w:rsidR="00577D08" w:rsidRDefault="00330FC0">
            <w:pPr>
              <w:jc w:val="right"/>
            </w:pPr>
            <w:r>
              <w:t>3,286,026,134.27</w:t>
            </w:r>
          </w:p>
        </w:tc>
      </w:tr>
      <w:tr w:rsidR="00577D08" w14:paraId="77B07D3A" w14:textId="77777777">
        <w:tc>
          <w:tcPr>
            <w:tcW w:w="3507" w:type="dxa"/>
            <w:tcBorders>
              <w:top w:val="outset" w:sz="4" w:space="0" w:color="auto"/>
              <w:left w:val="outset" w:sz="4" w:space="0" w:color="auto"/>
              <w:bottom w:val="outset" w:sz="4" w:space="0" w:color="auto"/>
              <w:right w:val="outset" w:sz="4" w:space="0" w:color="auto"/>
            </w:tcBorders>
            <w:vAlign w:val="center"/>
          </w:tcPr>
          <w:p w14:paraId="011D2B1B" w14:textId="77777777" w:rsidR="00577D08" w:rsidRDefault="00330FC0">
            <w:pPr>
              <w:rPr>
                <w:color w:val="000000"/>
              </w:rPr>
            </w:pPr>
            <w:r>
              <w:rPr>
                <w:rFonts w:hint="eastAsia"/>
              </w:rPr>
              <w:t>其中：营业成本</w:t>
            </w:r>
          </w:p>
        </w:tc>
        <w:tc>
          <w:tcPr>
            <w:tcW w:w="1516" w:type="dxa"/>
            <w:tcBorders>
              <w:top w:val="outset" w:sz="4" w:space="0" w:color="auto"/>
              <w:left w:val="outset" w:sz="4" w:space="0" w:color="auto"/>
              <w:bottom w:val="outset" w:sz="4" w:space="0" w:color="auto"/>
              <w:right w:val="outset" w:sz="4" w:space="0" w:color="auto"/>
            </w:tcBorders>
            <w:vAlign w:val="center"/>
          </w:tcPr>
          <w:p w14:paraId="570B6C4B" w14:textId="77777777" w:rsidR="00577D08" w:rsidRDefault="00330FC0">
            <w:pPr>
              <w:jc w:val="both"/>
            </w:pPr>
            <w:r>
              <w:rPr>
                <w:rFonts w:hint="eastAsia"/>
              </w:rPr>
              <w:t>七、</w:t>
            </w:r>
            <w:r>
              <w:rPr>
                <w:rFonts w:hint="eastAsia"/>
              </w:rPr>
              <w:t>61</w:t>
            </w:r>
          </w:p>
        </w:tc>
        <w:tc>
          <w:tcPr>
            <w:tcW w:w="2008" w:type="dxa"/>
            <w:tcBorders>
              <w:top w:val="outset" w:sz="4" w:space="0" w:color="auto"/>
              <w:left w:val="outset" w:sz="4" w:space="0" w:color="auto"/>
              <w:bottom w:val="outset" w:sz="4" w:space="0" w:color="auto"/>
              <w:right w:val="outset" w:sz="4" w:space="0" w:color="auto"/>
            </w:tcBorders>
            <w:vAlign w:val="center"/>
          </w:tcPr>
          <w:p w14:paraId="6C467002" w14:textId="77777777" w:rsidR="00577D08" w:rsidRDefault="00330FC0">
            <w:pPr>
              <w:jc w:val="right"/>
            </w:pPr>
            <w:r>
              <w:t xml:space="preserve"> 3,470,189,610.36 </w:t>
            </w:r>
          </w:p>
        </w:tc>
        <w:tc>
          <w:tcPr>
            <w:tcW w:w="2018" w:type="dxa"/>
            <w:tcBorders>
              <w:top w:val="outset" w:sz="4" w:space="0" w:color="auto"/>
              <w:left w:val="outset" w:sz="4" w:space="0" w:color="auto"/>
              <w:bottom w:val="outset" w:sz="4" w:space="0" w:color="auto"/>
              <w:right w:val="outset" w:sz="4" w:space="0" w:color="auto"/>
            </w:tcBorders>
            <w:vAlign w:val="center"/>
          </w:tcPr>
          <w:p w14:paraId="6543DE35" w14:textId="77777777" w:rsidR="00577D08" w:rsidRDefault="00330FC0">
            <w:pPr>
              <w:jc w:val="right"/>
            </w:pPr>
            <w:r>
              <w:t>2,983,951,854.24</w:t>
            </w:r>
          </w:p>
        </w:tc>
      </w:tr>
      <w:tr w:rsidR="00577D08" w14:paraId="05C89F25" w14:textId="77777777">
        <w:tc>
          <w:tcPr>
            <w:tcW w:w="3507" w:type="dxa"/>
            <w:tcBorders>
              <w:top w:val="outset" w:sz="4" w:space="0" w:color="auto"/>
              <w:left w:val="outset" w:sz="4" w:space="0" w:color="auto"/>
              <w:bottom w:val="outset" w:sz="4" w:space="0" w:color="auto"/>
              <w:right w:val="outset" w:sz="4" w:space="0" w:color="auto"/>
            </w:tcBorders>
            <w:vAlign w:val="center"/>
          </w:tcPr>
          <w:p w14:paraId="48C12271" w14:textId="77777777" w:rsidR="00577D08" w:rsidRDefault="00330FC0">
            <w:pPr>
              <w:ind w:firstLineChars="300" w:firstLine="630"/>
            </w:pPr>
            <w:r>
              <w:rPr>
                <w:rFonts w:hint="eastAsia"/>
              </w:rPr>
              <w:t>利息支出</w:t>
            </w:r>
          </w:p>
        </w:tc>
        <w:tc>
          <w:tcPr>
            <w:tcW w:w="1516" w:type="dxa"/>
            <w:tcBorders>
              <w:top w:val="outset" w:sz="4" w:space="0" w:color="auto"/>
              <w:left w:val="outset" w:sz="4" w:space="0" w:color="auto"/>
              <w:bottom w:val="outset" w:sz="4" w:space="0" w:color="auto"/>
              <w:right w:val="outset" w:sz="4" w:space="0" w:color="auto"/>
            </w:tcBorders>
            <w:vAlign w:val="center"/>
          </w:tcPr>
          <w:p w14:paraId="34531302"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720CF1EA"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75A99511" w14:textId="77777777" w:rsidR="00577D08" w:rsidRDefault="00577D08">
            <w:pPr>
              <w:jc w:val="right"/>
            </w:pPr>
          </w:p>
        </w:tc>
      </w:tr>
      <w:tr w:rsidR="00577D08" w14:paraId="5B23C2D2" w14:textId="77777777">
        <w:tc>
          <w:tcPr>
            <w:tcW w:w="3507" w:type="dxa"/>
            <w:tcBorders>
              <w:top w:val="outset" w:sz="4" w:space="0" w:color="auto"/>
              <w:left w:val="outset" w:sz="4" w:space="0" w:color="auto"/>
              <w:bottom w:val="outset" w:sz="4" w:space="0" w:color="auto"/>
              <w:right w:val="outset" w:sz="4" w:space="0" w:color="auto"/>
            </w:tcBorders>
            <w:vAlign w:val="center"/>
          </w:tcPr>
          <w:p w14:paraId="7C8E0C8E" w14:textId="77777777" w:rsidR="00577D08" w:rsidRDefault="00330FC0">
            <w:pPr>
              <w:ind w:firstLineChars="300" w:firstLine="630"/>
            </w:pPr>
            <w:r>
              <w:rPr>
                <w:rFonts w:hint="eastAsia"/>
              </w:rPr>
              <w:t>手续费及佣金支出</w:t>
            </w:r>
          </w:p>
        </w:tc>
        <w:tc>
          <w:tcPr>
            <w:tcW w:w="1516" w:type="dxa"/>
            <w:tcBorders>
              <w:top w:val="outset" w:sz="4" w:space="0" w:color="auto"/>
              <w:left w:val="outset" w:sz="4" w:space="0" w:color="auto"/>
              <w:bottom w:val="outset" w:sz="4" w:space="0" w:color="auto"/>
              <w:right w:val="outset" w:sz="4" w:space="0" w:color="auto"/>
            </w:tcBorders>
            <w:vAlign w:val="center"/>
          </w:tcPr>
          <w:p w14:paraId="708493AD"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292249DD"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23785A0F" w14:textId="77777777" w:rsidR="00577D08" w:rsidRDefault="00577D08">
            <w:pPr>
              <w:jc w:val="right"/>
            </w:pPr>
          </w:p>
        </w:tc>
      </w:tr>
      <w:tr w:rsidR="00577D08" w14:paraId="07F1F817" w14:textId="77777777">
        <w:tc>
          <w:tcPr>
            <w:tcW w:w="3507" w:type="dxa"/>
            <w:tcBorders>
              <w:top w:val="outset" w:sz="4" w:space="0" w:color="auto"/>
              <w:left w:val="outset" w:sz="4" w:space="0" w:color="auto"/>
              <w:bottom w:val="outset" w:sz="4" w:space="0" w:color="auto"/>
              <w:right w:val="outset" w:sz="4" w:space="0" w:color="auto"/>
            </w:tcBorders>
            <w:vAlign w:val="center"/>
          </w:tcPr>
          <w:p w14:paraId="05F5D62C" w14:textId="77777777" w:rsidR="00577D08" w:rsidRDefault="00330FC0">
            <w:pPr>
              <w:ind w:firstLineChars="300" w:firstLine="630"/>
            </w:pPr>
            <w:r>
              <w:rPr>
                <w:rFonts w:hint="eastAsia"/>
              </w:rPr>
              <w:t>退保金</w:t>
            </w:r>
          </w:p>
        </w:tc>
        <w:tc>
          <w:tcPr>
            <w:tcW w:w="1516" w:type="dxa"/>
            <w:tcBorders>
              <w:top w:val="outset" w:sz="4" w:space="0" w:color="auto"/>
              <w:left w:val="outset" w:sz="4" w:space="0" w:color="auto"/>
              <w:bottom w:val="outset" w:sz="4" w:space="0" w:color="auto"/>
              <w:right w:val="outset" w:sz="4" w:space="0" w:color="auto"/>
            </w:tcBorders>
            <w:vAlign w:val="center"/>
          </w:tcPr>
          <w:p w14:paraId="43260E55"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26009D22"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098FB6B" w14:textId="77777777" w:rsidR="00577D08" w:rsidRDefault="00577D08">
            <w:pPr>
              <w:jc w:val="right"/>
            </w:pPr>
          </w:p>
        </w:tc>
      </w:tr>
      <w:tr w:rsidR="00577D08" w14:paraId="75F3EC90" w14:textId="77777777">
        <w:tc>
          <w:tcPr>
            <w:tcW w:w="3507" w:type="dxa"/>
            <w:tcBorders>
              <w:top w:val="outset" w:sz="4" w:space="0" w:color="auto"/>
              <w:left w:val="outset" w:sz="4" w:space="0" w:color="auto"/>
              <w:bottom w:val="outset" w:sz="4" w:space="0" w:color="auto"/>
              <w:right w:val="outset" w:sz="4" w:space="0" w:color="auto"/>
            </w:tcBorders>
            <w:vAlign w:val="center"/>
          </w:tcPr>
          <w:p w14:paraId="68C73104" w14:textId="77777777" w:rsidR="00577D08" w:rsidRDefault="00330FC0">
            <w:pPr>
              <w:ind w:firstLineChars="300" w:firstLine="630"/>
            </w:pPr>
            <w:r>
              <w:rPr>
                <w:rFonts w:hint="eastAsia"/>
              </w:rPr>
              <w:t>赔付支出净额</w:t>
            </w:r>
          </w:p>
        </w:tc>
        <w:tc>
          <w:tcPr>
            <w:tcW w:w="1516" w:type="dxa"/>
            <w:tcBorders>
              <w:top w:val="outset" w:sz="4" w:space="0" w:color="auto"/>
              <w:left w:val="outset" w:sz="4" w:space="0" w:color="auto"/>
              <w:bottom w:val="outset" w:sz="4" w:space="0" w:color="auto"/>
              <w:right w:val="outset" w:sz="4" w:space="0" w:color="auto"/>
            </w:tcBorders>
            <w:vAlign w:val="center"/>
          </w:tcPr>
          <w:p w14:paraId="3CB067AB"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5685DAFE"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82F343D" w14:textId="77777777" w:rsidR="00577D08" w:rsidRDefault="00577D08">
            <w:pPr>
              <w:jc w:val="right"/>
            </w:pPr>
          </w:p>
        </w:tc>
      </w:tr>
      <w:tr w:rsidR="00577D08" w14:paraId="29BB5904" w14:textId="77777777">
        <w:tc>
          <w:tcPr>
            <w:tcW w:w="3507" w:type="dxa"/>
            <w:tcBorders>
              <w:top w:val="outset" w:sz="4" w:space="0" w:color="auto"/>
              <w:left w:val="outset" w:sz="4" w:space="0" w:color="auto"/>
              <w:bottom w:val="outset" w:sz="4" w:space="0" w:color="auto"/>
              <w:right w:val="outset" w:sz="4" w:space="0" w:color="auto"/>
            </w:tcBorders>
            <w:vAlign w:val="center"/>
          </w:tcPr>
          <w:p w14:paraId="29C73970" w14:textId="77777777" w:rsidR="00577D08" w:rsidRDefault="00330FC0">
            <w:pPr>
              <w:ind w:firstLineChars="300" w:firstLine="630"/>
            </w:pPr>
            <w:r>
              <w:rPr>
                <w:rFonts w:hint="eastAsia"/>
              </w:rPr>
              <w:t>提取保险责任准备金净额</w:t>
            </w:r>
          </w:p>
        </w:tc>
        <w:tc>
          <w:tcPr>
            <w:tcW w:w="1516" w:type="dxa"/>
            <w:tcBorders>
              <w:top w:val="outset" w:sz="4" w:space="0" w:color="auto"/>
              <w:left w:val="outset" w:sz="4" w:space="0" w:color="auto"/>
              <w:bottom w:val="outset" w:sz="4" w:space="0" w:color="auto"/>
              <w:right w:val="outset" w:sz="4" w:space="0" w:color="auto"/>
            </w:tcBorders>
            <w:vAlign w:val="center"/>
          </w:tcPr>
          <w:p w14:paraId="5AF35188"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438BB210"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13AD99D" w14:textId="77777777" w:rsidR="00577D08" w:rsidRDefault="00577D08">
            <w:pPr>
              <w:jc w:val="right"/>
            </w:pPr>
          </w:p>
        </w:tc>
      </w:tr>
      <w:tr w:rsidR="00577D08" w14:paraId="1CD5E881" w14:textId="77777777">
        <w:tc>
          <w:tcPr>
            <w:tcW w:w="3507" w:type="dxa"/>
            <w:tcBorders>
              <w:top w:val="outset" w:sz="4" w:space="0" w:color="auto"/>
              <w:left w:val="outset" w:sz="4" w:space="0" w:color="auto"/>
              <w:bottom w:val="outset" w:sz="4" w:space="0" w:color="auto"/>
              <w:right w:val="outset" w:sz="4" w:space="0" w:color="auto"/>
            </w:tcBorders>
            <w:vAlign w:val="center"/>
          </w:tcPr>
          <w:p w14:paraId="1352C765" w14:textId="77777777" w:rsidR="00577D08" w:rsidRDefault="00330FC0">
            <w:pPr>
              <w:ind w:firstLineChars="300" w:firstLine="630"/>
            </w:pPr>
            <w:r>
              <w:rPr>
                <w:rFonts w:hint="eastAsia"/>
              </w:rPr>
              <w:t>保单红利支出</w:t>
            </w:r>
          </w:p>
        </w:tc>
        <w:tc>
          <w:tcPr>
            <w:tcW w:w="1516" w:type="dxa"/>
            <w:tcBorders>
              <w:top w:val="outset" w:sz="4" w:space="0" w:color="auto"/>
              <w:left w:val="outset" w:sz="4" w:space="0" w:color="auto"/>
              <w:bottom w:val="outset" w:sz="4" w:space="0" w:color="auto"/>
              <w:right w:val="outset" w:sz="4" w:space="0" w:color="auto"/>
            </w:tcBorders>
            <w:vAlign w:val="center"/>
          </w:tcPr>
          <w:p w14:paraId="69B83878"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5B5B3812"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582FAA1" w14:textId="77777777" w:rsidR="00577D08" w:rsidRDefault="00577D08">
            <w:pPr>
              <w:jc w:val="right"/>
            </w:pPr>
          </w:p>
        </w:tc>
      </w:tr>
      <w:tr w:rsidR="00577D08" w14:paraId="1CA21398" w14:textId="77777777">
        <w:tc>
          <w:tcPr>
            <w:tcW w:w="3507" w:type="dxa"/>
            <w:tcBorders>
              <w:top w:val="outset" w:sz="4" w:space="0" w:color="auto"/>
              <w:left w:val="outset" w:sz="4" w:space="0" w:color="auto"/>
              <w:bottom w:val="outset" w:sz="4" w:space="0" w:color="auto"/>
              <w:right w:val="outset" w:sz="4" w:space="0" w:color="auto"/>
            </w:tcBorders>
            <w:vAlign w:val="center"/>
          </w:tcPr>
          <w:p w14:paraId="5545538F" w14:textId="77777777" w:rsidR="00577D08" w:rsidRDefault="00330FC0">
            <w:pPr>
              <w:ind w:firstLineChars="300" w:firstLine="630"/>
            </w:pPr>
            <w:r>
              <w:rPr>
                <w:rFonts w:hint="eastAsia"/>
              </w:rPr>
              <w:t>分保费用</w:t>
            </w:r>
          </w:p>
        </w:tc>
        <w:tc>
          <w:tcPr>
            <w:tcW w:w="1516" w:type="dxa"/>
            <w:tcBorders>
              <w:top w:val="outset" w:sz="4" w:space="0" w:color="auto"/>
              <w:left w:val="outset" w:sz="4" w:space="0" w:color="auto"/>
              <w:bottom w:val="outset" w:sz="4" w:space="0" w:color="auto"/>
              <w:right w:val="outset" w:sz="4" w:space="0" w:color="auto"/>
            </w:tcBorders>
            <w:vAlign w:val="center"/>
          </w:tcPr>
          <w:p w14:paraId="5FA385B7"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1F4DA57C"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0D23E06" w14:textId="77777777" w:rsidR="00577D08" w:rsidRDefault="00577D08">
            <w:pPr>
              <w:jc w:val="right"/>
            </w:pPr>
          </w:p>
        </w:tc>
      </w:tr>
      <w:tr w:rsidR="00577D08" w14:paraId="4CD4A6C3" w14:textId="77777777">
        <w:tc>
          <w:tcPr>
            <w:tcW w:w="3507" w:type="dxa"/>
            <w:tcBorders>
              <w:top w:val="outset" w:sz="4" w:space="0" w:color="auto"/>
              <w:left w:val="outset" w:sz="4" w:space="0" w:color="auto"/>
              <w:bottom w:val="outset" w:sz="4" w:space="0" w:color="auto"/>
              <w:right w:val="outset" w:sz="4" w:space="0" w:color="auto"/>
            </w:tcBorders>
            <w:vAlign w:val="center"/>
          </w:tcPr>
          <w:p w14:paraId="10D67687" w14:textId="77777777" w:rsidR="00577D08" w:rsidRDefault="00330FC0">
            <w:pPr>
              <w:ind w:firstLineChars="300" w:firstLine="630"/>
            </w:pPr>
            <w:r>
              <w:rPr>
                <w:rFonts w:hint="eastAsia"/>
              </w:rPr>
              <w:t>税金及附加</w:t>
            </w:r>
          </w:p>
        </w:tc>
        <w:tc>
          <w:tcPr>
            <w:tcW w:w="1516" w:type="dxa"/>
            <w:tcBorders>
              <w:top w:val="outset" w:sz="4" w:space="0" w:color="auto"/>
              <w:left w:val="outset" w:sz="4" w:space="0" w:color="auto"/>
              <w:bottom w:val="outset" w:sz="4" w:space="0" w:color="auto"/>
              <w:right w:val="outset" w:sz="4" w:space="0" w:color="auto"/>
            </w:tcBorders>
            <w:vAlign w:val="center"/>
          </w:tcPr>
          <w:p w14:paraId="0E8DE2E3" w14:textId="77777777" w:rsidR="00577D08" w:rsidRDefault="00330FC0">
            <w:pPr>
              <w:jc w:val="both"/>
            </w:pPr>
            <w:r>
              <w:rPr>
                <w:rFonts w:hint="eastAsia"/>
              </w:rPr>
              <w:t>七、</w:t>
            </w:r>
            <w:r>
              <w:rPr>
                <w:rFonts w:hint="eastAsia"/>
              </w:rPr>
              <w:t>62</w:t>
            </w:r>
          </w:p>
        </w:tc>
        <w:tc>
          <w:tcPr>
            <w:tcW w:w="2008" w:type="dxa"/>
            <w:tcBorders>
              <w:top w:val="outset" w:sz="4" w:space="0" w:color="auto"/>
              <w:left w:val="outset" w:sz="4" w:space="0" w:color="auto"/>
              <w:bottom w:val="outset" w:sz="4" w:space="0" w:color="auto"/>
              <w:right w:val="outset" w:sz="4" w:space="0" w:color="auto"/>
            </w:tcBorders>
            <w:vAlign w:val="center"/>
          </w:tcPr>
          <w:p w14:paraId="7445E562" w14:textId="77777777" w:rsidR="00577D08" w:rsidRDefault="00330FC0">
            <w:pPr>
              <w:jc w:val="right"/>
            </w:pPr>
            <w:r>
              <w:t xml:space="preserve"> 23,637,054.32 </w:t>
            </w:r>
          </w:p>
        </w:tc>
        <w:tc>
          <w:tcPr>
            <w:tcW w:w="2018" w:type="dxa"/>
            <w:tcBorders>
              <w:top w:val="outset" w:sz="4" w:space="0" w:color="auto"/>
              <w:left w:val="outset" w:sz="4" w:space="0" w:color="auto"/>
              <w:bottom w:val="outset" w:sz="4" w:space="0" w:color="auto"/>
              <w:right w:val="outset" w:sz="4" w:space="0" w:color="auto"/>
            </w:tcBorders>
            <w:vAlign w:val="center"/>
          </w:tcPr>
          <w:p w14:paraId="387DCAAA" w14:textId="77777777" w:rsidR="00577D08" w:rsidRDefault="00330FC0">
            <w:pPr>
              <w:jc w:val="right"/>
            </w:pPr>
            <w:r>
              <w:t>16,650,761.03</w:t>
            </w:r>
          </w:p>
        </w:tc>
      </w:tr>
      <w:tr w:rsidR="00577D08" w14:paraId="7B8AB02C" w14:textId="77777777">
        <w:tc>
          <w:tcPr>
            <w:tcW w:w="3507" w:type="dxa"/>
            <w:tcBorders>
              <w:top w:val="outset" w:sz="4" w:space="0" w:color="auto"/>
              <w:left w:val="outset" w:sz="4" w:space="0" w:color="auto"/>
              <w:bottom w:val="outset" w:sz="4" w:space="0" w:color="auto"/>
              <w:right w:val="outset" w:sz="4" w:space="0" w:color="auto"/>
            </w:tcBorders>
            <w:vAlign w:val="center"/>
          </w:tcPr>
          <w:p w14:paraId="150E59DD" w14:textId="77777777" w:rsidR="00577D08" w:rsidRDefault="00330FC0">
            <w:pPr>
              <w:ind w:firstLineChars="300" w:firstLine="630"/>
            </w:pPr>
            <w:r>
              <w:rPr>
                <w:rFonts w:hint="eastAsia"/>
              </w:rPr>
              <w:t>销售费用</w:t>
            </w:r>
          </w:p>
        </w:tc>
        <w:tc>
          <w:tcPr>
            <w:tcW w:w="1516" w:type="dxa"/>
            <w:tcBorders>
              <w:top w:val="outset" w:sz="4" w:space="0" w:color="auto"/>
              <w:left w:val="outset" w:sz="4" w:space="0" w:color="auto"/>
              <w:bottom w:val="outset" w:sz="4" w:space="0" w:color="auto"/>
              <w:right w:val="outset" w:sz="4" w:space="0" w:color="auto"/>
            </w:tcBorders>
            <w:vAlign w:val="center"/>
          </w:tcPr>
          <w:p w14:paraId="629A30A6" w14:textId="77777777" w:rsidR="00577D08" w:rsidRDefault="00330FC0">
            <w:pPr>
              <w:jc w:val="both"/>
            </w:pPr>
            <w:r>
              <w:rPr>
                <w:rFonts w:hint="eastAsia"/>
              </w:rPr>
              <w:t>七、</w:t>
            </w:r>
            <w:r>
              <w:rPr>
                <w:rFonts w:hint="eastAsia"/>
              </w:rPr>
              <w:t>63</w:t>
            </w:r>
          </w:p>
        </w:tc>
        <w:tc>
          <w:tcPr>
            <w:tcW w:w="2008" w:type="dxa"/>
            <w:tcBorders>
              <w:top w:val="outset" w:sz="4" w:space="0" w:color="auto"/>
              <w:left w:val="outset" w:sz="4" w:space="0" w:color="auto"/>
              <w:bottom w:val="outset" w:sz="4" w:space="0" w:color="auto"/>
              <w:right w:val="outset" w:sz="4" w:space="0" w:color="auto"/>
            </w:tcBorders>
            <w:vAlign w:val="center"/>
          </w:tcPr>
          <w:p w14:paraId="50494771" w14:textId="77777777" w:rsidR="00577D08" w:rsidRDefault="00330FC0">
            <w:pPr>
              <w:jc w:val="right"/>
            </w:pPr>
            <w:r>
              <w:t xml:space="preserve"> 114,065,099.31 </w:t>
            </w:r>
          </w:p>
        </w:tc>
        <w:tc>
          <w:tcPr>
            <w:tcW w:w="2018" w:type="dxa"/>
            <w:tcBorders>
              <w:top w:val="outset" w:sz="4" w:space="0" w:color="auto"/>
              <w:left w:val="outset" w:sz="4" w:space="0" w:color="auto"/>
              <w:bottom w:val="outset" w:sz="4" w:space="0" w:color="auto"/>
              <w:right w:val="outset" w:sz="4" w:space="0" w:color="auto"/>
            </w:tcBorders>
            <w:vAlign w:val="center"/>
          </w:tcPr>
          <w:p w14:paraId="26468C8C" w14:textId="77777777" w:rsidR="00577D08" w:rsidRDefault="00330FC0">
            <w:pPr>
              <w:jc w:val="right"/>
            </w:pPr>
            <w:r>
              <w:t>116,290,303.60</w:t>
            </w:r>
          </w:p>
        </w:tc>
      </w:tr>
      <w:tr w:rsidR="00577D08" w14:paraId="2BAF7A94" w14:textId="77777777">
        <w:tc>
          <w:tcPr>
            <w:tcW w:w="3507" w:type="dxa"/>
            <w:tcBorders>
              <w:top w:val="outset" w:sz="4" w:space="0" w:color="auto"/>
              <w:left w:val="outset" w:sz="4" w:space="0" w:color="auto"/>
              <w:bottom w:val="outset" w:sz="4" w:space="0" w:color="auto"/>
              <w:right w:val="outset" w:sz="4" w:space="0" w:color="auto"/>
            </w:tcBorders>
            <w:vAlign w:val="center"/>
          </w:tcPr>
          <w:p w14:paraId="1295759C" w14:textId="77777777" w:rsidR="00577D08" w:rsidRDefault="00330FC0">
            <w:pPr>
              <w:ind w:firstLineChars="300" w:firstLine="630"/>
            </w:pPr>
            <w:r>
              <w:rPr>
                <w:rFonts w:hint="eastAsia"/>
              </w:rPr>
              <w:t>管理费用</w:t>
            </w:r>
          </w:p>
        </w:tc>
        <w:tc>
          <w:tcPr>
            <w:tcW w:w="1516" w:type="dxa"/>
            <w:tcBorders>
              <w:top w:val="outset" w:sz="4" w:space="0" w:color="auto"/>
              <w:left w:val="outset" w:sz="4" w:space="0" w:color="auto"/>
              <w:bottom w:val="outset" w:sz="4" w:space="0" w:color="auto"/>
              <w:right w:val="outset" w:sz="4" w:space="0" w:color="auto"/>
            </w:tcBorders>
            <w:vAlign w:val="center"/>
          </w:tcPr>
          <w:p w14:paraId="0ACD8B43" w14:textId="77777777" w:rsidR="00577D08" w:rsidRDefault="00330FC0">
            <w:pPr>
              <w:jc w:val="both"/>
            </w:pPr>
            <w:r>
              <w:rPr>
                <w:rFonts w:hint="eastAsia"/>
              </w:rPr>
              <w:t>七、</w:t>
            </w:r>
            <w:r>
              <w:rPr>
                <w:rFonts w:hint="eastAsia"/>
              </w:rPr>
              <w:t>64</w:t>
            </w:r>
          </w:p>
        </w:tc>
        <w:tc>
          <w:tcPr>
            <w:tcW w:w="2008" w:type="dxa"/>
            <w:tcBorders>
              <w:top w:val="outset" w:sz="4" w:space="0" w:color="auto"/>
              <w:left w:val="outset" w:sz="4" w:space="0" w:color="auto"/>
              <w:bottom w:val="outset" w:sz="4" w:space="0" w:color="auto"/>
              <w:right w:val="outset" w:sz="4" w:space="0" w:color="auto"/>
            </w:tcBorders>
            <w:vAlign w:val="center"/>
          </w:tcPr>
          <w:p w14:paraId="0A64358D" w14:textId="77777777" w:rsidR="00577D08" w:rsidRDefault="00330FC0">
            <w:pPr>
              <w:jc w:val="right"/>
            </w:pPr>
            <w:r>
              <w:t xml:space="preserve"> 133,423,671.07 </w:t>
            </w:r>
          </w:p>
        </w:tc>
        <w:tc>
          <w:tcPr>
            <w:tcW w:w="2018" w:type="dxa"/>
            <w:tcBorders>
              <w:top w:val="outset" w:sz="4" w:space="0" w:color="auto"/>
              <w:left w:val="outset" w:sz="4" w:space="0" w:color="auto"/>
              <w:bottom w:val="outset" w:sz="4" w:space="0" w:color="auto"/>
              <w:right w:val="outset" w:sz="4" w:space="0" w:color="auto"/>
            </w:tcBorders>
            <w:vAlign w:val="center"/>
          </w:tcPr>
          <w:p w14:paraId="41671C24" w14:textId="77777777" w:rsidR="00577D08" w:rsidRDefault="00330FC0">
            <w:pPr>
              <w:jc w:val="right"/>
            </w:pPr>
            <w:r>
              <w:t>116,279,091.23</w:t>
            </w:r>
          </w:p>
        </w:tc>
      </w:tr>
      <w:tr w:rsidR="00577D08" w14:paraId="137D2403" w14:textId="77777777">
        <w:tc>
          <w:tcPr>
            <w:tcW w:w="3507" w:type="dxa"/>
            <w:tcBorders>
              <w:top w:val="outset" w:sz="4" w:space="0" w:color="auto"/>
              <w:left w:val="outset" w:sz="4" w:space="0" w:color="auto"/>
              <w:bottom w:val="outset" w:sz="4" w:space="0" w:color="auto"/>
              <w:right w:val="outset" w:sz="4" w:space="0" w:color="auto"/>
            </w:tcBorders>
            <w:vAlign w:val="center"/>
          </w:tcPr>
          <w:p w14:paraId="05FE5005" w14:textId="77777777" w:rsidR="00577D08" w:rsidRDefault="00330FC0">
            <w:pPr>
              <w:ind w:firstLineChars="300" w:firstLine="630"/>
            </w:pPr>
            <w:r>
              <w:rPr>
                <w:rFonts w:hint="eastAsia"/>
              </w:rPr>
              <w:t>研发费用</w:t>
            </w:r>
          </w:p>
        </w:tc>
        <w:tc>
          <w:tcPr>
            <w:tcW w:w="1516" w:type="dxa"/>
            <w:tcBorders>
              <w:top w:val="outset" w:sz="4" w:space="0" w:color="auto"/>
              <w:left w:val="outset" w:sz="4" w:space="0" w:color="auto"/>
              <w:bottom w:val="outset" w:sz="4" w:space="0" w:color="auto"/>
              <w:right w:val="outset" w:sz="4" w:space="0" w:color="auto"/>
            </w:tcBorders>
            <w:vAlign w:val="center"/>
          </w:tcPr>
          <w:p w14:paraId="0850718A" w14:textId="77777777" w:rsidR="00577D08" w:rsidRDefault="00330FC0">
            <w:pPr>
              <w:jc w:val="both"/>
            </w:pPr>
            <w:r>
              <w:rPr>
                <w:rFonts w:hint="eastAsia"/>
              </w:rPr>
              <w:t>七、</w:t>
            </w:r>
            <w:r>
              <w:rPr>
                <w:rFonts w:hint="eastAsia"/>
              </w:rPr>
              <w:t>65</w:t>
            </w:r>
          </w:p>
        </w:tc>
        <w:tc>
          <w:tcPr>
            <w:tcW w:w="2008" w:type="dxa"/>
            <w:tcBorders>
              <w:top w:val="outset" w:sz="4" w:space="0" w:color="auto"/>
              <w:left w:val="outset" w:sz="4" w:space="0" w:color="auto"/>
              <w:bottom w:val="outset" w:sz="4" w:space="0" w:color="auto"/>
              <w:right w:val="outset" w:sz="4" w:space="0" w:color="auto"/>
            </w:tcBorders>
            <w:vAlign w:val="center"/>
          </w:tcPr>
          <w:p w14:paraId="11206492" w14:textId="77777777" w:rsidR="00577D08" w:rsidRDefault="00330FC0">
            <w:pPr>
              <w:jc w:val="right"/>
            </w:pPr>
            <w:r>
              <w:t xml:space="preserve"> 45,754,153.32 </w:t>
            </w:r>
          </w:p>
        </w:tc>
        <w:tc>
          <w:tcPr>
            <w:tcW w:w="2018" w:type="dxa"/>
            <w:tcBorders>
              <w:top w:val="outset" w:sz="4" w:space="0" w:color="auto"/>
              <w:left w:val="outset" w:sz="4" w:space="0" w:color="auto"/>
              <w:bottom w:val="outset" w:sz="4" w:space="0" w:color="auto"/>
              <w:right w:val="outset" w:sz="4" w:space="0" w:color="auto"/>
            </w:tcBorders>
            <w:vAlign w:val="center"/>
          </w:tcPr>
          <w:p w14:paraId="22BEF9AD" w14:textId="77777777" w:rsidR="00577D08" w:rsidRDefault="00330FC0">
            <w:pPr>
              <w:jc w:val="right"/>
            </w:pPr>
            <w:r>
              <w:t>44,724,932.35</w:t>
            </w:r>
          </w:p>
        </w:tc>
      </w:tr>
      <w:tr w:rsidR="00577D08" w14:paraId="4386E095" w14:textId="77777777">
        <w:tc>
          <w:tcPr>
            <w:tcW w:w="3507" w:type="dxa"/>
            <w:tcBorders>
              <w:top w:val="outset" w:sz="4" w:space="0" w:color="auto"/>
              <w:left w:val="outset" w:sz="4" w:space="0" w:color="auto"/>
              <w:bottom w:val="outset" w:sz="4" w:space="0" w:color="auto"/>
              <w:right w:val="outset" w:sz="4" w:space="0" w:color="auto"/>
            </w:tcBorders>
            <w:vAlign w:val="center"/>
          </w:tcPr>
          <w:p w14:paraId="42DB497A" w14:textId="77777777" w:rsidR="00577D08" w:rsidRDefault="00330FC0">
            <w:pPr>
              <w:ind w:firstLineChars="300" w:firstLine="630"/>
            </w:pPr>
            <w:r>
              <w:rPr>
                <w:rFonts w:hint="eastAsia"/>
              </w:rPr>
              <w:t>财务费用</w:t>
            </w:r>
          </w:p>
        </w:tc>
        <w:tc>
          <w:tcPr>
            <w:tcW w:w="1516" w:type="dxa"/>
            <w:tcBorders>
              <w:top w:val="outset" w:sz="4" w:space="0" w:color="auto"/>
              <w:left w:val="outset" w:sz="4" w:space="0" w:color="auto"/>
              <w:bottom w:val="outset" w:sz="4" w:space="0" w:color="auto"/>
              <w:right w:val="outset" w:sz="4" w:space="0" w:color="auto"/>
            </w:tcBorders>
            <w:vAlign w:val="center"/>
          </w:tcPr>
          <w:p w14:paraId="719EA49C" w14:textId="77777777" w:rsidR="00577D08" w:rsidRDefault="00330FC0">
            <w:pPr>
              <w:jc w:val="both"/>
            </w:pPr>
            <w:r>
              <w:rPr>
                <w:rFonts w:hint="eastAsia"/>
              </w:rPr>
              <w:t>七、</w:t>
            </w:r>
            <w:r>
              <w:rPr>
                <w:rFonts w:hint="eastAsia"/>
              </w:rPr>
              <w:t>66</w:t>
            </w:r>
          </w:p>
        </w:tc>
        <w:tc>
          <w:tcPr>
            <w:tcW w:w="2008" w:type="dxa"/>
            <w:tcBorders>
              <w:top w:val="outset" w:sz="4" w:space="0" w:color="auto"/>
              <w:left w:val="outset" w:sz="4" w:space="0" w:color="auto"/>
              <w:bottom w:val="outset" w:sz="4" w:space="0" w:color="auto"/>
              <w:right w:val="outset" w:sz="4" w:space="0" w:color="auto"/>
            </w:tcBorders>
            <w:vAlign w:val="center"/>
          </w:tcPr>
          <w:p w14:paraId="6E1DE5F6" w14:textId="77777777" w:rsidR="00577D08" w:rsidRDefault="00330FC0">
            <w:pPr>
              <w:jc w:val="right"/>
            </w:pPr>
            <w:r>
              <w:t xml:space="preserve"> 21,826,519.47 </w:t>
            </w:r>
          </w:p>
        </w:tc>
        <w:tc>
          <w:tcPr>
            <w:tcW w:w="2018" w:type="dxa"/>
            <w:tcBorders>
              <w:top w:val="outset" w:sz="4" w:space="0" w:color="auto"/>
              <w:left w:val="outset" w:sz="4" w:space="0" w:color="auto"/>
              <w:bottom w:val="outset" w:sz="4" w:space="0" w:color="auto"/>
              <w:right w:val="outset" w:sz="4" w:space="0" w:color="auto"/>
            </w:tcBorders>
            <w:vAlign w:val="center"/>
          </w:tcPr>
          <w:p w14:paraId="0C0C00C9" w14:textId="77777777" w:rsidR="00577D08" w:rsidRDefault="00330FC0">
            <w:pPr>
              <w:jc w:val="right"/>
            </w:pPr>
            <w:r>
              <w:t>8,129,191.82</w:t>
            </w:r>
          </w:p>
        </w:tc>
      </w:tr>
      <w:tr w:rsidR="00577D08" w14:paraId="602D3AFD" w14:textId="77777777">
        <w:tc>
          <w:tcPr>
            <w:tcW w:w="3507" w:type="dxa"/>
            <w:tcBorders>
              <w:top w:val="outset" w:sz="4" w:space="0" w:color="auto"/>
              <w:left w:val="outset" w:sz="4" w:space="0" w:color="auto"/>
              <w:bottom w:val="outset" w:sz="4" w:space="0" w:color="auto"/>
              <w:right w:val="outset" w:sz="4" w:space="0" w:color="auto"/>
            </w:tcBorders>
            <w:vAlign w:val="center"/>
          </w:tcPr>
          <w:p w14:paraId="28628B7F" w14:textId="77777777" w:rsidR="00577D08" w:rsidRDefault="00330FC0">
            <w:pPr>
              <w:ind w:firstLineChars="300" w:firstLine="630"/>
            </w:pPr>
            <w:r>
              <w:rPr>
                <w:rFonts w:hint="eastAsia"/>
              </w:rPr>
              <w:lastRenderedPageBreak/>
              <w:t>其中：利息费用</w:t>
            </w:r>
          </w:p>
        </w:tc>
        <w:tc>
          <w:tcPr>
            <w:tcW w:w="1516" w:type="dxa"/>
            <w:tcBorders>
              <w:top w:val="outset" w:sz="4" w:space="0" w:color="auto"/>
              <w:left w:val="outset" w:sz="4" w:space="0" w:color="auto"/>
              <w:bottom w:val="outset" w:sz="4" w:space="0" w:color="auto"/>
              <w:right w:val="outset" w:sz="4" w:space="0" w:color="auto"/>
            </w:tcBorders>
            <w:vAlign w:val="center"/>
          </w:tcPr>
          <w:p w14:paraId="678E5908"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5AFA7633" w14:textId="77777777" w:rsidR="00577D08" w:rsidRDefault="00330FC0">
            <w:pPr>
              <w:jc w:val="right"/>
            </w:pPr>
            <w:r>
              <w:t xml:space="preserve"> 54,422,737.64 </w:t>
            </w:r>
          </w:p>
        </w:tc>
        <w:tc>
          <w:tcPr>
            <w:tcW w:w="2018" w:type="dxa"/>
            <w:tcBorders>
              <w:top w:val="outset" w:sz="4" w:space="0" w:color="auto"/>
              <w:left w:val="outset" w:sz="4" w:space="0" w:color="auto"/>
              <w:bottom w:val="outset" w:sz="4" w:space="0" w:color="auto"/>
              <w:right w:val="outset" w:sz="4" w:space="0" w:color="auto"/>
            </w:tcBorders>
            <w:vAlign w:val="center"/>
          </w:tcPr>
          <w:p w14:paraId="55956AC0" w14:textId="77777777" w:rsidR="00577D08" w:rsidRDefault="00330FC0">
            <w:pPr>
              <w:jc w:val="right"/>
            </w:pPr>
            <w:r>
              <w:t>45,468,802.87</w:t>
            </w:r>
          </w:p>
        </w:tc>
      </w:tr>
      <w:tr w:rsidR="00577D08" w14:paraId="16DB8B15" w14:textId="77777777">
        <w:tc>
          <w:tcPr>
            <w:tcW w:w="3507" w:type="dxa"/>
            <w:tcBorders>
              <w:top w:val="outset" w:sz="4" w:space="0" w:color="auto"/>
              <w:left w:val="outset" w:sz="4" w:space="0" w:color="auto"/>
              <w:bottom w:val="outset" w:sz="4" w:space="0" w:color="auto"/>
              <w:right w:val="outset" w:sz="4" w:space="0" w:color="auto"/>
            </w:tcBorders>
            <w:vAlign w:val="center"/>
          </w:tcPr>
          <w:p w14:paraId="423CE3B0" w14:textId="77777777" w:rsidR="00577D08" w:rsidRDefault="00330FC0">
            <w:pPr>
              <w:ind w:firstLineChars="600" w:firstLine="1260"/>
            </w:pPr>
            <w:r>
              <w:rPr>
                <w:rFonts w:hint="eastAsia"/>
              </w:rPr>
              <w:t>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34F7A05E"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1AD0104A" w14:textId="77777777" w:rsidR="00577D08" w:rsidRDefault="00330FC0">
            <w:pPr>
              <w:jc w:val="right"/>
            </w:pPr>
            <w:r>
              <w:t xml:space="preserve"> 35,670,116.64 </w:t>
            </w:r>
          </w:p>
        </w:tc>
        <w:tc>
          <w:tcPr>
            <w:tcW w:w="2018" w:type="dxa"/>
            <w:tcBorders>
              <w:top w:val="outset" w:sz="4" w:space="0" w:color="auto"/>
              <w:left w:val="outset" w:sz="4" w:space="0" w:color="auto"/>
              <w:bottom w:val="outset" w:sz="4" w:space="0" w:color="auto"/>
              <w:right w:val="outset" w:sz="4" w:space="0" w:color="auto"/>
            </w:tcBorders>
            <w:vAlign w:val="center"/>
          </w:tcPr>
          <w:p w14:paraId="3B0DAE11" w14:textId="77777777" w:rsidR="00577D08" w:rsidRDefault="00330FC0">
            <w:pPr>
              <w:jc w:val="right"/>
            </w:pPr>
            <w:r>
              <w:t>35,603,221.13</w:t>
            </w:r>
          </w:p>
        </w:tc>
      </w:tr>
      <w:tr w:rsidR="00577D08" w14:paraId="5FF5ADBE" w14:textId="77777777">
        <w:tc>
          <w:tcPr>
            <w:tcW w:w="3507" w:type="dxa"/>
            <w:tcBorders>
              <w:top w:val="outset" w:sz="4" w:space="0" w:color="auto"/>
              <w:left w:val="outset" w:sz="4" w:space="0" w:color="auto"/>
              <w:bottom w:val="outset" w:sz="4" w:space="0" w:color="auto"/>
              <w:right w:val="outset" w:sz="4" w:space="0" w:color="auto"/>
            </w:tcBorders>
            <w:vAlign w:val="center"/>
          </w:tcPr>
          <w:p w14:paraId="7F737459" w14:textId="77777777" w:rsidR="00577D08" w:rsidRDefault="00330FC0">
            <w:pPr>
              <w:ind w:firstLineChars="100" w:firstLine="210"/>
            </w:pPr>
            <w:r>
              <w:rPr>
                <w:rFonts w:hint="eastAsia"/>
              </w:rPr>
              <w:t>加：其他收益</w:t>
            </w:r>
          </w:p>
        </w:tc>
        <w:tc>
          <w:tcPr>
            <w:tcW w:w="1516" w:type="dxa"/>
            <w:tcBorders>
              <w:top w:val="outset" w:sz="4" w:space="0" w:color="auto"/>
              <w:left w:val="outset" w:sz="4" w:space="0" w:color="auto"/>
              <w:bottom w:val="outset" w:sz="4" w:space="0" w:color="auto"/>
              <w:right w:val="outset" w:sz="4" w:space="0" w:color="auto"/>
            </w:tcBorders>
            <w:vAlign w:val="center"/>
          </w:tcPr>
          <w:p w14:paraId="0B4384BA" w14:textId="77777777" w:rsidR="00577D08" w:rsidRDefault="00330FC0">
            <w:pPr>
              <w:jc w:val="both"/>
            </w:pPr>
            <w:r>
              <w:rPr>
                <w:rFonts w:hint="eastAsia"/>
              </w:rPr>
              <w:t>七、</w:t>
            </w:r>
            <w:r>
              <w:rPr>
                <w:rFonts w:hint="eastAsia"/>
              </w:rPr>
              <w:t>67</w:t>
            </w:r>
          </w:p>
        </w:tc>
        <w:tc>
          <w:tcPr>
            <w:tcW w:w="2008" w:type="dxa"/>
            <w:tcBorders>
              <w:top w:val="outset" w:sz="4" w:space="0" w:color="auto"/>
              <w:left w:val="outset" w:sz="4" w:space="0" w:color="auto"/>
              <w:bottom w:val="outset" w:sz="4" w:space="0" w:color="auto"/>
              <w:right w:val="outset" w:sz="4" w:space="0" w:color="auto"/>
            </w:tcBorders>
            <w:vAlign w:val="center"/>
          </w:tcPr>
          <w:p w14:paraId="384799EE" w14:textId="77777777" w:rsidR="00577D08" w:rsidRDefault="00330FC0">
            <w:pPr>
              <w:jc w:val="right"/>
            </w:pPr>
            <w:r>
              <w:t xml:space="preserve"> 29,140,979.01 </w:t>
            </w:r>
          </w:p>
        </w:tc>
        <w:tc>
          <w:tcPr>
            <w:tcW w:w="2018" w:type="dxa"/>
            <w:tcBorders>
              <w:top w:val="outset" w:sz="4" w:space="0" w:color="auto"/>
              <w:left w:val="outset" w:sz="4" w:space="0" w:color="auto"/>
              <w:bottom w:val="outset" w:sz="4" w:space="0" w:color="auto"/>
              <w:right w:val="outset" w:sz="4" w:space="0" w:color="auto"/>
            </w:tcBorders>
            <w:vAlign w:val="center"/>
          </w:tcPr>
          <w:p w14:paraId="2DE90871" w14:textId="77777777" w:rsidR="00577D08" w:rsidRDefault="00330FC0">
            <w:pPr>
              <w:jc w:val="right"/>
            </w:pPr>
            <w:r>
              <w:t>74,615,286.21</w:t>
            </w:r>
          </w:p>
        </w:tc>
      </w:tr>
      <w:tr w:rsidR="00577D08" w14:paraId="4E2F97E7" w14:textId="77777777">
        <w:tc>
          <w:tcPr>
            <w:tcW w:w="3507" w:type="dxa"/>
            <w:tcBorders>
              <w:top w:val="outset" w:sz="4" w:space="0" w:color="auto"/>
              <w:left w:val="outset" w:sz="4" w:space="0" w:color="auto"/>
              <w:bottom w:val="outset" w:sz="4" w:space="0" w:color="auto"/>
              <w:right w:val="outset" w:sz="4" w:space="0" w:color="auto"/>
            </w:tcBorders>
            <w:vAlign w:val="center"/>
          </w:tcPr>
          <w:p w14:paraId="6F1731EE" w14:textId="77777777" w:rsidR="00577D08" w:rsidRDefault="00330FC0">
            <w:pPr>
              <w:ind w:firstLineChars="300" w:firstLine="630"/>
            </w:pPr>
            <w:r>
              <w:rPr>
                <w:rFonts w:hint="eastAsia"/>
              </w:rPr>
              <w:t>投资收益（损失以“－”号填列）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67E3647B" w14:textId="77777777" w:rsidR="00577D08" w:rsidRDefault="00330FC0">
            <w:pPr>
              <w:jc w:val="both"/>
            </w:pPr>
            <w:r>
              <w:rPr>
                <w:rFonts w:hint="eastAsia"/>
              </w:rPr>
              <w:t>七、</w:t>
            </w:r>
            <w:r>
              <w:rPr>
                <w:rFonts w:hint="eastAsia"/>
              </w:rPr>
              <w:t>68</w:t>
            </w:r>
          </w:p>
        </w:tc>
        <w:tc>
          <w:tcPr>
            <w:tcW w:w="2008" w:type="dxa"/>
            <w:tcBorders>
              <w:top w:val="outset" w:sz="4" w:space="0" w:color="auto"/>
              <w:left w:val="outset" w:sz="4" w:space="0" w:color="auto"/>
              <w:bottom w:val="outset" w:sz="4" w:space="0" w:color="auto"/>
              <w:right w:val="outset" w:sz="4" w:space="0" w:color="auto"/>
            </w:tcBorders>
            <w:vAlign w:val="center"/>
          </w:tcPr>
          <w:p w14:paraId="1992A79D" w14:textId="77777777" w:rsidR="00577D08" w:rsidRDefault="00330FC0">
            <w:pPr>
              <w:jc w:val="right"/>
            </w:pPr>
            <w:r>
              <w:t xml:space="preserve"> -1,578,699.51 </w:t>
            </w:r>
          </w:p>
        </w:tc>
        <w:tc>
          <w:tcPr>
            <w:tcW w:w="2018" w:type="dxa"/>
            <w:tcBorders>
              <w:top w:val="outset" w:sz="4" w:space="0" w:color="auto"/>
              <w:left w:val="outset" w:sz="4" w:space="0" w:color="auto"/>
              <w:bottom w:val="outset" w:sz="4" w:space="0" w:color="auto"/>
              <w:right w:val="outset" w:sz="4" w:space="0" w:color="auto"/>
            </w:tcBorders>
            <w:vAlign w:val="center"/>
          </w:tcPr>
          <w:p w14:paraId="2A34FF37" w14:textId="77777777" w:rsidR="00577D08" w:rsidRDefault="00330FC0">
            <w:pPr>
              <w:jc w:val="right"/>
            </w:pPr>
            <w:r>
              <w:t>284,626.58</w:t>
            </w:r>
          </w:p>
        </w:tc>
      </w:tr>
      <w:tr w:rsidR="00577D08" w14:paraId="4F545717" w14:textId="77777777">
        <w:tc>
          <w:tcPr>
            <w:tcW w:w="3507" w:type="dxa"/>
            <w:tcBorders>
              <w:top w:val="outset" w:sz="4" w:space="0" w:color="auto"/>
              <w:left w:val="outset" w:sz="4" w:space="0" w:color="auto"/>
              <w:bottom w:val="outset" w:sz="4" w:space="0" w:color="auto"/>
              <w:right w:val="outset" w:sz="4" w:space="0" w:color="auto"/>
            </w:tcBorders>
            <w:vAlign w:val="center"/>
          </w:tcPr>
          <w:p w14:paraId="12E3583B" w14:textId="77777777" w:rsidR="00577D08" w:rsidRDefault="00330FC0">
            <w:pPr>
              <w:ind w:firstLineChars="300" w:firstLine="630"/>
            </w:pPr>
            <w:r>
              <w:rPr>
                <w:rFonts w:hint="eastAsia"/>
              </w:rPr>
              <w:t>其中：对联营企业和合营企业的投资收益</w:t>
            </w:r>
          </w:p>
        </w:tc>
        <w:tc>
          <w:tcPr>
            <w:tcW w:w="1516" w:type="dxa"/>
            <w:tcBorders>
              <w:top w:val="outset" w:sz="4" w:space="0" w:color="auto"/>
              <w:left w:val="outset" w:sz="4" w:space="0" w:color="auto"/>
              <w:bottom w:val="outset" w:sz="4" w:space="0" w:color="auto"/>
              <w:right w:val="outset" w:sz="4" w:space="0" w:color="auto"/>
            </w:tcBorders>
            <w:vAlign w:val="center"/>
          </w:tcPr>
          <w:p w14:paraId="36BC84B5"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793BF336" w14:textId="77777777" w:rsidR="00577D08" w:rsidRDefault="00330FC0">
            <w:pPr>
              <w:jc w:val="right"/>
            </w:pPr>
            <w:r>
              <w:t xml:space="preserve"> -2,614,130.95 </w:t>
            </w:r>
          </w:p>
        </w:tc>
        <w:tc>
          <w:tcPr>
            <w:tcW w:w="2018" w:type="dxa"/>
            <w:tcBorders>
              <w:top w:val="outset" w:sz="4" w:space="0" w:color="auto"/>
              <w:left w:val="outset" w:sz="4" w:space="0" w:color="auto"/>
              <w:bottom w:val="outset" w:sz="4" w:space="0" w:color="auto"/>
              <w:right w:val="outset" w:sz="4" w:space="0" w:color="auto"/>
            </w:tcBorders>
            <w:vAlign w:val="center"/>
          </w:tcPr>
          <w:p w14:paraId="0BEE4832" w14:textId="77777777" w:rsidR="00577D08" w:rsidRDefault="00330FC0">
            <w:pPr>
              <w:jc w:val="right"/>
            </w:pPr>
            <w:r>
              <w:t>-524,873.05</w:t>
            </w:r>
          </w:p>
        </w:tc>
      </w:tr>
      <w:tr w:rsidR="00577D08" w14:paraId="2270E90E" w14:textId="77777777">
        <w:tc>
          <w:tcPr>
            <w:tcW w:w="3507" w:type="dxa"/>
            <w:tcBorders>
              <w:top w:val="outset" w:sz="4" w:space="0" w:color="auto"/>
              <w:left w:val="outset" w:sz="4" w:space="0" w:color="auto"/>
              <w:bottom w:val="outset" w:sz="4" w:space="0" w:color="auto"/>
              <w:right w:val="outset" w:sz="4" w:space="0" w:color="auto"/>
            </w:tcBorders>
            <w:vAlign w:val="center"/>
          </w:tcPr>
          <w:p w14:paraId="719DFEA5" w14:textId="77777777" w:rsidR="00577D08" w:rsidRDefault="00330FC0">
            <w:pPr>
              <w:ind w:firstLineChars="550" w:firstLine="1155"/>
            </w:pPr>
            <w:r>
              <w:rPr>
                <w:rFonts w:hint="eastAsia"/>
              </w:rPr>
              <w:t>以摊余成本计量的金融资产终止确认收益</w:t>
            </w:r>
          </w:p>
        </w:tc>
        <w:tc>
          <w:tcPr>
            <w:tcW w:w="1516" w:type="dxa"/>
            <w:tcBorders>
              <w:top w:val="outset" w:sz="4" w:space="0" w:color="auto"/>
              <w:left w:val="outset" w:sz="4" w:space="0" w:color="auto"/>
              <w:bottom w:val="outset" w:sz="4" w:space="0" w:color="auto"/>
              <w:right w:val="outset" w:sz="4" w:space="0" w:color="auto"/>
            </w:tcBorders>
            <w:vAlign w:val="center"/>
          </w:tcPr>
          <w:p w14:paraId="553EF25B"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6AE474F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968BEE9" w14:textId="77777777" w:rsidR="00577D08" w:rsidRDefault="00577D08">
            <w:pPr>
              <w:jc w:val="right"/>
            </w:pPr>
          </w:p>
        </w:tc>
      </w:tr>
      <w:tr w:rsidR="00577D08" w14:paraId="13BD1BA2" w14:textId="77777777">
        <w:tc>
          <w:tcPr>
            <w:tcW w:w="3507" w:type="dxa"/>
            <w:tcBorders>
              <w:top w:val="outset" w:sz="4" w:space="0" w:color="auto"/>
              <w:left w:val="outset" w:sz="4" w:space="0" w:color="auto"/>
              <w:bottom w:val="outset" w:sz="4" w:space="0" w:color="auto"/>
              <w:right w:val="outset" w:sz="4" w:space="0" w:color="auto"/>
            </w:tcBorders>
            <w:vAlign w:val="center"/>
          </w:tcPr>
          <w:p w14:paraId="60A993F4" w14:textId="77777777" w:rsidR="00577D08" w:rsidRDefault="00330FC0">
            <w:pPr>
              <w:ind w:firstLineChars="300" w:firstLine="630"/>
            </w:pPr>
            <w:r>
              <w:rPr>
                <w:rFonts w:hint="eastAsia"/>
              </w:rPr>
              <w:t>汇兑收益（损失以“－”号填列）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649DD79F"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1665E2C1"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DB8C07B" w14:textId="77777777" w:rsidR="00577D08" w:rsidRDefault="00577D08">
            <w:pPr>
              <w:jc w:val="right"/>
            </w:pPr>
          </w:p>
        </w:tc>
      </w:tr>
      <w:tr w:rsidR="00577D08" w14:paraId="648FE65A" w14:textId="77777777">
        <w:tc>
          <w:tcPr>
            <w:tcW w:w="3507" w:type="dxa"/>
            <w:tcBorders>
              <w:top w:val="outset" w:sz="4" w:space="0" w:color="auto"/>
              <w:left w:val="outset" w:sz="4" w:space="0" w:color="auto"/>
              <w:bottom w:val="outset" w:sz="4" w:space="0" w:color="auto"/>
              <w:right w:val="outset" w:sz="4" w:space="0" w:color="auto"/>
            </w:tcBorders>
            <w:vAlign w:val="center"/>
          </w:tcPr>
          <w:p w14:paraId="58D9CD5F" w14:textId="77777777" w:rsidR="00577D08" w:rsidRDefault="00330FC0">
            <w:pPr>
              <w:ind w:firstLineChars="300" w:firstLine="630"/>
            </w:pPr>
            <w:r>
              <w:rPr>
                <w:rFonts w:hint="eastAsia"/>
              </w:rPr>
              <w:t>净敞口套期收益（损失以“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36A8A634"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7EFCF9E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A0CB531" w14:textId="77777777" w:rsidR="00577D08" w:rsidRDefault="00577D08">
            <w:pPr>
              <w:jc w:val="right"/>
            </w:pPr>
          </w:p>
        </w:tc>
      </w:tr>
      <w:tr w:rsidR="00577D08" w14:paraId="490B9411" w14:textId="77777777">
        <w:tc>
          <w:tcPr>
            <w:tcW w:w="3507" w:type="dxa"/>
            <w:tcBorders>
              <w:top w:val="outset" w:sz="4" w:space="0" w:color="auto"/>
              <w:left w:val="outset" w:sz="4" w:space="0" w:color="auto"/>
              <w:bottom w:val="outset" w:sz="4" w:space="0" w:color="auto"/>
              <w:right w:val="outset" w:sz="4" w:space="0" w:color="auto"/>
            </w:tcBorders>
            <w:vAlign w:val="center"/>
          </w:tcPr>
          <w:p w14:paraId="7F84E475" w14:textId="77777777" w:rsidR="00577D08" w:rsidRDefault="00330FC0">
            <w:pPr>
              <w:ind w:firstLineChars="300" w:firstLine="630"/>
              <w:rPr>
                <w:color w:val="000000"/>
              </w:rPr>
            </w:pPr>
            <w:r>
              <w:rPr>
                <w:rFonts w:hint="eastAsia"/>
              </w:rPr>
              <w:t>公允价值变动收益（损失以“－”号填列）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283D4D93" w14:textId="77777777" w:rsidR="00577D08" w:rsidRDefault="00330FC0">
            <w:pPr>
              <w:jc w:val="both"/>
            </w:pPr>
            <w:r>
              <w:rPr>
                <w:rFonts w:hint="eastAsia"/>
              </w:rPr>
              <w:t>七、</w:t>
            </w:r>
            <w:r>
              <w:rPr>
                <w:rFonts w:hint="eastAsia"/>
              </w:rPr>
              <w:t>70</w:t>
            </w:r>
          </w:p>
        </w:tc>
        <w:tc>
          <w:tcPr>
            <w:tcW w:w="2008" w:type="dxa"/>
            <w:tcBorders>
              <w:top w:val="outset" w:sz="4" w:space="0" w:color="auto"/>
              <w:left w:val="outset" w:sz="4" w:space="0" w:color="auto"/>
              <w:bottom w:val="outset" w:sz="4" w:space="0" w:color="auto"/>
              <w:right w:val="outset" w:sz="4" w:space="0" w:color="auto"/>
            </w:tcBorders>
            <w:vAlign w:val="center"/>
          </w:tcPr>
          <w:p w14:paraId="52D5B7A0"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BF249F1" w14:textId="77777777" w:rsidR="00577D08" w:rsidRDefault="00330FC0">
            <w:pPr>
              <w:jc w:val="right"/>
            </w:pPr>
            <w:r>
              <w:t>58,819.44</w:t>
            </w:r>
          </w:p>
        </w:tc>
      </w:tr>
      <w:tr w:rsidR="00577D08" w14:paraId="412AFB63" w14:textId="77777777">
        <w:tc>
          <w:tcPr>
            <w:tcW w:w="3507" w:type="dxa"/>
            <w:tcBorders>
              <w:top w:val="outset" w:sz="4" w:space="0" w:color="auto"/>
              <w:left w:val="outset" w:sz="4" w:space="0" w:color="auto"/>
              <w:bottom w:val="outset" w:sz="4" w:space="0" w:color="auto"/>
              <w:right w:val="outset" w:sz="4" w:space="0" w:color="auto"/>
            </w:tcBorders>
            <w:vAlign w:val="center"/>
          </w:tcPr>
          <w:p w14:paraId="5C3C3135" w14:textId="77777777" w:rsidR="00577D08" w:rsidRDefault="00330FC0">
            <w:pPr>
              <w:ind w:firstLineChars="300" w:firstLine="630"/>
            </w:pPr>
            <w:r>
              <w:rPr>
                <w:rFonts w:hint="eastAsia"/>
              </w:rPr>
              <w:t>信用减值损失（损失以“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0C38A0B7" w14:textId="77777777" w:rsidR="00577D08" w:rsidRDefault="00330FC0">
            <w:pPr>
              <w:jc w:val="both"/>
            </w:pPr>
            <w:r>
              <w:rPr>
                <w:rFonts w:hint="eastAsia"/>
              </w:rPr>
              <w:t>七、</w:t>
            </w:r>
            <w:r>
              <w:rPr>
                <w:rFonts w:hint="eastAsia"/>
              </w:rPr>
              <w:t>71</w:t>
            </w:r>
          </w:p>
        </w:tc>
        <w:tc>
          <w:tcPr>
            <w:tcW w:w="2008" w:type="dxa"/>
            <w:tcBorders>
              <w:top w:val="outset" w:sz="4" w:space="0" w:color="auto"/>
              <w:left w:val="outset" w:sz="4" w:space="0" w:color="auto"/>
              <w:bottom w:val="outset" w:sz="4" w:space="0" w:color="auto"/>
              <w:right w:val="outset" w:sz="4" w:space="0" w:color="auto"/>
            </w:tcBorders>
            <w:vAlign w:val="center"/>
          </w:tcPr>
          <w:p w14:paraId="737A3384" w14:textId="77777777" w:rsidR="00577D08" w:rsidRDefault="00330FC0">
            <w:pPr>
              <w:jc w:val="right"/>
            </w:pPr>
            <w:r>
              <w:t xml:space="preserve"> -32,539,234.25 </w:t>
            </w:r>
          </w:p>
        </w:tc>
        <w:tc>
          <w:tcPr>
            <w:tcW w:w="2018" w:type="dxa"/>
            <w:tcBorders>
              <w:top w:val="outset" w:sz="4" w:space="0" w:color="auto"/>
              <w:left w:val="outset" w:sz="4" w:space="0" w:color="auto"/>
              <w:bottom w:val="outset" w:sz="4" w:space="0" w:color="auto"/>
              <w:right w:val="outset" w:sz="4" w:space="0" w:color="auto"/>
            </w:tcBorders>
            <w:vAlign w:val="center"/>
          </w:tcPr>
          <w:p w14:paraId="32174125" w14:textId="77777777" w:rsidR="00577D08" w:rsidRDefault="00330FC0">
            <w:pPr>
              <w:jc w:val="right"/>
            </w:pPr>
            <w:r>
              <w:t>-17,335,832.86</w:t>
            </w:r>
          </w:p>
        </w:tc>
      </w:tr>
      <w:tr w:rsidR="00577D08" w14:paraId="1809E645" w14:textId="77777777">
        <w:tc>
          <w:tcPr>
            <w:tcW w:w="3507" w:type="dxa"/>
            <w:tcBorders>
              <w:top w:val="outset" w:sz="4" w:space="0" w:color="auto"/>
              <w:left w:val="outset" w:sz="4" w:space="0" w:color="auto"/>
              <w:bottom w:val="outset" w:sz="4" w:space="0" w:color="auto"/>
              <w:right w:val="outset" w:sz="4" w:space="0" w:color="auto"/>
            </w:tcBorders>
            <w:vAlign w:val="center"/>
          </w:tcPr>
          <w:p w14:paraId="28FAE1BA" w14:textId="77777777" w:rsidR="00577D08" w:rsidRDefault="00330FC0">
            <w:pPr>
              <w:ind w:firstLineChars="300" w:firstLine="630"/>
            </w:pPr>
            <w:r>
              <w:rPr>
                <w:rFonts w:hint="eastAsia"/>
              </w:rPr>
              <w:t>资产减值损失（损失以“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3BB27177" w14:textId="77777777" w:rsidR="00577D08" w:rsidRDefault="00330FC0">
            <w:pPr>
              <w:jc w:val="both"/>
            </w:pPr>
            <w:r>
              <w:rPr>
                <w:rFonts w:hint="eastAsia"/>
              </w:rPr>
              <w:t>七、</w:t>
            </w:r>
            <w:r>
              <w:rPr>
                <w:rFonts w:hint="eastAsia"/>
              </w:rPr>
              <w:t>72</w:t>
            </w:r>
          </w:p>
        </w:tc>
        <w:tc>
          <w:tcPr>
            <w:tcW w:w="2008" w:type="dxa"/>
            <w:tcBorders>
              <w:top w:val="outset" w:sz="4" w:space="0" w:color="auto"/>
              <w:left w:val="outset" w:sz="4" w:space="0" w:color="auto"/>
              <w:bottom w:val="outset" w:sz="4" w:space="0" w:color="auto"/>
              <w:right w:val="outset" w:sz="4" w:space="0" w:color="auto"/>
            </w:tcBorders>
            <w:vAlign w:val="center"/>
          </w:tcPr>
          <w:p w14:paraId="47B7B45A" w14:textId="77777777" w:rsidR="00577D08" w:rsidRDefault="00330FC0">
            <w:pPr>
              <w:jc w:val="right"/>
            </w:pPr>
            <w:r>
              <w:t xml:space="preserve"> -19,577,192.33 </w:t>
            </w:r>
          </w:p>
        </w:tc>
        <w:tc>
          <w:tcPr>
            <w:tcW w:w="2018" w:type="dxa"/>
            <w:tcBorders>
              <w:top w:val="outset" w:sz="4" w:space="0" w:color="auto"/>
              <w:left w:val="outset" w:sz="4" w:space="0" w:color="auto"/>
              <w:bottom w:val="outset" w:sz="4" w:space="0" w:color="auto"/>
              <w:right w:val="outset" w:sz="4" w:space="0" w:color="auto"/>
            </w:tcBorders>
            <w:vAlign w:val="center"/>
          </w:tcPr>
          <w:p w14:paraId="6D8EBD87" w14:textId="77777777" w:rsidR="00577D08" w:rsidRDefault="00330FC0">
            <w:pPr>
              <w:jc w:val="right"/>
            </w:pPr>
            <w:r>
              <w:t>-13,254,596.49</w:t>
            </w:r>
          </w:p>
        </w:tc>
      </w:tr>
      <w:tr w:rsidR="00577D08" w14:paraId="33FF448B" w14:textId="77777777">
        <w:tc>
          <w:tcPr>
            <w:tcW w:w="3507" w:type="dxa"/>
            <w:tcBorders>
              <w:top w:val="outset" w:sz="4" w:space="0" w:color="auto"/>
              <w:left w:val="outset" w:sz="4" w:space="0" w:color="auto"/>
              <w:bottom w:val="outset" w:sz="4" w:space="0" w:color="auto"/>
              <w:right w:val="outset" w:sz="4" w:space="0" w:color="auto"/>
            </w:tcBorders>
            <w:vAlign w:val="center"/>
          </w:tcPr>
          <w:p w14:paraId="4ED3B337" w14:textId="77777777" w:rsidR="00577D08" w:rsidRDefault="00330FC0">
            <w:pPr>
              <w:ind w:firstLineChars="300" w:firstLine="630"/>
            </w:pPr>
            <w:r>
              <w:rPr>
                <w:rFonts w:hint="eastAsia"/>
              </w:rPr>
              <w:t>资产处置收益（损失以“－”号填列）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2A8F3021" w14:textId="77777777" w:rsidR="00577D08" w:rsidRDefault="00330FC0">
            <w:pPr>
              <w:jc w:val="both"/>
            </w:pPr>
            <w:r>
              <w:rPr>
                <w:rFonts w:hint="eastAsia"/>
              </w:rPr>
              <w:t>七、</w:t>
            </w:r>
            <w:r>
              <w:rPr>
                <w:rFonts w:hint="eastAsia"/>
              </w:rPr>
              <w:t>73</w:t>
            </w:r>
          </w:p>
        </w:tc>
        <w:tc>
          <w:tcPr>
            <w:tcW w:w="2008" w:type="dxa"/>
            <w:tcBorders>
              <w:top w:val="outset" w:sz="4" w:space="0" w:color="auto"/>
              <w:left w:val="outset" w:sz="4" w:space="0" w:color="auto"/>
              <w:bottom w:val="outset" w:sz="4" w:space="0" w:color="auto"/>
              <w:right w:val="outset" w:sz="4" w:space="0" w:color="auto"/>
            </w:tcBorders>
            <w:vAlign w:val="center"/>
          </w:tcPr>
          <w:p w14:paraId="52363216" w14:textId="77777777" w:rsidR="00577D08" w:rsidRDefault="00330FC0">
            <w:pPr>
              <w:jc w:val="right"/>
            </w:pPr>
            <w:r>
              <w:t xml:space="preserve"> 46,466.81 </w:t>
            </w:r>
          </w:p>
        </w:tc>
        <w:tc>
          <w:tcPr>
            <w:tcW w:w="2018" w:type="dxa"/>
            <w:tcBorders>
              <w:top w:val="outset" w:sz="4" w:space="0" w:color="auto"/>
              <w:left w:val="outset" w:sz="4" w:space="0" w:color="auto"/>
              <w:bottom w:val="outset" w:sz="4" w:space="0" w:color="auto"/>
              <w:right w:val="outset" w:sz="4" w:space="0" w:color="auto"/>
            </w:tcBorders>
            <w:vAlign w:val="center"/>
          </w:tcPr>
          <w:p w14:paraId="042C5681" w14:textId="77777777" w:rsidR="00577D08" w:rsidRDefault="00330FC0">
            <w:pPr>
              <w:jc w:val="right"/>
            </w:pPr>
            <w:r>
              <w:t>555,200.04</w:t>
            </w:r>
          </w:p>
        </w:tc>
      </w:tr>
      <w:tr w:rsidR="00577D08" w14:paraId="14E3B1CC" w14:textId="77777777">
        <w:tc>
          <w:tcPr>
            <w:tcW w:w="3507" w:type="dxa"/>
            <w:tcBorders>
              <w:top w:val="outset" w:sz="4" w:space="0" w:color="auto"/>
              <w:left w:val="outset" w:sz="4" w:space="0" w:color="auto"/>
              <w:bottom w:val="outset" w:sz="4" w:space="0" w:color="auto"/>
              <w:right w:val="outset" w:sz="4" w:space="0" w:color="auto"/>
            </w:tcBorders>
            <w:vAlign w:val="center"/>
          </w:tcPr>
          <w:p w14:paraId="62F54C61" w14:textId="77777777" w:rsidR="00577D08" w:rsidRDefault="00330FC0">
            <w:pPr>
              <w:rPr>
                <w:color w:val="000000"/>
              </w:rPr>
            </w:pPr>
            <w:r>
              <w:rPr>
                <w:rFonts w:hint="eastAsia"/>
              </w:rPr>
              <w:t>三、营业利润（亏损以“－”号填列）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778014CE"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07AB0E70" w14:textId="77777777" w:rsidR="00577D08" w:rsidRDefault="00330FC0">
            <w:pPr>
              <w:jc w:val="right"/>
            </w:pPr>
            <w:r>
              <w:t xml:space="preserve"> 83,604,491.06 </w:t>
            </w:r>
          </w:p>
        </w:tc>
        <w:tc>
          <w:tcPr>
            <w:tcW w:w="2018" w:type="dxa"/>
            <w:tcBorders>
              <w:top w:val="outset" w:sz="4" w:space="0" w:color="auto"/>
              <w:left w:val="outset" w:sz="4" w:space="0" w:color="auto"/>
              <w:bottom w:val="outset" w:sz="4" w:space="0" w:color="auto"/>
              <w:right w:val="outset" w:sz="4" w:space="0" w:color="auto"/>
            </w:tcBorders>
            <w:vAlign w:val="center"/>
          </w:tcPr>
          <w:p w14:paraId="48558BDE" w14:textId="77777777" w:rsidR="00577D08" w:rsidRDefault="00330FC0">
            <w:pPr>
              <w:jc w:val="right"/>
            </w:pPr>
            <w:r>
              <w:t>110,467,371.95</w:t>
            </w:r>
          </w:p>
        </w:tc>
      </w:tr>
      <w:tr w:rsidR="00577D08" w14:paraId="47F6413E" w14:textId="77777777">
        <w:tc>
          <w:tcPr>
            <w:tcW w:w="3507" w:type="dxa"/>
            <w:tcBorders>
              <w:top w:val="outset" w:sz="4" w:space="0" w:color="auto"/>
              <w:left w:val="outset" w:sz="4" w:space="0" w:color="auto"/>
              <w:bottom w:val="outset" w:sz="4" w:space="0" w:color="auto"/>
              <w:right w:val="outset" w:sz="4" w:space="0" w:color="auto"/>
            </w:tcBorders>
            <w:vAlign w:val="center"/>
          </w:tcPr>
          <w:p w14:paraId="7E289308" w14:textId="77777777" w:rsidR="00577D08" w:rsidRDefault="00330FC0">
            <w:pPr>
              <w:ind w:firstLineChars="100" w:firstLine="210"/>
            </w:pPr>
            <w:r>
              <w:rPr>
                <w:rFonts w:hint="eastAsia"/>
              </w:rPr>
              <w:t>加：营业外收入</w:t>
            </w:r>
          </w:p>
        </w:tc>
        <w:tc>
          <w:tcPr>
            <w:tcW w:w="1516" w:type="dxa"/>
            <w:tcBorders>
              <w:top w:val="outset" w:sz="4" w:space="0" w:color="auto"/>
              <w:left w:val="outset" w:sz="4" w:space="0" w:color="auto"/>
              <w:bottom w:val="outset" w:sz="4" w:space="0" w:color="auto"/>
              <w:right w:val="outset" w:sz="4" w:space="0" w:color="auto"/>
            </w:tcBorders>
            <w:vAlign w:val="center"/>
          </w:tcPr>
          <w:p w14:paraId="759D9563" w14:textId="77777777" w:rsidR="00577D08" w:rsidRDefault="00330FC0">
            <w:pPr>
              <w:jc w:val="both"/>
            </w:pPr>
            <w:r>
              <w:rPr>
                <w:rFonts w:hint="eastAsia"/>
              </w:rPr>
              <w:t>七、</w:t>
            </w:r>
            <w:r>
              <w:rPr>
                <w:rFonts w:hint="eastAsia"/>
              </w:rPr>
              <w:t>74</w:t>
            </w:r>
          </w:p>
        </w:tc>
        <w:tc>
          <w:tcPr>
            <w:tcW w:w="2008" w:type="dxa"/>
            <w:tcBorders>
              <w:top w:val="outset" w:sz="4" w:space="0" w:color="auto"/>
              <w:left w:val="outset" w:sz="4" w:space="0" w:color="auto"/>
              <w:bottom w:val="outset" w:sz="4" w:space="0" w:color="auto"/>
              <w:right w:val="outset" w:sz="4" w:space="0" w:color="auto"/>
            </w:tcBorders>
            <w:vAlign w:val="center"/>
          </w:tcPr>
          <w:p w14:paraId="3978DDFE" w14:textId="77777777" w:rsidR="00577D08" w:rsidRDefault="00330FC0">
            <w:pPr>
              <w:jc w:val="right"/>
            </w:pPr>
            <w:r>
              <w:t xml:space="preserve"> 14,523.91 </w:t>
            </w:r>
          </w:p>
        </w:tc>
        <w:tc>
          <w:tcPr>
            <w:tcW w:w="2018" w:type="dxa"/>
            <w:tcBorders>
              <w:top w:val="outset" w:sz="4" w:space="0" w:color="auto"/>
              <w:left w:val="outset" w:sz="4" w:space="0" w:color="auto"/>
              <w:bottom w:val="outset" w:sz="4" w:space="0" w:color="auto"/>
              <w:right w:val="outset" w:sz="4" w:space="0" w:color="auto"/>
            </w:tcBorders>
            <w:vAlign w:val="center"/>
          </w:tcPr>
          <w:p w14:paraId="6CE929D2" w14:textId="77777777" w:rsidR="00577D08" w:rsidRDefault="00330FC0">
            <w:pPr>
              <w:jc w:val="right"/>
            </w:pPr>
            <w:r>
              <w:t>1,257,944.75</w:t>
            </w:r>
          </w:p>
        </w:tc>
      </w:tr>
      <w:tr w:rsidR="00577D08" w14:paraId="616631A9" w14:textId="77777777">
        <w:tc>
          <w:tcPr>
            <w:tcW w:w="3507" w:type="dxa"/>
            <w:tcBorders>
              <w:top w:val="outset" w:sz="4" w:space="0" w:color="auto"/>
              <w:left w:val="outset" w:sz="4" w:space="0" w:color="auto"/>
              <w:bottom w:val="outset" w:sz="4" w:space="0" w:color="auto"/>
              <w:right w:val="outset" w:sz="4" w:space="0" w:color="auto"/>
            </w:tcBorders>
            <w:vAlign w:val="center"/>
          </w:tcPr>
          <w:p w14:paraId="4D31CD5A" w14:textId="77777777" w:rsidR="00577D08" w:rsidRDefault="00330FC0">
            <w:pPr>
              <w:ind w:firstLineChars="100" w:firstLine="210"/>
            </w:pPr>
            <w:r>
              <w:rPr>
                <w:rFonts w:hint="eastAsia"/>
              </w:rPr>
              <w:t>减：营业外支出</w:t>
            </w:r>
          </w:p>
        </w:tc>
        <w:tc>
          <w:tcPr>
            <w:tcW w:w="1516" w:type="dxa"/>
            <w:tcBorders>
              <w:top w:val="outset" w:sz="4" w:space="0" w:color="auto"/>
              <w:left w:val="outset" w:sz="4" w:space="0" w:color="auto"/>
              <w:bottom w:val="outset" w:sz="4" w:space="0" w:color="auto"/>
              <w:right w:val="outset" w:sz="4" w:space="0" w:color="auto"/>
            </w:tcBorders>
            <w:vAlign w:val="center"/>
          </w:tcPr>
          <w:p w14:paraId="0A9FC9C5" w14:textId="77777777" w:rsidR="00577D08" w:rsidRDefault="00330FC0">
            <w:pPr>
              <w:jc w:val="both"/>
            </w:pPr>
            <w:r>
              <w:rPr>
                <w:rFonts w:hint="eastAsia"/>
              </w:rPr>
              <w:t>七、</w:t>
            </w:r>
            <w:r>
              <w:rPr>
                <w:rFonts w:hint="eastAsia"/>
              </w:rPr>
              <w:t>75</w:t>
            </w:r>
          </w:p>
        </w:tc>
        <w:tc>
          <w:tcPr>
            <w:tcW w:w="2008" w:type="dxa"/>
            <w:tcBorders>
              <w:top w:val="outset" w:sz="4" w:space="0" w:color="auto"/>
              <w:left w:val="outset" w:sz="4" w:space="0" w:color="auto"/>
              <w:bottom w:val="outset" w:sz="4" w:space="0" w:color="auto"/>
              <w:right w:val="outset" w:sz="4" w:space="0" w:color="auto"/>
            </w:tcBorders>
            <w:vAlign w:val="center"/>
          </w:tcPr>
          <w:p w14:paraId="2F0C3667" w14:textId="77777777" w:rsidR="00577D08" w:rsidRDefault="00330FC0">
            <w:pPr>
              <w:jc w:val="right"/>
            </w:pPr>
            <w:r>
              <w:t xml:space="preserve"> 4,225,002.18 </w:t>
            </w:r>
          </w:p>
        </w:tc>
        <w:tc>
          <w:tcPr>
            <w:tcW w:w="2018" w:type="dxa"/>
            <w:tcBorders>
              <w:top w:val="outset" w:sz="4" w:space="0" w:color="auto"/>
              <w:left w:val="outset" w:sz="4" w:space="0" w:color="auto"/>
              <w:bottom w:val="outset" w:sz="4" w:space="0" w:color="auto"/>
              <w:right w:val="outset" w:sz="4" w:space="0" w:color="auto"/>
            </w:tcBorders>
            <w:vAlign w:val="center"/>
          </w:tcPr>
          <w:p w14:paraId="028FCADD" w14:textId="77777777" w:rsidR="00577D08" w:rsidRDefault="00330FC0">
            <w:pPr>
              <w:jc w:val="right"/>
            </w:pPr>
            <w:r>
              <w:t>24,260,805.51</w:t>
            </w:r>
          </w:p>
        </w:tc>
      </w:tr>
      <w:tr w:rsidR="00577D08" w14:paraId="51DBF166" w14:textId="77777777">
        <w:tc>
          <w:tcPr>
            <w:tcW w:w="3507" w:type="dxa"/>
            <w:tcBorders>
              <w:top w:val="outset" w:sz="4" w:space="0" w:color="auto"/>
              <w:left w:val="outset" w:sz="4" w:space="0" w:color="auto"/>
              <w:bottom w:val="outset" w:sz="4" w:space="0" w:color="auto"/>
              <w:right w:val="outset" w:sz="4" w:space="0" w:color="auto"/>
            </w:tcBorders>
            <w:vAlign w:val="center"/>
          </w:tcPr>
          <w:p w14:paraId="288C1523" w14:textId="77777777" w:rsidR="00577D08" w:rsidRDefault="00330FC0">
            <w:pPr>
              <w:rPr>
                <w:color w:val="000000"/>
              </w:rPr>
            </w:pPr>
            <w:r>
              <w:rPr>
                <w:rFonts w:hint="eastAsia"/>
              </w:rPr>
              <w:t>四、利润总额（亏损总额以</w:t>
            </w:r>
            <w:r>
              <w:t>“</w:t>
            </w:r>
            <w:r>
              <w:rPr>
                <w:rFonts w:hint="eastAsia"/>
              </w:rPr>
              <w:t>－</w:t>
            </w:r>
            <w:r>
              <w:t>”</w:t>
            </w:r>
            <w:r>
              <w:rPr>
                <w:rFonts w:hint="eastAsia"/>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2113AA0C"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0A6F4908" w14:textId="77777777" w:rsidR="00577D08" w:rsidRDefault="00330FC0">
            <w:pPr>
              <w:jc w:val="right"/>
            </w:pPr>
            <w:r>
              <w:t xml:space="preserve"> 79,394,012.79 </w:t>
            </w:r>
          </w:p>
        </w:tc>
        <w:tc>
          <w:tcPr>
            <w:tcW w:w="2018" w:type="dxa"/>
            <w:tcBorders>
              <w:top w:val="outset" w:sz="4" w:space="0" w:color="auto"/>
              <w:left w:val="outset" w:sz="4" w:space="0" w:color="auto"/>
              <w:bottom w:val="outset" w:sz="4" w:space="0" w:color="auto"/>
              <w:right w:val="outset" w:sz="4" w:space="0" w:color="auto"/>
            </w:tcBorders>
            <w:vAlign w:val="center"/>
          </w:tcPr>
          <w:p w14:paraId="6A5173FF" w14:textId="77777777" w:rsidR="00577D08" w:rsidRDefault="00330FC0">
            <w:pPr>
              <w:jc w:val="right"/>
            </w:pPr>
            <w:r>
              <w:t>87,464,511.19</w:t>
            </w:r>
          </w:p>
        </w:tc>
      </w:tr>
      <w:tr w:rsidR="00577D08" w14:paraId="4F88E09E" w14:textId="77777777">
        <w:tc>
          <w:tcPr>
            <w:tcW w:w="3507" w:type="dxa"/>
            <w:tcBorders>
              <w:top w:val="outset" w:sz="4" w:space="0" w:color="auto"/>
              <w:left w:val="outset" w:sz="4" w:space="0" w:color="auto"/>
              <w:bottom w:val="outset" w:sz="4" w:space="0" w:color="auto"/>
              <w:right w:val="outset" w:sz="4" w:space="0" w:color="auto"/>
            </w:tcBorders>
            <w:vAlign w:val="center"/>
          </w:tcPr>
          <w:p w14:paraId="7DC8C83E" w14:textId="77777777" w:rsidR="00577D08" w:rsidRDefault="00330FC0">
            <w:pPr>
              <w:ind w:firstLineChars="100" w:firstLine="210"/>
              <w:rPr>
                <w:color w:val="000000"/>
              </w:rPr>
            </w:pPr>
            <w:r>
              <w:rPr>
                <w:rFonts w:hint="eastAsia"/>
              </w:rPr>
              <w:t>减：所得税费用</w:t>
            </w:r>
          </w:p>
        </w:tc>
        <w:tc>
          <w:tcPr>
            <w:tcW w:w="1516" w:type="dxa"/>
            <w:tcBorders>
              <w:top w:val="outset" w:sz="4" w:space="0" w:color="auto"/>
              <w:left w:val="outset" w:sz="4" w:space="0" w:color="auto"/>
              <w:bottom w:val="outset" w:sz="4" w:space="0" w:color="auto"/>
              <w:right w:val="outset" w:sz="4" w:space="0" w:color="auto"/>
            </w:tcBorders>
            <w:vAlign w:val="center"/>
          </w:tcPr>
          <w:p w14:paraId="1AB6EBD6" w14:textId="77777777" w:rsidR="00577D08" w:rsidRDefault="00330FC0">
            <w:pPr>
              <w:jc w:val="both"/>
            </w:pPr>
            <w:r>
              <w:rPr>
                <w:rFonts w:hint="eastAsia"/>
              </w:rPr>
              <w:t>七、</w:t>
            </w:r>
            <w:r>
              <w:rPr>
                <w:rFonts w:hint="eastAsia"/>
              </w:rPr>
              <w:t>76</w:t>
            </w:r>
          </w:p>
        </w:tc>
        <w:tc>
          <w:tcPr>
            <w:tcW w:w="2008" w:type="dxa"/>
            <w:tcBorders>
              <w:top w:val="outset" w:sz="4" w:space="0" w:color="auto"/>
              <w:left w:val="outset" w:sz="4" w:space="0" w:color="auto"/>
              <w:bottom w:val="outset" w:sz="4" w:space="0" w:color="auto"/>
              <w:right w:val="outset" w:sz="4" w:space="0" w:color="auto"/>
            </w:tcBorders>
            <w:vAlign w:val="center"/>
          </w:tcPr>
          <w:p w14:paraId="76822736" w14:textId="77777777" w:rsidR="00577D08" w:rsidRDefault="00330FC0">
            <w:pPr>
              <w:jc w:val="right"/>
            </w:pPr>
            <w:r>
              <w:t xml:space="preserve"> 5,615,620.06 </w:t>
            </w:r>
          </w:p>
        </w:tc>
        <w:tc>
          <w:tcPr>
            <w:tcW w:w="2018" w:type="dxa"/>
            <w:tcBorders>
              <w:top w:val="outset" w:sz="4" w:space="0" w:color="auto"/>
              <w:left w:val="outset" w:sz="4" w:space="0" w:color="auto"/>
              <w:bottom w:val="outset" w:sz="4" w:space="0" w:color="auto"/>
              <w:right w:val="outset" w:sz="4" w:space="0" w:color="auto"/>
            </w:tcBorders>
            <w:vAlign w:val="center"/>
          </w:tcPr>
          <w:p w14:paraId="7A2744D7" w14:textId="77777777" w:rsidR="00577D08" w:rsidRDefault="00330FC0">
            <w:pPr>
              <w:jc w:val="right"/>
            </w:pPr>
            <w:r>
              <w:t>12,102,029.43</w:t>
            </w:r>
          </w:p>
        </w:tc>
      </w:tr>
      <w:tr w:rsidR="00577D08" w14:paraId="21AAD01C" w14:textId="77777777">
        <w:tc>
          <w:tcPr>
            <w:tcW w:w="3507" w:type="dxa"/>
            <w:tcBorders>
              <w:top w:val="outset" w:sz="4" w:space="0" w:color="auto"/>
              <w:left w:val="outset" w:sz="4" w:space="0" w:color="auto"/>
              <w:bottom w:val="outset" w:sz="4" w:space="0" w:color="auto"/>
              <w:right w:val="outset" w:sz="4" w:space="0" w:color="auto"/>
            </w:tcBorders>
            <w:vAlign w:val="center"/>
          </w:tcPr>
          <w:p w14:paraId="511DF89F" w14:textId="77777777" w:rsidR="00577D08" w:rsidRDefault="00330FC0">
            <w:pPr>
              <w:rPr>
                <w:color w:val="000000"/>
              </w:rPr>
            </w:pPr>
            <w:r>
              <w:rPr>
                <w:rFonts w:hint="eastAsia"/>
              </w:rPr>
              <w:t>五、净利润（净亏损以</w:t>
            </w:r>
            <w:r>
              <w:t>“</w:t>
            </w:r>
            <w:r>
              <w:rPr>
                <w:rFonts w:hint="eastAsia"/>
              </w:rPr>
              <w:t>－</w:t>
            </w:r>
            <w:r>
              <w:t>”</w:t>
            </w:r>
            <w:r>
              <w:rPr>
                <w:rFonts w:hint="eastAsia"/>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05D7C2D5"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415A1B67" w14:textId="77777777" w:rsidR="00577D08" w:rsidRDefault="00330FC0">
            <w:pPr>
              <w:jc w:val="right"/>
            </w:pPr>
            <w:r>
              <w:t xml:space="preserve"> 73,778,392.73 </w:t>
            </w:r>
          </w:p>
        </w:tc>
        <w:tc>
          <w:tcPr>
            <w:tcW w:w="2018" w:type="dxa"/>
            <w:tcBorders>
              <w:top w:val="outset" w:sz="4" w:space="0" w:color="auto"/>
              <w:left w:val="outset" w:sz="4" w:space="0" w:color="auto"/>
              <w:bottom w:val="outset" w:sz="4" w:space="0" w:color="auto"/>
              <w:right w:val="outset" w:sz="4" w:space="0" w:color="auto"/>
            </w:tcBorders>
            <w:vAlign w:val="center"/>
          </w:tcPr>
          <w:p w14:paraId="38DA16D6" w14:textId="77777777" w:rsidR="00577D08" w:rsidRDefault="00330FC0">
            <w:pPr>
              <w:jc w:val="right"/>
            </w:pPr>
            <w:r>
              <w:t>75,362,481.76</w:t>
            </w:r>
          </w:p>
        </w:tc>
      </w:tr>
      <w:tr w:rsidR="00577D08" w14:paraId="2D1F510A" w14:textId="77777777">
        <w:sdt>
          <w:sdtPr>
            <w:tag w:val="_PLD_9445f61075384ccaafee7a9aff738d9c"/>
            <w:id w:val="1825860898"/>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30FE76C6" w14:textId="77777777" w:rsidR="00577D08" w:rsidRDefault="00330FC0">
                <w:r>
                  <w:rPr>
                    <w:rFonts w:hint="eastAsia"/>
                  </w:rPr>
                  <w:t>（一）</w:t>
                </w:r>
                <w:r>
                  <w:t>按经营持续性分类</w:t>
                </w:r>
              </w:p>
            </w:tc>
          </w:sdtContent>
        </w:sdt>
      </w:tr>
      <w:tr w:rsidR="00577D08" w14:paraId="51B8A7D9" w14:textId="77777777">
        <w:tc>
          <w:tcPr>
            <w:tcW w:w="3507" w:type="dxa"/>
            <w:tcBorders>
              <w:top w:val="outset" w:sz="4" w:space="0" w:color="auto"/>
              <w:left w:val="outset" w:sz="4" w:space="0" w:color="auto"/>
              <w:bottom w:val="outset" w:sz="4" w:space="0" w:color="auto"/>
              <w:right w:val="outset" w:sz="4" w:space="0" w:color="auto"/>
            </w:tcBorders>
            <w:vAlign w:val="center"/>
          </w:tcPr>
          <w:p w14:paraId="2574AE92" w14:textId="77777777" w:rsidR="00577D08" w:rsidRDefault="00330FC0">
            <w:pPr>
              <w:ind w:firstLineChars="200" w:firstLine="420"/>
            </w:pPr>
            <w:r>
              <w:t>1.</w:t>
            </w:r>
            <w:r>
              <w:t>持续经营净利润（净亏损以</w:t>
            </w:r>
            <w:r>
              <w:t>“</w:t>
            </w:r>
            <w:r>
              <w:t>－</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0859EAE3"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7C94C3C1" w14:textId="77777777" w:rsidR="00577D08" w:rsidRDefault="00330FC0">
            <w:pPr>
              <w:jc w:val="right"/>
            </w:pPr>
            <w:r>
              <w:t>73,778,392.73</w:t>
            </w:r>
          </w:p>
        </w:tc>
        <w:tc>
          <w:tcPr>
            <w:tcW w:w="2018" w:type="dxa"/>
            <w:tcBorders>
              <w:top w:val="outset" w:sz="4" w:space="0" w:color="auto"/>
              <w:left w:val="outset" w:sz="4" w:space="0" w:color="auto"/>
              <w:bottom w:val="outset" w:sz="4" w:space="0" w:color="auto"/>
              <w:right w:val="outset" w:sz="4" w:space="0" w:color="auto"/>
            </w:tcBorders>
            <w:vAlign w:val="center"/>
          </w:tcPr>
          <w:p w14:paraId="7226B347" w14:textId="77777777" w:rsidR="00577D08" w:rsidRDefault="00330FC0">
            <w:pPr>
              <w:jc w:val="right"/>
            </w:pPr>
            <w:r>
              <w:t>75,362,481.76</w:t>
            </w:r>
          </w:p>
        </w:tc>
      </w:tr>
      <w:tr w:rsidR="00577D08" w14:paraId="41116487" w14:textId="77777777">
        <w:tc>
          <w:tcPr>
            <w:tcW w:w="3507" w:type="dxa"/>
            <w:tcBorders>
              <w:top w:val="outset" w:sz="4" w:space="0" w:color="auto"/>
              <w:left w:val="outset" w:sz="4" w:space="0" w:color="auto"/>
              <w:bottom w:val="outset" w:sz="4" w:space="0" w:color="auto"/>
              <w:right w:val="outset" w:sz="4" w:space="0" w:color="auto"/>
            </w:tcBorders>
            <w:vAlign w:val="center"/>
          </w:tcPr>
          <w:p w14:paraId="340C0FD1" w14:textId="77777777" w:rsidR="00577D08" w:rsidRDefault="00330FC0">
            <w:pPr>
              <w:ind w:firstLineChars="200" w:firstLine="420"/>
            </w:pPr>
            <w:r>
              <w:t>2.</w:t>
            </w:r>
            <w:r>
              <w:t>终止经营净利润（净亏损以</w:t>
            </w:r>
            <w:r>
              <w:t>“</w:t>
            </w:r>
            <w:r>
              <w:t>－</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4DC7928D"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7C4E0BF4"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92D7C96" w14:textId="77777777" w:rsidR="00577D08" w:rsidRDefault="00577D08">
            <w:pPr>
              <w:jc w:val="right"/>
            </w:pPr>
          </w:p>
        </w:tc>
      </w:tr>
      <w:tr w:rsidR="00577D08" w14:paraId="686A1A7D" w14:textId="77777777">
        <w:sdt>
          <w:sdtPr>
            <w:tag w:val="_PLD_5703d86636cb476dab82350c9f6475fc"/>
            <w:id w:val="-38590394"/>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534A674F" w14:textId="77777777" w:rsidR="00577D08" w:rsidRDefault="00330FC0">
                <w:r>
                  <w:rPr>
                    <w:rFonts w:hint="eastAsia"/>
                  </w:rPr>
                  <w:t>（二）</w:t>
                </w:r>
                <w:r>
                  <w:t>按所有权归属分类</w:t>
                </w:r>
              </w:p>
            </w:tc>
          </w:sdtContent>
        </w:sdt>
      </w:tr>
      <w:tr w:rsidR="00577D08" w14:paraId="40052313" w14:textId="77777777">
        <w:tc>
          <w:tcPr>
            <w:tcW w:w="3507" w:type="dxa"/>
            <w:tcBorders>
              <w:top w:val="outset" w:sz="4" w:space="0" w:color="auto"/>
              <w:left w:val="outset" w:sz="4" w:space="0" w:color="auto"/>
              <w:bottom w:val="outset" w:sz="4" w:space="0" w:color="auto"/>
              <w:right w:val="outset" w:sz="4" w:space="0" w:color="auto"/>
            </w:tcBorders>
            <w:vAlign w:val="center"/>
          </w:tcPr>
          <w:p w14:paraId="4987109D" w14:textId="77777777" w:rsidR="00577D08" w:rsidRDefault="00330FC0">
            <w:pPr>
              <w:ind w:firstLineChars="200" w:firstLine="420"/>
            </w:pPr>
            <w:r>
              <w:t>1.</w:t>
            </w:r>
            <w:r>
              <w:rPr>
                <w:rFonts w:hint="eastAsia"/>
              </w:rPr>
              <w:t>归属于母公司股东的净利润（净亏损以“</w:t>
            </w:r>
            <w:r>
              <w:t>-”</w:t>
            </w:r>
            <w:r>
              <w:t>号填列）</w:t>
            </w:r>
          </w:p>
        </w:tc>
        <w:tc>
          <w:tcPr>
            <w:tcW w:w="1516" w:type="dxa"/>
            <w:tcBorders>
              <w:top w:val="outset" w:sz="4" w:space="0" w:color="auto"/>
              <w:left w:val="outset" w:sz="4" w:space="0" w:color="auto"/>
              <w:bottom w:val="outset" w:sz="4" w:space="0" w:color="auto"/>
              <w:right w:val="outset" w:sz="4" w:space="0" w:color="auto"/>
            </w:tcBorders>
          </w:tcPr>
          <w:p w14:paraId="5D9543C1"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42553275" w14:textId="77777777" w:rsidR="00577D08" w:rsidRDefault="00330FC0">
            <w:pPr>
              <w:jc w:val="right"/>
            </w:pPr>
            <w:r>
              <w:t xml:space="preserve"> 69,243,219.73 </w:t>
            </w:r>
          </w:p>
        </w:tc>
        <w:tc>
          <w:tcPr>
            <w:tcW w:w="2018" w:type="dxa"/>
            <w:tcBorders>
              <w:top w:val="outset" w:sz="4" w:space="0" w:color="auto"/>
              <w:left w:val="outset" w:sz="4" w:space="0" w:color="auto"/>
              <w:bottom w:val="outset" w:sz="4" w:space="0" w:color="auto"/>
              <w:right w:val="outset" w:sz="4" w:space="0" w:color="auto"/>
            </w:tcBorders>
            <w:vAlign w:val="center"/>
          </w:tcPr>
          <w:p w14:paraId="597D8932" w14:textId="77777777" w:rsidR="00577D08" w:rsidRDefault="00330FC0">
            <w:pPr>
              <w:jc w:val="right"/>
            </w:pPr>
            <w:r>
              <w:t>65,166,472.45</w:t>
            </w:r>
          </w:p>
        </w:tc>
      </w:tr>
      <w:tr w:rsidR="00577D08" w14:paraId="43709639" w14:textId="77777777">
        <w:tc>
          <w:tcPr>
            <w:tcW w:w="3507" w:type="dxa"/>
            <w:tcBorders>
              <w:top w:val="outset" w:sz="4" w:space="0" w:color="auto"/>
              <w:left w:val="outset" w:sz="4" w:space="0" w:color="auto"/>
              <w:bottom w:val="outset" w:sz="4" w:space="0" w:color="auto"/>
              <w:right w:val="outset" w:sz="4" w:space="0" w:color="auto"/>
            </w:tcBorders>
            <w:vAlign w:val="center"/>
          </w:tcPr>
          <w:p w14:paraId="201F5690" w14:textId="77777777" w:rsidR="00577D08" w:rsidRDefault="00330FC0">
            <w:pPr>
              <w:ind w:firstLineChars="200" w:firstLine="420"/>
            </w:pPr>
            <w:r>
              <w:t>2.</w:t>
            </w:r>
            <w:r>
              <w:rPr>
                <w:rFonts w:hint="eastAsia"/>
              </w:rPr>
              <w:t>少数股东损益（净亏损以“</w:t>
            </w:r>
            <w:r>
              <w:t>-”</w:t>
            </w:r>
            <w:r>
              <w:t>号填列）</w:t>
            </w:r>
          </w:p>
        </w:tc>
        <w:tc>
          <w:tcPr>
            <w:tcW w:w="1516" w:type="dxa"/>
            <w:tcBorders>
              <w:top w:val="outset" w:sz="4" w:space="0" w:color="auto"/>
              <w:left w:val="outset" w:sz="4" w:space="0" w:color="auto"/>
              <w:bottom w:val="outset" w:sz="4" w:space="0" w:color="auto"/>
              <w:right w:val="outset" w:sz="4" w:space="0" w:color="auto"/>
            </w:tcBorders>
          </w:tcPr>
          <w:p w14:paraId="6D4890CD"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3E7F50C" w14:textId="77777777" w:rsidR="00577D08" w:rsidRDefault="00330FC0">
            <w:pPr>
              <w:jc w:val="right"/>
            </w:pPr>
            <w:r>
              <w:t xml:space="preserve"> 4,535,173.00 </w:t>
            </w:r>
          </w:p>
        </w:tc>
        <w:tc>
          <w:tcPr>
            <w:tcW w:w="2018" w:type="dxa"/>
            <w:tcBorders>
              <w:top w:val="outset" w:sz="4" w:space="0" w:color="auto"/>
              <w:left w:val="outset" w:sz="4" w:space="0" w:color="auto"/>
              <w:bottom w:val="outset" w:sz="4" w:space="0" w:color="auto"/>
              <w:right w:val="outset" w:sz="4" w:space="0" w:color="auto"/>
            </w:tcBorders>
            <w:vAlign w:val="center"/>
          </w:tcPr>
          <w:p w14:paraId="44B0887A" w14:textId="77777777" w:rsidR="00577D08" w:rsidRDefault="00330FC0">
            <w:pPr>
              <w:jc w:val="right"/>
            </w:pPr>
            <w:r>
              <w:t>10,196,009.31</w:t>
            </w:r>
          </w:p>
        </w:tc>
      </w:tr>
      <w:tr w:rsidR="00577D08" w14:paraId="4B300CE6" w14:textId="77777777">
        <w:tc>
          <w:tcPr>
            <w:tcW w:w="3507" w:type="dxa"/>
            <w:tcBorders>
              <w:top w:val="outset" w:sz="4" w:space="0" w:color="auto"/>
              <w:left w:val="outset" w:sz="4" w:space="0" w:color="auto"/>
              <w:bottom w:val="outset" w:sz="4" w:space="0" w:color="auto"/>
              <w:right w:val="outset" w:sz="4" w:space="0" w:color="auto"/>
            </w:tcBorders>
            <w:vAlign w:val="center"/>
          </w:tcPr>
          <w:p w14:paraId="513FE3BF" w14:textId="77777777" w:rsidR="00577D08" w:rsidRDefault="00330FC0">
            <w:r>
              <w:rPr>
                <w:rFonts w:hint="eastAsia"/>
              </w:rPr>
              <w:t>六、其他综合收益的税后净额</w:t>
            </w:r>
          </w:p>
        </w:tc>
        <w:tc>
          <w:tcPr>
            <w:tcW w:w="1516" w:type="dxa"/>
            <w:tcBorders>
              <w:top w:val="outset" w:sz="4" w:space="0" w:color="auto"/>
              <w:left w:val="outset" w:sz="4" w:space="0" w:color="auto"/>
              <w:bottom w:val="outset" w:sz="4" w:space="0" w:color="auto"/>
              <w:right w:val="outset" w:sz="4" w:space="0" w:color="auto"/>
            </w:tcBorders>
          </w:tcPr>
          <w:p w14:paraId="1B10E477" w14:textId="77777777" w:rsidR="00577D08" w:rsidRDefault="00330FC0">
            <w:r>
              <w:rPr>
                <w:rFonts w:hint="eastAsia"/>
              </w:rPr>
              <w:t>七、</w:t>
            </w:r>
            <w:r>
              <w:rPr>
                <w:rFonts w:hint="eastAsia"/>
              </w:rPr>
              <w:t>77</w:t>
            </w:r>
          </w:p>
        </w:tc>
        <w:tc>
          <w:tcPr>
            <w:tcW w:w="2008" w:type="dxa"/>
            <w:tcBorders>
              <w:top w:val="outset" w:sz="4" w:space="0" w:color="auto"/>
              <w:left w:val="outset" w:sz="4" w:space="0" w:color="auto"/>
              <w:bottom w:val="outset" w:sz="4" w:space="0" w:color="auto"/>
              <w:right w:val="outset" w:sz="4" w:space="0" w:color="auto"/>
            </w:tcBorders>
            <w:vAlign w:val="center"/>
          </w:tcPr>
          <w:p w14:paraId="7219670B" w14:textId="77777777" w:rsidR="00577D08" w:rsidRDefault="00330FC0">
            <w:pPr>
              <w:jc w:val="right"/>
            </w:pPr>
            <w:r>
              <w:t xml:space="preserve"> -921,981.06 </w:t>
            </w:r>
          </w:p>
        </w:tc>
        <w:tc>
          <w:tcPr>
            <w:tcW w:w="2018" w:type="dxa"/>
            <w:tcBorders>
              <w:top w:val="outset" w:sz="4" w:space="0" w:color="auto"/>
              <w:left w:val="outset" w:sz="4" w:space="0" w:color="auto"/>
              <w:bottom w:val="outset" w:sz="4" w:space="0" w:color="auto"/>
              <w:right w:val="outset" w:sz="4" w:space="0" w:color="auto"/>
            </w:tcBorders>
            <w:vAlign w:val="center"/>
          </w:tcPr>
          <w:p w14:paraId="53930B94" w14:textId="77777777" w:rsidR="00577D08" w:rsidRDefault="00330FC0">
            <w:pPr>
              <w:jc w:val="right"/>
            </w:pPr>
            <w:r>
              <w:t>2,535,447.93</w:t>
            </w:r>
          </w:p>
        </w:tc>
      </w:tr>
      <w:tr w:rsidR="00577D08" w14:paraId="5793DAA4" w14:textId="77777777">
        <w:tc>
          <w:tcPr>
            <w:tcW w:w="3507" w:type="dxa"/>
            <w:tcBorders>
              <w:top w:val="outset" w:sz="4" w:space="0" w:color="auto"/>
              <w:left w:val="outset" w:sz="4" w:space="0" w:color="auto"/>
              <w:bottom w:val="outset" w:sz="4" w:space="0" w:color="auto"/>
              <w:right w:val="outset" w:sz="4" w:space="0" w:color="auto"/>
            </w:tcBorders>
            <w:vAlign w:val="center"/>
          </w:tcPr>
          <w:p w14:paraId="0D6BAF1F" w14:textId="77777777" w:rsidR="00577D08" w:rsidRDefault="00330FC0">
            <w:pPr>
              <w:ind w:firstLineChars="100" w:firstLine="210"/>
            </w:pPr>
            <w:r>
              <w:rPr>
                <w:rFonts w:hint="eastAsia"/>
              </w:rPr>
              <w:t>（一）归属母公司所有者的其他综合收益的税后净额</w:t>
            </w:r>
          </w:p>
        </w:tc>
        <w:tc>
          <w:tcPr>
            <w:tcW w:w="1516" w:type="dxa"/>
            <w:tcBorders>
              <w:top w:val="outset" w:sz="4" w:space="0" w:color="auto"/>
              <w:left w:val="outset" w:sz="4" w:space="0" w:color="auto"/>
              <w:bottom w:val="outset" w:sz="4" w:space="0" w:color="auto"/>
              <w:right w:val="outset" w:sz="4" w:space="0" w:color="auto"/>
            </w:tcBorders>
          </w:tcPr>
          <w:p w14:paraId="7729EA63"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E11C5AA" w14:textId="77777777" w:rsidR="00577D08" w:rsidRDefault="00330FC0">
            <w:pPr>
              <w:jc w:val="right"/>
            </w:pPr>
            <w:r>
              <w:t xml:space="preserve"> -1,003,663.26 </w:t>
            </w:r>
          </w:p>
        </w:tc>
        <w:tc>
          <w:tcPr>
            <w:tcW w:w="2018" w:type="dxa"/>
            <w:tcBorders>
              <w:top w:val="outset" w:sz="4" w:space="0" w:color="auto"/>
              <w:left w:val="outset" w:sz="4" w:space="0" w:color="auto"/>
              <w:bottom w:val="outset" w:sz="4" w:space="0" w:color="auto"/>
              <w:right w:val="outset" w:sz="4" w:space="0" w:color="auto"/>
            </w:tcBorders>
            <w:vAlign w:val="center"/>
          </w:tcPr>
          <w:p w14:paraId="2AD8BB3D" w14:textId="77777777" w:rsidR="00577D08" w:rsidRDefault="00330FC0">
            <w:pPr>
              <w:jc w:val="right"/>
            </w:pPr>
            <w:r>
              <w:t>2,027,597.71</w:t>
            </w:r>
          </w:p>
        </w:tc>
      </w:tr>
      <w:tr w:rsidR="00577D08" w14:paraId="5F7C55ED" w14:textId="77777777">
        <w:tc>
          <w:tcPr>
            <w:tcW w:w="3507" w:type="dxa"/>
            <w:tcBorders>
              <w:top w:val="outset" w:sz="4" w:space="0" w:color="auto"/>
              <w:left w:val="outset" w:sz="4" w:space="0" w:color="auto"/>
              <w:bottom w:val="outset" w:sz="4" w:space="0" w:color="auto"/>
              <w:right w:val="outset" w:sz="4" w:space="0" w:color="auto"/>
            </w:tcBorders>
            <w:vAlign w:val="center"/>
          </w:tcPr>
          <w:p w14:paraId="5E37AA5B" w14:textId="77777777" w:rsidR="00577D08" w:rsidRDefault="00330FC0">
            <w:pPr>
              <w:ind w:firstLineChars="200" w:firstLine="420"/>
            </w:pPr>
            <w:r>
              <w:t>1</w:t>
            </w:r>
            <w:r>
              <w:rPr>
                <w:rFonts w:hint="eastAsia"/>
              </w:rPr>
              <w:t>．不能重分类进损益的其他综合收益</w:t>
            </w:r>
          </w:p>
        </w:tc>
        <w:tc>
          <w:tcPr>
            <w:tcW w:w="1516" w:type="dxa"/>
            <w:tcBorders>
              <w:top w:val="outset" w:sz="4" w:space="0" w:color="auto"/>
              <w:left w:val="outset" w:sz="4" w:space="0" w:color="auto"/>
              <w:bottom w:val="outset" w:sz="4" w:space="0" w:color="auto"/>
              <w:right w:val="outset" w:sz="4" w:space="0" w:color="auto"/>
            </w:tcBorders>
          </w:tcPr>
          <w:p w14:paraId="188F4AAA"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4C301AEC" w14:textId="77777777" w:rsidR="00577D08" w:rsidRDefault="00330FC0">
            <w:pPr>
              <w:jc w:val="right"/>
            </w:pPr>
            <w:r>
              <w:t xml:space="preserve"> -1,003,663.26 </w:t>
            </w:r>
          </w:p>
        </w:tc>
        <w:tc>
          <w:tcPr>
            <w:tcW w:w="2018" w:type="dxa"/>
            <w:tcBorders>
              <w:top w:val="outset" w:sz="4" w:space="0" w:color="auto"/>
              <w:left w:val="outset" w:sz="4" w:space="0" w:color="auto"/>
              <w:bottom w:val="outset" w:sz="4" w:space="0" w:color="auto"/>
              <w:right w:val="outset" w:sz="4" w:space="0" w:color="auto"/>
            </w:tcBorders>
            <w:vAlign w:val="center"/>
          </w:tcPr>
          <w:p w14:paraId="6C85AE4B" w14:textId="77777777" w:rsidR="00577D08" w:rsidRDefault="00330FC0">
            <w:pPr>
              <w:jc w:val="right"/>
            </w:pPr>
            <w:r>
              <w:t>2,027,597.71</w:t>
            </w:r>
          </w:p>
        </w:tc>
      </w:tr>
      <w:tr w:rsidR="00577D08" w14:paraId="6CC328B3" w14:textId="77777777">
        <w:tc>
          <w:tcPr>
            <w:tcW w:w="3507" w:type="dxa"/>
            <w:tcBorders>
              <w:top w:val="outset" w:sz="4" w:space="0" w:color="auto"/>
              <w:left w:val="outset" w:sz="4" w:space="0" w:color="auto"/>
              <w:bottom w:val="outset" w:sz="4" w:space="0" w:color="auto"/>
              <w:right w:val="outset" w:sz="4" w:space="0" w:color="auto"/>
            </w:tcBorders>
            <w:vAlign w:val="center"/>
          </w:tcPr>
          <w:p w14:paraId="3FF9477B" w14:textId="77777777" w:rsidR="00577D08" w:rsidRDefault="00330FC0">
            <w:pPr>
              <w:ind w:firstLineChars="100" w:firstLine="210"/>
            </w:pPr>
            <w:r>
              <w:rPr>
                <w:rFonts w:hint="eastAsia"/>
              </w:rPr>
              <w:t>（</w:t>
            </w:r>
            <w:r>
              <w:rPr>
                <w:rFonts w:hint="eastAsia"/>
              </w:rPr>
              <w:t>1</w:t>
            </w:r>
            <w:r>
              <w:rPr>
                <w:rFonts w:hint="eastAsia"/>
              </w:rPr>
              <w:t>）</w:t>
            </w:r>
            <w:r>
              <w:t>重新计量设定受益计划变动额</w:t>
            </w:r>
          </w:p>
        </w:tc>
        <w:tc>
          <w:tcPr>
            <w:tcW w:w="1516" w:type="dxa"/>
            <w:tcBorders>
              <w:top w:val="outset" w:sz="4" w:space="0" w:color="auto"/>
              <w:left w:val="outset" w:sz="4" w:space="0" w:color="auto"/>
              <w:bottom w:val="outset" w:sz="4" w:space="0" w:color="auto"/>
              <w:right w:val="outset" w:sz="4" w:space="0" w:color="auto"/>
            </w:tcBorders>
          </w:tcPr>
          <w:p w14:paraId="5938001D"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4694ED9"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702AD67" w14:textId="77777777" w:rsidR="00577D08" w:rsidRDefault="00577D08">
            <w:pPr>
              <w:jc w:val="right"/>
            </w:pPr>
          </w:p>
        </w:tc>
      </w:tr>
      <w:tr w:rsidR="00577D08" w14:paraId="38619E10" w14:textId="77777777">
        <w:tc>
          <w:tcPr>
            <w:tcW w:w="3507" w:type="dxa"/>
            <w:tcBorders>
              <w:top w:val="outset" w:sz="4" w:space="0" w:color="auto"/>
              <w:left w:val="outset" w:sz="4" w:space="0" w:color="auto"/>
              <w:bottom w:val="outset" w:sz="4" w:space="0" w:color="auto"/>
              <w:right w:val="outset" w:sz="4" w:space="0" w:color="auto"/>
            </w:tcBorders>
            <w:vAlign w:val="center"/>
          </w:tcPr>
          <w:p w14:paraId="15FD4487" w14:textId="77777777" w:rsidR="00577D08" w:rsidRDefault="00330FC0">
            <w:pPr>
              <w:ind w:firstLineChars="100" w:firstLine="210"/>
            </w:pPr>
            <w:r>
              <w:rPr>
                <w:rFonts w:hint="eastAsia"/>
              </w:rPr>
              <w:lastRenderedPageBreak/>
              <w:t>（</w:t>
            </w:r>
            <w:r>
              <w:rPr>
                <w:rFonts w:hint="eastAsia"/>
              </w:rPr>
              <w:t>2</w:t>
            </w:r>
            <w:r>
              <w:rPr>
                <w:rFonts w:hint="eastAsia"/>
              </w:rPr>
              <w:t>）</w:t>
            </w:r>
            <w:r>
              <w:t>权益法下不能转损益的其他综合收益</w:t>
            </w:r>
          </w:p>
        </w:tc>
        <w:tc>
          <w:tcPr>
            <w:tcW w:w="1516" w:type="dxa"/>
            <w:tcBorders>
              <w:top w:val="outset" w:sz="4" w:space="0" w:color="auto"/>
              <w:left w:val="outset" w:sz="4" w:space="0" w:color="auto"/>
              <w:bottom w:val="outset" w:sz="4" w:space="0" w:color="auto"/>
              <w:right w:val="outset" w:sz="4" w:space="0" w:color="auto"/>
            </w:tcBorders>
          </w:tcPr>
          <w:p w14:paraId="303ABF4B"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8C96853"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1B42E51" w14:textId="77777777" w:rsidR="00577D08" w:rsidRDefault="00577D08">
            <w:pPr>
              <w:jc w:val="right"/>
            </w:pPr>
          </w:p>
        </w:tc>
      </w:tr>
      <w:tr w:rsidR="00577D08" w14:paraId="62A0E46F" w14:textId="77777777">
        <w:tc>
          <w:tcPr>
            <w:tcW w:w="3507" w:type="dxa"/>
            <w:tcBorders>
              <w:top w:val="outset" w:sz="4" w:space="0" w:color="auto"/>
              <w:left w:val="outset" w:sz="4" w:space="0" w:color="auto"/>
              <w:bottom w:val="outset" w:sz="4" w:space="0" w:color="auto"/>
              <w:right w:val="outset" w:sz="4" w:space="0" w:color="auto"/>
            </w:tcBorders>
            <w:vAlign w:val="center"/>
          </w:tcPr>
          <w:p w14:paraId="13F98DFA" w14:textId="77777777" w:rsidR="00577D08" w:rsidRDefault="00330FC0">
            <w:pPr>
              <w:ind w:firstLineChars="100" w:firstLine="210"/>
            </w:pPr>
            <w:r>
              <w:rPr>
                <w:rFonts w:hint="eastAsia"/>
              </w:rPr>
              <w:t>（</w:t>
            </w:r>
            <w:r>
              <w:rPr>
                <w:rFonts w:hint="eastAsia"/>
              </w:rPr>
              <w:t>3</w:t>
            </w:r>
            <w:r>
              <w:rPr>
                <w:rFonts w:hint="eastAsia"/>
              </w:rPr>
              <w:t>）</w:t>
            </w:r>
            <w:r>
              <w:t>其他权益工具投资公允价值变动</w:t>
            </w:r>
          </w:p>
        </w:tc>
        <w:tc>
          <w:tcPr>
            <w:tcW w:w="1516" w:type="dxa"/>
            <w:tcBorders>
              <w:top w:val="outset" w:sz="4" w:space="0" w:color="auto"/>
              <w:left w:val="outset" w:sz="4" w:space="0" w:color="auto"/>
              <w:bottom w:val="outset" w:sz="4" w:space="0" w:color="auto"/>
              <w:right w:val="outset" w:sz="4" w:space="0" w:color="auto"/>
            </w:tcBorders>
          </w:tcPr>
          <w:p w14:paraId="67C87234"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0FD2328C" w14:textId="77777777" w:rsidR="00577D08" w:rsidRDefault="00330FC0">
            <w:pPr>
              <w:jc w:val="right"/>
            </w:pPr>
            <w:r>
              <w:t>-1,003,663.26</w:t>
            </w:r>
          </w:p>
        </w:tc>
        <w:tc>
          <w:tcPr>
            <w:tcW w:w="2018" w:type="dxa"/>
            <w:tcBorders>
              <w:top w:val="outset" w:sz="4" w:space="0" w:color="auto"/>
              <w:left w:val="outset" w:sz="4" w:space="0" w:color="auto"/>
              <w:bottom w:val="outset" w:sz="4" w:space="0" w:color="auto"/>
              <w:right w:val="outset" w:sz="4" w:space="0" w:color="auto"/>
            </w:tcBorders>
            <w:vAlign w:val="center"/>
          </w:tcPr>
          <w:p w14:paraId="0DE9EFCB" w14:textId="77777777" w:rsidR="00577D08" w:rsidRDefault="00330FC0">
            <w:pPr>
              <w:jc w:val="right"/>
            </w:pPr>
            <w:r>
              <w:t>2,027,597.71</w:t>
            </w:r>
          </w:p>
        </w:tc>
      </w:tr>
      <w:tr w:rsidR="00577D08" w14:paraId="707BF910" w14:textId="77777777">
        <w:tc>
          <w:tcPr>
            <w:tcW w:w="3507" w:type="dxa"/>
            <w:tcBorders>
              <w:top w:val="outset" w:sz="4" w:space="0" w:color="auto"/>
              <w:left w:val="outset" w:sz="4" w:space="0" w:color="auto"/>
              <w:bottom w:val="outset" w:sz="4" w:space="0" w:color="auto"/>
              <w:right w:val="outset" w:sz="4" w:space="0" w:color="auto"/>
            </w:tcBorders>
            <w:vAlign w:val="center"/>
          </w:tcPr>
          <w:p w14:paraId="51685E2D" w14:textId="77777777" w:rsidR="00577D08" w:rsidRDefault="00330FC0">
            <w:pPr>
              <w:ind w:firstLineChars="100" w:firstLine="210"/>
            </w:pPr>
            <w:r>
              <w:rPr>
                <w:rFonts w:hint="eastAsia"/>
              </w:rPr>
              <w:t>（</w:t>
            </w:r>
            <w:r>
              <w:rPr>
                <w:rFonts w:hint="eastAsia"/>
              </w:rPr>
              <w:t>4</w:t>
            </w:r>
            <w:r>
              <w:rPr>
                <w:rFonts w:hint="eastAsia"/>
              </w:rPr>
              <w:t>）</w:t>
            </w:r>
            <w:r>
              <w:t>企业自身信用风险公允价值变动</w:t>
            </w:r>
          </w:p>
        </w:tc>
        <w:tc>
          <w:tcPr>
            <w:tcW w:w="1516" w:type="dxa"/>
            <w:tcBorders>
              <w:top w:val="outset" w:sz="4" w:space="0" w:color="auto"/>
              <w:left w:val="outset" w:sz="4" w:space="0" w:color="auto"/>
              <w:bottom w:val="outset" w:sz="4" w:space="0" w:color="auto"/>
              <w:right w:val="outset" w:sz="4" w:space="0" w:color="auto"/>
            </w:tcBorders>
          </w:tcPr>
          <w:p w14:paraId="2BF1B4BF"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72AFD967"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F343256" w14:textId="77777777" w:rsidR="00577D08" w:rsidRDefault="00577D08">
            <w:pPr>
              <w:jc w:val="right"/>
            </w:pPr>
          </w:p>
        </w:tc>
      </w:tr>
      <w:tr w:rsidR="00577D08" w14:paraId="4981A966" w14:textId="77777777">
        <w:tc>
          <w:tcPr>
            <w:tcW w:w="3507" w:type="dxa"/>
            <w:tcBorders>
              <w:top w:val="outset" w:sz="4" w:space="0" w:color="auto"/>
              <w:left w:val="outset" w:sz="4" w:space="0" w:color="auto"/>
              <w:bottom w:val="outset" w:sz="4" w:space="0" w:color="auto"/>
              <w:right w:val="outset" w:sz="4" w:space="0" w:color="auto"/>
            </w:tcBorders>
            <w:vAlign w:val="center"/>
          </w:tcPr>
          <w:p w14:paraId="5F0EC343" w14:textId="77777777" w:rsidR="00577D08" w:rsidRDefault="00330FC0">
            <w:pPr>
              <w:ind w:firstLineChars="200" w:firstLine="420"/>
            </w:pPr>
            <w:r>
              <w:t>2</w:t>
            </w:r>
            <w:r>
              <w:rPr>
                <w:rFonts w:hint="eastAsia"/>
              </w:rPr>
              <w:t>．将重分类进损益的其他综合收益</w:t>
            </w:r>
          </w:p>
        </w:tc>
        <w:tc>
          <w:tcPr>
            <w:tcW w:w="1516" w:type="dxa"/>
            <w:tcBorders>
              <w:top w:val="outset" w:sz="4" w:space="0" w:color="auto"/>
              <w:left w:val="outset" w:sz="4" w:space="0" w:color="auto"/>
              <w:bottom w:val="outset" w:sz="4" w:space="0" w:color="auto"/>
              <w:right w:val="outset" w:sz="4" w:space="0" w:color="auto"/>
            </w:tcBorders>
          </w:tcPr>
          <w:p w14:paraId="5465C345"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F01176A"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7EC262F" w14:textId="77777777" w:rsidR="00577D08" w:rsidRDefault="00577D08">
            <w:pPr>
              <w:jc w:val="right"/>
            </w:pPr>
          </w:p>
        </w:tc>
      </w:tr>
      <w:tr w:rsidR="00577D08" w14:paraId="44233E85" w14:textId="77777777">
        <w:tc>
          <w:tcPr>
            <w:tcW w:w="3507" w:type="dxa"/>
            <w:tcBorders>
              <w:top w:val="outset" w:sz="4" w:space="0" w:color="auto"/>
              <w:left w:val="outset" w:sz="4" w:space="0" w:color="auto"/>
              <w:bottom w:val="outset" w:sz="4" w:space="0" w:color="auto"/>
              <w:right w:val="outset" w:sz="4" w:space="0" w:color="auto"/>
            </w:tcBorders>
            <w:vAlign w:val="center"/>
          </w:tcPr>
          <w:p w14:paraId="0E4C7D1B" w14:textId="77777777" w:rsidR="00577D08" w:rsidRDefault="00330FC0">
            <w:pPr>
              <w:ind w:firstLineChars="100" w:firstLine="210"/>
            </w:pPr>
            <w:r>
              <w:rPr>
                <w:rFonts w:hint="eastAsia"/>
              </w:rPr>
              <w:t>（</w:t>
            </w:r>
            <w:r>
              <w:rPr>
                <w:rFonts w:hint="eastAsia"/>
              </w:rPr>
              <w:t>1</w:t>
            </w:r>
            <w:r>
              <w:rPr>
                <w:rFonts w:hint="eastAsia"/>
              </w:rPr>
              <w:t>）</w:t>
            </w:r>
            <w:r>
              <w:t>权益法下可转损益的其他综合收益</w:t>
            </w:r>
          </w:p>
        </w:tc>
        <w:tc>
          <w:tcPr>
            <w:tcW w:w="1516" w:type="dxa"/>
            <w:tcBorders>
              <w:top w:val="outset" w:sz="4" w:space="0" w:color="auto"/>
              <w:left w:val="outset" w:sz="4" w:space="0" w:color="auto"/>
              <w:bottom w:val="outset" w:sz="4" w:space="0" w:color="auto"/>
              <w:right w:val="outset" w:sz="4" w:space="0" w:color="auto"/>
            </w:tcBorders>
          </w:tcPr>
          <w:p w14:paraId="2768407D"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657EC06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AA8ADE0" w14:textId="77777777" w:rsidR="00577D08" w:rsidRDefault="00577D08">
            <w:pPr>
              <w:jc w:val="right"/>
            </w:pPr>
          </w:p>
        </w:tc>
      </w:tr>
      <w:tr w:rsidR="00577D08" w14:paraId="2E20A309" w14:textId="77777777">
        <w:tc>
          <w:tcPr>
            <w:tcW w:w="3507" w:type="dxa"/>
            <w:tcBorders>
              <w:top w:val="outset" w:sz="4" w:space="0" w:color="auto"/>
              <w:left w:val="outset" w:sz="4" w:space="0" w:color="auto"/>
              <w:bottom w:val="outset" w:sz="4" w:space="0" w:color="auto"/>
              <w:right w:val="outset" w:sz="4" w:space="0" w:color="auto"/>
            </w:tcBorders>
            <w:vAlign w:val="center"/>
          </w:tcPr>
          <w:p w14:paraId="17224D7C" w14:textId="77777777" w:rsidR="00577D08" w:rsidRDefault="00330FC0">
            <w:pPr>
              <w:ind w:firstLineChars="100" w:firstLine="210"/>
            </w:pPr>
            <w:r>
              <w:rPr>
                <w:rFonts w:hint="eastAsia"/>
              </w:rPr>
              <w:t>（</w:t>
            </w:r>
            <w:r>
              <w:rPr>
                <w:rFonts w:hint="eastAsia"/>
              </w:rPr>
              <w:t>2</w:t>
            </w:r>
            <w:r>
              <w:rPr>
                <w:rFonts w:hint="eastAsia"/>
              </w:rPr>
              <w:t>）</w:t>
            </w:r>
            <w:r>
              <w:t>其他债权投资公允价值变动</w:t>
            </w:r>
          </w:p>
        </w:tc>
        <w:tc>
          <w:tcPr>
            <w:tcW w:w="1516" w:type="dxa"/>
            <w:tcBorders>
              <w:top w:val="outset" w:sz="4" w:space="0" w:color="auto"/>
              <w:left w:val="outset" w:sz="4" w:space="0" w:color="auto"/>
              <w:bottom w:val="outset" w:sz="4" w:space="0" w:color="auto"/>
              <w:right w:val="outset" w:sz="4" w:space="0" w:color="auto"/>
            </w:tcBorders>
          </w:tcPr>
          <w:p w14:paraId="1A03475F"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0AD5B945"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431308E" w14:textId="77777777" w:rsidR="00577D08" w:rsidRDefault="00577D08">
            <w:pPr>
              <w:jc w:val="right"/>
            </w:pPr>
          </w:p>
        </w:tc>
      </w:tr>
      <w:tr w:rsidR="00577D08" w14:paraId="7746EDCC" w14:textId="77777777">
        <w:tc>
          <w:tcPr>
            <w:tcW w:w="3507" w:type="dxa"/>
            <w:tcBorders>
              <w:top w:val="outset" w:sz="4" w:space="0" w:color="auto"/>
              <w:left w:val="outset" w:sz="4" w:space="0" w:color="auto"/>
              <w:bottom w:val="outset" w:sz="4" w:space="0" w:color="auto"/>
              <w:right w:val="outset" w:sz="4" w:space="0" w:color="auto"/>
            </w:tcBorders>
            <w:vAlign w:val="center"/>
          </w:tcPr>
          <w:p w14:paraId="351B55E1" w14:textId="77777777" w:rsidR="00577D08" w:rsidRDefault="00330FC0">
            <w:pPr>
              <w:ind w:firstLineChars="100" w:firstLine="210"/>
            </w:pPr>
            <w:r>
              <w:rPr>
                <w:rFonts w:hint="eastAsia"/>
              </w:rPr>
              <w:t>（</w:t>
            </w:r>
            <w:r>
              <w:rPr>
                <w:rFonts w:hint="eastAsia"/>
              </w:rPr>
              <w:t>3</w:t>
            </w:r>
            <w:r>
              <w:rPr>
                <w:rFonts w:hint="eastAsia"/>
              </w:rPr>
              <w:t>）</w:t>
            </w:r>
            <w:r>
              <w:t>金融资产重分类计入其他综合收益的金额</w:t>
            </w:r>
          </w:p>
        </w:tc>
        <w:tc>
          <w:tcPr>
            <w:tcW w:w="1516" w:type="dxa"/>
            <w:tcBorders>
              <w:top w:val="outset" w:sz="4" w:space="0" w:color="auto"/>
              <w:left w:val="outset" w:sz="4" w:space="0" w:color="auto"/>
              <w:bottom w:val="outset" w:sz="4" w:space="0" w:color="auto"/>
              <w:right w:val="outset" w:sz="4" w:space="0" w:color="auto"/>
            </w:tcBorders>
          </w:tcPr>
          <w:p w14:paraId="74BA68C2"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2E51DA61"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1533977A" w14:textId="77777777" w:rsidR="00577D08" w:rsidRDefault="00577D08">
            <w:pPr>
              <w:jc w:val="right"/>
            </w:pPr>
          </w:p>
        </w:tc>
      </w:tr>
      <w:tr w:rsidR="00577D08" w14:paraId="5E8B963C" w14:textId="77777777">
        <w:tc>
          <w:tcPr>
            <w:tcW w:w="3507" w:type="dxa"/>
            <w:tcBorders>
              <w:top w:val="outset" w:sz="4" w:space="0" w:color="auto"/>
              <w:left w:val="outset" w:sz="4" w:space="0" w:color="auto"/>
              <w:bottom w:val="outset" w:sz="4" w:space="0" w:color="auto"/>
              <w:right w:val="outset" w:sz="4" w:space="0" w:color="auto"/>
            </w:tcBorders>
            <w:vAlign w:val="center"/>
          </w:tcPr>
          <w:p w14:paraId="771D9A13" w14:textId="77777777" w:rsidR="00577D08" w:rsidRDefault="00330FC0">
            <w:pPr>
              <w:ind w:firstLineChars="100" w:firstLine="210"/>
            </w:pPr>
            <w:r>
              <w:rPr>
                <w:rFonts w:hint="eastAsia"/>
              </w:rPr>
              <w:t>（</w:t>
            </w:r>
            <w:r>
              <w:rPr>
                <w:rFonts w:hint="eastAsia"/>
              </w:rPr>
              <w:t>4</w:t>
            </w:r>
            <w:r>
              <w:rPr>
                <w:rFonts w:hint="eastAsia"/>
              </w:rPr>
              <w:t>）</w:t>
            </w:r>
            <w:r>
              <w:t>其他债权投资信用减值准备</w:t>
            </w:r>
          </w:p>
        </w:tc>
        <w:tc>
          <w:tcPr>
            <w:tcW w:w="1516" w:type="dxa"/>
            <w:tcBorders>
              <w:top w:val="outset" w:sz="4" w:space="0" w:color="auto"/>
              <w:left w:val="outset" w:sz="4" w:space="0" w:color="auto"/>
              <w:bottom w:val="outset" w:sz="4" w:space="0" w:color="auto"/>
              <w:right w:val="outset" w:sz="4" w:space="0" w:color="auto"/>
            </w:tcBorders>
          </w:tcPr>
          <w:p w14:paraId="45ACCB8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109DBC8"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2414F4A" w14:textId="77777777" w:rsidR="00577D08" w:rsidRDefault="00577D08">
            <w:pPr>
              <w:jc w:val="right"/>
            </w:pPr>
          </w:p>
        </w:tc>
      </w:tr>
      <w:tr w:rsidR="00577D08" w14:paraId="49B5581D" w14:textId="77777777">
        <w:tc>
          <w:tcPr>
            <w:tcW w:w="3507" w:type="dxa"/>
            <w:tcBorders>
              <w:top w:val="outset" w:sz="4" w:space="0" w:color="auto"/>
              <w:left w:val="outset" w:sz="4" w:space="0" w:color="auto"/>
              <w:bottom w:val="outset" w:sz="4" w:space="0" w:color="auto"/>
              <w:right w:val="outset" w:sz="4" w:space="0" w:color="auto"/>
            </w:tcBorders>
            <w:vAlign w:val="center"/>
          </w:tcPr>
          <w:p w14:paraId="2C0F5929" w14:textId="77777777" w:rsidR="00577D08" w:rsidRDefault="00330FC0">
            <w:pPr>
              <w:ind w:firstLineChars="100" w:firstLine="210"/>
            </w:pPr>
            <w:r>
              <w:rPr>
                <w:rFonts w:hint="eastAsia"/>
              </w:rPr>
              <w:t>（</w:t>
            </w:r>
            <w:r>
              <w:rPr>
                <w:rFonts w:hint="eastAsia"/>
              </w:rPr>
              <w:t>5</w:t>
            </w:r>
            <w:r>
              <w:rPr>
                <w:rFonts w:hint="eastAsia"/>
              </w:rPr>
              <w:t>）</w:t>
            </w:r>
            <w:r>
              <w:t>现金流量套期储备</w:t>
            </w:r>
          </w:p>
        </w:tc>
        <w:tc>
          <w:tcPr>
            <w:tcW w:w="1516" w:type="dxa"/>
            <w:tcBorders>
              <w:top w:val="outset" w:sz="4" w:space="0" w:color="auto"/>
              <w:left w:val="outset" w:sz="4" w:space="0" w:color="auto"/>
              <w:bottom w:val="outset" w:sz="4" w:space="0" w:color="auto"/>
              <w:right w:val="outset" w:sz="4" w:space="0" w:color="auto"/>
            </w:tcBorders>
          </w:tcPr>
          <w:p w14:paraId="63DC39C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2A291B8"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1BCF951" w14:textId="77777777" w:rsidR="00577D08" w:rsidRDefault="00577D08">
            <w:pPr>
              <w:jc w:val="right"/>
            </w:pPr>
          </w:p>
        </w:tc>
      </w:tr>
      <w:tr w:rsidR="00577D08" w14:paraId="0993A5DD" w14:textId="77777777">
        <w:tc>
          <w:tcPr>
            <w:tcW w:w="3507" w:type="dxa"/>
            <w:tcBorders>
              <w:top w:val="outset" w:sz="4" w:space="0" w:color="auto"/>
              <w:left w:val="outset" w:sz="4" w:space="0" w:color="auto"/>
              <w:bottom w:val="outset" w:sz="4" w:space="0" w:color="auto"/>
              <w:right w:val="outset" w:sz="4" w:space="0" w:color="auto"/>
            </w:tcBorders>
            <w:vAlign w:val="center"/>
          </w:tcPr>
          <w:p w14:paraId="4D023983" w14:textId="77777777" w:rsidR="00577D08" w:rsidRDefault="00330FC0">
            <w:pPr>
              <w:ind w:firstLineChars="100" w:firstLine="210"/>
            </w:pPr>
            <w:r>
              <w:rPr>
                <w:rFonts w:hint="eastAsia"/>
              </w:rPr>
              <w:t>（</w:t>
            </w:r>
            <w:r>
              <w:rPr>
                <w:rFonts w:hint="eastAsia"/>
              </w:rPr>
              <w:t>6</w:t>
            </w:r>
            <w:r>
              <w:rPr>
                <w:rFonts w:hint="eastAsia"/>
              </w:rPr>
              <w:t>）</w:t>
            </w:r>
            <w:r>
              <w:t>外币财务报表折算差额</w:t>
            </w:r>
          </w:p>
        </w:tc>
        <w:tc>
          <w:tcPr>
            <w:tcW w:w="1516" w:type="dxa"/>
            <w:tcBorders>
              <w:top w:val="outset" w:sz="4" w:space="0" w:color="auto"/>
              <w:left w:val="outset" w:sz="4" w:space="0" w:color="auto"/>
              <w:bottom w:val="outset" w:sz="4" w:space="0" w:color="auto"/>
              <w:right w:val="outset" w:sz="4" w:space="0" w:color="auto"/>
            </w:tcBorders>
          </w:tcPr>
          <w:p w14:paraId="6965336C"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6A72B875"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E1B54DE" w14:textId="77777777" w:rsidR="00577D08" w:rsidRDefault="00577D08">
            <w:pPr>
              <w:jc w:val="right"/>
            </w:pPr>
          </w:p>
        </w:tc>
      </w:tr>
      <w:tr w:rsidR="00577D08" w14:paraId="1074D8B1" w14:textId="77777777">
        <w:tc>
          <w:tcPr>
            <w:tcW w:w="3507" w:type="dxa"/>
            <w:tcBorders>
              <w:top w:val="outset" w:sz="4" w:space="0" w:color="auto"/>
              <w:left w:val="outset" w:sz="4" w:space="0" w:color="auto"/>
              <w:bottom w:val="outset" w:sz="4" w:space="0" w:color="auto"/>
              <w:right w:val="outset" w:sz="4" w:space="0" w:color="auto"/>
            </w:tcBorders>
            <w:vAlign w:val="center"/>
          </w:tcPr>
          <w:p w14:paraId="004EC144" w14:textId="77777777" w:rsidR="00577D08" w:rsidRDefault="00330FC0">
            <w:pPr>
              <w:ind w:firstLineChars="100" w:firstLine="210"/>
            </w:pPr>
            <w:r>
              <w:rPr>
                <w:rFonts w:hint="eastAsia"/>
              </w:rPr>
              <w:t>（</w:t>
            </w:r>
            <w:r>
              <w:rPr>
                <w:rFonts w:hint="eastAsia"/>
              </w:rPr>
              <w:t>7</w:t>
            </w:r>
            <w:r>
              <w:rPr>
                <w:rFonts w:hint="eastAsia"/>
              </w:rPr>
              <w:t>）</w:t>
            </w:r>
            <w:r>
              <w:t>其他</w:t>
            </w:r>
          </w:p>
        </w:tc>
        <w:tc>
          <w:tcPr>
            <w:tcW w:w="1516" w:type="dxa"/>
            <w:tcBorders>
              <w:top w:val="outset" w:sz="4" w:space="0" w:color="auto"/>
              <w:left w:val="outset" w:sz="4" w:space="0" w:color="auto"/>
              <w:bottom w:val="outset" w:sz="4" w:space="0" w:color="auto"/>
              <w:right w:val="outset" w:sz="4" w:space="0" w:color="auto"/>
            </w:tcBorders>
          </w:tcPr>
          <w:p w14:paraId="68590719"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3A72292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8A22BBD" w14:textId="77777777" w:rsidR="00577D08" w:rsidRDefault="00577D08">
            <w:pPr>
              <w:jc w:val="right"/>
            </w:pPr>
          </w:p>
        </w:tc>
      </w:tr>
      <w:tr w:rsidR="00577D08" w14:paraId="6482C3ED" w14:textId="77777777">
        <w:tc>
          <w:tcPr>
            <w:tcW w:w="3507" w:type="dxa"/>
            <w:tcBorders>
              <w:top w:val="outset" w:sz="4" w:space="0" w:color="auto"/>
              <w:left w:val="outset" w:sz="4" w:space="0" w:color="auto"/>
              <w:bottom w:val="outset" w:sz="4" w:space="0" w:color="auto"/>
              <w:right w:val="outset" w:sz="4" w:space="0" w:color="auto"/>
            </w:tcBorders>
            <w:vAlign w:val="center"/>
          </w:tcPr>
          <w:p w14:paraId="6DA9A868" w14:textId="77777777" w:rsidR="00577D08" w:rsidRDefault="00330FC0">
            <w:pPr>
              <w:ind w:firstLineChars="100" w:firstLine="210"/>
            </w:pPr>
            <w:r>
              <w:t>（二）</w:t>
            </w:r>
            <w:r>
              <w:rPr>
                <w:rFonts w:hint="eastAsia"/>
              </w:rPr>
              <w:t>归属于少数股东的其他综合收益的税后净额</w:t>
            </w:r>
          </w:p>
        </w:tc>
        <w:tc>
          <w:tcPr>
            <w:tcW w:w="1516" w:type="dxa"/>
            <w:tcBorders>
              <w:top w:val="outset" w:sz="4" w:space="0" w:color="auto"/>
              <w:left w:val="outset" w:sz="4" w:space="0" w:color="auto"/>
              <w:bottom w:val="outset" w:sz="4" w:space="0" w:color="auto"/>
              <w:right w:val="outset" w:sz="4" w:space="0" w:color="auto"/>
            </w:tcBorders>
          </w:tcPr>
          <w:p w14:paraId="20AEA122"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666858DC" w14:textId="77777777" w:rsidR="00577D08" w:rsidRDefault="00330FC0">
            <w:pPr>
              <w:jc w:val="right"/>
            </w:pPr>
            <w:r>
              <w:t xml:space="preserve"> 81,682.20 </w:t>
            </w:r>
          </w:p>
        </w:tc>
        <w:tc>
          <w:tcPr>
            <w:tcW w:w="2018" w:type="dxa"/>
            <w:tcBorders>
              <w:top w:val="outset" w:sz="4" w:space="0" w:color="auto"/>
              <w:left w:val="outset" w:sz="4" w:space="0" w:color="auto"/>
              <w:bottom w:val="outset" w:sz="4" w:space="0" w:color="auto"/>
              <w:right w:val="outset" w:sz="4" w:space="0" w:color="auto"/>
            </w:tcBorders>
            <w:vAlign w:val="center"/>
          </w:tcPr>
          <w:p w14:paraId="4C25E303" w14:textId="77777777" w:rsidR="00577D08" w:rsidRDefault="00330FC0">
            <w:pPr>
              <w:jc w:val="right"/>
            </w:pPr>
            <w:r>
              <w:t>507,850.22</w:t>
            </w:r>
          </w:p>
        </w:tc>
      </w:tr>
      <w:tr w:rsidR="00577D08" w14:paraId="0C122058" w14:textId="77777777">
        <w:tc>
          <w:tcPr>
            <w:tcW w:w="3507" w:type="dxa"/>
            <w:tcBorders>
              <w:top w:val="outset" w:sz="4" w:space="0" w:color="auto"/>
              <w:left w:val="outset" w:sz="4" w:space="0" w:color="auto"/>
              <w:bottom w:val="outset" w:sz="4" w:space="0" w:color="auto"/>
              <w:right w:val="outset" w:sz="4" w:space="0" w:color="auto"/>
            </w:tcBorders>
            <w:vAlign w:val="center"/>
          </w:tcPr>
          <w:p w14:paraId="07A35323" w14:textId="77777777" w:rsidR="00577D08" w:rsidRDefault="00330FC0">
            <w:r>
              <w:rPr>
                <w:rFonts w:hint="eastAsia"/>
              </w:rPr>
              <w:t>七、综合收益总额</w:t>
            </w:r>
          </w:p>
        </w:tc>
        <w:tc>
          <w:tcPr>
            <w:tcW w:w="1516" w:type="dxa"/>
            <w:tcBorders>
              <w:top w:val="outset" w:sz="4" w:space="0" w:color="auto"/>
              <w:left w:val="outset" w:sz="4" w:space="0" w:color="auto"/>
              <w:bottom w:val="outset" w:sz="4" w:space="0" w:color="auto"/>
              <w:right w:val="outset" w:sz="4" w:space="0" w:color="auto"/>
            </w:tcBorders>
          </w:tcPr>
          <w:p w14:paraId="1FB918B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AF6FF40" w14:textId="77777777" w:rsidR="00577D08" w:rsidRDefault="00330FC0">
            <w:pPr>
              <w:jc w:val="right"/>
            </w:pPr>
            <w:r>
              <w:t xml:space="preserve"> 72,856,411.67 </w:t>
            </w:r>
          </w:p>
        </w:tc>
        <w:tc>
          <w:tcPr>
            <w:tcW w:w="2018" w:type="dxa"/>
            <w:tcBorders>
              <w:top w:val="outset" w:sz="4" w:space="0" w:color="auto"/>
              <w:left w:val="outset" w:sz="4" w:space="0" w:color="auto"/>
              <w:bottom w:val="outset" w:sz="4" w:space="0" w:color="auto"/>
              <w:right w:val="outset" w:sz="4" w:space="0" w:color="auto"/>
            </w:tcBorders>
            <w:vAlign w:val="center"/>
          </w:tcPr>
          <w:p w14:paraId="10AB0601" w14:textId="77777777" w:rsidR="00577D08" w:rsidRDefault="00330FC0">
            <w:pPr>
              <w:jc w:val="right"/>
            </w:pPr>
            <w:r>
              <w:t>77,897,929.69</w:t>
            </w:r>
          </w:p>
        </w:tc>
      </w:tr>
      <w:tr w:rsidR="00577D08" w14:paraId="2D909175" w14:textId="77777777">
        <w:tc>
          <w:tcPr>
            <w:tcW w:w="3507" w:type="dxa"/>
            <w:tcBorders>
              <w:top w:val="outset" w:sz="4" w:space="0" w:color="auto"/>
              <w:left w:val="outset" w:sz="4" w:space="0" w:color="auto"/>
              <w:bottom w:val="outset" w:sz="4" w:space="0" w:color="auto"/>
              <w:right w:val="outset" w:sz="4" w:space="0" w:color="auto"/>
            </w:tcBorders>
            <w:vAlign w:val="center"/>
          </w:tcPr>
          <w:p w14:paraId="2E6F8A7D" w14:textId="77777777" w:rsidR="00577D08" w:rsidRDefault="00330FC0">
            <w:pPr>
              <w:ind w:firstLineChars="100" w:firstLine="210"/>
            </w:pPr>
            <w:r>
              <w:t>（一）</w:t>
            </w:r>
            <w:r>
              <w:rPr>
                <w:rFonts w:hint="eastAsia"/>
              </w:rPr>
              <w:t>归属于母公司所有者的综合收益总额</w:t>
            </w:r>
          </w:p>
        </w:tc>
        <w:tc>
          <w:tcPr>
            <w:tcW w:w="1516" w:type="dxa"/>
            <w:tcBorders>
              <w:top w:val="outset" w:sz="4" w:space="0" w:color="auto"/>
              <w:left w:val="outset" w:sz="4" w:space="0" w:color="auto"/>
              <w:bottom w:val="outset" w:sz="4" w:space="0" w:color="auto"/>
              <w:right w:val="outset" w:sz="4" w:space="0" w:color="auto"/>
            </w:tcBorders>
          </w:tcPr>
          <w:p w14:paraId="0820B1EF"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6956CD1A" w14:textId="77777777" w:rsidR="00577D08" w:rsidRDefault="00330FC0">
            <w:pPr>
              <w:jc w:val="right"/>
            </w:pPr>
            <w:r>
              <w:t xml:space="preserve"> 68,239,556.47 </w:t>
            </w:r>
          </w:p>
        </w:tc>
        <w:tc>
          <w:tcPr>
            <w:tcW w:w="2018" w:type="dxa"/>
            <w:tcBorders>
              <w:top w:val="outset" w:sz="4" w:space="0" w:color="auto"/>
              <w:left w:val="outset" w:sz="4" w:space="0" w:color="auto"/>
              <w:bottom w:val="outset" w:sz="4" w:space="0" w:color="auto"/>
              <w:right w:val="outset" w:sz="4" w:space="0" w:color="auto"/>
            </w:tcBorders>
            <w:vAlign w:val="center"/>
          </w:tcPr>
          <w:p w14:paraId="42074FE3" w14:textId="77777777" w:rsidR="00577D08" w:rsidRDefault="00330FC0">
            <w:pPr>
              <w:jc w:val="right"/>
            </w:pPr>
            <w:r>
              <w:t>67,194,070.16</w:t>
            </w:r>
          </w:p>
        </w:tc>
      </w:tr>
      <w:tr w:rsidR="00577D08" w14:paraId="58B84807" w14:textId="77777777">
        <w:tc>
          <w:tcPr>
            <w:tcW w:w="3507" w:type="dxa"/>
            <w:tcBorders>
              <w:top w:val="outset" w:sz="4" w:space="0" w:color="auto"/>
              <w:left w:val="outset" w:sz="4" w:space="0" w:color="auto"/>
              <w:bottom w:val="outset" w:sz="4" w:space="0" w:color="auto"/>
              <w:right w:val="outset" w:sz="4" w:space="0" w:color="auto"/>
            </w:tcBorders>
            <w:vAlign w:val="center"/>
          </w:tcPr>
          <w:p w14:paraId="1E28EEC0" w14:textId="77777777" w:rsidR="00577D08" w:rsidRDefault="00330FC0">
            <w:pPr>
              <w:ind w:firstLineChars="100" w:firstLine="210"/>
            </w:pPr>
            <w:r>
              <w:t>（二）</w:t>
            </w:r>
            <w:r>
              <w:rPr>
                <w:rFonts w:hint="eastAsia"/>
              </w:rPr>
              <w:t>归属于少数股东的综合收益总额</w:t>
            </w:r>
          </w:p>
        </w:tc>
        <w:tc>
          <w:tcPr>
            <w:tcW w:w="1516" w:type="dxa"/>
            <w:tcBorders>
              <w:top w:val="outset" w:sz="4" w:space="0" w:color="auto"/>
              <w:left w:val="outset" w:sz="4" w:space="0" w:color="auto"/>
              <w:bottom w:val="outset" w:sz="4" w:space="0" w:color="auto"/>
              <w:right w:val="outset" w:sz="4" w:space="0" w:color="auto"/>
            </w:tcBorders>
          </w:tcPr>
          <w:p w14:paraId="235C0CE6"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D67A288" w14:textId="77777777" w:rsidR="00577D08" w:rsidRDefault="00330FC0">
            <w:pPr>
              <w:jc w:val="right"/>
            </w:pPr>
            <w:r>
              <w:t xml:space="preserve"> 4,616,855.20 </w:t>
            </w:r>
          </w:p>
        </w:tc>
        <w:tc>
          <w:tcPr>
            <w:tcW w:w="2018" w:type="dxa"/>
            <w:tcBorders>
              <w:top w:val="outset" w:sz="4" w:space="0" w:color="auto"/>
              <w:left w:val="outset" w:sz="4" w:space="0" w:color="auto"/>
              <w:bottom w:val="outset" w:sz="4" w:space="0" w:color="auto"/>
              <w:right w:val="outset" w:sz="4" w:space="0" w:color="auto"/>
            </w:tcBorders>
            <w:vAlign w:val="center"/>
          </w:tcPr>
          <w:p w14:paraId="2BD3001E" w14:textId="77777777" w:rsidR="00577D08" w:rsidRDefault="00330FC0">
            <w:pPr>
              <w:jc w:val="right"/>
            </w:pPr>
            <w:r>
              <w:t>10,703,859.53</w:t>
            </w:r>
          </w:p>
        </w:tc>
      </w:tr>
      <w:tr w:rsidR="00577D08" w14:paraId="6EC284A6" w14:textId="77777777">
        <w:sdt>
          <w:sdtPr>
            <w:tag w:val="_PLD_6e9655fe2b7c48e3964f7a74f9c6deea"/>
            <w:id w:val="1479109776"/>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30B0192C" w14:textId="77777777" w:rsidR="00577D08" w:rsidRDefault="00330FC0">
                <w:pPr>
                  <w:rPr>
                    <w:color w:val="008000"/>
                  </w:rPr>
                </w:pPr>
                <w:r>
                  <w:rPr>
                    <w:rFonts w:hint="eastAsia"/>
                  </w:rPr>
                  <w:t>八、每股收益：</w:t>
                </w:r>
              </w:p>
            </w:tc>
          </w:sdtContent>
        </w:sdt>
      </w:tr>
      <w:tr w:rsidR="00577D08" w14:paraId="48967643" w14:textId="77777777">
        <w:tc>
          <w:tcPr>
            <w:tcW w:w="3507" w:type="dxa"/>
            <w:tcBorders>
              <w:top w:val="outset" w:sz="4" w:space="0" w:color="auto"/>
              <w:left w:val="outset" w:sz="4" w:space="0" w:color="auto"/>
              <w:bottom w:val="outset" w:sz="4" w:space="0" w:color="auto"/>
              <w:right w:val="outset" w:sz="4" w:space="0" w:color="auto"/>
            </w:tcBorders>
            <w:vAlign w:val="center"/>
          </w:tcPr>
          <w:p w14:paraId="3767C213" w14:textId="77777777" w:rsidR="00577D08" w:rsidRDefault="00330FC0">
            <w:pPr>
              <w:ind w:firstLineChars="100" w:firstLine="210"/>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1516" w:type="dxa"/>
            <w:tcBorders>
              <w:top w:val="outset" w:sz="4" w:space="0" w:color="auto"/>
              <w:left w:val="outset" w:sz="4" w:space="0" w:color="auto"/>
              <w:bottom w:val="outset" w:sz="4" w:space="0" w:color="auto"/>
              <w:right w:val="outset" w:sz="4" w:space="0" w:color="auto"/>
            </w:tcBorders>
            <w:vAlign w:val="center"/>
          </w:tcPr>
          <w:p w14:paraId="228D30CA"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D957FB7" w14:textId="77777777" w:rsidR="00577D08" w:rsidRDefault="00330FC0">
            <w:pPr>
              <w:jc w:val="right"/>
            </w:pPr>
            <w:r>
              <w:t>0.21</w:t>
            </w:r>
          </w:p>
        </w:tc>
        <w:tc>
          <w:tcPr>
            <w:tcW w:w="2018" w:type="dxa"/>
            <w:tcBorders>
              <w:top w:val="outset" w:sz="4" w:space="0" w:color="auto"/>
              <w:left w:val="outset" w:sz="4" w:space="0" w:color="auto"/>
              <w:bottom w:val="outset" w:sz="4" w:space="0" w:color="auto"/>
              <w:right w:val="outset" w:sz="4" w:space="0" w:color="auto"/>
            </w:tcBorders>
            <w:vAlign w:val="center"/>
          </w:tcPr>
          <w:p w14:paraId="0B514A27" w14:textId="77777777" w:rsidR="00577D08" w:rsidRDefault="00330FC0">
            <w:pPr>
              <w:jc w:val="right"/>
            </w:pPr>
            <w:r>
              <w:t>0.20</w:t>
            </w:r>
          </w:p>
        </w:tc>
      </w:tr>
      <w:tr w:rsidR="00577D08" w14:paraId="7A3D90DE" w14:textId="77777777">
        <w:tc>
          <w:tcPr>
            <w:tcW w:w="3507" w:type="dxa"/>
            <w:tcBorders>
              <w:top w:val="outset" w:sz="4" w:space="0" w:color="auto"/>
              <w:left w:val="outset" w:sz="4" w:space="0" w:color="auto"/>
              <w:bottom w:val="outset" w:sz="4" w:space="0" w:color="auto"/>
              <w:right w:val="outset" w:sz="4" w:space="0" w:color="auto"/>
            </w:tcBorders>
            <w:vAlign w:val="center"/>
          </w:tcPr>
          <w:p w14:paraId="4F43B5BD" w14:textId="77777777" w:rsidR="00577D08" w:rsidRDefault="00330FC0">
            <w:pPr>
              <w:ind w:firstLineChars="100" w:firstLine="210"/>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1516" w:type="dxa"/>
            <w:tcBorders>
              <w:top w:val="outset" w:sz="4" w:space="0" w:color="auto"/>
              <w:left w:val="outset" w:sz="4" w:space="0" w:color="auto"/>
              <w:bottom w:val="outset" w:sz="4" w:space="0" w:color="auto"/>
              <w:right w:val="outset" w:sz="4" w:space="0" w:color="auto"/>
            </w:tcBorders>
            <w:vAlign w:val="center"/>
          </w:tcPr>
          <w:p w14:paraId="73A005D9"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D0D4F24" w14:textId="77777777" w:rsidR="00577D08" w:rsidRDefault="00330FC0">
            <w:pPr>
              <w:jc w:val="right"/>
            </w:pPr>
            <w:r>
              <w:t>0.21</w:t>
            </w:r>
          </w:p>
        </w:tc>
        <w:tc>
          <w:tcPr>
            <w:tcW w:w="2018" w:type="dxa"/>
            <w:tcBorders>
              <w:top w:val="outset" w:sz="4" w:space="0" w:color="auto"/>
              <w:left w:val="outset" w:sz="4" w:space="0" w:color="auto"/>
              <w:bottom w:val="outset" w:sz="4" w:space="0" w:color="auto"/>
              <w:right w:val="outset" w:sz="4" w:space="0" w:color="auto"/>
            </w:tcBorders>
            <w:vAlign w:val="center"/>
          </w:tcPr>
          <w:p w14:paraId="62A1F4EA" w14:textId="77777777" w:rsidR="00577D08" w:rsidRDefault="00330FC0">
            <w:pPr>
              <w:jc w:val="right"/>
            </w:pPr>
            <w:r>
              <w:t>0.20</w:t>
            </w:r>
          </w:p>
        </w:tc>
      </w:tr>
    </w:tbl>
    <w:p w14:paraId="26EB8904" w14:textId="77777777" w:rsidR="00577D08" w:rsidRDefault="00330FC0">
      <w:pPr>
        <w:rPr>
          <w:b/>
          <w:bCs/>
          <w:color w:val="FF0000"/>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dee3746024314be88287a46c20d21a26"/>
          <w:id w:val="915751399"/>
          <w:placeholder>
            <w:docPart w:val="GBC22222222222222222222222222222"/>
          </w:placeholder>
        </w:sdtPr>
        <w:sdtContent>
          <w:r>
            <w:rPr>
              <w:rFonts w:hint="eastAsia"/>
            </w:rPr>
            <w:t>0</w:t>
          </w:r>
        </w:sdtContent>
      </w:sdt>
      <w:r>
        <w:rPr>
          <w:rFonts w:hint="eastAsia"/>
        </w:rPr>
        <w:t>元</w:t>
      </w:r>
      <w:r>
        <w:rPr>
          <w:rFonts w:hint="eastAsia"/>
        </w:rPr>
        <w:t>,</w:t>
      </w:r>
      <w:r>
        <w:rPr>
          <w:rFonts w:hint="eastAsia"/>
        </w:rPr>
        <w:t>上期被合并方实现的净利润为：</w:t>
      </w:r>
      <w:sdt>
        <w:sdtPr>
          <w:rPr>
            <w:rFonts w:hint="eastAsia"/>
          </w:rPr>
          <w:alias w:val="同一控制下的企业合并中被合并方在合并前实现的净利润"/>
          <w:tag w:val="_GBC_12f9ba898e4e450d82ca7ea5336921ae"/>
          <w:id w:val="2103681601"/>
          <w:placeholder>
            <w:docPart w:val="GBC22222222222222222222222222222"/>
          </w:placeholder>
        </w:sdtPr>
        <w:sdtEndPr>
          <w:rPr>
            <w:rFonts w:hint="default"/>
          </w:rPr>
        </w:sdtEndPr>
        <w:sdtContent>
          <w:r>
            <w:rPr>
              <w:rFonts w:hint="eastAsia"/>
            </w:rPr>
            <w:t>0</w:t>
          </w:r>
        </w:sdtContent>
      </w:sdt>
      <w:r>
        <w:rPr>
          <w:rFonts w:hint="eastAsia"/>
        </w:rPr>
        <w:t>元。</w:t>
      </w:r>
    </w:p>
    <w:p w14:paraId="34F41560" w14:textId="77777777" w:rsidR="00577D08" w:rsidRDefault="00330FC0">
      <w:r>
        <w:rPr>
          <w:rFonts w:hint="eastAsia"/>
        </w:rPr>
        <w:t>公司负责</w:t>
      </w:r>
      <w:r>
        <w:t>人</w:t>
      </w:r>
      <w:r>
        <w:rPr>
          <w:rFonts w:hint="eastAsia"/>
        </w:rPr>
        <w:t>：</w:t>
      </w:r>
      <w:sdt>
        <w:sdtPr>
          <w:rPr>
            <w:rFonts w:hint="eastAsia"/>
          </w:rPr>
          <w:alias w:val="公司负责人姓名"/>
          <w:tag w:val="_GBC_85589cdf09ed4055b8d177524f5a0df0"/>
          <w:id w:val="-398604439"/>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d5d5ec398a544491b9394eef54a56ec6"/>
          <w:id w:val="2022512951"/>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b776bf38628747739bf5cfe3f08d63a8"/>
          <w:id w:val="-1814859221"/>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bookmarkEnd w:id="289"/>
    <w:p w14:paraId="12E4E330" w14:textId="77777777" w:rsidR="00577D08" w:rsidRDefault="00577D08">
      <w:pPr>
        <w:rPr>
          <w:color w:val="FF0000"/>
        </w:rPr>
      </w:pPr>
    </w:p>
    <w:p w14:paraId="71EC5DB5" w14:textId="77777777" w:rsidR="00577D08" w:rsidRDefault="00330FC0">
      <w:pPr>
        <w:pStyle w:val="3"/>
        <w:jc w:val="center"/>
      </w:pPr>
      <w:bookmarkStart w:id="290" w:name="_Hlk24038476"/>
      <w:r>
        <w:rPr>
          <w:rFonts w:hint="eastAsia"/>
        </w:rPr>
        <w:t>母公司</w:t>
      </w:r>
      <w:r>
        <w:t>利润表</w:t>
      </w:r>
    </w:p>
    <w:p w14:paraId="13D3EE94" w14:textId="77777777" w:rsidR="00577D08" w:rsidRDefault="00330FC0">
      <w:pPr>
        <w:jc w:val="center"/>
        <w:rPr>
          <w:b/>
          <w:bCs/>
        </w:rPr>
      </w:pPr>
      <w:r>
        <w:t>2025</w:t>
      </w:r>
      <w:r>
        <w:t>年</w:t>
      </w:r>
      <w:r>
        <w:rPr>
          <w:rFonts w:hint="eastAsia"/>
        </w:rPr>
        <w:t>1</w:t>
      </w:r>
      <w:r>
        <w:rPr>
          <w:rFonts w:hint="eastAsia"/>
        </w:rPr>
        <w:t>—</w:t>
      </w:r>
      <w:r>
        <w:t>12</w:t>
      </w:r>
      <w:r>
        <w:t>月</w:t>
      </w:r>
    </w:p>
    <w:p w14:paraId="44746720" w14:textId="0ED2262F" w:rsidR="00577D08" w:rsidRDefault="00330FC0">
      <w:pPr>
        <w:snapToGrid w:val="0"/>
        <w:spacing w:line="240" w:lineRule="atLeast"/>
        <w:jc w:val="right"/>
        <w:rPr>
          <w:b/>
          <w:bCs/>
          <w:color w:val="FF0000"/>
        </w:rPr>
      </w:pPr>
      <w:r>
        <w:t>单位：</w:t>
      </w:r>
      <w:sdt>
        <w:sdtPr>
          <w:alias w:val="单位：母公司利润表"/>
          <w:tag w:val="_GBC_f17e8cd8a21b417cb065f4c3b94f9c26"/>
          <w:id w:val="8060516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r w:rsidR="00CC5C32">
            <w:t xml:space="preserve"> </w:t>
          </w:r>
        </w:sdtContent>
      </w:sdt>
      <w:r>
        <w:t>币种：</w:t>
      </w:r>
      <w:sdt>
        <w:sdtPr>
          <w:alias w:val="币种：母公司利润表"/>
          <w:tag w:val="_GBC_514289adafbe4fe995f8f3791e23e392"/>
          <w:id w:val="-10901586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07"/>
        <w:gridCol w:w="1516"/>
        <w:gridCol w:w="2008"/>
        <w:gridCol w:w="2018"/>
      </w:tblGrid>
      <w:tr w:rsidR="00577D08" w14:paraId="2BF5A992" w14:textId="77777777">
        <w:trPr>
          <w:cantSplit/>
          <w:tblHeader/>
        </w:trPr>
        <w:tc>
          <w:tcPr>
            <w:tcW w:w="3507" w:type="dxa"/>
            <w:tcBorders>
              <w:top w:val="outset" w:sz="4" w:space="0" w:color="auto"/>
              <w:left w:val="outset" w:sz="4" w:space="0" w:color="auto"/>
              <w:bottom w:val="outset" w:sz="4" w:space="0" w:color="auto"/>
              <w:right w:val="outset" w:sz="4" w:space="0" w:color="auto"/>
            </w:tcBorders>
            <w:vAlign w:val="center"/>
          </w:tcPr>
          <w:sdt>
            <w:sdtPr>
              <w:tag w:val="_PLD_a25f325e0afe4d279180290df7e1dd6d"/>
              <w:id w:val="-47764503"/>
            </w:sdtPr>
            <w:sdtContent>
              <w:p w14:paraId="40A51BC7" w14:textId="77777777" w:rsidR="00577D08" w:rsidRDefault="00330FC0">
                <w:pPr>
                  <w:ind w:leftChars="-19" w:hangingChars="19" w:hanging="40"/>
                  <w:jc w:val="center"/>
                  <w:rPr>
                    <w:b/>
                  </w:rPr>
                </w:pPr>
                <w:r>
                  <w:rPr>
                    <w:rFonts w:hint="eastAsia"/>
                    <w:b/>
                  </w:rPr>
                  <w:t>项目</w:t>
                </w:r>
              </w:p>
            </w:sdtContent>
          </w:sdt>
        </w:tc>
        <w:tc>
          <w:tcPr>
            <w:tcW w:w="1516" w:type="dxa"/>
            <w:tcBorders>
              <w:top w:val="outset" w:sz="4" w:space="0" w:color="auto"/>
              <w:left w:val="outset" w:sz="4" w:space="0" w:color="auto"/>
              <w:bottom w:val="outset" w:sz="4" w:space="0" w:color="auto"/>
              <w:right w:val="outset" w:sz="4" w:space="0" w:color="auto"/>
            </w:tcBorders>
            <w:vAlign w:val="center"/>
          </w:tcPr>
          <w:sdt>
            <w:sdtPr>
              <w:tag w:val="_PLD_4bea71a35f204b56bca2b7ea223d4b71"/>
              <w:id w:val="-422267044"/>
            </w:sdtPr>
            <w:sdtContent>
              <w:p w14:paraId="19278360" w14:textId="77777777" w:rsidR="00577D08" w:rsidRDefault="00330FC0">
                <w:pPr>
                  <w:jc w:val="center"/>
                  <w:rPr>
                    <w:b/>
                  </w:rPr>
                </w:pPr>
                <w:r>
                  <w:rPr>
                    <w:rFonts w:hint="eastAsia"/>
                    <w:b/>
                  </w:rPr>
                  <w:t>附注</w:t>
                </w:r>
              </w:p>
            </w:sdtContent>
          </w:sdt>
        </w:tc>
        <w:tc>
          <w:tcPr>
            <w:tcW w:w="2008" w:type="dxa"/>
            <w:tcBorders>
              <w:top w:val="outset" w:sz="4" w:space="0" w:color="auto"/>
              <w:left w:val="outset" w:sz="4" w:space="0" w:color="auto"/>
              <w:bottom w:val="outset" w:sz="4" w:space="0" w:color="auto"/>
              <w:right w:val="outset" w:sz="4" w:space="0" w:color="auto"/>
            </w:tcBorders>
            <w:vAlign w:val="center"/>
          </w:tcPr>
          <w:sdt>
            <w:sdtPr>
              <w:tag w:val="_PLD_a2bf02ec3f0b4ce2b9d25f751262d2b0"/>
              <w:id w:val="-1234152356"/>
            </w:sdtPr>
            <w:sdtContent>
              <w:p w14:paraId="1BE7CACD" w14:textId="77777777" w:rsidR="00577D08" w:rsidRDefault="00330FC0">
                <w:pPr>
                  <w:jc w:val="center"/>
                  <w:rPr>
                    <w:b/>
                  </w:rPr>
                </w:pPr>
                <w:r>
                  <w:rPr>
                    <w:rFonts w:hint="eastAsia"/>
                    <w:b/>
                  </w:rPr>
                  <w:t>2025</w:t>
                </w:r>
                <w:r>
                  <w:rPr>
                    <w:rFonts w:hint="eastAsia"/>
                    <w:b/>
                  </w:rPr>
                  <w:t>年度</w:t>
                </w:r>
              </w:p>
            </w:sdtContent>
          </w:sdt>
        </w:tc>
        <w:tc>
          <w:tcPr>
            <w:tcW w:w="2018" w:type="dxa"/>
            <w:tcBorders>
              <w:top w:val="outset" w:sz="4" w:space="0" w:color="auto"/>
              <w:left w:val="outset" w:sz="4" w:space="0" w:color="auto"/>
              <w:bottom w:val="outset" w:sz="4" w:space="0" w:color="auto"/>
              <w:right w:val="outset" w:sz="4" w:space="0" w:color="auto"/>
            </w:tcBorders>
            <w:vAlign w:val="center"/>
          </w:tcPr>
          <w:sdt>
            <w:sdtPr>
              <w:tag w:val="_PLD_7a01f378d3e3492c9571d4400832431f"/>
              <w:id w:val="-1824887983"/>
            </w:sdtPr>
            <w:sdtContent>
              <w:p w14:paraId="265BD48B" w14:textId="77777777" w:rsidR="00577D08" w:rsidRDefault="00330FC0">
                <w:pPr>
                  <w:jc w:val="center"/>
                  <w:rPr>
                    <w:b/>
                  </w:rPr>
                </w:pPr>
                <w:r>
                  <w:rPr>
                    <w:rFonts w:hint="eastAsia"/>
                    <w:b/>
                  </w:rPr>
                  <w:t>2024</w:t>
                </w:r>
                <w:r>
                  <w:rPr>
                    <w:rFonts w:hint="eastAsia"/>
                    <w:b/>
                  </w:rPr>
                  <w:t>年度</w:t>
                </w:r>
              </w:p>
            </w:sdtContent>
          </w:sdt>
        </w:tc>
      </w:tr>
      <w:tr w:rsidR="00577D08" w14:paraId="7480A291" w14:textId="77777777">
        <w:tc>
          <w:tcPr>
            <w:tcW w:w="3507" w:type="dxa"/>
            <w:tcBorders>
              <w:top w:val="outset" w:sz="4" w:space="0" w:color="auto"/>
              <w:left w:val="outset" w:sz="4" w:space="0" w:color="auto"/>
              <w:bottom w:val="outset" w:sz="4" w:space="0" w:color="auto"/>
              <w:right w:val="outset" w:sz="4" w:space="0" w:color="auto"/>
            </w:tcBorders>
            <w:vAlign w:val="center"/>
          </w:tcPr>
          <w:p w14:paraId="0A770E0C" w14:textId="77777777" w:rsidR="00577D08" w:rsidRDefault="00330FC0">
            <w:pPr>
              <w:ind w:left="-19"/>
              <w:rPr>
                <w:color w:val="000000"/>
              </w:rPr>
            </w:pPr>
            <w:r>
              <w:rPr>
                <w:rFonts w:hint="eastAsia"/>
              </w:rPr>
              <w:t>一、营业收入</w:t>
            </w:r>
          </w:p>
        </w:tc>
        <w:tc>
          <w:tcPr>
            <w:tcW w:w="1516" w:type="dxa"/>
            <w:tcBorders>
              <w:top w:val="outset" w:sz="4" w:space="0" w:color="auto"/>
              <w:left w:val="outset" w:sz="4" w:space="0" w:color="auto"/>
              <w:bottom w:val="outset" w:sz="4" w:space="0" w:color="auto"/>
              <w:right w:val="outset" w:sz="4" w:space="0" w:color="auto"/>
            </w:tcBorders>
            <w:vAlign w:val="center"/>
          </w:tcPr>
          <w:p w14:paraId="1462AB31" w14:textId="77777777" w:rsidR="00577D08" w:rsidRDefault="00330FC0">
            <w:pPr>
              <w:jc w:val="both"/>
            </w:pPr>
            <w:r>
              <w:rPr>
                <w:rFonts w:hint="eastAsia"/>
              </w:rPr>
              <w:t>十九、</w:t>
            </w:r>
            <w:r>
              <w:rPr>
                <w:rFonts w:hint="eastAsia"/>
              </w:rPr>
              <w:t>4</w:t>
            </w:r>
          </w:p>
        </w:tc>
        <w:tc>
          <w:tcPr>
            <w:tcW w:w="2008" w:type="dxa"/>
            <w:tcBorders>
              <w:top w:val="outset" w:sz="4" w:space="0" w:color="auto"/>
              <w:left w:val="outset" w:sz="4" w:space="0" w:color="auto"/>
              <w:bottom w:val="outset" w:sz="4" w:space="0" w:color="auto"/>
              <w:right w:val="outset" w:sz="4" w:space="0" w:color="auto"/>
            </w:tcBorders>
            <w:vAlign w:val="center"/>
          </w:tcPr>
          <w:p w14:paraId="284E3F8F" w14:textId="77777777" w:rsidR="00577D08" w:rsidRDefault="00330FC0">
            <w:pPr>
              <w:jc w:val="right"/>
            </w:pPr>
            <w:r>
              <w:t xml:space="preserve"> 2,860,870,229.80 </w:t>
            </w:r>
          </w:p>
        </w:tc>
        <w:tc>
          <w:tcPr>
            <w:tcW w:w="2018" w:type="dxa"/>
            <w:tcBorders>
              <w:top w:val="outset" w:sz="4" w:space="0" w:color="auto"/>
              <w:left w:val="outset" w:sz="4" w:space="0" w:color="auto"/>
              <w:bottom w:val="outset" w:sz="4" w:space="0" w:color="auto"/>
              <w:right w:val="outset" w:sz="4" w:space="0" w:color="auto"/>
            </w:tcBorders>
            <w:vAlign w:val="center"/>
          </w:tcPr>
          <w:p w14:paraId="5CE912BC" w14:textId="77777777" w:rsidR="00577D08" w:rsidRDefault="00330FC0">
            <w:pPr>
              <w:jc w:val="right"/>
            </w:pPr>
            <w:r>
              <w:t>2,680,955,706.73</w:t>
            </w:r>
          </w:p>
        </w:tc>
      </w:tr>
      <w:tr w:rsidR="00577D08" w14:paraId="0F496465" w14:textId="77777777">
        <w:tc>
          <w:tcPr>
            <w:tcW w:w="3507" w:type="dxa"/>
            <w:tcBorders>
              <w:top w:val="outset" w:sz="4" w:space="0" w:color="auto"/>
              <w:left w:val="outset" w:sz="4" w:space="0" w:color="auto"/>
              <w:bottom w:val="outset" w:sz="4" w:space="0" w:color="auto"/>
              <w:right w:val="outset" w:sz="4" w:space="0" w:color="auto"/>
            </w:tcBorders>
            <w:vAlign w:val="center"/>
          </w:tcPr>
          <w:p w14:paraId="05E98094" w14:textId="77777777" w:rsidR="00577D08" w:rsidRDefault="00330FC0">
            <w:pPr>
              <w:ind w:firstLineChars="100" w:firstLine="210"/>
              <w:rPr>
                <w:color w:val="000000"/>
              </w:rPr>
            </w:pPr>
            <w:r>
              <w:rPr>
                <w:rFonts w:hint="eastAsia"/>
              </w:rPr>
              <w:t>减：营业成本</w:t>
            </w:r>
          </w:p>
        </w:tc>
        <w:tc>
          <w:tcPr>
            <w:tcW w:w="1516" w:type="dxa"/>
            <w:tcBorders>
              <w:top w:val="outset" w:sz="4" w:space="0" w:color="auto"/>
              <w:left w:val="outset" w:sz="4" w:space="0" w:color="auto"/>
              <w:bottom w:val="outset" w:sz="4" w:space="0" w:color="auto"/>
              <w:right w:val="outset" w:sz="4" w:space="0" w:color="auto"/>
            </w:tcBorders>
            <w:vAlign w:val="center"/>
          </w:tcPr>
          <w:p w14:paraId="69F65075" w14:textId="77777777" w:rsidR="00577D08" w:rsidRDefault="00330FC0">
            <w:pPr>
              <w:jc w:val="both"/>
            </w:pPr>
            <w:r>
              <w:rPr>
                <w:rFonts w:hint="eastAsia"/>
              </w:rPr>
              <w:t>十九、</w:t>
            </w:r>
            <w:r>
              <w:rPr>
                <w:rFonts w:hint="eastAsia"/>
              </w:rPr>
              <w:t>4</w:t>
            </w:r>
          </w:p>
        </w:tc>
        <w:tc>
          <w:tcPr>
            <w:tcW w:w="2008" w:type="dxa"/>
            <w:tcBorders>
              <w:top w:val="outset" w:sz="4" w:space="0" w:color="auto"/>
              <w:left w:val="outset" w:sz="4" w:space="0" w:color="auto"/>
              <w:bottom w:val="outset" w:sz="4" w:space="0" w:color="auto"/>
              <w:right w:val="outset" w:sz="4" w:space="0" w:color="auto"/>
            </w:tcBorders>
            <w:vAlign w:val="center"/>
          </w:tcPr>
          <w:p w14:paraId="2979762A" w14:textId="77777777" w:rsidR="00577D08" w:rsidRDefault="00330FC0">
            <w:pPr>
              <w:jc w:val="right"/>
            </w:pPr>
            <w:r>
              <w:t xml:space="preserve"> 2,563,767,321.13 </w:t>
            </w:r>
          </w:p>
        </w:tc>
        <w:tc>
          <w:tcPr>
            <w:tcW w:w="2018" w:type="dxa"/>
            <w:tcBorders>
              <w:top w:val="outset" w:sz="4" w:space="0" w:color="auto"/>
              <w:left w:val="outset" w:sz="4" w:space="0" w:color="auto"/>
              <w:bottom w:val="outset" w:sz="4" w:space="0" w:color="auto"/>
              <w:right w:val="outset" w:sz="4" w:space="0" w:color="auto"/>
            </w:tcBorders>
            <w:vAlign w:val="center"/>
          </w:tcPr>
          <w:p w14:paraId="33B7050C" w14:textId="77777777" w:rsidR="00577D08" w:rsidRDefault="00330FC0">
            <w:pPr>
              <w:jc w:val="right"/>
            </w:pPr>
            <w:r>
              <w:t>2,444,533,129.13</w:t>
            </w:r>
          </w:p>
        </w:tc>
      </w:tr>
      <w:tr w:rsidR="00577D08" w14:paraId="734F29B3" w14:textId="77777777">
        <w:tc>
          <w:tcPr>
            <w:tcW w:w="3507" w:type="dxa"/>
            <w:tcBorders>
              <w:top w:val="outset" w:sz="4" w:space="0" w:color="auto"/>
              <w:left w:val="outset" w:sz="4" w:space="0" w:color="auto"/>
              <w:bottom w:val="outset" w:sz="4" w:space="0" w:color="auto"/>
              <w:right w:val="outset" w:sz="4" w:space="0" w:color="auto"/>
            </w:tcBorders>
            <w:vAlign w:val="center"/>
          </w:tcPr>
          <w:p w14:paraId="0D9D31AA" w14:textId="77777777" w:rsidR="00577D08" w:rsidRDefault="00330FC0">
            <w:pPr>
              <w:ind w:firstLineChars="300" w:firstLine="630"/>
            </w:pPr>
            <w:r>
              <w:rPr>
                <w:rFonts w:hint="eastAsia"/>
              </w:rPr>
              <w:t>税金及附加</w:t>
            </w:r>
          </w:p>
        </w:tc>
        <w:tc>
          <w:tcPr>
            <w:tcW w:w="1516" w:type="dxa"/>
            <w:tcBorders>
              <w:top w:val="outset" w:sz="4" w:space="0" w:color="auto"/>
              <w:left w:val="outset" w:sz="4" w:space="0" w:color="auto"/>
              <w:bottom w:val="outset" w:sz="4" w:space="0" w:color="auto"/>
              <w:right w:val="outset" w:sz="4" w:space="0" w:color="auto"/>
            </w:tcBorders>
            <w:vAlign w:val="center"/>
          </w:tcPr>
          <w:p w14:paraId="6286F85C"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6EF2C4B3" w14:textId="77777777" w:rsidR="00577D08" w:rsidRDefault="00330FC0">
            <w:pPr>
              <w:jc w:val="right"/>
            </w:pPr>
            <w:r>
              <w:t xml:space="preserve"> 15,388,556.67 </w:t>
            </w:r>
          </w:p>
        </w:tc>
        <w:tc>
          <w:tcPr>
            <w:tcW w:w="2018" w:type="dxa"/>
            <w:tcBorders>
              <w:top w:val="outset" w:sz="4" w:space="0" w:color="auto"/>
              <w:left w:val="outset" w:sz="4" w:space="0" w:color="auto"/>
              <w:bottom w:val="outset" w:sz="4" w:space="0" w:color="auto"/>
              <w:right w:val="outset" w:sz="4" w:space="0" w:color="auto"/>
            </w:tcBorders>
            <w:vAlign w:val="center"/>
          </w:tcPr>
          <w:p w14:paraId="7270FAB7" w14:textId="77777777" w:rsidR="00577D08" w:rsidRDefault="00330FC0">
            <w:pPr>
              <w:jc w:val="right"/>
            </w:pPr>
            <w:r>
              <w:t>11,162,878.05</w:t>
            </w:r>
          </w:p>
        </w:tc>
      </w:tr>
      <w:tr w:rsidR="00577D08" w14:paraId="33CD3A87" w14:textId="77777777">
        <w:tc>
          <w:tcPr>
            <w:tcW w:w="3507" w:type="dxa"/>
            <w:tcBorders>
              <w:top w:val="outset" w:sz="4" w:space="0" w:color="auto"/>
              <w:left w:val="outset" w:sz="4" w:space="0" w:color="auto"/>
              <w:bottom w:val="outset" w:sz="4" w:space="0" w:color="auto"/>
              <w:right w:val="outset" w:sz="4" w:space="0" w:color="auto"/>
            </w:tcBorders>
            <w:vAlign w:val="center"/>
          </w:tcPr>
          <w:p w14:paraId="3EFFB588" w14:textId="77777777" w:rsidR="00577D08" w:rsidRDefault="00330FC0">
            <w:pPr>
              <w:ind w:firstLineChars="300" w:firstLine="630"/>
            </w:pPr>
            <w:r>
              <w:rPr>
                <w:rFonts w:hint="eastAsia"/>
              </w:rPr>
              <w:t>销售费用</w:t>
            </w:r>
          </w:p>
        </w:tc>
        <w:tc>
          <w:tcPr>
            <w:tcW w:w="1516" w:type="dxa"/>
            <w:tcBorders>
              <w:top w:val="outset" w:sz="4" w:space="0" w:color="auto"/>
              <w:left w:val="outset" w:sz="4" w:space="0" w:color="auto"/>
              <w:bottom w:val="outset" w:sz="4" w:space="0" w:color="auto"/>
              <w:right w:val="outset" w:sz="4" w:space="0" w:color="auto"/>
            </w:tcBorders>
            <w:vAlign w:val="center"/>
          </w:tcPr>
          <w:p w14:paraId="72E405D5"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30C0BE02" w14:textId="77777777" w:rsidR="00577D08" w:rsidRDefault="00330FC0">
            <w:pPr>
              <w:jc w:val="right"/>
            </w:pPr>
            <w:r>
              <w:t xml:space="preserve"> 75,089,818.39 </w:t>
            </w:r>
          </w:p>
        </w:tc>
        <w:tc>
          <w:tcPr>
            <w:tcW w:w="2018" w:type="dxa"/>
            <w:tcBorders>
              <w:top w:val="outset" w:sz="4" w:space="0" w:color="auto"/>
              <w:left w:val="outset" w:sz="4" w:space="0" w:color="auto"/>
              <w:bottom w:val="outset" w:sz="4" w:space="0" w:color="auto"/>
              <w:right w:val="outset" w:sz="4" w:space="0" w:color="auto"/>
            </w:tcBorders>
            <w:vAlign w:val="center"/>
          </w:tcPr>
          <w:p w14:paraId="6D460F7E" w14:textId="77777777" w:rsidR="00577D08" w:rsidRDefault="00330FC0">
            <w:pPr>
              <w:jc w:val="right"/>
            </w:pPr>
            <w:r>
              <w:t>94,129,462.51</w:t>
            </w:r>
          </w:p>
        </w:tc>
      </w:tr>
      <w:tr w:rsidR="00577D08" w14:paraId="1106A538" w14:textId="77777777">
        <w:tc>
          <w:tcPr>
            <w:tcW w:w="3507" w:type="dxa"/>
            <w:tcBorders>
              <w:top w:val="outset" w:sz="4" w:space="0" w:color="auto"/>
              <w:left w:val="outset" w:sz="4" w:space="0" w:color="auto"/>
              <w:bottom w:val="outset" w:sz="4" w:space="0" w:color="auto"/>
              <w:right w:val="outset" w:sz="4" w:space="0" w:color="auto"/>
            </w:tcBorders>
            <w:vAlign w:val="center"/>
          </w:tcPr>
          <w:p w14:paraId="634B1A4B" w14:textId="77777777" w:rsidR="00577D08" w:rsidRDefault="00330FC0">
            <w:pPr>
              <w:ind w:firstLineChars="300" w:firstLine="630"/>
            </w:pPr>
            <w:r>
              <w:rPr>
                <w:rFonts w:hint="eastAsia"/>
              </w:rPr>
              <w:t>管理费用</w:t>
            </w:r>
          </w:p>
        </w:tc>
        <w:tc>
          <w:tcPr>
            <w:tcW w:w="1516" w:type="dxa"/>
            <w:tcBorders>
              <w:top w:val="outset" w:sz="4" w:space="0" w:color="auto"/>
              <w:left w:val="outset" w:sz="4" w:space="0" w:color="auto"/>
              <w:bottom w:val="outset" w:sz="4" w:space="0" w:color="auto"/>
              <w:right w:val="outset" w:sz="4" w:space="0" w:color="auto"/>
            </w:tcBorders>
            <w:vAlign w:val="center"/>
          </w:tcPr>
          <w:p w14:paraId="533C9380"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55F370B0" w14:textId="77777777" w:rsidR="00577D08" w:rsidRDefault="00330FC0">
            <w:pPr>
              <w:jc w:val="right"/>
            </w:pPr>
            <w:r>
              <w:t xml:space="preserve"> 83,243,322.54 </w:t>
            </w:r>
          </w:p>
        </w:tc>
        <w:tc>
          <w:tcPr>
            <w:tcW w:w="2018" w:type="dxa"/>
            <w:tcBorders>
              <w:top w:val="outset" w:sz="4" w:space="0" w:color="auto"/>
              <w:left w:val="outset" w:sz="4" w:space="0" w:color="auto"/>
              <w:bottom w:val="outset" w:sz="4" w:space="0" w:color="auto"/>
              <w:right w:val="outset" w:sz="4" w:space="0" w:color="auto"/>
            </w:tcBorders>
            <w:vAlign w:val="center"/>
          </w:tcPr>
          <w:p w14:paraId="7736EBF2" w14:textId="77777777" w:rsidR="00577D08" w:rsidRDefault="00330FC0">
            <w:pPr>
              <w:jc w:val="right"/>
            </w:pPr>
            <w:r>
              <w:t>83,454,572.15</w:t>
            </w:r>
          </w:p>
        </w:tc>
      </w:tr>
      <w:tr w:rsidR="00577D08" w14:paraId="6E820878" w14:textId="77777777">
        <w:tc>
          <w:tcPr>
            <w:tcW w:w="3507" w:type="dxa"/>
            <w:tcBorders>
              <w:top w:val="outset" w:sz="4" w:space="0" w:color="auto"/>
              <w:left w:val="outset" w:sz="4" w:space="0" w:color="auto"/>
              <w:bottom w:val="outset" w:sz="4" w:space="0" w:color="auto"/>
              <w:right w:val="outset" w:sz="4" w:space="0" w:color="auto"/>
            </w:tcBorders>
            <w:vAlign w:val="center"/>
          </w:tcPr>
          <w:p w14:paraId="46FD0406" w14:textId="77777777" w:rsidR="00577D08" w:rsidRDefault="00330FC0">
            <w:pPr>
              <w:ind w:firstLineChars="300" w:firstLine="630"/>
            </w:pPr>
            <w:r>
              <w:rPr>
                <w:rFonts w:hint="eastAsia"/>
              </w:rPr>
              <w:t>研发费用</w:t>
            </w:r>
          </w:p>
        </w:tc>
        <w:tc>
          <w:tcPr>
            <w:tcW w:w="1516" w:type="dxa"/>
            <w:tcBorders>
              <w:top w:val="outset" w:sz="4" w:space="0" w:color="auto"/>
              <w:left w:val="outset" w:sz="4" w:space="0" w:color="auto"/>
              <w:bottom w:val="outset" w:sz="4" w:space="0" w:color="auto"/>
              <w:right w:val="outset" w:sz="4" w:space="0" w:color="auto"/>
            </w:tcBorders>
            <w:vAlign w:val="center"/>
          </w:tcPr>
          <w:p w14:paraId="73903A3C"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7F170AC0" w14:textId="77777777" w:rsidR="00577D08" w:rsidRDefault="00330FC0">
            <w:pPr>
              <w:jc w:val="right"/>
            </w:pPr>
            <w:r>
              <w:t xml:space="preserve"> 31,345,537.19 </w:t>
            </w:r>
          </w:p>
        </w:tc>
        <w:tc>
          <w:tcPr>
            <w:tcW w:w="2018" w:type="dxa"/>
            <w:tcBorders>
              <w:top w:val="outset" w:sz="4" w:space="0" w:color="auto"/>
              <w:left w:val="outset" w:sz="4" w:space="0" w:color="auto"/>
              <w:bottom w:val="outset" w:sz="4" w:space="0" w:color="auto"/>
              <w:right w:val="outset" w:sz="4" w:space="0" w:color="auto"/>
            </w:tcBorders>
            <w:vAlign w:val="center"/>
          </w:tcPr>
          <w:p w14:paraId="32046ACD" w14:textId="77777777" w:rsidR="00577D08" w:rsidRDefault="00330FC0">
            <w:pPr>
              <w:jc w:val="right"/>
            </w:pPr>
            <w:r>
              <w:t>27,941,410.26</w:t>
            </w:r>
          </w:p>
        </w:tc>
      </w:tr>
      <w:tr w:rsidR="00577D08" w14:paraId="21F637DA" w14:textId="77777777">
        <w:tc>
          <w:tcPr>
            <w:tcW w:w="3507" w:type="dxa"/>
            <w:tcBorders>
              <w:top w:val="outset" w:sz="4" w:space="0" w:color="auto"/>
              <w:left w:val="outset" w:sz="4" w:space="0" w:color="auto"/>
              <w:bottom w:val="outset" w:sz="4" w:space="0" w:color="auto"/>
              <w:right w:val="outset" w:sz="4" w:space="0" w:color="auto"/>
            </w:tcBorders>
            <w:vAlign w:val="center"/>
          </w:tcPr>
          <w:p w14:paraId="0D8BE72C" w14:textId="77777777" w:rsidR="00577D08" w:rsidRDefault="00330FC0">
            <w:pPr>
              <w:ind w:firstLineChars="300" w:firstLine="630"/>
            </w:pPr>
            <w:r>
              <w:rPr>
                <w:rFonts w:hint="eastAsia"/>
              </w:rPr>
              <w:t>财务费用</w:t>
            </w:r>
          </w:p>
        </w:tc>
        <w:tc>
          <w:tcPr>
            <w:tcW w:w="1516" w:type="dxa"/>
            <w:tcBorders>
              <w:top w:val="outset" w:sz="4" w:space="0" w:color="auto"/>
              <w:left w:val="outset" w:sz="4" w:space="0" w:color="auto"/>
              <w:bottom w:val="outset" w:sz="4" w:space="0" w:color="auto"/>
              <w:right w:val="outset" w:sz="4" w:space="0" w:color="auto"/>
            </w:tcBorders>
            <w:vAlign w:val="center"/>
          </w:tcPr>
          <w:p w14:paraId="4B3034F6"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136CA121" w14:textId="77777777" w:rsidR="00577D08" w:rsidRDefault="00330FC0">
            <w:pPr>
              <w:jc w:val="right"/>
            </w:pPr>
            <w:r>
              <w:t xml:space="preserve"> 8,055,534.43 </w:t>
            </w:r>
          </w:p>
        </w:tc>
        <w:tc>
          <w:tcPr>
            <w:tcW w:w="2018" w:type="dxa"/>
            <w:tcBorders>
              <w:top w:val="outset" w:sz="4" w:space="0" w:color="auto"/>
              <w:left w:val="outset" w:sz="4" w:space="0" w:color="auto"/>
              <w:bottom w:val="outset" w:sz="4" w:space="0" w:color="auto"/>
              <w:right w:val="outset" w:sz="4" w:space="0" w:color="auto"/>
            </w:tcBorders>
            <w:vAlign w:val="center"/>
          </w:tcPr>
          <w:p w14:paraId="496E27B5" w14:textId="77777777" w:rsidR="00577D08" w:rsidRDefault="00330FC0">
            <w:pPr>
              <w:jc w:val="right"/>
            </w:pPr>
            <w:r>
              <w:t>-442,245.44</w:t>
            </w:r>
          </w:p>
        </w:tc>
      </w:tr>
      <w:tr w:rsidR="00577D08" w14:paraId="13A17477" w14:textId="77777777">
        <w:tc>
          <w:tcPr>
            <w:tcW w:w="3507" w:type="dxa"/>
            <w:tcBorders>
              <w:top w:val="outset" w:sz="4" w:space="0" w:color="auto"/>
              <w:left w:val="outset" w:sz="4" w:space="0" w:color="auto"/>
              <w:bottom w:val="outset" w:sz="4" w:space="0" w:color="auto"/>
              <w:right w:val="outset" w:sz="4" w:space="0" w:color="auto"/>
            </w:tcBorders>
            <w:vAlign w:val="center"/>
          </w:tcPr>
          <w:p w14:paraId="7DC96BA7" w14:textId="77777777" w:rsidR="00577D08" w:rsidRDefault="00330FC0">
            <w:pPr>
              <w:ind w:firstLineChars="300" w:firstLine="630"/>
            </w:pPr>
            <w:r>
              <w:rPr>
                <w:rFonts w:hint="eastAsia"/>
              </w:rPr>
              <w:t>其中：利息费用</w:t>
            </w:r>
          </w:p>
        </w:tc>
        <w:tc>
          <w:tcPr>
            <w:tcW w:w="1516" w:type="dxa"/>
            <w:tcBorders>
              <w:top w:val="outset" w:sz="4" w:space="0" w:color="auto"/>
              <w:left w:val="outset" w:sz="4" w:space="0" w:color="auto"/>
              <w:bottom w:val="outset" w:sz="4" w:space="0" w:color="auto"/>
              <w:right w:val="outset" w:sz="4" w:space="0" w:color="auto"/>
            </w:tcBorders>
            <w:vAlign w:val="center"/>
          </w:tcPr>
          <w:p w14:paraId="3333CE1E"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657736D4" w14:textId="77777777" w:rsidR="00577D08" w:rsidRDefault="00330FC0">
            <w:pPr>
              <w:jc w:val="right"/>
            </w:pPr>
            <w:r>
              <w:t xml:space="preserve"> 49,540,210.67 </w:t>
            </w:r>
          </w:p>
        </w:tc>
        <w:tc>
          <w:tcPr>
            <w:tcW w:w="2018" w:type="dxa"/>
            <w:tcBorders>
              <w:top w:val="outset" w:sz="4" w:space="0" w:color="auto"/>
              <w:left w:val="outset" w:sz="4" w:space="0" w:color="auto"/>
              <w:bottom w:val="outset" w:sz="4" w:space="0" w:color="auto"/>
              <w:right w:val="outset" w:sz="4" w:space="0" w:color="auto"/>
            </w:tcBorders>
            <w:vAlign w:val="center"/>
          </w:tcPr>
          <w:p w14:paraId="297F4C5E" w14:textId="77777777" w:rsidR="00577D08" w:rsidRDefault="00330FC0">
            <w:pPr>
              <w:jc w:val="right"/>
            </w:pPr>
            <w:r>
              <w:t>40,333,567.13</w:t>
            </w:r>
          </w:p>
        </w:tc>
      </w:tr>
      <w:tr w:rsidR="00577D08" w14:paraId="4240499B" w14:textId="77777777">
        <w:tc>
          <w:tcPr>
            <w:tcW w:w="3507" w:type="dxa"/>
            <w:tcBorders>
              <w:top w:val="outset" w:sz="4" w:space="0" w:color="auto"/>
              <w:left w:val="outset" w:sz="4" w:space="0" w:color="auto"/>
              <w:bottom w:val="outset" w:sz="4" w:space="0" w:color="auto"/>
              <w:right w:val="outset" w:sz="4" w:space="0" w:color="auto"/>
            </w:tcBorders>
            <w:vAlign w:val="center"/>
          </w:tcPr>
          <w:p w14:paraId="33FDA331" w14:textId="77777777" w:rsidR="00577D08" w:rsidRDefault="00330FC0">
            <w:pPr>
              <w:ind w:firstLineChars="600" w:firstLine="1260"/>
            </w:pPr>
            <w:r>
              <w:rPr>
                <w:rFonts w:hint="eastAsia"/>
              </w:rPr>
              <w:t>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246A5DDA"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1F9F3FE0" w14:textId="77777777" w:rsidR="00577D08" w:rsidRDefault="00330FC0">
            <w:pPr>
              <w:jc w:val="right"/>
            </w:pPr>
            <w:r>
              <w:t xml:space="preserve"> 43,794,703.66 </w:t>
            </w:r>
          </w:p>
        </w:tc>
        <w:tc>
          <w:tcPr>
            <w:tcW w:w="2018" w:type="dxa"/>
            <w:tcBorders>
              <w:top w:val="outset" w:sz="4" w:space="0" w:color="auto"/>
              <w:left w:val="outset" w:sz="4" w:space="0" w:color="auto"/>
              <w:bottom w:val="outset" w:sz="4" w:space="0" w:color="auto"/>
              <w:right w:val="outset" w:sz="4" w:space="0" w:color="auto"/>
            </w:tcBorders>
            <w:vAlign w:val="center"/>
          </w:tcPr>
          <w:p w14:paraId="3B623962" w14:textId="77777777" w:rsidR="00577D08" w:rsidRDefault="00330FC0">
            <w:pPr>
              <w:jc w:val="right"/>
            </w:pPr>
            <w:r>
              <w:t>38,356,312.93</w:t>
            </w:r>
          </w:p>
        </w:tc>
      </w:tr>
      <w:tr w:rsidR="00577D08" w14:paraId="2603B0AE" w14:textId="77777777">
        <w:tc>
          <w:tcPr>
            <w:tcW w:w="3507" w:type="dxa"/>
            <w:tcBorders>
              <w:top w:val="outset" w:sz="4" w:space="0" w:color="auto"/>
              <w:left w:val="outset" w:sz="4" w:space="0" w:color="auto"/>
              <w:bottom w:val="outset" w:sz="4" w:space="0" w:color="auto"/>
              <w:right w:val="outset" w:sz="4" w:space="0" w:color="auto"/>
            </w:tcBorders>
            <w:vAlign w:val="center"/>
          </w:tcPr>
          <w:p w14:paraId="37549374" w14:textId="77777777" w:rsidR="00577D08" w:rsidRDefault="00330FC0">
            <w:pPr>
              <w:ind w:firstLineChars="100" w:firstLine="210"/>
            </w:pPr>
            <w:r>
              <w:rPr>
                <w:rFonts w:hint="eastAsia"/>
              </w:rPr>
              <w:t>加：其他收益</w:t>
            </w:r>
          </w:p>
        </w:tc>
        <w:tc>
          <w:tcPr>
            <w:tcW w:w="1516" w:type="dxa"/>
            <w:tcBorders>
              <w:top w:val="outset" w:sz="4" w:space="0" w:color="auto"/>
              <w:left w:val="outset" w:sz="4" w:space="0" w:color="auto"/>
              <w:bottom w:val="outset" w:sz="4" w:space="0" w:color="auto"/>
              <w:right w:val="outset" w:sz="4" w:space="0" w:color="auto"/>
            </w:tcBorders>
            <w:vAlign w:val="center"/>
          </w:tcPr>
          <w:p w14:paraId="42A9A24E" w14:textId="77777777" w:rsidR="00577D08" w:rsidRDefault="00577D08">
            <w:pPr>
              <w:jc w:val="both"/>
            </w:pPr>
          </w:p>
        </w:tc>
        <w:tc>
          <w:tcPr>
            <w:tcW w:w="2008" w:type="dxa"/>
            <w:tcBorders>
              <w:top w:val="outset" w:sz="4" w:space="0" w:color="auto"/>
              <w:left w:val="outset" w:sz="4" w:space="0" w:color="auto"/>
              <w:bottom w:val="outset" w:sz="4" w:space="0" w:color="auto"/>
              <w:right w:val="outset" w:sz="4" w:space="0" w:color="auto"/>
            </w:tcBorders>
            <w:vAlign w:val="center"/>
          </w:tcPr>
          <w:p w14:paraId="00C46A06" w14:textId="77777777" w:rsidR="00577D08" w:rsidRDefault="00330FC0">
            <w:pPr>
              <w:jc w:val="right"/>
            </w:pPr>
            <w:r>
              <w:t xml:space="preserve"> 16,867,515.83 </w:t>
            </w:r>
          </w:p>
        </w:tc>
        <w:tc>
          <w:tcPr>
            <w:tcW w:w="2018" w:type="dxa"/>
            <w:tcBorders>
              <w:top w:val="outset" w:sz="4" w:space="0" w:color="auto"/>
              <w:left w:val="outset" w:sz="4" w:space="0" w:color="auto"/>
              <w:bottom w:val="outset" w:sz="4" w:space="0" w:color="auto"/>
              <w:right w:val="outset" w:sz="4" w:space="0" w:color="auto"/>
            </w:tcBorders>
            <w:vAlign w:val="center"/>
          </w:tcPr>
          <w:p w14:paraId="0A2419F0" w14:textId="77777777" w:rsidR="00577D08" w:rsidRDefault="00330FC0">
            <w:pPr>
              <w:jc w:val="right"/>
            </w:pPr>
            <w:r>
              <w:t>61,235,224.29</w:t>
            </w:r>
          </w:p>
        </w:tc>
      </w:tr>
      <w:tr w:rsidR="00577D08" w14:paraId="4E17BA3A" w14:textId="77777777">
        <w:tc>
          <w:tcPr>
            <w:tcW w:w="3507" w:type="dxa"/>
            <w:tcBorders>
              <w:top w:val="outset" w:sz="4" w:space="0" w:color="auto"/>
              <w:left w:val="outset" w:sz="4" w:space="0" w:color="auto"/>
              <w:bottom w:val="outset" w:sz="4" w:space="0" w:color="auto"/>
              <w:right w:val="outset" w:sz="4" w:space="0" w:color="auto"/>
            </w:tcBorders>
            <w:vAlign w:val="center"/>
          </w:tcPr>
          <w:p w14:paraId="769DD3CB" w14:textId="77777777" w:rsidR="00577D08" w:rsidRDefault="00330FC0">
            <w:pPr>
              <w:ind w:firstLineChars="300" w:firstLine="630"/>
            </w:pPr>
            <w:r>
              <w:rPr>
                <w:rFonts w:hint="eastAsia"/>
              </w:rPr>
              <w:t>投资收益（损失以“－”号填列）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1FD30D5E" w14:textId="77777777" w:rsidR="00577D08" w:rsidRDefault="00330FC0">
            <w:pPr>
              <w:jc w:val="both"/>
            </w:pPr>
            <w:r>
              <w:rPr>
                <w:rFonts w:hint="eastAsia"/>
              </w:rPr>
              <w:t>十九、</w:t>
            </w:r>
            <w:r>
              <w:rPr>
                <w:rFonts w:hint="eastAsia"/>
              </w:rPr>
              <w:t>5</w:t>
            </w:r>
          </w:p>
        </w:tc>
        <w:tc>
          <w:tcPr>
            <w:tcW w:w="2008" w:type="dxa"/>
            <w:tcBorders>
              <w:top w:val="outset" w:sz="4" w:space="0" w:color="auto"/>
              <w:left w:val="outset" w:sz="4" w:space="0" w:color="auto"/>
              <w:bottom w:val="outset" w:sz="4" w:space="0" w:color="auto"/>
              <w:right w:val="outset" w:sz="4" w:space="0" w:color="auto"/>
            </w:tcBorders>
            <w:vAlign w:val="center"/>
          </w:tcPr>
          <w:p w14:paraId="7EB49FB1" w14:textId="77777777" w:rsidR="00577D08" w:rsidRDefault="00330FC0">
            <w:pPr>
              <w:jc w:val="right"/>
            </w:pPr>
            <w:r>
              <w:t xml:space="preserve"> -2,672,611.31 </w:t>
            </w:r>
          </w:p>
        </w:tc>
        <w:tc>
          <w:tcPr>
            <w:tcW w:w="2018" w:type="dxa"/>
            <w:tcBorders>
              <w:top w:val="outset" w:sz="4" w:space="0" w:color="auto"/>
              <w:left w:val="outset" w:sz="4" w:space="0" w:color="auto"/>
              <w:bottom w:val="outset" w:sz="4" w:space="0" w:color="auto"/>
              <w:right w:val="outset" w:sz="4" w:space="0" w:color="auto"/>
            </w:tcBorders>
            <w:vAlign w:val="center"/>
          </w:tcPr>
          <w:p w14:paraId="725F539E" w14:textId="77777777" w:rsidR="00577D08" w:rsidRDefault="00330FC0">
            <w:pPr>
              <w:jc w:val="right"/>
            </w:pPr>
            <w:r>
              <w:t>6,409,421.98</w:t>
            </w:r>
          </w:p>
        </w:tc>
      </w:tr>
      <w:tr w:rsidR="00577D08" w14:paraId="1ACA8BA9" w14:textId="77777777">
        <w:tc>
          <w:tcPr>
            <w:tcW w:w="3507" w:type="dxa"/>
            <w:tcBorders>
              <w:top w:val="outset" w:sz="4" w:space="0" w:color="auto"/>
              <w:left w:val="outset" w:sz="4" w:space="0" w:color="auto"/>
              <w:bottom w:val="outset" w:sz="4" w:space="0" w:color="auto"/>
              <w:right w:val="outset" w:sz="4" w:space="0" w:color="auto"/>
            </w:tcBorders>
            <w:vAlign w:val="center"/>
          </w:tcPr>
          <w:p w14:paraId="7F501736" w14:textId="77777777" w:rsidR="00577D08" w:rsidRDefault="00330FC0">
            <w:pPr>
              <w:ind w:firstLineChars="300" w:firstLine="630"/>
            </w:pPr>
            <w:r>
              <w:rPr>
                <w:rFonts w:hint="eastAsia"/>
              </w:rPr>
              <w:lastRenderedPageBreak/>
              <w:t>其中：对联营企业和合营企业的投资收益</w:t>
            </w:r>
          </w:p>
        </w:tc>
        <w:tc>
          <w:tcPr>
            <w:tcW w:w="1516" w:type="dxa"/>
            <w:tcBorders>
              <w:top w:val="outset" w:sz="4" w:space="0" w:color="auto"/>
              <w:left w:val="outset" w:sz="4" w:space="0" w:color="auto"/>
              <w:bottom w:val="outset" w:sz="4" w:space="0" w:color="auto"/>
              <w:right w:val="outset" w:sz="4" w:space="0" w:color="auto"/>
            </w:tcBorders>
          </w:tcPr>
          <w:p w14:paraId="3E977225"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302D546" w14:textId="77777777" w:rsidR="00577D08" w:rsidRDefault="00330FC0">
            <w:pPr>
              <w:jc w:val="right"/>
            </w:pPr>
            <w:r>
              <w:t xml:space="preserve"> -2,614,130.95 </w:t>
            </w:r>
          </w:p>
        </w:tc>
        <w:tc>
          <w:tcPr>
            <w:tcW w:w="2018" w:type="dxa"/>
            <w:tcBorders>
              <w:top w:val="outset" w:sz="4" w:space="0" w:color="auto"/>
              <w:left w:val="outset" w:sz="4" w:space="0" w:color="auto"/>
              <w:bottom w:val="outset" w:sz="4" w:space="0" w:color="auto"/>
              <w:right w:val="outset" w:sz="4" w:space="0" w:color="auto"/>
            </w:tcBorders>
            <w:vAlign w:val="center"/>
          </w:tcPr>
          <w:p w14:paraId="2EBCC47C" w14:textId="77777777" w:rsidR="00577D08" w:rsidRDefault="00330FC0">
            <w:pPr>
              <w:jc w:val="right"/>
            </w:pPr>
            <w:r>
              <w:t>-524,873.05</w:t>
            </w:r>
          </w:p>
        </w:tc>
      </w:tr>
      <w:tr w:rsidR="00577D08" w14:paraId="2808702A" w14:textId="77777777">
        <w:tc>
          <w:tcPr>
            <w:tcW w:w="3507" w:type="dxa"/>
            <w:tcBorders>
              <w:top w:val="outset" w:sz="4" w:space="0" w:color="auto"/>
              <w:left w:val="outset" w:sz="4" w:space="0" w:color="auto"/>
              <w:bottom w:val="outset" w:sz="4" w:space="0" w:color="auto"/>
              <w:right w:val="outset" w:sz="4" w:space="0" w:color="auto"/>
            </w:tcBorders>
            <w:vAlign w:val="center"/>
          </w:tcPr>
          <w:p w14:paraId="675C983A" w14:textId="77777777" w:rsidR="00577D08" w:rsidRDefault="00330FC0">
            <w:pPr>
              <w:ind w:firstLineChars="550" w:firstLine="1155"/>
            </w:pPr>
            <w:r>
              <w:rPr>
                <w:rFonts w:hint="eastAsia"/>
              </w:rPr>
              <w:t>以摊余成本计量的金融资产终止确认收益</w:t>
            </w:r>
          </w:p>
        </w:tc>
        <w:tc>
          <w:tcPr>
            <w:tcW w:w="1516" w:type="dxa"/>
            <w:tcBorders>
              <w:top w:val="outset" w:sz="4" w:space="0" w:color="auto"/>
              <w:left w:val="outset" w:sz="4" w:space="0" w:color="auto"/>
              <w:bottom w:val="outset" w:sz="4" w:space="0" w:color="auto"/>
              <w:right w:val="outset" w:sz="4" w:space="0" w:color="auto"/>
            </w:tcBorders>
          </w:tcPr>
          <w:p w14:paraId="6648CDFF"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213A32E"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1667D2A3" w14:textId="77777777" w:rsidR="00577D08" w:rsidRDefault="00577D08">
            <w:pPr>
              <w:jc w:val="right"/>
              <w:rPr>
                <w:bCs/>
              </w:rPr>
            </w:pPr>
          </w:p>
        </w:tc>
      </w:tr>
      <w:tr w:rsidR="00577D08" w14:paraId="35FAAAE9" w14:textId="77777777">
        <w:tc>
          <w:tcPr>
            <w:tcW w:w="3507" w:type="dxa"/>
            <w:tcBorders>
              <w:top w:val="outset" w:sz="4" w:space="0" w:color="auto"/>
              <w:left w:val="outset" w:sz="4" w:space="0" w:color="auto"/>
              <w:bottom w:val="outset" w:sz="4" w:space="0" w:color="auto"/>
              <w:right w:val="outset" w:sz="4" w:space="0" w:color="auto"/>
            </w:tcBorders>
            <w:vAlign w:val="center"/>
          </w:tcPr>
          <w:p w14:paraId="66C3B088" w14:textId="77777777" w:rsidR="00577D08" w:rsidRDefault="00330FC0">
            <w:pPr>
              <w:ind w:firstLineChars="300" w:firstLine="630"/>
            </w:pPr>
            <w:r>
              <w:rPr>
                <w:rFonts w:hint="eastAsia"/>
              </w:rPr>
              <w:t>净敞口套期收益（损失以“</w:t>
            </w:r>
            <w:r>
              <w:t>-”</w:t>
            </w:r>
            <w:r>
              <w:t>号填列）</w:t>
            </w:r>
          </w:p>
        </w:tc>
        <w:tc>
          <w:tcPr>
            <w:tcW w:w="1516" w:type="dxa"/>
            <w:tcBorders>
              <w:top w:val="outset" w:sz="4" w:space="0" w:color="auto"/>
              <w:left w:val="outset" w:sz="4" w:space="0" w:color="auto"/>
              <w:bottom w:val="outset" w:sz="4" w:space="0" w:color="auto"/>
              <w:right w:val="outset" w:sz="4" w:space="0" w:color="auto"/>
            </w:tcBorders>
          </w:tcPr>
          <w:p w14:paraId="7C5830DD"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E5777DC"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C9E0A36" w14:textId="77777777" w:rsidR="00577D08" w:rsidRDefault="00577D08">
            <w:pPr>
              <w:jc w:val="right"/>
            </w:pPr>
          </w:p>
        </w:tc>
      </w:tr>
      <w:tr w:rsidR="00577D08" w14:paraId="2ABB05D2" w14:textId="77777777">
        <w:tc>
          <w:tcPr>
            <w:tcW w:w="3507" w:type="dxa"/>
            <w:tcBorders>
              <w:top w:val="outset" w:sz="4" w:space="0" w:color="auto"/>
              <w:left w:val="outset" w:sz="4" w:space="0" w:color="auto"/>
              <w:bottom w:val="outset" w:sz="4" w:space="0" w:color="auto"/>
              <w:right w:val="outset" w:sz="4" w:space="0" w:color="auto"/>
            </w:tcBorders>
            <w:vAlign w:val="center"/>
          </w:tcPr>
          <w:p w14:paraId="6C7B78B2" w14:textId="77777777" w:rsidR="00577D08" w:rsidRDefault="00330FC0">
            <w:pPr>
              <w:ind w:firstLineChars="300" w:firstLine="630"/>
              <w:rPr>
                <w:color w:val="000000"/>
              </w:rPr>
            </w:pPr>
            <w:r>
              <w:rPr>
                <w:rFonts w:hint="eastAsia"/>
              </w:rPr>
              <w:t>公允价值变动收益（损失以“－”号填列）</w:t>
            </w:r>
          </w:p>
        </w:tc>
        <w:tc>
          <w:tcPr>
            <w:tcW w:w="1516" w:type="dxa"/>
            <w:tcBorders>
              <w:top w:val="outset" w:sz="4" w:space="0" w:color="auto"/>
              <w:left w:val="outset" w:sz="4" w:space="0" w:color="auto"/>
              <w:bottom w:val="outset" w:sz="4" w:space="0" w:color="auto"/>
              <w:right w:val="outset" w:sz="4" w:space="0" w:color="auto"/>
            </w:tcBorders>
          </w:tcPr>
          <w:p w14:paraId="57D22C83"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35029481"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3F07D674" w14:textId="77777777" w:rsidR="00577D08" w:rsidRDefault="00330FC0">
            <w:pPr>
              <w:jc w:val="right"/>
            </w:pPr>
            <w:r>
              <w:t>58,819.44</w:t>
            </w:r>
          </w:p>
        </w:tc>
      </w:tr>
      <w:tr w:rsidR="00577D08" w14:paraId="0EC10199" w14:textId="77777777">
        <w:tc>
          <w:tcPr>
            <w:tcW w:w="3507" w:type="dxa"/>
            <w:tcBorders>
              <w:top w:val="outset" w:sz="4" w:space="0" w:color="auto"/>
              <w:left w:val="outset" w:sz="4" w:space="0" w:color="auto"/>
              <w:bottom w:val="outset" w:sz="4" w:space="0" w:color="auto"/>
              <w:right w:val="outset" w:sz="4" w:space="0" w:color="auto"/>
            </w:tcBorders>
            <w:vAlign w:val="center"/>
          </w:tcPr>
          <w:p w14:paraId="63DB0F6C" w14:textId="77777777" w:rsidR="00577D08" w:rsidRDefault="00330FC0">
            <w:pPr>
              <w:ind w:firstLineChars="300" w:firstLine="630"/>
            </w:pPr>
            <w:r>
              <w:rPr>
                <w:rFonts w:hint="eastAsia"/>
              </w:rPr>
              <w:t>信用减值损失（损失以“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tcPr>
          <w:p w14:paraId="65EB7CAC"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61AB58B" w14:textId="77777777" w:rsidR="00577D08" w:rsidRDefault="00330FC0">
            <w:pPr>
              <w:jc w:val="right"/>
            </w:pPr>
            <w:r>
              <w:t xml:space="preserve"> -20,836,618.79 </w:t>
            </w:r>
          </w:p>
        </w:tc>
        <w:tc>
          <w:tcPr>
            <w:tcW w:w="2018" w:type="dxa"/>
            <w:tcBorders>
              <w:top w:val="outset" w:sz="4" w:space="0" w:color="auto"/>
              <w:left w:val="outset" w:sz="4" w:space="0" w:color="auto"/>
              <w:bottom w:val="outset" w:sz="4" w:space="0" w:color="auto"/>
              <w:right w:val="outset" w:sz="4" w:space="0" w:color="auto"/>
            </w:tcBorders>
            <w:vAlign w:val="center"/>
          </w:tcPr>
          <w:p w14:paraId="19B34DEB" w14:textId="77777777" w:rsidR="00577D08" w:rsidRDefault="00330FC0">
            <w:pPr>
              <w:jc w:val="right"/>
            </w:pPr>
            <w:r>
              <w:t>-8,017,298.74</w:t>
            </w:r>
          </w:p>
        </w:tc>
      </w:tr>
      <w:tr w:rsidR="00577D08" w14:paraId="6A5602C1" w14:textId="77777777">
        <w:tc>
          <w:tcPr>
            <w:tcW w:w="3507" w:type="dxa"/>
            <w:tcBorders>
              <w:top w:val="outset" w:sz="4" w:space="0" w:color="auto"/>
              <w:left w:val="outset" w:sz="4" w:space="0" w:color="auto"/>
              <w:bottom w:val="outset" w:sz="4" w:space="0" w:color="auto"/>
              <w:right w:val="outset" w:sz="4" w:space="0" w:color="auto"/>
            </w:tcBorders>
            <w:vAlign w:val="center"/>
          </w:tcPr>
          <w:p w14:paraId="1D66FA2A" w14:textId="77777777" w:rsidR="00577D08" w:rsidRDefault="00330FC0">
            <w:pPr>
              <w:ind w:firstLineChars="300" w:firstLine="630"/>
            </w:pPr>
            <w:r>
              <w:rPr>
                <w:rFonts w:hint="eastAsia"/>
              </w:rPr>
              <w:t>资产减值损失（损失以“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tcPr>
          <w:p w14:paraId="1297DDD9"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67269756" w14:textId="77777777" w:rsidR="00577D08" w:rsidRDefault="00330FC0">
            <w:pPr>
              <w:jc w:val="right"/>
            </w:pPr>
            <w:r>
              <w:t xml:space="preserve"> -17,310,610.87 </w:t>
            </w:r>
          </w:p>
        </w:tc>
        <w:tc>
          <w:tcPr>
            <w:tcW w:w="2018" w:type="dxa"/>
            <w:tcBorders>
              <w:top w:val="outset" w:sz="4" w:space="0" w:color="auto"/>
              <w:left w:val="outset" w:sz="4" w:space="0" w:color="auto"/>
              <w:bottom w:val="outset" w:sz="4" w:space="0" w:color="auto"/>
              <w:right w:val="outset" w:sz="4" w:space="0" w:color="auto"/>
            </w:tcBorders>
            <w:vAlign w:val="center"/>
          </w:tcPr>
          <w:p w14:paraId="4E889F59" w14:textId="77777777" w:rsidR="00577D08" w:rsidRDefault="00330FC0">
            <w:pPr>
              <w:jc w:val="right"/>
            </w:pPr>
            <w:r>
              <w:t>-9,483,723.24</w:t>
            </w:r>
          </w:p>
        </w:tc>
      </w:tr>
      <w:tr w:rsidR="00577D08" w14:paraId="3639FD77" w14:textId="77777777">
        <w:tc>
          <w:tcPr>
            <w:tcW w:w="3507" w:type="dxa"/>
            <w:tcBorders>
              <w:top w:val="outset" w:sz="4" w:space="0" w:color="auto"/>
              <w:left w:val="outset" w:sz="4" w:space="0" w:color="auto"/>
              <w:bottom w:val="outset" w:sz="4" w:space="0" w:color="auto"/>
              <w:right w:val="outset" w:sz="4" w:space="0" w:color="auto"/>
            </w:tcBorders>
            <w:vAlign w:val="center"/>
          </w:tcPr>
          <w:p w14:paraId="00B495C3" w14:textId="77777777" w:rsidR="00577D08" w:rsidRDefault="00330FC0">
            <w:pPr>
              <w:ind w:firstLineChars="300" w:firstLine="630"/>
            </w:pPr>
            <w:r>
              <w:rPr>
                <w:rFonts w:hint="eastAsia"/>
              </w:rPr>
              <w:t>资产处置收益（损失以“－”号填列）</w:t>
            </w:r>
          </w:p>
        </w:tc>
        <w:tc>
          <w:tcPr>
            <w:tcW w:w="1516" w:type="dxa"/>
            <w:tcBorders>
              <w:top w:val="outset" w:sz="4" w:space="0" w:color="auto"/>
              <w:left w:val="outset" w:sz="4" w:space="0" w:color="auto"/>
              <w:bottom w:val="outset" w:sz="4" w:space="0" w:color="auto"/>
              <w:right w:val="outset" w:sz="4" w:space="0" w:color="auto"/>
            </w:tcBorders>
          </w:tcPr>
          <w:p w14:paraId="2AE1FFA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3B1A85A3" w14:textId="77777777" w:rsidR="00577D08" w:rsidRDefault="00330FC0">
            <w:pPr>
              <w:jc w:val="right"/>
            </w:pPr>
            <w:r>
              <w:t xml:space="preserve"> 96,562.33 </w:t>
            </w:r>
          </w:p>
        </w:tc>
        <w:tc>
          <w:tcPr>
            <w:tcW w:w="2018" w:type="dxa"/>
            <w:tcBorders>
              <w:top w:val="outset" w:sz="4" w:space="0" w:color="auto"/>
              <w:left w:val="outset" w:sz="4" w:space="0" w:color="auto"/>
              <w:bottom w:val="outset" w:sz="4" w:space="0" w:color="auto"/>
              <w:right w:val="outset" w:sz="4" w:space="0" w:color="auto"/>
            </w:tcBorders>
            <w:vAlign w:val="center"/>
          </w:tcPr>
          <w:p w14:paraId="038591E0" w14:textId="77777777" w:rsidR="00577D08" w:rsidRDefault="00330FC0">
            <w:pPr>
              <w:jc w:val="right"/>
            </w:pPr>
            <w:r>
              <w:t>555,200.04</w:t>
            </w:r>
          </w:p>
        </w:tc>
      </w:tr>
      <w:tr w:rsidR="00577D08" w14:paraId="30B37653" w14:textId="77777777">
        <w:tc>
          <w:tcPr>
            <w:tcW w:w="3507" w:type="dxa"/>
            <w:tcBorders>
              <w:top w:val="outset" w:sz="4" w:space="0" w:color="auto"/>
              <w:left w:val="outset" w:sz="4" w:space="0" w:color="auto"/>
              <w:bottom w:val="outset" w:sz="4" w:space="0" w:color="auto"/>
              <w:right w:val="outset" w:sz="4" w:space="0" w:color="auto"/>
            </w:tcBorders>
            <w:vAlign w:val="center"/>
          </w:tcPr>
          <w:p w14:paraId="69BD95D2" w14:textId="77777777" w:rsidR="00577D08" w:rsidRDefault="00330FC0">
            <w:pPr>
              <w:ind w:left="-19"/>
              <w:rPr>
                <w:color w:val="000000"/>
              </w:rPr>
            </w:pPr>
            <w:r>
              <w:rPr>
                <w:rFonts w:hint="eastAsia"/>
              </w:rPr>
              <w:t>二、营业利润（亏损以“－”号填列）</w:t>
            </w:r>
          </w:p>
        </w:tc>
        <w:tc>
          <w:tcPr>
            <w:tcW w:w="1516" w:type="dxa"/>
            <w:tcBorders>
              <w:top w:val="outset" w:sz="4" w:space="0" w:color="auto"/>
              <w:left w:val="outset" w:sz="4" w:space="0" w:color="auto"/>
              <w:bottom w:val="outset" w:sz="4" w:space="0" w:color="auto"/>
              <w:right w:val="outset" w:sz="4" w:space="0" w:color="auto"/>
            </w:tcBorders>
          </w:tcPr>
          <w:p w14:paraId="29298018"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3823D44A" w14:textId="77777777" w:rsidR="00577D08" w:rsidRDefault="00330FC0">
            <w:pPr>
              <w:jc w:val="right"/>
            </w:pPr>
            <w:r>
              <w:t xml:space="preserve"> 60,124,376.64 </w:t>
            </w:r>
          </w:p>
        </w:tc>
        <w:tc>
          <w:tcPr>
            <w:tcW w:w="2018" w:type="dxa"/>
            <w:tcBorders>
              <w:top w:val="outset" w:sz="4" w:space="0" w:color="auto"/>
              <w:left w:val="outset" w:sz="4" w:space="0" w:color="auto"/>
              <w:bottom w:val="outset" w:sz="4" w:space="0" w:color="auto"/>
              <w:right w:val="outset" w:sz="4" w:space="0" w:color="auto"/>
            </w:tcBorders>
            <w:vAlign w:val="center"/>
          </w:tcPr>
          <w:p w14:paraId="5193DDDE" w14:textId="77777777" w:rsidR="00577D08" w:rsidRDefault="00330FC0">
            <w:pPr>
              <w:jc w:val="right"/>
            </w:pPr>
            <w:r>
              <w:t>70,934,143.84</w:t>
            </w:r>
          </w:p>
        </w:tc>
      </w:tr>
      <w:tr w:rsidR="00577D08" w14:paraId="34C998F7" w14:textId="77777777">
        <w:tc>
          <w:tcPr>
            <w:tcW w:w="3507" w:type="dxa"/>
            <w:tcBorders>
              <w:top w:val="outset" w:sz="4" w:space="0" w:color="auto"/>
              <w:left w:val="outset" w:sz="4" w:space="0" w:color="auto"/>
              <w:bottom w:val="outset" w:sz="4" w:space="0" w:color="auto"/>
              <w:right w:val="outset" w:sz="4" w:space="0" w:color="auto"/>
            </w:tcBorders>
            <w:vAlign w:val="center"/>
          </w:tcPr>
          <w:p w14:paraId="6FCF1E79" w14:textId="77777777" w:rsidR="00577D08" w:rsidRDefault="00330FC0">
            <w:pPr>
              <w:ind w:firstLineChars="100" w:firstLine="210"/>
              <w:rPr>
                <w:color w:val="000000"/>
              </w:rPr>
            </w:pPr>
            <w:r>
              <w:rPr>
                <w:rFonts w:hint="eastAsia"/>
              </w:rPr>
              <w:t>加：营业外收入</w:t>
            </w:r>
          </w:p>
        </w:tc>
        <w:tc>
          <w:tcPr>
            <w:tcW w:w="1516" w:type="dxa"/>
            <w:tcBorders>
              <w:top w:val="outset" w:sz="4" w:space="0" w:color="auto"/>
              <w:left w:val="outset" w:sz="4" w:space="0" w:color="auto"/>
              <w:bottom w:val="outset" w:sz="4" w:space="0" w:color="auto"/>
              <w:right w:val="outset" w:sz="4" w:space="0" w:color="auto"/>
            </w:tcBorders>
          </w:tcPr>
          <w:p w14:paraId="77D0FD5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2794F144" w14:textId="77777777" w:rsidR="00577D08" w:rsidRDefault="00330FC0">
            <w:pPr>
              <w:jc w:val="right"/>
            </w:pPr>
            <w:r>
              <w:t xml:space="preserve"> 10,264.41 </w:t>
            </w:r>
          </w:p>
        </w:tc>
        <w:tc>
          <w:tcPr>
            <w:tcW w:w="2018" w:type="dxa"/>
            <w:tcBorders>
              <w:top w:val="outset" w:sz="4" w:space="0" w:color="auto"/>
              <w:left w:val="outset" w:sz="4" w:space="0" w:color="auto"/>
              <w:bottom w:val="outset" w:sz="4" w:space="0" w:color="auto"/>
              <w:right w:val="outset" w:sz="4" w:space="0" w:color="auto"/>
            </w:tcBorders>
            <w:vAlign w:val="center"/>
          </w:tcPr>
          <w:p w14:paraId="17F889C2" w14:textId="77777777" w:rsidR="00577D08" w:rsidRDefault="00330FC0">
            <w:pPr>
              <w:jc w:val="right"/>
            </w:pPr>
            <w:r>
              <w:t>1,221,284.75</w:t>
            </w:r>
          </w:p>
        </w:tc>
      </w:tr>
      <w:tr w:rsidR="00577D08" w14:paraId="0687A867" w14:textId="77777777">
        <w:tc>
          <w:tcPr>
            <w:tcW w:w="3507" w:type="dxa"/>
            <w:tcBorders>
              <w:top w:val="outset" w:sz="4" w:space="0" w:color="auto"/>
              <w:left w:val="outset" w:sz="4" w:space="0" w:color="auto"/>
              <w:bottom w:val="outset" w:sz="4" w:space="0" w:color="auto"/>
              <w:right w:val="outset" w:sz="4" w:space="0" w:color="auto"/>
            </w:tcBorders>
            <w:vAlign w:val="center"/>
          </w:tcPr>
          <w:p w14:paraId="34FE0C21" w14:textId="77777777" w:rsidR="00577D08" w:rsidRDefault="00330FC0">
            <w:pPr>
              <w:ind w:firstLineChars="100" w:firstLine="210"/>
              <w:rPr>
                <w:color w:val="000000"/>
              </w:rPr>
            </w:pPr>
            <w:r>
              <w:rPr>
                <w:rFonts w:hint="eastAsia"/>
              </w:rPr>
              <w:t>减：营业外支出</w:t>
            </w:r>
          </w:p>
        </w:tc>
        <w:tc>
          <w:tcPr>
            <w:tcW w:w="1516" w:type="dxa"/>
            <w:tcBorders>
              <w:top w:val="outset" w:sz="4" w:space="0" w:color="auto"/>
              <w:left w:val="outset" w:sz="4" w:space="0" w:color="auto"/>
              <w:bottom w:val="outset" w:sz="4" w:space="0" w:color="auto"/>
              <w:right w:val="outset" w:sz="4" w:space="0" w:color="auto"/>
            </w:tcBorders>
          </w:tcPr>
          <w:p w14:paraId="11242402"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32862849" w14:textId="77777777" w:rsidR="00577D08" w:rsidRDefault="00330FC0">
            <w:pPr>
              <w:jc w:val="right"/>
            </w:pPr>
            <w:r>
              <w:t xml:space="preserve"> 3,163,204.53 </w:t>
            </w:r>
          </w:p>
        </w:tc>
        <w:tc>
          <w:tcPr>
            <w:tcW w:w="2018" w:type="dxa"/>
            <w:tcBorders>
              <w:top w:val="outset" w:sz="4" w:space="0" w:color="auto"/>
              <w:left w:val="outset" w:sz="4" w:space="0" w:color="auto"/>
              <w:bottom w:val="outset" w:sz="4" w:space="0" w:color="auto"/>
              <w:right w:val="outset" w:sz="4" w:space="0" w:color="auto"/>
            </w:tcBorders>
            <w:vAlign w:val="center"/>
          </w:tcPr>
          <w:p w14:paraId="5FC43DE7" w14:textId="77777777" w:rsidR="00577D08" w:rsidRDefault="00330FC0">
            <w:pPr>
              <w:jc w:val="right"/>
            </w:pPr>
            <w:r>
              <w:t>23,018,959.18</w:t>
            </w:r>
          </w:p>
        </w:tc>
      </w:tr>
      <w:tr w:rsidR="00577D08" w14:paraId="6194E910" w14:textId="77777777">
        <w:tc>
          <w:tcPr>
            <w:tcW w:w="3507" w:type="dxa"/>
            <w:tcBorders>
              <w:top w:val="outset" w:sz="4" w:space="0" w:color="auto"/>
              <w:left w:val="outset" w:sz="4" w:space="0" w:color="auto"/>
              <w:bottom w:val="outset" w:sz="4" w:space="0" w:color="auto"/>
              <w:right w:val="outset" w:sz="4" w:space="0" w:color="auto"/>
            </w:tcBorders>
            <w:vAlign w:val="center"/>
          </w:tcPr>
          <w:p w14:paraId="1D5436F6" w14:textId="77777777" w:rsidR="00577D08" w:rsidRDefault="00330FC0">
            <w:pPr>
              <w:ind w:left="-19"/>
              <w:rPr>
                <w:color w:val="000000"/>
              </w:rPr>
            </w:pPr>
            <w:r>
              <w:rPr>
                <w:rFonts w:hint="eastAsia"/>
              </w:rPr>
              <w:t>三、利润总额（亏损总额以“－”号填列）</w:t>
            </w:r>
          </w:p>
        </w:tc>
        <w:tc>
          <w:tcPr>
            <w:tcW w:w="1516" w:type="dxa"/>
            <w:tcBorders>
              <w:top w:val="outset" w:sz="4" w:space="0" w:color="auto"/>
              <w:left w:val="outset" w:sz="4" w:space="0" w:color="auto"/>
              <w:bottom w:val="outset" w:sz="4" w:space="0" w:color="auto"/>
              <w:right w:val="outset" w:sz="4" w:space="0" w:color="auto"/>
            </w:tcBorders>
          </w:tcPr>
          <w:p w14:paraId="42CD300B"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4B8E412" w14:textId="77777777" w:rsidR="00577D08" w:rsidRDefault="00330FC0">
            <w:pPr>
              <w:jc w:val="right"/>
            </w:pPr>
            <w:r>
              <w:t xml:space="preserve"> 56,971,436.52 </w:t>
            </w:r>
          </w:p>
        </w:tc>
        <w:tc>
          <w:tcPr>
            <w:tcW w:w="2018" w:type="dxa"/>
            <w:tcBorders>
              <w:top w:val="outset" w:sz="4" w:space="0" w:color="auto"/>
              <w:left w:val="outset" w:sz="4" w:space="0" w:color="auto"/>
              <w:bottom w:val="outset" w:sz="4" w:space="0" w:color="auto"/>
              <w:right w:val="outset" w:sz="4" w:space="0" w:color="auto"/>
            </w:tcBorders>
            <w:vAlign w:val="center"/>
          </w:tcPr>
          <w:p w14:paraId="54126AB8" w14:textId="77777777" w:rsidR="00577D08" w:rsidRDefault="00330FC0">
            <w:pPr>
              <w:jc w:val="right"/>
            </w:pPr>
            <w:r>
              <w:t>49,136,469.41</w:t>
            </w:r>
          </w:p>
        </w:tc>
      </w:tr>
      <w:tr w:rsidR="00577D08" w14:paraId="0781D709" w14:textId="77777777">
        <w:tc>
          <w:tcPr>
            <w:tcW w:w="3507" w:type="dxa"/>
            <w:tcBorders>
              <w:top w:val="outset" w:sz="4" w:space="0" w:color="auto"/>
              <w:left w:val="outset" w:sz="4" w:space="0" w:color="auto"/>
              <w:bottom w:val="outset" w:sz="4" w:space="0" w:color="auto"/>
              <w:right w:val="outset" w:sz="4" w:space="0" w:color="auto"/>
            </w:tcBorders>
            <w:vAlign w:val="center"/>
          </w:tcPr>
          <w:p w14:paraId="28BDEAF2" w14:textId="77777777" w:rsidR="00577D08" w:rsidRDefault="00330FC0">
            <w:pPr>
              <w:ind w:left="-19" w:firstLineChars="200" w:firstLine="420"/>
              <w:rPr>
                <w:color w:val="000000"/>
              </w:rPr>
            </w:pPr>
            <w:r>
              <w:rPr>
                <w:rFonts w:hint="eastAsia"/>
              </w:rPr>
              <w:t>减：所得税费用</w:t>
            </w:r>
          </w:p>
        </w:tc>
        <w:tc>
          <w:tcPr>
            <w:tcW w:w="1516" w:type="dxa"/>
            <w:tcBorders>
              <w:top w:val="outset" w:sz="4" w:space="0" w:color="auto"/>
              <w:left w:val="outset" w:sz="4" w:space="0" w:color="auto"/>
              <w:bottom w:val="outset" w:sz="4" w:space="0" w:color="auto"/>
              <w:right w:val="outset" w:sz="4" w:space="0" w:color="auto"/>
            </w:tcBorders>
          </w:tcPr>
          <w:p w14:paraId="18EB217B"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0F701DD0" w14:textId="77777777" w:rsidR="00577D08" w:rsidRDefault="00330FC0">
            <w:pPr>
              <w:jc w:val="right"/>
            </w:pPr>
            <w:r>
              <w:t xml:space="preserve"> 8,454,779.44 </w:t>
            </w:r>
          </w:p>
        </w:tc>
        <w:tc>
          <w:tcPr>
            <w:tcW w:w="2018" w:type="dxa"/>
            <w:tcBorders>
              <w:top w:val="outset" w:sz="4" w:space="0" w:color="auto"/>
              <w:left w:val="outset" w:sz="4" w:space="0" w:color="auto"/>
              <w:bottom w:val="outset" w:sz="4" w:space="0" w:color="auto"/>
              <w:right w:val="outset" w:sz="4" w:space="0" w:color="auto"/>
            </w:tcBorders>
            <w:vAlign w:val="center"/>
          </w:tcPr>
          <w:p w14:paraId="5B347BE5" w14:textId="77777777" w:rsidR="00577D08" w:rsidRDefault="00330FC0">
            <w:pPr>
              <w:jc w:val="right"/>
            </w:pPr>
            <w:r>
              <w:t>8,068,652.34</w:t>
            </w:r>
          </w:p>
        </w:tc>
      </w:tr>
      <w:tr w:rsidR="00577D08" w14:paraId="16263A3B" w14:textId="77777777">
        <w:tc>
          <w:tcPr>
            <w:tcW w:w="3507" w:type="dxa"/>
            <w:tcBorders>
              <w:top w:val="outset" w:sz="4" w:space="0" w:color="auto"/>
              <w:left w:val="outset" w:sz="4" w:space="0" w:color="auto"/>
              <w:bottom w:val="outset" w:sz="4" w:space="0" w:color="auto"/>
              <w:right w:val="outset" w:sz="4" w:space="0" w:color="auto"/>
            </w:tcBorders>
            <w:vAlign w:val="center"/>
          </w:tcPr>
          <w:p w14:paraId="1B233BC1" w14:textId="77777777" w:rsidR="00577D08" w:rsidRDefault="00330FC0">
            <w:pPr>
              <w:ind w:left="-19"/>
              <w:rPr>
                <w:color w:val="000000"/>
              </w:rPr>
            </w:pPr>
            <w:r>
              <w:rPr>
                <w:rFonts w:hint="eastAsia"/>
              </w:rPr>
              <w:t>四、净利润（净亏损以“－”号填列）</w:t>
            </w:r>
          </w:p>
        </w:tc>
        <w:tc>
          <w:tcPr>
            <w:tcW w:w="1516" w:type="dxa"/>
            <w:tcBorders>
              <w:top w:val="outset" w:sz="4" w:space="0" w:color="auto"/>
              <w:left w:val="outset" w:sz="4" w:space="0" w:color="auto"/>
              <w:bottom w:val="outset" w:sz="4" w:space="0" w:color="auto"/>
              <w:right w:val="outset" w:sz="4" w:space="0" w:color="auto"/>
            </w:tcBorders>
          </w:tcPr>
          <w:p w14:paraId="31B81988"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7EB835A4" w14:textId="77777777" w:rsidR="00577D08" w:rsidRDefault="00330FC0">
            <w:pPr>
              <w:jc w:val="right"/>
            </w:pPr>
            <w:r>
              <w:t xml:space="preserve"> 48,516,657.08 </w:t>
            </w:r>
          </w:p>
        </w:tc>
        <w:tc>
          <w:tcPr>
            <w:tcW w:w="2018" w:type="dxa"/>
            <w:tcBorders>
              <w:top w:val="outset" w:sz="4" w:space="0" w:color="auto"/>
              <w:left w:val="outset" w:sz="4" w:space="0" w:color="auto"/>
              <w:bottom w:val="outset" w:sz="4" w:space="0" w:color="auto"/>
              <w:right w:val="outset" w:sz="4" w:space="0" w:color="auto"/>
            </w:tcBorders>
            <w:vAlign w:val="center"/>
          </w:tcPr>
          <w:p w14:paraId="7BEEE077" w14:textId="77777777" w:rsidR="00577D08" w:rsidRDefault="00330FC0">
            <w:pPr>
              <w:jc w:val="right"/>
            </w:pPr>
            <w:r>
              <w:t>41,067,817.07</w:t>
            </w:r>
          </w:p>
        </w:tc>
      </w:tr>
      <w:tr w:rsidR="00577D08" w14:paraId="0E9C8227" w14:textId="77777777">
        <w:tc>
          <w:tcPr>
            <w:tcW w:w="3507" w:type="dxa"/>
            <w:tcBorders>
              <w:top w:val="outset" w:sz="4" w:space="0" w:color="auto"/>
              <w:left w:val="outset" w:sz="4" w:space="0" w:color="auto"/>
              <w:bottom w:val="outset" w:sz="4" w:space="0" w:color="auto"/>
              <w:right w:val="outset" w:sz="4" w:space="0" w:color="auto"/>
            </w:tcBorders>
            <w:vAlign w:val="center"/>
          </w:tcPr>
          <w:p w14:paraId="5394ACCB" w14:textId="77777777" w:rsidR="00577D08" w:rsidRDefault="00330FC0">
            <w:pPr>
              <w:ind w:firstLineChars="108" w:firstLine="227"/>
            </w:pPr>
            <w:r>
              <w:rPr>
                <w:rFonts w:hint="eastAsia"/>
              </w:rPr>
              <w:t>（一）</w:t>
            </w:r>
            <w:r>
              <w:t>持续经营净利润（净亏损以</w:t>
            </w:r>
            <w:r>
              <w:t>“</w:t>
            </w:r>
            <w:r>
              <w:t>－</w:t>
            </w:r>
            <w:r>
              <w:t>”</w:t>
            </w:r>
            <w:r>
              <w:t>号填列）</w:t>
            </w:r>
          </w:p>
        </w:tc>
        <w:tc>
          <w:tcPr>
            <w:tcW w:w="1516" w:type="dxa"/>
            <w:tcBorders>
              <w:top w:val="outset" w:sz="4" w:space="0" w:color="auto"/>
              <w:left w:val="outset" w:sz="4" w:space="0" w:color="auto"/>
              <w:bottom w:val="outset" w:sz="4" w:space="0" w:color="auto"/>
              <w:right w:val="outset" w:sz="4" w:space="0" w:color="auto"/>
            </w:tcBorders>
          </w:tcPr>
          <w:p w14:paraId="09B5CCE7"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E8275A3" w14:textId="77777777" w:rsidR="00577D08" w:rsidRDefault="00330FC0">
            <w:pPr>
              <w:jc w:val="right"/>
            </w:pPr>
            <w:r>
              <w:t xml:space="preserve"> 48,516,657.08 </w:t>
            </w:r>
          </w:p>
        </w:tc>
        <w:tc>
          <w:tcPr>
            <w:tcW w:w="2018" w:type="dxa"/>
            <w:tcBorders>
              <w:top w:val="outset" w:sz="4" w:space="0" w:color="auto"/>
              <w:left w:val="outset" w:sz="4" w:space="0" w:color="auto"/>
              <w:bottom w:val="outset" w:sz="4" w:space="0" w:color="auto"/>
              <w:right w:val="outset" w:sz="4" w:space="0" w:color="auto"/>
            </w:tcBorders>
            <w:vAlign w:val="center"/>
          </w:tcPr>
          <w:p w14:paraId="0DE7BF24" w14:textId="77777777" w:rsidR="00577D08" w:rsidRDefault="00330FC0">
            <w:pPr>
              <w:jc w:val="right"/>
            </w:pPr>
            <w:r>
              <w:t>41,067,817.07</w:t>
            </w:r>
          </w:p>
        </w:tc>
      </w:tr>
      <w:tr w:rsidR="00577D08" w14:paraId="3AA19F3C" w14:textId="77777777">
        <w:tc>
          <w:tcPr>
            <w:tcW w:w="3507" w:type="dxa"/>
            <w:tcBorders>
              <w:top w:val="outset" w:sz="4" w:space="0" w:color="auto"/>
              <w:left w:val="outset" w:sz="4" w:space="0" w:color="auto"/>
              <w:bottom w:val="outset" w:sz="4" w:space="0" w:color="auto"/>
              <w:right w:val="outset" w:sz="4" w:space="0" w:color="auto"/>
            </w:tcBorders>
            <w:vAlign w:val="center"/>
          </w:tcPr>
          <w:p w14:paraId="2539BCE1" w14:textId="77777777" w:rsidR="00577D08" w:rsidRDefault="00330FC0">
            <w:pPr>
              <w:ind w:firstLineChars="108" w:firstLine="227"/>
            </w:pPr>
            <w:r>
              <w:rPr>
                <w:rFonts w:hint="eastAsia"/>
              </w:rPr>
              <w:t>（二）终止经营净利润（净亏损以“－”号填列）</w:t>
            </w:r>
          </w:p>
        </w:tc>
        <w:tc>
          <w:tcPr>
            <w:tcW w:w="1516" w:type="dxa"/>
            <w:tcBorders>
              <w:top w:val="outset" w:sz="4" w:space="0" w:color="auto"/>
              <w:left w:val="outset" w:sz="4" w:space="0" w:color="auto"/>
              <w:bottom w:val="outset" w:sz="4" w:space="0" w:color="auto"/>
              <w:right w:val="outset" w:sz="4" w:space="0" w:color="auto"/>
            </w:tcBorders>
          </w:tcPr>
          <w:p w14:paraId="330FCBBF"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00082739"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3D55819" w14:textId="77777777" w:rsidR="00577D08" w:rsidRDefault="00577D08">
            <w:pPr>
              <w:jc w:val="right"/>
            </w:pPr>
          </w:p>
        </w:tc>
      </w:tr>
      <w:tr w:rsidR="00577D08" w14:paraId="726977C6" w14:textId="77777777">
        <w:tc>
          <w:tcPr>
            <w:tcW w:w="3507" w:type="dxa"/>
            <w:tcBorders>
              <w:top w:val="outset" w:sz="4" w:space="0" w:color="auto"/>
              <w:left w:val="outset" w:sz="4" w:space="0" w:color="auto"/>
              <w:bottom w:val="outset" w:sz="4" w:space="0" w:color="auto"/>
              <w:right w:val="outset" w:sz="4" w:space="0" w:color="auto"/>
            </w:tcBorders>
            <w:vAlign w:val="center"/>
          </w:tcPr>
          <w:p w14:paraId="65669457" w14:textId="77777777" w:rsidR="00577D08" w:rsidRDefault="00330FC0">
            <w:pPr>
              <w:ind w:leftChars="-19" w:hangingChars="19" w:hanging="40"/>
            </w:pPr>
            <w:r>
              <w:rPr>
                <w:rFonts w:hint="eastAsia"/>
              </w:rPr>
              <w:t>五、其他综合收益的税后净额</w:t>
            </w:r>
          </w:p>
        </w:tc>
        <w:tc>
          <w:tcPr>
            <w:tcW w:w="1516" w:type="dxa"/>
            <w:tcBorders>
              <w:top w:val="outset" w:sz="4" w:space="0" w:color="auto"/>
              <w:left w:val="outset" w:sz="4" w:space="0" w:color="auto"/>
              <w:bottom w:val="outset" w:sz="4" w:space="0" w:color="auto"/>
              <w:right w:val="outset" w:sz="4" w:space="0" w:color="auto"/>
            </w:tcBorders>
          </w:tcPr>
          <w:p w14:paraId="2B55BBC0"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13108F0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7D4C47BF" w14:textId="77777777" w:rsidR="00577D08" w:rsidRDefault="00577D08">
            <w:pPr>
              <w:jc w:val="right"/>
            </w:pPr>
          </w:p>
        </w:tc>
      </w:tr>
      <w:tr w:rsidR="00577D08" w14:paraId="4D17ADE7" w14:textId="77777777">
        <w:tc>
          <w:tcPr>
            <w:tcW w:w="3507" w:type="dxa"/>
            <w:tcBorders>
              <w:top w:val="outset" w:sz="4" w:space="0" w:color="auto"/>
              <w:left w:val="outset" w:sz="4" w:space="0" w:color="auto"/>
              <w:bottom w:val="outset" w:sz="4" w:space="0" w:color="auto"/>
              <w:right w:val="outset" w:sz="4" w:space="0" w:color="auto"/>
            </w:tcBorders>
            <w:vAlign w:val="center"/>
          </w:tcPr>
          <w:p w14:paraId="5324DDD7" w14:textId="77777777" w:rsidR="00577D08" w:rsidRDefault="00330FC0">
            <w:pPr>
              <w:ind w:firstLineChars="100" w:firstLine="210"/>
            </w:pPr>
            <w:r>
              <w:rPr>
                <w:rFonts w:hint="eastAsia"/>
              </w:rPr>
              <w:t>（一）不能重分类进损益的其他综合收益</w:t>
            </w:r>
          </w:p>
        </w:tc>
        <w:tc>
          <w:tcPr>
            <w:tcW w:w="1516" w:type="dxa"/>
            <w:tcBorders>
              <w:top w:val="outset" w:sz="4" w:space="0" w:color="auto"/>
              <w:left w:val="outset" w:sz="4" w:space="0" w:color="auto"/>
              <w:bottom w:val="outset" w:sz="4" w:space="0" w:color="auto"/>
              <w:right w:val="outset" w:sz="4" w:space="0" w:color="auto"/>
            </w:tcBorders>
          </w:tcPr>
          <w:p w14:paraId="485F6522"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0EB7B600"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38CDE003" w14:textId="77777777" w:rsidR="00577D08" w:rsidRDefault="00577D08">
            <w:pPr>
              <w:jc w:val="right"/>
            </w:pPr>
          </w:p>
        </w:tc>
      </w:tr>
      <w:tr w:rsidR="00577D08" w14:paraId="443B3B20" w14:textId="77777777">
        <w:tc>
          <w:tcPr>
            <w:tcW w:w="3507" w:type="dxa"/>
            <w:tcBorders>
              <w:top w:val="outset" w:sz="4" w:space="0" w:color="auto"/>
              <w:left w:val="outset" w:sz="4" w:space="0" w:color="auto"/>
              <w:bottom w:val="outset" w:sz="4" w:space="0" w:color="auto"/>
              <w:right w:val="outset" w:sz="4" w:space="0" w:color="auto"/>
            </w:tcBorders>
            <w:vAlign w:val="center"/>
          </w:tcPr>
          <w:p w14:paraId="20775674" w14:textId="77777777" w:rsidR="00577D08" w:rsidRDefault="00330FC0">
            <w:pPr>
              <w:ind w:firstLineChars="200" w:firstLine="420"/>
            </w:pPr>
            <w:r>
              <w:t>1.</w:t>
            </w:r>
            <w:r>
              <w:t>重新计量设定受益计划变动额</w:t>
            </w:r>
          </w:p>
        </w:tc>
        <w:tc>
          <w:tcPr>
            <w:tcW w:w="1516" w:type="dxa"/>
            <w:tcBorders>
              <w:top w:val="outset" w:sz="4" w:space="0" w:color="auto"/>
              <w:left w:val="outset" w:sz="4" w:space="0" w:color="auto"/>
              <w:bottom w:val="outset" w:sz="4" w:space="0" w:color="auto"/>
              <w:right w:val="outset" w:sz="4" w:space="0" w:color="auto"/>
            </w:tcBorders>
          </w:tcPr>
          <w:p w14:paraId="1D3C6A52"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31C79EE3"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2272ECC" w14:textId="77777777" w:rsidR="00577D08" w:rsidRDefault="00577D08">
            <w:pPr>
              <w:jc w:val="right"/>
            </w:pPr>
          </w:p>
        </w:tc>
      </w:tr>
      <w:tr w:rsidR="00577D08" w14:paraId="416AA789" w14:textId="77777777">
        <w:tc>
          <w:tcPr>
            <w:tcW w:w="3507" w:type="dxa"/>
            <w:tcBorders>
              <w:top w:val="outset" w:sz="4" w:space="0" w:color="auto"/>
              <w:left w:val="outset" w:sz="4" w:space="0" w:color="auto"/>
              <w:bottom w:val="outset" w:sz="4" w:space="0" w:color="auto"/>
              <w:right w:val="outset" w:sz="4" w:space="0" w:color="auto"/>
            </w:tcBorders>
            <w:vAlign w:val="center"/>
          </w:tcPr>
          <w:p w14:paraId="2F580D7F" w14:textId="77777777" w:rsidR="00577D08" w:rsidRDefault="00330FC0">
            <w:pPr>
              <w:ind w:firstLineChars="200" w:firstLine="420"/>
            </w:pPr>
            <w:r>
              <w:t>2.</w:t>
            </w:r>
            <w:r>
              <w:t>权益法下不能转损益的其他综合收益</w:t>
            </w:r>
          </w:p>
        </w:tc>
        <w:tc>
          <w:tcPr>
            <w:tcW w:w="1516" w:type="dxa"/>
            <w:tcBorders>
              <w:top w:val="outset" w:sz="4" w:space="0" w:color="auto"/>
              <w:left w:val="outset" w:sz="4" w:space="0" w:color="auto"/>
              <w:bottom w:val="outset" w:sz="4" w:space="0" w:color="auto"/>
              <w:right w:val="outset" w:sz="4" w:space="0" w:color="auto"/>
            </w:tcBorders>
          </w:tcPr>
          <w:p w14:paraId="600A96E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114D017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23E7711" w14:textId="77777777" w:rsidR="00577D08" w:rsidRDefault="00577D08">
            <w:pPr>
              <w:jc w:val="right"/>
            </w:pPr>
          </w:p>
        </w:tc>
      </w:tr>
      <w:tr w:rsidR="00577D08" w14:paraId="4ACAB2B8" w14:textId="77777777">
        <w:tc>
          <w:tcPr>
            <w:tcW w:w="3507" w:type="dxa"/>
            <w:tcBorders>
              <w:top w:val="outset" w:sz="4" w:space="0" w:color="auto"/>
              <w:left w:val="outset" w:sz="4" w:space="0" w:color="auto"/>
              <w:bottom w:val="outset" w:sz="4" w:space="0" w:color="auto"/>
              <w:right w:val="outset" w:sz="4" w:space="0" w:color="auto"/>
            </w:tcBorders>
            <w:vAlign w:val="center"/>
          </w:tcPr>
          <w:p w14:paraId="33A9FCE0" w14:textId="77777777" w:rsidR="00577D08" w:rsidRDefault="00330FC0">
            <w:pPr>
              <w:ind w:firstLineChars="200" w:firstLine="420"/>
            </w:pPr>
            <w:r>
              <w:t>3.</w:t>
            </w:r>
            <w:r>
              <w:t>其他权益工具投资公允价值变动</w:t>
            </w:r>
          </w:p>
        </w:tc>
        <w:tc>
          <w:tcPr>
            <w:tcW w:w="1516" w:type="dxa"/>
            <w:tcBorders>
              <w:top w:val="outset" w:sz="4" w:space="0" w:color="auto"/>
              <w:left w:val="outset" w:sz="4" w:space="0" w:color="auto"/>
              <w:bottom w:val="outset" w:sz="4" w:space="0" w:color="auto"/>
              <w:right w:val="outset" w:sz="4" w:space="0" w:color="auto"/>
            </w:tcBorders>
          </w:tcPr>
          <w:p w14:paraId="1B56E981"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7048C251"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32539011" w14:textId="77777777" w:rsidR="00577D08" w:rsidRDefault="00577D08">
            <w:pPr>
              <w:jc w:val="right"/>
            </w:pPr>
          </w:p>
        </w:tc>
      </w:tr>
      <w:tr w:rsidR="00577D08" w14:paraId="41D5E6D3" w14:textId="77777777">
        <w:tc>
          <w:tcPr>
            <w:tcW w:w="3507" w:type="dxa"/>
            <w:tcBorders>
              <w:top w:val="outset" w:sz="4" w:space="0" w:color="auto"/>
              <w:left w:val="outset" w:sz="4" w:space="0" w:color="auto"/>
              <w:bottom w:val="outset" w:sz="4" w:space="0" w:color="auto"/>
              <w:right w:val="outset" w:sz="4" w:space="0" w:color="auto"/>
            </w:tcBorders>
            <w:vAlign w:val="center"/>
          </w:tcPr>
          <w:p w14:paraId="5D370ED0" w14:textId="77777777" w:rsidR="00577D08" w:rsidRDefault="00330FC0">
            <w:pPr>
              <w:ind w:firstLineChars="200" w:firstLine="420"/>
            </w:pPr>
            <w:r>
              <w:t>4.</w:t>
            </w:r>
            <w:r>
              <w:t>企业自身信用风险公允价值变动</w:t>
            </w:r>
          </w:p>
        </w:tc>
        <w:tc>
          <w:tcPr>
            <w:tcW w:w="1516" w:type="dxa"/>
            <w:tcBorders>
              <w:top w:val="outset" w:sz="4" w:space="0" w:color="auto"/>
              <w:left w:val="outset" w:sz="4" w:space="0" w:color="auto"/>
              <w:bottom w:val="outset" w:sz="4" w:space="0" w:color="auto"/>
              <w:right w:val="outset" w:sz="4" w:space="0" w:color="auto"/>
            </w:tcBorders>
          </w:tcPr>
          <w:p w14:paraId="244036D4"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4E8420C2"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3DE97FBA" w14:textId="77777777" w:rsidR="00577D08" w:rsidRDefault="00577D08">
            <w:pPr>
              <w:jc w:val="right"/>
            </w:pPr>
          </w:p>
        </w:tc>
      </w:tr>
      <w:tr w:rsidR="00577D08" w14:paraId="261A7235" w14:textId="77777777">
        <w:tc>
          <w:tcPr>
            <w:tcW w:w="3507" w:type="dxa"/>
            <w:tcBorders>
              <w:top w:val="outset" w:sz="4" w:space="0" w:color="auto"/>
              <w:left w:val="outset" w:sz="4" w:space="0" w:color="auto"/>
              <w:bottom w:val="outset" w:sz="4" w:space="0" w:color="auto"/>
              <w:right w:val="outset" w:sz="4" w:space="0" w:color="auto"/>
            </w:tcBorders>
            <w:vAlign w:val="center"/>
          </w:tcPr>
          <w:p w14:paraId="460507D7" w14:textId="77777777" w:rsidR="00577D08" w:rsidRDefault="00330FC0">
            <w:pPr>
              <w:ind w:firstLineChars="100" w:firstLine="210"/>
            </w:pPr>
            <w:r>
              <w:rPr>
                <w:rFonts w:hint="eastAsia"/>
              </w:rPr>
              <w:t>（二）将重分类进损益的其他综合收益</w:t>
            </w:r>
          </w:p>
        </w:tc>
        <w:tc>
          <w:tcPr>
            <w:tcW w:w="1516" w:type="dxa"/>
            <w:tcBorders>
              <w:top w:val="outset" w:sz="4" w:space="0" w:color="auto"/>
              <w:left w:val="outset" w:sz="4" w:space="0" w:color="auto"/>
              <w:bottom w:val="outset" w:sz="4" w:space="0" w:color="auto"/>
              <w:right w:val="outset" w:sz="4" w:space="0" w:color="auto"/>
            </w:tcBorders>
          </w:tcPr>
          <w:p w14:paraId="4A0A9F1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14871DD7"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1E906FB7" w14:textId="77777777" w:rsidR="00577D08" w:rsidRDefault="00577D08">
            <w:pPr>
              <w:jc w:val="right"/>
            </w:pPr>
          </w:p>
        </w:tc>
      </w:tr>
      <w:tr w:rsidR="00577D08" w14:paraId="13CBB0C2" w14:textId="77777777">
        <w:tc>
          <w:tcPr>
            <w:tcW w:w="3507" w:type="dxa"/>
            <w:tcBorders>
              <w:top w:val="outset" w:sz="4" w:space="0" w:color="auto"/>
              <w:left w:val="outset" w:sz="4" w:space="0" w:color="auto"/>
              <w:bottom w:val="outset" w:sz="4" w:space="0" w:color="auto"/>
              <w:right w:val="outset" w:sz="4" w:space="0" w:color="auto"/>
            </w:tcBorders>
            <w:vAlign w:val="center"/>
          </w:tcPr>
          <w:p w14:paraId="5F9C33F8" w14:textId="77777777" w:rsidR="00577D08" w:rsidRDefault="00330FC0">
            <w:pPr>
              <w:ind w:firstLineChars="200" w:firstLine="420"/>
            </w:pPr>
            <w:r>
              <w:t>1.</w:t>
            </w:r>
            <w:r>
              <w:t>权益法下可转损益的其他综合收益</w:t>
            </w:r>
          </w:p>
        </w:tc>
        <w:tc>
          <w:tcPr>
            <w:tcW w:w="1516" w:type="dxa"/>
            <w:tcBorders>
              <w:top w:val="outset" w:sz="4" w:space="0" w:color="auto"/>
              <w:left w:val="outset" w:sz="4" w:space="0" w:color="auto"/>
              <w:bottom w:val="outset" w:sz="4" w:space="0" w:color="auto"/>
              <w:right w:val="outset" w:sz="4" w:space="0" w:color="auto"/>
            </w:tcBorders>
          </w:tcPr>
          <w:p w14:paraId="06828D56"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5974C05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F045206" w14:textId="77777777" w:rsidR="00577D08" w:rsidRDefault="00577D08">
            <w:pPr>
              <w:jc w:val="right"/>
            </w:pPr>
          </w:p>
        </w:tc>
      </w:tr>
      <w:tr w:rsidR="00577D08" w14:paraId="75146622" w14:textId="77777777">
        <w:tc>
          <w:tcPr>
            <w:tcW w:w="3507" w:type="dxa"/>
            <w:tcBorders>
              <w:top w:val="outset" w:sz="4" w:space="0" w:color="auto"/>
              <w:left w:val="outset" w:sz="4" w:space="0" w:color="auto"/>
              <w:bottom w:val="outset" w:sz="4" w:space="0" w:color="auto"/>
              <w:right w:val="outset" w:sz="4" w:space="0" w:color="auto"/>
            </w:tcBorders>
            <w:vAlign w:val="center"/>
          </w:tcPr>
          <w:p w14:paraId="0848D0A1" w14:textId="77777777" w:rsidR="00577D08" w:rsidRDefault="00330FC0">
            <w:pPr>
              <w:ind w:firstLineChars="200" w:firstLine="420"/>
            </w:pPr>
            <w:r>
              <w:t>2.</w:t>
            </w:r>
            <w:r>
              <w:t>其他债权投资公允价值变动</w:t>
            </w:r>
          </w:p>
        </w:tc>
        <w:tc>
          <w:tcPr>
            <w:tcW w:w="1516" w:type="dxa"/>
            <w:tcBorders>
              <w:top w:val="outset" w:sz="4" w:space="0" w:color="auto"/>
              <w:left w:val="outset" w:sz="4" w:space="0" w:color="auto"/>
              <w:bottom w:val="outset" w:sz="4" w:space="0" w:color="auto"/>
              <w:right w:val="outset" w:sz="4" w:space="0" w:color="auto"/>
            </w:tcBorders>
          </w:tcPr>
          <w:p w14:paraId="6C787545"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6437CE87"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BFAF1A0" w14:textId="77777777" w:rsidR="00577D08" w:rsidRDefault="00577D08">
            <w:pPr>
              <w:jc w:val="right"/>
            </w:pPr>
          </w:p>
        </w:tc>
      </w:tr>
      <w:tr w:rsidR="00577D08" w14:paraId="5E2D767E" w14:textId="77777777">
        <w:tc>
          <w:tcPr>
            <w:tcW w:w="3507" w:type="dxa"/>
            <w:tcBorders>
              <w:top w:val="outset" w:sz="4" w:space="0" w:color="auto"/>
              <w:left w:val="outset" w:sz="4" w:space="0" w:color="auto"/>
              <w:bottom w:val="outset" w:sz="4" w:space="0" w:color="auto"/>
              <w:right w:val="outset" w:sz="4" w:space="0" w:color="auto"/>
            </w:tcBorders>
            <w:vAlign w:val="center"/>
          </w:tcPr>
          <w:p w14:paraId="2A9F0C7B" w14:textId="77777777" w:rsidR="00577D08" w:rsidRDefault="00330FC0">
            <w:pPr>
              <w:ind w:firstLineChars="200" w:firstLine="420"/>
            </w:pPr>
            <w:r>
              <w:t>3.</w:t>
            </w:r>
            <w:r>
              <w:t>金融资产重分类计入其他综合收益的金额</w:t>
            </w:r>
          </w:p>
        </w:tc>
        <w:tc>
          <w:tcPr>
            <w:tcW w:w="1516" w:type="dxa"/>
            <w:tcBorders>
              <w:top w:val="outset" w:sz="4" w:space="0" w:color="auto"/>
              <w:left w:val="outset" w:sz="4" w:space="0" w:color="auto"/>
              <w:bottom w:val="outset" w:sz="4" w:space="0" w:color="auto"/>
              <w:right w:val="outset" w:sz="4" w:space="0" w:color="auto"/>
            </w:tcBorders>
          </w:tcPr>
          <w:p w14:paraId="32AE9457"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6E7D9649"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2FB4FB3" w14:textId="77777777" w:rsidR="00577D08" w:rsidRDefault="00577D08">
            <w:pPr>
              <w:jc w:val="right"/>
            </w:pPr>
          </w:p>
        </w:tc>
      </w:tr>
      <w:tr w:rsidR="00577D08" w14:paraId="4F4BAB59" w14:textId="77777777">
        <w:tc>
          <w:tcPr>
            <w:tcW w:w="3507" w:type="dxa"/>
            <w:tcBorders>
              <w:top w:val="outset" w:sz="4" w:space="0" w:color="auto"/>
              <w:left w:val="outset" w:sz="4" w:space="0" w:color="auto"/>
              <w:bottom w:val="outset" w:sz="4" w:space="0" w:color="auto"/>
              <w:right w:val="outset" w:sz="4" w:space="0" w:color="auto"/>
            </w:tcBorders>
            <w:vAlign w:val="center"/>
          </w:tcPr>
          <w:p w14:paraId="1127B244" w14:textId="77777777" w:rsidR="00577D08" w:rsidRDefault="00330FC0">
            <w:pPr>
              <w:ind w:firstLineChars="200" w:firstLine="420"/>
            </w:pPr>
            <w:r>
              <w:t>4.</w:t>
            </w:r>
            <w:r>
              <w:t>其他债权投资信用减值准备</w:t>
            </w:r>
          </w:p>
        </w:tc>
        <w:tc>
          <w:tcPr>
            <w:tcW w:w="1516" w:type="dxa"/>
            <w:tcBorders>
              <w:top w:val="outset" w:sz="4" w:space="0" w:color="auto"/>
              <w:left w:val="outset" w:sz="4" w:space="0" w:color="auto"/>
              <w:bottom w:val="outset" w:sz="4" w:space="0" w:color="auto"/>
              <w:right w:val="outset" w:sz="4" w:space="0" w:color="auto"/>
            </w:tcBorders>
          </w:tcPr>
          <w:p w14:paraId="3AEEA329"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6FF6282B"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16FF660" w14:textId="77777777" w:rsidR="00577D08" w:rsidRDefault="00577D08">
            <w:pPr>
              <w:jc w:val="right"/>
            </w:pPr>
          </w:p>
        </w:tc>
      </w:tr>
      <w:tr w:rsidR="00577D08" w14:paraId="340899A7" w14:textId="77777777">
        <w:tc>
          <w:tcPr>
            <w:tcW w:w="3507" w:type="dxa"/>
            <w:tcBorders>
              <w:top w:val="outset" w:sz="4" w:space="0" w:color="auto"/>
              <w:left w:val="outset" w:sz="4" w:space="0" w:color="auto"/>
              <w:bottom w:val="outset" w:sz="4" w:space="0" w:color="auto"/>
              <w:right w:val="outset" w:sz="4" w:space="0" w:color="auto"/>
            </w:tcBorders>
            <w:vAlign w:val="center"/>
          </w:tcPr>
          <w:p w14:paraId="24F95372" w14:textId="77777777" w:rsidR="00577D08" w:rsidRDefault="00330FC0">
            <w:pPr>
              <w:ind w:firstLineChars="200" w:firstLine="420"/>
            </w:pPr>
            <w:r>
              <w:t>5.</w:t>
            </w:r>
            <w:r>
              <w:t>现金流量套期储备</w:t>
            </w:r>
          </w:p>
        </w:tc>
        <w:tc>
          <w:tcPr>
            <w:tcW w:w="1516" w:type="dxa"/>
            <w:tcBorders>
              <w:top w:val="outset" w:sz="4" w:space="0" w:color="auto"/>
              <w:left w:val="outset" w:sz="4" w:space="0" w:color="auto"/>
              <w:bottom w:val="outset" w:sz="4" w:space="0" w:color="auto"/>
              <w:right w:val="outset" w:sz="4" w:space="0" w:color="auto"/>
            </w:tcBorders>
          </w:tcPr>
          <w:p w14:paraId="0C02F54A"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6888C630"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2280304" w14:textId="77777777" w:rsidR="00577D08" w:rsidRDefault="00577D08">
            <w:pPr>
              <w:jc w:val="right"/>
            </w:pPr>
          </w:p>
        </w:tc>
      </w:tr>
      <w:tr w:rsidR="00577D08" w14:paraId="52B38421" w14:textId="77777777">
        <w:tc>
          <w:tcPr>
            <w:tcW w:w="3507" w:type="dxa"/>
            <w:tcBorders>
              <w:top w:val="outset" w:sz="4" w:space="0" w:color="auto"/>
              <w:left w:val="outset" w:sz="4" w:space="0" w:color="auto"/>
              <w:bottom w:val="outset" w:sz="4" w:space="0" w:color="auto"/>
              <w:right w:val="outset" w:sz="4" w:space="0" w:color="auto"/>
            </w:tcBorders>
            <w:vAlign w:val="center"/>
          </w:tcPr>
          <w:p w14:paraId="48FB7668" w14:textId="77777777" w:rsidR="00577D08" w:rsidRDefault="00330FC0">
            <w:pPr>
              <w:ind w:firstLineChars="200" w:firstLine="420"/>
            </w:pPr>
            <w:r>
              <w:t>6.</w:t>
            </w:r>
            <w:r>
              <w:t>外币财务报表折算差额</w:t>
            </w:r>
          </w:p>
        </w:tc>
        <w:tc>
          <w:tcPr>
            <w:tcW w:w="1516" w:type="dxa"/>
            <w:tcBorders>
              <w:top w:val="outset" w:sz="4" w:space="0" w:color="auto"/>
              <w:left w:val="outset" w:sz="4" w:space="0" w:color="auto"/>
              <w:bottom w:val="outset" w:sz="4" w:space="0" w:color="auto"/>
              <w:right w:val="outset" w:sz="4" w:space="0" w:color="auto"/>
            </w:tcBorders>
          </w:tcPr>
          <w:p w14:paraId="71FA4C58"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2A4FC0A2"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09DD9A6" w14:textId="77777777" w:rsidR="00577D08" w:rsidRDefault="00577D08">
            <w:pPr>
              <w:jc w:val="right"/>
            </w:pPr>
          </w:p>
        </w:tc>
      </w:tr>
      <w:tr w:rsidR="00577D08" w14:paraId="68243B02" w14:textId="77777777">
        <w:tc>
          <w:tcPr>
            <w:tcW w:w="3507" w:type="dxa"/>
            <w:tcBorders>
              <w:top w:val="outset" w:sz="4" w:space="0" w:color="auto"/>
              <w:left w:val="outset" w:sz="4" w:space="0" w:color="auto"/>
              <w:bottom w:val="outset" w:sz="4" w:space="0" w:color="auto"/>
              <w:right w:val="outset" w:sz="4" w:space="0" w:color="auto"/>
            </w:tcBorders>
            <w:vAlign w:val="center"/>
          </w:tcPr>
          <w:p w14:paraId="4BE0C320" w14:textId="77777777" w:rsidR="00577D08" w:rsidRDefault="00330FC0">
            <w:pPr>
              <w:ind w:firstLineChars="200" w:firstLine="420"/>
            </w:pPr>
            <w:r>
              <w:lastRenderedPageBreak/>
              <w:t>7.</w:t>
            </w:r>
            <w:r>
              <w:t>其他</w:t>
            </w:r>
          </w:p>
        </w:tc>
        <w:tc>
          <w:tcPr>
            <w:tcW w:w="1516" w:type="dxa"/>
            <w:tcBorders>
              <w:top w:val="outset" w:sz="4" w:space="0" w:color="auto"/>
              <w:left w:val="outset" w:sz="4" w:space="0" w:color="auto"/>
              <w:bottom w:val="outset" w:sz="4" w:space="0" w:color="auto"/>
              <w:right w:val="outset" w:sz="4" w:space="0" w:color="auto"/>
            </w:tcBorders>
          </w:tcPr>
          <w:p w14:paraId="08AA7400"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0E30E185"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44863AB" w14:textId="77777777" w:rsidR="00577D08" w:rsidRDefault="00577D08">
            <w:pPr>
              <w:jc w:val="right"/>
            </w:pPr>
          </w:p>
        </w:tc>
      </w:tr>
      <w:tr w:rsidR="00577D08" w14:paraId="27A5041C" w14:textId="77777777">
        <w:tc>
          <w:tcPr>
            <w:tcW w:w="3507" w:type="dxa"/>
            <w:tcBorders>
              <w:top w:val="outset" w:sz="4" w:space="0" w:color="auto"/>
              <w:left w:val="outset" w:sz="4" w:space="0" w:color="auto"/>
              <w:bottom w:val="outset" w:sz="4" w:space="0" w:color="auto"/>
              <w:right w:val="outset" w:sz="4" w:space="0" w:color="auto"/>
            </w:tcBorders>
            <w:vAlign w:val="center"/>
          </w:tcPr>
          <w:p w14:paraId="50F8BC27" w14:textId="77777777" w:rsidR="00577D08" w:rsidRDefault="00330FC0">
            <w:pPr>
              <w:ind w:left="-19"/>
            </w:pPr>
            <w:r>
              <w:rPr>
                <w:rFonts w:hint="eastAsia"/>
              </w:rPr>
              <w:t>六、综合收益总额</w:t>
            </w:r>
          </w:p>
        </w:tc>
        <w:tc>
          <w:tcPr>
            <w:tcW w:w="1516" w:type="dxa"/>
            <w:tcBorders>
              <w:top w:val="outset" w:sz="4" w:space="0" w:color="auto"/>
              <w:left w:val="outset" w:sz="4" w:space="0" w:color="auto"/>
              <w:bottom w:val="outset" w:sz="4" w:space="0" w:color="auto"/>
              <w:right w:val="outset" w:sz="4" w:space="0" w:color="auto"/>
            </w:tcBorders>
          </w:tcPr>
          <w:p w14:paraId="71570ABE"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tcPr>
          <w:p w14:paraId="33440E6A" w14:textId="77777777" w:rsidR="00577D08" w:rsidRDefault="00330FC0">
            <w:pPr>
              <w:jc w:val="right"/>
            </w:pPr>
            <w:r>
              <w:t xml:space="preserve"> 48,516,657.08 </w:t>
            </w:r>
          </w:p>
        </w:tc>
        <w:tc>
          <w:tcPr>
            <w:tcW w:w="2018" w:type="dxa"/>
            <w:tcBorders>
              <w:top w:val="outset" w:sz="4" w:space="0" w:color="auto"/>
              <w:left w:val="outset" w:sz="4" w:space="0" w:color="auto"/>
              <w:bottom w:val="outset" w:sz="4" w:space="0" w:color="auto"/>
              <w:right w:val="outset" w:sz="4" w:space="0" w:color="auto"/>
            </w:tcBorders>
            <w:vAlign w:val="center"/>
          </w:tcPr>
          <w:p w14:paraId="54E9C7DB" w14:textId="77777777" w:rsidR="00577D08" w:rsidRDefault="00330FC0">
            <w:pPr>
              <w:jc w:val="right"/>
            </w:pPr>
            <w:r>
              <w:t>41,067,817.07</w:t>
            </w:r>
          </w:p>
        </w:tc>
      </w:tr>
      <w:tr w:rsidR="00577D08" w14:paraId="68B302F3" w14:textId="77777777">
        <w:sdt>
          <w:sdtPr>
            <w:tag w:val="_PLD_3b0447fd122e4105bde5cc49acaea414"/>
            <w:id w:val="1536151491"/>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009B8110" w14:textId="77777777" w:rsidR="00577D08" w:rsidRDefault="00330FC0">
                <w:r>
                  <w:rPr>
                    <w:rFonts w:hint="eastAsia"/>
                  </w:rPr>
                  <w:t>七</w:t>
                </w:r>
                <w:r>
                  <w:t>、每股收益：</w:t>
                </w:r>
              </w:p>
            </w:tc>
          </w:sdtContent>
        </w:sdt>
      </w:tr>
      <w:tr w:rsidR="00577D08" w14:paraId="2C5269BA" w14:textId="77777777">
        <w:tc>
          <w:tcPr>
            <w:tcW w:w="3507" w:type="dxa"/>
            <w:tcBorders>
              <w:top w:val="outset" w:sz="4" w:space="0" w:color="auto"/>
              <w:left w:val="outset" w:sz="4" w:space="0" w:color="auto"/>
              <w:bottom w:val="outset" w:sz="4" w:space="0" w:color="auto"/>
              <w:right w:val="outset" w:sz="4" w:space="0" w:color="auto"/>
            </w:tcBorders>
            <w:vAlign w:val="center"/>
          </w:tcPr>
          <w:p w14:paraId="368510B3" w14:textId="77777777" w:rsidR="00577D08" w:rsidRDefault="00330FC0">
            <w:pPr>
              <w:ind w:left="-19" w:firstLineChars="200" w:firstLine="420"/>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1516" w:type="dxa"/>
            <w:tcBorders>
              <w:top w:val="outset" w:sz="4" w:space="0" w:color="auto"/>
              <w:left w:val="outset" w:sz="4" w:space="0" w:color="auto"/>
              <w:bottom w:val="outset" w:sz="4" w:space="0" w:color="auto"/>
              <w:right w:val="outset" w:sz="4" w:space="0" w:color="auto"/>
            </w:tcBorders>
            <w:vAlign w:val="center"/>
          </w:tcPr>
          <w:p w14:paraId="29DE81F7"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582C9986"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420A9DBE" w14:textId="77777777" w:rsidR="00577D08" w:rsidRDefault="00577D08">
            <w:pPr>
              <w:jc w:val="right"/>
            </w:pPr>
          </w:p>
        </w:tc>
      </w:tr>
      <w:tr w:rsidR="00577D08" w14:paraId="1CBD59F3" w14:textId="77777777">
        <w:tc>
          <w:tcPr>
            <w:tcW w:w="3507" w:type="dxa"/>
            <w:tcBorders>
              <w:top w:val="outset" w:sz="4" w:space="0" w:color="auto"/>
              <w:left w:val="outset" w:sz="4" w:space="0" w:color="auto"/>
              <w:bottom w:val="outset" w:sz="4" w:space="0" w:color="auto"/>
              <w:right w:val="outset" w:sz="4" w:space="0" w:color="auto"/>
            </w:tcBorders>
            <w:vAlign w:val="center"/>
          </w:tcPr>
          <w:p w14:paraId="70AEC707" w14:textId="77777777" w:rsidR="00577D08" w:rsidRDefault="00330FC0">
            <w:pPr>
              <w:ind w:left="-19" w:firstLineChars="200" w:firstLine="420"/>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1516" w:type="dxa"/>
            <w:tcBorders>
              <w:top w:val="outset" w:sz="4" w:space="0" w:color="auto"/>
              <w:left w:val="outset" w:sz="4" w:space="0" w:color="auto"/>
              <w:bottom w:val="outset" w:sz="4" w:space="0" w:color="auto"/>
              <w:right w:val="outset" w:sz="4" w:space="0" w:color="auto"/>
            </w:tcBorders>
            <w:vAlign w:val="center"/>
          </w:tcPr>
          <w:p w14:paraId="7C165C2A" w14:textId="77777777" w:rsidR="00577D08" w:rsidRDefault="00577D08"/>
        </w:tc>
        <w:tc>
          <w:tcPr>
            <w:tcW w:w="2008" w:type="dxa"/>
            <w:tcBorders>
              <w:top w:val="outset" w:sz="4" w:space="0" w:color="auto"/>
              <w:left w:val="outset" w:sz="4" w:space="0" w:color="auto"/>
              <w:bottom w:val="outset" w:sz="4" w:space="0" w:color="auto"/>
              <w:right w:val="outset" w:sz="4" w:space="0" w:color="auto"/>
            </w:tcBorders>
            <w:vAlign w:val="center"/>
          </w:tcPr>
          <w:p w14:paraId="00DAA495" w14:textId="77777777" w:rsidR="00577D08" w:rsidRDefault="00577D08">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EE89C34" w14:textId="77777777" w:rsidR="00577D08" w:rsidRDefault="00577D08">
            <w:pPr>
              <w:jc w:val="right"/>
            </w:pPr>
          </w:p>
        </w:tc>
      </w:tr>
    </w:tbl>
    <w:p w14:paraId="2730832A" w14:textId="77777777" w:rsidR="00577D08" w:rsidRDefault="00330FC0">
      <w:pPr>
        <w:snapToGrid w:val="0"/>
        <w:spacing w:line="240" w:lineRule="atLeast"/>
        <w:ind w:rightChars="-73" w:right="-153"/>
        <w:rPr>
          <w:rFonts w:cs="宋体-方正超大字符集"/>
        </w:rPr>
      </w:pPr>
      <w:r>
        <w:rPr>
          <w:rFonts w:hint="eastAsia"/>
        </w:rPr>
        <w:t>公司负责</w:t>
      </w:r>
      <w:r>
        <w:t>人</w:t>
      </w:r>
      <w:r>
        <w:rPr>
          <w:rFonts w:hint="eastAsia"/>
        </w:rPr>
        <w:t>：</w:t>
      </w:r>
      <w:sdt>
        <w:sdtPr>
          <w:rPr>
            <w:rFonts w:hint="eastAsia"/>
          </w:rPr>
          <w:alias w:val="公司负责人姓名"/>
          <w:tag w:val="_GBC_04fbc09e50eb44a79e1d4314733be4f9"/>
          <w:id w:val="-800688544"/>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37d9f750e6c04845b9e34ad6da976b56"/>
          <w:id w:val="-1392957291"/>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b8515644d08d42edafc210cf569b9b08"/>
          <w:id w:val="1002011613"/>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bookmarkEnd w:id="290"/>
    <w:p w14:paraId="0B24AB77" w14:textId="77777777" w:rsidR="00577D08" w:rsidRDefault="00577D08">
      <w:pPr>
        <w:rPr>
          <w:color w:val="FF0000"/>
        </w:rPr>
      </w:pPr>
    </w:p>
    <w:p w14:paraId="18D2B978" w14:textId="77777777" w:rsidR="00577D08" w:rsidRDefault="00330FC0">
      <w:pPr>
        <w:jc w:val="center"/>
        <w:outlineLvl w:val="2"/>
        <w:rPr>
          <w:b/>
          <w:bCs/>
        </w:rPr>
      </w:pPr>
      <w:bookmarkStart w:id="291" w:name="_Hlk1156136"/>
      <w:r>
        <w:rPr>
          <w:rFonts w:hint="eastAsia"/>
          <w:b/>
          <w:bCs/>
        </w:rPr>
        <w:t>合并</w:t>
      </w:r>
      <w:r>
        <w:rPr>
          <w:b/>
          <w:bCs/>
        </w:rPr>
        <w:t>现金流量表</w:t>
      </w:r>
    </w:p>
    <w:p w14:paraId="6721DDC6" w14:textId="77777777" w:rsidR="00577D08" w:rsidRDefault="00330FC0">
      <w:pPr>
        <w:jc w:val="center"/>
        <w:rPr>
          <w:b/>
          <w:bCs/>
        </w:rPr>
      </w:pPr>
      <w:r>
        <w:t>2025</w:t>
      </w:r>
      <w:r>
        <w:t>年</w:t>
      </w:r>
      <w:r>
        <w:rPr>
          <w:rFonts w:hint="eastAsia"/>
        </w:rPr>
        <w:t>1</w:t>
      </w:r>
      <w:r>
        <w:rPr>
          <w:rFonts w:hint="eastAsia"/>
        </w:rPr>
        <w:t>—</w:t>
      </w:r>
      <w:r>
        <w:rPr>
          <w:rFonts w:hint="eastAsia"/>
        </w:rPr>
        <w:t>12</w:t>
      </w:r>
      <w:r>
        <w:t>月</w:t>
      </w:r>
    </w:p>
    <w:p w14:paraId="1945E314" w14:textId="3DE4C559" w:rsidR="00577D08" w:rsidRDefault="00330FC0">
      <w:pPr>
        <w:jc w:val="right"/>
      </w:pPr>
      <w:r>
        <w:t>单位</w:t>
      </w:r>
      <w:r>
        <w:rPr>
          <w:rFonts w:hint="eastAsia"/>
        </w:rPr>
        <w:t>：</w:t>
      </w:r>
      <w:sdt>
        <w:sdtPr>
          <w:rPr>
            <w:rFonts w:hint="eastAsia"/>
          </w:rPr>
          <w:alias w:val="单位：合并现金流量表"/>
          <w:tag w:val="_GBC_7049413ddb8f4e5eac9cb9fb4f802433"/>
          <w:id w:val="6191837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t>币种</w:t>
      </w:r>
      <w:r>
        <w:rPr>
          <w:rFonts w:hint="eastAsia"/>
        </w:rPr>
        <w:t>：</w:t>
      </w:r>
      <w:sdt>
        <w:sdtPr>
          <w:rPr>
            <w:rFonts w:hint="eastAsia"/>
          </w:rPr>
          <w:alias w:val="币种：合并现金流量表"/>
          <w:tag w:val="_GBC_5ab1c6e244484b228b8cdc6ee3840fd6"/>
          <w:id w:val="21067664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41"/>
        <w:gridCol w:w="1567"/>
        <w:gridCol w:w="2173"/>
        <w:gridCol w:w="2168"/>
      </w:tblGrid>
      <w:tr w:rsidR="00577D08" w14:paraId="39FBE108" w14:textId="77777777">
        <w:trPr>
          <w:tblHeader/>
        </w:trPr>
        <w:tc>
          <w:tcPr>
            <w:tcW w:w="3141" w:type="dxa"/>
            <w:tcBorders>
              <w:top w:val="outset" w:sz="4" w:space="0" w:color="auto"/>
              <w:left w:val="outset" w:sz="4" w:space="0" w:color="auto"/>
              <w:bottom w:val="outset" w:sz="4" w:space="0" w:color="auto"/>
              <w:right w:val="outset" w:sz="4" w:space="0" w:color="auto"/>
            </w:tcBorders>
            <w:vAlign w:val="center"/>
          </w:tcPr>
          <w:sdt>
            <w:sdtPr>
              <w:tag w:val="_PLD_5a1e687815424d54a4dd8744648aa3cb"/>
              <w:id w:val="1650558017"/>
            </w:sdtPr>
            <w:sdtContent>
              <w:p w14:paraId="29252A31" w14:textId="77777777" w:rsidR="00577D08" w:rsidRDefault="00330FC0">
                <w:pPr>
                  <w:jc w:val="center"/>
                  <w:rPr>
                    <w:b/>
                  </w:rPr>
                </w:pPr>
                <w:r>
                  <w:rPr>
                    <w:rFonts w:hint="eastAsia"/>
                    <w:b/>
                  </w:rPr>
                  <w:t>项目</w:t>
                </w:r>
              </w:p>
            </w:sdtContent>
          </w:sdt>
        </w:tc>
        <w:tc>
          <w:tcPr>
            <w:tcW w:w="1567" w:type="dxa"/>
            <w:tcBorders>
              <w:top w:val="outset" w:sz="4" w:space="0" w:color="auto"/>
              <w:left w:val="outset" w:sz="4" w:space="0" w:color="auto"/>
              <w:bottom w:val="outset" w:sz="4" w:space="0" w:color="auto"/>
              <w:right w:val="outset" w:sz="4" w:space="0" w:color="auto"/>
            </w:tcBorders>
            <w:vAlign w:val="center"/>
          </w:tcPr>
          <w:sdt>
            <w:sdtPr>
              <w:tag w:val="_PLD_3c902166982f4ea18b3f3d11c1fe2190"/>
              <w:id w:val="412748626"/>
            </w:sdtPr>
            <w:sdtContent>
              <w:p w14:paraId="11D06EEC" w14:textId="77777777" w:rsidR="00577D08" w:rsidRDefault="00330FC0">
                <w:pPr>
                  <w:jc w:val="center"/>
                  <w:rPr>
                    <w:b/>
                  </w:rPr>
                </w:pPr>
                <w:r>
                  <w:rPr>
                    <w:rFonts w:hint="eastAsia"/>
                    <w:b/>
                  </w:rPr>
                  <w:t>附注</w:t>
                </w:r>
              </w:p>
            </w:sdtContent>
          </w:sdt>
        </w:tc>
        <w:tc>
          <w:tcPr>
            <w:tcW w:w="2173" w:type="dxa"/>
            <w:tcBorders>
              <w:top w:val="outset" w:sz="4" w:space="0" w:color="auto"/>
              <w:left w:val="outset" w:sz="4" w:space="0" w:color="auto"/>
              <w:bottom w:val="outset" w:sz="4" w:space="0" w:color="auto"/>
              <w:right w:val="outset" w:sz="4" w:space="0" w:color="auto"/>
            </w:tcBorders>
            <w:vAlign w:val="center"/>
          </w:tcPr>
          <w:sdt>
            <w:sdtPr>
              <w:tag w:val="_PLD_29a06cc719e5467e82013eb798ebb143"/>
              <w:id w:val="-2019920759"/>
            </w:sdtPr>
            <w:sdtContent>
              <w:p w14:paraId="043C1467" w14:textId="77777777" w:rsidR="00577D08" w:rsidRDefault="00330FC0">
                <w:pPr>
                  <w:autoSpaceDE w:val="0"/>
                  <w:autoSpaceDN w:val="0"/>
                  <w:adjustRightInd w:val="0"/>
                  <w:jc w:val="center"/>
                  <w:rPr>
                    <w:b/>
                  </w:rPr>
                </w:pPr>
                <w:r>
                  <w:rPr>
                    <w:rFonts w:hint="eastAsia"/>
                    <w:b/>
                  </w:rPr>
                  <w:t>2025</w:t>
                </w:r>
                <w:r>
                  <w:rPr>
                    <w:rFonts w:hint="eastAsia"/>
                    <w:b/>
                  </w:rPr>
                  <w:t>年度</w:t>
                </w:r>
              </w:p>
            </w:sdtContent>
          </w:sdt>
        </w:tc>
        <w:tc>
          <w:tcPr>
            <w:tcW w:w="2168" w:type="dxa"/>
            <w:tcBorders>
              <w:top w:val="outset" w:sz="4" w:space="0" w:color="auto"/>
              <w:left w:val="outset" w:sz="4" w:space="0" w:color="auto"/>
              <w:bottom w:val="outset" w:sz="4" w:space="0" w:color="auto"/>
              <w:right w:val="outset" w:sz="4" w:space="0" w:color="auto"/>
            </w:tcBorders>
            <w:vAlign w:val="center"/>
          </w:tcPr>
          <w:sdt>
            <w:sdtPr>
              <w:tag w:val="_PLD_0bd5effed8234e5eb21199f6669657c2"/>
              <w:id w:val="-126164579"/>
            </w:sdtPr>
            <w:sdtContent>
              <w:p w14:paraId="0FE75D88" w14:textId="77777777" w:rsidR="00577D08" w:rsidRDefault="00330FC0">
                <w:pPr>
                  <w:autoSpaceDE w:val="0"/>
                  <w:autoSpaceDN w:val="0"/>
                  <w:adjustRightInd w:val="0"/>
                  <w:jc w:val="center"/>
                  <w:rPr>
                    <w:b/>
                  </w:rPr>
                </w:pPr>
                <w:r>
                  <w:rPr>
                    <w:rFonts w:hint="eastAsia"/>
                    <w:b/>
                  </w:rPr>
                  <w:t>2024</w:t>
                </w:r>
                <w:r>
                  <w:rPr>
                    <w:rFonts w:hint="eastAsia"/>
                    <w:b/>
                  </w:rPr>
                  <w:t>年度</w:t>
                </w:r>
              </w:p>
            </w:sdtContent>
          </w:sdt>
        </w:tc>
      </w:tr>
      <w:tr w:rsidR="00577D08" w14:paraId="5C90FCBA" w14:textId="77777777">
        <w:sdt>
          <w:sdtPr>
            <w:tag w:val="_PLD_c03c8258c1684fb989d96332af6834de"/>
            <w:id w:val="-1114596836"/>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0EF4B358" w14:textId="77777777" w:rsidR="00577D08" w:rsidRDefault="00330FC0">
                <w:r>
                  <w:rPr>
                    <w:rFonts w:hint="eastAsia"/>
                    <w:b/>
                    <w:bCs/>
                  </w:rPr>
                  <w:t>一、经营活动产生的现金流量：</w:t>
                </w:r>
              </w:p>
            </w:tc>
          </w:sdtContent>
        </w:sdt>
      </w:tr>
      <w:tr w:rsidR="00577D08" w14:paraId="48A47DB7" w14:textId="77777777">
        <w:tc>
          <w:tcPr>
            <w:tcW w:w="3141" w:type="dxa"/>
            <w:tcBorders>
              <w:top w:val="outset" w:sz="4" w:space="0" w:color="auto"/>
              <w:left w:val="outset" w:sz="4" w:space="0" w:color="auto"/>
              <w:bottom w:val="outset" w:sz="4" w:space="0" w:color="auto"/>
              <w:right w:val="outset" w:sz="4" w:space="0" w:color="auto"/>
            </w:tcBorders>
            <w:vAlign w:val="center"/>
          </w:tcPr>
          <w:p w14:paraId="413C4988" w14:textId="77777777" w:rsidR="00577D08" w:rsidRDefault="00330FC0">
            <w:pPr>
              <w:ind w:firstLineChars="100" w:firstLine="210"/>
              <w:rPr>
                <w:color w:val="000000"/>
              </w:rPr>
            </w:pPr>
            <w:r>
              <w:rPr>
                <w:rFonts w:hint="eastAsia"/>
              </w:rPr>
              <w:t>销售商品、提供劳务收到的现金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40DDB7B4"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14DD514E" w14:textId="77777777" w:rsidR="00577D08" w:rsidRDefault="00330FC0">
            <w:pPr>
              <w:jc w:val="right"/>
            </w:pPr>
            <w:r>
              <w:t xml:space="preserve"> 2,859,734,646.01 </w:t>
            </w:r>
          </w:p>
        </w:tc>
        <w:tc>
          <w:tcPr>
            <w:tcW w:w="2168" w:type="dxa"/>
            <w:tcBorders>
              <w:top w:val="outset" w:sz="4" w:space="0" w:color="auto"/>
              <w:left w:val="outset" w:sz="4" w:space="0" w:color="auto"/>
              <w:bottom w:val="outset" w:sz="4" w:space="0" w:color="auto"/>
              <w:right w:val="outset" w:sz="4" w:space="0" w:color="auto"/>
            </w:tcBorders>
            <w:vAlign w:val="center"/>
          </w:tcPr>
          <w:p w14:paraId="0984D9CF" w14:textId="77777777" w:rsidR="00577D08" w:rsidRDefault="00330FC0">
            <w:pPr>
              <w:jc w:val="right"/>
            </w:pPr>
            <w:r>
              <w:t>2,542,158,945.34</w:t>
            </w:r>
          </w:p>
        </w:tc>
      </w:tr>
      <w:tr w:rsidR="00577D08" w14:paraId="713E7F3D" w14:textId="77777777">
        <w:tc>
          <w:tcPr>
            <w:tcW w:w="3141" w:type="dxa"/>
            <w:tcBorders>
              <w:top w:val="outset" w:sz="4" w:space="0" w:color="auto"/>
              <w:left w:val="outset" w:sz="4" w:space="0" w:color="auto"/>
              <w:bottom w:val="outset" w:sz="4" w:space="0" w:color="auto"/>
              <w:right w:val="outset" w:sz="4" w:space="0" w:color="auto"/>
            </w:tcBorders>
            <w:vAlign w:val="center"/>
          </w:tcPr>
          <w:p w14:paraId="6977B310" w14:textId="77777777" w:rsidR="00577D08" w:rsidRDefault="00330FC0">
            <w:pPr>
              <w:ind w:firstLineChars="100" w:firstLine="210"/>
            </w:pPr>
            <w:r>
              <w:rPr>
                <w:rFonts w:hint="eastAsia"/>
              </w:rPr>
              <w:t>客户存款和同业存放款项净增加额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301D67FF"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732B6CC9"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63F96257" w14:textId="77777777" w:rsidR="00577D08" w:rsidRDefault="00577D08">
            <w:pPr>
              <w:jc w:val="right"/>
            </w:pPr>
          </w:p>
        </w:tc>
      </w:tr>
      <w:tr w:rsidR="00577D08" w14:paraId="1E00B5B5" w14:textId="77777777">
        <w:tc>
          <w:tcPr>
            <w:tcW w:w="3141" w:type="dxa"/>
            <w:tcBorders>
              <w:top w:val="outset" w:sz="4" w:space="0" w:color="auto"/>
              <w:left w:val="outset" w:sz="4" w:space="0" w:color="auto"/>
              <w:bottom w:val="outset" w:sz="4" w:space="0" w:color="auto"/>
              <w:right w:val="outset" w:sz="4" w:space="0" w:color="auto"/>
            </w:tcBorders>
            <w:vAlign w:val="center"/>
          </w:tcPr>
          <w:p w14:paraId="05A44CFC" w14:textId="77777777" w:rsidR="00577D08" w:rsidRDefault="00330FC0">
            <w:pPr>
              <w:ind w:firstLineChars="100" w:firstLine="210"/>
            </w:pPr>
            <w:r>
              <w:rPr>
                <w:rFonts w:hint="eastAsia"/>
              </w:rPr>
              <w:t>向中央银行借款净增加额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0B2A22E9"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6A8A036F"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4BB29B68" w14:textId="77777777" w:rsidR="00577D08" w:rsidRDefault="00577D08">
            <w:pPr>
              <w:jc w:val="right"/>
            </w:pPr>
          </w:p>
        </w:tc>
      </w:tr>
      <w:tr w:rsidR="00577D08" w14:paraId="77922F54" w14:textId="77777777">
        <w:tc>
          <w:tcPr>
            <w:tcW w:w="3141" w:type="dxa"/>
            <w:tcBorders>
              <w:top w:val="outset" w:sz="4" w:space="0" w:color="auto"/>
              <w:left w:val="outset" w:sz="4" w:space="0" w:color="auto"/>
              <w:bottom w:val="outset" w:sz="4" w:space="0" w:color="auto"/>
              <w:right w:val="outset" w:sz="4" w:space="0" w:color="auto"/>
            </w:tcBorders>
            <w:vAlign w:val="center"/>
          </w:tcPr>
          <w:p w14:paraId="1C479AD3" w14:textId="77777777" w:rsidR="00577D08" w:rsidRDefault="00330FC0">
            <w:pPr>
              <w:ind w:firstLineChars="100" w:firstLine="210"/>
            </w:pPr>
            <w:r>
              <w:rPr>
                <w:rFonts w:hint="eastAsia"/>
              </w:rPr>
              <w:t>向其他金融机构拆入资金净增加额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020B61BB"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09B0E494"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623DCA99" w14:textId="77777777" w:rsidR="00577D08" w:rsidRDefault="00577D08">
            <w:pPr>
              <w:jc w:val="right"/>
            </w:pPr>
          </w:p>
        </w:tc>
      </w:tr>
      <w:tr w:rsidR="00577D08" w14:paraId="08D17AAD" w14:textId="77777777">
        <w:tc>
          <w:tcPr>
            <w:tcW w:w="3141" w:type="dxa"/>
            <w:tcBorders>
              <w:top w:val="outset" w:sz="4" w:space="0" w:color="auto"/>
              <w:left w:val="outset" w:sz="4" w:space="0" w:color="auto"/>
              <w:bottom w:val="outset" w:sz="4" w:space="0" w:color="auto"/>
              <w:right w:val="outset" w:sz="4" w:space="0" w:color="auto"/>
            </w:tcBorders>
            <w:vAlign w:val="center"/>
          </w:tcPr>
          <w:p w14:paraId="3E2E9FAE" w14:textId="77777777" w:rsidR="00577D08" w:rsidRDefault="00330FC0">
            <w:pPr>
              <w:ind w:firstLineChars="100" w:firstLine="210"/>
            </w:pPr>
            <w:r>
              <w:rPr>
                <w:rFonts w:hint="eastAsia"/>
              </w:rPr>
              <w:t>收到原保险合同保费取得的现金</w:t>
            </w:r>
          </w:p>
        </w:tc>
        <w:tc>
          <w:tcPr>
            <w:tcW w:w="1567" w:type="dxa"/>
            <w:tcBorders>
              <w:top w:val="outset" w:sz="4" w:space="0" w:color="auto"/>
              <w:left w:val="outset" w:sz="4" w:space="0" w:color="auto"/>
              <w:bottom w:val="outset" w:sz="4" w:space="0" w:color="auto"/>
              <w:right w:val="outset" w:sz="4" w:space="0" w:color="auto"/>
            </w:tcBorders>
            <w:vAlign w:val="center"/>
          </w:tcPr>
          <w:p w14:paraId="1DB09AEC"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1B3418DE"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38AABAEA" w14:textId="77777777" w:rsidR="00577D08" w:rsidRDefault="00577D08">
            <w:pPr>
              <w:jc w:val="right"/>
            </w:pPr>
          </w:p>
        </w:tc>
      </w:tr>
      <w:tr w:rsidR="00577D08" w14:paraId="1FE4519D" w14:textId="77777777">
        <w:tc>
          <w:tcPr>
            <w:tcW w:w="3141" w:type="dxa"/>
            <w:tcBorders>
              <w:top w:val="outset" w:sz="4" w:space="0" w:color="auto"/>
              <w:left w:val="outset" w:sz="4" w:space="0" w:color="auto"/>
              <w:bottom w:val="outset" w:sz="4" w:space="0" w:color="auto"/>
              <w:right w:val="outset" w:sz="4" w:space="0" w:color="auto"/>
            </w:tcBorders>
            <w:vAlign w:val="center"/>
          </w:tcPr>
          <w:p w14:paraId="675C0641" w14:textId="77777777" w:rsidR="00577D08" w:rsidRDefault="00330FC0">
            <w:pPr>
              <w:ind w:firstLineChars="100" w:firstLine="210"/>
            </w:pPr>
            <w:r>
              <w:rPr>
                <w:rFonts w:hint="eastAsia"/>
              </w:rPr>
              <w:t>收到再保业务现金净额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5068C96C"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F041DF5"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3BFE2528" w14:textId="77777777" w:rsidR="00577D08" w:rsidRDefault="00577D08">
            <w:pPr>
              <w:jc w:val="right"/>
            </w:pPr>
          </w:p>
        </w:tc>
      </w:tr>
      <w:tr w:rsidR="00577D08" w14:paraId="231865AA" w14:textId="77777777">
        <w:tc>
          <w:tcPr>
            <w:tcW w:w="3141" w:type="dxa"/>
            <w:tcBorders>
              <w:top w:val="outset" w:sz="4" w:space="0" w:color="auto"/>
              <w:left w:val="outset" w:sz="4" w:space="0" w:color="auto"/>
              <w:bottom w:val="outset" w:sz="4" w:space="0" w:color="auto"/>
              <w:right w:val="outset" w:sz="4" w:space="0" w:color="auto"/>
            </w:tcBorders>
            <w:vAlign w:val="center"/>
          </w:tcPr>
          <w:p w14:paraId="151BC4F6" w14:textId="77777777" w:rsidR="00577D08" w:rsidRDefault="00330FC0">
            <w:pPr>
              <w:ind w:firstLineChars="100" w:firstLine="210"/>
            </w:pPr>
            <w:r>
              <w:rPr>
                <w:rFonts w:hint="eastAsia"/>
              </w:rPr>
              <w:t>保户储金及投资款净增加额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655FCB6F"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270C58C3"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1FB5F8D9" w14:textId="77777777" w:rsidR="00577D08" w:rsidRDefault="00577D08">
            <w:pPr>
              <w:jc w:val="right"/>
            </w:pPr>
          </w:p>
        </w:tc>
      </w:tr>
      <w:tr w:rsidR="00577D08" w14:paraId="50EFA242" w14:textId="77777777">
        <w:tc>
          <w:tcPr>
            <w:tcW w:w="3141" w:type="dxa"/>
            <w:tcBorders>
              <w:top w:val="outset" w:sz="4" w:space="0" w:color="auto"/>
              <w:left w:val="outset" w:sz="4" w:space="0" w:color="auto"/>
              <w:bottom w:val="outset" w:sz="4" w:space="0" w:color="auto"/>
              <w:right w:val="outset" w:sz="4" w:space="0" w:color="auto"/>
            </w:tcBorders>
            <w:vAlign w:val="center"/>
          </w:tcPr>
          <w:p w14:paraId="7A00F383" w14:textId="77777777" w:rsidR="00577D08" w:rsidRDefault="00330FC0">
            <w:pPr>
              <w:ind w:firstLineChars="100" w:firstLine="210"/>
            </w:pPr>
            <w:r>
              <w:rPr>
                <w:rFonts w:hint="eastAsia"/>
              </w:rPr>
              <w:t>收取利息、手续费及佣金的现金</w:t>
            </w:r>
          </w:p>
        </w:tc>
        <w:tc>
          <w:tcPr>
            <w:tcW w:w="1567" w:type="dxa"/>
            <w:tcBorders>
              <w:top w:val="outset" w:sz="4" w:space="0" w:color="auto"/>
              <w:left w:val="outset" w:sz="4" w:space="0" w:color="auto"/>
              <w:bottom w:val="outset" w:sz="4" w:space="0" w:color="auto"/>
              <w:right w:val="outset" w:sz="4" w:space="0" w:color="auto"/>
            </w:tcBorders>
            <w:vAlign w:val="center"/>
          </w:tcPr>
          <w:p w14:paraId="118AD0BE"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1576CF16"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09F32C1A" w14:textId="77777777" w:rsidR="00577D08" w:rsidRDefault="00577D08">
            <w:pPr>
              <w:jc w:val="right"/>
            </w:pPr>
          </w:p>
        </w:tc>
      </w:tr>
      <w:tr w:rsidR="00577D08" w14:paraId="3808A8D6" w14:textId="77777777">
        <w:tc>
          <w:tcPr>
            <w:tcW w:w="3141" w:type="dxa"/>
            <w:tcBorders>
              <w:top w:val="outset" w:sz="4" w:space="0" w:color="auto"/>
              <w:left w:val="outset" w:sz="4" w:space="0" w:color="auto"/>
              <w:bottom w:val="outset" w:sz="4" w:space="0" w:color="auto"/>
              <w:right w:val="outset" w:sz="4" w:space="0" w:color="auto"/>
            </w:tcBorders>
            <w:vAlign w:val="center"/>
          </w:tcPr>
          <w:p w14:paraId="14309C64" w14:textId="77777777" w:rsidR="00577D08" w:rsidRDefault="00330FC0">
            <w:pPr>
              <w:ind w:firstLineChars="100" w:firstLine="210"/>
            </w:pPr>
            <w:r>
              <w:rPr>
                <w:rFonts w:hint="eastAsia"/>
              </w:rPr>
              <w:t>拆入资金净增加额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27EC56B6"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30C7484E"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682D970C" w14:textId="77777777" w:rsidR="00577D08" w:rsidRDefault="00577D08">
            <w:pPr>
              <w:jc w:val="right"/>
            </w:pPr>
          </w:p>
        </w:tc>
      </w:tr>
      <w:tr w:rsidR="00577D08" w14:paraId="5B1746BA" w14:textId="77777777">
        <w:tc>
          <w:tcPr>
            <w:tcW w:w="3141" w:type="dxa"/>
            <w:tcBorders>
              <w:top w:val="outset" w:sz="4" w:space="0" w:color="auto"/>
              <w:left w:val="outset" w:sz="4" w:space="0" w:color="auto"/>
              <w:bottom w:val="outset" w:sz="4" w:space="0" w:color="auto"/>
              <w:right w:val="outset" w:sz="4" w:space="0" w:color="auto"/>
            </w:tcBorders>
            <w:vAlign w:val="center"/>
          </w:tcPr>
          <w:p w14:paraId="3F41EEC9" w14:textId="77777777" w:rsidR="00577D08" w:rsidRDefault="00330FC0">
            <w:pPr>
              <w:ind w:firstLineChars="100" w:firstLine="210"/>
            </w:pPr>
            <w:r>
              <w:rPr>
                <w:rFonts w:hint="eastAsia"/>
              </w:rPr>
              <w:t>回购业务资金净增加额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5F727513"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50254DC"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057E588A" w14:textId="77777777" w:rsidR="00577D08" w:rsidRDefault="00577D08">
            <w:pPr>
              <w:jc w:val="right"/>
            </w:pPr>
          </w:p>
        </w:tc>
      </w:tr>
      <w:tr w:rsidR="00577D08" w14:paraId="17269E02" w14:textId="77777777">
        <w:tc>
          <w:tcPr>
            <w:tcW w:w="3141" w:type="dxa"/>
            <w:tcBorders>
              <w:top w:val="outset" w:sz="4" w:space="0" w:color="auto"/>
              <w:left w:val="outset" w:sz="4" w:space="0" w:color="auto"/>
              <w:bottom w:val="outset" w:sz="4" w:space="0" w:color="auto"/>
              <w:right w:val="outset" w:sz="4" w:space="0" w:color="auto"/>
            </w:tcBorders>
            <w:vAlign w:val="center"/>
          </w:tcPr>
          <w:p w14:paraId="270127F0" w14:textId="77777777" w:rsidR="00577D08" w:rsidRDefault="00330FC0">
            <w:pPr>
              <w:ind w:firstLineChars="100" w:firstLine="210"/>
            </w:pPr>
            <w:r>
              <w:rPr>
                <w:rFonts w:hint="eastAsia"/>
              </w:rPr>
              <w:t>代理买卖证券收到的现金净额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7265D7E9"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818E88D"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7E9E3A11" w14:textId="77777777" w:rsidR="00577D08" w:rsidRDefault="00577D08">
            <w:pPr>
              <w:jc w:val="right"/>
            </w:pPr>
          </w:p>
        </w:tc>
      </w:tr>
      <w:tr w:rsidR="00577D08" w14:paraId="129F10E3" w14:textId="77777777">
        <w:tc>
          <w:tcPr>
            <w:tcW w:w="3141" w:type="dxa"/>
            <w:tcBorders>
              <w:top w:val="outset" w:sz="4" w:space="0" w:color="auto"/>
              <w:left w:val="outset" w:sz="4" w:space="0" w:color="auto"/>
              <w:bottom w:val="outset" w:sz="4" w:space="0" w:color="auto"/>
              <w:right w:val="outset" w:sz="4" w:space="0" w:color="auto"/>
            </w:tcBorders>
            <w:vAlign w:val="center"/>
          </w:tcPr>
          <w:p w14:paraId="3F8861B5" w14:textId="77777777" w:rsidR="00577D08" w:rsidRDefault="00330FC0">
            <w:pPr>
              <w:ind w:firstLineChars="100" w:firstLine="210"/>
            </w:pPr>
            <w:r>
              <w:rPr>
                <w:rFonts w:hint="eastAsia"/>
              </w:rPr>
              <w:t>收到的税费返还</w:t>
            </w:r>
          </w:p>
        </w:tc>
        <w:tc>
          <w:tcPr>
            <w:tcW w:w="1567" w:type="dxa"/>
            <w:tcBorders>
              <w:top w:val="outset" w:sz="4" w:space="0" w:color="auto"/>
              <w:left w:val="outset" w:sz="4" w:space="0" w:color="auto"/>
              <w:bottom w:val="outset" w:sz="4" w:space="0" w:color="auto"/>
              <w:right w:val="outset" w:sz="4" w:space="0" w:color="auto"/>
            </w:tcBorders>
            <w:vAlign w:val="center"/>
          </w:tcPr>
          <w:p w14:paraId="6E193252"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7AC5E43" w14:textId="77777777" w:rsidR="00577D08" w:rsidRDefault="00330FC0">
            <w:pPr>
              <w:jc w:val="right"/>
            </w:pPr>
            <w:r>
              <w:t xml:space="preserve"> 4,164,519.88 </w:t>
            </w:r>
          </w:p>
        </w:tc>
        <w:tc>
          <w:tcPr>
            <w:tcW w:w="2168" w:type="dxa"/>
            <w:tcBorders>
              <w:top w:val="outset" w:sz="4" w:space="0" w:color="auto"/>
              <w:left w:val="outset" w:sz="4" w:space="0" w:color="auto"/>
              <w:bottom w:val="outset" w:sz="4" w:space="0" w:color="auto"/>
              <w:right w:val="outset" w:sz="4" w:space="0" w:color="auto"/>
            </w:tcBorders>
            <w:vAlign w:val="center"/>
          </w:tcPr>
          <w:p w14:paraId="0AA90E87" w14:textId="77777777" w:rsidR="00577D08" w:rsidRDefault="00330FC0">
            <w:pPr>
              <w:jc w:val="right"/>
            </w:pPr>
            <w:r>
              <w:t>21,724,397.37</w:t>
            </w:r>
          </w:p>
        </w:tc>
      </w:tr>
      <w:tr w:rsidR="00577D08" w14:paraId="3FC0C37A" w14:textId="77777777">
        <w:tc>
          <w:tcPr>
            <w:tcW w:w="3141" w:type="dxa"/>
            <w:tcBorders>
              <w:top w:val="outset" w:sz="4" w:space="0" w:color="auto"/>
              <w:left w:val="outset" w:sz="4" w:space="0" w:color="auto"/>
              <w:bottom w:val="outset" w:sz="4" w:space="0" w:color="auto"/>
              <w:right w:val="outset" w:sz="4" w:space="0" w:color="auto"/>
            </w:tcBorders>
            <w:vAlign w:val="center"/>
          </w:tcPr>
          <w:p w14:paraId="7B577EA5" w14:textId="77777777" w:rsidR="00577D08" w:rsidRDefault="00330FC0">
            <w:pPr>
              <w:ind w:firstLineChars="100" w:firstLine="210"/>
            </w:pPr>
            <w:r>
              <w:rPr>
                <w:rFonts w:hint="eastAsia"/>
              </w:rPr>
              <w:t>收到其他与经营活动有关的现金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66A28A42" w14:textId="77777777" w:rsidR="00577D08" w:rsidRDefault="00330FC0">
            <w:pPr>
              <w:jc w:val="both"/>
            </w:pPr>
            <w:r>
              <w:rPr>
                <w:rFonts w:hint="eastAsia"/>
              </w:rPr>
              <w:t>七、</w:t>
            </w:r>
            <w:r>
              <w:rPr>
                <w:rFonts w:hint="eastAsia"/>
              </w:rPr>
              <w:t>78</w:t>
            </w:r>
          </w:p>
        </w:tc>
        <w:tc>
          <w:tcPr>
            <w:tcW w:w="2173" w:type="dxa"/>
            <w:tcBorders>
              <w:top w:val="outset" w:sz="4" w:space="0" w:color="auto"/>
              <w:left w:val="outset" w:sz="4" w:space="0" w:color="auto"/>
              <w:bottom w:val="outset" w:sz="4" w:space="0" w:color="auto"/>
              <w:right w:val="outset" w:sz="4" w:space="0" w:color="auto"/>
            </w:tcBorders>
            <w:vAlign w:val="center"/>
          </w:tcPr>
          <w:p w14:paraId="049EEBCF" w14:textId="77777777" w:rsidR="00577D08" w:rsidRDefault="00330FC0">
            <w:pPr>
              <w:jc w:val="right"/>
            </w:pPr>
            <w:r>
              <w:t xml:space="preserve"> 48,729,110.41 </w:t>
            </w:r>
          </w:p>
        </w:tc>
        <w:tc>
          <w:tcPr>
            <w:tcW w:w="2168" w:type="dxa"/>
            <w:tcBorders>
              <w:top w:val="outset" w:sz="4" w:space="0" w:color="auto"/>
              <w:left w:val="outset" w:sz="4" w:space="0" w:color="auto"/>
              <w:bottom w:val="outset" w:sz="4" w:space="0" w:color="auto"/>
              <w:right w:val="outset" w:sz="4" w:space="0" w:color="auto"/>
            </w:tcBorders>
            <w:vAlign w:val="center"/>
          </w:tcPr>
          <w:p w14:paraId="5FC911E7" w14:textId="77777777" w:rsidR="00577D08" w:rsidRDefault="00330FC0">
            <w:pPr>
              <w:jc w:val="right"/>
            </w:pPr>
            <w:r>
              <w:t>163,430,625.03</w:t>
            </w:r>
          </w:p>
        </w:tc>
      </w:tr>
      <w:tr w:rsidR="00577D08" w14:paraId="0D5BDBFE" w14:textId="77777777">
        <w:tc>
          <w:tcPr>
            <w:tcW w:w="3141" w:type="dxa"/>
            <w:tcBorders>
              <w:top w:val="outset" w:sz="4" w:space="0" w:color="auto"/>
              <w:left w:val="outset" w:sz="4" w:space="0" w:color="auto"/>
              <w:bottom w:val="outset" w:sz="4" w:space="0" w:color="auto"/>
              <w:right w:val="outset" w:sz="4" w:space="0" w:color="auto"/>
            </w:tcBorders>
            <w:vAlign w:val="center"/>
          </w:tcPr>
          <w:p w14:paraId="61180320" w14:textId="77777777" w:rsidR="00577D08" w:rsidRDefault="00330FC0">
            <w:pPr>
              <w:ind w:firstLineChars="200" w:firstLine="420"/>
              <w:rPr>
                <w:color w:val="000000"/>
              </w:rPr>
            </w:pPr>
            <w:r>
              <w:rPr>
                <w:rFonts w:hint="eastAsia"/>
              </w:rPr>
              <w:t>经营活动现金流入小计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713CBA5D"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1C67686" w14:textId="77777777" w:rsidR="00577D08" w:rsidRDefault="00330FC0">
            <w:pPr>
              <w:jc w:val="right"/>
            </w:pPr>
            <w:r>
              <w:t xml:space="preserve"> 2,912,628,276.30 </w:t>
            </w:r>
          </w:p>
        </w:tc>
        <w:tc>
          <w:tcPr>
            <w:tcW w:w="2168" w:type="dxa"/>
            <w:tcBorders>
              <w:top w:val="outset" w:sz="4" w:space="0" w:color="auto"/>
              <w:left w:val="outset" w:sz="4" w:space="0" w:color="auto"/>
              <w:bottom w:val="outset" w:sz="4" w:space="0" w:color="auto"/>
              <w:right w:val="outset" w:sz="4" w:space="0" w:color="auto"/>
            </w:tcBorders>
            <w:vAlign w:val="center"/>
          </w:tcPr>
          <w:p w14:paraId="75BDCC84" w14:textId="77777777" w:rsidR="00577D08" w:rsidRDefault="00330FC0">
            <w:pPr>
              <w:jc w:val="right"/>
            </w:pPr>
            <w:r>
              <w:t>2,727,313,967.74</w:t>
            </w:r>
          </w:p>
        </w:tc>
      </w:tr>
      <w:tr w:rsidR="00577D08" w14:paraId="2BE2BFF9" w14:textId="77777777">
        <w:tc>
          <w:tcPr>
            <w:tcW w:w="3141" w:type="dxa"/>
            <w:tcBorders>
              <w:top w:val="outset" w:sz="4" w:space="0" w:color="auto"/>
              <w:left w:val="outset" w:sz="4" w:space="0" w:color="auto"/>
              <w:bottom w:val="outset" w:sz="4" w:space="0" w:color="auto"/>
              <w:right w:val="outset" w:sz="4" w:space="0" w:color="auto"/>
            </w:tcBorders>
            <w:vAlign w:val="center"/>
          </w:tcPr>
          <w:p w14:paraId="18135274" w14:textId="77777777" w:rsidR="00577D08" w:rsidRDefault="00330FC0">
            <w:pPr>
              <w:ind w:firstLineChars="100" w:firstLine="210"/>
            </w:pPr>
            <w:r>
              <w:rPr>
                <w:rFonts w:hint="eastAsia"/>
              </w:rPr>
              <w:t>购买商品、接受劳务支付的现金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384EE1F1"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53E9E10" w14:textId="77777777" w:rsidR="00577D08" w:rsidRDefault="00330FC0">
            <w:pPr>
              <w:jc w:val="right"/>
            </w:pPr>
            <w:r>
              <w:t xml:space="preserve"> 2,145,245,278.80 </w:t>
            </w:r>
          </w:p>
        </w:tc>
        <w:tc>
          <w:tcPr>
            <w:tcW w:w="2168" w:type="dxa"/>
            <w:tcBorders>
              <w:top w:val="outset" w:sz="4" w:space="0" w:color="auto"/>
              <w:left w:val="outset" w:sz="4" w:space="0" w:color="auto"/>
              <w:bottom w:val="outset" w:sz="4" w:space="0" w:color="auto"/>
              <w:right w:val="outset" w:sz="4" w:space="0" w:color="auto"/>
            </w:tcBorders>
            <w:vAlign w:val="center"/>
          </w:tcPr>
          <w:p w14:paraId="0E42988B" w14:textId="77777777" w:rsidR="00577D08" w:rsidRDefault="00330FC0">
            <w:pPr>
              <w:jc w:val="right"/>
            </w:pPr>
            <w:r>
              <w:t>2,202,660,296.04</w:t>
            </w:r>
          </w:p>
        </w:tc>
      </w:tr>
      <w:tr w:rsidR="00577D08" w14:paraId="37808A86" w14:textId="77777777">
        <w:tc>
          <w:tcPr>
            <w:tcW w:w="3141" w:type="dxa"/>
            <w:tcBorders>
              <w:top w:val="outset" w:sz="4" w:space="0" w:color="auto"/>
              <w:left w:val="outset" w:sz="4" w:space="0" w:color="auto"/>
              <w:bottom w:val="outset" w:sz="4" w:space="0" w:color="auto"/>
              <w:right w:val="outset" w:sz="4" w:space="0" w:color="auto"/>
            </w:tcBorders>
            <w:vAlign w:val="center"/>
          </w:tcPr>
          <w:p w14:paraId="34EB8521" w14:textId="77777777" w:rsidR="00577D08" w:rsidRDefault="00330FC0">
            <w:pPr>
              <w:ind w:firstLineChars="100" w:firstLine="210"/>
            </w:pPr>
            <w:r>
              <w:rPr>
                <w:rFonts w:hint="eastAsia"/>
              </w:rPr>
              <w:t>客户贷款及垫款净增加额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4A5F1C61"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3DD08377"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035037FD" w14:textId="77777777" w:rsidR="00577D08" w:rsidRDefault="00577D08">
            <w:pPr>
              <w:jc w:val="right"/>
            </w:pPr>
          </w:p>
        </w:tc>
      </w:tr>
      <w:tr w:rsidR="00577D08" w14:paraId="08399138" w14:textId="77777777">
        <w:tc>
          <w:tcPr>
            <w:tcW w:w="3141" w:type="dxa"/>
            <w:tcBorders>
              <w:top w:val="outset" w:sz="4" w:space="0" w:color="auto"/>
              <w:left w:val="outset" w:sz="4" w:space="0" w:color="auto"/>
              <w:bottom w:val="outset" w:sz="4" w:space="0" w:color="auto"/>
              <w:right w:val="outset" w:sz="4" w:space="0" w:color="auto"/>
            </w:tcBorders>
            <w:vAlign w:val="center"/>
          </w:tcPr>
          <w:p w14:paraId="594F1790" w14:textId="77777777" w:rsidR="00577D08" w:rsidRDefault="00330FC0">
            <w:pPr>
              <w:ind w:firstLineChars="100" w:firstLine="210"/>
            </w:pPr>
            <w:r>
              <w:rPr>
                <w:rFonts w:hint="eastAsia"/>
              </w:rPr>
              <w:t>存放中央银行和同业款项净增加额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4A47DAD6"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1A31052"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27B5E5B1" w14:textId="77777777" w:rsidR="00577D08" w:rsidRDefault="00577D08">
            <w:pPr>
              <w:jc w:val="right"/>
            </w:pPr>
          </w:p>
        </w:tc>
      </w:tr>
      <w:tr w:rsidR="00577D08" w14:paraId="541C063D" w14:textId="77777777">
        <w:tc>
          <w:tcPr>
            <w:tcW w:w="3141" w:type="dxa"/>
            <w:tcBorders>
              <w:top w:val="outset" w:sz="4" w:space="0" w:color="auto"/>
              <w:left w:val="outset" w:sz="4" w:space="0" w:color="auto"/>
              <w:bottom w:val="outset" w:sz="4" w:space="0" w:color="auto"/>
              <w:right w:val="outset" w:sz="4" w:space="0" w:color="auto"/>
            </w:tcBorders>
            <w:vAlign w:val="center"/>
          </w:tcPr>
          <w:p w14:paraId="2384C39F" w14:textId="77777777" w:rsidR="00577D08" w:rsidRDefault="00330FC0">
            <w:pPr>
              <w:ind w:firstLineChars="100" w:firstLine="210"/>
            </w:pPr>
            <w:r>
              <w:rPr>
                <w:rFonts w:hint="eastAsia"/>
              </w:rPr>
              <w:t>支付原保险合同赔付款项的现金</w:t>
            </w:r>
          </w:p>
        </w:tc>
        <w:tc>
          <w:tcPr>
            <w:tcW w:w="1567" w:type="dxa"/>
            <w:tcBorders>
              <w:top w:val="outset" w:sz="4" w:space="0" w:color="auto"/>
              <w:left w:val="outset" w:sz="4" w:space="0" w:color="auto"/>
              <w:bottom w:val="outset" w:sz="4" w:space="0" w:color="auto"/>
              <w:right w:val="outset" w:sz="4" w:space="0" w:color="auto"/>
            </w:tcBorders>
            <w:vAlign w:val="center"/>
          </w:tcPr>
          <w:p w14:paraId="37518008"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CA98181"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1DDA2076" w14:textId="77777777" w:rsidR="00577D08" w:rsidRDefault="00577D08">
            <w:pPr>
              <w:jc w:val="right"/>
            </w:pPr>
          </w:p>
        </w:tc>
      </w:tr>
      <w:tr w:rsidR="00577D08" w14:paraId="7198579B" w14:textId="77777777">
        <w:tc>
          <w:tcPr>
            <w:tcW w:w="3141" w:type="dxa"/>
            <w:tcBorders>
              <w:top w:val="outset" w:sz="4" w:space="0" w:color="auto"/>
              <w:left w:val="outset" w:sz="4" w:space="0" w:color="auto"/>
              <w:bottom w:val="outset" w:sz="4" w:space="0" w:color="auto"/>
              <w:right w:val="outset" w:sz="4" w:space="0" w:color="auto"/>
            </w:tcBorders>
            <w:vAlign w:val="center"/>
          </w:tcPr>
          <w:p w14:paraId="522834EA" w14:textId="77777777" w:rsidR="00577D08" w:rsidRDefault="00330FC0">
            <w:pPr>
              <w:ind w:firstLineChars="100" w:firstLine="210"/>
            </w:pPr>
            <w:r>
              <w:rPr>
                <w:rFonts w:hint="eastAsia"/>
              </w:rPr>
              <w:t>拆出资金净增加额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6B82DE48"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169651DE"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1FCF5FBB" w14:textId="77777777" w:rsidR="00577D08" w:rsidRDefault="00577D08">
            <w:pPr>
              <w:jc w:val="right"/>
            </w:pPr>
          </w:p>
        </w:tc>
      </w:tr>
      <w:tr w:rsidR="00577D08" w14:paraId="269A9758" w14:textId="77777777">
        <w:tc>
          <w:tcPr>
            <w:tcW w:w="3141" w:type="dxa"/>
            <w:tcBorders>
              <w:top w:val="outset" w:sz="4" w:space="0" w:color="auto"/>
              <w:left w:val="outset" w:sz="4" w:space="0" w:color="auto"/>
              <w:bottom w:val="outset" w:sz="4" w:space="0" w:color="auto"/>
              <w:right w:val="outset" w:sz="4" w:space="0" w:color="auto"/>
            </w:tcBorders>
            <w:vAlign w:val="center"/>
          </w:tcPr>
          <w:p w14:paraId="7C65CADE" w14:textId="77777777" w:rsidR="00577D08" w:rsidRDefault="00330FC0">
            <w:pPr>
              <w:ind w:firstLineChars="100" w:firstLine="210"/>
            </w:pPr>
            <w:r>
              <w:rPr>
                <w:rFonts w:hint="eastAsia"/>
              </w:rPr>
              <w:t>支付利息、手续费及佣金的现金</w:t>
            </w:r>
          </w:p>
        </w:tc>
        <w:tc>
          <w:tcPr>
            <w:tcW w:w="1567" w:type="dxa"/>
            <w:tcBorders>
              <w:top w:val="outset" w:sz="4" w:space="0" w:color="auto"/>
              <w:left w:val="outset" w:sz="4" w:space="0" w:color="auto"/>
              <w:bottom w:val="outset" w:sz="4" w:space="0" w:color="auto"/>
              <w:right w:val="outset" w:sz="4" w:space="0" w:color="auto"/>
            </w:tcBorders>
            <w:vAlign w:val="center"/>
          </w:tcPr>
          <w:p w14:paraId="6824A6B3"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611C0B33"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0BE68C21" w14:textId="77777777" w:rsidR="00577D08" w:rsidRDefault="00577D08">
            <w:pPr>
              <w:jc w:val="right"/>
            </w:pPr>
          </w:p>
        </w:tc>
      </w:tr>
      <w:tr w:rsidR="00577D08" w14:paraId="5BFF84DA" w14:textId="77777777">
        <w:tc>
          <w:tcPr>
            <w:tcW w:w="3141" w:type="dxa"/>
            <w:tcBorders>
              <w:top w:val="outset" w:sz="4" w:space="0" w:color="auto"/>
              <w:left w:val="outset" w:sz="4" w:space="0" w:color="auto"/>
              <w:bottom w:val="outset" w:sz="4" w:space="0" w:color="auto"/>
              <w:right w:val="outset" w:sz="4" w:space="0" w:color="auto"/>
            </w:tcBorders>
            <w:vAlign w:val="center"/>
          </w:tcPr>
          <w:p w14:paraId="13ACDE24" w14:textId="77777777" w:rsidR="00577D08" w:rsidRDefault="00330FC0">
            <w:pPr>
              <w:ind w:firstLineChars="100" w:firstLine="210"/>
            </w:pPr>
            <w:r>
              <w:rPr>
                <w:rFonts w:hint="eastAsia"/>
              </w:rPr>
              <w:t>支付保单红利的现金</w:t>
            </w:r>
          </w:p>
        </w:tc>
        <w:tc>
          <w:tcPr>
            <w:tcW w:w="1567" w:type="dxa"/>
            <w:tcBorders>
              <w:top w:val="outset" w:sz="4" w:space="0" w:color="auto"/>
              <w:left w:val="outset" w:sz="4" w:space="0" w:color="auto"/>
              <w:bottom w:val="outset" w:sz="4" w:space="0" w:color="auto"/>
              <w:right w:val="outset" w:sz="4" w:space="0" w:color="auto"/>
            </w:tcBorders>
            <w:vAlign w:val="center"/>
          </w:tcPr>
          <w:p w14:paraId="69D2D661"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8773622"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70648998" w14:textId="77777777" w:rsidR="00577D08" w:rsidRDefault="00577D08">
            <w:pPr>
              <w:jc w:val="right"/>
            </w:pPr>
          </w:p>
        </w:tc>
      </w:tr>
      <w:tr w:rsidR="00577D08" w14:paraId="6AEE61F5" w14:textId="77777777">
        <w:tc>
          <w:tcPr>
            <w:tcW w:w="3141" w:type="dxa"/>
            <w:tcBorders>
              <w:top w:val="outset" w:sz="4" w:space="0" w:color="auto"/>
              <w:left w:val="outset" w:sz="4" w:space="0" w:color="auto"/>
              <w:bottom w:val="outset" w:sz="4" w:space="0" w:color="auto"/>
              <w:right w:val="outset" w:sz="4" w:space="0" w:color="auto"/>
            </w:tcBorders>
            <w:vAlign w:val="center"/>
          </w:tcPr>
          <w:p w14:paraId="74988A1D" w14:textId="77777777" w:rsidR="00577D08" w:rsidRDefault="00330FC0">
            <w:pPr>
              <w:ind w:firstLineChars="100" w:firstLine="210"/>
            </w:pPr>
            <w:r>
              <w:rPr>
                <w:rFonts w:hint="eastAsia"/>
              </w:rPr>
              <w:t>支付给职工及为职工支付的现金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1AF78275"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2454892A" w14:textId="77777777" w:rsidR="00577D08" w:rsidRDefault="00330FC0">
            <w:pPr>
              <w:jc w:val="right"/>
            </w:pPr>
            <w:r>
              <w:t xml:space="preserve"> 324,686,942.77 </w:t>
            </w:r>
          </w:p>
        </w:tc>
        <w:tc>
          <w:tcPr>
            <w:tcW w:w="2168" w:type="dxa"/>
            <w:tcBorders>
              <w:top w:val="outset" w:sz="4" w:space="0" w:color="auto"/>
              <w:left w:val="outset" w:sz="4" w:space="0" w:color="auto"/>
              <w:bottom w:val="outset" w:sz="4" w:space="0" w:color="auto"/>
              <w:right w:val="outset" w:sz="4" w:space="0" w:color="auto"/>
            </w:tcBorders>
            <w:vAlign w:val="center"/>
          </w:tcPr>
          <w:p w14:paraId="5A1ECEBF" w14:textId="77777777" w:rsidR="00577D08" w:rsidRDefault="00330FC0">
            <w:pPr>
              <w:jc w:val="right"/>
            </w:pPr>
            <w:r>
              <w:t>284,265,964.05</w:t>
            </w:r>
          </w:p>
        </w:tc>
      </w:tr>
      <w:tr w:rsidR="00577D08" w14:paraId="25733C50" w14:textId="77777777">
        <w:tc>
          <w:tcPr>
            <w:tcW w:w="3141" w:type="dxa"/>
            <w:tcBorders>
              <w:top w:val="outset" w:sz="4" w:space="0" w:color="auto"/>
              <w:left w:val="outset" w:sz="4" w:space="0" w:color="auto"/>
              <w:bottom w:val="outset" w:sz="4" w:space="0" w:color="auto"/>
              <w:right w:val="outset" w:sz="4" w:space="0" w:color="auto"/>
            </w:tcBorders>
            <w:vAlign w:val="center"/>
          </w:tcPr>
          <w:p w14:paraId="5630D569" w14:textId="77777777" w:rsidR="00577D08" w:rsidRDefault="00330FC0">
            <w:pPr>
              <w:ind w:firstLineChars="100" w:firstLine="210"/>
            </w:pPr>
            <w:r>
              <w:rPr>
                <w:rFonts w:hint="eastAsia"/>
              </w:rPr>
              <w:t>支付的各项税费</w:t>
            </w:r>
          </w:p>
        </w:tc>
        <w:tc>
          <w:tcPr>
            <w:tcW w:w="1567" w:type="dxa"/>
            <w:tcBorders>
              <w:top w:val="outset" w:sz="4" w:space="0" w:color="auto"/>
              <w:left w:val="outset" w:sz="4" w:space="0" w:color="auto"/>
              <w:bottom w:val="outset" w:sz="4" w:space="0" w:color="auto"/>
              <w:right w:val="outset" w:sz="4" w:space="0" w:color="auto"/>
            </w:tcBorders>
            <w:vAlign w:val="center"/>
          </w:tcPr>
          <w:p w14:paraId="2A77FC15"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80E6A6C" w14:textId="77777777" w:rsidR="00577D08" w:rsidRDefault="00330FC0">
            <w:pPr>
              <w:jc w:val="right"/>
            </w:pPr>
            <w:r>
              <w:t xml:space="preserve"> 76,341,455.39 </w:t>
            </w:r>
          </w:p>
        </w:tc>
        <w:tc>
          <w:tcPr>
            <w:tcW w:w="2168" w:type="dxa"/>
            <w:tcBorders>
              <w:top w:val="outset" w:sz="4" w:space="0" w:color="auto"/>
              <w:left w:val="outset" w:sz="4" w:space="0" w:color="auto"/>
              <w:bottom w:val="outset" w:sz="4" w:space="0" w:color="auto"/>
              <w:right w:val="outset" w:sz="4" w:space="0" w:color="auto"/>
            </w:tcBorders>
            <w:vAlign w:val="center"/>
          </w:tcPr>
          <w:p w14:paraId="3C15A54D" w14:textId="77777777" w:rsidR="00577D08" w:rsidRDefault="00330FC0">
            <w:pPr>
              <w:jc w:val="right"/>
            </w:pPr>
            <w:r>
              <w:t>40,882,848.00</w:t>
            </w:r>
          </w:p>
        </w:tc>
      </w:tr>
      <w:tr w:rsidR="00577D08" w14:paraId="362AC329" w14:textId="77777777">
        <w:tc>
          <w:tcPr>
            <w:tcW w:w="3141" w:type="dxa"/>
            <w:tcBorders>
              <w:top w:val="outset" w:sz="4" w:space="0" w:color="auto"/>
              <w:left w:val="outset" w:sz="4" w:space="0" w:color="auto"/>
              <w:bottom w:val="outset" w:sz="4" w:space="0" w:color="auto"/>
              <w:right w:val="outset" w:sz="4" w:space="0" w:color="auto"/>
            </w:tcBorders>
            <w:vAlign w:val="center"/>
          </w:tcPr>
          <w:p w14:paraId="50DD8B86" w14:textId="77777777" w:rsidR="00577D08" w:rsidRDefault="00330FC0">
            <w:pPr>
              <w:ind w:firstLineChars="100" w:firstLine="210"/>
            </w:pPr>
            <w:r>
              <w:rPr>
                <w:rFonts w:hint="eastAsia"/>
              </w:rPr>
              <w:lastRenderedPageBreak/>
              <w:t>支付其他与经营活动有关的现金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5E3E71F0" w14:textId="77777777" w:rsidR="00577D08" w:rsidRDefault="00330FC0">
            <w:pPr>
              <w:jc w:val="both"/>
            </w:pPr>
            <w:r>
              <w:rPr>
                <w:rFonts w:hint="eastAsia"/>
              </w:rPr>
              <w:t>七、</w:t>
            </w:r>
            <w:r>
              <w:rPr>
                <w:rFonts w:hint="eastAsia"/>
              </w:rPr>
              <w:t>78</w:t>
            </w:r>
          </w:p>
        </w:tc>
        <w:tc>
          <w:tcPr>
            <w:tcW w:w="2173" w:type="dxa"/>
            <w:tcBorders>
              <w:top w:val="outset" w:sz="4" w:space="0" w:color="auto"/>
              <w:left w:val="outset" w:sz="4" w:space="0" w:color="auto"/>
              <w:bottom w:val="outset" w:sz="4" w:space="0" w:color="auto"/>
              <w:right w:val="outset" w:sz="4" w:space="0" w:color="auto"/>
            </w:tcBorders>
            <w:vAlign w:val="center"/>
          </w:tcPr>
          <w:p w14:paraId="1CA5F15C" w14:textId="77777777" w:rsidR="00577D08" w:rsidRDefault="00330FC0">
            <w:pPr>
              <w:jc w:val="right"/>
            </w:pPr>
            <w:r>
              <w:t xml:space="preserve"> 136,526,105.51 </w:t>
            </w:r>
          </w:p>
        </w:tc>
        <w:tc>
          <w:tcPr>
            <w:tcW w:w="2168" w:type="dxa"/>
            <w:tcBorders>
              <w:top w:val="outset" w:sz="4" w:space="0" w:color="auto"/>
              <w:left w:val="outset" w:sz="4" w:space="0" w:color="auto"/>
              <w:bottom w:val="outset" w:sz="4" w:space="0" w:color="auto"/>
              <w:right w:val="outset" w:sz="4" w:space="0" w:color="auto"/>
            </w:tcBorders>
            <w:vAlign w:val="center"/>
          </w:tcPr>
          <w:p w14:paraId="252922DA" w14:textId="77777777" w:rsidR="00577D08" w:rsidRDefault="00330FC0">
            <w:pPr>
              <w:jc w:val="right"/>
            </w:pPr>
            <w:r>
              <w:t>178,846,374.26</w:t>
            </w:r>
          </w:p>
        </w:tc>
      </w:tr>
      <w:tr w:rsidR="00577D08" w14:paraId="2B5BD324" w14:textId="77777777">
        <w:tc>
          <w:tcPr>
            <w:tcW w:w="3141" w:type="dxa"/>
            <w:tcBorders>
              <w:top w:val="outset" w:sz="4" w:space="0" w:color="auto"/>
              <w:left w:val="outset" w:sz="4" w:space="0" w:color="auto"/>
              <w:bottom w:val="outset" w:sz="4" w:space="0" w:color="auto"/>
              <w:right w:val="outset" w:sz="4" w:space="0" w:color="auto"/>
            </w:tcBorders>
            <w:vAlign w:val="center"/>
          </w:tcPr>
          <w:p w14:paraId="218DDE0E" w14:textId="77777777" w:rsidR="00577D08" w:rsidRDefault="00330FC0">
            <w:pPr>
              <w:ind w:firstLineChars="200" w:firstLine="420"/>
              <w:rPr>
                <w:color w:val="000000"/>
              </w:rPr>
            </w:pPr>
            <w:r>
              <w:rPr>
                <w:rFonts w:hint="eastAsia"/>
              </w:rPr>
              <w:t>经营活动现金流出小计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5A8C709D"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8C91358" w14:textId="77777777" w:rsidR="00577D08" w:rsidRDefault="00330FC0">
            <w:pPr>
              <w:jc w:val="right"/>
            </w:pPr>
            <w:r>
              <w:t xml:space="preserve"> 2,682,799,782.47 </w:t>
            </w:r>
          </w:p>
        </w:tc>
        <w:tc>
          <w:tcPr>
            <w:tcW w:w="2168" w:type="dxa"/>
            <w:tcBorders>
              <w:top w:val="outset" w:sz="4" w:space="0" w:color="auto"/>
              <w:left w:val="outset" w:sz="4" w:space="0" w:color="auto"/>
              <w:bottom w:val="outset" w:sz="4" w:space="0" w:color="auto"/>
              <w:right w:val="outset" w:sz="4" w:space="0" w:color="auto"/>
            </w:tcBorders>
            <w:vAlign w:val="center"/>
          </w:tcPr>
          <w:p w14:paraId="34F80EC8" w14:textId="77777777" w:rsidR="00577D08" w:rsidRDefault="00330FC0">
            <w:pPr>
              <w:jc w:val="right"/>
            </w:pPr>
            <w:r>
              <w:t>2,706,655,482.35</w:t>
            </w:r>
          </w:p>
        </w:tc>
      </w:tr>
      <w:tr w:rsidR="00577D08" w14:paraId="2BA8FA3F" w14:textId="77777777">
        <w:tc>
          <w:tcPr>
            <w:tcW w:w="3141" w:type="dxa"/>
            <w:tcBorders>
              <w:top w:val="outset" w:sz="4" w:space="0" w:color="auto"/>
              <w:left w:val="outset" w:sz="4" w:space="0" w:color="auto"/>
              <w:bottom w:val="outset" w:sz="4" w:space="0" w:color="auto"/>
              <w:right w:val="outset" w:sz="4" w:space="0" w:color="auto"/>
            </w:tcBorders>
            <w:vAlign w:val="center"/>
          </w:tcPr>
          <w:p w14:paraId="7CBFE6AA" w14:textId="77777777" w:rsidR="00577D08" w:rsidRDefault="00330FC0">
            <w:pPr>
              <w:ind w:firstLineChars="300" w:firstLine="630"/>
              <w:rPr>
                <w:color w:val="000000"/>
              </w:rPr>
            </w:pPr>
            <w:r>
              <w:rPr>
                <w:rFonts w:hint="eastAsia"/>
              </w:rPr>
              <w:t>经营活动产生的现金流量净额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6900F8BF"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6553B44A" w14:textId="77777777" w:rsidR="00577D08" w:rsidRDefault="00330FC0">
            <w:pPr>
              <w:jc w:val="right"/>
            </w:pPr>
            <w:r>
              <w:t xml:space="preserve"> 229,828,493.83 </w:t>
            </w:r>
          </w:p>
        </w:tc>
        <w:tc>
          <w:tcPr>
            <w:tcW w:w="2168" w:type="dxa"/>
            <w:tcBorders>
              <w:top w:val="outset" w:sz="4" w:space="0" w:color="auto"/>
              <w:left w:val="outset" w:sz="4" w:space="0" w:color="auto"/>
              <w:bottom w:val="outset" w:sz="4" w:space="0" w:color="auto"/>
              <w:right w:val="outset" w:sz="4" w:space="0" w:color="auto"/>
            </w:tcBorders>
            <w:vAlign w:val="center"/>
          </w:tcPr>
          <w:p w14:paraId="57387337" w14:textId="77777777" w:rsidR="00577D08" w:rsidRDefault="00330FC0">
            <w:pPr>
              <w:jc w:val="right"/>
            </w:pPr>
            <w:r>
              <w:t>20,658,485.39</w:t>
            </w:r>
          </w:p>
        </w:tc>
      </w:tr>
      <w:tr w:rsidR="00577D08" w14:paraId="4B45EDBD" w14:textId="77777777">
        <w:sdt>
          <w:sdtPr>
            <w:tag w:val="_PLD_cb59aa0e2bd944b8ba7271368c6da00a"/>
            <w:id w:val="-1763523673"/>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0C9500A2" w14:textId="77777777" w:rsidR="00577D08" w:rsidRDefault="00330FC0">
                <w:pPr>
                  <w:rPr>
                    <w:color w:val="008000"/>
                  </w:rPr>
                </w:pPr>
                <w:r>
                  <w:rPr>
                    <w:rFonts w:hint="eastAsia"/>
                    <w:b/>
                    <w:bCs/>
                  </w:rPr>
                  <w:t>二、投资活动产生的现金流量：</w:t>
                </w:r>
              </w:p>
            </w:tc>
          </w:sdtContent>
        </w:sdt>
      </w:tr>
      <w:tr w:rsidR="00577D08" w14:paraId="66F67C7C" w14:textId="77777777">
        <w:tc>
          <w:tcPr>
            <w:tcW w:w="3141" w:type="dxa"/>
            <w:tcBorders>
              <w:top w:val="outset" w:sz="4" w:space="0" w:color="auto"/>
              <w:left w:val="outset" w:sz="4" w:space="0" w:color="auto"/>
              <w:bottom w:val="outset" w:sz="4" w:space="0" w:color="auto"/>
              <w:right w:val="outset" w:sz="4" w:space="0" w:color="auto"/>
            </w:tcBorders>
            <w:vAlign w:val="center"/>
          </w:tcPr>
          <w:p w14:paraId="54BE4FEA" w14:textId="77777777" w:rsidR="00577D08" w:rsidRDefault="00330FC0">
            <w:pPr>
              <w:ind w:firstLineChars="100" w:firstLine="210"/>
            </w:pPr>
            <w:r>
              <w:rPr>
                <w:rFonts w:hint="eastAsia"/>
              </w:rPr>
              <w:t>收回投资收到的现金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240C9F33"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13441D2E" w14:textId="77777777" w:rsidR="00577D08" w:rsidRDefault="00330FC0">
            <w:pPr>
              <w:jc w:val="right"/>
            </w:pPr>
            <w:r>
              <w:t xml:space="preserve"> 25,137,500.00 </w:t>
            </w:r>
          </w:p>
        </w:tc>
        <w:tc>
          <w:tcPr>
            <w:tcW w:w="2168" w:type="dxa"/>
            <w:tcBorders>
              <w:top w:val="outset" w:sz="4" w:space="0" w:color="auto"/>
              <w:left w:val="outset" w:sz="4" w:space="0" w:color="auto"/>
              <w:bottom w:val="outset" w:sz="4" w:space="0" w:color="auto"/>
              <w:right w:val="outset" w:sz="4" w:space="0" w:color="auto"/>
            </w:tcBorders>
            <w:vAlign w:val="center"/>
          </w:tcPr>
          <w:p w14:paraId="37202349" w14:textId="77777777" w:rsidR="00577D08" w:rsidRDefault="00330FC0">
            <w:pPr>
              <w:jc w:val="right"/>
            </w:pPr>
            <w:r>
              <w:t>75,138,299.26</w:t>
            </w:r>
          </w:p>
        </w:tc>
      </w:tr>
      <w:tr w:rsidR="00577D08" w14:paraId="1D252A22" w14:textId="77777777">
        <w:tc>
          <w:tcPr>
            <w:tcW w:w="3141" w:type="dxa"/>
            <w:tcBorders>
              <w:top w:val="outset" w:sz="4" w:space="0" w:color="auto"/>
              <w:left w:val="outset" w:sz="4" w:space="0" w:color="auto"/>
              <w:bottom w:val="outset" w:sz="4" w:space="0" w:color="auto"/>
              <w:right w:val="outset" w:sz="4" w:space="0" w:color="auto"/>
            </w:tcBorders>
            <w:vAlign w:val="center"/>
          </w:tcPr>
          <w:p w14:paraId="1912A081" w14:textId="77777777" w:rsidR="00577D08" w:rsidRDefault="00330FC0">
            <w:pPr>
              <w:ind w:firstLineChars="100" w:firstLine="210"/>
            </w:pPr>
            <w:r>
              <w:rPr>
                <w:rFonts w:hint="eastAsia"/>
              </w:rPr>
              <w:t>取得投资收益收到的现金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7AA42736"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06814539" w14:textId="77777777" w:rsidR="00577D08" w:rsidRDefault="00330FC0">
            <w:pPr>
              <w:jc w:val="right"/>
            </w:pPr>
            <w:r>
              <w:t xml:space="preserve"> 1,116,598.33 </w:t>
            </w:r>
          </w:p>
        </w:tc>
        <w:tc>
          <w:tcPr>
            <w:tcW w:w="2168" w:type="dxa"/>
            <w:tcBorders>
              <w:top w:val="outset" w:sz="4" w:space="0" w:color="auto"/>
              <w:left w:val="outset" w:sz="4" w:space="0" w:color="auto"/>
              <w:bottom w:val="outset" w:sz="4" w:space="0" w:color="auto"/>
              <w:right w:val="outset" w:sz="4" w:space="0" w:color="auto"/>
            </w:tcBorders>
            <w:vAlign w:val="center"/>
          </w:tcPr>
          <w:p w14:paraId="28493FE6" w14:textId="77777777" w:rsidR="00577D08" w:rsidRDefault="00330FC0">
            <w:pPr>
              <w:jc w:val="right"/>
            </w:pPr>
            <w:r>
              <w:t>1,073,544.71</w:t>
            </w:r>
          </w:p>
        </w:tc>
      </w:tr>
      <w:tr w:rsidR="00577D08" w14:paraId="2E33D454" w14:textId="77777777">
        <w:tc>
          <w:tcPr>
            <w:tcW w:w="3141" w:type="dxa"/>
            <w:tcBorders>
              <w:top w:val="outset" w:sz="4" w:space="0" w:color="auto"/>
              <w:left w:val="outset" w:sz="4" w:space="0" w:color="auto"/>
              <w:bottom w:val="outset" w:sz="4" w:space="0" w:color="auto"/>
              <w:right w:val="outset" w:sz="4" w:space="0" w:color="auto"/>
            </w:tcBorders>
            <w:vAlign w:val="center"/>
          </w:tcPr>
          <w:p w14:paraId="35CE0A15" w14:textId="77777777" w:rsidR="00577D08" w:rsidRDefault="00330FC0">
            <w:pPr>
              <w:ind w:firstLineChars="100" w:firstLine="210"/>
            </w:pPr>
            <w:r>
              <w:rPr>
                <w:rFonts w:hint="eastAsia"/>
              </w:rPr>
              <w:t>处置固定资产、无形资产和其他长期资产收回的现金净额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3C659628"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203E3DCC" w14:textId="77777777" w:rsidR="00577D08" w:rsidRDefault="00330FC0">
            <w:pPr>
              <w:jc w:val="right"/>
            </w:pPr>
            <w:r>
              <w:t xml:space="preserve"> 342,189.38 </w:t>
            </w:r>
          </w:p>
        </w:tc>
        <w:tc>
          <w:tcPr>
            <w:tcW w:w="2168" w:type="dxa"/>
            <w:tcBorders>
              <w:top w:val="outset" w:sz="4" w:space="0" w:color="auto"/>
              <w:left w:val="outset" w:sz="4" w:space="0" w:color="auto"/>
              <w:bottom w:val="outset" w:sz="4" w:space="0" w:color="auto"/>
              <w:right w:val="outset" w:sz="4" w:space="0" w:color="auto"/>
            </w:tcBorders>
            <w:vAlign w:val="center"/>
          </w:tcPr>
          <w:p w14:paraId="0ED5769B" w14:textId="77777777" w:rsidR="00577D08" w:rsidRDefault="00330FC0">
            <w:pPr>
              <w:jc w:val="right"/>
            </w:pPr>
            <w:r>
              <w:t>2,720,108.10</w:t>
            </w:r>
          </w:p>
        </w:tc>
      </w:tr>
      <w:tr w:rsidR="00577D08" w14:paraId="7624C529" w14:textId="77777777">
        <w:tc>
          <w:tcPr>
            <w:tcW w:w="3141" w:type="dxa"/>
            <w:tcBorders>
              <w:top w:val="outset" w:sz="4" w:space="0" w:color="auto"/>
              <w:left w:val="outset" w:sz="4" w:space="0" w:color="auto"/>
              <w:bottom w:val="outset" w:sz="4" w:space="0" w:color="auto"/>
              <w:right w:val="outset" w:sz="4" w:space="0" w:color="auto"/>
            </w:tcBorders>
            <w:vAlign w:val="center"/>
          </w:tcPr>
          <w:p w14:paraId="156560F3" w14:textId="77777777" w:rsidR="00577D08" w:rsidRDefault="00330FC0">
            <w:pPr>
              <w:ind w:firstLineChars="100" w:firstLine="210"/>
            </w:pPr>
            <w:r>
              <w:rPr>
                <w:rFonts w:hint="eastAsia"/>
              </w:rPr>
              <w:t>处置子公司及其他营业单位收到的现金净额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6D451A39"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0F0BF5A5"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58DB7502" w14:textId="77777777" w:rsidR="00577D08" w:rsidRDefault="00577D08">
            <w:pPr>
              <w:jc w:val="right"/>
            </w:pPr>
          </w:p>
        </w:tc>
      </w:tr>
      <w:tr w:rsidR="00577D08" w14:paraId="05438862" w14:textId="77777777">
        <w:tc>
          <w:tcPr>
            <w:tcW w:w="3141" w:type="dxa"/>
            <w:tcBorders>
              <w:top w:val="outset" w:sz="4" w:space="0" w:color="auto"/>
              <w:left w:val="outset" w:sz="4" w:space="0" w:color="auto"/>
              <w:bottom w:val="outset" w:sz="4" w:space="0" w:color="auto"/>
              <w:right w:val="outset" w:sz="4" w:space="0" w:color="auto"/>
            </w:tcBorders>
            <w:vAlign w:val="center"/>
          </w:tcPr>
          <w:p w14:paraId="7BACA443" w14:textId="77777777" w:rsidR="00577D08" w:rsidRDefault="00330FC0">
            <w:pPr>
              <w:ind w:firstLineChars="100" w:firstLine="210"/>
            </w:pPr>
            <w:r>
              <w:rPr>
                <w:rFonts w:hint="eastAsia"/>
              </w:rPr>
              <w:t>收到其他与投资活动有关的现金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29268D9C" w14:textId="77777777" w:rsidR="00577D08" w:rsidRDefault="00330FC0">
            <w:pPr>
              <w:jc w:val="both"/>
            </w:pPr>
            <w:r>
              <w:rPr>
                <w:rFonts w:hint="eastAsia"/>
              </w:rPr>
              <w:t>七、</w:t>
            </w:r>
            <w:r>
              <w:rPr>
                <w:rFonts w:hint="eastAsia"/>
              </w:rPr>
              <w:t>78</w:t>
            </w:r>
          </w:p>
        </w:tc>
        <w:tc>
          <w:tcPr>
            <w:tcW w:w="2173" w:type="dxa"/>
            <w:tcBorders>
              <w:top w:val="outset" w:sz="4" w:space="0" w:color="auto"/>
              <w:left w:val="outset" w:sz="4" w:space="0" w:color="auto"/>
              <w:bottom w:val="outset" w:sz="4" w:space="0" w:color="auto"/>
              <w:right w:val="outset" w:sz="4" w:space="0" w:color="auto"/>
            </w:tcBorders>
            <w:vAlign w:val="center"/>
          </w:tcPr>
          <w:p w14:paraId="47136978"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4EC20B97" w14:textId="77777777" w:rsidR="00577D08" w:rsidRDefault="00330FC0">
            <w:pPr>
              <w:jc w:val="right"/>
            </w:pPr>
            <w:r>
              <w:t>56,000,000.00</w:t>
            </w:r>
          </w:p>
        </w:tc>
      </w:tr>
      <w:tr w:rsidR="00577D08" w14:paraId="21799075" w14:textId="77777777">
        <w:tc>
          <w:tcPr>
            <w:tcW w:w="3141" w:type="dxa"/>
            <w:tcBorders>
              <w:top w:val="outset" w:sz="4" w:space="0" w:color="auto"/>
              <w:left w:val="outset" w:sz="4" w:space="0" w:color="auto"/>
              <w:bottom w:val="outset" w:sz="4" w:space="0" w:color="auto"/>
              <w:right w:val="outset" w:sz="4" w:space="0" w:color="auto"/>
            </w:tcBorders>
            <w:vAlign w:val="center"/>
          </w:tcPr>
          <w:p w14:paraId="0AD3D9FE" w14:textId="77777777" w:rsidR="00577D08" w:rsidRDefault="00330FC0">
            <w:pPr>
              <w:ind w:firstLineChars="200" w:firstLine="420"/>
              <w:rPr>
                <w:color w:val="000000"/>
              </w:rPr>
            </w:pPr>
            <w:r>
              <w:rPr>
                <w:rFonts w:hint="eastAsia"/>
              </w:rPr>
              <w:t>投资活动现金流入小计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7C5E9633"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3B513D1" w14:textId="77777777" w:rsidR="00577D08" w:rsidRDefault="00330FC0">
            <w:pPr>
              <w:jc w:val="right"/>
            </w:pPr>
            <w:r>
              <w:t xml:space="preserve"> 26,596,287.71 </w:t>
            </w:r>
          </w:p>
        </w:tc>
        <w:tc>
          <w:tcPr>
            <w:tcW w:w="2168" w:type="dxa"/>
            <w:tcBorders>
              <w:top w:val="outset" w:sz="4" w:space="0" w:color="auto"/>
              <w:left w:val="outset" w:sz="4" w:space="0" w:color="auto"/>
              <w:bottom w:val="outset" w:sz="4" w:space="0" w:color="auto"/>
              <w:right w:val="outset" w:sz="4" w:space="0" w:color="auto"/>
            </w:tcBorders>
            <w:vAlign w:val="center"/>
          </w:tcPr>
          <w:p w14:paraId="64C62B57" w14:textId="77777777" w:rsidR="00577D08" w:rsidRDefault="00330FC0">
            <w:pPr>
              <w:jc w:val="right"/>
            </w:pPr>
            <w:r>
              <w:t>134,931,952.07</w:t>
            </w:r>
          </w:p>
        </w:tc>
      </w:tr>
      <w:tr w:rsidR="00577D08" w14:paraId="14D72FEC" w14:textId="77777777">
        <w:tc>
          <w:tcPr>
            <w:tcW w:w="3141" w:type="dxa"/>
            <w:tcBorders>
              <w:top w:val="outset" w:sz="4" w:space="0" w:color="auto"/>
              <w:left w:val="outset" w:sz="4" w:space="0" w:color="auto"/>
              <w:bottom w:val="outset" w:sz="4" w:space="0" w:color="auto"/>
              <w:right w:val="outset" w:sz="4" w:space="0" w:color="auto"/>
            </w:tcBorders>
            <w:vAlign w:val="center"/>
          </w:tcPr>
          <w:p w14:paraId="4FA7A8E7" w14:textId="77777777" w:rsidR="00577D08" w:rsidRDefault="00330FC0">
            <w:pPr>
              <w:ind w:firstLineChars="100" w:firstLine="210"/>
              <w:rPr>
                <w:color w:val="000000"/>
              </w:rPr>
            </w:pPr>
            <w:r>
              <w:rPr>
                <w:rFonts w:hint="eastAsia"/>
              </w:rPr>
              <w:t>购建固定资产、无形资产和其他长期资产支付的现金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6E077BEF"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302A6DBF" w14:textId="77777777" w:rsidR="00577D08" w:rsidRDefault="00330FC0">
            <w:pPr>
              <w:jc w:val="right"/>
            </w:pPr>
            <w:r>
              <w:t xml:space="preserve"> 162,969,001.54 </w:t>
            </w:r>
          </w:p>
        </w:tc>
        <w:tc>
          <w:tcPr>
            <w:tcW w:w="2168" w:type="dxa"/>
            <w:tcBorders>
              <w:top w:val="outset" w:sz="4" w:space="0" w:color="auto"/>
              <w:left w:val="outset" w:sz="4" w:space="0" w:color="auto"/>
              <w:bottom w:val="outset" w:sz="4" w:space="0" w:color="auto"/>
              <w:right w:val="outset" w:sz="4" w:space="0" w:color="auto"/>
            </w:tcBorders>
            <w:vAlign w:val="center"/>
          </w:tcPr>
          <w:p w14:paraId="66C0FDD8" w14:textId="77777777" w:rsidR="00577D08" w:rsidRDefault="00330FC0">
            <w:pPr>
              <w:jc w:val="right"/>
            </w:pPr>
            <w:r>
              <w:t>248,365,693.09</w:t>
            </w:r>
          </w:p>
        </w:tc>
      </w:tr>
      <w:tr w:rsidR="00577D08" w14:paraId="7D95A5D7" w14:textId="77777777">
        <w:tc>
          <w:tcPr>
            <w:tcW w:w="3141" w:type="dxa"/>
            <w:tcBorders>
              <w:top w:val="outset" w:sz="4" w:space="0" w:color="auto"/>
              <w:left w:val="outset" w:sz="4" w:space="0" w:color="auto"/>
              <w:bottom w:val="outset" w:sz="4" w:space="0" w:color="auto"/>
              <w:right w:val="outset" w:sz="4" w:space="0" w:color="auto"/>
            </w:tcBorders>
            <w:vAlign w:val="center"/>
          </w:tcPr>
          <w:p w14:paraId="1E562C28" w14:textId="77777777" w:rsidR="00577D08" w:rsidRDefault="00330FC0">
            <w:pPr>
              <w:ind w:firstLineChars="100" w:firstLine="210"/>
            </w:pPr>
            <w:r>
              <w:rPr>
                <w:rFonts w:hint="eastAsia"/>
              </w:rPr>
              <w:t>投资支付的现金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6AE8AF94"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7BA4B1AE" w14:textId="77777777" w:rsidR="00577D08" w:rsidRDefault="00330FC0">
            <w:pPr>
              <w:jc w:val="right"/>
            </w:pPr>
            <w:r>
              <w:t xml:space="preserve"> 4,000,000.00 </w:t>
            </w:r>
          </w:p>
        </w:tc>
        <w:tc>
          <w:tcPr>
            <w:tcW w:w="2168" w:type="dxa"/>
            <w:tcBorders>
              <w:top w:val="outset" w:sz="4" w:space="0" w:color="auto"/>
              <w:left w:val="outset" w:sz="4" w:space="0" w:color="auto"/>
              <w:bottom w:val="outset" w:sz="4" w:space="0" w:color="auto"/>
              <w:right w:val="outset" w:sz="4" w:space="0" w:color="auto"/>
            </w:tcBorders>
            <w:vAlign w:val="center"/>
          </w:tcPr>
          <w:p w14:paraId="78415638" w14:textId="77777777" w:rsidR="00577D08" w:rsidRDefault="00330FC0">
            <w:pPr>
              <w:jc w:val="right"/>
            </w:pPr>
            <w:r>
              <w:t>100,000,000.00</w:t>
            </w:r>
          </w:p>
        </w:tc>
      </w:tr>
      <w:tr w:rsidR="00577D08" w14:paraId="753151F5" w14:textId="77777777">
        <w:tc>
          <w:tcPr>
            <w:tcW w:w="3141" w:type="dxa"/>
            <w:tcBorders>
              <w:top w:val="outset" w:sz="4" w:space="0" w:color="auto"/>
              <w:left w:val="outset" w:sz="4" w:space="0" w:color="auto"/>
              <w:bottom w:val="outset" w:sz="4" w:space="0" w:color="auto"/>
              <w:right w:val="outset" w:sz="4" w:space="0" w:color="auto"/>
            </w:tcBorders>
            <w:vAlign w:val="center"/>
          </w:tcPr>
          <w:p w14:paraId="710820EA" w14:textId="77777777" w:rsidR="00577D08" w:rsidRDefault="00330FC0">
            <w:pPr>
              <w:ind w:firstLineChars="100" w:firstLine="210"/>
            </w:pPr>
            <w:r>
              <w:rPr>
                <w:rFonts w:hint="eastAsia"/>
              </w:rPr>
              <w:t>质押贷款净增加额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5FE39BEE"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39E1DB18"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289EF532" w14:textId="77777777" w:rsidR="00577D08" w:rsidRDefault="00577D08">
            <w:pPr>
              <w:jc w:val="right"/>
            </w:pPr>
          </w:p>
        </w:tc>
      </w:tr>
      <w:tr w:rsidR="00577D08" w14:paraId="45B16CE5" w14:textId="77777777">
        <w:tc>
          <w:tcPr>
            <w:tcW w:w="3141" w:type="dxa"/>
            <w:tcBorders>
              <w:top w:val="outset" w:sz="4" w:space="0" w:color="auto"/>
              <w:left w:val="outset" w:sz="4" w:space="0" w:color="auto"/>
              <w:bottom w:val="outset" w:sz="4" w:space="0" w:color="auto"/>
              <w:right w:val="outset" w:sz="4" w:space="0" w:color="auto"/>
            </w:tcBorders>
            <w:vAlign w:val="center"/>
          </w:tcPr>
          <w:p w14:paraId="00221932" w14:textId="77777777" w:rsidR="00577D08" w:rsidRDefault="00330FC0">
            <w:pPr>
              <w:ind w:firstLineChars="100" w:firstLine="210"/>
            </w:pPr>
            <w:r>
              <w:rPr>
                <w:rFonts w:hint="eastAsia"/>
              </w:rPr>
              <w:t>取得子公司及其他营业单位支付的现金净额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372D49F0"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F7A4D8F"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71FE5936" w14:textId="77777777" w:rsidR="00577D08" w:rsidRDefault="00330FC0">
            <w:pPr>
              <w:jc w:val="right"/>
            </w:pPr>
            <w:r>
              <w:t>430,947,890.50</w:t>
            </w:r>
          </w:p>
        </w:tc>
      </w:tr>
      <w:tr w:rsidR="00577D08" w14:paraId="3FAA2E53" w14:textId="77777777">
        <w:tc>
          <w:tcPr>
            <w:tcW w:w="3141" w:type="dxa"/>
            <w:tcBorders>
              <w:top w:val="outset" w:sz="4" w:space="0" w:color="auto"/>
              <w:left w:val="outset" w:sz="4" w:space="0" w:color="auto"/>
              <w:bottom w:val="outset" w:sz="4" w:space="0" w:color="auto"/>
              <w:right w:val="outset" w:sz="4" w:space="0" w:color="auto"/>
            </w:tcBorders>
            <w:vAlign w:val="center"/>
          </w:tcPr>
          <w:p w14:paraId="42AB65D5" w14:textId="77777777" w:rsidR="00577D08" w:rsidRDefault="00330FC0">
            <w:pPr>
              <w:ind w:firstLineChars="100" w:firstLine="210"/>
            </w:pPr>
            <w:r>
              <w:rPr>
                <w:rFonts w:hint="eastAsia"/>
              </w:rPr>
              <w:t>支付其他与投资活动有关的现金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446E71A6" w14:textId="77777777" w:rsidR="00577D08" w:rsidRDefault="00330FC0">
            <w:pPr>
              <w:jc w:val="both"/>
            </w:pPr>
            <w:r>
              <w:rPr>
                <w:rFonts w:hint="eastAsia"/>
              </w:rPr>
              <w:t>七、</w:t>
            </w:r>
            <w:r>
              <w:rPr>
                <w:rFonts w:hint="eastAsia"/>
              </w:rPr>
              <w:t>78</w:t>
            </w:r>
          </w:p>
        </w:tc>
        <w:tc>
          <w:tcPr>
            <w:tcW w:w="2173" w:type="dxa"/>
            <w:tcBorders>
              <w:top w:val="outset" w:sz="4" w:space="0" w:color="auto"/>
              <w:left w:val="outset" w:sz="4" w:space="0" w:color="auto"/>
              <w:bottom w:val="outset" w:sz="4" w:space="0" w:color="auto"/>
              <w:right w:val="outset" w:sz="4" w:space="0" w:color="auto"/>
            </w:tcBorders>
            <w:vAlign w:val="center"/>
          </w:tcPr>
          <w:p w14:paraId="5C0ABBE7" w14:textId="77777777" w:rsidR="00577D08" w:rsidRDefault="00577D08">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22D77B84" w14:textId="77777777" w:rsidR="00577D08" w:rsidRDefault="00577D08">
            <w:pPr>
              <w:jc w:val="right"/>
            </w:pPr>
          </w:p>
        </w:tc>
      </w:tr>
      <w:tr w:rsidR="00577D08" w14:paraId="2CDE05DE" w14:textId="77777777">
        <w:tc>
          <w:tcPr>
            <w:tcW w:w="3141" w:type="dxa"/>
            <w:tcBorders>
              <w:top w:val="outset" w:sz="4" w:space="0" w:color="auto"/>
              <w:left w:val="outset" w:sz="4" w:space="0" w:color="auto"/>
              <w:bottom w:val="outset" w:sz="4" w:space="0" w:color="auto"/>
              <w:right w:val="outset" w:sz="4" w:space="0" w:color="auto"/>
            </w:tcBorders>
            <w:vAlign w:val="center"/>
          </w:tcPr>
          <w:p w14:paraId="7EC008E8" w14:textId="77777777" w:rsidR="00577D08" w:rsidRDefault="00330FC0">
            <w:pPr>
              <w:ind w:firstLineChars="200" w:firstLine="420"/>
              <w:rPr>
                <w:color w:val="000000"/>
              </w:rPr>
            </w:pPr>
            <w:r>
              <w:rPr>
                <w:rFonts w:hint="eastAsia"/>
              </w:rPr>
              <w:t>投资活动现金流出小计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2822958F"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1D04A5E" w14:textId="77777777" w:rsidR="00577D08" w:rsidRDefault="00330FC0">
            <w:pPr>
              <w:jc w:val="right"/>
            </w:pPr>
            <w:r>
              <w:t xml:space="preserve"> 166,969,001.54 </w:t>
            </w:r>
          </w:p>
        </w:tc>
        <w:tc>
          <w:tcPr>
            <w:tcW w:w="2168" w:type="dxa"/>
            <w:tcBorders>
              <w:top w:val="outset" w:sz="4" w:space="0" w:color="auto"/>
              <w:left w:val="outset" w:sz="4" w:space="0" w:color="auto"/>
              <w:bottom w:val="outset" w:sz="4" w:space="0" w:color="auto"/>
              <w:right w:val="outset" w:sz="4" w:space="0" w:color="auto"/>
            </w:tcBorders>
            <w:vAlign w:val="center"/>
          </w:tcPr>
          <w:p w14:paraId="3EC1D390" w14:textId="77777777" w:rsidR="00577D08" w:rsidRDefault="00330FC0">
            <w:pPr>
              <w:jc w:val="right"/>
            </w:pPr>
            <w:r>
              <w:t>779,313,583.59</w:t>
            </w:r>
          </w:p>
        </w:tc>
      </w:tr>
      <w:tr w:rsidR="00577D08" w14:paraId="1482DD33" w14:textId="77777777">
        <w:tc>
          <w:tcPr>
            <w:tcW w:w="3141" w:type="dxa"/>
            <w:tcBorders>
              <w:top w:val="outset" w:sz="4" w:space="0" w:color="auto"/>
              <w:left w:val="outset" w:sz="4" w:space="0" w:color="auto"/>
              <w:bottom w:val="outset" w:sz="4" w:space="0" w:color="auto"/>
              <w:right w:val="outset" w:sz="4" w:space="0" w:color="auto"/>
            </w:tcBorders>
            <w:vAlign w:val="center"/>
          </w:tcPr>
          <w:p w14:paraId="5C93E539" w14:textId="77777777" w:rsidR="00577D08" w:rsidRDefault="00330FC0">
            <w:pPr>
              <w:ind w:firstLineChars="300" w:firstLine="630"/>
              <w:rPr>
                <w:color w:val="000000"/>
              </w:rPr>
            </w:pPr>
            <w:r>
              <w:rPr>
                <w:rFonts w:hint="eastAsia"/>
              </w:rPr>
              <w:t>投资活动产生的现金流量净额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30CD91CD"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95F33FF" w14:textId="77777777" w:rsidR="00577D08" w:rsidRDefault="00330FC0">
            <w:pPr>
              <w:jc w:val="right"/>
            </w:pPr>
            <w:r>
              <w:t xml:space="preserve"> -140,372,713.83 </w:t>
            </w:r>
          </w:p>
        </w:tc>
        <w:tc>
          <w:tcPr>
            <w:tcW w:w="2168" w:type="dxa"/>
            <w:tcBorders>
              <w:top w:val="outset" w:sz="4" w:space="0" w:color="auto"/>
              <w:left w:val="outset" w:sz="4" w:space="0" w:color="auto"/>
              <w:bottom w:val="outset" w:sz="4" w:space="0" w:color="auto"/>
              <w:right w:val="outset" w:sz="4" w:space="0" w:color="auto"/>
            </w:tcBorders>
            <w:vAlign w:val="center"/>
          </w:tcPr>
          <w:p w14:paraId="345AA543" w14:textId="77777777" w:rsidR="00577D08" w:rsidRDefault="00330FC0">
            <w:pPr>
              <w:jc w:val="right"/>
            </w:pPr>
            <w:r>
              <w:t>-644,381,631.52</w:t>
            </w:r>
          </w:p>
        </w:tc>
      </w:tr>
      <w:tr w:rsidR="00577D08" w14:paraId="12B1264C" w14:textId="77777777">
        <w:sdt>
          <w:sdtPr>
            <w:tag w:val="_PLD_8e0d926902804b5baefad8990e4523b4"/>
            <w:id w:val="1108852704"/>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7B6CA98B" w14:textId="77777777" w:rsidR="00577D08" w:rsidRDefault="00330FC0">
                <w:pPr>
                  <w:rPr>
                    <w:color w:val="008000"/>
                  </w:rPr>
                </w:pPr>
                <w:r>
                  <w:rPr>
                    <w:rFonts w:hint="eastAsia"/>
                    <w:b/>
                    <w:bCs/>
                  </w:rPr>
                  <w:t>三、筹资活动产生的现金流量：</w:t>
                </w:r>
              </w:p>
            </w:tc>
          </w:sdtContent>
        </w:sdt>
      </w:tr>
      <w:tr w:rsidR="00577D08" w14:paraId="3D0222F4" w14:textId="77777777">
        <w:tc>
          <w:tcPr>
            <w:tcW w:w="3141" w:type="dxa"/>
            <w:tcBorders>
              <w:top w:val="outset" w:sz="4" w:space="0" w:color="auto"/>
              <w:left w:val="outset" w:sz="4" w:space="0" w:color="auto"/>
              <w:bottom w:val="outset" w:sz="4" w:space="0" w:color="auto"/>
              <w:right w:val="outset" w:sz="4" w:space="0" w:color="auto"/>
            </w:tcBorders>
            <w:vAlign w:val="center"/>
          </w:tcPr>
          <w:p w14:paraId="3116DB32" w14:textId="77777777" w:rsidR="00577D08" w:rsidRDefault="00330FC0">
            <w:pPr>
              <w:ind w:firstLineChars="100" w:firstLine="210"/>
              <w:rPr>
                <w:color w:val="000000"/>
              </w:rPr>
            </w:pPr>
            <w:r>
              <w:rPr>
                <w:rFonts w:hint="eastAsia"/>
              </w:rPr>
              <w:t>吸收投资收到的现金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54E3DFBC"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50B0F94" w14:textId="77777777" w:rsidR="00577D08" w:rsidRDefault="00330FC0">
            <w:pPr>
              <w:jc w:val="right"/>
            </w:pPr>
            <w:r>
              <w:t xml:space="preserve"> 4,550,000.00 </w:t>
            </w:r>
          </w:p>
        </w:tc>
        <w:tc>
          <w:tcPr>
            <w:tcW w:w="2168" w:type="dxa"/>
            <w:tcBorders>
              <w:top w:val="outset" w:sz="4" w:space="0" w:color="auto"/>
              <w:left w:val="outset" w:sz="4" w:space="0" w:color="auto"/>
              <w:bottom w:val="outset" w:sz="4" w:space="0" w:color="auto"/>
              <w:right w:val="outset" w:sz="4" w:space="0" w:color="auto"/>
            </w:tcBorders>
            <w:vAlign w:val="center"/>
          </w:tcPr>
          <w:p w14:paraId="54618A44" w14:textId="77777777" w:rsidR="00577D08" w:rsidRDefault="00577D08">
            <w:pPr>
              <w:jc w:val="right"/>
            </w:pPr>
          </w:p>
        </w:tc>
      </w:tr>
      <w:tr w:rsidR="00577D08" w14:paraId="4F6DD1AA" w14:textId="77777777">
        <w:tc>
          <w:tcPr>
            <w:tcW w:w="3141" w:type="dxa"/>
            <w:tcBorders>
              <w:top w:val="outset" w:sz="4" w:space="0" w:color="auto"/>
              <w:left w:val="outset" w:sz="4" w:space="0" w:color="auto"/>
              <w:bottom w:val="outset" w:sz="4" w:space="0" w:color="auto"/>
              <w:right w:val="outset" w:sz="4" w:space="0" w:color="auto"/>
            </w:tcBorders>
            <w:vAlign w:val="center"/>
          </w:tcPr>
          <w:p w14:paraId="1603B2B9" w14:textId="77777777" w:rsidR="00577D08" w:rsidRDefault="00330FC0">
            <w:pPr>
              <w:ind w:firstLineChars="100" w:firstLine="210"/>
              <w:rPr>
                <w:color w:val="000000"/>
              </w:rPr>
            </w:pPr>
            <w:r>
              <w:rPr>
                <w:rFonts w:hint="eastAsia"/>
              </w:rPr>
              <w:t>其中：子公司吸收少数股东投资收到的现金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26EC3302"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E6D985C" w14:textId="77777777" w:rsidR="00577D08" w:rsidRDefault="00330FC0">
            <w:pPr>
              <w:jc w:val="right"/>
            </w:pPr>
            <w:r>
              <w:t xml:space="preserve"> 4,550,000.00 </w:t>
            </w:r>
          </w:p>
        </w:tc>
        <w:tc>
          <w:tcPr>
            <w:tcW w:w="2168" w:type="dxa"/>
            <w:tcBorders>
              <w:top w:val="outset" w:sz="4" w:space="0" w:color="auto"/>
              <w:left w:val="outset" w:sz="4" w:space="0" w:color="auto"/>
              <w:bottom w:val="outset" w:sz="4" w:space="0" w:color="auto"/>
              <w:right w:val="outset" w:sz="4" w:space="0" w:color="auto"/>
            </w:tcBorders>
            <w:vAlign w:val="center"/>
          </w:tcPr>
          <w:p w14:paraId="5D7AE9F2" w14:textId="77777777" w:rsidR="00577D08" w:rsidRDefault="00577D08">
            <w:pPr>
              <w:jc w:val="right"/>
            </w:pPr>
          </w:p>
        </w:tc>
      </w:tr>
      <w:tr w:rsidR="00577D08" w14:paraId="28AB0010" w14:textId="77777777">
        <w:tc>
          <w:tcPr>
            <w:tcW w:w="3141" w:type="dxa"/>
            <w:tcBorders>
              <w:top w:val="outset" w:sz="4" w:space="0" w:color="auto"/>
              <w:left w:val="outset" w:sz="4" w:space="0" w:color="auto"/>
              <w:bottom w:val="outset" w:sz="4" w:space="0" w:color="auto"/>
              <w:right w:val="outset" w:sz="4" w:space="0" w:color="auto"/>
            </w:tcBorders>
            <w:vAlign w:val="center"/>
          </w:tcPr>
          <w:p w14:paraId="43113E0D" w14:textId="77777777" w:rsidR="00577D08" w:rsidRDefault="00330FC0">
            <w:pPr>
              <w:ind w:firstLineChars="100" w:firstLine="210"/>
              <w:rPr>
                <w:color w:val="000000"/>
              </w:rPr>
            </w:pPr>
            <w:r>
              <w:rPr>
                <w:rFonts w:hint="eastAsia"/>
              </w:rPr>
              <w:t>取得借款收到的现金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078643A8"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4DE29B8" w14:textId="77777777" w:rsidR="00577D08" w:rsidRDefault="00330FC0">
            <w:pPr>
              <w:jc w:val="right"/>
            </w:pPr>
            <w:r>
              <w:t xml:space="preserve"> 1,316,186,651.18 </w:t>
            </w:r>
          </w:p>
        </w:tc>
        <w:tc>
          <w:tcPr>
            <w:tcW w:w="2168" w:type="dxa"/>
            <w:tcBorders>
              <w:top w:val="outset" w:sz="4" w:space="0" w:color="auto"/>
              <w:left w:val="outset" w:sz="4" w:space="0" w:color="auto"/>
              <w:bottom w:val="outset" w:sz="4" w:space="0" w:color="auto"/>
              <w:right w:val="outset" w:sz="4" w:space="0" w:color="auto"/>
            </w:tcBorders>
            <w:vAlign w:val="center"/>
          </w:tcPr>
          <w:p w14:paraId="19F35FB2" w14:textId="77777777" w:rsidR="00577D08" w:rsidRDefault="00330FC0">
            <w:pPr>
              <w:jc w:val="right"/>
            </w:pPr>
            <w:r>
              <w:t>1,046,585,276.60</w:t>
            </w:r>
          </w:p>
        </w:tc>
      </w:tr>
      <w:tr w:rsidR="00577D08" w14:paraId="33078F39" w14:textId="77777777">
        <w:tc>
          <w:tcPr>
            <w:tcW w:w="3141" w:type="dxa"/>
            <w:tcBorders>
              <w:top w:val="outset" w:sz="4" w:space="0" w:color="auto"/>
              <w:left w:val="outset" w:sz="4" w:space="0" w:color="auto"/>
              <w:bottom w:val="outset" w:sz="4" w:space="0" w:color="auto"/>
              <w:right w:val="outset" w:sz="4" w:space="0" w:color="auto"/>
            </w:tcBorders>
            <w:vAlign w:val="center"/>
          </w:tcPr>
          <w:p w14:paraId="432E3BD5" w14:textId="77777777" w:rsidR="00577D08" w:rsidRDefault="00330FC0">
            <w:pPr>
              <w:ind w:firstLineChars="100" w:firstLine="210"/>
              <w:rPr>
                <w:color w:val="000000"/>
              </w:rPr>
            </w:pPr>
            <w:r>
              <w:rPr>
                <w:rFonts w:hint="eastAsia"/>
              </w:rPr>
              <w:t>收到其他与筹资活动有关的现金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5FBA21EF" w14:textId="77777777" w:rsidR="00577D08" w:rsidRDefault="00330FC0">
            <w:pPr>
              <w:jc w:val="both"/>
            </w:pPr>
            <w:r>
              <w:rPr>
                <w:rFonts w:hint="eastAsia"/>
              </w:rPr>
              <w:t>七、</w:t>
            </w:r>
            <w:r>
              <w:rPr>
                <w:rFonts w:hint="eastAsia"/>
              </w:rPr>
              <w:t>78</w:t>
            </w:r>
          </w:p>
        </w:tc>
        <w:tc>
          <w:tcPr>
            <w:tcW w:w="2173" w:type="dxa"/>
            <w:tcBorders>
              <w:top w:val="outset" w:sz="4" w:space="0" w:color="auto"/>
              <w:left w:val="outset" w:sz="4" w:space="0" w:color="auto"/>
              <w:bottom w:val="outset" w:sz="4" w:space="0" w:color="auto"/>
              <w:right w:val="outset" w:sz="4" w:space="0" w:color="auto"/>
            </w:tcBorders>
            <w:vAlign w:val="center"/>
          </w:tcPr>
          <w:p w14:paraId="02B4B993" w14:textId="77777777" w:rsidR="00577D08" w:rsidRDefault="00330FC0">
            <w:pPr>
              <w:jc w:val="right"/>
            </w:pPr>
            <w:r>
              <w:t xml:space="preserve"> 204,605,200.00 </w:t>
            </w:r>
          </w:p>
        </w:tc>
        <w:tc>
          <w:tcPr>
            <w:tcW w:w="2168" w:type="dxa"/>
            <w:tcBorders>
              <w:top w:val="outset" w:sz="4" w:space="0" w:color="auto"/>
              <w:left w:val="outset" w:sz="4" w:space="0" w:color="auto"/>
              <w:bottom w:val="outset" w:sz="4" w:space="0" w:color="auto"/>
              <w:right w:val="outset" w:sz="4" w:space="0" w:color="auto"/>
            </w:tcBorders>
            <w:vAlign w:val="center"/>
          </w:tcPr>
          <w:p w14:paraId="6A3FF785" w14:textId="77777777" w:rsidR="00577D08" w:rsidRDefault="00330FC0">
            <w:pPr>
              <w:jc w:val="right"/>
            </w:pPr>
            <w:r>
              <w:t>20,629,500.00</w:t>
            </w:r>
          </w:p>
        </w:tc>
      </w:tr>
      <w:tr w:rsidR="00577D08" w14:paraId="68041B54" w14:textId="77777777">
        <w:tc>
          <w:tcPr>
            <w:tcW w:w="3141" w:type="dxa"/>
            <w:tcBorders>
              <w:top w:val="outset" w:sz="4" w:space="0" w:color="auto"/>
              <w:left w:val="outset" w:sz="4" w:space="0" w:color="auto"/>
              <w:bottom w:val="outset" w:sz="4" w:space="0" w:color="auto"/>
              <w:right w:val="outset" w:sz="4" w:space="0" w:color="auto"/>
            </w:tcBorders>
            <w:vAlign w:val="center"/>
          </w:tcPr>
          <w:p w14:paraId="440E4962" w14:textId="77777777" w:rsidR="00577D08" w:rsidRDefault="00330FC0">
            <w:pPr>
              <w:ind w:firstLineChars="200" w:firstLine="420"/>
              <w:rPr>
                <w:color w:val="000000"/>
              </w:rPr>
            </w:pPr>
            <w:r>
              <w:rPr>
                <w:rFonts w:hint="eastAsia"/>
              </w:rPr>
              <w:t>筹资活动现金流入小计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73221FF9"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7F317875" w14:textId="77777777" w:rsidR="00577D08" w:rsidRDefault="00330FC0">
            <w:pPr>
              <w:jc w:val="right"/>
            </w:pPr>
            <w:r>
              <w:t xml:space="preserve"> 1,525,341,851.18 </w:t>
            </w:r>
          </w:p>
        </w:tc>
        <w:tc>
          <w:tcPr>
            <w:tcW w:w="2168" w:type="dxa"/>
            <w:tcBorders>
              <w:top w:val="outset" w:sz="4" w:space="0" w:color="auto"/>
              <w:left w:val="outset" w:sz="4" w:space="0" w:color="auto"/>
              <w:bottom w:val="outset" w:sz="4" w:space="0" w:color="auto"/>
              <w:right w:val="outset" w:sz="4" w:space="0" w:color="auto"/>
            </w:tcBorders>
            <w:vAlign w:val="center"/>
          </w:tcPr>
          <w:p w14:paraId="27E71B03" w14:textId="77777777" w:rsidR="00577D08" w:rsidRDefault="00330FC0">
            <w:pPr>
              <w:jc w:val="right"/>
            </w:pPr>
            <w:r>
              <w:t>1,067,214,776.60</w:t>
            </w:r>
          </w:p>
        </w:tc>
      </w:tr>
      <w:tr w:rsidR="00577D08" w14:paraId="55F7BD3D" w14:textId="77777777">
        <w:tc>
          <w:tcPr>
            <w:tcW w:w="3141" w:type="dxa"/>
            <w:tcBorders>
              <w:top w:val="outset" w:sz="4" w:space="0" w:color="auto"/>
              <w:left w:val="outset" w:sz="4" w:space="0" w:color="auto"/>
              <w:bottom w:val="outset" w:sz="4" w:space="0" w:color="auto"/>
              <w:right w:val="outset" w:sz="4" w:space="0" w:color="auto"/>
            </w:tcBorders>
            <w:vAlign w:val="center"/>
          </w:tcPr>
          <w:p w14:paraId="00994C2C" w14:textId="77777777" w:rsidR="00577D08" w:rsidRDefault="00330FC0">
            <w:pPr>
              <w:ind w:firstLineChars="100" w:firstLine="210"/>
              <w:rPr>
                <w:color w:val="000000"/>
              </w:rPr>
            </w:pPr>
            <w:r>
              <w:rPr>
                <w:rFonts w:hint="eastAsia"/>
              </w:rPr>
              <w:t>偿还债务支付的现金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140BE19E"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26DB35A1" w14:textId="77777777" w:rsidR="00577D08" w:rsidRDefault="00330FC0">
            <w:pPr>
              <w:jc w:val="right"/>
            </w:pPr>
            <w:r>
              <w:t xml:space="preserve"> 1,159,863,335.19 </w:t>
            </w:r>
          </w:p>
        </w:tc>
        <w:tc>
          <w:tcPr>
            <w:tcW w:w="2168" w:type="dxa"/>
            <w:tcBorders>
              <w:top w:val="outset" w:sz="4" w:space="0" w:color="auto"/>
              <w:left w:val="outset" w:sz="4" w:space="0" w:color="auto"/>
              <w:bottom w:val="outset" w:sz="4" w:space="0" w:color="auto"/>
              <w:right w:val="outset" w:sz="4" w:space="0" w:color="auto"/>
            </w:tcBorders>
            <w:vAlign w:val="center"/>
          </w:tcPr>
          <w:p w14:paraId="42A52E8D" w14:textId="77777777" w:rsidR="00577D08" w:rsidRDefault="00330FC0">
            <w:pPr>
              <w:jc w:val="right"/>
            </w:pPr>
            <w:r>
              <w:t>557,312,532.42</w:t>
            </w:r>
          </w:p>
        </w:tc>
      </w:tr>
      <w:tr w:rsidR="00577D08" w14:paraId="342BAD6E" w14:textId="77777777">
        <w:tc>
          <w:tcPr>
            <w:tcW w:w="3141" w:type="dxa"/>
            <w:tcBorders>
              <w:top w:val="outset" w:sz="4" w:space="0" w:color="auto"/>
              <w:left w:val="outset" w:sz="4" w:space="0" w:color="auto"/>
              <w:bottom w:val="outset" w:sz="4" w:space="0" w:color="auto"/>
              <w:right w:val="outset" w:sz="4" w:space="0" w:color="auto"/>
            </w:tcBorders>
            <w:vAlign w:val="center"/>
          </w:tcPr>
          <w:p w14:paraId="1C239F6F" w14:textId="77777777" w:rsidR="00577D08" w:rsidRDefault="00330FC0">
            <w:pPr>
              <w:ind w:firstLineChars="100" w:firstLine="210"/>
            </w:pPr>
            <w:r>
              <w:rPr>
                <w:rFonts w:hint="eastAsia"/>
              </w:rPr>
              <w:t>分配股利、利润或偿付利息支付的现金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1DA829BC"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755E4EA" w14:textId="77777777" w:rsidR="00577D08" w:rsidRDefault="00330FC0">
            <w:pPr>
              <w:jc w:val="right"/>
            </w:pPr>
            <w:r>
              <w:t xml:space="preserve"> 65,609,456.50 </w:t>
            </w:r>
          </w:p>
        </w:tc>
        <w:tc>
          <w:tcPr>
            <w:tcW w:w="2168" w:type="dxa"/>
            <w:tcBorders>
              <w:top w:val="outset" w:sz="4" w:space="0" w:color="auto"/>
              <w:left w:val="outset" w:sz="4" w:space="0" w:color="auto"/>
              <w:bottom w:val="outset" w:sz="4" w:space="0" w:color="auto"/>
              <w:right w:val="outset" w:sz="4" w:space="0" w:color="auto"/>
            </w:tcBorders>
            <w:vAlign w:val="center"/>
          </w:tcPr>
          <w:p w14:paraId="153BDA20" w14:textId="77777777" w:rsidR="00577D08" w:rsidRDefault="00330FC0">
            <w:pPr>
              <w:jc w:val="right"/>
            </w:pPr>
            <w:r>
              <w:t>95,260,131.68</w:t>
            </w:r>
          </w:p>
        </w:tc>
      </w:tr>
      <w:tr w:rsidR="00577D08" w14:paraId="5DF733A8" w14:textId="77777777">
        <w:tc>
          <w:tcPr>
            <w:tcW w:w="3141" w:type="dxa"/>
            <w:tcBorders>
              <w:top w:val="outset" w:sz="4" w:space="0" w:color="auto"/>
              <w:left w:val="outset" w:sz="4" w:space="0" w:color="auto"/>
              <w:bottom w:val="outset" w:sz="4" w:space="0" w:color="auto"/>
              <w:right w:val="outset" w:sz="4" w:space="0" w:color="auto"/>
            </w:tcBorders>
            <w:vAlign w:val="center"/>
          </w:tcPr>
          <w:p w14:paraId="0AA92A75" w14:textId="77777777" w:rsidR="00577D08" w:rsidRDefault="00330FC0">
            <w:pPr>
              <w:ind w:firstLineChars="100" w:firstLine="210"/>
            </w:pPr>
            <w:r>
              <w:rPr>
                <w:rFonts w:hint="eastAsia"/>
              </w:rPr>
              <w:t>其中：子公司支付给少数股东的股利、利润</w:t>
            </w:r>
          </w:p>
        </w:tc>
        <w:tc>
          <w:tcPr>
            <w:tcW w:w="1567" w:type="dxa"/>
            <w:tcBorders>
              <w:top w:val="outset" w:sz="4" w:space="0" w:color="auto"/>
              <w:left w:val="outset" w:sz="4" w:space="0" w:color="auto"/>
              <w:bottom w:val="outset" w:sz="4" w:space="0" w:color="auto"/>
              <w:right w:val="outset" w:sz="4" w:space="0" w:color="auto"/>
            </w:tcBorders>
            <w:vAlign w:val="center"/>
          </w:tcPr>
          <w:p w14:paraId="16CE87A6"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0C36A72D" w14:textId="77777777" w:rsidR="00577D08" w:rsidRDefault="00330FC0">
            <w:pPr>
              <w:jc w:val="right"/>
            </w:pPr>
            <w:r>
              <w:t xml:space="preserve"> -   </w:t>
            </w:r>
          </w:p>
        </w:tc>
        <w:tc>
          <w:tcPr>
            <w:tcW w:w="2168" w:type="dxa"/>
            <w:tcBorders>
              <w:top w:val="outset" w:sz="4" w:space="0" w:color="auto"/>
              <w:left w:val="outset" w:sz="4" w:space="0" w:color="auto"/>
              <w:bottom w:val="outset" w:sz="4" w:space="0" w:color="auto"/>
              <w:right w:val="outset" w:sz="4" w:space="0" w:color="auto"/>
            </w:tcBorders>
            <w:vAlign w:val="center"/>
          </w:tcPr>
          <w:p w14:paraId="27B821D8" w14:textId="77777777" w:rsidR="00577D08" w:rsidRDefault="00577D08">
            <w:pPr>
              <w:jc w:val="right"/>
            </w:pPr>
          </w:p>
        </w:tc>
      </w:tr>
      <w:tr w:rsidR="00577D08" w14:paraId="668FDCF5" w14:textId="77777777">
        <w:tc>
          <w:tcPr>
            <w:tcW w:w="3141" w:type="dxa"/>
            <w:tcBorders>
              <w:top w:val="outset" w:sz="4" w:space="0" w:color="auto"/>
              <w:left w:val="outset" w:sz="4" w:space="0" w:color="auto"/>
              <w:bottom w:val="outset" w:sz="4" w:space="0" w:color="auto"/>
              <w:right w:val="outset" w:sz="4" w:space="0" w:color="auto"/>
            </w:tcBorders>
            <w:vAlign w:val="center"/>
          </w:tcPr>
          <w:p w14:paraId="6F85AC37" w14:textId="77777777" w:rsidR="00577D08" w:rsidRDefault="00330FC0">
            <w:pPr>
              <w:ind w:firstLineChars="100" w:firstLine="210"/>
            </w:pPr>
            <w:r>
              <w:rPr>
                <w:rFonts w:hint="eastAsia"/>
              </w:rPr>
              <w:t>支付其他与筹资活动有关的现金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762CA14E" w14:textId="77777777" w:rsidR="00577D08" w:rsidRDefault="00330FC0">
            <w:pPr>
              <w:jc w:val="both"/>
            </w:pPr>
            <w:r>
              <w:rPr>
                <w:rFonts w:hint="eastAsia"/>
              </w:rPr>
              <w:t>七、</w:t>
            </w:r>
            <w:r>
              <w:rPr>
                <w:rFonts w:hint="eastAsia"/>
              </w:rPr>
              <w:t>78</w:t>
            </w:r>
          </w:p>
        </w:tc>
        <w:tc>
          <w:tcPr>
            <w:tcW w:w="2173" w:type="dxa"/>
            <w:tcBorders>
              <w:top w:val="outset" w:sz="4" w:space="0" w:color="auto"/>
              <w:left w:val="outset" w:sz="4" w:space="0" w:color="auto"/>
              <w:bottom w:val="outset" w:sz="4" w:space="0" w:color="auto"/>
              <w:right w:val="outset" w:sz="4" w:space="0" w:color="auto"/>
            </w:tcBorders>
            <w:vAlign w:val="center"/>
          </w:tcPr>
          <w:p w14:paraId="293519C2" w14:textId="77777777" w:rsidR="00577D08" w:rsidRDefault="00330FC0">
            <w:pPr>
              <w:jc w:val="right"/>
            </w:pPr>
            <w:r>
              <w:t xml:space="preserve"> 179,773,448.56 </w:t>
            </w:r>
          </w:p>
        </w:tc>
        <w:tc>
          <w:tcPr>
            <w:tcW w:w="2168" w:type="dxa"/>
            <w:tcBorders>
              <w:top w:val="outset" w:sz="4" w:space="0" w:color="auto"/>
              <w:left w:val="outset" w:sz="4" w:space="0" w:color="auto"/>
              <w:bottom w:val="outset" w:sz="4" w:space="0" w:color="auto"/>
              <w:right w:val="outset" w:sz="4" w:space="0" w:color="auto"/>
            </w:tcBorders>
            <w:vAlign w:val="center"/>
          </w:tcPr>
          <w:p w14:paraId="7529FB05" w14:textId="77777777" w:rsidR="00577D08" w:rsidRDefault="00330FC0">
            <w:pPr>
              <w:jc w:val="right"/>
            </w:pPr>
            <w:r>
              <w:t>21,588,649.59</w:t>
            </w:r>
          </w:p>
        </w:tc>
      </w:tr>
      <w:tr w:rsidR="00577D08" w14:paraId="23869AEC" w14:textId="77777777">
        <w:tc>
          <w:tcPr>
            <w:tcW w:w="3141" w:type="dxa"/>
            <w:tcBorders>
              <w:top w:val="outset" w:sz="4" w:space="0" w:color="auto"/>
              <w:left w:val="outset" w:sz="4" w:space="0" w:color="auto"/>
              <w:bottom w:val="outset" w:sz="4" w:space="0" w:color="auto"/>
              <w:right w:val="outset" w:sz="4" w:space="0" w:color="auto"/>
            </w:tcBorders>
            <w:vAlign w:val="center"/>
          </w:tcPr>
          <w:p w14:paraId="381CA3CE" w14:textId="77777777" w:rsidR="00577D08" w:rsidRDefault="00330FC0">
            <w:pPr>
              <w:ind w:firstLineChars="200" w:firstLine="420"/>
              <w:rPr>
                <w:color w:val="000000"/>
              </w:rPr>
            </w:pPr>
            <w:r>
              <w:rPr>
                <w:rFonts w:hint="eastAsia"/>
              </w:rPr>
              <w:t>筹资活动现金流出小计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3DC4F8E4"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488D219D" w14:textId="77777777" w:rsidR="00577D08" w:rsidRDefault="00330FC0">
            <w:pPr>
              <w:jc w:val="right"/>
            </w:pPr>
            <w:r>
              <w:t xml:space="preserve"> 1,405,246,240.25 </w:t>
            </w:r>
          </w:p>
        </w:tc>
        <w:tc>
          <w:tcPr>
            <w:tcW w:w="2168" w:type="dxa"/>
            <w:tcBorders>
              <w:top w:val="outset" w:sz="4" w:space="0" w:color="auto"/>
              <w:left w:val="outset" w:sz="4" w:space="0" w:color="auto"/>
              <w:bottom w:val="outset" w:sz="4" w:space="0" w:color="auto"/>
              <w:right w:val="outset" w:sz="4" w:space="0" w:color="auto"/>
            </w:tcBorders>
            <w:vAlign w:val="center"/>
          </w:tcPr>
          <w:p w14:paraId="694F5541" w14:textId="77777777" w:rsidR="00577D08" w:rsidRDefault="00330FC0">
            <w:pPr>
              <w:jc w:val="right"/>
            </w:pPr>
            <w:r>
              <w:t>674,161,313.69</w:t>
            </w:r>
          </w:p>
        </w:tc>
      </w:tr>
      <w:tr w:rsidR="00577D08" w14:paraId="5A2D4B3F" w14:textId="77777777">
        <w:tc>
          <w:tcPr>
            <w:tcW w:w="3141" w:type="dxa"/>
            <w:tcBorders>
              <w:top w:val="outset" w:sz="4" w:space="0" w:color="auto"/>
              <w:left w:val="outset" w:sz="4" w:space="0" w:color="auto"/>
              <w:bottom w:val="outset" w:sz="4" w:space="0" w:color="auto"/>
              <w:right w:val="outset" w:sz="4" w:space="0" w:color="auto"/>
            </w:tcBorders>
            <w:vAlign w:val="center"/>
          </w:tcPr>
          <w:p w14:paraId="7DF21052" w14:textId="77777777" w:rsidR="00577D08" w:rsidRDefault="00330FC0">
            <w:pPr>
              <w:ind w:firstLineChars="300" w:firstLine="630"/>
              <w:rPr>
                <w:color w:val="000000"/>
              </w:rPr>
            </w:pPr>
            <w:r>
              <w:rPr>
                <w:rFonts w:hint="eastAsia"/>
              </w:rPr>
              <w:t>筹资活动产生的现金流量净额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4A6909A8"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3AA45337" w14:textId="77777777" w:rsidR="00577D08" w:rsidRDefault="00330FC0">
            <w:pPr>
              <w:jc w:val="right"/>
            </w:pPr>
            <w:r>
              <w:t xml:space="preserve"> 120,095,610.93 </w:t>
            </w:r>
          </w:p>
        </w:tc>
        <w:tc>
          <w:tcPr>
            <w:tcW w:w="2168" w:type="dxa"/>
            <w:tcBorders>
              <w:top w:val="outset" w:sz="4" w:space="0" w:color="auto"/>
              <w:left w:val="outset" w:sz="4" w:space="0" w:color="auto"/>
              <w:bottom w:val="outset" w:sz="4" w:space="0" w:color="auto"/>
              <w:right w:val="outset" w:sz="4" w:space="0" w:color="auto"/>
            </w:tcBorders>
            <w:vAlign w:val="center"/>
          </w:tcPr>
          <w:p w14:paraId="4D192F02" w14:textId="77777777" w:rsidR="00577D08" w:rsidRDefault="00330FC0">
            <w:pPr>
              <w:jc w:val="right"/>
            </w:pPr>
            <w:r>
              <w:t>393,053,462.91</w:t>
            </w:r>
          </w:p>
        </w:tc>
      </w:tr>
      <w:tr w:rsidR="00577D08" w14:paraId="3F546A2A" w14:textId="77777777">
        <w:tc>
          <w:tcPr>
            <w:tcW w:w="3141" w:type="dxa"/>
            <w:tcBorders>
              <w:top w:val="outset" w:sz="4" w:space="0" w:color="auto"/>
              <w:left w:val="outset" w:sz="4" w:space="0" w:color="auto"/>
              <w:bottom w:val="outset" w:sz="4" w:space="0" w:color="auto"/>
              <w:right w:val="outset" w:sz="4" w:space="0" w:color="auto"/>
            </w:tcBorders>
            <w:vAlign w:val="center"/>
          </w:tcPr>
          <w:p w14:paraId="16ACA2D4" w14:textId="77777777" w:rsidR="00577D08" w:rsidRDefault="00330FC0">
            <w:pPr>
              <w:rPr>
                <w:color w:val="000000"/>
              </w:rPr>
            </w:pPr>
            <w:r>
              <w:rPr>
                <w:rFonts w:hint="eastAsia"/>
                <w:b/>
                <w:bCs/>
              </w:rPr>
              <w:t>四、汇率变动对现金及现金等价物的影响</w:t>
            </w:r>
          </w:p>
        </w:tc>
        <w:tc>
          <w:tcPr>
            <w:tcW w:w="1567" w:type="dxa"/>
            <w:tcBorders>
              <w:top w:val="outset" w:sz="4" w:space="0" w:color="auto"/>
              <w:left w:val="outset" w:sz="4" w:space="0" w:color="auto"/>
              <w:bottom w:val="outset" w:sz="4" w:space="0" w:color="auto"/>
              <w:right w:val="outset" w:sz="4" w:space="0" w:color="auto"/>
            </w:tcBorders>
            <w:vAlign w:val="center"/>
          </w:tcPr>
          <w:p w14:paraId="77EF6AEA"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36E59349" w14:textId="77777777" w:rsidR="00577D08" w:rsidRDefault="00330FC0">
            <w:pPr>
              <w:jc w:val="right"/>
            </w:pPr>
            <w:r>
              <w:t xml:space="preserve"> -543,062.36 </w:t>
            </w:r>
          </w:p>
        </w:tc>
        <w:tc>
          <w:tcPr>
            <w:tcW w:w="2168" w:type="dxa"/>
            <w:tcBorders>
              <w:top w:val="outset" w:sz="4" w:space="0" w:color="auto"/>
              <w:left w:val="outset" w:sz="4" w:space="0" w:color="auto"/>
              <w:bottom w:val="outset" w:sz="4" w:space="0" w:color="auto"/>
              <w:right w:val="outset" w:sz="4" w:space="0" w:color="auto"/>
            </w:tcBorders>
            <w:vAlign w:val="center"/>
          </w:tcPr>
          <w:p w14:paraId="20503029" w14:textId="77777777" w:rsidR="00577D08" w:rsidRDefault="00330FC0">
            <w:pPr>
              <w:jc w:val="right"/>
            </w:pPr>
            <w:r>
              <w:t>448,361.82</w:t>
            </w:r>
          </w:p>
        </w:tc>
      </w:tr>
      <w:tr w:rsidR="00577D08" w14:paraId="3F4297C2" w14:textId="77777777">
        <w:tc>
          <w:tcPr>
            <w:tcW w:w="3141" w:type="dxa"/>
            <w:tcBorders>
              <w:top w:val="outset" w:sz="4" w:space="0" w:color="auto"/>
              <w:left w:val="outset" w:sz="4" w:space="0" w:color="auto"/>
              <w:bottom w:val="outset" w:sz="4" w:space="0" w:color="auto"/>
              <w:right w:val="outset" w:sz="4" w:space="0" w:color="auto"/>
            </w:tcBorders>
            <w:vAlign w:val="center"/>
          </w:tcPr>
          <w:p w14:paraId="24799BDC" w14:textId="77777777" w:rsidR="00577D08" w:rsidRDefault="00330FC0">
            <w:pPr>
              <w:rPr>
                <w:color w:val="000000"/>
              </w:rPr>
            </w:pPr>
            <w:r>
              <w:rPr>
                <w:rFonts w:hint="eastAsia"/>
                <w:b/>
                <w:bCs/>
              </w:rPr>
              <w:t>五、现金及现金等价物净增加额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685D0F27"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551B28E7" w14:textId="77777777" w:rsidR="00577D08" w:rsidRDefault="00330FC0">
            <w:pPr>
              <w:jc w:val="right"/>
            </w:pPr>
            <w:r>
              <w:t xml:space="preserve"> 209,008,328.57 </w:t>
            </w:r>
          </w:p>
        </w:tc>
        <w:tc>
          <w:tcPr>
            <w:tcW w:w="2168" w:type="dxa"/>
            <w:tcBorders>
              <w:top w:val="outset" w:sz="4" w:space="0" w:color="auto"/>
              <w:left w:val="outset" w:sz="4" w:space="0" w:color="auto"/>
              <w:bottom w:val="outset" w:sz="4" w:space="0" w:color="auto"/>
              <w:right w:val="outset" w:sz="4" w:space="0" w:color="auto"/>
            </w:tcBorders>
            <w:vAlign w:val="center"/>
          </w:tcPr>
          <w:p w14:paraId="0DFD08AD" w14:textId="77777777" w:rsidR="00577D08" w:rsidRDefault="00330FC0">
            <w:pPr>
              <w:jc w:val="right"/>
            </w:pPr>
            <w:r>
              <w:t>-230,221,321.40</w:t>
            </w:r>
          </w:p>
        </w:tc>
      </w:tr>
      <w:tr w:rsidR="00577D08" w14:paraId="360B5E9D" w14:textId="77777777">
        <w:tc>
          <w:tcPr>
            <w:tcW w:w="3141" w:type="dxa"/>
            <w:tcBorders>
              <w:top w:val="outset" w:sz="4" w:space="0" w:color="auto"/>
              <w:left w:val="outset" w:sz="4" w:space="0" w:color="auto"/>
              <w:bottom w:val="outset" w:sz="4" w:space="0" w:color="auto"/>
              <w:right w:val="outset" w:sz="4" w:space="0" w:color="auto"/>
            </w:tcBorders>
            <w:vAlign w:val="center"/>
          </w:tcPr>
          <w:p w14:paraId="78C4CF2E" w14:textId="77777777" w:rsidR="00577D08" w:rsidRDefault="00330FC0">
            <w:pPr>
              <w:ind w:firstLineChars="100" w:firstLine="210"/>
              <w:rPr>
                <w:color w:val="000000"/>
              </w:rPr>
            </w:pPr>
            <w:r>
              <w:rPr>
                <w:rFonts w:hint="eastAsia"/>
              </w:rPr>
              <w:lastRenderedPageBreak/>
              <w:t>加：期初现金及现金等价物余额</w:t>
            </w:r>
          </w:p>
        </w:tc>
        <w:tc>
          <w:tcPr>
            <w:tcW w:w="1567" w:type="dxa"/>
            <w:tcBorders>
              <w:top w:val="outset" w:sz="4" w:space="0" w:color="auto"/>
              <w:left w:val="outset" w:sz="4" w:space="0" w:color="auto"/>
              <w:bottom w:val="outset" w:sz="4" w:space="0" w:color="auto"/>
              <w:right w:val="outset" w:sz="4" w:space="0" w:color="auto"/>
            </w:tcBorders>
            <w:vAlign w:val="center"/>
          </w:tcPr>
          <w:p w14:paraId="314D1285"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74CC4710" w14:textId="77777777" w:rsidR="00577D08" w:rsidRDefault="00330FC0">
            <w:pPr>
              <w:jc w:val="right"/>
            </w:pPr>
            <w:r>
              <w:t xml:space="preserve"> 996,421,333.80 </w:t>
            </w:r>
          </w:p>
        </w:tc>
        <w:tc>
          <w:tcPr>
            <w:tcW w:w="2168" w:type="dxa"/>
            <w:tcBorders>
              <w:top w:val="outset" w:sz="4" w:space="0" w:color="auto"/>
              <w:left w:val="outset" w:sz="4" w:space="0" w:color="auto"/>
              <w:bottom w:val="outset" w:sz="4" w:space="0" w:color="auto"/>
              <w:right w:val="outset" w:sz="4" w:space="0" w:color="auto"/>
            </w:tcBorders>
            <w:vAlign w:val="center"/>
          </w:tcPr>
          <w:p w14:paraId="5BCF2D58" w14:textId="77777777" w:rsidR="00577D08" w:rsidRDefault="00330FC0">
            <w:pPr>
              <w:jc w:val="right"/>
            </w:pPr>
            <w:r>
              <w:t>1,226,642,655.20</w:t>
            </w:r>
          </w:p>
        </w:tc>
      </w:tr>
      <w:tr w:rsidR="00577D08" w14:paraId="121039C6" w14:textId="77777777">
        <w:tc>
          <w:tcPr>
            <w:tcW w:w="3141" w:type="dxa"/>
            <w:tcBorders>
              <w:top w:val="outset" w:sz="4" w:space="0" w:color="auto"/>
              <w:left w:val="outset" w:sz="4" w:space="0" w:color="auto"/>
              <w:bottom w:val="outset" w:sz="4" w:space="0" w:color="auto"/>
              <w:right w:val="outset" w:sz="4" w:space="0" w:color="auto"/>
            </w:tcBorders>
            <w:vAlign w:val="center"/>
          </w:tcPr>
          <w:p w14:paraId="6D39781C" w14:textId="77777777" w:rsidR="00577D08" w:rsidRDefault="00330FC0">
            <w:pPr>
              <w:rPr>
                <w:color w:val="000000"/>
              </w:rPr>
            </w:pPr>
            <w:r>
              <w:rPr>
                <w:rFonts w:hint="eastAsia"/>
                <w:b/>
                <w:bCs/>
              </w:rPr>
              <w:t>六、期末现金及现金等价物余额</w:t>
            </w:r>
          </w:p>
        </w:tc>
        <w:tc>
          <w:tcPr>
            <w:tcW w:w="1567" w:type="dxa"/>
            <w:tcBorders>
              <w:top w:val="outset" w:sz="4" w:space="0" w:color="auto"/>
              <w:left w:val="outset" w:sz="4" w:space="0" w:color="auto"/>
              <w:bottom w:val="outset" w:sz="4" w:space="0" w:color="auto"/>
              <w:right w:val="outset" w:sz="4" w:space="0" w:color="auto"/>
            </w:tcBorders>
            <w:vAlign w:val="center"/>
          </w:tcPr>
          <w:p w14:paraId="50C1CA86" w14:textId="77777777" w:rsidR="00577D08" w:rsidRDefault="00577D08">
            <w:pPr>
              <w:jc w:val="both"/>
            </w:pPr>
          </w:p>
        </w:tc>
        <w:tc>
          <w:tcPr>
            <w:tcW w:w="2173" w:type="dxa"/>
            <w:tcBorders>
              <w:top w:val="outset" w:sz="4" w:space="0" w:color="auto"/>
              <w:left w:val="outset" w:sz="4" w:space="0" w:color="auto"/>
              <w:bottom w:val="outset" w:sz="4" w:space="0" w:color="auto"/>
              <w:right w:val="outset" w:sz="4" w:space="0" w:color="auto"/>
            </w:tcBorders>
            <w:vAlign w:val="center"/>
          </w:tcPr>
          <w:p w14:paraId="3583565D" w14:textId="77777777" w:rsidR="00577D08" w:rsidRDefault="00330FC0">
            <w:pPr>
              <w:jc w:val="right"/>
            </w:pPr>
            <w:r>
              <w:t xml:space="preserve"> 1,205,429,662.37 </w:t>
            </w:r>
          </w:p>
        </w:tc>
        <w:tc>
          <w:tcPr>
            <w:tcW w:w="2168" w:type="dxa"/>
            <w:tcBorders>
              <w:top w:val="outset" w:sz="4" w:space="0" w:color="auto"/>
              <w:left w:val="outset" w:sz="4" w:space="0" w:color="auto"/>
              <w:bottom w:val="outset" w:sz="4" w:space="0" w:color="auto"/>
              <w:right w:val="outset" w:sz="4" w:space="0" w:color="auto"/>
            </w:tcBorders>
            <w:vAlign w:val="center"/>
          </w:tcPr>
          <w:p w14:paraId="0A9505E8" w14:textId="77777777" w:rsidR="00577D08" w:rsidRDefault="00330FC0">
            <w:pPr>
              <w:jc w:val="right"/>
            </w:pPr>
            <w:r>
              <w:t>996,421,333.80</w:t>
            </w:r>
          </w:p>
        </w:tc>
      </w:tr>
    </w:tbl>
    <w:p w14:paraId="13852604" w14:textId="77777777" w:rsidR="00577D08" w:rsidRDefault="00330FC0">
      <w:pPr>
        <w:snapToGrid w:val="0"/>
        <w:spacing w:line="240" w:lineRule="atLeast"/>
        <w:ind w:rightChars="12" w:right="25"/>
        <w:rPr>
          <w:b/>
          <w:bCs/>
          <w:color w:val="FF0000"/>
        </w:rPr>
      </w:pPr>
      <w:r>
        <w:rPr>
          <w:rFonts w:hint="eastAsia"/>
        </w:rPr>
        <w:t>公司负责</w:t>
      </w:r>
      <w:r>
        <w:t>人</w:t>
      </w:r>
      <w:r>
        <w:rPr>
          <w:rFonts w:hint="eastAsia"/>
        </w:rPr>
        <w:t>：</w:t>
      </w:r>
      <w:sdt>
        <w:sdtPr>
          <w:rPr>
            <w:rFonts w:hint="eastAsia"/>
          </w:rPr>
          <w:alias w:val="公司负责人姓名"/>
          <w:tag w:val="_GBC_d1f7cb193ab444ff8482a06aad12f0db"/>
          <w:id w:val="1549033328"/>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45110b4746914613a7aad68cef7b1bed"/>
          <w:id w:val="-1424481148"/>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e7d70223996e482d9871cfff87704452"/>
          <w:id w:val="522055288"/>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p w14:paraId="76102D0F" w14:textId="77777777" w:rsidR="00577D08" w:rsidRDefault="00577D08"/>
    <w:p w14:paraId="659D8ED5" w14:textId="77777777" w:rsidR="00577D08" w:rsidRDefault="00577D08">
      <w:pPr>
        <w:jc w:val="center"/>
        <w:rPr>
          <w:b/>
          <w:bCs/>
        </w:rPr>
      </w:pPr>
    </w:p>
    <w:p w14:paraId="687D8148" w14:textId="77777777" w:rsidR="00577D08" w:rsidRDefault="00330FC0">
      <w:pPr>
        <w:jc w:val="center"/>
        <w:outlineLvl w:val="2"/>
        <w:rPr>
          <w:b/>
          <w:bCs/>
        </w:rPr>
      </w:pPr>
      <w:r>
        <w:rPr>
          <w:rFonts w:hint="eastAsia"/>
          <w:b/>
          <w:bCs/>
        </w:rPr>
        <w:t>母公司</w:t>
      </w:r>
      <w:r>
        <w:rPr>
          <w:b/>
          <w:bCs/>
        </w:rPr>
        <w:t>现金流量表</w:t>
      </w:r>
    </w:p>
    <w:p w14:paraId="31D58352" w14:textId="77777777" w:rsidR="00577D08" w:rsidRDefault="00330FC0">
      <w:pPr>
        <w:jc w:val="center"/>
        <w:rPr>
          <w:b/>
          <w:bCs/>
        </w:rPr>
      </w:pPr>
      <w:r>
        <w:t>2025</w:t>
      </w:r>
      <w:r>
        <w:t>年</w:t>
      </w:r>
      <w:r>
        <w:rPr>
          <w:rFonts w:hint="eastAsia"/>
        </w:rPr>
        <w:t>1</w:t>
      </w:r>
      <w:r>
        <w:rPr>
          <w:rFonts w:hint="eastAsia"/>
        </w:rPr>
        <w:t>—</w:t>
      </w:r>
      <w:r>
        <w:rPr>
          <w:rFonts w:hint="eastAsia"/>
        </w:rPr>
        <w:t>12</w:t>
      </w:r>
      <w:r>
        <w:t>月</w:t>
      </w:r>
    </w:p>
    <w:p w14:paraId="671BA44C" w14:textId="75C40245" w:rsidR="00577D08" w:rsidRDefault="00330FC0">
      <w:pPr>
        <w:jc w:val="right"/>
      </w:pPr>
      <w:r>
        <w:t>单位</w:t>
      </w:r>
      <w:r>
        <w:rPr>
          <w:rFonts w:hint="eastAsia"/>
        </w:rPr>
        <w:t>：</w:t>
      </w:r>
      <w:sdt>
        <w:sdtPr>
          <w:alias w:val="单位：母公司现金流量表"/>
          <w:tag w:val="_GBC_993ead81b27a41dfaccaacfaec8b7c78"/>
          <w:id w:val="-4029050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r w:rsidR="00CC5C32">
            <w:t xml:space="preserve"> </w:t>
          </w:r>
        </w:sdtContent>
      </w:sdt>
      <w:r>
        <w:t>币种</w:t>
      </w:r>
      <w:r>
        <w:rPr>
          <w:rFonts w:hint="eastAsia"/>
        </w:rPr>
        <w:t>：</w:t>
      </w:r>
      <w:sdt>
        <w:sdtPr>
          <w:alias w:val="币种：母公司现金流量表"/>
          <w:tag w:val="_GBC_2dd4b706d0a244a4b4c21166025356cc"/>
          <w:id w:val="-17826494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45"/>
        <w:gridCol w:w="1569"/>
        <w:gridCol w:w="2171"/>
        <w:gridCol w:w="2164"/>
      </w:tblGrid>
      <w:tr w:rsidR="00577D08" w14:paraId="227A15F0" w14:textId="77777777">
        <w:trPr>
          <w:tblHeader/>
        </w:trPr>
        <w:tc>
          <w:tcPr>
            <w:tcW w:w="3145" w:type="dxa"/>
            <w:tcBorders>
              <w:top w:val="outset" w:sz="4" w:space="0" w:color="auto"/>
              <w:left w:val="outset" w:sz="4" w:space="0" w:color="auto"/>
              <w:bottom w:val="outset" w:sz="4" w:space="0" w:color="auto"/>
              <w:right w:val="outset" w:sz="4" w:space="0" w:color="auto"/>
            </w:tcBorders>
            <w:vAlign w:val="center"/>
          </w:tcPr>
          <w:sdt>
            <w:sdtPr>
              <w:tag w:val="_PLD_fa8a4a4fe8df4f0086d4a3f59744ef0c"/>
              <w:id w:val="-1313562013"/>
            </w:sdtPr>
            <w:sdtContent>
              <w:p w14:paraId="2A7AEAB3" w14:textId="77777777" w:rsidR="00577D08" w:rsidRDefault="00330FC0">
                <w:pPr>
                  <w:jc w:val="center"/>
                  <w:rPr>
                    <w:b/>
                  </w:rPr>
                </w:pPr>
                <w:r>
                  <w:rPr>
                    <w:rFonts w:hint="eastAsia"/>
                    <w:b/>
                  </w:rPr>
                  <w:t>项目</w:t>
                </w:r>
              </w:p>
            </w:sdtContent>
          </w:sdt>
        </w:tc>
        <w:tc>
          <w:tcPr>
            <w:tcW w:w="1569" w:type="dxa"/>
            <w:tcBorders>
              <w:top w:val="outset" w:sz="4" w:space="0" w:color="auto"/>
              <w:left w:val="outset" w:sz="4" w:space="0" w:color="auto"/>
              <w:bottom w:val="outset" w:sz="4" w:space="0" w:color="auto"/>
              <w:right w:val="outset" w:sz="4" w:space="0" w:color="auto"/>
            </w:tcBorders>
            <w:vAlign w:val="center"/>
          </w:tcPr>
          <w:sdt>
            <w:sdtPr>
              <w:tag w:val="_PLD_e2b9d4cf46994f4f99a9560554670b54"/>
              <w:id w:val="359398243"/>
            </w:sdtPr>
            <w:sdtContent>
              <w:p w14:paraId="488AAEDE" w14:textId="77777777" w:rsidR="00577D08" w:rsidRDefault="00330FC0">
                <w:pPr>
                  <w:autoSpaceDE w:val="0"/>
                  <w:autoSpaceDN w:val="0"/>
                  <w:adjustRightInd w:val="0"/>
                  <w:jc w:val="center"/>
                  <w:rPr>
                    <w:b/>
                  </w:rPr>
                </w:pPr>
                <w:r>
                  <w:rPr>
                    <w:rFonts w:hint="eastAsia"/>
                    <w:b/>
                  </w:rPr>
                  <w:t>附注</w:t>
                </w:r>
              </w:p>
            </w:sdtContent>
          </w:sdt>
        </w:tc>
        <w:tc>
          <w:tcPr>
            <w:tcW w:w="2171" w:type="dxa"/>
            <w:tcBorders>
              <w:top w:val="outset" w:sz="4" w:space="0" w:color="auto"/>
              <w:left w:val="outset" w:sz="4" w:space="0" w:color="auto"/>
              <w:bottom w:val="outset" w:sz="4" w:space="0" w:color="auto"/>
              <w:right w:val="outset" w:sz="4" w:space="0" w:color="auto"/>
            </w:tcBorders>
            <w:vAlign w:val="center"/>
          </w:tcPr>
          <w:sdt>
            <w:sdtPr>
              <w:tag w:val="_PLD_a5e1076b6ae14d71abde0e9180405588"/>
              <w:id w:val="1780677020"/>
            </w:sdtPr>
            <w:sdtContent>
              <w:p w14:paraId="0B634C53" w14:textId="77777777" w:rsidR="00577D08" w:rsidRDefault="00330FC0">
                <w:pPr>
                  <w:autoSpaceDE w:val="0"/>
                  <w:autoSpaceDN w:val="0"/>
                  <w:adjustRightInd w:val="0"/>
                  <w:jc w:val="center"/>
                  <w:rPr>
                    <w:b/>
                  </w:rPr>
                </w:pPr>
                <w:r>
                  <w:rPr>
                    <w:rFonts w:hint="eastAsia"/>
                    <w:b/>
                  </w:rPr>
                  <w:t>2025</w:t>
                </w:r>
                <w:r>
                  <w:rPr>
                    <w:rFonts w:hint="eastAsia"/>
                    <w:b/>
                  </w:rPr>
                  <w:t>年度</w:t>
                </w:r>
              </w:p>
            </w:sdtContent>
          </w:sdt>
        </w:tc>
        <w:tc>
          <w:tcPr>
            <w:tcW w:w="2164" w:type="dxa"/>
            <w:tcBorders>
              <w:top w:val="outset" w:sz="4" w:space="0" w:color="auto"/>
              <w:left w:val="outset" w:sz="4" w:space="0" w:color="auto"/>
              <w:bottom w:val="outset" w:sz="4" w:space="0" w:color="auto"/>
              <w:right w:val="outset" w:sz="4" w:space="0" w:color="auto"/>
            </w:tcBorders>
            <w:vAlign w:val="center"/>
          </w:tcPr>
          <w:sdt>
            <w:sdtPr>
              <w:tag w:val="_PLD_9f1994ac47d2487c870c64df42698a51"/>
              <w:id w:val="910419754"/>
            </w:sdtPr>
            <w:sdtContent>
              <w:p w14:paraId="7B73BF2D" w14:textId="77777777" w:rsidR="00577D08" w:rsidRDefault="00330FC0">
                <w:pPr>
                  <w:autoSpaceDE w:val="0"/>
                  <w:autoSpaceDN w:val="0"/>
                  <w:adjustRightInd w:val="0"/>
                  <w:jc w:val="center"/>
                  <w:rPr>
                    <w:b/>
                  </w:rPr>
                </w:pPr>
                <w:r>
                  <w:rPr>
                    <w:rFonts w:hint="eastAsia"/>
                    <w:b/>
                  </w:rPr>
                  <w:t>2024</w:t>
                </w:r>
                <w:r>
                  <w:rPr>
                    <w:rFonts w:hint="eastAsia"/>
                    <w:b/>
                  </w:rPr>
                  <w:t>年度</w:t>
                </w:r>
              </w:p>
            </w:sdtContent>
          </w:sdt>
        </w:tc>
      </w:tr>
      <w:tr w:rsidR="00577D08" w14:paraId="170EE088" w14:textId="77777777">
        <w:sdt>
          <w:sdtPr>
            <w:tag w:val="_PLD_d5384e7a1c2841c78793ee2e647fdb97"/>
            <w:id w:val="-1554608667"/>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40A863F1" w14:textId="77777777" w:rsidR="00577D08" w:rsidRDefault="00330FC0">
                <w:r>
                  <w:rPr>
                    <w:rFonts w:hint="eastAsia"/>
                    <w:b/>
                    <w:bCs/>
                  </w:rPr>
                  <w:t>一、经营活动产生的现金流量：</w:t>
                </w:r>
              </w:p>
            </w:tc>
          </w:sdtContent>
        </w:sdt>
      </w:tr>
      <w:tr w:rsidR="00577D08" w14:paraId="4751BDE4" w14:textId="77777777">
        <w:tc>
          <w:tcPr>
            <w:tcW w:w="3145" w:type="dxa"/>
            <w:tcBorders>
              <w:top w:val="outset" w:sz="4" w:space="0" w:color="auto"/>
              <w:left w:val="outset" w:sz="4" w:space="0" w:color="auto"/>
              <w:bottom w:val="outset" w:sz="4" w:space="0" w:color="auto"/>
              <w:right w:val="outset" w:sz="4" w:space="0" w:color="auto"/>
            </w:tcBorders>
            <w:vAlign w:val="center"/>
          </w:tcPr>
          <w:p w14:paraId="30C87BED" w14:textId="77777777" w:rsidR="00577D08" w:rsidRDefault="00330FC0">
            <w:pPr>
              <w:ind w:firstLineChars="100" w:firstLine="210"/>
              <w:rPr>
                <w:color w:val="000000"/>
              </w:rPr>
            </w:pPr>
            <w:r>
              <w:rPr>
                <w:rFonts w:hint="eastAsia"/>
              </w:rPr>
              <w:t>销售商品、提供劳务收到的现金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1647079F"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3DFC0E0B" w14:textId="77777777" w:rsidR="00577D08" w:rsidRDefault="00330FC0">
            <w:pPr>
              <w:jc w:val="right"/>
            </w:pPr>
            <w:r>
              <w:t xml:space="preserve"> 1,764,660,725.76 </w:t>
            </w:r>
          </w:p>
        </w:tc>
        <w:tc>
          <w:tcPr>
            <w:tcW w:w="2164" w:type="dxa"/>
            <w:tcBorders>
              <w:top w:val="outset" w:sz="4" w:space="0" w:color="auto"/>
              <w:left w:val="outset" w:sz="4" w:space="0" w:color="auto"/>
              <w:bottom w:val="outset" w:sz="4" w:space="0" w:color="auto"/>
              <w:right w:val="outset" w:sz="4" w:space="0" w:color="auto"/>
            </w:tcBorders>
            <w:vAlign w:val="center"/>
          </w:tcPr>
          <w:p w14:paraId="09B38714" w14:textId="77777777" w:rsidR="00577D08" w:rsidRDefault="00330FC0">
            <w:pPr>
              <w:jc w:val="right"/>
            </w:pPr>
            <w:r>
              <w:t>2,074,429,050.22</w:t>
            </w:r>
          </w:p>
        </w:tc>
      </w:tr>
      <w:tr w:rsidR="00577D08" w14:paraId="3150ABB8" w14:textId="77777777">
        <w:tc>
          <w:tcPr>
            <w:tcW w:w="3145" w:type="dxa"/>
            <w:tcBorders>
              <w:top w:val="outset" w:sz="4" w:space="0" w:color="auto"/>
              <w:left w:val="outset" w:sz="4" w:space="0" w:color="auto"/>
              <w:bottom w:val="outset" w:sz="4" w:space="0" w:color="auto"/>
              <w:right w:val="outset" w:sz="4" w:space="0" w:color="auto"/>
            </w:tcBorders>
            <w:vAlign w:val="center"/>
          </w:tcPr>
          <w:p w14:paraId="25EEB370" w14:textId="77777777" w:rsidR="00577D08" w:rsidRDefault="00330FC0">
            <w:pPr>
              <w:ind w:firstLineChars="100" w:firstLine="210"/>
              <w:rPr>
                <w:color w:val="000000"/>
              </w:rPr>
            </w:pPr>
            <w:r>
              <w:rPr>
                <w:rFonts w:hint="eastAsia"/>
              </w:rPr>
              <w:t>收到的税费返还</w:t>
            </w:r>
          </w:p>
        </w:tc>
        <w:tc>
          <w:tcPr>
            <w:tcW w:w="1569" w:type="dxa"/>
            <w:tcBorders>
              <w:top w:val="outset" w:sz="4" w:space="0" w:color="auto"/>
              <w:left w:val="outset" w:sz="4" w:space="0" w:color="auto"/>
              <w:bottom w:val="outset" w:sz="4" w:space="0" w:color="auto"/>
              <w:right w:val="outset" w:sz="4" w:space="0" w:color="auto"/>
            </w:tcBorders>
            <w:vAlign w:val="center"/>
          </w:tcPr>
          <w:p w14:paraId="5166A0D6"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93500B7" w14:textId="77777777" w:rsidR="00577D08" w:rsidRDefault="00330FC0">
            <w:pPr>
              <w:jc w:val="right"/>
            </w:pPr>
            <w:r>
              <w:t xml:space="preserve"> 2,046,817.01 </w:t>
            </w:r>
          </w:p>
        </w:tc>
        <w:tc>
          <w:tcPr>
            <w:tcW w:w="2164" w:type="dxa"/>
            <w:tcBorders>
              <w:top w:val="outset" w:sz="4" w:space="0" w:color="auto"/>
              <w:left w:val="outset" w:sz="4" w:space="0" w:color="auto"/>
              <w:bottom w:val="outset" w:sz="4" w:space="0" w:color="auto"/>
              <w:right w:val="outset" w:sz="4" w:space="0" w:color="auto"/>
            </w:tcBorders>
            <w:vAlign w:val="center"/>
          </w:tcPr>
          <w:p w14:paraId="3169578E" w14:textId="77777777" w:rsidR="00577D08" w:rsidRDefault="00330FC0">
            <w:pPr>
              <w:jc w:val="right"/>
            </w:pPr>
            <w:r>
              <w:t>21,581,749.63</w:t>
            </w:r>
          </w:p>
        </w:tc>
      </w:tr>
      <w:tr w:rsidR="00577D08" w14:paraId="5A08FD8F" w14:textId="77777777">
        <w:tc>
          <w:tcPr>
            <w:tcW w:w="3145" w:type="dxa"/>
            <w:tcBorders>
              <w:top w:val="outset" w:sz="4" w:space="0" w:color="auto"/>
              <w:left w:val="outset" w:sz="4" w:space="0" w:color="auto"/>
              <w:bottom w:val="outset" w:sz="4" w:space="0" w:color="auto"/>
              <w:right w:val="outset" w:sz="4" w:space="0" w:color="auto"/>
            </w:tcBorders>
            <w:vAlign w:val="center"/>
          </w:tcPr>
          <w:p w14:paraId="7ED8701B" w14:textId="77777777" w:rsidR="00577D08" w:rsidRDefault="00330FC0">
            <w:pPr>
              <w:ind w:firstLineChars="100" w:firstLine="210"/>
              <w:rPr>
                <w:color w:val="000000"/>
              </w:rPr>
            </w:pPr>
            <w:r>
              <w:rPr>
                <w:rFonts w:hint="eastAsia"/>
              </w:rPr>
              <w:t>收到其他与经营活动有关的现金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5051B9D6"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A5334A9" w14:textId="77777777" w:rsidR="00577D08" w:rsidRDefault="00330FC0">
            <w:pPr>
              <w:jc w:val="right"/>
            </w:pPr>
            <w:r>
              <w:t xml:space="preserve"> 457,127,559.97 </w:t>
            </w:r>
          </w:p>
        </w:tc>
        <w:tc>
          <w:tcPr>
            <w:tcW w:w="2164" w:type="dxa"/>
            <w:tcBorders>
              <w:top w:val="outset" w:sz="4" w:space="0" w:color="auto"/>
              <w:left w:val="outset" w:sz="4" w:space="0" w:color="auto"/>
              <w:bottom w:val="outset" w:sz="4" w:space="0" w:color="auto"/>
              <w:right w:val="outset" w:sz="4" w:space="0" w:color="auto"/>
            </w:tcBorders>
            <w:vAlign w:val="center"/>
          </w:tcPr>
          <w:p w14:paraId="15182325" w14:textId="77777777" w:rsidR="00577D08" w:rsidRDefault="00330FC0">
            <w:pPr>
              <w:jc w:val="right"/>
            </w:pPr>
            <w:r>
              <w:t>354,292,821.35</w:t>
            </w:r>
          </w:p>
        </w:tc>
      </w:tr>
      <w:tr w:rsidR="00577D08" w14:paraId="75B8DC04" w14:textId="77777777">
        <w:tc>
          <w:tcPr>
            <w:tcW w:w="3145" w:type="dxa"/>
            <w:tcBorders>
              <w:top w:val="outset" w:sz="4" w:space="0" w:color="auto"/>
              <w:left w:val="outset" w:sz="4" w:space="0" w:color="auto"/>
              <w:bottom w:val="outset" w:sz="4" w:space="0" w:color="auto"/>
              <w:right w:val="outset" w:sz="4" w:space="0" w:color="auto"/>
            </w:tcBorders>
            <w:vAlign w:val="center"/>
          </w:tcPr>
          <w:p w14:paraId="25F43CDB" w14:textId="77777777" w:rsidR="00577D08" w:rsidRDefault="00330FC0">
            <w:pPr>
              <w:ind w:firstLineChars="200" w:firstLine="420"/>
              <w:rPr>
                <w:color w:val="000000"/>
              </w:rPr>
            </w:pPr>
            <w:r>
              <w:rPr>
                <w:rFonts w:hint="eastAsia"/>
              </w:rPr>
              <w:t>经营活动现金流入小计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25CF523C"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1D9295E0" w14:textId="77777777" w:rsidR="00577D08" w:rsidRDefault="00330FC0">
            <w:pPr>
              <w:jc w:val="right"/>
            </w:pPr>
            <w:r>
              <w:t xml:space="preserve"> 2,223,835,102.74 </w:t>
            </w:r>
          </w:p>
        </w:tc>
        <w:tc>
          <w:tcPr>
            <w:tcW w:w="2164" w:type="dxa"/>
            <w:tcBorders>
              <w:top w:val="outset" w:sz="4" w:space="0" w:color="auto"/>
              <w:left w:val="outset" w:sz="4" w:space="0" w:color="auto"/>
              <w:bottom w:val="outset" w:sz="4" w:space="0" w:color="auto"/>
              <w:right w:val="outset" w:sz="4" w:space="0" w:color="auto"/>
            </w:tcBorders>
            <w:vAlign w:val="center"/>
          </w:tcPr>
          <w:p w14:paraId="1B8C7032" w14:textId="77777777" w:rsidR="00577D08" w:rsidRDefault="00330FC0">
            <w:pPr>
              <w:jc w:val="right"/>
            </w:pPr>
            <w:r>
              <w:t>2,450,303,621.20</w:t>
            </w:r>
          </w:p>
        </w:tc>
      </w:tr>
      <w:tr w:rsidR="00577D08" w14:paraId="6E080B84" w14:textId="77777777">
        <w:tc>
          <w:tcPr>
            <w:tcW w:w="3145" w:type="dxa"/>
            <w:tcBorders>
              <w:top w:val="outset" w:sz="4" w:space="0" w:color="auto"/>
              <w:left w:val="outset" w:sz="4" w:space="0" w:color="auto"/>
              <w:bottom w:val="outset" w:sz="4" w:space="0" w:color="auto"/>
              <w:right w:val="outset" w:sz="4" w:space="0" w:color="auto"/>
            </w:tcBorders>
            <w:vAlign w:val="center"/>
          </w:tcPr>
          <w:p w14:paraId="4FDD8BF3" w14:textId="77777777" w:rsidR="00577D08" w:rsidRDefault="00330FC0">
            <w:pPr>
              <w:ind w:firstLineChars="100" w:firstLine="210"/>
            </w:pPr>
            <w:r>
              <w:rPr>
                <w:rFonts w:hint="eastAsia"/>
              </w:rPr>
              <w:t>购买商品、接受劳务支付的现金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014EC4EB"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45E52477" w14:textId="77777777" w:rsidR="00577D08" w:rsidRDefault="00330FC0">
            <w:pPr>
              <w:jc w:val="right"/>
            </w:pPr>
            <w:r>
              <w:t xml:space="preserve"> 1,192,783,970.49 </w:t>
            </w:r>
          </w:p>
        </w:tc>
        <w:tc>
          <w:tcPr>
            <w:tcW w:w="2164" w:type="dxa"/>
            <w:tcBorders>
              <w:top w:val="outset" w:sz="4" w:space="0" w:color="auto"/>
              <w:left w:val="outset" w:sz="4" w:space="0" w:color="auto"/>
              <w:bottom w:val="outset" w:sz="4" w:space="0" w:color="auto"/>
              <w:right w:val="outset" w:sz="4" w:space="0" w:color="auto"/>
            </w:tcBorders>
            <w:vAlign w:val="center"/>
          </w:tcPr>
          <w:p w14:paraId="02B4D2CF" w14:textId="77777777" w:rsidR="00577D08" w:rsidRDefault="00330FC0">
            <w:pPr>
              <w:jc w:val="right"/>
            </w:pPr>
            <w:r>
              <w:t>1,641,332,908.15</w:t>
            </w:r>
          </w:p>
        </w:tc>
      </w:tr>
      <w:tr w:rsidR="00577D08" w14:paraId="3246D094" w14:textId="77777777">
        <w:tc>
          <w:tcPr>
            <w:tcW w:w="3145" w:type="dxa"/>
            <w:tcBorders>
              <w:top w:val="outset" w:sz="4" w:space="0" w:color="auto"/>
              <w:left w:val="outset" w:sz="4" w:space="0" w:color="auto"/>
              <w:bottom w:val="outset" w:sz="4" w:space="0" w:color="auto"/>
              <w:right w:val="outset" w:sz="4" w:space="0" w:color="auto"/>
            </w:tcBorders>
            <w:vAlign w:val="center"/>
          </w:tcPr>
          <w:p w14:paraId="45AEA943" w14:textId="77777777" w:rsidR="00577D08" w:rsidRDefault="00330FC0">
            <w:pPr>
              <w:ind w:firstLineChars="100" w:firstLine="210"/>
            </w:pPr>
            <w:r>
              <w:rPr>
                <w:rFonts w:hint="eastAsia"/>
              </w:rPr>
              <w:t>支付给职工及为职工支付的现金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58A045E1"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17A5C113" w14:textId="77777777" w:rsidR="00577D08" w:rsidRDefault="00330FC0">
            <w:pPr>
              <w:jc w:val="right"/>
            </w:pPr>
            <w:r>
              <w:t xml:space="preserve"> 207,066,788.67 </w:t>
            </w:r>
          </w:p>
        </w:tc>
        <w:tc>
          <w:tcPr>
            <w:tcW w:w="2164" w:type="dxa"/>
            <w:tcBorders>
              <w:top w:val="outset" w:sz="4" w:space="0" w:color="auto"/>
              <w:left w:val="outset" w:sz="4" w:space="0" w:color="auto"/>
              <w:bottom w:val="outset" w:sz="4" w:space="0" w:color="auto"/>
              <w:right w:val="outset" w:sz="4" w:space="0" w:color="auto"/>
            </w:tcBorders>
            <w:vAlign w:val="center"/>
          </w:tcPr>
          <w:p w14:paraId="4CECC4CD" w14:textId="77777777" w:rsidR="00577D08" w:rsidRDefault="00330FC0">
            <w:pPr>
              <w:jc w:val="right"/>
            </w:pPr>
            <w:r>
              <w:t>198,227,735.90</w:t>
            </w:r>
          </w:p>
        </w:tc>
      </w:tr>
      <w:tr w:rsidR="00577D08" w14:paraId="3B9E1B40" w14:textId="77777777">
        <w:tc>
          <w:tcPr>
            <w:tcW w:w="3145" w:type="dxa"/>
            <w:tcBorders>
              <w:top w:val="outset" w:sz="4" w:space="0" w:color="auto"/>
              <w:left w:val="outset" w:sz="4" w:space="0" w:color="auto"/>
              <w:bottom w:val="outset" w:sz="4" w:space="0" w:color="auto"/>
              <w:right w:val="outset" w:sz="4" w:space="0" w:color="auto"/>
            </w:tcBorders>
            <w:vAlign w:val="center"/>
          </w:tcPr>
          <w:p w14:paraId="61BC8B04" w14:textId="77777777" w:rsidR="00577D08" w:rsidRDefault="00330FC0">
            <w:pPr>
              <w:ind w:firstLineChars="100" w:firstLine="210"/>
            </w:pPr>
            <w:r>
              <w:rPr>
                <w:rFonts w:hint="eastAsia"/>
              </w:rPr>
              <w:t>支付的各项税费</w:t>
            </w:r>
          </w:p>
        </w:tc>
        <w:tc>
          <w:tcPr>
            <w:tcW w:w="1569" w:type="dxa"/>
            <w:tcBorders>
              <w:top w:val="outset" w:sz="4" w:space="0" w:color="auto"/>
              <w:left w:val="outset" w:sz="4" w:space="0" w:color="auto"/>
              <w:bottom w:val="outset" w:sz="4" w:space="0" w:color="auto"/>
              <w:right w:val="outset" w:sz="4" w:space="0" w:color="auto"/>
            </w:tcBorders>
            <w:vAlign w:val="center"/>
          </w:tcPr>
          <w:p w14:paraId="192DFCB6"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144486F2" w14:textId="77777777" w:rsidR="00577D08" w:rsidRDefault="00330FC0">
            <w:pPr>
              <w:jc w:val="right"/>
            </w:pPr>
            <w:r>
              <w:t xml:space="preserve"> 42,225,503.44 </w:t>
            </w:r>
          </w:p>
        </w:tc>
        <w:tc>
          <w:tcPr>
            <w:tcW w:w="2164" w:type="dxa"/>
            <w:tcBorders>
              <w:top w:val="outset" w:sz="4" w:space="0" w:color="auto"/>
              <w:left w:val="outset" w:sz="4" w:space="0" w:color="auto"/>
              <w:bottom w:val="outset" w:sz="4" w:space="0" w:color="auto"/>
              <w:right w:val="outset" w:sz="4" w:space="0" w:color="auto"/>
            </w:tcBorders>
            <w:vAlign w:val="center"/>
          </w:tcPr>
          <w:p w14:paraId="23F9A791" w14:textId="77777777" w:rsidR="00577D08" w:rsidRDefault="00330FC0">
            <w:pPr>
              <w:jc w:val="right"/>
            </w:pPr>
            <w:r>
              <w:t>27,017,155.65</w:t>
            </w:r>
          </w:p>
        </w:tc>
      </w:tr>
      <w:tr w:rsidR="00577D08" w14:paraId="13E33392" w14:textId="77777777">
        <w:tc>
          <w:tcPr>
            <w:tcW w:w="3145" w:type="dxa"/>
            <w:tcBorders>
              <w:top w:val="outset" w:sz="4" w:space="0" w:color="auto"/>
              <w:left w:val="outset" w:sz="4" w:space="0" w:color="auto"/>
              <w:bottom w:val="outset" w:sz="4" w:space="0" w:color="auto"/>
              <w:right w:val="outset" w:sz="4" w:space="0" w:color="auto"/>
            </w:tcBorders>
            <w:vAlign w:val="center"/>
          </w:tcPr>
          <w:p w14:paraId="3B883B38" w14:textId="77777777" w:rsidR="00577D08" w:rsidRDefault="00330FC0">
            <w:pPr>
              <w:ind w:firstLineChars="100" w:firstLine="210"/>
            </w:pPr>
            <w:r>
              <w:rPr>
                <w:rFonts w:hint="eastAsia"/>
              </w:rPr>
              <w:t>支付其他与经营活动有关的现金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7454AC6E"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F67F709" w14:textId="77777777" w:rsidR="00577D08" w:rsidRDefault="00330FC0">
            <w:pPr>
              <w:jc w:val="right"/>
            </w:pPr>
            <w:r>
              <w:t xml:space="preserve"> 525,426,369.18 </w:t>
            </w:r>
          </w:p>
        </w:tc>
        <w:tc>
          <w:tcPr>
            <w:tcW w:w="2164" w:type="dxa"/>
            <w:tcBorders>
              <w:top w:val="outset" w:sz="4" w:space="0" w:color="auto"/>
              <w:left w:val="outset" w:sz="4" w:space="0" w:color="auto"/>
              <w:bottom w:val="outset" w:sz="4" w:space="0" w:color="auto"/>
              <w:right w:val="outset" w:sz="4" w:space="0" w:color="auto"/>
            </w:tcBorders>
            <w:vAlign w:val="center"/>
          </w:tcPr>
          <w:p w14:paraId="027D16E0" w14:textId="77777777" w:rsidR="00577D08" w:rsidRDefault="00330FC0">
            <w:pPr>
              <w:jc w:val="right"/>
            </w:pPr>
            <w:r>
              <w:t>341,057,999.37</w:t>
            </w:r>
          </w:p>
        </w:tc>
      </w:tr>
      <w:tr w:rsidR="00577D08" w14:paraId="390EAE1B" w14:textId="77777777">
        <w:tc>
          <w:tcPr>
            <w:tcW w:w="3145" w:type="dxa"/>
            <w:tcBorders>
              <w:top w:val="outset" w:sz="4" w:space="0" w:color="auto"/>
              <w:left w:val="outset" w:sz="4" w:space="0" w:color="auto"/>
              <w:bottom w:val="outset" w:sz="4" w:space="0" w:color="auto"/>
              <w:right w:val="outset" w:sz="4" w:space="0" w:color="auto"/>
            </w:tcBorders>
            <w:vAlign w:val="center"/>
          </w:tcPr>
          <w:p w14:paraId="0E3E1141" w14:textId="77777777" w:rsidR="00577D08" w:rsidRDefault="00330FC0">
            <w:pPr>
              <w:ind w:firstLineChars="200" w:firstLine="420"/>
              <w:rPr>
                <w:color w:val="000000"/>
              </w:rPr>
            </w:pPr>
            <w:r>
              <w:rPr>
                <w:rFonts w:hint="eastAsia"/>
              </w:rPr>
              <w:t>经营活动现金流出小计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7E28B158"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A2868CA" w14:textId="77777777" w:rsidR="00577D08" w:rsidRDefault="00330FC0">
            <w:pPr>
              <w:jc w:val="right"/>
            </w:pPr>
            <w:r>
              <w:t xml:space="preserve"> 1,967,502,631.78 </w:t>
            </w:r>
          </w:p>
        </w:tc>
        <w:tc>
          <w:tcPr>
            <w:tcW w:w="2164" w:type="dxa"/>
            <w:tcBorders>
              <w:top w:val="outset" w:sz="4" w:space="0" w:color="auto"/>
              <w:left w:val="outset" w:sz="4" w:space="0" w:color="auto"/>
              <w:bottom w:val="outset" w:sz="4" w:space="0" w:color="auto"/>
              <w:right w:val="outset" w:sz="4" w:space="0" w:color="auto"/>
            </w:tcBorders>
            <w:vAlign w:val="center"/>
          </w:tcPr>
          <w:p w14:paraId="7B48F5E8" w14:textId="77777777" w:rsidR="00577D08" w:rsidRDefault="00330FC0">
            <w:pPr>
              <w:jc w:val="right"/>
            </w:pPr>
            <w:r>
              <w:t>2,207,635,799.07</w:t>
            </w:r>
          </w:p>
        </w:tc>
      </w:tr>
      <w:tr w:rsidR="00577D08" w14:paraId="0CC99DBD" w14:textId="77777777">
        <w:tc>
          <w:tcPr>
            <w:tcW w:w="3145" w:type="dxa"/>
            <w:tcBorders>
              <w:top w:val="outset" w:sz="4" w:space="0" w:color="auto"/>
              <w:left w:val="outset" w:sz="4" w:space="0" w:color="auto"/>
              <w:bottom w:val="outset" w:sz="4" w:space="0" w:color="auto"/>
              <w:right w:val="outset" w:sz="4" w:space="0" w:color="auto"/>
            </w:tcBorders>
            <w:vAlign w:val="center"/>
          </w:tcPr>
          <w:p w14:paraId="033A2026" w14:textId="77777777" w:rsidR="00577D08" w:rsidRDefault="00330FC0">
            <w:pPr>
              <w:ind w:firstLineChars="100" w:firstLine="210"/>
              <w:rPr>
                <w:color w:val="000000"/>
              </w:rPr>
            </w:pPr>
            <w:r>
              <w:rPr>
                <w:rFonts w:hint="eastAsia"/>
              </w:rPr>
              <w:t>经营活动产生的现金流量净额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67EFF937"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C38A1A6" w14:textId="77777777" w:rsidR="00577D08" w:rsidRDefault="00330FC0">
            <w:pPr>
              <w:jc w:val="right"/>
            </w:pPr>
            <w:r>
              <w:t xml:space="preserve"> 256,332,470.96 </w:t>
            </w:r>
          </w:p>
        </w:tc>
        <w:tc>
          <w:tcPr>
            <w:tcW w:w="2164" w:type="dxa"/>
            <w:tcBorders>
              <w:top w:val="outset" w:sz="4" w:space="0" w:color="auto"/>
              <w:left w:val="outset" w:sz="4" w:space="0" w:color="auto"/>
              <w:bottom w:val="outset" w:sz="4" w:space="0" w:color="auto"/>
              <w:right w:val="outset" w:sz="4" w:space="0" w:color="auto"/>
            </w:tcBorders>
            <w:vAlign w:val="center"/>
          </w:tcPr>
          <w:p w14:paraId="239E5903" w14:textId="77777777" w:rsidR="00577D08" w:rsidRDefault="00330FC0">
            <w:pPr>
              <w:jc w:val="right"/>
            </w:pPr>
            <w:r>
              <w:t>242,667,822.13</w:t>
            </w:r>
          </w:p>
        </w:tc>
      </w:tr>
      <w:tr w:rsidR="00577D08" w14:paraId="13DC3CDE" w14:textId="77777777">
        <w:sdt>
          <w:sdtPr>
            <w:tag w:val="_PLD_ea89a8f6b76943769d484d535b94417c"/>
            <w:id w:val="-393428458"/>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2DB50060" w14:textId="77777777" w:rsidR="00577D08" w:rsidRDefault="00330FC0">
                <w:pPr>
                  <w:rPr>
                    <w:color w:val="008000"/>
                  </w:rPr>
                </w:pPr>
                <w:r>
                  <w:rPr>
                    <w:rFonts w:hint="eastAsia"/>
                    <w:b/>
                    <w:bCs/>
                  </w:rPr>
                  <w:t>二、投资活动产生的现金流量：</w:t>
                </w:r>
              </w:p>
            </w:tc>
          </w:sdtContent>
        </w:sdt>
      </w:tr>
      <w:tr w:rsidR="00577D08" w14:paraId="4C778C88" w14:textId="77777777">
        <w:tc>
          <w:tcPr>
            <w:tcW w:w="3145" w:type="dxa"/>
            <w:tcBorders>
              <w:top w:val="outset" w:sz="4" w:space="0" w:color="auto"/>
              <w:left w:val="outset" w:sz="4" w:space="0" w:color="auto"/>
              <w:bottom w:val="outset" w:sz="4" w:space="0" w:color="auto"/>
              <w:right w:val="outset" w:sz="4" w:space="0" w:color="auto"/>
            </w:tcBorders>
            <w:vAlign w:val="center"/>
          </w:tcPr>
          <w:p w14:paraId="0317C9E6" w14:textId="77777777" w:rsidR="00577D08" w:rsidRDefault="00330FC0">
            <w:pPr>
              <w:ind w:firstLineChars="100" w:firstLine="210"/>
            </w:pPr>
            <w:r>
              <w:rPr>
                <w:rFonts w:hint="eastAsia"/>
              </w:rPr>
              <w:t>收回投资收到的现金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42A92757"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E570394" w14:textId="77777777" w:rsidR="00577D08" w:rsidRDefault="00330FC0">
            <w:pPr>
              <w:jc w:val="right"/>
            </w:pPr>
            <w:r>
              <w:t xml:space="preserve"> 33,297,500.00 </w:t>
            </w:r>
          </w:p>
        </w:tc>
        <w:tc>
          <w:tcPr>
            <w:tcW w:w="2164" w:type="dxa"/>
            <w:tcBorders>
              <w:top w:val="outset" w:sz="4" w:space="0" w:color="auto"/>
              <w:left w:val="outset" w:sz="4" w:space="0" w:color="auto"/>
              <w:bottom w:val="outset" w:sz="4" w:space="0" w:color="auto"/>
              <w:right w:val="outset" w:sz="4" w:space="0" w:color="auto"/>
            </w:tcBorders>
            <w:vAlign w:val="center"/>
          </w:tcPr>
          <w:p w14:paraId="1B3146D8" w14:textId="77777777" w:rsidR="00577D08" w:rsidRDefault="00330FC0">
            <w:pPr>
              <w:jc w:val="right"/>
            </w:pPr>
            <w:r>
              <w:t>75,138,299.26</w:t>
            </w:r>
          </w:p>
        </w:tc>
      </w:tr>
      <w:tr w:rsidR="00577D08" w14:paraId="558B0853" w14:textId="77777777">
        <w:tc>
          <w:tcPr>
            <w:tcW w:w="3145" w:type="dxa"/>
            <w:tcBorders>
              <w:top w:val="outset" w:sz="4" w:space="0" w:color="auto"/>
              <w:left w:val="outset" w:sz="4" w:space="0" w:color="auto"/>
              <w:bottom w:val="outset" w:sz="4" w:space="0" w:color="auto"/>
              <w:right w:val="outset" w:sz="4" w:space="0" w:color="auto"/>
            </w:tcBorders>
            <w:vAlign w:val="center"/>
          </w:tcPr>
          <w:p w14:paraId="215722DD" w14:textId="77777777" w:rsidR="00577D08" w:rsidRDefault="00330FC0">
            <w:pPr>
              <w:ind w:firstLineChars="100" w:firstLine="210"/>
            </w:pPr>
            <w:r>
              <w:rPr>
                <w:rFonts w:hint="eastAsia"/>
              </w:rPr>
              <w:t>取得投资收益收到的现金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26E12984"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27026D65" w14:textId="77777777" w:rsidR="00577D08" w:rsidRDefault="00330FC0">
            <w:pPr>
              <w:jc w:val="right"/>
            </w:pPr>
            <w: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232B7743" w14:textId="77777777" w:rsidR="00577D08" w:rsidRDefault="00330FC0">
            <w:pPr>
              <w:jc w:val="right"/>
            </w:pPr>
            <w:r>
              <w:t>7,198,340.11</w:t>
            </w:r>
          </w:p>
        </w:tc>
      </w:tr>
      <w:tr w:rsidR="00577D08" w14:paraId="577EC3FF" w14:textId="77777777">
        <w:tc>
          <w:tcPr>
            <w:tcW w:w="3145" w:type="dxa"/>
            <w:tcBorders>
              <w:top w:val="outset" w:sz="4" w:space="0" w:color="auto"/>
              <w:left w:val="outset" w:sz="4" w:space="0" w:color="auto"/>
              <w:bottom w:val="outset" w:sz="4" w:space="0" w:color="auto"/>
              <w:right w:val="outset" w:sz="4" w:space="0" w:color="auto"/>
            </w:tcBorders>
            <w:vAlign w:val="center"/>
          </w:tcPr>
          <w:p w14:paraId="51CB40D4" w14:textId="77777777" w:rsidR="00577D08" w:rsidRDefault="00330FC0">
            <w:pPr>
              <w:ind w:firstLineChars="100" w:firstLine="210"/>
            </w:pPr>
            <w:r>
              <w:rPr>
                <w:rFonts w:hint="eastAsia"/>
              </w:rPr>
              <w:t>处置固定资产、无形资产和其他长期资产收回的现金净额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7D82D556"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1F3F39A8" w14:textId="77777777" w:rsidR="00577D08" w:rsidRDefault="00330FC0">
            <w:pPr>
              <w:jc w:val="right"/>
            </w:pPr>
            <w:r>
              <w:t xml:space="preserve"> 27,558.42 </w:t>
            </w:r>
          </w:p>
        </w:tc>
        <w:tc>
          <w:tcPr>
            <w:tcW w:w="2164" w:type="dxa"/>
            <w:tcBorders>
              <w:top w:val="outset" w:sz="4" w:space="0" w:color="auto"/>
              <w:left w:val="outset" w:sz="4" w:space="0" w:color="auto"/>
              <w:bottom w:val="outset" w:sz="4" w:space="0" w:color="auto"/>
              <w:right w:val="outset" w:sz="4" w:space="0" w:color="auto"/>
            </w:tcBorders>
            <w:vAlign w:val="center"/>
          </w:tcPr>
          <w:p w14:paraId="5793ADC8" w14:textId="77777777" w:rsidR="00577D08" w:rsidRDefault="00330FC0">
            <w:pPr>
              <w:jc w:val="right"/>
            </w:pPr>
            <w:r>
              <w:t>2,717,373.59</w:t>
            </w:r>
          </w:p>
        </w:tc>
      </w:tr>
      <w:tr w:rsidR="00577D08" w14:paraId="2D8373FD" w14:textId="77777777">
        <w:tc>
          <w:tcPr>
            <w:tcW w:w="3145" w:type="dxa"/>
            <w:tcBorders>
              <w:top w:val="outset" w:sz="4" w:space="0" w:color="auto"/>
              <w:left w:val="outset" w:sz="4" w:space="0" w:color="auto"/>
              <w:bottom w:val="outset" w:sz="4" w:space="0" w:color="auto"/>
              <w:right w:val="outset" w:sz="4" w:space="0" w:color="auto"/>
            </w:tcBorders>
            <w:vAlign w:val="center"/>
          </w:tcPr>
          <w:p w14:paraId="3531EE85" w14:textId="77777777" w:rsidR="00577D08" w:rsidRDefault="00330FC0">
            <w:pPr>
              <w:ind w:firstLineChars="100" w:firstLine="210"/>
            </w:pPr>
            <w:r>
              <w:rPr>
                <w:rFonts w:hint="eastAsia"/>
              </w:rPr>
              <w:t>处置子公司及其他营业单位收到的现金净额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579838D6"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05C93F64" w14:textId="77777777" w:rsidR="00577D08" w:rsidRDefault="00330FC0">
            <w:pPr>
              <w:jc w:val="right"/>
            </w:pPr>
            <w: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1491840C" w14:textId="77777777" w:rsidR="00577D08" w:rsidRDefault="00577D08">
            <w:pPr>
              <w:jc w:val="right"/>
            </w:pPr>
          </w:p>
        </w:tc>
      </w:tr>
      <w:tr w:rsidR="00577D08" w14:paraId="2B5FE003" w14:textId="77777777">
        <w:tc>
          <w:tcPr>
            <w:tcW w:w="3145" w:type="dxa"/>
            <w:tcBorders>
              <w:top w:val="outset" w:sz="4" w:space="0" w:color="auto"/>
              <w:left w:val="outset" w:sz="4" w:space="0" w:color="auto"/>
              <w:bottom w:val="outset" w:sz="4" w:space="0" w:color="auto"/>
              <w:right w:val="outset" w:sz="4" w:space="0" w:color="auto"/>
            </w:tcBorders>
            <w:vAlign w:val="center"/>
          </w:tcPr>
          <w:p w14:paraId="27056A28" w14:textId="77777777" w:rsidR="00577D08" w:rsidRDefault="00330FC0">
            <w:pPr>
              <w:ind w:firstLineChars="100" w:firstLine="210"/>
            </w:pPr>
            <w:r>
              <w:rPr>
                <w:rFonts w:hint="eastAsia"/>
              </w:rPr>
              <w:t>收到其他与投资活动有关的现金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15C651AE"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4384F2F" w14:textId="77777777" w:rsidR="00577D08" w:rsidRDefault="00330FC0">
            <w:pPr>
              <w:jc w:val="right"/>
            </w:pPr>
            <w:r>
              <w:t xml:space="preserve"> 297,024,516.66 </w:t>
            </w:r>
          </w:p>
        </w:tc>
        <w:tc>
          <w:tcPr>
            <w:tcW w:w="2164" w:type="dxa"/>
            <w:tcBorders>
              <w:top w:val="outset" w:sz="4" w:space="0" w:color="auto"/>
              <w:left w:val="outset" w:sz="4" w:space="0" w:color="auto"/>
              <w:bottom w:val="outset" w:sz="4" w:space="0" w:color="auto"/>
              <w:right w:val="outset" w:sz="4" w:space="0" w:color="auto"/>
            </w:tcBorders>
            <w:vAlign w:val="center"/>
          </w:tcPr>
          <w:p w14:paraId="2F42A926" w14:textId="77777777" w:rsidR="00577D08" w:rsidRDefault="00330FC0">
            <w:pPr>
              <w:jc w:val="right"/>
            </w:pPr>
            <w:r>
              <w:t>59,262,674.68</w:t>
            </w:r>
          </w:p>
        </w:tc>
      </w:tr>
      <w:tr w:rsidR="00577D08" w14:paraId="265EE488" w14:textId="77777777">
        <w:tc>
          <w:tcPr>
            <w:tcW w:w="3145" w:type="dxa"/>
            <w:tcBorders>
              <w:top w:val="outset" w:sz="4" w:space="0" w:color="auto"/>
              <w:left w:val="outset" w:sz="4" w:space="0" w:color="auto"/>
              <w:bottom w:val="outset" w:sz="4" w:space="0" w:color="auto"/>
              <w:right w:val="outset" w:sz="4" w:space="0" w:color="auto"/>
            </w:tcBorders>
            <w:vAlign w:val="center"/>
          </w:tcPr>
          <w:p w14:paraId="18219854" w14:textId="77777777" w:rsidR="00577D08" w:rsidRDefault="00330FC0">
            <w:pPr>
              <w:ind w:firstLineChars="200" w:firstLine="420"/>
              <w:rPr>
                <w:color w:val="000000"/>
              </w:rPr>
            </w:pPr>
            <w:r>
              <w:rPr>
                <w:rFonts w:hint="eastAsia"/>
              </w:rPr>
              <w:t>投资活动现金流入小计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5BDD7BB2"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5ADF49CF" w14:textId="77777777" w:rsidR="00577D08" w:rsidRDefault="00330FC0">
            <w:pPr>
              <w:jc w:val="right"/>
            </w:pPr>
            <w:r>
              <w:t xml:space="preserve"> 330,349,575.08 </w:t>
            </w:r>
          </w:p>
        </w:tc>
        <w:tc>
          <w:tcPr>
            <w:tcW w:w="2164" w:type="dxa"/>
            <w:tcBorders>
              <w:top w:val="outset" w:sz="4" w:space="0" w:color="auto"/>
              <w:left w:val="outset" w:sz="4" w:space="0" w:color="auto"/>
              <w:bottom w:val="outset" w:sz="4" w:space="0" w:color="auto"/>
              <w:right w:val="outset" w:sz="4" w:space="0" w:color="auto"/>
            </w:tcBorders>
            <w:vAlign w:val="center"/>
          </w:tcPr>
          <w:p w14:paraId="431F647D" w14:textId="77777777" w:rsidR="00577D08" w:rsidRDefault="00330FC0">
            <w:pPr>
              <w:jc w:val="right"/>
            </w:pPr>
            <w:r>
              <w:t>144,316,687.64</w:t>
            </w:r>
          </w:p>
        </w:tc>
      </w:tr>
      <w:tr w:rsidR="00577D08" w14:paraId="0EDA6E27" w14:textId="77777777">
        <w:tc>
          <w:tcPr>
            <w:tcW w:w="3145" w:type="dxa"/>
            <w:tcBorders>
              <w:top w:val="outset" w:sz="4" w:space="0" w:color="auto"/>
              <w:left w:val="outset" w:sz="4" w:space="0" w:color="auto"/>
              <w:bottom w:val="outset" w:sz="4" w:space="0" w:color="auto"/>
              <w:right w:val="outset" w:sz="4" w:space="0" w:color="auto"/>
            </w:tcBorders>
            <w:vAlign w:val="center"/>
          </w:tcPr>
          <w:p w14:paraId="2171F612" w14:textId="77777777" w:rsidR="00577D08" w:rsidRDefault="00330FC0">
            <w:pPr>
              <w:ind w:firstLineChars="100" w:firstLine="210"/>
            </w:pPr>
            <w:r>
              <w:rPr>
                <w:rFonts w:hint="eastAsia"/>
              </w:rPr>
              <w:t>购建固定资产、无形资产和其他长期资产支付的现金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2BF9E103"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2C3A0D14" w14:textId="77777777" w:rsidR="00577D08" w:rsidRDefault="00330FC0">
            <w:pPr>
              <w:jc w:val="right"/>
            </w:pPr>
            <w:r>
              <w:t xml:space="preserve"> 84,396,604.25 </w:t>
            </w:r>
          </w:p>
        </w:tc>
        <w:tc>
          <w:tcPr>
            <w:tcW w:w="2164" w:type="dxa"/>
            <w:tcBorders>
              <w:top w:val="outset" w:sz="4" w:space="0" w:color="auto"/>
              <w:left w:val="outset" w:sz="4" w:space="0" w:color="auto"/>
              <w:bottom w:val="outset" w:sz="4" w:space="0" w:color="auto"/>
              <w:right w:val="outset" w:sz="4" w:space="0" w:color="auto"/>
            </w:tcBorders>
            <w:vAlign w:val="center"/>
          </w:tcPr>
          <w:p w14:paraId="4A147BB3" w14:textId="77777777" w:rsidR="00577D08" w:rsidRDefault="00330FC0">
            <w:pPr>
              <w:jc w:val="right"/>
            </w:pPr>
            <w:r>
              <w:t>220,344,747.45</w:t>
            </w:r>
          </w:p>
        </w:tc>
      </w:tr>
      <w:tr w:rsidR="00577D08" w14:paraId="379C3897" w14:textId="77777777">
        <w:tc>
          <w:tcPr>
            <w:tcW w:w="3145" w:type="dxa"/>
            <w:tcBorders>
              <w:top w:val="outset" w:sz="4" w:space="0" w:color="auto"/>
              <w:left w:val="outset" w:sz="4" w:space="0" w:color="auto"/>
              <w:bottom w:val="outset" w:sz="4" w:space="0" w:color="auto"/>
              <w:right w:val="outset" w:sz="4" w:space="0" w:color="auto"/>
            </w:tcBorders>
            <w:vAlign w:val="center"/>
          </w:tcPr>
          <w:p w14:paraId="6CC085C3" w14:textId="77777777" w:rsidR="00577D08" w:rsidRDefault="00330FC0">
            <w:pPr>
              <w:ind w:firstLineChars="100" w:firstLine="210"/>
            </w:pPr>
            <w:r>
              <w:rPr>
                <w:rFonts w:hint="eastAsia"/>
              </w:rPr>
              <w:t>投资支付的现金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30D88180"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CECE87C" w14:textId="77777777" w:rsidR="00577D08" w:rsidRDefault="00330FC0">
            <w:pPr>
              <w:jc w:val="right"/>
            </w:pPr>
            <w:r>
              <w:t xml:space="preserve"> 189,713,100.00 </w:t>
            </w:r>
          </w:p>
        </w:tc>
        <w:tc>
          <w:tcPr>
            <w:tcW w:w="2164" w:type="dxa"/>
            <w:tcBorders>
              <w:top w:val="outset" w:sz="4" w:space="0" w:color="auto"/>
              <w:left w:val="outset" w:sz="4" w:space="0" w:color="auto"/>
              <w:bottom w:val="outset" w:sz="4" w:space="0" w:color="auto"/>
              <w:right w:val="outset" w:sz="4" w:space="0" w:color="auto"/>
            </w:tcBorders>
            <w:vAlign w:val="center"/>
          </w:tcPr>
          <w:p w14:paraId="279FC6D9" w14:textId="77777777" w:rsidR="00577D08" w:rsidRDefault="00330FC0">
            <w:pPr>
              <w:jc w:val="right"/>
            </w:pPr>
            <w:r>
              <w:t>659,816,869.00</w:t>
            </w:r>
          </w:p>
        </w:tc>
      </w:tr>
      <w:tr w:rsidR="00577D08" w14:paraId="0D7DB636" w14:textId="77777777">
        <w:tc>
          <w:tcPr>
            <w:tcW w:w="3145" w:type="dxa"/>
            <w:tcBorders>
              <w:top w:val="outset" w:sz="4" w:space="0" w:color="auto"/>
              <w:left w:val="outset" w:sz="4" w:space="0" w:color="auto"/>
              <w:bottom w:val="outset" w:sz="4" w:space="0" w:color="auto"/>
              <w:right w:val="outset" w:sz="4" w:space="0" w:color="auto"/>
            </w:tcBorders>
            <w:vAlign w:val="center"/>
          </w:tcPr>
          <w:p w14:paraId="7F33D6D0" w14:textId="77777777" w:rsidR="00577D08" w:rsidRDefault="00330FC0">
            <w:pPr>
              <w:ind w:firstLineChars="100" w:firstLine="210"/>
            </w:pPr>
            <w:r>
              <w:rPr>
                <w:rFonts w:hint="eastAsia"/>
              </w:rPr>
              <w:t>取得子公司及其他营业单位支付的现金净额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02C4E13A"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560124B1" w14:textId="77777777" w:rsidR="00577D08" w:rsidRDefault="00330FC0">
            <w:pPr>
              <w:jc w:val="right"/>
            </w:pPr>
            <w:r>
              <w:t xml:space="preserve">  </w:t>
            </w:r>
          </w:p>
        </w:tc>
        <w:tc>
          <w:tcPr>
            <w:tcW w:w="2164" w:type="dxa"/>
            <w:tcBorders>
              <w:top w:val="outset" w:sz="4" w:space="0" w:color="auto"/>
              <w:left w:val="outset" w:sz="4" w:space="0" w:color="auto"/>
              <w:bottom w:val="outset" w:sz="4" w:space="0" w:color="auto"/>
              <w:right w:val="outset" w:sz="4" w:space="0" w:color="auto"/>
            </w:tcBorders>
            <w:vAlign w:val="center"/>
          </w:tcPr>
          <w:p w14:paraId="04E9841B" w14:textId="77777777" w:rsidR="00577D08" w:rsidRDefault="00577D08">
            <w:pPr>
              <w:jc w:val="right"/>
            </w:pPr>
          </w:p>
        </w:tc>
      </w:tr>
      <w:tr w:rsidR="00577D08" w14:paraId="1696BD17" w14:textId="77777777">
        <w:tc>
          <w:tcPr>
            <w:tcW w:w="3145" w:type="dxa"/>
            <w:tcBorders>
              <w:top w:val="outset" w:sz="4" w:space="0" w:color="auto"/>
              <w:left w:val="outset" w:sz="4" w:space="0" w:color="auto"/>
              <w:bottom w:val="outset" w:sz="4" w:space="0" w:color="auto"/>
              <w:right w:val="outset" w:sz="4" w:space="0" w:color="auto"/>
            </w:tcBorders>
            <w:vAlign w:val="center"/>
          </w:tcPr>
          <w:p w14:paraId="2AC3E426" w14:textId="77777777" w:rsidR="00577D08" w:rsidRDefault="00330FC0">
            <w:pPr>
              <w:ind w:firstLineChars="100" w:firstLine="210"/>
            </w:pPr>
            <w:r>
              <w:rPr>
                <w:rFonts w:hint="eastAsia"/>
              </w:rPr>
              <w:t>支付其他与投资活动有关的现金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381457ED"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F7DFBEE" w14:textId="77777777" w:rsidR="00577D08" w:rsidRDefault="00330FC0">
            <w:pPr>
              <w:jc w:val="right"/>
            </w:pPr>
            <w:r>
              <w:t xml:space="preserve"> 328,351,200.00 </w:t>
            </w:r>
          </w:p>
        </w:tc>
        <w:tc>
          <w:tcPr>
            <w:tcW w:w="2164" w:type="dxa"/>
            <w:tcBorders>
              <w:top w:val="outset" w:sz="4" w:space="0" w:color="auto"/>
              <w:left w:val="outset" w:sz="4" w:space="0" w:color="auto"/>
              <w:bottom w:val="outset" w:sz="4" w:space="0" w:color="auto"/>
              <w:right w:val="outset" w:sz="4" w:space="0" w:color="auto"/>
            </w:tcBorders>
            <w:vAlign w:val="center"/>
          </w:tcPr>
          <w:p w14:paraId="1F36DBB0" w14:textId="77777777" w:rsidR="00577D08" w:rsidRDefault="00330FC0">
            <w:pPr>
              <w:jc w:val="right"/>
            </w:pPr>
            <w:r>
              <w:t>283,000,000.00</w:t>
            </w:r>
          </w:p>
        </w:tc>
      </w:tr>
      <w:tr w:rsidR="00577D08" w14:paraId="625733D4" w14:textId="77777777">
        <w:tc>
          <w:tcPr>
            <w:tcW w:w="3145" w:type="dxa"/>
            <w:tcBorders>
              <w:top w:val="outset" w:sz="4" w:space="0" w:color="auto"/>
              <w:left w:val="outset" w:sz="4" w:space="0" w:color="auto"/>
              <w:bottom w:val="outset" w:sz="4" w:space="0" w:color="auto"/>
              <w:right w:val="outset" w:sz="4" w:space="0" w:color="auto"/>
            </w:tcBorders>
            <w:vAlign w:val="center"/>
          </w:tcPr>
          <w:p w14:paraId="2FE0E024" w14:textId="77777777" w:rsidR="00577D08" w:rsidRDefault="00330FC0">
            <w:pPr>
              <w:ind w:firstLineChars="200" w:firstLine="420"/>
              <w:rPr>
                <w:color w:val="000000"/>
              </w:rPr>
            </w:pPr>
            <w:r>
              <w:rPr>
                <w:rFonts w:hint="eastAsia"/>
              </w:rPr>
              <w:t>投资活动现金流出小计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6103952D"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17EBFDB" w14:textId="77777777" w:rsidR="00577D08" w:rsidRDefault="00330FC0">
            <w:pPr>
              <w:jc w:val="right"/>
            </w:pPr>
            <w:r>
              <w:t xml:space="preserve"> 602,460,904.25 </w:t>
            </w:r>
          </w:p>
        </w:tc>
        <w:tc>
          <w:tcPr>
            <w:tcW w:w="2164" w:type="dxa"/>
            <w:tcBorders>
              <w:top w:val="outset" w:sz="4" w:space="0" w:color="auto"/>
              <w:left w:val="outset" w:sz="4" w:space="0" w:color="auto"/>
              <w:bottom w:val="outset" w:sz="4" w:space="0" w:color="auto"/>
              <w:right w:val="outset" w:sz="4" w:space="0" w:color="auto"/>
            </w:tcBorders>
            <w:vAlign w:val="center"/>
          </w:tcPr>
          <w:p w14:paraId="56930C99" w14:textId="77777777" w:rsidR="00577D08" w:rsidRDefault="00330FC0">
            <w:pPr>
              <w:jc w:val="right"/>
            </w:pPr>
            <w:r>
              <w:t>1,163,161,616.45</w:t>
            </w:r>
          </w:p>
        </w:tc>
      </w:tr>
      <w:tr w:rsidR="00577D08" w14:paraId="54EE4C80" w14:textId="77777777">
        <w:tc>
          <w:tcPr>
            <w:tcW w:w="3145" w:type="dxa"/>
            <w:tcBorders>
              <w:top w:val="outset" w:sz="4" w:space="0" w:color="auto"/>
              <w:left w:val="outset" w:sz="4" w:space="0" w:color="auto"/>
              <w:bottom w:val="outset" w:sz="4" w:space="0" w:color="auto"/>
              <w:right w:val="outset" w:sz="4" w:space="0" w:color="auto"/>
            </w:tcBorders>
            <w:vAlign w:val="center"/>
          </w:tcPr>
          <w:p w14:paraId="466C3B95" w14:textId="77777777" w:rsidR="00577D08" w:rsidRDefault="00330FC0">
            <w:pPr>
              <w:ind w:firstLineChars="300" w:firstLine="630"/>
              <w:rPr>
                <w:color w:val="000000"/>
              </w:rPr>
            </w:pPr>
            <w:r>
              <w:rPr>
                <w:rFonts w:hint="eastAsia"/>
              </w:rPr>
              <w:t>投资活动产生的现金流量净额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4136AEBA"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9D9E91D" w14:textId="77777777" w:rsidR="00577D08" w:rsidRDefault="00330FC0">
            <w:pPr>
              <w:jc w:val="right"/>
            </w:pPr>
            <w:r>
              <w:t xml:space="preserve"> -272,111,329.17 </w:t>
            </w:r>
          </w:p>
        </w:tc>
        <w:tc>
          <w:tcPr>
            <w:tcW w:w="2164" w:type="dxa"/>
            <w:tcBorders>
              <w:top w:val="outset" w:sz="4" w:space="0" w:color="auto"/>
              <w:left w:val="outset" w:sz="4" w:space="0" w:color="auto"/>
              <w:bottom w:val="outset" w:sz="4" w:space="0" w:color="auto"/>
              <w:right w:val="outset" w:sz="4" w:space="0" w:color="auto"/>
            </w:tcBorders>
            <w:vAlign w:val="center"/>
          </w:tcPr>
          <w:p w14:paraId="67D0EBAD" w14:textId="77777777" w:rsidR="00577D08" w:rsidRDefault="00330FC0">
            <w:pPr>
              <w:jc w:val="right"/>
            </w:pPr>
            <w:r>
              <w:t>-1,018,844,928.81</w:t>
            </w:r>
          </w:p>
        </w:tc>
      </w:tr>
      <w:tr w:rsidR="00577D08" w14:paraId="076D576E" w14:textId="77777777">
        <w:sdt>
          <w:sdtPr>
            <w:tag w:val="_PLD_8b6929c78db14ee1bde1ca4b9a47a65c"/>
            <w:id w:val="451908614"/>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54F99F9E" w14:textId="77777777" w:rsidR="00577D08" w:rsidRDefault="00330FC0">
                <w:pPr>
                  <w:rPr>
                    <w:color w:val="008000"/>
                  </w:rPr>
                </w:pPr>
                <w:r>
                  <w:rPr>
                    <w:rFonts w:hint="eastAsia"/>
                    <w:b/>
                    <w:bCs/>
                  </w:rPr>
                  <w:t>三、筹资活动产生的现金流量：</w:t>
                </w:r>
              </w:p>
            </w:tc>
          </w:sdtContent>
        </w:sdt>
      </w:tr>
      <w:tr w:rsidR="00577D08" w14:paraId="38D27B03" w14:textId="77777777">
        <w:tc>
          <w:tcPr>
            <w:tcW w:w="3145" w:type="dxa"/>
            <w:tcBorders>
              <w:top w:val="outset" w:sz="4" w:space="0" w:color="auto"/>
              <w:left w:val="outset" w:sz="4" w:space="0" w:color="auto"/>
              <w:bottom w:val="outset" w:sz="4" w:space="0" w:color="auto"/>
              <w:right w:val="outset" w:sz="4" w:space="0" w:color="auto"/>
            </w:tcBorders>
            <w:vAlign w:val="center"/>
          </w:tcPr>
          <w:p w14:paraId="08BFC113" w14:textId="77777777" w:rsidR="00577D08" w:rsidRDefault="00330FC0">
            <w:pPr>
              <w:ind w:firstLineChars="100" w:firstLine="210"/>
              <w:rPr>
                <w:color w:val="000000"/>
              </w:rPr>
            </w:pPr>
            <w:r>
              <w:rPr>
                <w:rFonts w:hint="eastAsia"/>
              </w:rPr>
              <w:lastRenderedPageBreak/>
              <w:t>吸收投资收到的现金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3F5EAC87"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2E0D7A7B" w14:textId="77777777" w:rsidR="00577D08" w:rsidRDefault="00577D08">
            <w:pPr>
              <w:jc w:val="right"/>
            </w:pPr>
          </w:p>
        </w:tc>
        <w:tc>
          <w:tcPr>
            <w:tcW w:w="2164" w:type="dxa"/>
            <w:tcBorders>
              <w:top w:val="outset" w:sz="4" w:space="0" w:color="auto"/>
              <w:left w:val="outset" w:sz="4" w:space="0" w:color="auto"/>
              <w:bottom w:val="outset" w:sz="4" w:space="0" w:color="auto"/>
              <w:right w:val="outset" w:sz="4" w:space="0" w:color="auto"/>
            </w:tcBorders>
            <w:vAlign w:val="center"/>
          </w:tcPr>
          <w:p w14:paraId="56208671" w14:textId="77777777" w:rsidR="00577D08" w:rsidRDefault="00577D08">
            <w:pPr>
              <w:jc w:val="right"/>
            </w:pPr>
          </w:p>
        </w:tc>
      </w:tr>
      <w:tr w:rsidR="00577D08" w14:paraId="4873D5F0" w14:textId="77777777">
        <w:tc>
          <w:tcPr>
            <w:tcW w:w="3145" w:type="dxa"/>
            <w:tcBorders>
              <w:top w:val="outset" w:sz="4" w:space="0" w:color="auto"/>
              <w:left w:val="outset" w:sz="4" w:space="0" w:color="auto"/>
              <w:bottom w:val="outset" w:sz="4" w:space="0" w:color="auto"/>
              <w:right w:val="outset" w:sz="4" w:space="0" w:color="auto"/>
            </w:tcBorders>
            <w:vAlign w:val="center"/>
          </w:tcPr>
          <w:p w14:paraId="7DC5F362" w14:textId="77777777" w:rsidR="00577D08" w:rsidRDefault="00330FC0">
            <w:pPr>
              <w:ind w:firstLineChars="100" w:firstLine="210"/>
              <w:rPr>
                <w:color w:val="000000"/>
              </w:rPr>
            </w:pPr>
            <w:r>
              <w:rPr>
                <w:rFonts w:hint="eastAsia"/>
              </w:rPr>
              <w:t>取得借款收到的现金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2E16F9E1"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427CE935" w14:textId="77777777" w:rsidR="00577D08" w:rsidRDefault="00330FC0">
            <w:pPr>
              <w:jc w:val="right"/>
            </w:pPr>
            <w:r>
              <w:t xml:space="preserve"> 968,589,187.97 </w:t>
            </w:r>
          </w:p>
        </w:tc>
        <w:tc>
          <w:tcPr>
            <w:tcW w:w="2164" w:type="dxa"/>
            <w:tcBorders>
              <w:top w:val="outset" w:sz="4" w:space="0" w:color="auto"/>
              <w:left w:val="outset" w:sz="4" w:space="0" w:color="auto"/>
              <w:bottom w:val="outset" w:sz="4" w:space="0" w:color="auto"/>
              <w:right w:val="outset" w:sz="4" w:space="0" w:color="auto"/>
            </w:tcBorders>
            <w:vAlign w:val="center"/>
          </w:tcPr>
          <w:p w14:paraId="4D0B6022" w14:textId="77777777" w:rsidR="00577D08" w:rsidRDefault="00330FC0">
            <w:pPr>
              <w:jc w:val="right"/>
            </w:pPr>
            <w:r>
              <w:t>931,585,276.60</w:t>
            </w:r>
          </w:p>
        </w:tc>
      </w:tr>
      <w:tr w:rsidR="00577D08" w14:paraId="713899C3" w14:textId="77777777">
        <w:tc>
          <w:tcPr>
            <w:tcW w:w="3145" w:type="dxa"/>
            <w:tcBorders>
              <w:top w:val="outset" w:sz="4" w:space="0" w:color="auto"/>
              <w:left w:val="outset" w:sz="4" w:space="0" w:color="auto"/>
              <w:bottom w:val="outset" w:sz="4" w:space="0" w:color="auto"/>
              <w:right w:val="outset" w:sz="4" w:space="0" w:color="auto"/>
            </w:tcBorders>
            <w:vAlign w:val="center"/>
          </w:tcPr>
          <w:p w14:paraId="1EE32D02" w14:textId="77777777" w:rsidR="00577D08" w:rsidRDefault="00330FC0">
            <w:pPr>
              <w:ind w:firstLineChars="100" w:firstLine="210"/>
              <w:rPr>
                <w:color w:val="000000"/>
              </w:rPr>
            </w:pPr>
            <w:r>
              <w:rPr>
                <w:rFonts w:hint="eastAsia"/>
              </w:rPr>
              <w:t>收到其他与筹资活动有关的现金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0C4270E2"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BF148B1" w14:textId="77777777" w:rsidR="00577D08" w:rsidRDefault="00330FC0">
            <w:pPr>
              <w:jc w:val="right"/>
            </w:pPr>
            <w:r>
              <w:t xml:space="preserve"> 204,605,200.00 </w:t>
            </w:r>
          </w:p>
        </w:tc>
        <w:tc>
          <w:tcPr>
            <w:tcW w:w="2164" w:type="dxa"/>
            <w:tcBorders>
              <w:top w:val="outset" w:sz="4" w:space="0" w:color="auto"/>
              <w:left w:val="outset" w:sz="4" w:space="0" w:color="auto"/>
              <w:bottom w:val="outset" w:sz="4" w:space="0" w:color="auto"/>
              <w:right w:val="outset" w:sz="4" w:space="0" w:color="auto"/>
            </w:tcBorders>
            <w:vAlign w:val="center"/>
          </w:tcPr>
          <w:p w14:paraId="227EB027" w14:textId="77777777" w:rsidR="00577D08" w:rsidRDefault="00330FC0">
            <w:pPr>
              <w:jc w:val="right"/>
            </w:pPr>
            <w:r>
              <w:t>20,629,500.00</w:t>
            </w:r>
          </w:p>
        </w:tc>
      </w:tr>
      <w:tr w:rsidR="00577D08" w14:paraId="492EA939" w14:textId="77777777">
        <w:tc>
          <w:tcPr>
            <w:tcW w:w="3145" w:type="dxa"/>
            <w:tcBorders>
              <w:top w:val="outset" w:sz="4" w:space="0" w:color="auto"/>
              <w:left w:val="outset" w:sz="4" w:space="0" w:color="auto"/>
              <w:bottom w:val="outset" w:sz="4" w:space="0" w:color="auto"/>
              <w:right w:val="outset" w:sz="4" w:space="0" w:color="auto"/>
            </w:tcBorders>
            <w:vAlign w:val="center"/>
          </w:tcPr>
          <w:p w14:paraId="236FC6A0" w14:textId="77777777" w:rsidR="00577D08" w:rsidRDefault="00330FC0">
            <w:pPr>
              <w:ind w:firstLineChars="200" w:firstLine="420"/>
              <w:rPr>
                <w:color w:val="000000"/>
              </w:rPr>
            </w:pPr>
            <w:r>
              <w:rPr>
                <w:rFonts w:hint="eastAsia"/>
              </w:rPr>
              <w:t>筹资活动现金流入小计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1223BA79"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FB57F55" w14:textId="77777777" w:rsidR="00577D08" w:rsidRDefault="00330FC0">
            <w:pPr>
              <w:jc w:val="right"/>
            </w:pPr>
            <w:r>
              <w:t xml:space="preserve"> 1,173,194,387.97 </w:t>
            </w:r>
          </w:p>
        </w:tc>
        <w:tc>
          <w:tcPr>
            <w:tcW w:w="2164" w:type="dxa"/>
            <w:tcBorders>
              <w:top w:val="outset" w:sz="4" w:space="0" w:color="auto"/>
              <w:left w:val="outset" w:sz="4" w:space="0" w:color="auto"/>
              <w:bottom w:val="outset" w:sz="4" w:space="0" w:color="auto"/>
              <w:right w:val="outset" w:sz="4" w:space="0" w:color="auto"/>
            </w:tcBorders>
            <w:vAlign w:val="center"/>
          </w:tcPr>
          <w:p w14:paraId="70E2D5BD" w14:textId="77777777" w:rsidR="00577D08" w:rsidRDefault="00330FC0">
            <w:pPr>
              <w:tabs>
                <w:tab w:val="center" w:pos="989"/>
                <w:tab w:val="right" w:pos="1979"/>
              </w:tabs>
              <w:jc w:val="right"/>
            </w:pPr>
            <w:r>
              <w:t>952,214,776.60</w:t>
            </w:r>
          </w:p>
        </w:tc>
      </w:tr>
      <w:tr w:rsidR="00577D08" w14:paraId="24CC7F69" w14:textId="77777777">
        <w:tc>
          <w:tcPr>
            <w:tcW w:w="3145" w:type="dxa"/>
            <w:tcBorders>
              <w:top w:val="outset" w:sz="4" w:space="0" w:color="auto"/>
              <w:left w:val="outset" w:sz="4" w:space="0" w:color="auto"/>
              <w:bottom w:val="outset" w:sz="4" w:space="0" w:color="auto"/>
              <w:right w:val="outset" w:sz="4" w:space="0" w:color="auto"/>
            </w:tcBorders>
            <w:vAlign w:val="center"/>
          </w:tcPr>
          <w:p w14:paraId="1E1EC966" w14:textId="77777777" w:rsidR="00577D08" w:rsidRDefault="00330FC0">
            <w:pPr>
              <w:ind w:firstLineChars="100" w:firstLine="210"/>
            </w:pPr>
            <w:r>
              <w:rPr>
                <w:rFonts w:hint="eastAsia"/>
              </w:rPr>
              <w:t>偿还债务支付的现金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1E2111CB"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5B45403" w14:textId="77777777" w:rsidR="00577D08" w:rsidRDefault="00330FC0">
            <w:pPr>
              <w:jc w:val="right"/>
            </w:pPr>
            <w:r>
              <w:t xml:space="preserve"> 979,019,475.05 </w:t>
            </w:r>
          </w:p>
        </w:tc>
        <w:tc>
          <w:tcPr>
            <w:tcW w:w="2164" w:type="dxa"/>
            <w:tcBorders>
              <w:top w:val="outset" w:sz="4" w:space="0" w:color="auto"/>
              <w:left w:val="outset" w:sz="4" w:space="0" w:color="auto"/>
              <w:bottom w:val="outset" w:sz="4" w:space="0" w:color="auto"/>
              <w:right w:val="outset" w:sz="4" w:space="0" w:color="auto"/>
            </w:tcBorders>
            <w:vAlign w:val="center"/>
          </w:tcPr>
          <w:p w14:paraId="2207EAEE" w14:textId="77777777" w:rsidR="00577D08" w:rsidRDefault="00330FC0">
            <w:pPr>
              <w:jc w:val="right"/>
            </w:pPr>
            <w:r>
              <w:t>300,947,532.42</w:t>
            </w:r>
          </w:p>
        </w:tc>
      </w:tr>
      <w:tr w:rsidR="00577D08" w14:paraId="71EACAF8" w14:textId="77777777">
        <w:tc>
          <w:tcPr>
            <w:tcW w:w="3145" w:type="dxa"/>
            <w:tcBorders>
              <w:top w:val="outset" w:sz="4" w:space="0" w:color="auto"/>
              <w:left w:val="outset" w:sz="4" w:space="0" w:color="auto"/>
              <w:bottom w:val="outset" w:sz="4" w:space="0" w:color="auto"/>
              <w:right w:val="outset" w:sz="4" w:space="0" w:color="auto"/>
            </w:tcBorders>
            <w:vAlign w:val="center"/>
          </w:tcPr>
          <w:p w14:paraId="5440958B" w14:textId="77777777" w:rsidR="00577D08" w:rsidRDefault="00330FC0">
            <w:pPr>
              <w:ind w:firstLineChars="100" w:firstLine="210"/>
            </w:pPr>
            <w:r>
              <w:rPr>
                <w:rFonts w:hint="eastAsia"/>
              </w:rPr>
              <w:t>分配股利、利润或偿付利息支付的现金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4CB5CA64"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5223072" w14:textId="77777777" w:rsidR="00577D08" w:rsidRDefault="00330FC0">
            <w:pPr>
              <w:jc w:val="right"/>
            </w:pPr>
            <w:r>
              <w:t xml:space="preserve"> 60,991,931.78 </w:t>
            </w:r>
          </w:p>
        </w:tc>
        <w:tc>
          <w:tcPr>
            <w:tcW w:w="2164" w:type="dxa"/>
            <w:tcBorders>
              <w:top w:val="outset" w:sz="4" w:space="0" w:color="auto"/>
              <w:left w:val="outset" w:sz="4" w:space="0" w:color="auto"/>
              <w:bottom w:val="outset" w:sz="4" w:space="0" w:color="auto"/>
              <w:right w:val="outset" w:sz="4" w:space="0" w:color="auto"/>
            </w:tcBorders>
            <w:vAlign w:val="center"/>
          </w:tcPr>
          <w:p w14:paraId="3BA9889D" w14:textId="77777777" w:rsidR="00577D08" w:rsidRDefault="00330FC0">
            <w:pPr>
              <w:jc w:val="right"/>
            </w:pPr>
            <w:r>
              <w:t>89,628,666.34</w:t>
            </w:r>
          </w:p>
        </w:tc>
      </w:tr>
      <w:tr w:rsidR="00577D08" w14:paraId="194A1DE9" w14:textId="77777777">
        <w:tc>
          <w:tcPr>
            <w:tcW w:w="3145" w:type="dxa"/>
            <w:tcBorders>
              <w:top w:val="outset" w:sz="4" w:space="0" w:color="auto"/>
              <w:left w:val="outset" w:sz="4" w:space="0" w:color="auto"/>
              <w:bottom w:val="outset" w:sz="4" w:space="0" w:color="auto"/>
              <w:right w:val="outset" w:sz="4" w:space="0" w:color="auto"/>
            </w:tcBorders>
            <w:vAlign w:val="center"/>
          </w:tcPr>
          <w:p w14:paraId="5779876D" w14:textId="77777777" w:rsidR="00577D08" w:rsidRDefault="00330FC0">
            <w:pPr>
              <w:ind w:firstLineChars="100" w:firstLine="210"/>
              <w:rPr>
                <w:color w:val="000000"/>
              </w:rPr>
            </w:pPr>
            <w:r>
              <w:rPr>
                <w:rFonts w:hint="eastAsia"/>
              </w:rPr>
              <w:t>支付其他与筹资活动有关的现金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6C4D39D6"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69B0AD64" w14:textId="77777777" w:rsidR="00577D08" w:rsidRDefault="00330FC0">
            <w:pPr>
              <w:jc w:val="right"/>
            </w:pPr>
            <w:r>
              <w:t xml:space="preserve"> 58,759,962.76 </w:t>
            </w:r>
          </w:p>
        </w:tc>
        <w:tc>
          <w:tcPr>
            <w:tcW w:w="2164" w:type="dxa"/>
            <w:tcBorders>
              <w:top w:val="outset" w:sz="4" w:space="0" w:color="auto"/>
              <w:left w:val="outset" w:sz="4" w:space="0" w:color="auto"/>
              <w:bottom w:val="outset" w:sz="4" w:space="0" w:color="auto"/>
              <w:right w:val="outset" w:sz="4" w:space="0" w:color="auto"/>
            </w:tcBorders>
            <w:vAlign w:val="center"/>
          </w:tcPr>
          <w:p w14:paraId="39F8CFD6" w14:textId="77777777" w:rsidR="00577D08" w:rsidRDefault="00330FC0">
            <w:pPr>
              <w:jc w:val="right"/>
            </w:pPr>
            <w:r>
              <w:t>21,588,649.59</w:t>
            </w:r>
          </w:p>
        </w:tc>
      </w:tr>
      <w:tr w:rsidR="00577D08" w14:paraId="481D56CA" w14:textId="77777777">
        <w:tc>
          <w:tcPr>
            <w:tcW w:w="3145" w:type="dxa"/>
            <w:tcBorders>
              <w:top w:val="outset" w:sz="4" w:space="0" w:color="auto"/>
              <w:left w:val="outset" w:sz="4" w:space="0" w:color="auto"/>
              <w:bottom w:val="outset" w:sz="4" w:space="0" w:color="auto"/>
              <w:right w:val="outset" w:sz="4" w:space="0" w:color="auto"/>
            </w:tcBorders>
            <w:vAlign w:val="center"/>
          </w:tcPr>
          <w:p w14:paraId="4B6A2CF7" w14:textId="77777777" w:rsidR="00577D08" w:rsidRDefault="00330FC0">
            <w:pPr>
              <w:ind w:firstLineChars="200" w:firstLine="420"/>
              <w:rPr>
                <w:color w:val="000000"/>
              </w:rPr>
            </w:pPr>
            <w:r>
              <w:rPr>
                <w:rFonts w:hint="eastAsia"/>
              </w:rPr>
              <w:t>筹资活动现金流出小计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434BD7D9"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4FA46AAF" w14:textId="77777777" w:rsidR="00577D08" w:rsidRDefault="00330FC0">
            <w:pPr>
              <w:jc w:val="right"/>
            </w:pPr>
            <w:r>
              <w:t xml:space="preserve"> 1,098,771,369.59 </w:t>
            </w:r>
          </w:p>
        </w:tc>
        <w:tc>
          <w:tcPr>
            <w:tcW w:w="2164" w:type="dxa"/>
            <w:tcBorders>
              <w:top w:val="outset" w:sz="4" w:space="0" w:color="auto"/>
              <w:left w:val="outset" w:sz="4" w:space="0" w:color="auto"/>
              <w:bottom w:val="outset" w:sz="4" w:space="0" w:color="auto"/>
              <w:right w:val="outset" w:sz="4" w:space="0" w:color="auto"/>
            </w:tcBorders>
            <w:vAlign w:val="center"/>
          </w:tcPr>
          <w:p w14:paraId="719DA705" w14:textId="77777777" w:rsidR="00577D08" w:rsidRDefault="00330FC0">
            <w:pPr>
              <w:jc w:val="right"/>
            </w:pPr>
            <w:r>
              <w:t>412,164,848.35</w:t>
            </w:r>
          </w:p>
        </w:tc>
      </w:tr>
      <w:tr w:rsidR="00577D08" w14:paraId="685BFB43" w14:textId="77777777">
        <w:tc>
          <w:tcPr>
            <w:tcW w:w="3145" w:type="dxa"/>
            <w:tcBorders>
              <w:top w:val="outset" w:sz="4" w:space="0" w:color="auto"/>
              <w:left w:val="outset" w:sz="4" w:space="0" w:color="auto"/>
              <w:bottom w:val="outset" w:sz="4" w:space="0" w:color="auto"/>
              <w:right w:val="outset" w:sz="4" w:space="0" w:color="auto"/>
            </w:tcBorders>
            <w:vAlign w:val="center"/>
          </w:tcPr>
          <w:p w14:paraId="2897537C" w14:textId="77777777" w:rsidR="00577D08" w:rsidRDefault="00330FC0">
            <w:pPr>
              <w:ind w:firstLineChars="300" w:firstLine="630"/>
              <w:rPr>
                <w:color w:val="000000"/>
              </w:rPr>
            </w:pPr>
            <w:r>
              <w:rPr>
                <w:rFonts w:hint="eastAsia"/>
              </w:rPr>
              <w:t>筹资活动产生的现金流量净额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506A7631"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1F450DD8" w14:textId="77777777" w:rsidR="00577D08" w:rsidRDefault="00330FC0">
            <w:pPr>
              <w:jc w:val="right"/>
            </w:pPr>
            <w:r>
              <w:t xml:space="preserve"> 74,423,018.38 </w:t>
            </w:r>
          </w:p>
        </w:tc>
        <w:tc>
          <w:tcPr>
            <w:tcW w:w="2164" w:type="dxa"/>
            <w:tcBorders>
              <w:top w:val="outset" w:sz="4" w:space="0" w:color="auto"/>
              <w:left w:val="outset" w:sz="4" w:space="0" w:color="auto"/>
              <w:bottom w:val="outset" w:sz="4" w:space="0" w:color="auto"/>
              <w:right w:val="outset" w:sz="4" w:space="0" w:color="auto"/>
            </w:tcBorders>
            <w:vAlign w:val="center"/>
          </w:tcPr>
          <w:p w14:paraId="3730DB5B" w14:textId="77777777" w:rsidR="00577D08" w:rsidRDefault="00330FC0">
            <w:pPr>
              <w:jc w:val="right"/>
            </w:pPr>
            <w:r>
              <w:t>540,049,928.25</w:t>
            </w:r>
          </w:p>
        </w:tc>
      </w:tr>
      <w:tr w:rsidR="00577D08" w14:paraId="46FB9B72" w14:textId="77777777">
        <w:tc>
          <w:tcPr>
            <w:tcW w:w="3145" w:type="dxa"/>
            <w:tcBorders>
              <w:top w:val="outset" w:sz="4" w:space="0" w:color="auto"/>
              <w:left w:val="outset" w:sz="4" w:space="0" w:color="auto"/>
              <w:bottom w:val="outset" w:sz="4" w:space="0" w:color="auto"/>
              <w:right w:val="outset" w:sz="4" w:space="0" w:color="auto"/>
            </w:tcBorders>
            <w:vAlign w:val="center"/>
          </w:tcPr>
          <w:p w14:paraId="2BC324F0" w14:textId="77777777" w:rsidR="00577D08" w:rsidRDefault="00330FC0">
            <w:pPr>
              <w:rPr>
                <w:color w:val="000000"/>
              </w:rPr>
            </w:pPr>
            <w:r>
              <w:rPr>
                <w:rFonts w:hint="eastAsia"/>
                <w:b/>
                <w:bCs/>
              </w:rPr>
              <w:t>四、汇率变动对现金及现金等价物的影响</w:t>
            </w:r>
          </w:p>
        </w:tc>
        <w:tc>
          <w:tcPr>
            <w:tcW w:w="1569" w:type="dxa"/>
            <w:tcBorders>
              <w:top w:val="outset" w:sz="4" w:space="0" w:color="auto"/>
              <w:left w:val="outset" w:sz="4" w:space="0" w:color="auto"/>
              <w:bottom w:val="outset" w:sz="4" w:space="0" w:color="auto"/>
              <w:right w:val="outset" w:sz="4" w:space="0" w:color="auto"/>
            </w:tcBorders>
            <w:vAlign w:val="center"/>
          </w:tcPr>
          <w:p w14:paraId="786CDEBB"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03A99A15" w14:textId="77777777" w:rsidR="00577D08" w:rsidRDefault="00330FC0">
            <w:pPr>
              <w:jc w:val="right"/>
            </w:pPr>
            <w:r>
              <w:t xml:space="preserve"> -539,948.52 </w:t>
            </w:r>
          </w:p>
        </w:tc>
        <w:tc>
          <w:tcPr>
            <w:tcW w:w="2164" w:type="dxa"/>
            <w:tcBorders>
              <w:top w:val="outset" w:sz="4" w:space="0" w:color="auto"/>
              <w:left w:val="outset" w:sz="4" w:space="0" w:color="auto"/>
              <w:bottom w:val="outset" w:sz="4" w:space="0" w:color="auto"/>
              <w:right w:val="outset" w:sz="4" w:space="0" w:color="auto"/>
            </w:tcBorders>
            <w:vAlign w:val="center"/>
          </w:tcPr>
          <w:p w14:paraId="1C88CBB5" w14:textId="77777777" w:rsidR="00577D08" w:rsidRDefault="00330FC0">
            <w:pPr>
              <w:jc w:val="right"/>
            </w:pPr>
            <w:r>
              <w:t>448,361.82</w:t>
            </w:r>
          </w:p>
        </w:tc>
      </w:tr>
      <w:tr w:rsidR="00577D08" w14:paraId="7BE1CF1D" w14:textId="77777777">
        <w:tc>
          <w:tcPr>
            <w:tcW w:w="3145" w:type="dxa"/>
            <w:tcBorders>
              <w:top w:val="outset" w:sz="4" w:space="0" w:color="auto"/>
              <w:left w:val="outset" w:sz="4" w:space="0" w:color="auto"/>
              <w:bottom w:val="outset" w:sz="4" w:space="0" w:color="auto"/>
              <w:right w:val="outset" w:sz="4" w:space="0" w:color="auto"/>
            </w:tcBorders>
            <w:vAlign w:val="center"/>
          </w:tcPr>
          <w:p w14:paraId="3D874333" w14:textId="77777777" w:rsidR="00577D08" w:rsidRDefault="00330FC0">
            <w:pPr>
              <w:rPr>
                <w:color w:val="000000"/>
              </w:rPr>
            </w:pPr>
            <w:r>
              <w:rPr>
                <w:rFonts w:hint="eastAsia"/>
                <w:b/>
                <w:bCs/>
              </w:rPr>
              <w:t>五、现金及现金等价物净增加额</w:t>
            </w:r>
          </w:p>
        </w:tc>
        <w:tc>
          <w:tcPr>
            <w:tcW w:w="1569" w:type="dxa"/>
            <w:tcBorders>
              <w:top w:val="outset" w:sz="4" w:space="0" w:color="auto"/>
              <w:left w:val="outset" w:sz="4" w:space="0" w:color="auto"/>
              <w:bottom w:val="outset" w:sz="4" w:space="0" w:color="auto"/>
              <w:right w:val="outset" w:sz="4" w:space="0" w:color="auto"/>
            </w:tcBorders>
            <w:vAlign w:val="center"/>
          </w:tcPr>
          <w:p w14:paraId="0929CCC1"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23A0B7B2" w14:textId="77777777" w:rsidR="00577D08" w:rsidRDefault="00330FC0">
            <w:pPr>
              <w:jc w:val="right"/>
            </w:pPr>
            <w:r>
              <w:t xml:space="preserve"> 58,104,211.65 </w:t>
            </w:r>
          </w:p>
        </w:tc>
        <w:tc>
          <w:tcPr>
            <w:tcW w:w="2164" w:type="dxa"/>
            <w:tcBorders>
              <w:top w:val="outset" w:sz="4" w:space="0" w:color="auto"/>
              <w:left w:val="outset" w:sz="4" w:space="0" w:color="auto"/>
              <w:bottom w:val="outset" w:sz="4" w:space="0" w:color="auto"/>
              <w:right w:val="outset" w:sz="4" w:space="0" w:color="auto"/>
            </w:tcBorders>
            <w:vAlign w:val="center"/>
          </w:tcPr>
          <w:p w14:paraId="67B3E840" w14:textId="77777777" w:rsidR="00577D08" w:rsidRDefault="00330FC0">
            <w:pPr>
              <w:jc w:val="right"/>
            </w:pPr>
            <w:r>
              <w:t>-235,678,816.61</w:t>
            </w:r>
          </w:p>
        </w:tc>
      </w:tr>
      <w:tr w:rsidR="00577D08" w14:paraId="1B59C989" w14:textId="77777777">
        <w:tc>
          <w:tcPr>
            <w:tcW w:w="3145" w:type="dxa"/>
            <w:tcBorders>
              <w:top w:val="outset" w:sz="4" w:space="0" w:color="auto"/>
              <w:left w:val="outset" w:sz="4" w:space="0" w:color="auto"/>
              <w:bottom w:val="outset" w:sz="4" w:space="0" w:color="auto"/>
              <w:right w:val="outset" w:sz="4" w:space="0" w:color="auto"/>
            </w:tcBorders>
            <w:vAlign w:val="center"/>
          </w:tcPr>
          <w:p w14:paraId="20D39302" w14:textId="77777777" w:rsidR="00577D08" w:rsidRDefault="00330FC0">
            <w:pPr>
              <w:ind w:firstLineChars="100" w:firstLine="210"/>
              <w:rPr>
                <w:color w:val="000000"/>
              </w:rPr>
            </w:pPr>
            <w:r>
              <w:rPr>
                <w:rFonts w:hint="eastAsia"/>
              </w:rPr>
              <w:t>加：期初现金及现金等价物余额</w:t>
            </w:r>
          </w:p>
        </w:tc>
        <w:tc>
          <w:tcPr>
            <w:tcW w:w="1569" w:type="dxa"/>
            <w:tcBorders>
              <w:top w:val="outset" w:sz="4" w:space="0" w:color="auto"/>
              <w:left w:val="outset" w:sz="4" w:space="0" w:color="auto"/>
              <w:bottom w:val="outset" w:sz="4" w:space="0" w:color="auto"/>
              <w:right w:val="outset" w:sz="4" w:space="0" w:color="auto"/>
            </w:tcBorders>
            <w:vAlign w:val="center"/>
          </w:tcPr>
          <w:p w14:paraId="6FBB76C9"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05C8ECAB" w14:textId="77777777" w:rsidR="00577D08" w:rsidRDefault="00330FC0">
            <w:pPr>
              <w:jc w:val="right"/>
            </w:pPr>
            <w:r>
              <w:t xml:space="preserve"> 955,361,421.37 </w:t>
            </w:r>
          </w:p>
        </w:tc>
        <w:tc>
          <w:tcPr>
            <w:tcW w:w="2164" w:type="dxa"/>
            <w:tcBorders>
              <w:top w:val="outset" w:sz="4" w:space="0" w:color="auto"/>
              <w:left w:val="outset" w:sz="4" w:space="0" w:color="auto"/>
              <w:bottom w:val="outset" w:sz="4" w:space="0" w:color="auto"/>
              <w:right w:val="outset" w:sz="4" w:space="0" w:color="auto"/>
            </w:tcBorders>
            <w:vAlign w:val="center"/>
          </w:tcPr>
          <w:p w14:paraId="082C021D" w14:textId="77777777" w:rsidR="00577D08" w:rsidRDefault="00330FC0">
            <w:pPr>
              <w:jc w:val="right"/>
            </w:pPr>
            <w:r>
              <w:t>1,191,040,237.98</w:t>
            </w:r>
          </w:p>
        </w:tc>
      </w:tr>
      <w:tr w:rsidR="00577D08" w14:paraId="40B2C289" w14:textId="77777777">
        <w:tc>
          <w:tcPr>
            <w:tcW w:w="3145" w:type="dxa"/>
            <w:tcBorders>
              <w:top w:val="outset" w:sz="4" w:space="0" w:color="auto"/>
              <w:left w:val="outset" w:sz="4" w:space="0" w:color="auto"/>
              <w:bottom w:val="outset" w:sz="4" w:space="0" w:color="auto"/>
              <w:right w:val="outset" w:sz="4" w:space="0" w:color="auto"/>
            </w:tcBorders>
            <w:vAlign w:val="center"/>
          </w:tcPr>
          <w:p w14:paraId="5E954CAF" w14:textId="77777777" w:rsidR="00577D08" w:rsidRDefault="00330FC0">
            <w:pPr>
              <w:rPr>
                <w:color w:val="000000"/>
              </w:rPr>
            </w:pPr>
            <w:r>
              <w:rPr>
                <w:rFonts w:hint="eastAsia"/>
                <w:b/>
                <w:bCs/>
              </w:rPr>
              <w:t>六、期末现金及现金等价物余额</w:t>
            </w:r>
          </w:p>
        </w:tc>
        <w:tc>
          <w:tcPr>
            <w:tcW w:w="1569" w:type="dxa"/>
            <w:tcBorders>
              <w:top w:val="outset" w:sz="4" w:space="0" w:color="auto"/>
              <w:left w:val="outset" w:sz="4" w:space="0" w:color="auto"/>
              <w:bottom w:val="outset" w:sz="4" w:space="0" w:color="auto"/>
              <w:right w:val="outset" w:sz="4" w:space="0" w:color="auto"/>
            </w:tcBorders>
            <w:vAlign w:val="center"/>
          </w:tcPr>
          <w:p w14:paraId="20ABAD18" w14:textId="77777777" w:rsidR="00577D08" w:rsidRDefault="00577D08"/>
        </w:tc>
        <w:tc>
          <w:tcPr>
            <w:tcW w:w="2171" w:type="dxa"/>
            <w:tcBorders>
              <w:top w:val="outset" w:sz="4" w:space="0" w:color="auto"/>
              <w:left w:val="outset" w:sz="4" w:space="0" w:color="auto"/>
              <w:bottom w:val="outset" w:sz="4" w:space="0" w:color="auto"/>
              <w:right w:val="outset" w:sz="4" w:space="0" w:color="auto"/>
            </w:tcBorders>
            <w:vAlign w:val="center"/>
          </w:tcPr>
          <w:p w14:paraId="751C2B30" w14:textId="77777777" w:rsidR="00577D08" w:rsidRDefault="00330FC0">
            <w:pPr>
              <w:jc w:val="right"/>
            </w:pPr>
            <w:r>
              <w:t xml:space="preserve"> 1,013,465,633.02 </w:t>
            </w:r>
          </w:p>
        </w:tc>
        <w:tc>
          <w:tcPr>
            <w:tcW w:w="2164" w:type="dxa"/>
            <w:tcBorders>
              <w:top w:val="outset" w:sz="4" w:space="0" w:color="auto"/>
              <w:left w:val="outset" w:sz="4" w:space="0" w:color="auto"/>
              <w:bottom w:val="outset" w:sz="4" w:space="0" w:color="auto"/>
              <w:right w:val="outset" w:sz="4" w:space="0" w:color="auto"/>
            </w:tcBorders>
            <w:vAlign w:val="center"/>
          </w:tcPr>
          <w:p w14:paraId="54B1B67D" w14:textId="77777777" w:rsidR="00577D08" w:rsidRDefault="00330FC0">
            <w:pPr>
              <w:jc w:val="right"/>
            </w:pPr>
            <w:r>
              <w:t>955,361,421.37</w:t>
            </w:r>
          </w:p>
        </w:tc>
      </w:tr>
    </w:tbl>
    <w:p w14:paraId="24DDD58B" w14:textId="77777777" w:rsidR="00577D08" w:rsidRDefault="00330FC0">
      <w:pPr>
        <w:snapToGrid w:val="0"/>
        <w:spacing w:line="240" w:lineRule="atLeast"/>
        <w:ind w:rightChars="-73" w:right="-153"/>
        <w:rPr>
          <w:b/>
          <w:bCs/>
          <w:color w:val="FF0000"/>
        </w:rPr>
      </w:pPr>
      <w:r>
        <w:rPr>
          <w:rFonts w:hint="eastAsia"/>
        </w:rPr>
        <w:t>公司负责</w:t>
      </w:r>
      <w:r>
        <w:t>人</w:t>
      </w:r>
      <w:r>
        <w:rPr>
          <w:rFonts w:hint="eastAsia"/>
        </w:rPr>
        <w:t>：</w:t>
      </w:r>
      <w:sdt>
        <w:sdtPr>
          <w:rPr>
            <w:rFonts w:hint="eastAsia"/>
          </w:rPr>
          <w:alias w:val="公司负责人姓名"/>
          <w:tag w:val="_GBC_b872f4b10a12453987b2d73dfe2a5ff9"/>
          <w:id w:val="-34357372"/>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29443dd8858043c68f8217b05d1e3346"/>
          <w:id w:val="-2116045565"/>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952065710c0f41709539d877935c1903"/>
          <w:id w:val="-1439283299"/>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p w14:paraId="6D55EBD1" w14:textId="77777777" w:rsidR="00577D08" w:rsidRDefault="00577D08">
      <w:pPr>
        <w:rPr>
          <w:b/>
          <w:bCs/>
          <w:color w:val="FF0000"/>
        </w:rPr>
      </w:pPr>
    </w:p>
    <w:bookmarkEnd w:id="291"/>
    <w:p w14:paraId="1444A538" w14:textId="77777777" w:rsidR="00577D08" w:rsidRDefault="00577D08"/>
    <w:p w14:paraId="2883053A" w14:textId="77777777" w:rsidR="00577D08" w:rsidRDefault="00577D08">
      <w:pPr>
        <w:snapToGrid w:val="0"/>
        <w:spacing w:line="240" w:lineRule="atLeast"/>
        <w:ind w:rightChars="-73" w:right="-153"/>
      </w:pPr>
    </w:p>
    <w:p w14:paraId="456C382B" w14:textId="77777777" w:rsidR="00577D08" w:rsidRDefault="00577D08">
      <w:pPr>
        <w:snapToGrid w:val="0"/>
        <w:spacing w:line="240" w:lineRule="atLeast"/>
        <w:ind w:rightChars="-73" w:right="-153"/>
        <w:sectPr w:rsidR="00577D08">
          <w:pgSz w:w="11906" w:h="16838"/>
          <w:pgMar w:top="1525" w:right="1276" w:bottom="1440" w:left="1797" w:header="856" w:footer="992" w:gutter="0"/>
          <w:cols w:space="425"/>
          <w:docGrid w:linePitch="312"/>
        </w:sectPr>
      </w:pPr>
    </w:p>
    <w:p w14:paraId="63B3A901" w14:textId="77777777" w:rsidR="00577D08" w:rsidRDefault="00577D08">
      <w:pPr>
        <w:tabs>
          <w:tab w:val="left" w:pos="10080"/>
        </w:tabs>
        <w:snapToGrid w:val="0"/>
        <w:spacing w:line="240" w:lineRule="atLeast"/>
        <w:ind w:rightChars="12" w:right="25"/>
        <w:jc w:val="center"/>
        <w:rPr>
          <w:b/>
        </w:rPr>
      </w:pPr>
      <w:bookmarkStart w:id="292" w:name="_Hlk533930052"/>
    </w:p>
    <w:p w14:paraId="7E676DF7" w14:textId="77777777" w:rsidR="00577D08" w:rsidRDefault="00330FC0">
      <w:pPr>
        <w:tabs>
          <w:tab w:val="left" w:pos="10080"/>
        </w:tabs>
        <w:snapToGrid w:val="0"/>
        <w:spacing w:line="240" w:lineRule="atLeast"/>
        <w:ind w:rightChars="12" w:right="25"/>
        <w:jc w:val="center"/>
        <w:outlineLvl w:val="2"/>
        <w:rPr>
          <w:b/>
        </w:rPr>
      </w:pPr>
      <w:r>
        <w:rPr>
          <w:b/>
        </w:rPr>
        <w:t>合并</w:t>
      </w:r>
      <w:r>
        <w:rPr>
          <w:rFonts w:hint="eastAsia"/>
          <w:b/>
        </w:rPr>
        <w:t>所有者权益变动表</w:t>
      </w:r>
    </w:p>
    <w:p w14:paraId="60F29E6E" w14:textId="77777777" w:rsidR="00577D08" w:rsidRDefault="00330FC0">
      <w:pPr>
        <w:tabs>
          <w:tab w:val="left" w:pos="10080"/>
        </w:tabs>
        <w:snapToGrid w:val="0"/>
        <w:spacing w:line="240" w:lineRule="atLeast"/>
        <w:ind w:rightChars="12" w:right="25"/>
        <w:jc w:val="center"/>
      </w:pPr>
      <w:r>
        <w:t>2025</w:t>
      </w:r>
      <w:r>
        <w:t>年</w:t>
      </w:r>
      <w:r>
        <w:rPr>
          <w:rFonts w:hint="eastAsia"/>
        </w:rPr>
        <w:t>1</w:t>
      </w:r>
      <w:r>
        <w:rPr>
          <w:rFonts w:hint="eastAsia"/>
        </w:rPr>
        <w:t>—</w:t>
      </w:r>
      <w:r>
        <w:rPr>
          <w:rFonts w:hint="eastAsia"/>
        </w:rPr>
        <w:t>12</w:t>
      </w:r>
      <w:r>
        <w:rPr>
          <w:rFonts w:hint="eastAsia"/>
        </w:rPr>
        <w:t>月</w:t>
      </w:r>
    </w:p>
    <w:p w14:paraId="56B4CBFC" w14:textId="02702BB3" w:rsidR="00577D08" w:rsidRDefault="00330FC0">
      <w:pPr>
        <w:tabs>
          <w:tab w:val="left" w:pos="10080"/>
        </w:tabs>
        <w:snapToGrid w:val="0"/>
        <w:spacing w:line="240" w:lineRule="atLeast"/>
        <w:jc w:val="right"/>
      </w:pPr>
      <w:r>
        <w:t>单位</w:t>
      </w:r>
      <w:r>
        <w:rPr>
          <w:rFonts w:hint="eastAsia"/>
        </w:rPr>
        <w:t>：</w:t>
      </w:r>
      <w:sdt>
        <w:sdtPr>
          <w:alias w:val="单位：合并股东权益调节表"/>
          <w:tag w:val="_GBC_57faea4e453e49ad93821b7dd6ce8bc4"/>
          <w:id w:val="-14486954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r w:rsidR="00CC5C32">
            <w:t xml:space="preserve"> </w:t>
          </w:r>
        </w:sdtContent>
      </w:sdt>
      <w:r>
        <w:t>币种</w:t>
      </w:r>
      <w:r>
        <w:rPr>
          <w:rFonts w:hint="eastAsia"/>
        </w:rPr>
        <w:t>：</w:t>
      </w:r>
      <w:sdt>
        <w:sdtPr>
          <w:alias w:val="币种：合并股东权益调节表"/>
          <w:tag w:val="_GBC_cef77704267643d794145c73763360e5"/>
          <w:id w:val="-5829891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284"/>
        <w:gridCol w:w="425"/>
        <w:gridCol w:w="425"/>
        <w:gridCol w:w="992"/>
        <w:gridCol w:w="1134"/>
        <w:gridCol w:w="1134"/>
        <w:gridCol w:w="1134"/>
        <w:gridCol w:w="993"/>
        <w:gridCol w:w="567"/>
        <w:gridCol w:w="992"/>
        <w:gridCol w:w="283"/>
        <w:gridCol w:w="1134"/>
        <w:gridCol w:w="1276"/>
        <w:gridCol w:w="1364"/>
      </w:tblGrid>
      <w:tr w:rsidR="00577D08" w14:paraId="68C7BA79" w14:textId="77777777">
        <w:trPr>
          <w:cantSplit/>
        </w:trPr>
        <w:tc>
          <w:tcPr>
            <w:tcW w:w="959" w:type="dxa"/>
            <w:vMerge w:val="restart"/>
            <w:vAlign w:val="center"/>
          </w:tcPr>
          <w:bookmarkStart w:id="293" w:name="OLE_LINK56" w:displacedByCustomXml="next"/>
          <w:sdt>
            <w:sdtPr>
              <w:rPr>
                <w:sz w:val="15"/>
                <w:szCs w:val="15"/>
              </w:rPr>
              <w:tag w:val="_PLD_245a9e71ca1b403fad3a821efeb272de"/>
              <w:id w:val="-708493780"/>
            </w:sdtPr>
            <w:sdtContent>
              <w:p w14:paraId="71025D35" w14:textId="77777777" w:rsidR="00577D08" w:rsidRDefault="00330FC0">
                <w:pPr>
                  <w:snapToGrid w:val="0"/>
                  <w:spacing w:line="240" w:lineRule="atLeast"/>
                  <w:jc w:val="center"/>
                  <w:rPr>
                    <w:sz w:val="15"/>
                    <w:szCs w:val="15"/>
                  </w:rPr>
                </w:pPr>
                <w:r>
                  <w:rPr>
                    <w:rFonts w:hint="eastAsia"/>
                    <w:sz w:val="15"/>
                    <w:szCs w:val="15"/>
                  </w:rPr>
                  <w:t>项目</w:t>
                </w:r>
              </w:p>
            </w:sdtContent>
          </w:sdt>
        </w:tc>
        <w:tc>
          <w:tcPr>
            <w:tcW w:w="13129" w:type="dxa"/>
            <w:gridSpan w:val="15"/>
            <w:vAlign w:val="center"/>
          </w:tcPr>
          <w:p w14:paraId="02BEB238" w14:textId="77777777" w:rsidR="00577D08" w:rsidRDefault="00000000">
            <w:pPr>
              <w:snapToGrid w:val="0"/>
              <w:spacing w:line="240" w:lineRule="atLeast"/>
              <w:ind w:rightChars="-759" w:right="-1594"/>
              <w:jc w:val="center"/>
              <w:rPr>
                <w:sz w:val="15"/>
                <w:szCs w:val="15"/>
              </w:rPr>
            </w:pPr>
            <w:sdt>
              <w:sdtPr>
                <w:rPr>
                  <w:sz w:val="15"/>
                  <w:szCs w:val="15"/>
                </w:rPr>
                <w:tag w:val="_PLD_74b2c30f72fb403387c8b0e2a353f994"/>
                <w:id w:val="1707219208"/>
              </w:sdtPr>
              <w:sdtContent>
                <w:r w:rsidR="00330FC0">
                  <w:rPr>
                    <w:rFonts w:hint="eastAsia"/>
                    <w:sz w:val="15"/>
                    <w:szCs w:val="15"/>
                  </w:rPr>
                  <w:t>2025</w:t>
                </w:r>
                <w:r w:rsidR="00330FC0">
                  <w:rPr>
                    <w:rFonts w:hint="eastAsia"/>
                    <w:sz w:val="15"/>
                    <w:szCs w:val="15"/>
                  </w:rPr>
                  <w:t>年度</w:t>
                </w:r>
              </w:sdtContent>
            </w:sdt>
          </w:p>
        </w:tc>
      </w:tr>
      <w:tr w:rsidR="00577D08" w14:paraId="5CBB2DD6" w14:textId="77777777">
        <w:trPr>
          <w:cantSplit/>
          <w:trHeight w:val="540"/>
        </w:trPr>
        <w:tc>
          <w:tcPr>
            <w:tcW w:w="959" w:type="dxa"/>
            <w:vMerge/>
            <w:vAlign w:val="center"/>
          </w:tcPr>
          <w:p w14:paraId="5149B3A3" w14:textId="77777777" w:rsidR="00577D08" w:rsidRDefault="00577D08">
            <w:pPr>
              <w:snapToGrid w:val="0"/>
              <w:spacing w:line="240" w:lineRule="atLeast"/>
              <w:ind w:rightChars="-759" w:right="-1594"/>
              <w:rPr>
                <w:sz w:val="15"/>
                <w:szCs w:val="15"/>
              </w:rPr>
            </w:pPr>
          </w:p>
        </w:tc>
        <w:sdt>
          <w:sdtPr>
            <w:rPr>
              <w:sz w:val="15"/>
              <w:szCs w:val="15"/>
            </w:rPr>
            <w:tag w:val="_PLD_48b1c4daa55343f0a820ecc94c441958"/>
            <w:id w:val="-1918470150"/>
          </w:sdtPr>
          <w:sdtContent>
            <w:tc>
              <w:tcPr>
                <w:tcW w:w="10489" w:type="dxa"/>
                <w:gridSpan w:val="13"/>
                <w:vAlign w:val="center"/>
              </w:tcPr>
              <w:p w14:paraId="137D527A" w14:textId="77777777" w:rsidR="00577D08" w:rsidRDefault="00330FC0">
                <w:pPr>
                  <w:jc w:val="center"/>
                  <w:rPr>
                    <w:sz w:val="15"/>
                    <w:szCs w:val="15"/>
                  </w:rPr>
                </w:pPr>
                <w:r>
                  <w:rPr>
                    <w:sz w:val="15"/>
                    <w:szCs w:val="15"/>
                  </w:rPr>
                  <w:t>归属于母公司所有者权益</w:t>
                </w:r>
              </w:p>
            </w:tc>
          </w:sdtContent>
        </w:sdt>
        <w:sdt>
          <w:sdtPr>
            <w:rPr>
              <w:sz w:val="15"/>
              <w:szCs w:val="15"/>
            </w:rPr>
            <w:tag w:val="_PLD_de4010a56d78401ebd4bb48e62167082"/>
            <w:id w:val="249326536"/>
          </w:sdtPr>
          <w:sdtContent>
            <w:tc>
              <w:tcPr>
                <w:tcW w:w="1276" w:type="dxa"/>
                <w:vMerge w:val="restart"/>
                <w:vAlign w:val="center"/>
              </w:tcPr>
              <w:p w14:paraId="49D1D921" w14:textId="77777777" w:rsidR="00577D08" w:rsidRDefault="00330FC0">
                <w:pPr>
                  <w:jc w:val="center"/>
                  <w:rPr>
                    <w:sz w:val="15"/>
                    <w:szCs w:val="15"/>
                  </w:rPr>
                </w:pPr>
                <w:r>
                  <w:rPr>
                    <w:sz w:val="15"/>
                    <w:szCs w:val="15"/>
                  </w:rPr>
                  <w:t>少数股东权益</w:t>
                </w:r>
              </w:p>
            </w:tc>
          </w:sdtContent>
        </w:sdt>
        <w:sdt>
          <w:sdtPr>
            <w:rPr>
              <w:sz w:val="15"/>
              <w:szCs w:val="15"/>
            </w:rPr>
            <w:tag w:val="_PLD_ff9bc6143ed9429e80e1ed144f5ff16d"/>
            <w:id w:val="691352840"/>
          </w:sdtPr>
          <w:sdtContent>
            <w:tc>
              <w:tcPr>
                <w:tcW w:w="1364" w:type="dxa"/>
                <w:vMerge w:val="restart"/>
                <w:vAlign w:val="center"/>
              </w:tcPr>
              <w:p w14:paraId="1283936B" w14:textId="77777777" w:rsidR="00577D08" w:rsidRDefault="00330FC0">
                <w:pPr>
                  <w:jc w:val="center"/>
                  <w:rPr>
                    <w:sz w:val="15"/>
                    <w:szCs w:val="15"/>
                  </w:rPr>
                </w:pPr>
                <w:r>
                  <w:rPr>
                    <w:sz w:val="15"/>
                    <w:szCs w:val="15"/>
                  </w:rPr>
                  <w:t>所有者权益合计</w:t>
                </w:r>
              </w:p>
            </w:tc>
          </w:sdtContent>
        </w:sdt>
      </w:tr>
      <w:tr w:rsidR="00577D08" w14:paraId="140BF027" w14:textId="77777777">
        <w:trPr>
          <w:cantSplit/>
          <w:trHeight w:val="352"/>
        </w:trPr>
        <w:tc>
          <w:tcPr>
            <w:tcW w:w="959" w:type="dxa"/>
            <w:vMerge/>
            <w:vAlign w:val="center"/>
          </w:tcPr>
          <w:p w14:paraId="13DA4CE7" w14:textId="77777777" w:rsidR="00577D08" w:rsidRDefault="00577D08">
            <w:pPr>
              <w:snapToGrid w:val="0"/>
              <w:spacing w:line="240" w:lineRule="atLeast"/>
              <w:ind w:rightChars="-759" w:right="-1594"/>
              <w:rPr>
                <w:sz w:val="15"/>
                <w:szCs w:val="15"/>
              </w:rPr>
            </w:pPr>
          </w:p>
        </w:tc>
        <w:sdt>
          <w:sdtPr>
            <w:rPr>
              <w:sz w:val="15"/>
              <w:szCs w:val="15"/>
            </w:rPr>
            <w:tag w:val="_PLD_2a43f0f223d141f0855f6cbb9e60b12f"/>
            <w:id w:val="-1232538686"/>
          </w:sdtPr>
          <w:sdtContent>
            <w:tc>
              <w:tcPr>
                <w:tcW w:w="992" w:type="dxa"/>
                <w:vMerge w:val="restart"/>
                <w:vAlign w:val="center"/>
              </w:tcPr>
              <w:p w14:paraId="38C4EB72" w14:textId="77777777" w:rsidR="00577D08" w:rsidRDefault="00330FC0">
                <w:pPr>
                  <w:snapToGrid w:val="0"/>
                  <w:spacing w:line="240" w:lineRule="atLeast"/>
                  <w:jc w:val="center"/>
                  <w:rPr>
                    <w:sz w:val="15"/>
                    <w:szCs w:val="15"/>
                  </w:rPr>
                </w:pPr>
                <w:r>
                  <w:rPr>
                    <w:rFonts w:hint="eastAsia"/>
                    <w:sz w:val="15"/>
                    <w:szCs w:val="15"/>
                  </w:rPr>
                  <w:t>实收资本</w:t>
                </w:r>
                <w:r>
                  <w:rPr>
                    <w:rFonts w:hint="eastAsia"/>
                    <w:sz w:val="15"/>
                    <w:szCs w:val="15"/>
                  </w:rPr>
                  <w:t>(</w:t>
                </w:r>
                <w:r>
                  <w:rPr>
                    <w:rFonts w:hint="eastAsia"/>
                    <w:sz w:val="15"/>
                    <w:szCs w:val="15"/>
                  </w:rPr>
                  <w:t>或股本</w:t>
                </w:r>
                <w:r>
                  <w:rPr>
                    <w:rFonts w:hint="eastAsia"/>
                    <w:sz w:val="15"/>
                    <w:szCs w:val="15"/>
                  </w:rPr>
                  <w:t>)</w:t>
                </w:r>
              </w:p>
            </w:tc>
          </w:sdtContent>
        </w:sdt>
        <w:sdt>
          <w:sdtPr>
            <w:rPr>
              <w:sz w:val="15"/>
              <w:szCs w:val="15"/>
            </w:rPr>
            <w:tag w:val="_PLD_39cb94703877409e9e50d4bf964d43e4"/>
            <w:id w:val="-673723178"/>
          </w:sdtPr>
          <w:sdtContent>
            <w:tc>
              <w:tcPr>
                <w:tcW w:w="1134" w:type="dxa"/>
                <w:gridSpan w:val="3"/>
                <w:vAlign w:val="center"/>
              </w:tcPr>
              <w:p w14:paraId="758950B9" w14:textId="77777777" w:rsidR="00577D08" w:rsidRDefault="00330FC0">
                <w:pPr>
                  <w:snapToGrid w:val="0"/>
                  <w:spacing w:line="240" w:lineRule="atLeast"/>
                  <w:jc w:val="center"/>
                  <w:rPr>
                    <w:sz w:val="15"/>
                    <w:szCs w:val="15"/>
                  </w:rPr>
                </w:pPr>
                <w:r>
                  <w:rPr>
                    <w:rFonts w:hint="eastAsia"/>
                    <w:sz w:val="15"/>
                    <w:szCs w:val="15"/>
                  </w:rPr>
                  <w:t>其他权益工具</w:t>
                </w:r>
              </w:p>
            </w:tc>
          </w:sdtContent>
        </w:sdt>
        <w:sdt>
          <w:sdtPr>
            <w:rPr>
              <w:sz w:val="15"/>
              <w:szCs w:val="15"/>
            </w:rPr>
            <w:tag w:val="_PLD_0a2a84969d8f4cc5ab2f59451a4cf45c"/>
            <w:id w:val="-1656986939"/>
          </w:sdtPr>
          <w:sdtContent>
            <w:tc>
              <w:tcPr>
                <w:tcW w:w="992" w:type="dxa"/>
                <w:vMerge w:val="restart"/>
                <w:vAlign w:val="center"/>
              </w:tcPr>
              <w:p w14:paraId="2FEAC105" w14:textId="77777777" w:rsidR="00577D08" w:rsidRDefault="00330FC0">
                <w:pPr>
                  <w:snapToGrid w:val="0"/>
                  <w:spacing w:line="240" w:lineRule="atLeast"/>
                  <w:jc w:val="center"/>
                  <w:rPr>
                    <w:sz w:val="15"/>
                    <w:szCs w:val="15"/>
                  </w:rPr>
                </w:pPr>
                <w:r>
                  <w:rPr>
                    <w:rFonts w:hint="eastAsia"/>
                    <w:sz w:val="15"/>
                    <w:szCs w:val="15"/>
                  </w:rPr>
                  <w:t>资本公积</w:t>
                </w:r>
              </w:p>
            </w:tc>
          </w:sdtContent>
        </w:sdt>
        <w:sdt>
          <w:sdtPr>
            <w:rPr>
              <w:sz w:val="15"/>
              <w:szCs w:val="15"/>
            </w:rPr>
            <w:tag w:val="_PLD_3eb4af6d758d4787987e21e90e79351d"/>
            <w:id w:val="1886907162"/>
          </w:sdtPr>
          <w:sdtContent>
            <w:tc>
              <w:tcPr>
                <w:tcW w:w="1134" w:type="dxa"/>
                <w:vMerge w:val="restart"/>
                <w:vAlign w:val="center"/>
              </w:tcPr>
              <w:p w14:paraId="5BFBA160" w14:textId="77777777" w:rsidR="00577D08" w:rsidRDefault="00330FC0">
                <w:pPr>
                  <w:snapToGrid w:val="0"/>
                  <w:spacing w:line="240" w:lineRule="atLeast"/>
                  <w:jc w:val="center"/>
                  <w:rPr>
                    <w:sz w:val="15"/>
                    <w:szCs w:val="15"/>
                  </w:rPr>
                </w:pPr>
                <w:r>
                  <w:rPr>
                    <w:rFonts w:hint="eastAsia"/>
                    <w:sz w:val="15"/>
                    <w:szCs w:val="15"/>
                  </w:rPr>
                  <w:t>减：库存股</w:t>
                </w:r>
              </w:p>
            </w:tc>
          </w:sdtContent>
        </w:sdt>
        <w:sdt>
          <w:sdtPr>
            <w:rPr>
              <w:sz w:val="15"/>
              <w:szCs w:val="15"/>
            </w:rPr>
            <w:tag w:val="_PLD_63b36aa6d5e74a289a4f2e40e95da929"/>
            <w:id w:val="-1113670430"/>
          </w:sdtPr>
          <w:sdtContent>
            <w:tc>
              <w:tcPr>
                <w:tcW w:w="1134" w:type="dxa"/>
                <w:vMerge w:val="restart"/>
                <w:vAlign w:val="center"/>
              </w:tcPr>
              <w:p w14:paraId="5F6AC16E" w14:textId="77777777" w:rsidR="00577D08" w:rsidRDefault="00330FC0">
                <w:pPr>
                  <w:snapToGrid w:val="0"/>
                  <w:spacing w:line="240" w:lineRule="atLeast"/>
                  <w:jc w:val="center"/>
                  <w:rPr>
                    <w:sz w:val="15"/>
                    <w:szCs w:val="15"/>
                  </w:rPr>
                </w:pPr>
                <w:r>
                  <w:rPr>
                    <w:rFonts w:hint="eastAsia"/>
                    <w:sz w:val="15"/>
                    <w:szCs w:val="15"/>
                  </w:rPr>
                  <w:t>其他综合收益</w:t>
                </w:r>
              </w:p>
            </w:tc>
          </w:sdtContent>
        </w:sdt>
        <w:sdt>
          <w:sdtPr>
            <w:rPr>
              <w:sz w:val="15"/>
              <w:szCs w:val="15"/>
            </w:rPr>
            <w:tag w:val="_PLD_1560331b8c2f411cb5a844cb35b3d2b6"/>
            <w:id w:val="-383332599"/>
          </w:sdtPr>
          <w:sdtContent>
            <w:tc>
              <w:tcPr>
                <w:tcW w:w="1134" w:type="dxa"/>
                <w:vMerge w:val="restart"/>
                <w:vAlign w:val="center"/>
              </w:tcPr>
              <w:p w14:paraId="1D8B85D6" w14:textId="77777777" w:rsidR="00577D08" w:rsidRDefault="00330FC0">
                <w:pPr>
                  <w:snapToGrid w:val="0"/>
                  <w:spacing w:line="240" w:lineRule="atLeast"/>
                  <w:jc w:val="center"/>
                  <w:rPr>
                    <w:sz w:val="15"/>
                    <w:szCs w:val="15"/>
                  </w:rPr>
                </w:pPr>
                <w:r>
                  <w:rPr>
                    <w:rFonts w:hint="eastAsia"/>
                    <w:sz w:val="15"/>
                    <w:szCs w:val="15"/>
                  </w:rPr>
                  <w:t>专项储备</w:t>
                </w:r>
              </w:p>
            </w:tc>
          </w:sdtContent>
        </w:sdt>
        <w:sdt>
          <w:sdtPr>
            <w:rPr>
              <w:sz w:val="15"/>
              <w:szCs w:val="15"/>
            </w:rPr>
            <w:tag w:val="_PLD_6f43f79cacca48dca49685537156084f"/>
            <w:id w:val="-13700552"/>
          </w:sdtPr>
          <w:sdtContent>
            <w:tc>
              <w:tcPr>
                <w:tcW w:w="993" w:type="dxa"/>
                <w:vMerge w:val="restart"/>
                <w:vAlign w:val="center"/>
              </w:tcPr>
              <w:p w14:paraId="0C9A134D" w14:textId="77777777" w:rsidR="00577D08" w:rsidRDefault="00330FC0">
                <w:pPr>
                  <w:snapToGrid w:val="0"/>
                  <w:spacing w:line="240" w:lineRule="atLeast"/>
                  <w:jc w:val="center"/>
                  <w:rPr>
                    <w:sz w:val="15"/>
                    <w:szCs w:val="15"/>
                  </w:rPr>
                </w:pPr>
                <w:r>
                  <w:rPr>
                    <w:rFonts w:hint="eastAsia"/>
                    <w:sz w:val="15"/>
                    <w:szCs w:val="15"/>
                  </w:rPr>
                  <w:t>盈余公积</w:t>
                </w:r>
              </w:p>
            </w:tc>
          </w:sdtContent>
        </w:sdt>
        <w:sdt>
          <w:sdtPr>
            <w:rPr>
              <w:sz w:val="15"/>
              <w:szCs w:val="15"/>
            </w:rPr>
            <w:tag w:val="_PLD_56a430dce9564c199812862caead59b2"/>
            <w:id w:val="-1237086303"/>
          </w:sdtPr>
          <w:sdtContent>
            <w:tc>
              <w:tcPr>
                <w:tcW w:w="567" w:type="dxa"/>
                <w:vMerge w:val="restart"/>
                <w:vAlign w:val="center"/>
              </w:tcPr>
              <w:p w14:paraId="0DE31910" w14:textId="77777777" w:rsidR="00577D08" w:rsidRDefault="00330FC0">
                <w:pPr>
                  <w:snapToGrid w:val="0"/>
                  <w:spacing w:line="240" w:lineRule="atLeast"/>
                  <w:jc w:val="center"/>
                  <w:rPr>
                    <w:sz w:val="15"/>
                    <w:szCs w:val="15"/>
                  </w:rPr>
                </w:pPr>
                <w:r>
                  <w:rPr>
                    <w:rFonts w:hint="eastAsia"/>
                    <w:sz w:val="15"/>
                    <w:szCs w:val="15"/>
                  </w:rPr>
                  <w:t>一般风险准备</w:t>
                </w:r>
              </w:p>
            </w:tc>
          </w:sdtContent>
        </w:sdt>
        <w:sdt>
          <w:sdtPr>
            <w:rPr>
              <w:sz w:val="15"/>
              <w:szCs w:val="15"/>
            </w:rPr>
            <w:tag w:val="_PLD_cbc8cc4f323b4146bc3e0b624cb6a030"/>
            <w:id w:val="2132361680"/>
          </w:sdtPr>
          <w:sdtContent>
            <w:tc>
              <w:tcPr>
                <w:tcW w:w="992" w:type="dxa"/>
                <w:vMerge w:val="restart"/>
                <w:vAlign w:val="center"/>
              </w:tcPr>
              <w:p w14:paraId="5C45351B" w14:textId="77777777" w:rsidR="00577D08" w:rsidRDefault="00330FC0">
                <w:pPr>
                  <w:snapToGrid w:val="0"/>
                  <w:spacing w:line="240" w:lineRule="atLeast"/>
                  <w:jc w:val="center"/>
                  <w:rPr>
                    <w:sz w:val="15"/>
                    <w:szCs w:val="15"/>
                  </w:rPr>
                </w:pPr>
                <w:r>
                  <w:rPr>
                    <w:rFonts w:hint="eastAsia"/>
                    <w:sz w:val="15"/>
                    <w:szCs w:val="15"/>
                  </w:rPr>
                  <w:t>未分配利润</w:t>
                </w:r>
              </w:p>
            </w:tc>
          </w:sdtContent>
        </w:sdt>
        <w:tc>
          <w:tcPr>
            <w:tcW w:w="283" w:type="dxa"/>
            <w:vMerge w:val="restart"/>
            <w:vAlign w:val="center"/>
          </w:tcPr>
          <w:sdt>
            <w:sdtPr>
              <w:rPr>
                <w:sz w:val="15"/>
                <w:szCs w:val="15"/>
              </w:rPr>
              <w:tag w:val="_PLD_b504a77359e042b99ce9a2513e44008d"/>
              <w:id w:val="569003027"/>
            </w:sdtPr>
            <w:sdtContent>
              <w:p w14:paraId="661332C9" w14:textId="77777777" w:rsidR="00577D08" w:rsidRDefault="00330FC0">
                <w:pPr>
                  <w:jc w:val="center"/>
                  <w:rPr>
                    <w:sz w:val="15"/>
                    <w:szCs w:val="15"/>
                  </w:rPr>
                </w:pPr>
                <w:r>
                  <w:rPr>
                    <w:rFonts w:hint="eastAsia"/>
                    <w:sz w:val="15"/>
                    <w:szCs w:val="15"/>
                  </w:rPr>
                  <w:t>其他</w:t>
                </w:r>
              </w:p>
            </w:sdtContent>
          </w:sdt>
        </w:tc>
        <w:tc>
          <w:tcPr>
            <w:tcW w:w="1134" w:type="dxa"/>
            <w:vMerge w:val="restart"/>
            <w:vAlign w:val="center"/>
          </w:tcPr>
          <w:sdt>
            <w:sdtPr>
              <w:rPr>
                <w:sz w:val="15"/>
                <w:szCs w:val="15"/>
              </w:rPr>
              <w:tag w:val="_PLD_30b039ff7c714652865f3029df27082b"/>
              <w:id w:val="-630861974"/>
            </w:sdtPr>
            <w:sdtContent>
              <w:p w14:paraId="09902B08" w14:textId="77777777" w:rsidR="00577D08" w:rsidRDefault="00330FC0">
                <w:pPr>
                  <w:jc w:val="center"/>
                  <w:rPr>
                    <w:sz w:val="15"/>
                    <w:szCs w:val="15"/>
                  </w:rPr>
                </w:pPr>
                <w:r>
                  <w:rPr>
                    <w:rFonts w:hint="eastAsia"/>
                    <w:sz w:val="15"/>
                    <w:szCs w:val="15"/>
                  </w:rPr>
                  <w:t>小计</w:t>
                </w:r>
              </w:p>
            </w:sdtContent>
          </w:sdt>
        </w:tc>
        <w:tc>
          <w:tcPr>
            <w:tcW w:w="1276" w:type="dxa"/>
            <w:vMerge/>
            <w:vAlign w:val="center"/>
          </w:tcPr>
          <w:p w14:paraId="7ACF757E" w14:textId="77777777" w:rsidR="00577D08" w:rsidRDefault="00577D08">
            <w:pPr>
              <w:jc w:val="center"/>
              <w:rPr>
                <w:sz w:val="15"/>
                <w:szCs w:val="15"/>
              </w:rPr>
            </w:pPr>
          </w:p>
        </w:tc>
        <w:tc>
          <w:tcPr>
            <w:tcW w:w="1364" w:type="dxa"/>
            <w:vMerge/>
            <w:vAlign w:val="center"/>
          </w:tcPr>
          <w:p w14:paraId="03DB6DB2" w14:textId="77777777" w:rsidR="00577D08" w:rsidRDefault="00577D08">
            <w:pPr>
              <w:jc w:val="center"/>
              <w:rPr>
                <w:sz w:val="15"/>
                <w:szCs w:val="15"/>
              </w:rPr>
            </w:pPr>
          </w:p>
        </w:tc>
      </w:tr>
      <w:tr w:rsidR="00577D08" w14:paraId="7C583A9D" w14:textId="77777777">
        <w:trPr>
          <w:cantSplit/>
          <w:trHeight w:val="345"/>
        </w:trPr>
        <w:tc>
          <w:tcPr>
            <w:tcW w:w="959" w:type="dxa"/>
            <w:vMerge/>
            <w:vAlign w:val="center"/>
          </w:tcPr>
          <w:p w14:paraId="2908BB45" w14:textId="77777777" w:rsidR="00577D08" w:rsidRDefault="00577D08">
            <w:pPr>
              <w:snapToGrid w:val="0"/>
              <w:spacing w:line="240" w:lineRule="atLeast"/>
              <w:ind w:rightChars="-759" w:right="-1594"/>
              <w:rPr>
                <w:sz w:val="15"/>
                <w:szCs w:val="15"/>
              </w:rPr>
            </w:pPr>
          </w:p>
        </w:tc>
        <w:tc>
          <w:tcPr>
            <w:tcW w:w="992" w:type="dxa"/>
            <w:vMerge/>
            <w:vAlign w:val="center"/>
          </w:tcPr>
          <w:p w14:paraId="4F051B42" w14:textId="77777777" w:rsidR="00577D08" w:rsidRDefault="00577D08">
            <w:pPr>
              <w:snapToGrid w:val="0"/>
              <w:spacing w:line="240" w:lineRule="atLeast"/>
              <w:jc w:val="center"/>
              <w:rPr>
                <w:sz w:val="15"/>
                <w:szCs w:val="15"/>
              </w:rPr>
            </w:pPr>
          </w:p>
        </w:tc>
        <w:sdt>
          <w:sdtPr>
            <w:rPr>
              <w:sz w:val="15"/>
              <w:szCs w:val="15"/>
            </w:rPr>
            <w:tag w:val="_PLD_b607c17c743149d295a2a79708dbacd2"/>
            <w:id w:val="-1988311761"/>
          </w:sdtPr>
          <w:sdtContent>
            <w:tc>
              <w:tcPr>
                <w:tcW w:w="284" w:type="dxa"/>
                <w:vAlign w:val="center"/>
              </w:tcPr>
              <w:p w14:paraId="11F3A0F9" w14:textId="77777777" w:rsidR="00577D08" w:rsidRDefault="00330FC0">
                <w:pPr>
                  <w:snapToGrid w:val="0"/>
                  <w:spacing w:line="240" w:lineRule="atLeast"/>
                  <w:jc w:val="center"/>
                  <w:rPr>
                    <w:sz w:val="15"/>
                    <w:szCs w:val="15"/>
                  </w:rPr>
                </w:pPr>
                <w:r>
                  <w:rPr>
                    <w:rFonts w:hint="eastAsia"/>
                    <w:sz w:val="15"/>
                    <w:szCs w:val="15"/>
                  </w:rPr>
                  <w:t>优先股</w:t>
                </w:r>
              </w:p>
            </w:tc>
          </w:sdtContent>
        </w:sdt>
        <w:sdt>
          <w:sdtPr>
            <w:rPr>
              <w:sz w:val="15"/>
              <w:szCs w:val="15"/>
            </w:rPr>
            <w:tag w:val="_PLD_ff95d9a5f43c439aac9ba6d07675d878"/>
            <w:id w:val="244003010"/>
          </w:sdtPr>
          <w:sdtContent>
            <w:tc>
              <w:tcPr>
                <w:tcW w:w="425" w:type="dxa"/>
                <w:vAlign w:val="center"/>
              </w:tcPr>
              <w:p w14:paraId="4A733CCF" w14:textId="77777777" w:rsidR="00577D08" w:rsidRDefault="00330FC0">
                <w:pPr>
                  <w:snapToGrid w:val="0"/>
                  <w:spacing w:line="240" w:lineRule="atLeast"/>
                  <w:jc w:val="center"/>
                  <w:rPr>
                    <w:sz w:val="15"/>
                    <w:szCs w:val="15"/>
                  </w:rPr>
                </w:pPr>
                <w:r>
                  <w:rPr>
                    <w:rFonts w:hint="eastAsia"/>
                    <w:sz w:val="15"/>
                    <w:szCs w:val="15"/>
                  </w:rPr>
                  <w:t>永续债</w:t>
                </w:r>
              </w:p>
            </w:tc>
          </w:sdtContent>
        </w:sdt>
        <w:sdt>
          <w:sdtPr>
            <w:rPr>
              <w:sz w:val="15"/>
              <w:szCs w:val="15"/>
            </w:rPr>
            <w:tag w:val="_PLD_172b1cd40c094b6fa71aba6fe6a10f81"/>
            <w:id w:val="-575974514"/>
          </w:sdtPr>
          <w:sdtContent>
            <w:tc>
              <w:tcPr>
                <w:tcW w:w="425" w:type="dxa"/>
                <w:vAlign w:val="center"/>
              </w:tcPr>
              <w:p w14:paraId="41F0AE8F" w14:textId="77777777" w:rsidR="00577D08" w:rsidRDefault="00330FC0">
                <w:pPr>
                  <w:snapToGrid w:val="0"/>
                  <w:spacing w:line="240" w:lineRule="atLeast"/>
                  <w:jc w:val="center"/>
                  <w:rPr>
                    <w:sz w:val="15"/>
                    <w:szCs w:val="15"/>
                  </w:rPr>
                </w:pPr>
                <w:r>
                  <w:rPr>
                    <w:rFonts w:hint="eastAsia"/>
                    <w:sz w:val="15"/>
                    <w:szCs w:val="15"/>
                  </w:rPr>
                  <w:t>其他</w:t>
                </w:r>
              </w:p>
            </w:tc>
          </w:sdtContent>
        </w:sdt>
        <w:tc>
          <w:tcPr>
            <w:tcW w:w="992" w:type="dxa"/>
            <w:vMerge/>
            <w:vAlign w:val="center"/>
          </w:tcPr>
          <w:p w14:paraId="49658A3A" w14:textId="77777777" w:rsidR="00577D08" w:rsidRDefault="00577D08">
            <w:pPr>
              <w:snapToGrid w:val="0"/>
              <w:spacing w:line="240" w:lineRule="atLeast"/>
              <w:jc w:val="center"/>
              <w:rPr>
                <w:sz w:val="15"/>
                <w:szCs w:val="15"/>
              </w:rPr>
            </w:pPr>
          </w:p>
        </w:tc>
        <w:tc>
          <w:tcPr>
            <w:tcW w:w="1134" w:type="dxa"/>
            <w:vMerge/>
            <w:vAlign w:val="center"/>
          </w:tcPr>
          <w:p w14:paraId="5774AA96" w14:textId="77777777" w:rsidR="00577D08" w:rsidRDefault="00577D08">
            <w:pPr>
              <w:snapToGrid w:val="0"/>
              <w:spacing w:line="240" w:lineRule="atLeast"/>
              <w:jc w:val="center"/>
              <w:rPr>
                <w:sz w:val="15"/>
                <w:szCs w:val="15"/>
              </w:rPr>
            </w:pPr>
          </w:p>
        </w:tc>
        <w:tc>
          <w:tcPr>
            <w:tcW w:w="1134" w:type="dxa"/>
            <w:vMerge/>
            <w:vAlign w:val="center"/>
          </w:tcPr>
          <w:p w14:paraId="31C11C54" w14:textId="77777777" w:rsidR="00577D08" w:rsidRDefault="00577D08">
            <w:pPr>
              <w:snapToGrid w:val="0"/>
              <w:spacing w:line="240" w:lineRule="atLeast"/>
              <w:jc w:val="center"/>
              <w:rPr>
                <w:sz w:val="15"/>
                <w:szCs w:val="15"/>
              </w:rPr>
            </w:pPr>
          </w:p>
        </w:tc>
        <w:tc>
          <w:tcPr>
            <w:tcW w:w="1134" w:type="dxa"/>
            <w:vMerge/>
            <w:vAlign w:val="center"/>
          </w:tcPr>
          <w:p w14:paraId="58688234" w14:textId="77777777" w:rsidR="00577D08" w:rsidRDefault="00577D08">
            <w:pPr>
              <w:snapToGrid w:val="0"/>
              <w:spacing w:line="240" w:lineRule="atLeast"/>
              <w:jc w:val="center"/>
              <w:rPr>
                <w:sz w:val="15"/>
                <w:szCs w:val="15"/>
              </w:rPr>
            </w:pPr>
          </w:p>
        </w:tc>
        <w:tc>
          <w:tcPr>
            <w:tcW w:w="993" w:type="dxa"/>
            <w:vMerge/>
            <w:vAlign w:val="center"/>
          </w:tcPr>
          <w:p w14:paraId="3C57EDDE" w14:textId="77777777" w:rsidR="00577D08" w:rsidRDefault="00577D08">
            <w:pPr>
              <w:snapToGrid w:val="0"/>
              <w:spacing w:line="240" w:lineRule="atLeast"/>
              <w:jc w:val="center"/>
              <w:rPr>
                <w:sz w:val="15"/>
                <w:szCs w:val="15"/>
              </w:rPr>
            </w:pPr>
          </w:p>
        </w:tc>
        <w:tc>
          <w:tcPr>
            <w:tcW w:w="567" w:type="dxa"/>
            <w:vMerge/>
            <w:vAlign w:val="center"/>
          </w:tcPr>
          <w:p w14:paraId="144D237C" w14:textId="77777777" w:rsidR="00577D08" w:rsidRDefault="00577D08">
            <w:pPr>
              <w:snapToGrid w:val="0"/>
              <w:spacing w:line="240" w:lineRule="atLeast"/>
              <w:jc w:val="center"/>
              <w:rPr>
                <w:sz w:val="15"/>
                <w:szCs w:val="15"/>
              </w:rPr>
            </w:pPr>
          </w:p>
        </w:tc>
        <w:tc>
          <w:tcPr>
            <w:tcW w:w="992" w:type="dxa"/>
            <w:vMerge/>
            <w:vAlign w:val="center"/>
          </w:tcPr>
          <w:p w14:paraId="6E570A9C" w14:textId="77777777" w:rsidR="00577D08" w:rsidRDefault="00577D08">
            <w:pPr>
              <w:snapToGrid w:val="0"/>
              <w:spacing w:line="240" w:lineRule="atLeast"/>
              <w:jc w:val="center"/>
              <w:rPr>
                <w:sz w:val="15"/>
                <w:szCs w:val="15"/>
              </w:rPr>
            </w:pPr>
          </w:p>
        </w:tc>
        <w:tc>
          <w:tcPr>
            <w:tcW w:w="283" w:type="dxa"/>
            <w:vMerge/>
            <w:vAlign w:val="center"/>
          </w:tcPr>
          <w:p w14:paraId="1C3EF637" w14:textId="77777777" w:rsidR="00577D08" w:rsidRDefault="00577D08">
            <w:pPr>
              <w:jc w:val="center"/>
              <w:rPr>
                <w:sz w:val="15"/>
                <w:szCs w:val="15"/>
              </w:rPr>
            </w:pPr>
          </w:p>
        </w:tc>
        <w:tc>
          <w:tcPr>
            <w:tcW w:w="1134" w:type="dxa"/>
            <w:vMerge/>
            <w:vAlign w:val="center"/>
          </w:tcPr>
          <w:p w14:paraId="3678530E" w14:textId="77777777" w:rsidR="00577D08" w:rsidRDefault="00577D08">
            <w:pPr>
              <w:jc w:val="center"/>
              <w:rPr>
                <w:sz w:val="15"/>
                <w:szCs w:val="15"/>
              </w:rPr>
            </w:pPr>
          </w:p>
        </w:tc>
        <w:tc>
          <w:tcPr>
            <w:tcW w:w="1276" w:type="dxa"/>
            <w:vMerge/>
            <w:vAlign w:val="center"/>
          </w:tcPr>
          <w:p w14:paraId="411706F8" w14:textId="77777777" w:rsidR="00577D08" w:rsidRDefault="00577D08">
            <w:pPr>
              <w:jc w:val="center"/>
              <w:rPr>
                <w:sz w:val="15"/>
                <w:szCs w:val="15"/>
              </w:rPr>
            </w:pPr>
          </w:p>
        </w:tc>
        <w:tc>
          <w:tcPr>
            <w:tcW w:w="1364" w:type="dxa"/>
            <w:vMerge/>
            <w:tcBorders>
              <w:bottom w:val="nil"/>
            </w:tcBorders>
            <w:vAlign w:val="center"/>
          </w:tcPr>
          <w:p w14:paraId="2B732B7E" w14:textId="77777777" w:rsidR="00577D08" w:rsidRDefault="00577D08">
            <w:pPr>
              <w:jc w:val="center"/>
              <w:rPr>
                <w:sz w:val="15"/>
                <w:szCs w:val="15"/>
              </w:rPr>
            </w:pPr>
          </w:p>
        </w:tc>
      </w:tr>
      <w:tr w:rsidR="00577D08" w14:paraId="14EDFBC6" w14:textId="77777777">
        <w:sdt>
          <w:sdtPr>
            <w:rPr>
              <w:sz w:val="15"/>
              <w:szCs w:val="15"/>
            </w:rPr>
            <w:tag w:val="_PLD_4fdfc5e6b5c34cfdb08e5d5e3943966e"/>
            <w:id w:val="-859043066"/>
          </w:sdtPr>
          <w:sdtContent>
            <w:tc>
              <w:tcPr>
                <w:tcW w:w="959" w:type="dxa"/>
                <w:vAlign w:val="center"/>
              </w:tcPr>
              <w:p w14:paraId="5FCDA1ED" w14:textId="77777777" w:rsidR="00577D08" w:rsidRDefault="00330FC0">
                <w:pPr>
                  <w:rPr>
                    <w:sz w:val="15"/>
                    <w:szCs w:val="15"/>
                  </w:rPr>
                </w:pPr>
                <w:r>
                  <w:rPr>
                    <w:sz w:val="15"/>
                    <w:szCs w:val="15"/>
                  </w:rPr>
                  <w:t>一、上年</w:t>
                </w:r>
                <w:r>
                  <w:rPr>
                    <w:rFonts w:hint="eastAsia"/>
                    <w:sz w:val="15"/>
                    <w:szCs w:val="15"/>
                  </w:rPr>
                  <w:t>年</w:t>
                </w:r>
                <w:r>
                  <w:rPr>
                    <w:sz w:val="15"/>
                    <w:szCs w:val="15"/>
                  </w:rPr>
                  <w:t>末余额</w:t>
                </w:r>
              </w:p>
            </w:tc>
          </w:sdtContent>
        </w:sdt>
        <w:tc>
          <w:tcPr>
            <w:tcW w:w="992" w:type="dxa"/>
            <w:vAlign w:val="center"/>
          </w:tcPr>
          <w:p w14:paraId="6EC9FBE7" w14:textId="77777777" w:rsidR="00577D08" w:rsidRDefault="00330FC0">
            <w:pPr>
              <w:jc w:val="right"/>
              <w:rPr>
                <w:sz w:val="15"/>
                <w:szCs w:val="15"/>
              </w:rPr>
            </w:pPr>
            <w:r>
              <w:rPr>
                <w:sz w:val="15"/>
                <w:szCs w:val="15"/>
              </w:rPr>
              <w:t>333,167,407.00</w:t>
            </w:r>
          </w:p>
        </w:tc>
        <w:tc>
          <w:tcPr>
            <w:tcW w:w="284" w:type="dxa"/>
            <w:vAlign w:val="center"/>
          </w:tcPr>
          <w:p w14:paraId="55D1C1F4" w14:textId="77777777" w:rsidR="00577D08" w:rsidRDefault="00577D08">
            <w:pPr>
              <w:jc w:val="right"/>
              <w:rPr>
                <w:sz w:val="15"/>
                <w:szCs w:val="15"/>
              </w:rPr>
            </w:pPr>
          </w:p>
        </w:tc>
        <w:tc>
          <w:tcPr>
            <w:tcW w:w="425" w:type="dxa"/>
            <w:vAlign w:val="center"/>
          </w:tcPr>
          <w:p w14:paraId="6B0AA35A" w14:textId="77777777" w:rsidR="00577D08" w:rsidRDefault="00577D08">
            <w:pPr>
              <w:jc w:val="right"/>
              <w:rPr>
                <w:sz w:val="15"/>
                <w:szCs w:val="15"/>
              </w:rPr>
            </w:pPr>
          </w:p>
        </w:tc>
        <w:tc>
          <w:tcPr>
            <w:tcW w:w="425" w:type="dxa"/>
            <w:vAlign w:val="center"/>
          </w:tcPr>
          <w:p w14:paraId="12299B40" w14:textId="77777777" w:rsidR="00577D08" w:rsidRDefault="00577D08">
            <w:pPr>
              <w:jc w:val="right"/>
              <w:rPr>
                <w:sz w:val="15"/>
                <w:szCs w:val="15"/>
              </w:rPr>
            </w:pPr>
          </w:p>
        </w:tc>
        <w:tc>
          <w:tcPr>
            <w:tcW w:w="992" w:type="dxa"/>
            <w:vAlign w:val="center"/>
          </w:tcPr>
          <w:p w14:paraId="61359AEC" w14:textId="77777777" w:rsidR="00577D08" w:rsidRDefault="00330FC0">
            <w:pPr>
              <w:jc w:val="right"/>
              <w:rPr>
                <w:sz w:val="15"/>
                <w:szCs w:val="15"/>
              </w:rPr>
            </w:pPr>
            <w:r>
              <w:rPr>
                <w:sz w:val="15"/>
                <w:szCs w:val="15"/>
              </w:rPr>
              <w:t>960,873,722.51</w:t>
            </w:r>
          </w:p>
        </w:tc>
        <w:tc>
          <w:tcPr>
            <w:tcW w:w="1134" w:type="dxa"/>
            <w:vAlign w:val="center"/>
          </w:tcPr>
          <w:p w14:paraId="6085442C" w14:textId="77777777" w:rsidR="00577D08" w:rsidRDefault="00330FC0">
            <w:pPr>
              <w:jc w:val="right"/>
              <w:rPr>
                <w:sz w:val="15"/>
                <w:szCs w:val="15"/>
              </w:rPr>
            </w:pPr>
            <w:r>
              <w:rPr>
                <w:sz w:val="15"/>
                <w:szCs w:val="15"/>
              </w:rPr>
              <w:t>30,893,741.28</w:t>
            </w:r>
          </w:p>
        </w:tc>
        <w:tc>
          <w:tcPr>
            <w:tcW w:w="1134" w:type="dxa"/>
            <w:vAlign w:val="center"/>
          </w:tcPr>
          <w:p w14:paraId="73953029" w14:textId="77777777" w:rsidR="00577D08" w:rsidRDefault="00330FC0">
            <w:pPr>
              <w:jc w:val="right"/>
              <w:rPr>
                <w:sz w:val="15"/>
                <w:szCs w:val="15"/>
              </w:rPr>
            </w:pPr>
            <w:r>
              <w:rPr>
                <w:sz w:val="15"/>
                <w:szCs w:val="15"/>
              </w:rPr>
              <w:t>2,027,597.71</w:t>
            </w:r>
          </w:p>
        </w:tc>
        <w:tc>
          <w:tcPr>
            <w:tcW w:w="1134" w:type="dxa"/>
            <w:vAlign w:val="center"/>
          </w:tcPr>
          <w:p w14:paraId="3D658F7A" w14:textId="77777777" w:rsidR="00577D08" w:rsidRDefault="00330FC0">
            <w:pPr>
              <w:jc w:val="right"/>
              <w:rPr>
                <w:sz w:val="15"/>
                <w:szCs w:val="15"/>
              </w:rPr>
            </w:pPr>
            <w:r>
              <w:rPr>
                <w:sz w:val="15"/>
                <w:szCs w:val="15"/>
              </w:rPr>
              <w:t>22,440,561.28</w:t>
            </w:r>
          </w:p>
        </w:tc>
        <w:tc>
          <w:tcPr>
            <w:tcW w:w="993" w:type="dxa"/>
            <w:vAlign w:val="center"/>
          </w:tcPr>
          <w:p w14:paraId="7C3E1B73" w14:textId="77777777" w:rsidR="00577D08" w:rsidRDefault="00330FC0">
            <w:pPr>
              <w:jc w:val="right"/>
              <w:rPr>
                <w:sz w:val="15"/>
                <w:szCs w:val="15"/>
              </w:rPr>
            </w:pPr>
            <w:r>
              <w:rPr>
                <w:sz w:val="15"/>
                <w:szCs w:val="15"/>
              </w:rPr>
              <w:t>122,195,454.42</w:t>
            </w:r>
          </w:p>
        </w:tc>
        <w:tc>
          <w:tcPr>
            <w:tcW w:w="567" w:type="dxa"/>
            <w:vAlign w:val="center"/>
          </w:tcPr>
          <w:p w14:paraId="75B00CB3" w14:textId="77777777" w:rsidR="00577D08" w:rsidRDefault="00577D08">
            <w:pPr>
              <w:jc w:val="right"/>
              <w:rPr>
                <w:sz w:val="15"/>
                <w:szCs w:val="15"/>
              </w:rPr>
            </w:pPr>
          </w:p>
        </w:tc>
        <w:tc>
          <w:tcPr>
            <w:tcW w:w="992" w:type="dxa"/>
            <w:vAlign w:val="center"/>
          </w:tcPr>
          <w:p w14:paraId="7DE42E07" w14:textId="77777777" w:rsidR="00577D08" w:rsidRDefault="00330FC0">
            <w:pPr>
              <w:jc w:val="right"/>
              <w:rPr>
                <w:sz w:val="15"/>
                <w:szCs w:val="15"/>
              </w:rPr>
            </w:pPr>
            <w:r>
              <w:rPr>
                <w:sz w:val="15"/>
                <w:szCs w:val="15"/>
              </w:rPr>
              <w:t>1,003,432,341.75</w:t>
            </w:r>
          </w:p>
        </w:tc>
        <w:tc>
          <w:tcPr>
            <w:tcW w:w="283" w:type="dxa"/>
            <w:vAlign w:val="center"/>
          </w:tcPr>
          <w:p w14:paraId="35C6BE40" w14:textId="77777777" w:rsidR="00577D08" w:rsidRDefault="00577D08">
            <w:pPr>
              <w:jc w:val="right"/>
              <w:rPr>
                <w:sz w:val="15"/>
                <w:szCs w:val="15"/>
              </w:rPr>
            </w:pPr>
          </w:p>
        </w:tc>
        <w:tc>
          <w:tcPr>
            <w:tcW w:w="1134" w:type="dxa"/>
            <w:vAlign w:val="center"/>
          </w:tcPr>
          <w:p w14:paraId="247D72E5" w14:textId="77777777" w:rsidR="00577D08" w:rsidRDefault="00330FC0">
            <w:pPr>
              <w:jc w:val="right"/>
              <w:rPr>
                <w:sz w:val="15"/>
                <w:szCs w:val="15"/>
              </w:rPr>
            </w:pPr>
            <w:r>
              <w:rPr>
                <w:sz w:val="15"/>
                <w:szCs w:val="15"/>
              </w:rPr>
              <w:t>2,413,243,343.39</w:t>
            </w:r>
          </w:p>
        </w:tc>
        <w:tc>
          <w:tcPr>
            <w:tcW w:w="1276" w:type="dxa"/>
            <w:vAlign w:val="center"/>
          </w:tcPr>
          <w:p w14:paraId="7BAD8644" w14:textId="77777777" w:rsidR="00577D08" w:rsidRDefault="00330FC0">
            <w:pPr>
              <w:jc w:val="right"/>
              <w:rPr>
                <w:sz w:val="15"/>
                <w:szCs w:val="15"/>
              </w:rPr>
            </w:pPr>
            <w:r>
              <w:rPr>
                <w:sz w:val="15"/>
                <w:szCs w:val="15"/>
              </w:rPr>
              <w:t>139,598,553.64</w:t>
            </w:r>
          </w:p>
        </w:tc>
        <w:tc>
          <w:tcPr>
            <w:tcW w:w="1364" w:type="dxa"/>
            <w:vAlign w:val="center"/>
          </w:tcPr>
          <w:p w14:paraId="4B04DF0E" w14:textId="77777777" w:rsidR="00577D08" w:rsidRDefault="00330FC0">
            <w:pPr>
              <w:jc w:val="right"/>
              <w:rPr>
                <w:sz w:val="15"/>
                <w:szCs w:val="15"/>
              </w:rPr>
            </w:pPr>
            <w:r>
              <w:rPr>
                <w:sz w:val="15"/>
                <w:szCs w:val="15"/>
              </w:rPr>
              <w:t>2,552,841,897.03</w:t>
            </w:r>
          </w:p>
        </w:tc>
      </w:tr>
      <w:tr w:rsidR="00577D08" w14:paraId="688B6A1A" w14:textId="77777777">
        <w:sdt>
          <w:sdtPr>
            <w:rPr>
              <w:sz w:val="15"/>
              <w:szCs w:val="15"/>
            </w:rPr>
            <w:tag w:val="_PLD_90f04cf20717467298c2824a1c7b2f71"/>
            <w:id w:val="1075311903"/>
          </w:sdtPr>
          <w:sdtContent>
            <w:tc>
              <w:tcPr>
                <w:tcW w:w="959" w:type="dxa"/>
                <w:vAlign w:val="center"/>
              </w:tcPr>
              <w:p w14:paraId="08E08CB0" w14:textId="77777777" w:rsidR="00577D08" w:rsidRDefault="00330FC0">
                <w:pPr>
                  <w:rPr>
                    <w:sz w:val="15"/>
                    <w:szCs w:val="15"/>
                  </w:rPr>
                </w:pPr>
                <w:r>
                  <w:rPr>
                    <w:rFonts w:hint="eastAsia"/>
                    <w:sz w:val="15"/>
                    <w:szCs w:val="15"/>
                  </w:rPr>
                  <w:t>加：</w:t>
                </w:r>
                <w:r>
                  <w:rPr>
                    <w:sz w:val="15"/>
                    <w:szCs w:val="15"/>
                  </w:rPr>
                  <w:t>会计政策变更</w:t>
                </w:r>
              </w:p>
            </w:tc>
          </w:sdtContent>
        </w:sdt>
        <w:tc>
          <w:tcPr>
            <w:tcW w:w="992" w:type="dxa"/>
            <w:vAlign w:val="center"/>
          </w:tcPr>
          <w:p w14:paraId="2981E06E" w14:textId="77777777" w:rsidR="00577D08" w:rsidRDefault="00577D08">
            <w:pPr>
              <w:jc w:val="right"/>
              <w:rPr>
                <w:sz w:val="15"/>
                <w:szCs w:val="15"/>
              </w:rPr>
            </w:pPr>
          </w:p>
        </w:tc>
        <w:tc>
          <w:tcPr>
            <w:tcW w:w="284" w:type="dxa"/>
            <w:vAlign w:val="center"/>
          </w:tcPr>
          <w:p w14:paraId="768BA10B" w14:textId="77777777" w:rsidR="00577D08" w:rsidRDefault="00577D08">
            <w:pPr>
              <w:jc w:val="right"/>
              <w:rPr>
                <w:sz w:val="15"/>
                <w:szCs w:val="15"/>
              </w:rPr>
            </w:pPr>
          </w:p>
        </w:tc>
        <w:tc>
          <w:tcPr>
            <w:tcW w:w="425" w:type="dxa"/>
            <w:vAlign w:val="center"/>
          </w:tcPr>
          <w:p w14:paraId="65AE0EF7" w14:textId="77777777" w:rsidR="00577D08" w:rsidRDefault="00577D08">
            <w:pPr>
              <w:jc w:val="right"/>
              <w:rPr>
                <w:sz w:val="15"/>
                <w:szCs w:val="15"/>
              </w:rPr>
            </w:pPr>
          </w:p>
        </w:tc>
        <w:tc>
          <w:tcPr>
            <w:tcW w:w="425" w:type="dxa"/>
            <w:vAlign w:val="center"/>
          </w:tcPr>
          <w:p w14:paraId="61811031" w14:textId="77777777" w:rsidR="00577D08" w:rsidRDefault="00577D08">
            <w:pPr>
              <w:jc w:val="right"/>
              <w:rPr>
                <w:sz w:val="15"/>
                <w:szCs w:val="15"/>
              </w:rPr>
            </w:pPr>
          </w:p>
        </w:tc>
        <w:tc>
          <w:tcPr>
            <w:tcW w:w="992" w:type="dxa"/>
            <w:vAlign w:val="center"/>
          </w:tcPr>
          <w:p w14:paraId="2F57084F" w14:textId="77777777" w:rsidR="00577D08" w:rsidRDefault="00577D08">
            <w:pPr>
              <w:jc w:val="right"/>
              <w:rPr>
                <w:sz w:val="15"/>
                <w:szCs w:val="15"/>
              </w:rPr>
            </w:pPr>
          </w:p>
        </w:tc>
        <w:tc>
          <w:tcPr>
            <w:tcW w:w="1134" w:type="dxa"/>
            <w:vAlign w:val="center"/>
          </w:tcPr>
          <w:p w14:paraId="38E696BE" w14:textId="77777777" w:rsidR="00577D08" w:rsidRDefault="00577D08">
            <w:pPr>
              <w:jc w:val="right"/>
              <w:rPr>
                <w:sz w:val="15"/>
                <w:szCs w:val="15"/>
              </w:rPr>
            </w:pPr>
          </w:p>
        </w:tc>
        <w:tc>
          <w:tcPr>
            <w:tcW w:w="1134" w:type="dxa"/>
            <w:vAlign w:val="center"/>
          </w:tcPr>
          <w:p w14:paraId="0131BAEA" w14:textId="77777777" w:rsidR="00577D08" w:rsidRDefault="00577D08">
            <w:pPr>
              <w:jc w:val="right"/>
              <w:rPr>
                <w:sz w:val="15"/>
                <w:szCs w:val="15"/>
              </w:rPr>
            </w:pPr>
          </w:p>
        </w:tc>
        <w:tc>
          <w:tcPr>
            <w:tcW w:w="1134" w:type="dxa"/>
            <w:vAlign w:val="center"/>
          </w:tcPr>
          <w:p w14:paraId="6BDC45D9" w14:textId="77777777" w:rsidR="00577D08" w:rsidRDefault="00577D08">
            <w:pPr>
              <w:jc w:val="right"/>
              <w:rPr>
                <w:sz w:val="15"/>
                <w:szCs w:val="15"/>
              </w:rPr>
            </w:pPr>
          </w:p>
        </w:tc>
        <w:tc>
          <w:tcPr>
            <w:tcW w:w="993" w:type="dxa"/>
            <w:vAlign w:val="center"/>
          </w:tcPr>
          <w:p w14:paraId="7C70816D" w14:textId="77777777" w:rsidR="00577D08" w:rsidRDefault="00577D08">
            <w:pPr>
              <w:jc w:val="right"/>
              <w:rPr>
                <w:sz w:val="15"/>
                <w:szCs w:val="15"/>
              </w:rPr>
            </w:pPr>
          </w:p>
        </w:tc>
        <w:tc>
          <w:tcPr>
            <w:tcW w:w="567" w:type="dxa"/>
            <w:vAlign w:val="center"/>
          </w:tcPr>
          <w:p w14:paraId="0322380D" w14:textId="77777777" w:rsidR="00577D08" w:rsidRDefault="00577D08">
            <w:pPr>
              <w:jc w:val="right"/>
              <w:rPr>
                <w:sz w:val="15"/>
                <w:szCs w:val="15"/>
              </w:rPr>
            </w:pPr>
          </w:p>
        </w:tc>
        <w:tc>
          <w:tcPr>
            <w:tcW w:w="992" w:type="dxa"/>
            <w:vAlign w:val="center"/>
          </w:tcPr>
          <w:p w14:paraId="52CCEB2A" w14:textId="77777777" w:rsidR="00577D08" w:rsidRDefault="00577D08">
            <w:pPr>
              <w:jc w:val="right"/>
              <w:rPr>
                <w:sz w:val="15"/>
                <w:szCs w:val="15"/>
              </w:rPr>
            </w:pPr>
          </w:p>
        </w:tc>
        <w:tc>
          <w:tcPr>
            <w:tcW w:w="283" w:type="dxa"/>
            <w:vAlign w:val="center"/>
          </w:tcPr>
          <w:p w14:paraId="1A669D0E" w14:textId="77777777" w:rsidR="00577D08" w:rsidRDefault="00577D08">
            <w:pPr>
              <w:jc w:val="right"/>
              <w:rPr>
                <w:sz w:val="15"/>
                <w:szCs w:val="15"/>
              </w:rPr>
            </w:pPr>
          </w:p>
        </w:tc>
        <w:tc>
          <w:tcPr>
            <w:tcW w:w="1134" w:type="dxa"/>
            <w:vAlign w:val="center"/>
          </w:tcPr>
          <w:p w14:paraId="6DA3D0B0" w14:textId="77777777" w:rsidR="00577D08" w:rsidRDefault="00577D08">
            <w:pPr>
              <w:jc w:val="right"/>
              <w:rPr>
                <w:sz w:val="15"/>
                <w:szCs w:val="15"/>
              </w:rPr>
            </w:pPr>
          </w:p>
        </w:tc>
        <w:tc>
          <w:tcPr>
            <w:tcW w:w="1276" w:type="dxa"/>
            <w:vAlign w:val="center"/>
          </w:tcPr>
          <w:p w14:paraId="4089EF64" w14:textId="77777777" w:rsidR="00577D08" w:rsidRDefault="00577D08">
            <w:pPr>
              <w:jc w:val="right"/>
              <w:rPr>
                <w:sz w:val="15"/>
                <w:szCs w:val="15"/>
              </w:rPr>
            </w:pPr>
          </w:p>
        </w:tc>
        <w:tc>
          <w:tcPr>
            <w:tcW w:w="1364" w:type="dxa"/>
            <w:vAlign w:val="center"/>
          </w:tcPr>
          <w:p w14:paraId="06B1A81F" w14:textId="77777777" w:rsidR="00577D08" w:rsidRDefault="00577D08">
            <w:pPr>
              <w:jc w:val="right"/>
              <w:rPr>
                <w:sz w:val="15"/>
                <w:szCs w:val="15"/>
              </w:rPr>
            </w:pPr>
          </w:p>
        </w:tc>
      </w:tr>
      <w:tr w:rsidR="00577D08" w14:paraId="79402987" w14:textId="77777777">
        <w:sdt>
          <w:sdtPr>
            <w:rPr>
              <w:sz w:val="15"/>
              <w:szCs w:val="15"/>
            </w:rPr>
            <w:tag w:val="_PLD_d724580d38484f718fafd008f24a7505"/>
            <w:id w:val="111403146"/>
          </w:sdtPr>
          <w:sdtContent>
            <w:tc>
              <w:tcPr>
                <w:tcW w:w="959" w:type="dxa"/>
                <w:vAlign w:val="center"/>
              </w:tcPr>
              <w:p w14:paraId="4772542B" w14:textId="77777777" w:rsidR="00577D08" w:rsidRDefault="00330FC0">
                <w:pPr>
                  <w:ind w:firstLineChars="200" w:firstLine="300"/>
                  <w:rPr>
                    <w:sz w:val="15"/>
                    <w:szCs w:val="15"/>
                  </w:rPr>
                </w:pPr>
                <w:r>
                  <w:rPr>
                    <w:sz w:val="15"/>
                    <w:szCs w:val="15"/>
                  </w:rPr>
                  <w:t>前期差错更正</w:t>
                </w:r>
              </w:p>
            </w:tc>
          </w:sdtContent>
        </w:sdt>
        <w:tc>
          <w:tcPr>
            <w:tcW w:w="992" w:type="dxa"/>
            <w:vAlign w:val="center"/>
          </w:tcPr>
          <w:p w14:paraId="0813BE9B" w14:textId="77777777" w:rsidR="00577D08" w:rsidRDefault="00577D08">
            <w:pPr>
              <w:jc w:val="right"/>
              <w:rPr>
                <w:sz w:val="15"/>
                <w:szCs w:val="15"/>
              </w:rPr>
            </w:pPr>
          </w:p>
        </w:tc>
        <w:tc>
          <w:tcPr>
            <w:tcW w:w="284" w:type="dxa"/>
            <w:vAlign w:val="center"/>
          </w:tcPr>
          <w:p w14:paraId="7883F0A2" w14:textId="77777777" w:rsidR="00577D08" w:rsidRDefault="00577D08">
            <w:pPr>
              <w:jc w:val="right"/>
              <w:rPr>
                <w:sz w:val="15"/>
                <w:szCs w:val="15"/>
              </w:rPr>
            </w:pPr>
          </w:p>
        </w:tc>
        <w:tc>
          <w:tcPr>
            <w:tcW w:w="425" w:type="dxa"/>
            <w:vAlign w:val="center"/>
          </w:tcPr>
          <w:p w14:paraId="78B37D1F" w14:textId="77777777" w:rsidR="00577D08" w:rsidRDefault="00577D08">
            <w:pPr>
              <w:jc w:val="right"/>
              <w:rPr>
                <w:sz w:val="15"/>
                <w:szCs w:val="15"/>
              </w:rPr>
            </w:pPr>
          </w:p>
        </w:tc>
        <w:tc>
          <w:tcPr>
            <w:tcW w:w="425" w:type="dxa"/>
            <w:vAlign w:val="center"/>
          </w:tcPr>
          <w:p w14:paraId="18D3FB49" w14:textId="77777777" w:rsidR="00577D08" w:rsidRDefault="00577D08">
            <w:pPr>
              <w:jc w:val="right"/>
              <w:rPr>
                <w:sz w:val="15"/>
                <w:szCs w:val="15"/>
              </w:rPr>
            </w:pPr>
          </w:p>
        </w:tc>
        <w:tc>
          <w:tcPr>
            <w:tcW w:w="992" w:type="dxa"/>
            <w:vAlign w:val="center"/>
          </w:tcPr>
          <w:p w14:paraId="175BDE16" w14:textId="77777777" w:rsidR="00577D08" w:rsidRDefault="00577D08">
            <w:pPr>
              <w:jc w:val="right"/>
              <w:rPr>
                <w:sz w:val="15"/>
                <w:szCs w:val="15"/>
              </w:rPr>
            </w:pPr>
          </w:p>
        </w:tc>
        <w:tc>
          <w:tcPr>
            <w:tcW w:w="1134" w:type="dxa"/>
            <w:vAlign w:val="center"/>
          </w:tcPr>
          <w:p w14:paraId="3A63BF2B" w14:textId="77777777" w:rsidR="00577D08" w:rsidRDefault="00577D08">
            <w:pPr>
              <w:jc w:val="right"/>
              <w:rPr>
                <w:sz w:val="15"/>
                <w:szCs w:val="15"/>
              </w:rPr>
            </w:pPr>
          </w:p>
        </w:tc>
        <w:tc>
          <w:tcPr>
            <w:tcW w:w="1134" w:type="dxa"/>
            <w:vAlign w:val="center"/>
          </w:tcPr>
          <w:p w14:paraId="1FA9B1E9" w14:textId="77777777" w:rsidR="00577D08" w:rsidRDefault="00577D08">
            <w:pPr>
              <w:jc w:val="right"/>
              <w:rPr>
                <w:sz w:val="15"/>
                <w:szCs w:val="15"/>
              </w:rPr>
            </w:pPr>
          </w:p>
        </w:tc>
        <w:tc>
          <w:tcPr>
            <w:tcW w:w="1134" w:type="dxa"/>
            <w:vAlign w:val="center"/>
          </w:tcPr>
          <w:p w14:paraId="4C1AF097" w14:textId="77777777" w:rsidR="00577D08" w:rsidRDefault="00577D08">
            <w:pPr>
              <w:jc w:val="right"/>
              <w:rPr>
                <w:sz w:val="15"/>
                <w:szCs w:val="15"/>
              </w:rPr>
            </w:pPr>
          </w:p>
        </w:tc>
        <w:tc>
          <w:tcPr>
            <w:tcW w:w="993" w:type="dxa"/>
            <w:vAlign w:val="center"/>
          </w:tcPr>
          <w:p w14:paraId="408CAC7E" w14:textId="77777777" w:rsidR="00577D08" w:rsidRDefault="00577D08">
            <w:pPr>
              <w:jc w:val="right"/>
              <w:rPr>
                <w:sz w:val="15"/>
                <w:szCs w:val="15"/>
              </w:rPr>
            </w:pPr>
          </w:p>
        </w:tc>
        <w:tc>
          <w:tcPr>
            <w:tcW w:w="567" w:type="dxa"/>
            <w:vAlign w:val="center"/>
          </w:tcPr>
          <w:p w14:paraId="6FC23D3B" w14:textId="77777777" w:rsidR="00577D08" w:rsidRDefault="00577D08">
            <w:pPr>
              <w:jc w:val="right"/>
              <w:rPr>
                <w:sz w:val="15"/>
                <w:szCs w:val="15"/>
              </w:rPr>
            </w:pPr>
          </w:p>
        </w:tc>
        <w:tc>
          <w:tcPr>
            <w:tcW w:w="992" w:type="dxa"/>
            <w:vAlign w:val="center"/>
          </w:tcPr>
          <w:p w14:paraId="09B3EA03" w14:textId="77777777" w:rsidR="00577D08" w:rsidRDefault="00577D08">
            <w:pPr>
              <w:jc w:val="right"/>
              <w:rPr>
                <w:sz w:val="15"/>
                <w:szCs w:val="15"/>
              </w:rPr>
            </w:pPr>
          </w:p>
        </w:tc>
        <w:tc>
          <w:tcPr>
            <w:tcW w:w="283" w:type="dxa"/>
            <w:vAlign w:val="center"/>
          </w:tcPr>
          <w:p w14:paraId="56252604" w14:textId="77777777" w:rsidR="00577D08" w:rsidRDefault="00577D08">
            <w:pPr>
              <w:jc w:val="right"/>
              <w:rPr>
                <w:sz w:val="15"/>
                <w:szCs w:val="15"/>
              </w:rPr>
            </w:pPr>
          </w:p>
        </w:tc>
        <w:tc>
          <w:tcPr>
            <w:tcW w:w="1134" w:type="dxa"/>
            <w:vAlign w:val="center"/>
          </w:tcPr>
          <w:p w14:paraId="6A3058BE" w14:textId="77777777" w:rsidR="00577D08" w:rsidRDefault="00577D08">
            <w:pPr>
              <w:jc w:val="right"/>
              <w:rPr>
                <w:sz w:val="15"/>
                <w:szCs w:val="15"/>
              </w:rPr>
            </w:pPr>
          </w:p>
        </w:tc>
        <w:tc>
          <w:tcPr>
            <w:tcW w:w="1276" w:type="dxa"/>
            <w:vAlign w:val="center"/>
          </w:tcPr>
          <w:p w14:paraId="5BC96370" w14:textId="77777777" w:rsidR="00577D08" w:rsidRDefault="00577D08">
            <w:pPr>
              <w:jc w:val="right"/>
              <w:rPr>
                <w:sz w:val="15"/>
                <w:szCs w:val="15"/>
              </w:rPr>
            </w:pPr>
          </w:p>
        </w:tc>
        <w:tc>
          <w:tcPr>
            <w:tcW w:w="1364" w:type="dxa"/>
            <w:vAlign w:val="center"/>
          </w:tcPr>
          <w:p w14:paraId="57F8A789" w14:textId="77777777" w:rsidR="00577D08" w:rsidRDefault="00577D08">
            <w:pPr>
              <w:jc w:val="right"/>
              <w:rPr>
                <w:sz w:val="15"/>
                <w:szCs w:val="15"/>
              </w:rPr>
            </w:pPr>
          </w:p>
        </w:tc>
      </w:tr>
      <w:tr w:rsidR="00577D08" w14:paraId="02336526" w14:textId="77777777">
        <w:sdt>
          <w:sdtPr>
            <w:rPr>
              <w:sz w:val="15"/>
              <w:szCs w:val="15"/>
            </w:rPr>
            <w:tag w:val="_PLD_122e3287ddd140fb9d031a4dab8a8b13"/>
            <w:id w:val="-1978907071"/>
          </w:sdtPr>
          <w:sdtContent>
            <w:tc>
              <w:tcPr>
                <w:tcW w:w="959" w:type="dxa"/>
                <w:vAlign w:val="center"/>
              </w:tcPr>
              <w:p w14:paraId="2D861C6D" w14:textId="77777777" w:rsidR="00577D08" w:rsidRDefault="00330FC0">
                <w:pPr>
                  <w:ind w:firstLineChars="200" w:firstLine="300"/>
                  <w:rPr>
                    <w:sz w:val="15"/>
                    <w:szCs w:val="15"/>
                  </w:rPr>
                </w:pPr>
                <w:r>
                  <w:rPr>
                    <w:rFonts w:hint="eastAsia"/>
                    <w:sz w:val="15"/>
                    <w:szCs w:val="15"/>
                  </w:rPr>
                  <w:t>其他</w:t>
                </w:r>
              </w:p>
            </w:tc>
          </w:sdtContent>
        </w:sdt>
        <w:tc>
          <w:tcPr>
            <w:tcW w:w="992" w:type="dxa"/>
            <w:vAlign w:val="center"/>
          </w:tcPr>
          <w:p w14:paraId="0CFD4928" w14:textId="77777777" w:rsidR="00577D08" w:rsidRDefault="00577D08">
            <w:pPr>
              <w:jc w:val="right"/>
              <w:rPr>
                <w:sz w:val="15"/>
                <w:szCs w:val="15"/>
              </w:rPr>
            </w:pPr>
          </w:p>
        </w:tc>
        <w:tc>
          <w:tcPr>
            <w:tcW w:w="284" w:type="dxa"/>
            <w:vAlign w:val="center"/>
          </w:tcPr>
          <w:p w14:paraId="6BEC48EA" w14:textId="77777777" w:rsidR="00577D08" w:rsidRDefault="00577D08">
            <w:pPr>
              <w:jc w:val="right"/>
              <w:rPr>
                <w:sz w:val="15"/>
                <w:szCs w:val="15"/>
              </w:rPr>
            </w:pPr>
          </w:p>
        </w:tc>
        <w:tc>
          <w:tcPr>
            <w:tcW w:w="425" w:type="dxa"/>
            <w:vAlign w:val="center"/>
          </w:tcPr>
          <w:p w14:paraId="62B61A7D" w14:textId="77777777" w:rsidR="00577D08" w:rsidRDefault="00577D08">
            <w:pPr>
              <w:jc w:val="right"/>
              <w:rPr>
                <w:sz w:val="15"/>
                <w:szCs w:val="15"/>
              </w:rPr>
            </w:pPr>
          </w:p>
        </w:tc>
        <w:tc>
          <w:tcPr>
            <w:tcW w:w="425" w:type="dxa"/>
            <w:vAlign w:val="center"/>
          </w:tcPr>
          <w:p w14:paraId="7F231362" w14:textId="77777777" w:rsidR="00577D08" w:rsidRDefault="00577D08">
            <w:pPr>
              <w:jc w:val="right"/>
              <w:rPr>
                <w:sz w:val="15"/>
                <w:szCs w:val="15"/>
              </w:rPr>
            </w:pPr>
          </w:p>
        </w:tc>
        <w:tc>
          <w:tcPr>
            <w:tcW w:w="992" w:type="dxa"/>
            <w:vAlign w:val="center"/>
          </w:tcPr>
          <w:p w14:paraId="7FAB9EF8" w14:textId="77777777" w:rsidR="00577D08" w:rsidRDefault="00577D08">
            <w:pPr>
              <w:jc w:val="right"/>
              <w:rPr>
                <w:sz w:val="15"/>
                <w:szCs w:val="15"/>
              </w:rPr>
            </w:pPr>
          </w:p>
        </w:tc>
        <w:tc>
          <w:tcPr>
            <w:tcW w:w="1134" w:type="dxa"/>
            <w:vAlign w:val="center"/>
          </w:tcPr>
          <w:p w14:paraId="75FE8069" w14:textId="77777777" w:rsidR="00577D08" w:rsidRDefault="00577D08">
            <w:pPr>
              <w:jc w:val="right"/>
              <w:rPr>
                <w:sz w:val="15"/>
                <w:szCs w:val="15"/>
              </w:rPr>
            </w:pPr>
          </w:p>
        </w:tc>
        <w:tc>
          <w:tcPr>
            <w:tcW w:w="1134" w:type="dxa"/>
            <w:vAlign w:val="center"/>
          </w:tcPr>
          <w:p w14:paraId="3F9120C6" w14:textId="77777777" w:rsidR="00577D08" w:rsidRDefault="00577D08">
            <w:pPr>
              <w:jc w:val="right"/>
              <w:rPr>
                <w:sz w:val="15"/>
                <w:szCs w:val="15"/>
              </w:rPr>
            </w:pPr>
          </w:p>
        </w:tc>
        <w:tc>
          <w:tcPr>
            <w:tcW w:w="1134" w:type="dxa"/>
            <w:vAlign w:val="center"/>
          </w:tcPr>
          <w:p w14:paraId="3DA323AC" w14:textId="77777777" w:rsidR="00577D08" w:rsidRDefault="00577D08">
            <w:pPr>
              <w:jc w:val="right"/>
              <w:rPr>
                <w:sz w:val="15"/>
                <w:szCs w:val="15"/>
              </w:rPr>
            </w:pPr>
          </w:p>
        </w:tc>
        <w:tc>
          <w:tcPr>
            <w:tcW w:w="993" w:type="dxa"/>
            <w:vAlign w:val="center"/>
          </w:tcPr>
          <w:p w14:paraId="369C4BDC" w14:textId="77777777" w:rsidR="00577D08" w:rsidRDefault="00577D08">
            <w:pPr>
              <w:jc w:val="right"/>
              <w:rPr>
                <w:sz w:val="15"/>
                <w:szCs w:val="15"/>
              </w:rPr>
            </w:pPr>
          </w:p>
        </w:tc>
        <w:tc>
          <w:tcPr>
            <w:tcW w:w="567" w:type="dxa"/>
            <w:vAlign w:val="center"/>
          </w:tcPr>
          <w:p w14:paraId="2517109D" w14:textId="77777777" w:rsidR="00577D08" w:rsidRDefault="00577D08">
            <w:pPr>
              <w:jc w:val="right"/>
              <w:rPr>
                <w:sz w:val="15"/>
                <w:szCs w:val="15"/>
              </w:rPr>
            </w:pPr>
          </w:p>
        </w:tc>
        <w:tc>
          <w:tcPr>
            <w:tcW w:w="992" w:type="dxa"/>
            <w:vAlign w:val="center"/>
          </w:tcPr>
          <w:p w14:paraId="00E51AC6" w14:textId="77777777" w:rsidR="00577D08" w:rsidRDefault="00577D08">
            <w:pPr>
              <w:jc w:val="right"/>
              <w:rPr>
                <w:sz w:val="15"/>
                <w:szCs w:val="15"/>
              </w:rPr>
            </w:pPr>
          </w:p>
        </w:tc>
        <w:tc>
          <w:tcPr>
            <w:tcW w:w="283" w:type="dxa"/>
            <w:vAlign w:val="center"/>
          </w:tcPr>
          <w:p w14:paraId="7040D932" w14:textId="77777777" w:rsidR="00577D08" w:rsidRDefault="00577D08">
            <w:pPr>
              <w:jc w:val="right"/>
              <w:rPr>
                <w:sz w:val="15"/>
                <w:szCs w:val="15"/>
              </w:rPr>
            </w:pPr>
          </w:p>
        </w:tc>
        <w:tc>
          <w:tcPr>
            <w:tcW w:w="1134" w:type="dxa"/>
            <w:vAlign w:val="center"/>
          </w:tcPr>
          <w:p w14:paraId="02D94702" w14:textId="77777777" w:rsidR="00577D08" w:rsidRDefault="00577D08">
            <w:pPr>
              <w:jc w:val="right"/>
              <w:rPr>
                <w:sz w:val="15"/>
                <w:szCs w:val="15"/>
              </w:rPr>
            </w:pPr>
          </w:p>
        </w:tc>
        <w:tc>
          <w:tcPr>
            <w:tcW w:w="1276" w:type="dxa"/>
            <w:vAlign w:val="center"/>
          </w:tcPr>
          <w:p w14:paraId="6485CFB2" w14:textId="77777777" w:rsidR="00577D08" w:rsidRDefault="00577D08">
            <w:pPr>
              <w:jc w:val="right"/>
              <w:rPr>
                <w:sz w:val="15"/>
                <w:szCs w:val="15"/>
              </w:rPr>
            </w:pPr>
          </w:p>
        </w:tc>
        <w:tc>
          <w:tcPr>
            <w:tcW w:w="1364" w:type="dxa"/>
            <w:vAlign w:val="center"/>
          </w:tcPr>
          <w:p w14:paraId="7C7DD3CD" w14:textId="77777777" w:rsidR="00577D08" w:rsidRDefault="00577D08">
            <w:pPr>
              <w:jc w:val="right"/>
              <w:rPr>
                <w:sz w:val="15"/>
                <w:szCs w:val="15"/>
              </w:rPr>
            </w:pPr>
          </w:p>
        </w:tc>
      </w:tr>
      <w:tr w:rsidR="00577D08" w14:paraId="4BA57A5F" w14:textId="77777777">
        <w:sdt>
          <w:sdtPr>
            <w:rPr>
              <w:sz w:val="15"/>
              <w:szCs w:val="15"/>
            </w:rPr>
            <w:tag w:val="_PLD_04db836e110543eab1bb1c6fb46bd857"/>
            <w:id w:val="-1917233968"/>
          </w:sdtPr>
          <w:sdtContent>
            <w:tc>
              <w:tcPr>
                <w:tcW w:w="959" w:type="dxa"/>
                <w:vAlign w:val="center"/>
              </w:tcPr>
              <w:p w14:paraId="08BC1815" w14:textId="77777777" w:rsidR="00577D08" w:rsidRDefault="00330FC0">
                <w:pPr>
                  <w:rPr>
                    <w:sz w:val="15"/>
                    <w:szCs w:val="15"/>
                  </w:rPr>
                </w:pPr>
                <w:r>
                  <w:rPr>
                    <w:sz w:val="15"/>
                    <w:szCs w:val="15"/>
                  </w:rPr>
                  <w:t>二、本年</w:t>
                </w:r>
                <w:r>
                  <w:rPr>
                    <w:rFonts w:hint="eastAsia"/>
                    <w:sz w:val="15"/>
                    <w:szCs w:val="15"/>
                  </w:rPr>
                  <w:t>期</w:t>
                </w:r>
                <w:r>
                  <w:rPr>
                    <w:sz w:val="15"/>
                    <w:szCs w:val="15"/>
                  </w:rPr>
                  <w:t>初余额</w:t>
                </w:r>
              </w:p>
            </w:tc>
          </w:sdtContent>
        </w:sdt>
        <w:tc>
          <w:tcPr>
            <w:tcW w:w="992" w:type="dxa"/>
            <w:vAlign w:val="center"/>
          </w:tcPr>
          <w:p w14:paraId="32F496BA" w14:textId="77777777" w:rsidR="00577D08" w:rsidRDefault="00330FC0">
            <w:pPr>
              <w:jc w:val="right"/>
              <w:rPr>
                <w:sz w:val="15"/>
                <w:szCs w:val="15"/>
              </w:rPr>
            </w:pPr>
            <w:r>
              <w:rPr>
                <w:sz w:val="15"/>
                <w:szCs w:val="15"/>
              </w:rPr>
              <w:t>333,167,407.00</w:t>
            </w:r>
          </w:p>
        </w:tc>
        <w:tc>
          <w:tcPr>
            <w:tcW w:w="284" w:type="dxa"/>
            <w:vAlign w:val="center"/>
          </w:tcPr>
          <w:p w14:paraId="6C4737C6" w14:textId="77777777" w:rsidR="00577D08" w:rsidRDefault="00577D08">
            <w:pPr>
              <w:jc w:val="right"/>
              <w:rPr>
                <w:sz w:val="15"/>
                <w:szCs w:val="15"/>
              </w:rPr>
            </w:pPr>
          </w:p>
        </w:tc>
        <w:tc>
          <w:tcPr>
            <w:tcW w:w="425" w:type="dxa"/>
            <w:vAlign w:val="center"/>
          </w:tcPr>
          <w:p w14:paraId="03338C33" w14:textId="77777777" w:rsidR="00577D08" w:rsidRDefault="00577D08">
            <w:pPr>
              <w:jc w:val="right"/>
              <w:rPr>
                <w:sz w:val="15"/>
                <w:szCs w:val="15"/>
              </w:rPr>
            </w:pPr>
          </w:p>
        </w:tc>
        <w:tc>
          <w:tcPr>
            <w:tcW w:w="425" w:type="dxa"/>
            <w:vAlign w:val="center"/>
          </w:tcPr>
          <w:p w14:paraId="6B96338D" w14:textId="77777777" w:rsidR="00577D08" w:rsidRDefault="00577D08">
            <w:pPr>
              <w:jc w:val="right"/>
              <w:rPr>
                <w:sz w:val="15"/>
                <w:szCs w:val="15"/>
              </w:rPr>
            </w:pPr>
          </w:p>
        </w:tc>
        <w:tc>
          <w:tcPr>
            <w:tcW w:w="992" w:type="dxa"/>
            <w:vAlign w:val="center"/>
          </w:tcPr>
          <w:p w14:paraId="7C449CCF" w14:textId="77777777" w:rsidR="00577D08" w:rsidRDefault="00330FC0">
            <w:pPr>
              <w:jc w:val="right"/>
              <w:rPr>
                <w:sz w:val="15"/>
                <w:szCs w:val="15"/>
              </w:rPr>
            </w:pPr>
            <w:r>
              <w:rPr>
                <w:sz w:val="15"/>
                <w:szCs w:val="15"/>
              </w:rPr>
              <w:t>960,873,722.51</w:t>
            </w:r>
          </w:p>
        </w:tc>
        <w:tc>
          <w:tcPr>
            <w:tcW w:w="1134" w:type="dxa"/>
            <w:vAlign w:val="center"/>
          </w:tcPr>
          <w:p w14:paraId="6F40BA64" w14:textId="77777777" w:rsidR="00577D08" w:rsidRDefault="00330FC0">
            <w:pPr>
              <w:jc w:val="right"/>
              <w:rPr>
                <w:sz w:val="15"/>
                <w:szCs w:val="15"/>
              </w:rPr>
            </w:pPr>
            <w:r>
              <w:rPr>
                <w:sz w:val="15"/>
                <w:szCs w:val="15"/>
              </w:rPr>
              <w:t>30,893,741.28</w:t>
            </w:r>
          </w:p>
        </w:tc>
        <w:tc>
          <w:tcPr>
            <w:tcW w:w="1134" w:type="dxa"/>
            <w:vAlign w:val="center"/>
          </w:tcPr>
          <w:p w14:paraId="213B7EA6" w14:textId="77777777" w:rsidR="00577D08" w:rsidRDefault="00330FC0">
            <w:pPr>
              <w:jc w:val="right"/>
              <w:rPr>
                <w:sz w:val="15"/>
                <w:szCs w:val="15"/>
              </w:rPr>
            </w:pPr>
            <w:r>
              <w:rPr>
                <w:sz w:val="15"/>
                <w:szCs w:val="15"/>
              </w:rPr>
              <w:t>2,027,597.71</w:t>
            </w:r>
          </w:p>
        </w:tc>
        <w:tc>
          <w:tcPr>
            <w:tcW w:w="1134" w:type="dxa"/>
            <w:vAlign w:val="center"/>
          </w:tcPr>
          <w:p w14:paraId="02766493" w14:textId="77777777" w:rsidR="00577D08" w:rsidRDefault="00330FC0">
            <w:pPr>
              <w:jc w:val="right"/>
              <w:rPr>
                <w:sz w:val="15"/>
                <w:szCs w:val="15"/>
              </w:rPr>
            </w:pPr>
            <w:r>
              <w:rPr>
                <w:sz w:val="15"/>
                <w:szCs w:val="15"/>
              </w:rPr>
              <w:t>22,440,561.28</w:t>
            </w:r>
          </w:p>
        </w:tc>
        <w:tc>
          <w:tcPr>
            <w:tcW w:w="993" w:type="dxa"/>
            <w:vAlign w:val="center"/>
          </w:tcPr>
          <w:p w14:paraId="12FD0CB5" w14:textId="77777777" w:rsidR="00577D08" w:rsidRDefault="00330FC0">
            <w:pPr>
              <w:jc w:val="right"/>
              <w:rPr>
                <w:sz w:val="15"/>
                <w:szCs w:val="15"/>
              </w:rPr>
            </w:pPr>
            <w:r>
              <w:rPr>
                <w:sz w:val="15"/>
                <w:szCs w:val="15"/>
              </w:rPr>
              <w:t>122,195,454.42</w:t>
            </w:r>
          </w:p>
        </w:tc>
        <w:tc>
          <w:tcPr>
            <w:tcW w:w="567" w:type="dxa"/>
            <w:vAlign w:val="center"/>
          </w:tcPr>
          <w:p w14:paraId="10DD432B" w14:textId="77777777" w:rsidR="00577D08" w:rsidRDefault="00577D08">
            <w:pPr>
              <w:jc w:val="right"/>
              <w:rPr>
                <w:sz w:val="15"/>
                <w:szCs w:val="15"/>
              </w:rPr>
            </w:pPr>
          </w:p>
        </w:tc>
        <w:tc>
          <w:tcPr>
            <w:tcW w:w="992" w:type="dxa"/>
            <w:vAlign w:val="center"/>
          </w:tcPr>
          <w:p w14:paraId="136670B6" w14:textId="77777777" w:rsidR="00577D08" w:rsidRDefault="00330FC0">
            <w:pPr>
              <w:jc w:val="right"/>
              <w:rPr>
                <w:sz w:val="15"/>
                <w:szCs w:val="15"/>
              </w:rPr>
            </w:pPr>
            <w:r>
              <w:rPr>
                <w:sz w:val="15"/>
                <w:szCs w:val="15"/>
              </w:rPr>
              <w:t>1,003,432,341.75</w:t>
            </w:r>
          </w:p>
        </w:tc>
        <w:tc>
          <w:tcPr>
            <w:tcW w:w="283" w:type="dxa"/>
            <w:vAlign w:val="center"/>
          </w:tcPr>
          <w:p w14:paraId="5BFEB069" w14:textId="77777777" w:rsidR="00577D08" w:rsidRDefault="00577D08">
            <w:pPr>
              <w:jc w:val="right"/>
              <w:rPr>
                <w:sz w:val="15"/>
                <w:szCs w:val="15"/>
              </w:rPr>
            </w:pPr>
          </w:p>
        </w:tc>
        <w:tc>
          <w:tcPr>
            <w:tcW w:w="1134" w:type="dxa"/>
            <w:vAlign w:val="center"/>
          </w:tcPr>
          <w:p w14:paraId="54C2921F" w14:textId="77777777" w:rsidR="00577D08" w:rsidRDefault="00330FC0">
            <w:pPr>
              <w:jc w:val="right"/>
              <w:rPr>
                <w:sz w:val="15"/>
                <w:szCs w:val="15"/>
              </w:rPr>
            </w:pPr>
            <w:r>
              <w:rPr>
                <w:sz w:val="15"/>
                <w:szCs w:val="15"/>
              </w:rPr>
              <w:t>2,413,243,343.39</w:t>
            </w:r>
          </w:p>
        </w:tc>
        <w:tc>
          <w:tcPr>
            <w:tcW w:w="1276" w:type="dxa"/>
            <w:vAlign w:val="center"/>
          </w:tcPr>
          <w:p w14:paraId="476C9145" w14:textId="77777777" w:rsidR="00577D08" w:rsidRDefault="00330FC0">
            <w:pPr>
              <w:jc w:val="right"/>
              <w:rPr>
                <w:sz w:val="15"/>
                <w:szCs w:val="15"/>
              </w:rPr>
            </w:pPr>
            <w:r>
              <w:rPr>
                <w:sz w:val="15"/>
                <w:szCs w:val="15"/>
              </w:rPr>
              <w:t>139,598,553.64</w:t>
            </w:r>
          </w:p>
        </w:tc>
        <w:tc>
          <w:tcPr>
            <w:tcW w:w="1364" w:type="dxa"/>
            <w:vAlign w:val="center"/>
          </w:tcPr>
          <w:p w14:paraId="2B0DCE06" w14:textId="77777777" w:rsidR="00577D08" w:rsidRDefault="00330FC0">
            <w:pPr>
              <w:jc w:val="right"/>
              <w:rPr>
                <w:sz w:val="15"/>
                <w:szCs w:val="15"/>
              </w:rPr>
            </w:pPr>
            <w:r>
              <w:rPr>
                <w:sz w:val="15"/>
                <w:szCs w:val="15"/>
              </w:rPr>
              <w:t>2,552,841,897.03</w:t>
            </w:r>
          </w:p>
        </w:tc>
      </w:tr>
      <w:tr w:rsidR="00577D08" w14:paraId="188DD90D" w14:textId="77777777">
        <w:sdt>
          <w:sdtPr>
            <w:rPr>
              <w:sz w:val="15"/>
              <w:szCs w:val="15"/>
            </w:rPr>
            <w:tag w:val="_PLD_1ca4768a663c4afc8e9fee3a8dc71bc6"/>
            <w:id w:val="143940310"/>
          </w:sdtPr>
          <w:sdtContent>
            <w:tc>
              <w:tcPr>
                <w:tcW w:w="959" w:type="dxa"/>
                <w:vAlign w:val="center"/>
              </w:tcPr>
              <w:p w14:paraId="26545F36" w14:textId="77777777" w:rsidR="00577D08" w:rsidRDefault="00330FC0">
                <w:pPr>
                  <w:rPr>
                    <w:sz w:val="15"/>
                    <w:szCs w:val="15"/>
                  </w:rPr>
                </w:pPr>
                <w:r>
                  <w:rPr>
                    <w:sz w:val="15"/>
                    <w:szCs w:val="15"/>
                  </w:rPr>
                  <w:t>三、本</w:t>
                </w:r>
                <w:r>
                  <w:rPr>
                    <w:rFonts w:hint="eastAsia"/>
                    <w:sz w:val="15"/>
                    <w:szCs w:val="15"/>
                  </w:rPr>
                  <w:t>期</w:t>
                </w:r>
                <w:r>
                  <w:rPr>
                    <w:sz w:val="15"/>
                    <w:szCs w:val="15"/>
                  </w:rPr>
                  <w:t>增减变动金额（减少以</w:t>
                </w:r>
                <w:r>
                  <w:rPr>
                    <w:sz w:val="15"/>
                    <w:szCs w:val="15"/>
                  </w:rPr>
                  <w:t>“</w:t>
                </w:r>
                <w:r>
                  <w:rPr>
                    <w:sz w:val="15"/>
                    <w:szCs w:val="15"/>
                  </w:rPr>
                  <w:t>－</w:t>
                </w:r>
                <w:r>
                  <w:rPr>
                    <w:sz w:val="15"/>
                    <w:szCs w:val="15"/>
                  </w:rPr>
                  <w:t>”</w:t>
                </w:r>
                <w:r>
                  <w:rPr>
                    <w:sz w:val="15"/>
                    <w:szCs w:val="15"/>
                  </w:rPr>
                  <w:t>号填列）</w:t>
                </w:r>
              </w:p>
            </w:tc>
          </w:sdtContent>
        </w:sdt>
        <w:tc>
          <w:tcPr>
            <w:tcW w:w="992" w:type="dxa"/>
            <w:vAlign w:val="center"/>
          </w:tcPr>
          <w:p w14:paraId="0DD56626" w14:textId="77777777" w:rsidR="00577D08" w:rsidRDefault="00330FC0">
            <w:pPr>
              <w:jc w:val="right"/>
              <w:rPr>
                <w:sz w:val="15"/>
                <w:szCs w:val="15"/>
              </w:rPr>
            </w:pPr>
            <w:r>
              <w:rPr>
                <w:sz w:val="15"/>
                <w:szCs w:val="15"/>
              </w:rPr>
              <w:t>-814,000.00</w:t>
            </w:r>
          </w:p>
        </w:tc>
        <w:tc>
          <w:tcPr>
            <w:tcW w:w="284" w:type="dxa"/>
            <w:vAlign w:val="center"/>
          </w:tcPr>
          <w:p w14:paraId="4EBC76E0" w14:textId="77777777" w:rsidR="00577D08" w:rsidRDefault="00577D08">
            <w:pPr>
              <w:jc w:val="right"/>
              <w:rPr>
                <w:sz w:val="15"/>
                <w:szCs w:val="15"/>
              </w:rPr>
            </w:pPr>
          </w:p>
        </w:tc>
        <w:tc>
          <w:tcPr>
            <w:tcW w:w="425" w:type="dxa"/>
            <w:vAlign w:val="center"/>
          </w:tcPr>
          <w:p w14:paraId="2F295C9F" w14:textId="77777777" w:rsidR="00577D08" w:rsidRDefault="00577D08">
            <w:pPr>
              <w:jc w:val="right"/>
              <w:rPr>
                <w:sz w:val="15"/>
                <w:szCs w:val="15"/>
              </w:rPr>
            </w:pPr>
          </w:p>
        </w:tc>
        <w:tc>
          <w:tcPr>
            <w:tcW w:w="425" w:type="dxa"/>
            <w:vAlign w:val="center"/>
          </w:tcPr>
          <w:p w14:paraId="60D31328" w14:textId="77777777" w:rsidR="00577D08" w:rsidRDefault="00577D08">
            <w:pPr>
              <w:jc w:val="right"/>
              <w:rPr>
                <w:sz w:val="15"/>
                <w:szCs w:val="15"/>
              </w:rPr>
            </w:pPr>
          </w:p>
        </w:tc>
        <w:tc>
          <w:tcPr>
            <w:tcW w:w="992" w:type="dxa"/>
            <w:vAlign w:val="center"/>
          </w:tcPr>
          <w:p w14:paraId="1C92C5BE" w14:textId="77777777" w:rsidR="00577D08" w:rsidRDefault="00330FC0">
            <w:pPr>
              <w:jc w:val="right"/>
              <w:rPr>
                <w:sz w:val="15"/>
                <w:szCs w:val="15"/>
              </w:rPr>
            </w:pPr>
            <w:r>
              <w:rPr>
                <w:sz w:val="15"/>
                <w:szCs w:val="15"/>
              </w:rPr>
              <w:t>18,727,528.29</w:t>
            </w:r>
          </w:p>
        </w:tc>
        <w:tc>
          <w:tcPr>
            <w:tcW w:w="1134" w:type="dxa"/>
            <w:vAlign w:val="center"/>
          </w:tcPr>
          <w:p w14:paraId="45B8C631" w14:textId="77777777" w:rsidR="00577D08" w:rsidRDefault="00330FC0">
            <w:pPr>
              <w:jc w:val="right"/>
              <w:rPr>
                <w:sz w:val="15"/>
                <w:szCs w:val="15"/>
              </w:rPr>
            </w:pPr>
            <w:r>
              <w:rPr>
                <w:sz w:val="15"/>
                <w:szCs w:val="15"/>
              </w:rPr>
              <w:t>-11,086,060.00</w:t>
            </w:r>
          </w:p>
        </w:tc>
        <w:tc>
          <w:tcPr>
            <w:tcW w:w="1134" w:type="dxa"/>
            <w:vAlign w:val="center"/>
          </w:tcPr>
          <w:p w14:paraId="5C981A2B" w14:textId="77777777" w:rsidR="00577D08" w:rsidRDefault="00330FC0">
            <w:pPr>
              <w:jc w:val="right"/>
              <w:rPr>
                <w:sz w:val="15"/>
                <w:szCs w:val="15"/>
              </w:rPr>
            </w:pPr>
            <w:r>
              <w:rPr>
                <w:sz w:val="15"/>
                <w:szCs w:val="15"/>
              </w:rPr>
              <w:t>-1,003,663.26</w:t>
            </w:r>
          </w:p>
        </w:tc>
        <w:tc>
          <w:tcPr>
            <w:tcW w:w="1134" w:type="dxa"/>
            <w:vAlign w:val="center"/>
          </w:tcPr>
          <w:p w14:paraId="5230D1B1" w14:textId="77777777" w:rsidR="00577D08" w:rsidRDefault="00330FC0">
            <w:pPr>
              <w:jc w:val="right"/>
              <w:rPr>
                <w:sz w:val="15"/>
                <w:szCs w:val="15"/>
              </w:rPr>
            </w:pPr>
            <w:r>
              <w:rPr>
                <w:sz w:val="15"/>
                <w:szCs w:val="15"/>
              </w:rPr>
              <w:t>274,960.40</w:t>
            </w:r>
          </w:p>
        </w:tc>
        <w:tc>
          <w:tcPr>
            <w:tcW w:w="993" w:type="dxa"/>
            <w:vAlign w:val="center"/>
          </w:tcPr>
          <w:p w14:paraId="35E9469F" w14:textId="77777777" w:rsidR="00577D08" w:rsidRDefault="00330FC0">
            <w:pPr>
              <w:jc w:val="right"/>
              <w:rPr>
                <w:sz w:val="15"/>
                <w:szCs w:val="15"/>
              </w:rPr>
            </w:pPr>
            <w:r>
              <w:rPr>
                <w:sz w:val="15"/>
                <w:szCs w:val="15"/>
              </w:rPr>
              <w:t>4,851,665.71</w:t>
            </w:r>
          </w:p>
        </w:tc>
        <w:tc>
          <w:tcPr>
            <w:tcW w:w="567" w:type="dxa"/>
            <w:vAlign w:val="center"/>
          </w:tcPr>
          <w:p w14:paraId="51471B00" w14:textId="77777777" w:rsidR="00577D08" w:rsidRDefault="00577D08">
            <w:pPr>
              <w:jc w:val="right"/>
              <w:rPr>
                <w:sz w:val="15"/>
                <w:szCs w:val="15"/>
              </w:rPr>
            </w:pPr>
          </w:p>
        </w:tc>
        <w:tc>
          <w:tcPr>
            <w:tcW w:w="992" w:type="dxa"/>
            <w:vAlign w:val="center"/>
          </w:tcPr>
          <w:p w14:paraId="2FE3B5A7" w14:textId="77777777" w:rsidR="00577D08" w:rsidRDefault="00330FC0">
            <w:pPr>
              <w:jc w:val="right"/>
              <w:rPr>
                <w:sz w:val="15"/>
                <w:szCs w:val="15"/>
              </w:rPr>
            </w:pPr>
            <w:r>
              <w:rPr>
                <w:sz w:val="15"/>
                <w:szCs w:val="15"/>
              </w:rPr>
              <w:t>48,275,822.07</w:t>
            </w:r>
          </w:p>
        </w:tc>
        <w:tc>
          <w:tcPr>
            <w:tcW w:w="283" w:type="dxa"/>
            <w:vAlign w:val="center"/>
          </w:tcPr>
          <w:p w14:paraId="4DBC9BA9" w14:textId="77777777" w:rsidR="00577D08" w:rsidRDefault="00577D08">
            <w:pPr>
              <w:jc w:val="right"/>
              <w:rPr>
                <w:sz w:val="15"/>
                <w:szCs w:val="15"/>
              </w:rPr>
            </w:pPr>
          </w:p>
        </w:tc>
        <w:tc>
          <w:tcPr>
            <w:tcW w:w="1134" w:type="dxa"/>
            <w:vAlign w:val="center"/>
          </w:tcPr>
          <w:p w14:paraId="57AC93FC" w14:textId="77777777" w:rsidR="00577D08" w:rsidRDefault="00330FC0">
            <w:pPr>
              <w:jc w:val="right"/>
              <w:rPr>
                <w:sz w:val="15"/>
                <w:szCs w:val="15"/>
              </w:rPr>
            </w:pPr>
            <w:r>
              <w:rPr>
                <w:sz w:val="15"/>
                <w:szCs w:val="15"/>
              </w:rPr>
              <w:t>81,398,373.21</w:t>
            </w:r>
          </w:p>
        </w:tc>
        <w:tc>
          <w:tcPr>
            <w:tcW w:w="1276" w:type="dxa"/>
            <w:vAlign w:val="center"/>
          </w:tcPr>
          <w:p w14:paraId="12B6127A" w14:textId="77777777" w:rsidR="00577D08" w:rsidRDefault="00330FC0">
            <w:pPr>
              <w:jc w:val="right"/>
              <w:rPr>
                <w:sz w:val="15"/>
                <w:szCs w:val="15"/>
              </w:rPr>
            </w:pPr>
            <w:r>
              <w:rPr>
                <w:sz w:val="15"/>
                <w:szCs w:val="15"/>
              </w:rPr>
              <w:t>-135,968,168.11</w:t>
            </w:r>
          </w:p>
        </w:tc>
        <w:tc>
          <w:tcPr>
            <w:tcW w:w="1364" w:type="dxa"/>
            <w:vAlign w:val="center"/>
          </w:tcPr>
          <w:p w14:paraId="6DEF8352" w14:textId="77777777" w:rsidR="00577D08" w:rsidRDefault="00330FC0">
            <w:pPr>
              <w:jc w:val="right"/>
              <w:rPr>
                <w:sz w:val="15"/>
                <w:szCs w:val="15"/>
              </w:rPr>
            </w:pPr>
            <w:r>
              <w:rPr>
                <w:sz w:val="15"/>
                <w:szCs w:val="15"/>
              </w:rPr>
              <w:t>-54,569,794.90</w:t>
            </w:r>
          </w:p>
        </w:tc>
      </w:tr>
      <w:tr w:rsidR="00577D08" w14:paraId="6B7C6988" w14:textId="77777777">
        <w:sdt>
          <w:sdtPr>
            <w:rPr>
              <w:sz w:val="15"/>
              <w:szCs w:val="15"/>
            </w:rPr>
            <w:tag w:val="_PLD_55a20255a0a245fd951d5eb42c559389"/>
            <w:id w:val="447736488"/>
          </w:sdtPr>
          <w:sdtContent>
            <w:tc>
              <w:tcPr>
                <w:tcW w:w="959" w:type="dxa"/>
                <w:vAlign w:val="center"/>
              </w:tcPr>
              <w:p w14:paraId="14CC8FBB" w14:textId="77777777" w:rsidR="00577D08" w:rsidRDefault="00330FC0">
                <w:pPr>
                  <w:rPr>
                    <w:sz w:val="15"/>
                    <w:szCs w:val="15"/>
                  </w:rPr>
                </w:pPr>
                <w:r>
                  <w:rPr>
                    <w:rFonts w:hint="eastAsia"/>
                    <w:sz w:val="15"/>
                    <w:szCs w:val="15"/>
                  </w:rPr>
                  <w:t>（一）综合收益总额</w:t>
                </w:r>
              </w:p>
            </w:tc>
          </w:sdtContent>
        </w:sdt>
        <w:tc>
          <w:tcPr>
            <w:tcW w:w="992" w:type="dxa"/>
            <w:vAlign w:val="center"/>
          </w:tcPr>
          <w:p w14:paraId="06B2C1C5" w14:textId="77777777" w:rsidR="00577D08" w:rsidRDefault="00577D08">
            <w:pPr>
              <w:jc w:val="right"/>
              <w:rPr>
                <w:sz w:val="15"/>
                <w:szCs w:val="15"/>
              </w:rPr>
            </w:pPr>
          </w:p>
        </w:tc>
        <w:tc>
          <w:tcPr>
            <w:tcW w:w="284" w:type="dxa"/>
            <w:vAlign w:val="center"/>
          </w:tcPr>
          <w:p w14:paraId="12C044F6" w14:textId="77777777" w:rsidR="00577D08" w:rsidRDefault="00577D08">
            <w:pPr>
              <w:jc w:val="right"/>
              <w:rPr>
                <w:sz w:val="15"/>
                <w:szCs w:val="15"/>
              </w:rPr>
            </w:pPr>
          </w:p>
        </w:tc>
        <w:tc>
          <w:tcPr>
            <w:tcW w:w="425" w:type="dxa"/>
            <w:vAlign w:val="center"/>
          </w:tcPr>
          <w:p w14:paraId="75225327" w14:textId="77777777" w:rsidR="00577D08" w:rsidRDefault="00577D08">
            <w:pPr>
              <w:jc w:val="right"/>
              <w:rPr>
                <w:sz w:val="15"/>
                <w:szCs w:val="15"/>
              </w:rPr>
            </w:pPr>
          </w:p>
        </w:tc>
        <w:tc>
          <w:tcPr>
            <w:tcW w:w="425" w:type="dxa"/>
            <w:vAlign w:val="center"/>
          </w:tcPr>
          <w:p w14:paraId="40DCEB71" w14:textId="77777777" w:rsidR="00577D08" w:rsidRDefault="00577D08">
            <w:pPr>
              <w:jc w:val="right"/>
              <w:rPr>
                <w:sz w:val="15"/>
                <w:szCs w:val="15"/>
              </w:rPr>
            </w:pPr>
          </w:p>
        </w:tc>
        <w:tc>
          <w:tcPr>
            <w:tcW w:w="992" w:type="dxa"/>
            <w:vAlign w:val="center"/>
          </w:tcPr>
          <w:p w14:paraId="764113A8" w14:textId="77777777" w:rsidR="00577D08" w:rsidRDefault="00577D08">
            <w:pPr>
              <w:jc w:val="right"/>
              <w:rPr>
                <w:sz w:val="15"/>
                <w:szCs w:val="15"/>
              </w:rPr>
            </w:pPr>
          </w:p>
        </w:tc>
        <w:tc>
          <w:tcPr>
            <w:tcW w:w="1134" w:type="dxa"/>
            <w:vAlign w:val="center"/>
          </w:tcPr>
          <w:p w14:paraId="399C0A6B" w14:textId="77777777" w:rsidR="00577D08" w:rsidRDefault="00577D08">
            <w:pPr>
              <w:jc w:val="right"/>
              <w:rPr>
                <w:sz w:val="15"/>
                <w:szCs w:val="15"/>
              </w:rPr>
            </w:pPr>
          </w:p>
        </w:tc>
        <w:tc>
          <w:tcPr>
            <w:tcW w:w="1134" w:type="dxa"/>
            <w:vAlign w:val="center"/>
          </w:tcPr>
          <w:p w14:paraId="32488469" w14:textId="77777777" w:rsidR="00577D08" w:rsidRDefault="00330FC0">
            <w:pPr>
              <w:jc w:val="right"/>
              <w:rPr>
                <w:sz w:val="15"/>
                <w:szCs w:val="15"/>
              </w:rPr>
            </w:pPr>
            <w:r>
              <w:rPr>
                <w:sz w:val="15"/>
                <w:szCs w:val="15"/>
              </w:rPr>
              <w:t>-1,003,663.26</w:t>
            </w:r>
          </w:p>
        </w:tc>
        <w:tc>
          <w:tcPr>
            <w:tcW w:w="1134" w:type="dxa"/>
            <w:vAlign w:val="center"/>
          </w:tcPr>
          <w:p w14:paraId="230C8C4F" w14:textId="77777777" w:rsidR="00577D08" w:rsidRDefault="00577D08">
            <w:pPr>
              <w:jc w:val="right"/>
              <w:rPr>
                <w:sz w:val="15"/>
                <w:szCs w:val="15"/>
              </w:rPr>
            </w:pPr>
          </w:p>
        </w:tc>
        <w:tc>
          <w:tcPr>
            <w:tcW w:w="993" w:type="dxa"/>
            <w:vAlign w:val="center"/>
          </w:tcPr>
          <w:p w14:paraId="336F7636" w14:textId="77777777" w:rsidR="00577D08" w:rsidRDefault="00577D08">
            <w:pPr>
              <w:jc w:val="right"/>
              <w:rPr>
                <w:sz w:val="15"/>
                <w:szCs w:val="15"/>
              </w:rPr>
            </w:pPr>
          </w:p>
        </w:tc>
        <w:tc>
          <w:tcPr>
            <w:tcW w:w="567" w:type="dxa"/>
            <w:vAlign w:val="center"/>
          </w:tcPr>
          <w:p w14:paraId="5616C258" w14:textId="77777777" w:rsidR="00577D08" w:rsidRDefault="00577D08">
            <w:pPr>
              <w:jc w:val="right"/>
              <w:rPr>
                <w:sz w:val="15"/>
                <w:szCs w:val="15"/>
              </w:rPr>
            </w:pPr>
          </w:p>
        </w:tc>
        <w:tc>
          <w:tcPr>
            <w:tcW w:w="992" w:type="dxa"/>
            <w:vAlign w:val="center"/>
          </w:tcPr>
          <w:p w14:paraId="422A83CF" w14:textId="77777777" w:rsidR="00577D08" w:rsidRDefault="00330FC0">
            <w:pPr>
              <w:jc w:val="right"/>
              <w:rPr>
                <w:sz w:val="15"/>
                <w:szCs w:val="15"/>
              </w:rPr>
            </w:pPr>
            <w:r>
              <w:rPr>
                <w:sz w:val="15"/>
                <w:szCs w:val="15"/>
              </w:rPr>
              <w:t>69,243,219.73</w:t>
            </w:r>
          </w:p>
        </w:tc>
        <w:tc>
          <w:tcPr>
            <w:tcW w:w="283" w:type="dxa"/>
            <w:vAlign w:val="center"/>
          </w:tcPr>
          <w:p w14:paraId="740F6DDE" w14:textId="77777777" w:rsidR="00577D08" w:rsidRDefault="00577D08">
            <w:pPr>
              <w:jc w:val="right"/>
              <w:rPr>
                <w:sz w:val="15"/>
                <w:szCs w:val="15"/>
              </w:rPr>
            </w:pPr>
          </w:p>
        </w:tc>
        <w:tc>
          <w:tcPr>
            <w:tcW w:w="1134" w:type="dxa"/>
            <w:vAlign w:val="center"/>
          </w:tcPr>
          <w:p w14:paraId="0EF6DD68" w14:textId="77777777" w:rsidR="00577D08" w:rsidRDefault="00330FC0">
            <w:pPr>
              <w:jc w:val="right"/>
              <w:rPr>
                <w:sz w:val="15"/>
                <w:szCs w:val="15"/>
              </w:rPr>
            </w:pPr>
            <w:r>
              <w:rPr>
                <w:sz w:val="15"/>
                <w:szCs w:val="15"/>
              </w:rPr>
              <w:t>68,239,556.47</w:t>
            </w:r>
          </w:p>
        </w:tc>
        <w:tc>
          <w:tcPr>
            <w:tcW w:w="1276" w:type="dxa"/>
            <w:vAlign w:val="center"/>
          </w:tcPr>
          <w:p w14:paraId="2F9886B8" w14:textId="77777777" w:rsidR="00577D08" w:rsidRDefault="00330FC0">
            <w:pPr>
              <w:jc w:val="right"/>
              <w:rPr>
                <w:sz w:val="15"/>
                <w:szCs w:val="15"/>
              </w:rPr>
            </w:pPr>
            <w:r>
              <w:rPr>
                <w:sz w:val="15"/>
                <w:szCs w:val="15"/>
              </w:rPr>
              <w:t>4,616,855.20</w:t>
            </w:r>
          </w:p>
        </w:tc>
        <w:tc>
          <w:tcPr>
            <w:tcW w:w="1364" w:type="dxa"/>
            <w:vAlign w:val="center"/>
          </w:tcPr>
          <w:p w14:paraId="09751391" w14:textId="77777777" w:rsidR="00577D08" w:rsidRDefault="00330FC0">
            <w:pPr>
              <w:jc w:val="right"/>
              <w:rPr>
                <w:sz w:val="15"/>
                <w:szCs w:val="15"/>
              </w:rPr>
            </w:pPr>
            <w:r>
              <w:rPr>
                <w:sz w:val="15"/>
                <w:szCs w:val="15"/>
              </w:rPr>
              <w:t>72,856,411.67</w:t>
            </w:r>
          </w:p>
        </w:tc>
      </w:tr>
      <w:tr w:rsidR="00577D08" w14:paraId="35F7DEBD" w14:textId="77777777">
        <w:sdt>
          <w:sdtPr>
            <w:rPr>
              <w:sz w:val="15"/>
              <w:szCs w:val="15"/>
            </w:rPr>
            <w:tag w:val="_PLD_cabd5a3f22a849b08cf8df11a07115b5"/>
            <w:id w:val="-1871676068"/>
          </w:sdtPr>
          <w:sdtContent>
            <w:tc>
              <w:tcPr>
                <w:tcW w:w="959" w:type="dxa"/>
                <w:vAlign w:val="center"/>
              </w:tcPr>
              <w:p w14:paraId="1EE967AA" w14:textId="77777777" w:rsidR="00577D08" w:rsidRDefault="00330FC0">
                <w:pPr>
                  <w:rPr>
                    <w:sz w:val="15"/>
                    <w:szCs w:val="15"/>
                  </w:rPr>
                </w:pPr>
                <w:r>
                  <w:rPr>
                    <w:sz w:val="15"/>
                    <w:szCs w:val="15"/>
                  </w:rPr>
                  <w:t>（</w:t>
                </w:r>
                <w:r>
                  <w:rPr>
                    <w:rFonts w:hint="eastAsia"/>
                    <w:sz w:val="15"/>
                    <w:szCs w:val="15"/>
                  </w:rPr>
                  <w:t>二</w:t>
                </w:r>
                <w:r>
                  <w:rPr>
                    <w:sz w:val="15"/>
                    <w:szCs w:val="15"/>
                  </w:rPr>
                  <w:t>）所有者投入和减少资本</w:t>
                </w:r>
              </w:p>
            </w:tc>
          </w:sdtContent>
        </w:sdt>
        <w:tc>
          <w:tcPr>
            <w:tcW w:w="992" w:type="dxa"/>
            <w:vAlign w:val="center"/>
          </w:tcPr>
          <w:p w14:paraId="7B3AB5E7" w14:textId="77777777" w:rsidR="00577D08" w:rsidRDefault="00330FC0">
            <w:pPr>
              <w:jc w:val="right"/>
              <w:rPr>
                <w:sz w:val="15"/>
                <w:szCs w:val="15"/>
              </w:rPr>
            </w:pPr>
            <w:r>
              <w:rPr>
                <w:sz w:val="15"/>
                <w:szCs w:val="15"/>
              </w:rPr>
              <w:t>-814,000.00</w:t>
            </w:r>
          </w:p>
        </w:tc>
        <w:tc>
          <w:tcPr>
            <w:tcW w:w="284" w:type="dxa"/>
            <w:vAlign w:val="center"/>
          </w:tcPr>
          <w:p w14:paraId="16615442" w14:textId="77777777" w:rsidR="00577D08" w:rsidRDefault="00577D08">
            <w:pPr>
              <w:jc w:val="right"/>
              <w:rPr>
                <w:sz w:val="15"/>
                <w:szCs w:val="15"/>
              </w:rPr>
            </w:pPr>
          </w:p>
        </w:tc>
        <w:tc>
          <w:tcPr>
            <w:tcW w:w="425" w:type="dxa"/>
            <w:vAlign w:val="center"/>
          </w:tcPr>
          <w:p w14:paraId="2EEA2CD6" w14:textId="77777777" w:rsidR="00577D08" w:rsidRDefault="00577D08">
            <w:pPr>
              <w:jc w:val="right"/>
              <w:rPr>
                <w:sz w:val="15"/>
                <w:szCs w:val="15"/>
              </w:rPr>
            </w:pPr>
          </w:p>
        </w:tc>
        <w:tc>
          <w:tcPr>
            <w:tcW w:w="425" w:type="dxa"/>
            <w:vAlign w:val="center"/>
          </w:tcPr>
          <w:p w14:paraId="68C6E4CF" w14:textId="77777777" w:rsidR="00577D08" w:rsidRDefault="00577D08">
            <w:pPr>
              <w:jc w:val="right"/>
              <w:rPr>
                <w:sz w:val="15"/>
                <w:szCs w:val="15"/>
              </w:rPr>
            </w:pPr>
          </w:p>
        </w:tc>
        <w:tc>
          <w:tcPr>
            <w:tcW w:w="992" w:type="dxa"/>
            <w:vAlign w:val="center"/>
          </w:tcPr>
          <w:p w14:paraId="3144B596" w14:textId="77777777" w:rsidR="00577D08" w:rsidRDefault="00330FC0">
            <w:pPr>
              <w:jc w:val="right"/>
              <w:rPr>
                <w:sz w:val="15"/>
                <w:szCs w:val="15"/>
              </w:rPr>
            </w:pPr>
            <w:r>
              <w:rPr>
                <w:sz w:val="15"/>
                <w:szCs w:val="15"/>
              </w:rPr>
              <w:t>18,727,528.29</w:t>
            </w:r>
          </w:p>
        </w:tc>
        <w:tc>
          <w:tcPr>
            <w:tcW w:w="1134" w:type="dxa"/>
            <w:vAlign w:val="center"/>
          </w:tcPr>
          <w:p w14:paraId="33F713E9" w14:textId="77777777" w:rsidR="00577D08" w:rsidRDefault="00330FC0">
            <w:pPr>
              <w:jc w:val="right"/>
              <w:rPr>
                <w:sz w:val="15"/>
                <w:szCs w:val="15"/>
              </w:rPr>
            </w:pPr>
            <w:r>
              <w:rPr>
                <w:sz w:val="15"/>
                <w:szCs w:val="15"/>
              </w:rPr>
              <w:t>-11,086,060.00</w:t>
            </w:r>
          </w:p>
        </w:tc>
        <w:tc>
          <w:tcPr>
            <w:tcW w:w="1134" w:type="dxa"/>
            <w:vAlign w:val="center"/>
          </w:tcPr>
          <w:p w14:paraId="28C39202" w14:textId="77777777" w:rsidR="00577D08" w:rsidRDefault="00577D08">
            <w:pPr>
              <w:jc w:val="right"/>
              <w:rPr>
                <w:sz w:val="15"/>
                <w:szCs w:val="15"/>
              </w:rPr>
            </w:pPr>
          </w:p>
        </w:tc>
        <w:tc>
          <w:tcPr>
            <w:tcW w:w="1134" w:type="dxa"/>
            <w:vAlign w:val="center"/>
          </w:tcPr>
          <w:p w14:paraId="71C531B0" w14:textId="77777777" w:rsidR="00577D08" w:rsidRDefault="00577D08">
            <w:pPr>
              <w:jc w:val="right"/>
              <w:rPr>
                <w:sz w:val="15"/>
                <w:szCs w:val="15"/>
              </w:rPr>
            </w:pPr>
          </w:p>
        </w:tc>
        <w:tc>
          <w:tcPr>
            <w:tcW w:w="993" w:type="dxa"/>
            <w:vAlign w:val="center"/>
          </w:tcPr>
          <w:p w14:paraId="35101A69" w14:textId="77777777" w:rsidR="00577D08" w:rsidRDefault="00577D08">
            <w:pPr>
              <w:jc w:val="right"/>
              <w:rPr>
                <w:sz w:val="15"/>
                <w:szCs w:val="15"/>
              </w:rPr>
            </w:pPr>
          </w:p>
        </w:tc>
        <w:tc>
          <w:tcPr>
            <w:tcW w:w="567" w:type="dxa"/>
            <w:vAlign w:val="center"/>
          </w:tcPr>
          <w:p w14:paraId="45D1F028" w14:textId="77777777" w:rsidR="00577D08" w:rsidRDefault="00577D08">
            <w:pPr>
              <w:jc w:val="right"/>
              <w:rPr>
                <w:sz w:val="15"/>
                <w:szCs w:val="15"/>
              </w:rPr>
            </w:pPr>
          </w:p>
        </w:tc>
        <w:tc>
          <w:tcPr>
            <w:tcW w:w="992" w:type="dxa"/>
            <w:vAlign w:val="center"/>
          </w:tcPr>
          <w:p w14:paraId="21F70959" w14:textId="77777777" w:rsidR="00577D08" w:rsidRDefault="00330FC0">
            <w:pPr>
              <w:jc w:val="right"/>
              <w:rPr>
                <w:sz w:val="15"/>
                <w:szCs w:val="15"/>
              </w:rPr>
            </w:pPr>
            <w:r>
              <w:rPr>
                <w:sz w:val="15"/>
                <w:szCs w:val="15"/>
              </w:rPr>
              <w:t>498,300.00</w:t>
            </w:r>
          </w:p>
        </w:tc>
        <w:tc>
          <w:tcPr>
            <w:tcW w:w="283" w:type="dxa"/>
            <w:vAlign w:val="center"/>
          </w:tcPr>
          <w:p w14:paraId="1D2E5481" w14:textId="77777777" w:rsidR="00577D08" w:rsidRDefault="00577D08">
            <w:pPr>
              <w:jc w:val="right"/>
              <w:rPr>
                <w:sz w:val="15"/>
                <w:szCs w:val="15"/>
              </w:rPr>
            </w:pPr>
          </w:p>
        </w:tc>
        <w:tc>
          <w:tcPr>
            <w:tcW w:w="1134" w:type="dxa"/>
            <w:vAlign w:val="center"/>
          </w:tcPr>
          <w:p w14:paraId="156CA30C" w14:textId="77777777" w:rsidR="00577D08" w:rsidRDefault="00330FC0">
            <w:pPr>
              <w:jc w:val="right"/>
              <w:rPr>
                <w:sz w:val="15"/>
                <w:szCs w:val="15"/>
              </w:rPr>
            </w:pPr>
            <w:r>
              <w:rPr>
                <w:sz w:val="15"/>
                <w:szCs w:val="15"/>
              </w:rPr>
              <w:t>29,497,888.29</w:t>
            </w:r>
          </w:p>
        </w:tc>
        <w:tc>
          <w:tcPr>
            <w:tcW w:w="1276" w:type="dxa"/>
            <w:vAlign w:val="center"/>
          </w:tcPr>
          <w:p w14:paraId="03B7B018" w14:textId="77777777" w:rsidR="00577D08" w:rsidRDefault="00330FC0">
            <w:pPr>
              <w:jc w:val="right"/>
              <w:rPr>
                <w:sz w:val="15"/>
                <w:szCs w:val="15"/>
              </w:rPr>
            </w:pPr>
            <w:r>
              <w:rPr>
                <w:sz w:val="15"/>
                <w:szCs w:val="15"/>
              </w:rPr>
              <w:t>-140,585,023.31</w:t>
            </w:r>
          </w:p>
        </w:tc>
        <w:tc>
          <w:tcPr>
            <w:tcW w:w="1364" w:type="dxa"/>
            <w:vAlign w:val="center"/>
          </w:tcPr>
          <w:p w14:paraId="38EB4D0E" w14:textId="77777777" w:rsidR="00577D08" w:rsidRDefault="00330FC0">
            <w:pPr>
              <w:jc w:val="right"/>
              <w:rPr>
                <w:sz w:val="15"/>
                <w:szCs w:val="15"/>
              </w:rPr>
            </w:pPr>
            <w:r>
              <w:rPr>
                <w:sz w:val="15"/>
                <w:szCs w:val="15"/>
              </w:rPr>
              <w:t>-111,087,135.02</w:t>
            </w:r>
          </w:p>
        </w:tc>
      </w:tr>
      <w:tr w:rsidR="00577D08" w14:paraId="1D7E6706" w14:textId="77777777">
        <w:sdt>
          <w:sdtPr>
            <w:rPr>
              <w:sz w:val="15"/>
              <w:szCs w:val="15"/>
            </w:rPr>
            <w:tag w:val="_PLD_4d4d24462cb048579eb01f9b1c8956b1"/>
            <w:id w:val="-1899423566"/>
          </w:sdtPr>
          <w:sdtContent>
            <w:tc>
              <w:tcPr>
                <w:tcW w:w="959" w:type="dxa"/>
                <w:vAlign w:val="center"/>
              </w:tcPr>
              <w:p w14:paraId="0128CB89" w14:textId="77777777" w:rsidR="00577D08" w:rsidRDefault="00330FC0">
                <w:pPr>
                  <w:rPr>
                    <w:sz w:val="15"/>
                    <w:szCs w:val="15"/>
                  </w:rPr>
                </w:pPr>
                <w:r>
                  <w:rPr>
                    <w:rFonts w:hint="eastAsia"/>
                    <w:sz w:val="15"/>
                    <w:szCs w:val="15"/>
                  </w:rPr>
                  <w:t>1</w:t>
                </w:r>
                <w:r>
                  <w:rPr>
                    <w:rFonts w:hint="eastAsia"/>
                    <w:sz w:val="15"/>
                    <w:szCs w:val="15"/>
                  </w:rPr>
                  <w:t>．所有者投入的普通股</w:t>
                </w:r>
              </w:p>
            </w:tc>
          </w:sdtContent>
        </w:sdt>
        <w:tc>
          <w:tcPr>
            <w:tcW w:w="992" w:type="dxa"/>
            <w:vAlign w:val="center"/>
          </w:tcPr>
          <w:p w14:paraId="1514F634" w14:textId="77777777" w:rsidR="00577D08" w:rsidRDefault="00330FC0">
            <w:pPr>
              <w:jc w:val="right"/>
              <w:rPr>
                <w:sz w:val="15"/>
                <w:szCs w:val="15"/>
              </w:rPr>
            </w:pPr>
            <w:r>
              <w:rPr>
                <w:sz w:val="15"/>
                <w:szCs w:val="15"/>
              </w:rPr>
              <w:t>-814,000.00</w:t>
            </w:r>
          </w:p>
        </w:tc>
        <w:tc>
          <w:tcPr>
            <w:tcW w:w="284" w:type="dxa"/>
            <w:vAlign w:val="center"/>
          </w:tcPr>
          <w:p w14:paraId="6035DB8B" w14:textId="77777777" w:rsidR="00577D08" w:rsidRDefault="00577D08">
            <w:pPr>
              <w:jc w:val="right"/>
              <w:rPr>
                <w:sz w:val="15"/>
                <w:szCs w:val="15"/>
              </w:rPr>
            </w:pPr>
          </w:p>
        </w:tc>
        <w:tc>
          <w:tcPr>
            <w:tcW w:w="425" w:type="dxa"/>
            <w:vAlign w:val="center"/>
          </w:tcPr>
          <w:p w14:paraId="0D3440BF" w14:textId="77777777" w:rsidR="00577D08" w:rsidRDefault="00577D08">
            <w:pPr>
              <w:jc w:val="right"/>
              <w:rPr>
                <w:sz w:val="15"/>
                <w:szCs w:val="15"/>
              </w:rPr>
            </w:pPr>
          </w:p>
        </w:tc>
        <w:tc>
          <w:tcPr>
            <w:tcW w:w="425" w:type="dxa"/>
            <w:vAlign w:val="center"/>
          </w:tcPr>
          <w:p w14:paraId="28A4A812" w14:textId="77777777" w:rsidR="00577D08" w:rsidRDefault="00577D08">
            <w:pPr>
              <w:jc w:val="right"/>
              <w:rPr>
                <w:sz w:val="15"/>
                <w:szCs w:val="15"/>
              </w:rPr>
            </w:pPr>
          </w:p>
        </w:tc>
        <w:tc>
          <w:tcPr>
            <w:tcW w:w="992" w:type="dxa"/>
            <w:vAlign w:val="center"/>
          </w:tcPr>
          <w:p w14:paraId="4FD0755B" w14:textId="77777777" w:rsidR="00577D08" w:rsidRDefault="00577D08">
            <w:pPr>
              <w:jc w:val="right"/>
              <w:rPr>
                <w:sz w:val="15"/>
                <w:szCs w:val="15"/>
              </w:rPr>
            </w:pPr>
          </w:p>
        </w:tc>
        <w:tc>
          <w:tcPr>
            <w:tcW w:w="1134" w:type="dxa"/>
            <w:vAlign w:val="center"/>
          </w:tcPr>
          <w:p w14:paraId="0B331474" w14:textId="77777777" w:rsidR="00577D08" w:rsidRDefault="00577D08">
            <w:pPr>
              <w:jc w:val="right"/>
              <w:rPr>
                <w:sz w:val="15"/>
                <w:szCs w:val="15"/>
              </w:rPr>
            </w:pPr>
          </w:p>
        </w:tc>
        <w:tc>
          <w:tcPr>
            <w:tcW w:w="1134" w:type="dxa"/>
            <w:vAlign w:val="center"/>
          </w:tcPr>
          <w:p w14:paraId="41A46B4D" w14:textId="77777777" w:rsidR="00577D08" w:rsidRDefault="00577D08">
            <w:pPr>
              <w:jc w:val="right"/>
              <w:rPr>
                <w:sz w:val="15"/>
                <w:szCs w:val="15"/>
              </w:rPr>
            </w:pPr>
          </w:p>
        </w:tc>
        <w:tc>
          <w:tcPr>
            <w:tcW w:w="1134" w:type="dxa"/>
            <w:vAlign w:val="center"/>
          </w:tcPr>
          <w:p w14:paraId="5BB5358C" w14:textId="77777777" w:rsidR="00577D08" w:rsidRDefault="00577D08">
            <w:pPr>
              <w:jc w:val="right"/>
              <w:rPr>
                <w:sz w:val="15"/>
                <w:szCs w:val="15"/>
              </w:rPr>
            </w:pPr>
          </w:p>
        </w:tc>
        <w:tc>
          <w:tcPr>
            <w:tcW w:w="993" w:type="dxa"/>
            <w:vAlign w:val="center"/>
          </w:tcPr>
          <w:p w14:paraId="51D42E20" w14:textId="77777777" w:rsidR="00577D08" w:rsidRDefault="00577D08">
            <w:pPr>
              <w:jc w:val="right"/>
              <w:rPr>
                <w:sz w:val="15"/>
                <w:szCs w:val="15"/>
              </w:rPr>
            </w:pPr>
          </w:p>
        </w:tc>
        <w:tc>
          <w:tcPr>
            <w:tcW w:w="567" w:type="dxa"/>
            <w:vAlign w:val="center"/>
          </w:tcPr>
          <w:p w14:paraId="53FA5B8A" w14:textId="77777777" w:rsidR="00577D08" w:rsidRDefault="00577D08">
            <w:pPr>
              <w:jc w:val="right"/>
              <w:rPr>
                <w:sz w:val="15"/>
                <w:szCs w:val="15"/>
              </w:rPr>
            </w:pPr>
          </w:p>
        </w:tc>
        <w:tc>
          <w:tcPr>
            <w:tcW w:w="992" w:type="dxa"/>
            <w:vAlign w:val="center"/>
          </w:tcPr>
          <w:p w14:paraId="469695C6" w14:textId="77777777" w:rsidR="00577D08" w:rsidRDefault="00577D08">
            <w:pPr>
              <w:jc w:val="right"/>
              <w:rPr>
                <w:sz w:val="15"/>
                <w:szCs w:val="15"/>
              </w:rPr>
            </w:pPr>
          </w:p>
        </w:tc>
        <w:tc>
          <w:tcPr>
            <w:tcW w:w="283" w:type="dxa"/>
            <w:vAlign w:val="center"/>
          </w:tcPr>
          <w:p w14:paraId="19FCA233" w14:textId="77777777" w:rsidR="00577D08" w:rsidRDefault="00577D08">
            <w:pPr>
              <w:jc w:val="right"/>
              <w:rPr>
                <w:sz w:val="15"/>
                <w:szCs w:val="15"/>
              </w:rPr>
            </w:pPr>
          </w:p>
        </w:tc>
        <w:tc>
          <w:tcPr>
            <w:tcW w:w="1134" w:type="dxa"/>
            <w:vAlign w:val="center"/>
          </w:tcPr>
          <w:p w14:paraId="0BE74D21" w14:textId="77777777" w:rsidR="00577D08" w:rsidRDefault="00330FC0">
            <w:pPr>
              <w:jc w:val="right"/>
              <w:rPr>
                <w:sz w:val="15"/>
                <w:szCs w:val="15"/>
              </w:rPr>
            </w:pPr>
            <w:r>
              <w:rPr>
                <w:sz w:val="15"/>
                <w:szCs w:val="15"/>
              </w:rPr>
              <w:t>-814,000.00</w:t>
            </w:r>
          </w:p>
        </w:tc>
        <w:tc>
          <w:tcPr>
            <w:tcW w:w="1276" w:type="dxa"/>
            <w:vAlign w:val="center"/>
          </w:tcPr>
          <w:p w14:paraId="4386B338" w14:textId="77777777" w:rsidR="00577D08" w:rsidRDefault="00330FC0">
            <w:pPr>
              <w:jc w:val="right"/>
              <w:rPr>
                <w:sz w:val="15"/>
                <w:szCs w:val="15"/>
              </w:rPr>
            </w:pPr>
            <w:r>
              <w:rPr>
                <w:sz w:val="15"/>
                <w:szCs w:val="15"/>
              </w:rPr>
              <w:t>4,550,000.00</w:t>
            </w:r>
          </w:p>
        </w:tc>
        <w:tc>
          <w:tcPr>
            <w:tcW w:w="1364" w:type="dxa"/>
            <w:vAlign w:val="center"/>
          </w:tcPr>
          <w:p w14:paraId="21964915" w14:textId="77777777" w:rsidR="00577D08" w:rsidRDefault="00330FC0">
            <w:pPr>
              <w:jc w:val="right"/>
              <w:rPr>
                <w:sz w:val="15"/>
                <w:szCs w:val="15"/>
              </w:rPr>
            </w:pPr>
            <w:r>
              <w:rPr>
                <w:sz w:val="15"/>
                <w:szCs w:val="15"/>
              </w:rPr>
              <w:t>3,736,000.00</w:t>
            </w:r>
          </w:p>
        </w:tc>
      </w:tr>
      <w:tr w:rsidR="00577D08" w14:paraId="007FEB73" w14:textId="77777777">
        <w:sdt>
          <w:sdtPr>
            <w:rPr>
              <w:sz w:val="15"/>
              <w:szCs w:val="15"/>
            </w:rPr>
            <w:tag w:val="_PLD_2b1df3030d9b41699f4a3e651f6c74e7"/>
            <w:id w:val="-1504588135"/>
          </w:sdtPr>
          <w:sdtContent>
            <w:tc>
              <w:tcPr>
                <w:tcW w:w="959" w:type="dxa"/>
                <w:vAlign w:val="center"/>
              </w:tcPr>
              <w:p w14:paraId="15431418" w14:textId="77777777" w:rsidR="00577D08" w:rsidRDefault="00330FC0">
                <w:pPr>
                  <w:rPr>
                    <w:sz w:val="15"/>
                    <w:szCs w:val="15"/>
                  </w:rPr>
                </w:pPr>
                <w:r>
                  <w:rPr>
                    <w:rFonts w:hint="eastAsia"/>
                    <w:sz w:val="15"/>
                    <w:szCs w:val="15"/>
                  </w:rPr>
                  <w:t>2</w:t>
                </w:r>
                <w:r>
                  <w:rPr>
                    <w:rFonts w:hint="eastAsia"/>
                    <w:sz w:val="15"/>
                    <w:szCs w:val="15"/>
                  </w:rPr>
                  <w:t>．其他权益工具持有者投入资本</w:t>
                </w:r>
              </w:p>
            </w:tc>
          </w:sdtContent>
        </w:sdt>
        <w:tc>
          <w:tcPr>
            <w:tcW w:w="992" w:type="dxa"/>
            <w:vAlign w:val="center"/>
          </w:tcPr>
          <w:p w14:paraId="49669810" w14:textId="77777777" w:rsidR="00577D08" w:rsidRDefault="00577D08">
            <w:pPr>
              <w:jc w:val="right"/>
              <w:rPr>
                <w:sz w:val="15"/>
                <w:szCs w:val="15"/>
              </w:rPr>
            </w:pPr>
          </w:p>
        </w:tc>
        <w:tc>
          <w:tcPr>
            <w:tcW w:w="284" w:type="dxa"/>
            <w:vAlign w:val="center"/>
          </w:tcPr>
          <w:p w14:paraId="7FE47241" w14:textId="77777777" w:rsidR="00577D08" w:rsidRDefault="00577D08">
            <w:pPr>
              <w:jc w:val="right"/>
              <w:rPr>
                <w:sz w:val="15"/>
                <w:szCs w:val="15"/>
              </w:rPr>
            </w:pPr>
          </w:p>
        </w:tc>
        <w:tc>
          <w:tcPr>
            <w:tcW w:w="425" w:type="dxa"/>
            <w:vAlign w:val="center"/>
          </w:tcPr>
          <w:p w14:paraId="7A001CA6" w14:textId="77777777" w:rsidR="00577D08" w:rsidRDefault="00577D08">
            <w:pPr>
              <w:jc w:val="right"/>
              <w:rPr>
                <w:sz w:val="15"/>
                <w:szCs w:val="15"/>
              </w:rPr>
            </w:pPr>
          </w:p>
        </w:tc>
        <w:tc>
          <w:tcPr>
            <w:tcW w:w="425" w:type="dxa"/>
            <w:vAlign w:val="center"/>
          </w:tcPr>
          <w:p w14:paraId="71580204" w14:textId="77777777" w:rsidR="00577D08" w:rsidRDefault="00577D08">
            <w:pPr>
              <w:jc w:val="right"/>
              <w:rPr>
                <w:sz w:val="15"/>
                <w:szCs w:val="15"/>
              </w:rPr>
            </w:pPr>
          </w:p>
        </w:tc>
        <w:tc>
          <w:tcPr>
            <w:tcW w:w="992" w:type="dxa"/>
            <w:vAlign w:val="center"/>
          </w:tcPr>
          <w:p w14:paraId="58523B14" w14:textId="77777777" w:rsidR="00577D08" w:rsidRDefault="00577D08">
            <w:pPr>
              <w:jc w:val="right"/>
              <w:rPr>
                <w:sz w:val="15"/>
                <w:szCs w:val="15"/>
              </w:rPr>
            </w:pPr>
          </w:p>
        </w:tc>
        <w:tc>
          <w:tcPr>
            <w:tcW w:w="1134" w:type="dxa"/>
            <w:vAlign w:val="center"/>
          </w:tcPr>
          <w:p w14:paraId="65B15032" w14:textId="77777777" w:rsidR="00577D08" w:rsidRDefault="00577D08">
            <w:pPr>
              <w:jc w:val="right"/>
              <w:rPr>
                <w:sz w:val="15"/>
                <w:szCs w:val="15"/>
              </w:rPr>
            </w:pPr>
          </w:p>
        </w:tc>
        <w:tc>
          <w:tcPr>
            <w:tcW w:w="1134" w:type="dxa"/>
            <w:vAlign w:val="center"/>
          </w:tcPr>
          <w:p w14:paraId="5E5E7783" w14:textId="77777777" w:rsidR="00577D08" w:rsidRDefault="00577D08">
            <w:pPr>
              <w:jc w:val="right"/>
              <w:rPr>
                <w:sz w:val="15"/>
                <w:szCs w:val="15"/>
              </w:rPr>
            </w:pPr>
          </w:p>
        </w:tc>
        <w:tc>
          <w:tcPr>
            <w:tcW w:w="1134" w:type="dxa"/>
            <w:vAlign w:val="center"/>
          </w:tcPr>
          <w:p w14:paraId="691BC543" w14:textId="77777777" w:rsidR="00577D08" w:rsidRDefault="00577D08">
            <w:pPr>
              <w:jc w:val="right"/>
              <w:rPr>
                <w:sz w:val="15"/>
                <w:szCs w:val="15"/>
              </w:rPr>
            </w:pPr>
          </w:p>
        </w:tc>
        <w:tc>
          <w:tcPr>
            <w:tcW w:w="993" w:type="dxa"/>
            <w:vAlign w:val="center"/>
          </w:tcPr>
          <w:p w14:paraId="696B9206" w14:textId="77777777" w:rsidR="00577D08" w:rsidRDefault="00577D08">
            <w:pPr>
              <w:jc w:val="right"/>
              <w:rPr>
                <w:sz w:val="15"/>
                <w:szCs w:val="15"/>
              </w:rPr>
            </w:pPr>
          </w:p>
        </w:tc>
        <w:tc>
          <w:tcPr>
            <w:tcW w:w="567" w:type="dxa"/>
            <w:vAlign w:val="center"/>
          </w:tcPr>
          <w:p w14:paraId="5ECDE597" w14:textId="77777777" w:rsidR="00577D08" w:rsidRDefault="00577D08">
            <w:pPr>
              <w:jc w:val="right"/>
              <w:rPr>
                <w:sz w:val="15"/>
                <w:szCs w:val="15"/>
              </w:rPr>
            </w:pPr>
          </w:p>
        </w:tc>
        <w:tc>
          <w:tcPr>
            <w:tcW w:w="992" w:type="dxa"/>
            <w:vAlign w:val="center"/>
          </w:tcPr>
          <w:p w14:paraId="1BEDC3E6" w14:textId="77777777" w:rsidR="00577D08" w:rsidRDefault="00577D08">
            <w:pPr>
              <w:jc w:val="right"/>
              <w:rPr>
                <w:sz w:val="15"/>
                <w:szCs w:val="15"/>
              </w:rPr>
            </w:pPr>
          </w:p>
        </w:tc>
        <w:tc>
          <w:tcPr>
            <w:tcW w:w="283" w:type="dxa"/>
            <w:vAlign w:val="center"/>
          </w:tcPr>
          <w:p w14:paraId="0B811391" w14:textId="77777777" w:rsidR="00577D08" w:rsidRDefault="00577D08">
            <w:pPr>
              <w:jc w:val="right"/>
              <w:rPr>
                <w:sz w:val="15"/>
                <w:szCs w:val="15"/>
              </w:rPr>
            </w:pPr>
          </w:p>
        </w:tc>
        <w:tc>
          <w:tcPr>
            <w:tcW w:w="1134" w:type="dxa"/>
            <w:vAlign w:val="center"/>
          </w:tcPr>
          <w:p w14:paraId="71D86050" w14:textId="77777777" w:rsidR="00577D08" w:rsidRDefault="00577D08">
            <w:pPr>
              <w:jc w:val="right"/>
              <w:rPr>
                <w:sz w:val="15"/>
                <w:szCs w:val="15"/>
              </w:rPr>
            </w:pPr>
          </w:p>
        </w:tc>
        <w:tc>
          <w:tcPr>
            <w:tcW w:w="1276" w:type="dxa"/>
            <w:vAlign w:val="center"/>
          </w:tcPr>
          <w:p w14:paraId="14F3D793" w14:textId="77777777" w:rsidR="00577D08" w:rsidRDefault="00577D08">
            <w:pPr>
              <w:jc w:val="right"/>
              <w:rPr>
                <w:sz w:val="15"/>
                <w:szCs w:val="15"/>
              </w:rPr>
            </w:pPr>
          </w:p>
        </w:tc>
        <w:tc>
          <w:tcPr>
            <w:tcW w:w="1364" w:type="dxa"/>
            <w:vAlign w:val="center"/>
          </w:tcPr>
          <w:p w14:paraId="69A1D547" w14:textId="77777777" w:rsidR="00577D08" w:rsidRDefault="00577D08">
            <w:pPr>
              <w:jc w:val="right"/>
              <w:rPr>
                <w:sz w:val="15"/>
                <w:szCs w:val="15"/>
              </w:rPr>
            </w:pPr>
          </w:p>
        </w:tc>
      </w:tr>
      <w:tr w:rsidR="00577D08" w14:paraId="2DC7F479" w14:textId="77777777">
        <w:sdt>
          <w:sdtPr>
            <w:rPr>
              <w:sz w:val="15"/>
              <w:szCs w:val="15"/>
            </w:rPr>
            <w:tag w:val="_PLD_bf20c7d29dbe4ecc8acea7b1a1149bd3"/>
            <w:id w:val="827018386"/>
          </w:sdtPr>
          <w:sdtContent>
            <w:tc>
              <w:tcPr>
                <w:tcW w:w="959" w:type="dxa"/>
                <w:vAlign w:val="center"/>
              </w:tcPr>
              <w:p w14:paraId="46784869" w14:textId="77777777" w:rsidR="00577D08" w:rsidRDefault="00330FC0">
                <w:pPr>
                  <w:rPr>
                    <w:sz w:val="15"/>
                    <w:szCs w:val="15"/>
                  </w:rPr>
                </w:pPr>
                <w:r>
                  <w:rPr>
                    <w:rFonts w:hint="eastAsia"/>
                    <w:sz w:val="15"/>
                    <w:szCs w:val="15"/>
                  </w:rPr>
                  <w:t>3</w:t>
                </w:r>
                <w:r>
                  <w:rPr>
                    <w:sz w:val="15"/>
                    <w:szCs w:val="15"/>
                  </w:rPr>
                  <w:t>．股份支付计入所有者权益的金额</w:t>
                </w:r>
              </w:p>
            </w:tc>
          </w:sdtContent>
        </w:sdt>
        <w:tc>
          <w:tcPr>
            <w:tcW w:w="992" w:type="dxa"/>
            <w:vAlign w:val="center"/>
          </w:tcPr>
          <w:p w14:paraId="0F7EAF61" w14:textId="77777777" w:rsidR="00577D08" w:rsidRDefault="00577D08">
            <w:pPr>
              <w:jc w:val="right"/>
              <w:rPr>
                <w:sz w:val="15"/>
                <w:szCs w:val="15"/>
              </w:rPr>
            </w:pPr>
          </w:p>
        </w:tc>
        <w:tc>
          <w:tcPr>
            <w:tcW w:w="284" w:type="dxa"/>
            <w:vAlign w:val="center"/>
          </w:tcPr>
          <w:p w14:paraId="0A1AC2E8" w14:textId="77777777" w:rsidR="00577D08" w:rsidRDefault="00577D08">
            <w:pPr>
              <w:jc w:val="right"/>
              <w:rPr>
                <w:sz w:val="15"/>
                <w:szCs w:val="15"/>
              </w:rPr>
            </w:pPr>
          </w:p>
        </w:tc>
        <w:tc>
          <w:tcPr>
            <w:tcW w:w="425" w:type="dxa"/>
            <w:vAlign w:val="center"/>
          </w:tcPr>
          <w:p w14:paraId="3FB3E744" w14:textId="77777777" w:rsidR="00577D08" w:rsidRDefault="00577D08">
            <w:pPr>
              <w:jc w:val="right"/>
              <w:rPr>
                <w:sz w:val="15"/>
                <w:szCs w:val="15"/>
              </w:rPr>
            </w:pPr>
          </w:p>
        </w:tc>
        <w:tc>
          <w:tcPr>
            <w:tcW w:w="425" w:type="dxa"/>
            <w:vAlign w:val="center"/>
          </w:tcPr>
          <w:p w14:paraId="73BC0340" w14:textId="77777777" w:rsidR="00577D08" w:rsidRDefault="00577D08">
            <w:pPr>
              <w:jc w:val="right"/>
              <w:rPr>
                <w:sz w:val="15"/>
                <w:szCs w:val="15"/>
              </w:rPr>
            </w:pPr>
          </w:p>
        </w:tc>
        <w:tc>
          <w:tcPr>
            <w:tcW w:w="992" w:type="dxa"/>
            <w:vAlign w:val="center"/>
          </w:tcPr>
          <w:p w14:paraId="0ED5AF81" w14:textId="77777777" w:rsidR="00577D08" w:rsidRDefault="00330FC0">
            <w:pPr>
              <w:jc w:val="right"/>
              <w:rPr>
                <w:sz w:val="15"/>
                <w:szCs w:val="15"/>
              </w:rPr>
            </w:pPr>
            <w:r>
              <w:rPr>
                <w:sz w:val="15"/>
                <w:szCs w:val="15"/>
              </w:rPr>
              <w:t>-6,073,989.66</w:t>
            </w:r>
          </w:p>
        </w:tc>
        <w:tc>
          <w:tcPr>
            <w:tcW w:w="1134" w:type="dxa"/>
            <w:vAlign w:val="center"/>
          </w:tcPr>
          <w:p w14:paraId="36BAA814" w14:textId="77777777" w:rsidR="00577D08" w:rsidRDefault="00330FC0">
            <w:pPr>
              <w:jc w:val="right"/>
              <w:rPr>
                <w:sz w:val="15"/>
                <w:szCs w:val="15"/>
              </w:rPr>
            </w:pPr>
            <w:r>
              <w:rPr>
                <w:sz w:val="15"/>
                <w:szCs w:val="15"/>
              </w:rPr>
              <w:t>-11,086,060.00</w:t>
            </w:r>
          </w:p>
        </w:tc>
        <w:tc>
          <w:tcPr>
            <w:tcW w:w="1134" w:type="dxa"/>
            <w:vAlign w:val="center"/>
          </w:tcPr>
          <w:p w14:paraId="31CED44B" w14:textId="77777777" w:rsidR="00577D08" w:rsidRDefault="00577D08">
            <w:pPr>
              <w:jc w:val="right"/>
              <w:rPr>
                <w:sz w:val="15"/>
                <w:szCs w:val="15"/>
              </w:rPr>
            </w:pPr>
          </w:p>
        </w:tc>
        <w:tc>
          <w:tcPr>
            <w:tcW w:w="1134" w:type="dxa"/>
            <w:vAlign w:val="center"/>
          </w:tcPr>
          <w:p w14:paraId="66B31098" w14:textId="77777777" w:rsidR="00577D08" w:rsidRDefault="00577D08">
            <w:pPr>
              <w:jc w:val="right"/>
              <w:rPr>
                <w:sz w:val="15"/>
                <w:szCs w:val="15"/>
              </w:rPr>
            </w:pPr>
          </w:p>
        </w:tc>
        <w:tc>
          <w:tcPr>
            <w:tcW w:w="993" w:type="dxa"/>
            <w:vAlign w:val="center"/>
          </w:tcPr>
          <w:p w14:paraId="7E907EC4" w14:textId="77777777" w:rsidR="00577D08" w:rsidRDefault="00577D08">
            <w:pPr>
              <w:jc w:val="right"/>
              <w:rPr>
                <w:sz w:val="15"/>
                <w:szCs w:val="15"/>
              </w:rPr>
            </w:pPr>
          </w:p>
        </w:tc>
        <w:tc>
          <w:tcPr>
            <w:tcW w:w="567" w:type="dxa"/>
            <w:vAlign w:val="center"/>
          </w:tcPr>
          <w:p w14:paraId="085C2675" w14:textId="77777777" w:rsidR="00577D08" w:rsidRDefault="00577D08">
            <w:pPr>
              <w:jc w:val="right"/>
              <w:rPr>
                <w:sz w:val="15"/>
                <w:szCs w:val="15"/>
              </w:rPr>
            </w:pPr>
          </w:p>
        </w:tc>
        <w:tc>
          <w:tcPr>
            <w:tcW w:w="992" w:type="dxa"/>
            <w:vAlign w:val="center"/>
          </w:tcPr>
          <w:p w14:paraId="523C16B7" w14:textId="77777777" w:rsidR="00577D08" w:rsidRDefault="00577D08">
            <w:pPr>
              <w:jc w:val="right"/>
              <w:rPr>
                <w:sz w:val="15"/>
                <w:szCs w:val="15"/>
              </w:rPr>
            </w:pPr>
          </w:p>
        </w:tc>
        <w:tc>
          <w:tcPr>
            <w:tcW w:w="283" w:type="dxa"/>
            <w:vAlign w:val="center"/>
          </w:tcPr>
          <w:p w14:paraId="66405DDE" w14:textId="77777777" w:rsidR="00577D08" w:rsidRDefault="00577D08">
            <w:pPr>
              <w:jc w:val="right"/>
              <w:rPr>
                <w:sz w:val="15"/>
                <w:szCs w:val="15"/>
              </w:rPr>
            </w:pPr>
          </w:p>
        </w:tc>
        <w:tc>
          <w:tcPr>
            <w:tcW w:w="1134" w:type="dxa"/>
            <w:vAlign w:val="center"/>
          </w:tcPr>
          <w:p w14:paraId="4E5E035C" w14:textId="77777777" w:rsidR="00577D08" w:rsidRDefault="00330FC0">
            <w:pPr>
              <w:jc w:val="right"/>
              <w:rPr>
                <w:sz w:val="15"/>
                <w:szCs w:val="15"/>
              </w:rPr>
            </w:pPr>
            <w:r>
              <w:rPr>
                <w:sz w:val="15"/>
                <w:szCs w:val="15"/>
              </w:rPr>
              <w:t>5,012,070.34</w:t>
            </w:r>
          </w:p>
        </w:tc>
        <w:tc>
          <w:tcPr>
            <w:tcW w:w="1276" w:type="dxa"/>
            <w:vAlign w:val="center"/>
          </w:tcPr>
          <w:p w14:paraId="07B3C7FA" w14:textId="77777777" w:rsidR="00577D08" w:rsidRDefault="00577D08">
            <w:pPr>
              <w:jc w:val="right"/>
              <w:rPr>
                <w:sz w:val="15"/>
                <w:szCs w:val="15"/>
              </w:rPr>
            </w:pPr>
          </w:p>
        </w:tc>
        <w:tc>
          <w:tcPr>
            <w:tcW w:w="1364" w:type="dxa"/>
            <w:vAlign w:val="center"/>
          </w:tcPr>
          <w:p w14:paraId="170B7659" w14:textId="77777777" w:rsidR="00577D08" w:rsidRDefault="00330FC0">
            <w:pPr>
              <w:jc w:val="right"/>
              <w:rPr>
                <w:sz w:val="15"/>
                <w:szCs w:val="15"/>
              </w:rPr>
            </w:pPr>
            <w:r>
              <w:rPr>
                <w:sz w:val="15"/>
                <w:szCs w:val="15"/>
              </w:rPr>
              <w:t>5,012,070.34</w:t>
            </w:r>
          </w:p>
        </w:tc>
      </w:tr>
      <w:tr w:rsidR="00577D08" w14:paraId="677D533F" w14:textId="77777777">
        <w:sdt>
          <w:sdtPr>
            <w:rPr>
              <w:sz w:val="15"/>
              <w:szCs w:val="15"/>
            </w:rPr>
            <w:tag w:val="_PLD_d3ce563048a9409f9366506e205c4124"/>
            <w:id w:val="-866992010"/>
          </w:sdtPr>
          <w:sdtContent>
            <w:tc>
              <w:tcPr>
                <w:tcW w:w="959" w:type="dxa"/>
                <w:vAlign w:val="center"/>
              </w:tcPr>
              <w:p w14:paraId="6AFA8C03" w14:textId="77777777" w:rsidR="00577D08" w:rsidRDefault="00330FC0">
                <w:pPr>
                  <w:rPr>
                    <w:sz w:val="15"/>
                    <w:szCs w:val="15"/>
                  </w:rPr>
                </w:pPr>
                <w:r>
                  <w:rPr>
                    <w:rFonts w:hint="eastAsia"/>
                    <w:sz w:val="15"/>
                    <w:szCs w:val="15"/>
                  </w:rPr>
                  <w:t>4</w:t>
                </w:r>
                <w:r>
                  <w:rPr>
                    <w:sz w:val="15"/>
                    <w:szCs w:val="15"/>
                  </w:rPr>
                  <w:t>．其他</w:t>
                </w:r>
              </w:p>
            </w:tc>
          </w:sdtContent>
        </w:sdt>
        <w:tc>
          <w:tcPr>
            <w:tcW w:w="992" w:type="dxa"/>
            <w:vAlign w:val="center"/>
          </w:tcPr>
          <w:p w14:paraId="28DA48ED" w14:textId="77777777" w:rsidR="00577D08" w:rsidRDefault="00577D08">
            <w:pPr>
              <w:jc w:val="right"/>
              <w:rPr>
                <w:sz w:val="15"/>
                <w:szCs w:val="15"/>
              </w:rPr>
            </w:pPr>
          </w:p>
        </w:tc>
        <w:tc>
          <w:tcPr>
            <w:tcW w:w="284" w:type="dxa"/>
            <w:vAlign w:val="center"/>
          </w:tcPr>
          <w:p w14:paraId="592C6D0F" w14:textId="77777777" w:rsidR="00577D08" w:rsidRDefault="00577D08">
            <w:pPr>
              <w:jc w:val="right"/>
              <w:rPr>
                <w:sz w:val="15"/>
                <w:szCs w:val="15"/>
              </w:rPr>
            </w:pPr>
          </w:p>
        </w:tc>
        <w:tc>
          <w:tcPr>
            <w:tcW w:w="425" w:type="dxa"/>
            <w:vAlign w:val="center"/>
          </w:tcPr>
          <w:p w14:paraId="1860C4CC" w14:textId="77777777" w:rsidR="00577D08" w:rsidRDefault="00577D08">
            <w:pPr>
              <w:jc w:val="right"/>
              <w:rPr>
                <w:sz w:val="15"/>
                <w:szCs w:val="15"/>
              </w:rPr>
            </w:pPr>
          </w:p>
        </w:tc>
        <w:tc>
          <w:tcPr>
            <w:tcW w:w="425" w:type="dxa"/>
            <w:vAlign w:val="center"/>
          </w:tcPr>
          <w:p w14:paraId="536A929C" w14:textId="77777777" w:rsidR="00577D08" w:rsidRDefault="00577D08">
            <w:pPr>
              <w:jc w:val="right"/>
              <w:rPr>
                <w:sz w:val="15"/>
                <w:szCs w:val="15"/>
              </w:rPr>
            </w:pPr>
          </w:p>
        </w:tc>
        <w:tc>
          <w:tcPr>
            <w:tcW w:w="992" w:type="dxa"/>
            <w:vAlign w:val="center"/>
          </w:tcPr>
          <w:p w14:paraId="3A8755F8" w14:textId="77777777" w:rsidR="00577D08" w:rsidRDefault="00330FC0">
            <w:pPr>
              <w:jc w:val="right"/>
              <w:rPr>
                <w:sz w:val="15"/>
                <w:szCs w:val="15"/>
              </w:rPr>
            </w:pPr>
            <w:r>
              <w:rPr>
                <w:sz w:val="15"/>
                <w:szCs w:val="15"/>
              </w:rPr>
              <w:t>24,801,517.95</w:t>
            </w:r>
          </w:p>
        </w:tc>
        <w:tc>
          <w:tcPr>
            <w:tcW w:w="1134" w:type="dxa"/>
            <w:vAlign w:val="center"/>
          </w:tcPr>
          <w:p w14:paraId="74F9E920" w14:textId="77777777" w:rsidR="00577D08" w:rsidRDefault="00577D08">
            <w:pPr>
              <w:jc w:val="right"/>
              <w:rPr>
                <w:sz w:val="15"/>
                <w:szCs w:val="15"/>
              </w:rPr>
            </w:pPr>
          </w:p>
        </w:tc>
        <w:tc>
          <w:tcPr>
            <w:tcW w:w="1134" w:type="dxa"/>
            <w:vAlign w:val="center"/>
          </w:tcPr>
          <w:p w14:paraId="32716F41" w14:textId="77777777" w:rsidR="00577D08" w:rsidRDefault="00577D08">
            <w:pPr>
              <w:jc w:val="right"/>
              <w:rPr>
                <w:sz w:val="15"/>
                <w:szCs w:val="15"/>
              </w:rPr>
            </w:pPr>
          </w:p>
        </w:tc>
        <w:tc>
          <w:tcPr>
            <w:tcW w:w="1134" w:type="dxa"/>
            <w:vAlign w:val="center"/>
          </w:tcPr>
          <w:p w14:paraId="44C5E98E" w14:textId="77777777" w:rsidR="00577D08" w:rsidRDefault="00577D08">
            <w:pPr>
              <w:jc w:val="right"/>
              <w:rPr>
                <w:sz w:val="15"/>
                <w:szCs w:val="15"/>
              </w:rPr>
            </w:pPr>
          </w:p>
        </w:tc>
        <w:tc>
          <w:tcPr>
            <w:tcW w:w="993" w:type="dxa"/>
            <w:vAlign w:val="center"/>
          </w:tcPr>
          <w:p w14:paraId="779DB75C" w14:textId="77777777" w:rsidR="00577D08" w:rsidRDefault="00577D08">
            <w:pPr>
              <w:jc w:val="right"/>
              <w:rPr>
                <w:sz w:val="15"/>
                <w:szCs w:val="15"/>
              </w:rPr>
            </w:pPr>
          </w:p>
        </w:tc>
        <w:tc>
          <w:tcPr>
            <w:tcW w:w="567" w:type="dxa"/>
            <w:vAlign w:val="center"/>
          </w:tcPr>
          <w:p w14:paraId="78904F43" w14:textId="77777777" w:rsidR="00577D08" w:rsidRDefault="00577D08">
            <w:pPr>
              <w:jc w:val="right"/>
              <w:rPr>
                <w:sz w:val="15"/>
                <w:szCs w:val="15"/>
              </w:rPr>
            </w:pPr>
          </w:p>
        </w:tc>
        <w:tc>
          <w:tcPr>
            <w:tcW w:w="992" w:type="dxa"/>
            <w:vAlign w:val="center"/>
          </w:tcPr>
          <w:p w14:paraId="533DAD82" w14:textId="77777777" w:rsidR="00577D08" w:rsidRDefault="00330FC0">
            <w:pPr>
              <w:jc w:val="right"/>
              <w:rPr>
                <w:sz w:val="15"/>
                <w:szCs w:val="15"/>
              </w:rPr>
            </w:pPr>
            <w:r>
              <w:rPr>
                <w:sz w:val="15"/>
                <w:szCs w:val="15"/>
              </w:rPr>
              <w:t>498,300.00</w:t>
            </w:r>
          </w:p>
        </w:tc>
        <w:tc>
          <w:tcPr>
            <w:tcW w:w="283" w:type="dxa"/>
            <w:vAlign w:val="center"/>
          </w:tcPr>
          <w:p w14:paraId="00362AEC" w14:textId="77777777" w:rsidR="00577D08" w:rsidRDefault="00577D08">
            <w:pPr>
              <w:jc w:val="right"/>
              <w:rPr>
                <w:sz w:val="15"/>
                <w:szCs w:val="15"/>
              </w:rPr>
            </w:pPr>
          </w:p>
        </w:tc>
        <w:tc>
          <w:tcPr>
            <w:tcW w:w="1134" w:type="dxa"/>
            <w:vAlign w:val="center"/>
          </w:tcPr>
          <w:p w14:paraId="39195948" w14:textId="77777777" w:rsidR="00577D08" w:rsidRDefault="00330FC0">
            <w:pPr>
              <w:jc w:val="right"/>
              <w:rPr>
                <w:sz w:val="15"/>
                <w:szCs w:val="15"/>
              </w:rPr>
            </w:pPr>
            <w:r>
              <w:rPr>
                <w:sz w:val="15"/>
                <w:szCs w:val="15"/>
              </w:rPr>
              <w:t>25,299,817.95</w:t>
            </w:r>
          </w:p>
        </w:tc>
        <w:tc>
          <w:tcPr>
            <w:tcW w:w="1276" w:type="dxa"/>
            <w:vAlign w:val="center"/>
          </w:tcPr>
          <w:p w14:paraId="1C82E5D1" w14:textId="77777777" w:rsidR="00577D08" w:rsidRDefault="00330FC0">
            <w:pPr>
              <w:jc w:val="right"/>
              <w:rPr>
                <w:sz w:val="15"/>
                <w:szCs w:val="15"/>
              </w:rPr>
            </w:pPr>
            <w:r>
              <w:rPr>
                <w:sz w:val="15"/>
                <w:szCs w:val="15"/>
              </w:rPr>
              <w:t>-145,135,023.31</w:t>
            </w:r>
          </w:p>
        </w:tc>
        <w:tc>
          <w:tcPr>
            <w:tcW w:w="1364" w:type="dxa"/>
            <w:vAlign w:val="center"/>
          </w:tcPr>
          <w:p w14:paraId="64B74FCD" w14:textId="77777777" w:rsidR="00577D08" w:rsidRDefault="00330FC0">
            <w:pPr>
              <w:jc w:val="right"/>
              <w:rPr>
                <w:sz w:val="15"/>
                <w:szCs w:val="15"/>
              </w:rPr>
            </w:pPr>
            <w:r>
              <w:rPr>
                <w:sz w:val="15"/>
                <w:szCs w:val="15"/>
              </w:rPr>
              <w:t>-119,835,205.36</w:t>
            </w:r>
          </w:p>
        </w:tc>
      </w:tr>
      <w:tr w:rsidR="00577D08" w14:paraId="68DC6A67" w14:textId="77777777">
        <w:sdt>
          <w:sdtPr>
            <w:rPr>
              <w:sz w:val="15"/>
              <w:szCs w:val="15"/>
            </w:rPr>
            <w:tag w:val="_PLD_e5ace973797c4072b589e43841b34142"/>
            <w:id w:val="-520466344"/>
          </w:sdtPr>
          <w:sdtContent>
            <w:tc>
              <w:tcPr>
                <w:tcW w:w="959" w:type="dxa"/>
                <w:vAlign w:val="center"/>
              </w:tcPr>
              <w:p w14:paraId="4DEF87AE" w14:textId="77777777" w:rsidR="00577D08" w:rsidRDefault="00330FC0">
                <w:pPr>
                  <w:rPr>
                    <w:sz w:val="15"/>
                    <w:szCs w:val="15"/>
                  </w:rPr>
                </w:pPr>
                <w:r>
                  <w:rPr>
                    <w:sz w:val="15"/>
                    <w:szCs w:val="15"/>
                  </w:rPr>
                  <w:t>（</w:t>
                </w:r>
                <w:r>
                  <w:rPr>
                    <w:rFonts w:hint="eastAsia"/>
                    <w:sz w:val="15"/>
                    <w:szCs w:val="15"/>
                  </w:rPr>
                  <w:t>三</w:t>
                </w:r>
                <w:r>
                  <w:rPr>
                    <w:sz w:val="15"/>
                    <w:szCs w:val="15"/>
                  </w:rPr>
                  <w:t>）利润分配</w:t>
                </w:r>
              </w:p>
            </w:tc>
          </w:sdtContent>
        </w:sdt>
        <w:tc>
          <w:tcPr>
            <w:tcW w:w="992" w:type="dxa"/>
            <w:vAlign w:val="center"/>
          </w:tcPr>
          <w:p w14:paraId="7934F859" w14:textId="77777777" w:rsidR="00577D08" w:rsidRDefault="00577D08">
            <w:pPr>
              <w:jc w:val="right"/>
              <w:rPr>
                <w:sz w:val="15"/>
                <w:szCs w:val="15"/>
              </w:rPr>
            </w:pPr>
          </w:p>
        </w:tc>
        <w:tc>
          <w:tcPr>
            <w:tcW w:w="284" w:type="dxa"/>
            <w:vAlign w:val="center"/>
          </w:tcPr>
          <w:p w14:paraId="00285BE2" w14:textId="77777777" w:rsidR="00577D08" w:rsidRDefault="00577D08">
            <w:pPr>
              <w:jc w:val="right"/>
              <w:rPr>
                <w:sz w:val="15"/>
                <w:szCs w:val="15"/>
              </w:rPr>
            </w:pPr>
          </w:p>
        </w:tc>
        <w:tc>
          <w:tcPr>
            <w:tcW w:w="425" w:type="dxa"/>
            <w:vAlign w:val="center"/>
          </w:tcPr>
          <w:p w14:paraId="27598FCC" w14:textId="77777777" w:rsidR="00577D08" w:rsidRDefault="00577D08">
            <w:pPr>
              <w:jc w:val="right"/>
              <w:rPr>
                <w:sz w:val="15"/>
                <w:szCs w:val="15"/>
              </w:rPr>
            </w:pPr>
          </w:p>
        </w:tc>
        <w:tc>
          <w:tcPr>
            <w:tcW w:w="425" w:type="dxa"/>
            <w:vAlign w:val="center"/>
          </w:tcPr>
          <w:p w14:paraId="31EE3C69" w14:textId="77777777" w:rsidR="00577D08" w:rsidRDefault="00577D08">
            <w:pPr>
              <w:jc w:val="right"/>
              <w:rPr>
                <w:sz w:val="15"/>
                <w:szCs w:val="15"/>
              </w:rPr>
            </w:pPr>
          </w:p>
        </w:tc>
        <w:tc>
          <w:tcPr>
            <w:tcW w:w="992" w:type="dxa"/>
            <w:vAlign w:val="center"/>
          </w:tcPr>
          <w:p w14:paraId="1B904BF5" w14:textId="77777777" w:rsidR="00577D08" w:rsidRDefault="00577D08">
            <w:pPr>
              <w:jc w:val="right"/>
              <w:rPr>
                <w:sz w:val="15"/>
                <w:szCs w:val="15"/>
              </w:rPr>
            </w:pPr>
          </w:p>
        </w:tc>
        <w:tc>
          <w:tcPr>
            <w:tcW w:w="1134" w:type="dxa"/>
            <w:vAlign w:val="center"/>
          </w:tcPr>
          <w:p w14:paraId="09BEB83F" w14:textId="77777777" w:rsidR="00577D08" w:rsidRDefault="00577D08">
            <w:pPr>
              <w:jc w:val="right"/>
              <w:rPr>
                <w:sz w:val="15"/>
                <w:szCs w:val="15"/>
              </w:rPr>
            </w:pPr>
          </w:p>
        </w:tc>
        <w:tc>
          <w:tcPr>
            <w:tcW w:w="1134" w:type="dxa"/>
            <w:vAlign w:val="center"/>
          </w:tcPr>
          <w:p w14:paraId="74AEEBE0" w14:textId="77777777" w:rsidR="00577D08" w:rsidRDefault="00577D08">
            <w:pPr>
              <w:jc w:val="right"/>
              <w:rPr>
                <w:sz w:val="15"/>
                <w:szCs w:val="15"/>
              </w:rPr>
            </w:pPr>
          </w:p>
        </w:tc>
        <w:tc>
          <w:tcPr>
            <w:tcW w:w="1134" w:type="dxa"/>
            <w:vAlign w:val="center"/>
          </w:tcPr>
          <w:p w14:paraId="759BE9E8" w14:textId="77777777" w:rsidR="00577D08" w:rsidRDefault="00577D08">
            <w:pPr>
              <w:jc w:val="right"/>
              <w:rPr>
                <w:sz w:val="15"/>
                <w:szCs w:val="15"/>
              </w:rPr>
            </w:pPr>
          </w:p>
        </w:tc>
        <w:tc>
          <w:tcPr>
            <w:tcW w:w="993" w:type="dxa"/>
            <w:vAlign w:val="center"/>
          </w:tcPr>
          <w:p w14:paraId="79695B18" w14:textId="77777777" w:rsidR="00577D08" w:rsidRDefault="00330FC0">
            <w:pPr>
              <w:jc w:val="right"/>
              <w:rPr>
                <w:sz w:val="15"/>
                <w:szCs w:val="15"/>
              </w:rPr>
            </w:pPr>
            <w:r>
              <w:rPr>
                <w:sz w:val="15"/>
                <w:szCs w:val="15"/>
              </w:rPr>
              <w:t>4,851,665.71</w:t>
            </w:r>
          </w:p>
        </w:tc>
        <w:tc>
          <w:tcPr>
            <w:tcW w:w="567" w:type="dxa"/>
            <w:vAlign w:val="center"/>
          </w:tcPr>
          <w:p w14:paraId="59D8A49F" w14:textId="77777777" w:rsidR="00577D08" w:rsidRDefault="00577D08">
            <w:pPr>
              <w:jc w:val="right"/>
              <w:rPr>
                <w:sz w:val="15"/>
                <w:szCs w:val="15"/>
              </w:rPr>
            </w:pPr>
          </w:p>
        </w:tc>
        <w:tc>
          <w:tcPr>
            <w:tcW w:w="992" w:type="dxa"/>
            <w:vAlign w:val="center"/>
          </w:tcPr>
          <w:p w14:paraId="6730602B" w14:textId="77777777" w:rsidR="00577D08" w:rsidRDefault="00330FC0">
            <w:pPr>
              <w:jc w:val="right"/>
              <w:rPr>
                <w:sz w:val="15"/>
                <w:szCs w:val="15"/>
              </w:rPr>
            </w:pPr>
            <w:r>
              <w:rPr>
                <w:sz w:val="15"/>
                <w:szCs w:val="15"/>
              </w:rPr>
              <w:t>-21,465,697.66</w:t>
            </w:r>
          </w:p>
        </w:tc>
        <w:tc>
          <w:tcPr>
            <w:tcW w:w="283" w:type="dxa"/>
            <w:vAlign w:val="center"/>
          </w:tcPr>
          <w:p w14:paraId="45E64DDA" w14:textId="77777777" w:rsidR="00577D08" w:rsidRDefault="00577D08">
            <w:pPr>
              <w:jc w:val="right"/>
              <w:rPr>
                <w:sz w:val="15"/>
                <w:szCs w:val="15"/>
              </w:rPr>
            </w:pPr>
          </w:p>
        </w:tc>
        <w:tc>
          <w:tcPr>
            <w:tcW w:w="1134" w:type="dxa"/>
            <w:vAlign w:val="center"/>
          </w:tcPr>
          <w:p w14:paraId="2F45842E" w14:textId="77777777" w:rsidR="00577D08" w:rsidRDefault="00330FC0">
            <w:pPr>
              <w:jc w:val="right"/>
              <w:rPr>
                <w:sz w:val="15"/>
                <w:szCs w:val="15"/>
              </w:rPr>
            </w:pPr>
            <w:r>
              <w:rPr>
                <w:sz w:val="15"/>
                <w:szCs w:val="15"/>
              </w:rPr>
              <w:t>-16,614,031.95</w:t>
            </w:r>
          </w:p>
        </w:tc>
        <w:tc>
          <w:tcPr>
            <w:tcW w:w="1276" w:type="dxa"/>
            <w:vAlign w:val="center"/>
          </w:tcPr>
          <w:p w14:paraId="18ECA657" w14:textId="77777777" w:rsidR="00577D08" w:rsidRDefault="00577D08">
            <w:pPr>
              <w:jc w:val="right"/>
              <w:rPr>
                <w:sz w:val="15"/>
                <w:szCs w:val="15"/>
              </w:rPr>
            </w:pPr>
          </w:p>
        </w:tc>
        <w:tc>
          <w:tcPr>
            <w:tcW w:w="1364" w:type="dxa"/>
            <w:vAlign w:val="center"/>
          </w:tcPr>
          <w:p w14:paraId="49B611F9" w14:textId="77777777" w:rsidR="00577D08" w:rsidRDefault="00330FC0">
            <w:pPr>
              <w:jc w:val="right"/>
              <w:rPr>
                <w:sz w:val="15"/>
                <w:szCs w:val="15"/>
              </w:rPr>
            </w:pPr>
            <w:r>
              <w:rPr>
                <w:sz w:val="15"/>
                <w:szCs w:val="15"/>
              </w:rPr>
              <w:t>-16,614,031.95</w:t>
            </w:r>
          </w:p>
        </w:tc>
      </w:tr>
      <w:tr w:rsidR="00577D08" w14:paraId="2AF22A63" w14:textId="77777777">
        <w:sdt>
          <w:sdtPr>
            <w:rPr>
              <w:sz w:val="15"/>
              <w:szCs w:val="15"/>
            </w:rPr>
            <w:tag w:val="_PLD_56984731c08d48a08692b6a589fbe555"/>
            <w:id w:val="-1862119459"/>
          </w:sdtPr>
          <w:sdtContent>
            <w:tc>
              <w:tcPr>
                <w:tcW w:w="959" w:type="dxa"/>
                <w:vAlign w:val="center"/>
              </w:tcPr>
              <w:p w14:paraId="6AEACF4D" w14:textId="77777777" w:rsidR="00577D08" w:rsidRDefault="00330FC0">
                <w:pPr>
                  <w:rPr>
                    <w:sz w:val="15"/>
                    <w:szCs w:val="15"/>
                  </w:rPr>
                </w:pPr>
                <w:r>
                  <w:rPr>
                    <w:sz w:val="15"/>
                    <w:szCs w:val="15"/>
                  </w:rPr>
                  <w:t>1</w:t>
                </w:r>
                <w:r>
                  <w:rPr>
                    <w:sz w:val="15"/>
                    <w:szCs w:val="15"/>
                  </w:rPr>
                  <w:t>．提取盈余公积</w:t>
                </w:r>
              </w:p>
            </w:tc>
          </w:sdtContent>
        </w:sdt>
        <w:tc>
          <w:tcPr>
            <w:tcW w:w="992" w:type="dxa"/>
            <w:vAlign w:val="center"/>
          </w:tcPr>
          <w:p w14:paraId="4D1FADAA" w14:textId="77777777" w:rsidR="00577D08" w:rsidRDefault="00577D08">
            <w:pPr>
              <w:jc w:val="right"/>
              <w:rPr>
                <w:sz w:val="15"/>
                <w:szCs w:val="15"/>
              </w:rPr>
            </w:pPr>
          </w:p>
        </w:tc>
        <w:tc>
          <w:tcPr>
            <w:tcW w:w="284" w:type="dxa"/>
            <w:vAlign w:val="center"/>
          </w:tcPr>
          <w:p w14:paraId="535633CA" w14:textId="77777777" w:rsidR="00577D08" w:rsidRDefault="00577D08">
            <w:pPr>
              <w:jc w:val="right"/>
              <w:rPr>
                <w:sz w:val="15"/>
                <w:szCs w:val="15"/>
              </w:rPr>
            </w:pPr>
          </w:p>
        </w:tc>
        <w:tc>
          <w:tcPr>
            <w:tcW w:w="425" w:type="dxa"/>
            <w:vAlign w:val="center"/>
          </w:tcPr>
          <w:p w14:paraId="2D0DAED7" w14:textId="77777777" w:rsidR="00577D08" w:rsidRDefault="00577D08">
            <w:pPr>
              <w:jc w:val="right"/>
              <w:rPr>
                <w:sz w:val="15"/>
                <w:szCs w:val="15"/>
              </w:rPr>
            </w:pPr>
          </w:p>
        </w:tc>
        <w:tc>
          <w:tcPr>
            <w:tcW w:w="425" w:type="dxa"/>
            <w:vAlign w:val="center"/>
          </w:tcPr>
          <w:p w14:paraId="00F93B83" w14:textId="77777777" w:rsidR="00577D08" w:rsidRDefault="00577D08">
            <w:pPr>
              <w:jc w:val="right"/>
              <w:rPr>
                <w:sz w:val="15"/>
                <w:szCs w:val="15"/>
              </w:rPr>
            </w:pPr>
          </w:p>
        </w:tc>
        <w:tc>
          <w:tcPr>
            <w:tcW w:w="992" w:type="dxa"/>
            <w:vAlign w:val="center"/>
          </w:tcPr>
          <w:p w14:paraId="746CB60D" w14:textId="77777777" w:rsidR="00577D08" w:rsidRDefault="00577D08">
            <w:pPr>
              <w:jc w:val="right"/>
              <w:rPr>
                <w:sz w:val="15"/>
                <w:szCs w:val="15"/>
              </w:rPr>
            </w:pPr>
          </w:p>
        </w:tc>
        <w:tc>
          <w:tcPr>
            <w:tcW w:w="1134" w:type="dxa"/>
            <w:vAlign w:val="center"/>
          </w:tcPr>
          <w:p w14:paraId="09910A09" w14:textId="77777777" w:rsidR="00577D08" w:rsidRDefault="00577D08">
            <w:pPr>
              <w:jc w:val="right"/>
              <w:rPr>
                <w:sz w:val="15"/>
                <w:szCs w:val="15"/>
              </w:rPr>
            </w:pPr>
          </w:p>
        </w:tc>
        <w:tc>
          <w:tcPr>
            <w:tcW w:w="1134" w:type="dxa"/>
            <w:vAlign w:val="center"/>
          </w:tcPr>
          <w:p w14:paraId="1C3ABD49" w14:textId="77777777" w:rsidR="00577D08" w:rsidRDefault="00577D08">
            <w:pPr>
              <w:jc w:val="right"/>
              <w:rPr>
                <w:sz w:val="15"/>
                <w:szCs w:val="15"/>
              </w:rPr>
            </w:pPr>
          </w:p>
        </w:tc>
        <w:tc>
          <w:tcPr>
            <w:tcW w:w="1134" w:type="dxa"/>
            <w:vAlign w:val="center"/>
          </w:tcPr>
          <w:p w14:paraId="147C4DF9" w14:textId="77777777" w:rsidR="00577D08" w:rsidRDefault="00577D08">
            <w:pPr>
              <w:jc w:val="right"/>
              <w:rPr>
                <w:sz w:val="15"/>
                <w:szCs w:val="15"/>
              </w:rPr>
            </w:pPr>
          </w:p>
        </w:tc>
        <w:tc>
          <w:tcPr>
            <w:tcW w:w="993" w:type="dxa"/>
            <w:vAlign w:val="center"/>
          </w:tcPr>
          <w:p w14:paraId="7FC802A0" w14:textId="77777777" w:rsidR="00577D08" w:rsidRDefault="00330FC0">
            <w:pPr>
              <w:jc w:val="right"/>
              <w:rPr>
                <w:sz w:val="15"/>
                <w:szCs w:val="15"/>
              </w:rPr>
            </w:pPr>
            <w:r>
              <w:rPr>
                <w:sz w:val="15"/>
                <w:szCs w:val="15"/>
              </w:rPr>
              <w:t>4,851,665.71</w:t>
            </w:r>
          </w:p>
        </w:tc>
        <w:tc>
          <w:tcPr>
            <w:tcW w:w="567" w:type="dxa"/>
            <w:vAlign w:val="center"/>
          </w:tcPr>
          <w:p w14:paraId="3719A4AB" w14:textId="77777777" w:rsidR="00577D08" w:rsidRDefault="00577D08">
            <w:pPr>
              <w:jc w:val="right"/>
              <w:rPr>
                <w:sz w:val="15"/>
                <w:szCs w:val="15"/>
              </w:rPr>
            </w:pPr>
          </w:p>
        </w:tc>
        <w:tc>
          <w:tcPr>
            <w:tcW w:w="992" w:type="dxa"/>
            <w:vAlign w:val="center"/>
          </w:tcPr>
          <w:p w14:paraId="6DCF075D" w14:textId="77777777" w:rsidR="00577D08" w:rsidRDefault="00330FC0">
            <w:pPr>
              <w:jc w:val="right"/>
              <w:rPr>
                <w:sz w:val="15"/>
                <w:szCs w:val="15"/>
              </w:rPr>
            </w:pPr>
            <w:r>
              <w:rPr>
                <w:sz w:val="15"/>
                <w:szCs w:val="15"/>
              </w:rPr>
              <w:t>-4,851,665.71</w:t>
            </w:r>
          </w:p>
        </w:tc>
        <w:tc>
          <w:tcPr>
            <w:tcW w:w="283" w:type="dxa"/>
            <w:vAlign w:val="center"/>
          </w:tcPr>
          <w:p w14:paraId="3A5A736C" w14:textId="77777777" w:rsidR="00577D08" w:rsidRDefault="00577D08">
            <w:pPr>
              <w:jc w:val="right"/>
              <w:rPr>
                <w:sz w:val="15"/>
                <w:szCs w:val="15"/>
              </w:rPr>
            </w:pPr>
          </w:p>
        </w:tc>
        <w:tc>
          <w:tcPr>
            <w:tcW w:w="1134" w:type="dxa"/>
            <w:vAlign w:val="center"/>
          </w:tcPr>
          <w:p w14:paraId="3B0ABACB" w14:textId="77777777" w:rsidR="00577D08" w:rsidRDefault="00577D08">
            <w:pPr>
              <w:jc w:val="right"/>
              <w:rPr>
                <w:sz w:val="15"/>
                <w:szCs w:val="15"/>
              </w:rPr>
            </w:pPr>
          </w:p>
        </w:tc>
        <w:tc>
          <w:tcPr>
            <w:tcW w:w="1276" w:type="dxa"/>
            <w:vAlign w:val="center"/>
          </w:tcPr>
          <w:p w14:paraId="25ACDF4E" w14:textId="77777777" w:rsidR="00577D08" w:rsidRDefault="00577D08">
            <w:pPr>
              <w:jc w:val="right"/>
              <w:rPr>
                <w:sz w:val="15"/>
                <w:szCs w:val="15"/>
              </w:rPr>
            </w:pPr>
          </w:p>
        </w:tc>
        <w:tc>
          <w:tcPr>
            <w:tcW w:w="1364" w:type="dxa"/>
            <w:vAlign w:val="center"/>
          </w:tcPr>
          <w:p w14:paraId="73FF79D7" w14:textId="77777777" w:rsidR="00577D08" w:rsidRDefault="00577D08">
            <w:pPr>
              <w:jc w:val="right"/>
              <w:rPr>
                <w:sz w:val="15"/>
                <w:szCs w:val="15"/>
              </w:rPr>
            </w:pPr>
          </w:p>
        </w:tc>
      </w:tr>
      <w:tr w:rsidR="00577D08" w14:paraId="034A576C" w14:textId="77777777">
        <w:sdt>
          <w:sdtPr>
            <w:rPr>
              <w:sz w:val="15"/>
              <w:szCs w:val="15"/>
            </w:rPr>
            <w:tag w:val="_PLD_d30e7cefb4de4113b5c1abddf8a241d4"/>
            <w:id w:val="652108420"/>
          </w:sdtPr>
          <w:sdtContent>
            <w:tc>
              <w:tcPr>
                <w:tcW w:w="959" w:type="dxa"/>
                <w:vAlign w:val="center"/>
              </w:tcPr>
              <w:p w14:paraId="2750E66B" w14:textId="77777777" w:rsidR="00577D08" w:rsidRDefault="00330FC0">
                <w:pPr>
                  <w:rPr>
                    <w:sz w:val="15"/>
                    <w:szCs w:val="15"/>
                  </w:rPr>
                </w:pPr>
                <w:r>
                  <w:rPr>
                    <w:sz w:val="15"/>
                    <w:szCs w:val="15"/>
                  </w:rPr>
                  <w:t>2</w:t>
                </w:r>
                <w:r>
                  <w:rPr>
                    <w:sz w:val="15"/>
                    <w:szCs w:val="15"/>
                  </w:rPr>
                  <w:t>．提取一般风险准备</w:t>
                </w:r>
              </w:p>
            </w:tc>
          </w:sdtContent>
        </w:sdt>
        <w:tc>
          <w:tcPr>
            <w:tcW w:w="992" w:type="dxa"/>
            <w:vAlign w:val="center"/>
          </w:tcPr>
          <w:p w14:paraId="65A4512A" w14:textId="77777777" w:rsidR="00577D08" w:rsidRDefault="00577D08">
            <w:pPr>
              <w:jc w:val="right"/>
              <w:rPr>
                <w:sz w:val="15"/>
                <w:szCs w:val="15"/>
              </w:rPr>
            </w:pPr>
          </w:p>
        </w:tc>
        <w:tc>
          <w:tcPr>
            <w:tcW w:w="284" w:type="dxa"/>
            <w:vAlign w:val="center"/>
          </w:tcPr>
          <w:p w14:paraId="6BCA9E3C" w14:textId="77777777" w:rsidR="00577D08" w:rsidRDefault="00577D08">
            <w:pPr>
              <w:jc w:val="right"/>
              <w:rPr>
                <w:sz w:val="15"/>
                <w:szCs w:val="15"/>
              </w:rPr>
            </w:pPr>
          </w:p>
        </w:tc>
        <w:tc>
          <w:tcPr>
            <w:tcW w:w="425" w:type="dxa"/>
            <w:vAlign w:val="center"/>
          </w:tcPr>
          <w:p w14:paraId="572545CD" w14:textId="77777777" w:rsidR="00577D08" w:rsidRDefault="00577D08">
            <w:pPr>
              <w:jc w:val="right"/>
              <w:rPr>
                <w:sz w:val="15"/>
                <w:szCs w:val="15"/>
              </w:rPr>
            </w:pPr>
          </w:p>
        </w:tc>
        <w:tc>
          <w:tcPr>
            <w:tcW w:w="425" w:type="dxa"/>
            <w:vAlign w:val="center"/>
          </w:tcPr>
          <w:p w14:paraId="4BF3B9CA" w14:textId="77777777" w:rsidR="00577D08" w:rsidRDefault="00577D08">
            <w:pPr>
              <w:jc w:val="right"/>
              <w:rPr>
                <w:sz w:val="15"/>
                <w:szCs w:val="15"/>
              </w:rPr>
            </w:pPr>
          </w:p>
        </w:tc>
        <w:tc>
          <w:tcPr>
            <w:tcW w:w="992" w:type="dxa"/>
            <w:vAlign w:val="center"/>
          </w:tcPr>
          <w:p w14:paraId="602B5EEF" w14:textId="77777777" w:rsidR="00577D08" w:rsidRDefault="00577D08">
            <w:pPr>
              <w:jc w:val="right"/>
              <w:rPr>
                <w:sz w:val="15"/>
                <w:szCs w:val="15"/>
              </w:rPr>
            </w:pPr>
          </w:p>
        </w:tc>
        <w:tc>
          <w:tcPr>
            <w:tcW w:w="1134" w:type="dxa"/>
            <w:vAlign w:val="center"/>
          </w:tcPr>
          <w:p w14:paraId="7AE5EDE2" w14:textId="77777777" w:rsidR="00577D08" w:rsidRDefault="00577D08">
            <w:pPr>
              <w:jc w:val="right"/>
              <w:rPr>
                <w:sz w:val="15"/>
                <w:szCs w:val="15"/>
              </w:rPr>
            </w:pPr>
          </w:p>
        </w:tc>
        <w:tc>
          <w:tcPr>
            <w:tcW w:w="1134" w:type="dxa"/>
            <w:vAlign w:val="center"/>
          </w:tcPr>
          <w:p w14:paraId="61E3E8FE" w14:textId="77777777" w:rsidR="00577D08" w:rsidRDefault="00577D08">
            <w:pPr>
              <w:jc w:val="right"/>
              <w:rPr>
                <w:sz w:val="15"/>
                <w:szCs w:val="15"/>
              </w:rPr>
            </w:pPr>
          </w:p>
        </w:tc>
        <w:tc>
          <w:tcPr>
            <w:tcW w:w="1134" w:type="dxa"/>
            <w:vAlign w:val="center"/>
          </w:tcPr>
          <w:p w14:paraId="7F6E35B5" w14:textId="77777777" w:rsidR="00577D08" w:rsidRDefault="00577D08">
            <w:pPr>
              <w:jc w:val="right"/>
              <w:rPr>
                <w:sz w:val="15"/>
                <w:szCs w:val="15"/>
              </w:rPr>
            </w:pPr>
          </w:p>
        </w:tc>
        <w:tc>
          <w:tcPr>
            <w:tcW w:w="993" w:type="dxa"/>
            <w:vAlign w:val="center"/>
          </w:tcPr>
          <w:p w14:paraId="420F4E00" w14:textId="77777777" w:rsidR="00577D08" w:rsidRDefault="00577D08">
            <w:pPr>
              <w:jc w:val="right"/>
              <w:rPr>
                <w:sz w:val="15"/>
                <w:szCs w:val="15"/>
              </w:rPr>
            </w:pPr>
          </w:p>
        </w:tc>
        <w:tc>
          <w:tcPr>
            <w:tcW w:w="567" w:type="dxa"/>
            <w:vAlign w:val="center"/>
          </w:tcPr>
          <w:p w14:paraId="6030298B" w14:textId="77777777" w:rsidR="00577D08" w:rsidRDefault="00577D08">
            <w:pPr>
              <w:jc w:val="right"/>
              <w:rPr>
                <w:sz w:val="15"/>
                <w:szCs w:val="15"/>
              </w:rPr>
            </w:pPr>
          </w:p>
        </w:tc>
        <w:tc>
          <w:tcPr>
            <w:tcW w:w="992" w:type="dxa"/>
            <w:vAlign w:val="center"/>
          </w:tcPr>
          <w:p w14:paraId="32B6A7A4" w14:textId="77777777" w:rsidR="00577D08" w:rsidRDefault="00577D08">
            <w:pPr>
              <w:jc w:val="right"/>
              <w:rPr>
                <w:sz w:val="15"/>
                <w:szCs w:val="15"/>
              </w:rPr>
            </w:pPr>
          </w:p>
        </w:tc>
        <w:tc>
          <w:tcPr>
            <w:tcW w:w="283" w:type="dxa"/>
            <w:vAlign w:val="center"/>
          </w:tcPr>
          <w:p w14:paraId="244A18DE" w14:textId="77777777" w:rsidR="00577D08" w:rsidRDefault="00577D08">
            <w:pPr>
              <w:jc w:val="right"/>
              <w:rPr>
                <w:sz w:val="15"/>
                <w:szCs w:val="15"/>
              </w:rPr>
            </w:pPr>
          </w:p>
        </w:tc>
        <w:tc>
          <w:tcPr>
            <w:tcW w:w="1134" w:type="dxa"/>
            <w:vAlign w:val="center"/>
          </w:tcPr>
          <w:p w14:paraId="49A8D1C4" w14:textId="77777777" w:rsidR="00577D08" w:rsidRDefault="00577D08">
            <w:pPr>
              <w:jc w:val="right"/>
              <w:rPr>
                <w:sz w:val="15"/>
                <w:szCs w:val="15"/>
              </w:rPr>
            </w:pPr>
          </w:p>
        </w:tc>
        <w:tc>
          <w:tcPr>
            <w:tcW w:w="1276" w:type="dxa"/>
            <w:vAlign w:val="center"/>
          </w:tcPr>
          <w:p w14:paraId="6C84333A" w14:textId="77777777" w:rsidR="00577D08" w:rsidRDefault="00577D08">
            <w:pPr>
              <w:jc w:val="right"/>
              <w:rPr>
                <w:sz w:val="15"/>
                <w:szCs w:val="15"/>
              </w:rPr>
            </w:pPr>
          </w:p>
        </w:tc>
        <w:tc>
          <w:tcPr>
            <w:tcW w:w="1364" w:type="dxa"/>
            <w:vAlign w:val="center"/>
          </w:tcPr>
          <w:p w14:paraId="26AE2EE9" w14:textId="77777777" w:rsidR="00577D08" w:rsidRDefault="00577D08">
            <w:pPr>
              <w:jc w:val="right"/>
              <w:rPr>
                <w:sz w:val="15"/>
                <w:szCs w:val="15"/>
              </w:rPr>
            </w:pPr>
          </w:p>
        </w:tc>
      </w:tr>
      <w:tr w:rsidR="00577D08" w14:paraId="154E80CB" w14:textId="77777777">
        <w:sdt>
          <w:sdtPr>
            <w:rPr>
              <w:sz w:val="15"/>
              <w:szCs w:val="15"/>
            </w:rPr>
            <w:tag w:val="_PLD_6d573481d9af49e2a8ab22ecd061ccf7"/>
            <w:id w:val="-926496738"/>
          </w:sdtPr>
          <w:sdtContent>
            <w:tc>
              <w:tcPr>
                <w:tcW w:w="959" w:type="dxa"/>
                <w:vAlign w:val="center"/>
              </w:tcPr>
              <w:p w14:paraId="5608753E" w14:textId="77777777" w:rsidR="00577D08" w:rsidRDefault="00330FC0">
                <w:pPr>
                  <w:rPr>
                    <w:sz w:val="15"/>
                    <w:szCs w:val="15"/>
                  </w:rPr>
                </w:pPr>
                <w:r>
                  <w:rPr>
                    <w:sz w:val="15"/>
                    <w:szCs w:val="15"/>
                  </w:rPr>
                  <w:t>3</w:t>
                </w:r>
                <w:r>
                  <w:rPr>
                    <w:sz w:val="15"/>
                    <w:szCs w:val="15"/>
                  </w:rPr>
                  <w:t>．对所有者（或股东）的分配</w:t>
                </w:r>
              </w:p>
            </w:tc>
          </w:sdtContent>
        </w:sdt>
        <w:tc>
          <w:tcPr>
            <w:tcW w:w="992" w:type="dxa"/>
            <w:vAlign w:val="center"/>
          </w:tcPr>
          <w:p w14:paraId="1D86AF68" w14:textId="77777777" w:rsidR="00577D08" w:rsidRDefault="00577D08">
            <w:pPr>
              <w:jc w:val="right"/>
              <w:rPr>
                <w:sz w:val="15"/>
                <w:szCs w:val="15"/>
              </w:rPr>
            </w:pPr>
          </w:p>
        </w:tc>
        <w:tc>
          <w:tcPr>
            <w:tcW w:w="284" w:type="dxa"/>
            <w:vAlign w:val="center"/>
          </w:tcPr>
          <w:p w14:paraId="5303F821" w14:textId="77777777" w:rsidR="00577D08" w:rsidRDefault="00577D08">
            <w:pPr>
              <w:jc w:val="right"/>
              <w:rPr>
                <w:sz w:val="15"/>
                <w:szCs w:val="15"/>
              </w:rPr>
            </w:pPr>
          </w:p>
        </w:tc>
        <w:tc>
          <w:tcPr>
            <w:tcW w:w="425" w:type="dxa"/>
            <w:vAlign w:val="center"/>
          </w:tcPr>
          <w:p w14:paraId="5A52F18A" w14:textId="77777777" w:rsidR="00577D08" w:rsidRDefault="00577D08">
            <w:pPr>
              <w:jc w:val="right"/>
              <w:rPr>
                <w:sz w:val="15"/>
                <w:szCs w:val="15"/>
              </w:rPr>
            </w:pPr>
          </w:p>
        </w:tc>
        <w:tc>
          <w:tcPr>
            <w:tcW w:w="425" w:type="dxa"/>
            <w:vAlign w:val="center"/>
          </w:tcPr>
          <w:p w14:paraId="3B091605" w14:textId="77777777" w:rsidR="00577D08" w:rsidRDefault="00577D08">
            <w:pPr>
              <w:jc w:val="right"/>
              <w:rPr>
                <w:sz w:val="15"/>
                <w:szCs w:val="15"/>
              </w:rPr>
            </w:pPr>
          </w:p>
        </w:tc>
        <w:tc>
          <w:tcPr>
            <w:tcW w:w="992" w:type="dxa"/>
            <w:vAlign w:val="center"/>
          </w:tcPr>
          <w:p w14:paraId="669EA451" w14:textId="77777777" w:rsidR="00577D08" w:rsidRDefault="00577D08">
            <w:pPr>
              <w:jc w:val="right"/>
              <w:rPr>
                <w:sz w:val="15"/>
                <w:szCs w:val="15"/>
              </w:rPr>
            </w:pPr>
          </w:p>
        </w:tc>
        <w:tc>
          <w:tcPr>
            <w:tcW w:w="1134" w:type="dxa"/>
            <w:vAlign w:val="center"/>
          </w:tcPr>
          <w:p w14:paraId="6F12A3D8" w14:textId="77777777" w:rsidR="00577D08" w:rsidRDefault="00577D08">
            <w:pPr>
              <w:jc w:val="right"/>
              <w:rPr>
                <w:sz w:val="15"/>
                <w:szCs w:val="15"/>
              </w:rPr>
            </w:pPr>
          </w:p>
        </w:tc>
        <w:tc>
          <w:tcPr>
            <w:tcW w:w="1134" w:type="dxa"/>
            <w:vAlign w:val="center"/>
          </w:tcPr>
          <w:p w14:paraId="39248F4E" w14:textId="77777777" w:rsidR="00577D08" w:rsidRDefault="00577D08">
            <w:pPr>
              <w:jc w:val="right"/>
              <w:rPr>
                <w:sz w:val="15"/>
                <w:szCs w:val="15"/>
              </w:rPr>
            </w:pPr>
          </w:p>
        </w:tc>
        <w:tc>
          <w:tcPr>
            <w:tcW w:w="1134" w:type="dxa"/>
            <w:vAlign w:val="center"/>
          </w:tcPr>
          <w:p w14:paraId="4A9A644C" w14:textId="77777777" w:rsidR="00577D08" w:rsidRDefault="00577D08">
            <w:pPr>
              <w:jc w:val="right"/>
              <w:rPr>
                <w:sz w:val="15"/>
                <w:szCs w:val="15"/>
              </w:rPr>
            </w:pPr>
          </w:p>
        </w:tc>
        <w:tc>
          <w:tcPr>
            <w:tcW w:w="993" w:type="dxa"/>
            <w:vAlign w:val="center"/>
          </w:tcPr>
          <w:p w14:paraId="2006A3F5" w14:textId="77777777" w:rsidR="00577D08" w:rsidRDefault="00577D08">
            <w:pPr>
              <w:jc w:val="right"/>
              <w:rPr>
                <w:sz w:val="15"/>
                <w:szCs w:val="15"/>
              </w:rPr>
            </w:pPr>
          </w:p>
        </w:tc>
        <w:tc>
          <w:tcPr>
            <w:tcW w:w="567" w:type="dxa"/>
            <w:vAlign w:val="center"/>
          </w:tcPr>
          <w:p w14:paraId="39CCBA82" w14:textId="77777777" w:rsidR="00577D08" w:rsidRDefault="00577D08">
            <w:pPr>
              <w:jc w:val="right"/>
              <w:rPr>
                <w:sz w:val="15"/>
                <w:szCs w:val="15"/>
              </w:rPr>
            </w:pPr>
          </w:p>
        </w:tc>
        <w:tc>
          <w:tcPr>
            <w:tcW w:w="992" w:type="dxa"/>
            <w:vAlign w:val="center"/>
          </w:tcPr>
          <w:p w14:paraId="7E1BD228" w14:textId="77777777" w:rsidR="00577D08" w:rsidRDefault="00330FC0">
            <w:pPr>
              <w:jc w:val="right"/>
              <w:rPr>
                <w:sz w:val="15"/>
                <w:szCs w:val="15"/>
              </w:rPr>
            </w:pPr>
            <w:r>
              <w:rPr>
                <w:sz w:val="15"/>
                <w:szCs w:val="15"/>
              </w:rPr>
              <w:t>-16,614,031.95</w:t>
            </w:r>
          </w:p>
        </w:tc>
        <w:tc>
          <w:tcPr>
            <w:tcW w:w="283" w:type="dxa"/>
            <w:vAlign w:val="center"/>
          </w:tcPr>
          <w:p w14:paraId="0C5A4CEF" w14:textId="77777777" w:rsidR="00577D08" w:rsidRDefault="00577D08">
            <w:pPr>
              <w:jc w:val="right"/>
              <w:rPr>
                <w:sz w:val="15"/>
                <w:szCs w:val="15"/>
              </w:rPr>
            </w:pPr>
          </w:p>
        </w:tc>
        <w:tc>
          <w:tcPr>
            <w:tcW w:w="1134" w:type="dxa"/>
            <w:vAlign w:val="center"/>
          </w:tcPr>
          <w:p w14:paraId="7F461ECC" w14:textId="77777777" w:rsidR="00577D08" w:rsidRDefault="00330FC0">
            <w:pPr>
              <w:jc w:val="right"/>
              <w:rPr>
                <w:sz w:val="15"/>
                <w:szCs w:val="15"/>
              </w:rPr>
            </w:pPr>
            <w:r>
              <w:rPr>
                <w:sz w:val="15"/>
                <w:szCs w:val="15"/>
              </w:rPr>
              <w:t>-16,614,031.95</w:t>
            </w:r>
          </w:p>
        </w:tc>
        <w:tc>
          <w:tcPr>
            <w:tcW w:w="1276" w:type="dxa"/>
            <w:vAlign w:val="center"/>
          </w:tcPr>
          <w:p w14:paraId="40187E3B" w14:textId="77777777" w:rsidR="00577D08" w:rsidRDefault="00577D08">
            <w:pPr>
              <w:jc w:val="right"/>
              <w:rPr>
                <w:sz w:val="15"/>
                <w:szCs w:val="15"/>
              </w:rPr>
            </w:pPr>
          </w:p>
        </w:tc>
        <w:tc>
          <w:tcPr>
            <w:tcW w:w="1364" w:type="dxa"/>
            <w:vAlign w:val="center"/>
          </w:tcPr>
          <w:p w14:paraId="06AF7CAC" w14:textId="77777777" w:rsidR="00577D08" w:rsidRDefault="00330FC0">
            <w:pPr>
              <w:jc w:val="right"/>
              <w:rPr>
                <w:sz w:val="15"/>
                <w:szCs w:val="15"/>
              </w:rPr>
            </w:pPr>
            <w:r>
              <w:rPr>
                <w:sz w:val="15"/>
                <w:szCs w:val="15"/>
              </w:rPr>
              <w:t>-16,614,031.95</w:t>
            </w:r>
          </w:p>
        </w:tc>
      </w:tr>
      <w:tr w:rsidR="00577D08" w14:paraId="0422C662" w14:textId="77777777">
        <w:sdt>
          <w:sdtPr>
            <w:rPr>
              <w:sz w:val="15"/>
              <w:szCs w:val="15"/>
            </w:rPr>
            <w:tag w:val="_PLD_dd87d5b565c74b3faf2e05ed9840875a"/>
            <w:id w:val="-1885945958"/>
          </w:sdtPr>
          <w:sdtContent>
            <w:tc>
              <w:tcPr>
                <w:tcW w:w="959" w:type="dxa"/>
                <w:vAlign w:val="center"/>
              </w:tcPr>
              <w:p w14:paraId="7FAFA8F5" w14:textId="77777777" w:rsidR="00577D08" w:rsidRDefault="00330FC0">
                <w:pPr>
                  <w:rPr>
                    <w:sz w:val="15"/>
                    <w:szCs w:val="15"/>
                  </w:rPr>
                </w:pPr>
                <w:r>
                  <w:rPr>
                    <w:sz w:val="15"/>
                    <w:szCs w:val="15"/>
                  </w:rPr>
                  <w:t>4</w:t>
                </w:r>
                <w:r>
                  <w:rPr>
                    <w:sz w:val="15"/>
                    <w:szCs w:val="15"/>
                  </w:rPr>
                  <w:t>．其他</w:t>
                </w:r>
              </w:p>
            </w:tc>
          </w:sdtContent>
        </w:sdt>
        <w:tc>
          <w:tcPr>
            <w:tcW w:w="992" w:type="dxa"/>
            <w:vAlign w:val="center"/>
          </w:tcPr>
          <w:p w14:paraId="10F1CE92" w14:textId="77777777" w:rsidR="00577D08" w:rsidRDefault="00577D08">
            <w:pPr>
              <w:jc w:val="right"/>
              <w:rPr>
                <w:sz w:val="15"/>
                <w:szCs w:val="15"/>
              </w:rPr>
            </w:pPr>
          </w:p>
        </w:tc>
        <w:tc>
          <w:tcPr>
            <w:tcW w:w="284" w:type="dxa"/>
            <w:vAlign w:val="center"/>
          </w:tcPr>
          <w:p w14:paraId="278E6B6A" w14:textId="77777777" w:rsidR="00577D08" w:rsidRDefault="00577D08">
            <w:pPr>
              <w:jc w:val="right"/>
              <w:rPr>
                <w:sz w:val="15"/>
                <w:szCs w:val="15"/>
              </w:rPr>
            </w:pPr>
          </w:p>
        </w:tc>
        <w:tc>
          <w:tcPr>
            <w:tcW w:w="425" w:type="dxa"/>
            <w:vAlign w:val="center"/>
          </w:tcPr>
          <w:p w14:paraId="1DBB9A13" w14:textId="77777777" w:rsidR="00577D08" w:rsidRDefault="00577D08">
            <w:pPr>
              <w:jc w:val="right"/>
              <w:rPr>
                <w:sz w:val="15"/>
                <w:szCs w:val="15"/>
              </w:rPr>
            </w:pPr>
          </w:p>
        </w:tc>
        <w:tc>
          <w:tcPr>
            <w:tcW w:w="425" w:type="dxa"/>
            <w:vAlign w:val="center"/>
          </w:tcPr>
          <w:p w14:paraId="41129934" w14:textId="77777777" w:rsidR="00577D08" w:rsidRDefault="00577D08">
            <w:pPr>
              <w:jc w:val="right"/>
              <w:rPr>
                <w:sz w:val="15"/>
                <w:szCs w:val="15"/>
              </w:rPr>
            </w:pPr>
          </w:p>
        </w:tc>
        <w:tc>
          <w:tcPr>
            <w:tcW w:w="992" w:type="dxa"/>
            <w:vAlign w:val="center"/>
          </w:tcPr>
          <w:p w14:paraId="018C329E" w14:textId="77777777" w:rsidR="00577D08" w:rsidRDefault="00577D08">
            <w:pPr>
              <w:jc w:val="right"/>
              <w:rPr>
                <w:sz w:val="15"/>
                <w:szCs w:val="15"/>
              </w:rPr>
            </w:pPr>
          </w:p>
        </w:tc>
        <w:tc>
          <w:tcPr>
            <w:tcW w:w="1134" w:type="dxa"/>
            <w:vAlign w:val="center"/>
          </w:tcPr>
          <w:p w14:paraId="7A7E78E3" w14:textId="77777777" w:rsidR="00577D08" w:rsidRDefault="00577D08">
            <w:pPr>
              <w:jc w:val="right"/>
              <w:rPr>
                <w:sz w:val="15"/>
                <w:szCs w:val="15"/>
              </w:rPr>
            </w:pPr>
          </w:p>
        </w:tc>
        <w:tc>
          <w:tcPr>
            <w:tcW w:w="1134" w:type="dxa"/>
            <w:vAlign w:val="center"/>
          </w:tcPr>
          <w:p w14:paraId="60F0A416" w14:textId="77777777" w:rsidR="00577D08" w:rsidRDefault="00577D08">
            <w:pPr>
              <w:jc w:val="right"/>
              <w:rPr>
                <w:sz w:val="15"/>
                <w:szCs w:val="15"/>
              </w:rPr>
            </w:pPr>
          </w:p>
        </w:tc>
        <w:tc>
          <w:tcPr>
            <w:tcW w:w="1134" w:type="dxa"/>
            <w:vAlign w:val="center"/>
          </w:tcPr>
          <w:p w14:paraId="0AD3BC88" w14:textId="77777777" w:rsidR="00577D08" w:rsidRDefault="00577D08">
            <w:pPr>
              <w:jc w:val="right"/>
              <w:rPr>
                <w:sz w:val="15"/>
                <w:szCs w:val="15"/>
              </w:rPr>
            </w:pPr>
          </w:p>
        </w:tc>
        <w:tc>
          <w:tcPr>
            <w:tcW w:w="993" w:type="dxa"/>
            <w:vAlign w:val="center"/>
          </w:tcPr>
          <w:p w14:paraId="77F46D64" w14:textId="77777777" w:rsidR="00577D08" w:rsidRDefault="00577D08">
            <w:pPr>
              <w:jc w:val="right"/>
              <w:rPr>
                <w:sz w:val="15"/>
                <w:szCs w:val="15"/>
              </w:rPr>
            </w:pPr>
          </w:p>
        </w:tc>
        <w:tc>
          <w:tcPr>
            <w:tcW w:w="567" w:type="dxa"/>
            <w:vAlign w:val="center"/>
          </w:tcPr>
          <w:p w14:paraId="77159A2C" w14:textId="77777777" w:rsidR="00577D08" w:rsidRDefault="00577D08">
            <w:pPr>
              <w:jc w:val="right"/>
              <w:rPr>
                <w:sz w:val="15"/>
                <w:szCs w:val="15"/>
              </w:rPr>
            </w:pPr>
          </w:p>
        </w:tc>
        <w:tc>
          <w:tcPr>
            <w:tcW w:w="992" w:type="dxa"/>
            <w:vAlign w:val="center"/>
          </w:tcPr>
          <w:p w14:paraId="12C88C23" w14:textId="77777777" w:rsidR="00577D08" w:rsidRDefault="00577D08">
            <w:pPr>
              <w:jc w:val="right"/>
              <w:rPr>
                <w:sz w:val="15"/>
                <w:szCs w:val="15"/>
              </w:rPr>
            </w:pPr>
          </w:p>
        </w:tc>
        <w:tc>
          <w:tcPr>
            <w:tcW w:w="283" w:type="dxa"/>
            <w:vAlign w:val="center"/>
          </w:tcPr>
          <w:p w14:paraId="32B4E1D3" w14:textId="77777777" w:rsidR="00577D08" w:rsidRDefault="00577D08">
            <w:pPr>
              <w:jc w:val="right"/>
              <w:rPr>
                <w:sz w:val="15"/>
                <w:szCs w:val="15"/>
              </w:rPr>
            </w:pPr>
          </w:p>
        </w:tc>
        <w:tc>
          <w:tcPr>
            <w:tcW w:w="1134" w:type="dxa"/>
            <w:vAlign w:val="center"/>
          </w:tcPr>
          <w:p w14:paraId="60481D96" w14:textId="77777777" w:rsidR="00577D08" w:rsidRDefault="00577D08">
            <w:pPr>
              <w:jc w:val="right"/>
              <w:rPr>
                <w:sz w:val="15"/>
                <w:szCs w:val="15"/>
              </w:rPr>
            </w:pPr>
          </w:p>
        </w:tc>
        <w:tc>
          <w:tcPr>
            <w:tcW w:w="1276" w:type="dxa"/>
            <w:vAlign w:val="center"/>
          </w:tcPr>
          <w:p w14:paraId="49A3FDB3" w14:textId="77777777" w:rsidR="00577D08" w:rsidRDefault="00577D08">
            <w:pPr>
              <w:jc w:val="right"/>
              <w:rPr>
                <w:sz w:val="15"/>
                <w:szCs w:val="15"/>
              </w:rPr>
            </w:pPr>
          </w:p>
        </w:tc>
        <w:tc>
          <w:tcPr>
            <w:tcW w:w="1364" w:type="dxa"/>
            <w:vAlign w:val="center"/>
          </w:tcPr>
          <w:p w14:paraId="33489FAF" w14:textId="77777777" w:rsidR="00577D08" w:rsidRDefault="00577D08">
            <w:pPr>
              <w:jc w:val="right"/>
              <w:rPr>
                <w:sz w:val="15"/>
                <w:szCs w:val="15"/>
              </w:rPr>
            </w:pPr>
          </w:p>
        </w:tc>
      </w:tr>
      <w:tr w:rsidR="00577D08" w14:paraId="00CF1A31" w14:textId="77777777">
        <w:sdt>
          <w:sdtPr>
            <w:rPr>
              <w:sz w:val="15"/>
              <w:szCs w:val="15"/>
            </w:rPr>
            <w:tag w:val="_PLD_92da940e723e49d8b19944c326b0a372"/>
            <w:id w:val="-538276050"/>
          </w:sdtPr>
          <w:sdtContent>
            <w:tc>
              <w:tcPr>
                <w:tcW w:w="959" w:type="dxa"/>
                <w:vAlign w:val="center"/>
              </w:tcPr>
              <w:p w14:paraId="45214DDB" w14:textId="77777777" w:rsidR="00577D08" w:rsidRDefault="00330FC0">
                <w:pPr>
                  <w:rPr>
                    <w:sz w:val="15"/>
                    <w:szCs w:val="15"/>
                  </w:rPr>
                </w:pPr>
                <w:r>
                  <w:rPr>
                    <w:sz w:val="15"/>
                    <w:szCs w:val="15"/>
                  </w:rPr>
                  <w:t>（</w:t>
                </w:r>
                <w:r>
                  <w:rPr>
                    <w:rFonts w:hint="eastAsia"/>
                    <w:sz w:val="15"/>
                    <w:szCs w:val="15"/>
                  </w:rPr>
                  <w:t>四</w:t>
                </w:r>
                <w:r>
                  <w:rPr>
                    <w:sz w:val="15"/>
                    <w:szCs w:val="15"/>
                  </w:rPr>
                  <w:t>）所有者权益内部结转</w:t>
                </w:r>
              </w:p>
            </w:tc>
          </w:sdtContent>
        </w:sdt>
        <w:tc>
          <w:tcPr>
            <w:tcW w:w="992" w:type="dxa"/>
            <w:vAlign w:val="center"/>
          </w:tcPr>
          <w:p w14:paraId="29B4A380" w14:textId="77777777" w:rsidR="00577D08" w:rsidRDefault="00577D08">
            <w:pPr>
              <w:jc w:val="right"/>
              <w:rPr>
                <w:sz w:val="15"/>
                <w:szCs w:val="15"/>
              </w:rPr>
            </w:pPr>
          </w:p>
        </w:tc>
        <w:tc>
          <w:tcPr>
            <w:tcW w:w="284" w:type="dxa"/>
            <w:vAlign w:val="center"/>
          </w:tcPr>
          <w:p w14:paraId="11F13048" w14:textId="77777777" w:rsidR="00577D08" w:rsidRDefault="00577D08">
            <w:pPr>
              <w:jc w:val="right"/>
              <w:rPr>
                <w:sz w:val="15"/>
                <w:szCs w:val="15"/>
              </w:rPr>
            </w:pPr>
          </w:p>
        </w:tc>
        <w:tc>
          <w:tcPr>
            <w:tcW w:w="425" w:type="dxa"/>
            <w:vAlign w:val="center"/>
          </w:tcPr>
          <w:p w14:paraId="6CD5F845" w14:textId="77777777" w:rsidR="00577D08" w:rsidRDefault="00577D08">
            <w:pPr>
              <w:jc w:val="right"/>
              <w:rPr>
                <w:sz w:val="15"/>
                <w:szCs w:val="15"/>
              </w:rPr>
            </w:pPr>
          </w:p>
        </w:tc>
        <w:tc>
          <w:tcPr>
            <w:tcW w:w="425" w:type="dxa"/>
            <w:vAlign w:val="center"/>
          </w:tcPr>
          <w:p w14:paraId="67A25F28" w14:textId="77777777" w:rsidR="00577D08" w:rsidRDefault="00577D08">
            <w:pPr>
              <w:jc w:val="right"/>
              <w:rPr>
                <w:sz w:val="15"/>
                <w:szCs w:val="15"/>
              </w:rPr>
            </w:pPr>
          </w:p>
        </w:tc>
        <w:tc>
          <w:tcPr>
            <w:tcW w:w="992" w:type="dxa"/>
            <w:vAlign w:val="center"/>
          </w:tcPr>
          <w:p w14:paraId="5B29778B" w14:textId="77777777" w:rsidR="00577D08" w:rsidRDefault="00577D08">
            <w:pPr>
              <w:jc w:val="right"/>
              <w:rPr>
                <w:sz w:val="15"/>
                <w:szCs w:val="15"/>
              </w:rPr>
            </w:pPr>
          </w:p>
        </w:tc>
        <w:tc>
          <w:tcPr>
            <w:tcW w:w="1134" w:type="dxa"/>
            <w:vAlign w:val="center"/>
          </w:tcPr>
          <w:p w14:paraId="60DBEC8E" w14:textId="77777777" w:rsidR="00577D08" w:rsidRDefault="00577D08">
            <w:pPr>
              <w:jc w:val="right"/>
              <w:rPr>
                <w:sz w:val="15"/>
                <w:szCs w:val="15"/>
              </w:rPr>
            </w:pPr>
          </w:p>
        </w:tc>
        <w:tc>
          <w:tcPr>
            <w:tcW w:w="1134" w:type="dxa"/>
            <w:vAlign w:val="center"/>
          </w:tcPr>
          <w:p w14:paraId="700EF45A" w14:textId="77777777" w:rsidR="00577D08" w:rsidRDefault="00577D08">
            <w:pPr>
              <w:jc w:val="right"/>
              <w:rPr>
                <w:sz w:val="15"/>
                <w:szCs w:val="15"/>
              </w:rPr>
            </w:pPr>
          </w:p>
        </w:tc>
        <w:tc>
          <w:tcPr>
            <w:tcW w:w="1134" w:type="dxa"/>
            <w:vAlign w:val="center"/>
          </w:tcPr>
          <w:p w14:paraId="08C108B3" w14:textId="77777777" w:rsidR="00577D08" w:rsidRDefault="00577D08">
            <w:pPr>
              <w:jc w:val="right"/>
              <w:rPr>
                <w:sz w:val="15"/>
                <w:szCs w:val="15"/>
              </w:rPr>
            </w:pPr>
          </w:p>
        </w:tc>
        <w:tc>
          <w:tcPr>
            <w:tcW w:w="993" w:type="dxa"/>
            <w:vAlign w:val="center"/>
          </w:tcPr>
          <w:p w14:paraId="707772FF" w14:textId="77777777" w:rsidR="00577D08" w:rsidRDefault="00577D08">
            <w:pPr>
              <w:jc w:val="right"/>
              <w:rPr>
                <w:sz w:val="15"/>
                <w:szCs w:val="15"/>
              </w:rPr>
            </w:pPr>
          </w:p>
        </w:tc>
        <w:tc>
          <w:tcPr>
            <w:tcW w:w="567" w:type="dxa"/>
            <w:vAlign w:val="center"/>
          </w:tcPr>
          <w:p w14:paraId="318394C7" w14:textId="77777777" w:rsidR="00577D08" w:rsidRDefault="00577D08">
            <w:pPr>
              <w:jc w:val="right"/>
              <w:rPr>
                <w:sz w:val="15"/>
                <w:szCs w:val="15"/>
              </w:rPr>
            </w:pPr>
          </w:p>
        </w:tc>
        <w:tc>
          <w:tcPr>
            <w:tcW w:w="992" w:type="dxa"/>
            <w:vAlign w:val="center"/>
          </w:tcPr>
          <w:p w14:paraId="1FEF5EC0" w14:textId="77777777" w:rsidR="00577D08" w:rsidRDefault="00577D08">
            <w:pPr>
              <w:jc w:val="right"/>
              <w:rPr>
                <w:sz w:val="15"/>
                <w:szCs w:val="15"/>
              </w:rPr>
            </w:pPr>
          </w:p>
        </w:tc>
        <w:tc>
          <w:tcPr>
            <w:tcW w:w="283" w:type="dxa"/>
            <w:vAlign w:val="center"/>
          </w:tcPr>
          <w:p w14:paraId="3D12B807" w14:textId="77777777" w:rsidR="00577D08" w:rsidRDefault="00577D08">
            <w:pPr>
              <w:jc w:val="right"/>
              <w:rPr>
                <w:sz w:val="15"/>
                <w:szCs w:val="15"/>
              </w:rPr>
            </w:pPr>
          </w:p>
        </w:tc>
        <w:tc>
          <w:tcPr>
            <w:tcW w:w="1134" w:type="dxa"/>
            <w:vAlign w:val="center"/>
          </w:tcPr>
          <w:p w14:paraId="122ABAF0" w14:textId="77777777" w:rsidR="00577D08" w:rsidRDefault="00577D08">
            <w:pPr>
              <w:jc w:val="right"/>
              <w:rPr>
                <w:sz w:val="15"/>
                <w:szCs w:val="15"/>
              </w:rPr>
            </w:pPr>
          </w:p>
        </w:tc>
        <w:tc>
          <w:tcPr>
            <w:tcW w:w="1276" w:type="dxa"/>
            <w:vAlign w:val="center"/>
          </w:tcPr>
          <w:p w14:paraId="0C524D3A" w14:textId="77777777" w:rsidR="00577D08" w:rsidRDefault="00577D08">
            <w:pPr>
              <w:jc w:val="right"/>
              <w:rPr>
                <w:sz w:val="15"/>
                <w:szCs w:val="15"/>
              </w:rPr>
            </w:pPr>
          </w:p>
        </w:tc>
        <w:tc>
          <w:tcPr>
            <w:tcW w:w="1364" w:type="dxa"/>
            <w:vAlign w:val="center"/>
          </w:tcPr>
          <w:p w14:paraId="4C695AD9" w14:textId="77777777" w:rsidR="00577D08" w:rsidRDefault="00577D08">
            <w:pPr>
              <w:jc w:val="right"/>
              <w:rPr>
                <w:sz w:val="15"/>
                <w:szCs w:val="15"/>
              </w:rPr>
            </w:pPr>
          </w:p>
        </w:tc>
      </w:tr>
      <w:tr w:rsidR="00577D08" w14:paraId="2B16F4BF" w14:textId="77777777">
        <w:sdt>
          <w:sdtPr>
            <w:rPr>
              <w:sz w:val="15"/>
              <w:szCs w:val="15"/>
            </w:rPr>
            <w:tag w:val="_PLD_88fb253c66e143fa8d6fda4d400657ec"/>
            <w:id w:val="686870623"/>
          </w:sdtPr>
          <w:sdtContent>
            <w:tc>
              <w:tcPr>
                <w:tcW w:w="959" w:type="dxa"/>
                <w:vAlign w:val="center"/>
              </w:tcPr>
              <w:p w14:paraId="242C77BC" w14:textId="77777777" w:rsidR="00577D08" w:rsidRDefault="00330FC0">
                <w:pPr>
                  <w:rPr>
                    <w:sz w:val="15"/>
                    <w:szCs w:val="15"/>
                  </w:rPr>
                </w:pPr>
                <w:r>
                  <w:rPr>
                    <w:sz w:val="15"/>
                    <w:szCs w:val="15"/>
                  </w:rPr>
                  <w:t>1</w:t>
                </w:r>
                <w:r>
                  <w:rPr>
                    <w:sz w:val="15"/>
                    <w:szCs w:val="15"/>
                  </w:rPr>
                  <w:t>．资本公积转增资本（或股本）</w:t>
                </w:r>
              </w:p>
            </w:tc>
          </w:sdtContent>
        </w:sdt>
        <w:tc>
          <w:tcPr>
            <w:tcW w:w="992" w:type="dxa"/>
            <w:vAlign w:val="center"/>
          </w:tcPr>
          <w:p w14:paraId="58FA2809" w14:textId="77777777" w:rsidR="00577D08" w:rsidRDefault="00577D08">
            <w:pPr>
              <w:jc w:val="right"/>
              <w:rPr>
                <w:sz w:val="15"/>
                <w:szCs w:val="15"/>
              </w:rPr>
            </w:pPr>
          </w:p>
        </w:tc>
        <w:tc>
          <w:tcPr>
            <w:tcW w:w="284" w:type="dxa"/>
            <w:vAlign w:val="center"/>
          </w:tcPr>
          <w:p w14:paraId="0FDEC437" w14:textId="77777777" w:rsidR="00577D08" w:rsidRDefault="00577D08">
            <w:pPr>
              <w:jc w:val="right"/>
              <w:rPr>
                <w:sz w:val="15"/>
                <w:szCs w:val="15"/>
              </w:rPr>
            </w:pPr>
          </w:p>
        </w:tc>
        <w:tc>
          <w:tcPr>
            <w:tcW w:w="425" w:type="dxa"/>
            <w:vAlign w:val="center"/>
          </w:tcPr>
          <w:p w14:paraId="701A332A" w14:textId="77777777" w:rsidR="00577D08" w:rsidRDefault="00577D08">
            <w:pPr>
              <w:jc w:val="right"/>
              <w:rPr>
                <w:sz w:val="15"/>
                <w:szCs w:val="15"/>
              </w:rPr>
            </w:pPr>
          </w:p>
        </w:tc>
        <w:tc>
          <w:tcPr>
            <w:tcW w:w="425" w:type="dxa"/>
            <w:vAlign w:val="center"/>
          </w:tcPr>
          <w:p w14:paraId="3829D383" w14:textId="77777777" w:rsidR="00577D08" w:rsidRDefault="00577D08">
            <w:pPr>
              <w:jc w:val="right"/>
              <w:rPr>
                <w:sz w:val="15"/>
                <w:szCs w:val="15"/>
              </w:rPr>
            </w:pPr>
          </w:p>
        </w:tc>
        <w:tc>
          <w:tcPr>
            <w:tcW w:w="992" w:type="dxa"/>
            <w:vAlign w:val="center"/>
          </w:tcPr>
          <w:p w14:paraId="37A408CE" w14:textId="77777777" w:rsidR="00577D08" w:rsidRDefault="00577D08">
            <w:pPr>
              <w:jc w:val="right"/>
              <w:rPr>
                <w:sz w:val="15"/>
                <w:szCs w:val="15"/>
              </w:rPr>
            </w:pPr>
          </w:p>
        </w:tc>
        <w:tc>
          <w:tcPr>
            <w:tcW w:w="1134" w:type="dxa"/>
            <w:vAlign w:val="center"/>
          </w:tcPr>
          <w:p w14:paraId="2AF293DD" w14:textId="77777777" w:rsidR="00577D08" w:rsidRDefault="00577D08">
            <w:pPr>
              <w:jc w:val="right"/>
              <w:rPr>
                <w:sz w:val="15"/>
                <w:szCs w:val="15"/>
              </w:rPr>
            </w:pPr>
          </w:p>
        </w:tc>
        <w:tc>
          <w:tcPr>
            <w:tcW w:w="1134" w:type="dxa"/>
            <w:vAlign w:val="center"/>
          </w:tcPr>
          <w:p w14:paraId="371F54A3" w14:textId="77777777" w:rsidR="00577D08" w:rsidRDefault="00577D08">
            <w:pPr>
              <w:jc w:val="right"/>
              <w:rPr>
                <w:sz w:val="15"/>
                <w:szCs w:val="15"/>
              </w:rPr>
            </w:pPr>
          </w:p>
        </w:tc>
        <w:tc>
          <w:tcPr>
            <w:tcW w:w="1134" w:type="dxa"/>
            <w:vAlign w:val="center"/>
          </w:tcPr>
          <w:p w14:paraId="47FEB267" w14:textId="77777777" w:rsidR="00577D08" w:rsidRDefault="00577D08">
            <w:pPr>
              <w:jc w:val="right"/>
              <w:rPr>
                <w:sz w:val="15"/>
                <w:szCs w:val="15"/>
              </w:rPr>
            </w:pPr>
          </w:p>
        </w:tc>
        <w:tc>
          <w:tcPr>
            <w:tcW w:w="993" w:type="dxa"/>
            <w:vAlign w:val="center"/>
          </w:tcPr>
          <w:p w14:paraId="110EF44F" w14:textId="77777777" w:rsidR="00577D08" w:rsidRDefault="00577D08">
            <w:pPr>
              <w:jc w:val="right"/>
              <w:rPr>
                <w:sz w:val="15"/>
                <w:szCs w:val="15"/>
              </w:rPr>
            </w:pPr>
          </w:p>
        </w:tc>
        <w:tc>
          <w:tcPr>
            <w:tcW w:w="567" w:type="dxa"/>
            <w:vAlign w:val="center"/>
          </w:tcPr>
          <w:p w14:paraId="05BF3AD7" w14:textId="77777777" w:rsidR="00577D08" w:rsidRDefault="00577D08">
            <w:pPr>
              <w:jc w:val="right"/>
              <w:rPr>
                <w:sz w:val="15"/>
                <w:szCs w:val="15"/>
              </w:rPr>
            </w:pPr>
          </w:p>
        </w:tc>
        <w:tc>
          <w:tcPr>
            <w:tcW w:w="992" w:type="dxa"/>
            <w:vAlign w:val="center"/>
          </w:tcPr>
          <w:p w14:paraId="1441102B" w14:textId="77777777" w:rsidR="00577D08" w:rsidRDefault="00577D08">
            <w:pPr>
              <w:jc w:val="right"/>
              <w:rPr>
                <w:sz w:val="15"/>
                <w:szCs w:val="15"/>
              </w:rPr>
            </w:pPr>
          </w:p>
        </w:tc>
        <w:tc>
          <w:tcPr>
            <w:tcW w:w="283" w:type="dxa"/>
            <w:vAlign w:val="center"/>
          </w:tcPr>
          <w:p w14:paraId="1F15EEBB" w14:textId="77777777" w:rsidR="00577D08" w:rsidRDefault="00577D08">
            <w:pPr>
              <w:jc w:val="right"/>
              <w:rPr>
                <w:sz w:val="15"/>
                <w:szCs w:val="15"/>
              </w:rPr>
            </w:pPr>
          </w:p>
        </w:tc>
        <w:tc>
          <w:tcPr>
            <w:tcW w:w="1134" w:type="dxa"/>
            <w:vAlign w:val="center"/>
          </w:tcPr>
          <w:p w14:paraId="27743CC0" w14:textId="77777777" w:rsidR="00577D08" w:rsidRDefault="00577D08">
            <w:pPr>
              <w:jc w:val="right"/>
              <w:rPr>
                <w:sz w:val="15"/>
                <w:szCs w:val="15"/>
              </w:rPr>
            </w:pPr>
          </w:p>
        </w:tc>
        <w:tc>
          <w:tcPr>
            <w:tcW w:w="1276" w:type="dxa"/>
            <w:vAlign w:val="center"/>
          </w:tcPr>
          <w:p w14:paraId="314B49CC" w14:textId="77777777" w:rsidR="00577D08" w:rsidRDefault="00577D08">
            <w:pPr>
              <w:jc w:val="right"/>
              <w:rPr>
                <w:sz w:val="15"/>
                <w:szCs w:val="15"/>
              </w:rPr>
            </w:pPr>
          </w:p>
        </w:tc>
        <w:tc>
          <w:tcPr>
            <w:tcW w:w="1364" w:type="dxa"/>
            <w:vAlign w:val="center"/>
          </w:tcPr>
          <w:p w14:paraId="305AEBDB" w14:textId="77777777" w:rsidR="00577D08" w:rsidRDefault="00577D08">
            <w:pPr>
              <w:jc w:val="right"/>
              <w:rPr>
                <w:sz w:val="15"/>
                <w:szCs w:val="15"/>
              </w:rPr>
            </w:pPr>
          </w:p>
        </w:tc>
      </w:tr>
      <w:tr w:rsidR="00577D08" w14:paraId="45B4D267" w14:textId="77777777">
        <w:sdt>
          <w:sdtPr>
            <w:rPr>
              <w:sz w:val="15"/>
              <w:szCs w:val="15"/>
            </w:rPr>
            <w:tag w:val="_PLD_15cc23aa9ca343c08333ba7ee1b1325c"/>
            <w:id w:val="1135143187"/>
          </w:sdtPr>
          <w:sdtContent>
            <w:tc>
              <w:tcPr>
                <w:tcW w:w="959" w:type="dxa"/>
                <w:vAlign w:val="center"/>
              </w:tcPr>
              <w:p w14:paraId="2AB8021A" w14:textId="77777777" w:rsidR="00577D08" w:rsidRDefault="00330FC0">
                <w:pPr>
                  <w:rPr>
                    <w:sz w:val="15"/>
                    <w:szCs w:val="15"/>
                  </w:rPr>
                </w:pPr>
                <w:r>
                  <w:rPr>
                    <w:sz w:val="15"/>
                    <w:szCs w:val="15"/>
                  </w:rPr>
                  <w:t>2</w:t>
                </w:r>
                <w:r>
                  <w:rPr>
                    <w:sz w:val="15"/>
                    <w:szCs w:val="15"/>
                  </w:rPr>
                  <w:t>．盈余公积转增资本（或股本）</w:t>
                </w:r>
              </w:p>
            </w:tc>
          </w:sdtContent>
        </w:sdt>
        <w:tc>
          <w:tcPr>
            <w:tcW w:w="992" w:type="dxa"/>
            <w:vAlign w:val="center"/>
          </w:tcPr>
          <w:p w14:paraId="70357A8E" w14:textId="77777777" w:rsidR="00577D08" w:rsidRDefault="00577D08">
            <w:pPr>
              <w:jc w:val="right"/>
              <w:rPr>
                <w:sz w:val="15"/>
                <w:szCs w:val="15"/>
              </w:rPr>
            </w:pPr>
          </w:p>
        </w:tc>
        <w:tc>
          <w:tcPr>
            <w:tcW w:w="284" w:type="dxa"/>
            <w:vAlign w:val="center"/>
          </w:tcPr>
          <w:p w14:paraId="4EAB94FE" w14:textId="77777777" w:rsidR="00577D08" w:rsidRDefault="00577D08">
            <w:pPr>
              <w:jc w:val="right"/>
              <w:rPr>
                <w:sz w:val="15"/>
                <w:szCs w:val="15"/>
              </w:rPr>
            </w:pPr>
          </w:p>
        </w:tc>
        <w:tc>
          <w:tcPr>
            <w:tcW w:w="425" w:type="dxa"/>
            <w:vAlign w:val="center"/>
          </w:tcPr>
          <w:p w14:paraId="277FB469" w14:textId="77777777" w:rsidR="00577D08" w:rsidRDefault="00577D08">
            <w:pPr>
              <w:jc w:val="right"/>
              <w:rPr>
                <w:sz w:val="15"/>
                <w:szCs w:val="15"/>
              </w:rPr>
            </w:pPr>
          </w:p>
        </w:tc>
        <w:tc>
          <w:tcPr>
            <w:tcW w:w="425" w:type="dxa"/>
            <w:vAlign w:val="center"/>
          </w:tcPr>
          <w:p w14:paraId="6938D557" w14:textId="77777777" w:rsidR="00577D08" w:rsidRDefault="00577D08">
            <w:pPr>
              <w:jc w:val="right"/>
              <w:rPr>
                <w:sz w:val="15"/>
                <w:szCs w:val="15"/>
              </w:rPr>
            </w:pPr>
          </w:p>
        </w:tc>
        <w:tc>
          <w:tcPr>
            <w:tcW w:w="992" w:type="dxa"/>
            <w:vAlign w:val="center"/>
          </w:tcPr>
          <w:p w14:paraId="445D6976" w14:textId="77777777" w:rsidR="00577D08" w:rsidRDefault="00577D08">
            <w:pPr>
              <w:jc w:val="right"/>
              <w:rPr>
                <w:sz w:val="15"/>
                <w:szCs w:val="15"/>
              </w:rPr>
            </w:pPr>
          </w:p>
        </w:tc>
        <w:tc>
          <w:tcPr>
            <w:tcW w:w="1134" w:type="dxa"/>
            <w:vAlign w:val="center"/>
          </w:tcPr>
          <w:p w14:paraId="4EA39B33" w14:textId="77777777" w:rsidR="00577D08" w:rsidRDefault="00577D08">
            <w:pPr>
              <w:jc w:val="right"/>
              <w:rPr>
                <w:sz w:val="15"/>
                <w:szCs w:val="15"/>
              </w:rPr>
            </w:pPr>
          </w:p>
        </w:tc>
        <w:tc>
          <w:tcPr>
            <w:tcW w:w="1134" w:type="dxa"/>
            <w:vAlign w:val="center"/>
          </w:tcPr>
          <w:p w14:paraId="7585CA5E" w14:textId="77777777" w:rsidR="00577D08" w:rsidRDefault="00577D08">
            <w:pPr>
              <w:jc w:val="right"/>
              <w:rPr>
                <w:sz w:val="15"/>
                <w:szCs w:val="15"/>
              </w:rPr>
            </w:pPr>
          </w:p>
        </w:tc>
        <w:tc>
          <w:tcPr>
            <w:tcW w:w="1134" w:type="dxa"/>
            <w:vAlign w:val="center"/>
          </w:tcPr>
          <w:p w14:paraId="28B165FF" w14:textId="77777777" w:rsidR="00577D08" w:rsidRDefault="00577D08">
            <w:pPr>
              <w:jc w:val="right"/>
              <w:rPr>
                <w:sz w:val="15"/>
                <w:szCs w:val="15"/>
              </w:rPr>
            </w:pPr>
          </w:p>
        </w:tc>
        <w:tc>
          <w:tcPr>
            <w:tcW w:w="993" w:type="dxa"/>
            <w:vAlign w:val="center"/>
          </w:tcPr>
          <w:p w14:paraId="38A2A634" w14:textId="77777777" w:rsidR="00577D08" w:rsidRDefault="00577D08">
            <w:pPr>
              <w:jc w:val="right"/>
              <w:rPr>
                <w:sz w:val="15"/>
                <w:szCs w:val="15"/>
              </w:rPr>
            </w:pPr>
          </w:p>
        </w:tc>
        <w:tc>
          <w:tcPr>
            <w:tcW w:w="567" w:type="dxa"/>
            <w:vAlign w:val="center"/>
          </w:tcPr>
          <w:p w14:paraId="52CEE611" w14:textId="77777777" w:rsidR="00577D08" w:rsidRDefault="00577D08">
            <w:pPr>
              <w:jc w:val="right"/>
              <w:rPr>
                <w:sz w:val="15"/>
                <w:szCs w:val="15"/>
              </w:rPr>
            </w:pPr>
          </w:p>
        </w:tc>
        <w:tc>
          <w:tcPr>
            <w:tcW w:w="992" w:type="dxa"/>
            <w:vAlign w:val="center"/>
          </w:tcPr>
          <w:p w14:paraId="665CF776" w14:textId="77777777" w:rsidR="00577D08" w:rsidRDefault="00577D08">
            <w:pPr>
              <w:jc w:val="right"/>
              <w:rPr>
                <w:sz w:val="15"/>
                <w:szCs w:val="15"/>
              </w:rPr>
            </w:pPr>
          </w:p>
        </w:tc>
        <w:tc>
          <w:tcPr>
            <w:tcW w:w="283" w:type="dxa"/>
            <w:vAlign w:val="center"/>
          </w:tcPr>
          <w:p w14:paraId="178E492E" w14:textId="77777777" w:rsidR="00577D08" w:rsidRDefault="00577D08">
            <w:pPr>
              <w:jc w:val="right"/>
              <w:rPr>
                <w:sz w:val="15"/>
                <w:szCs w:val="15"/>
              </w:rPr>
            </w:pPr>
          </w:p>
        </w:tc>
        <w:tc>
          <w:tcPr>
            <w:tcW w:w="1134" w:type="dxa"/>
            <w:vAlign w:val="center"/>
          </w:tcPr>
          <w:p w14:paraId="489A1EFC" w14:textId="77777777" w:rsidR="00577D08" w:rsidRDefault="00577D08">
            <w:pPr>
              <w:jc w:val="right"/>
              <w:rPr>
                <w:sz w:val="15"/>
                <w:szCs w:val="15"/>
              </w:rPr>
            </w:pPr>
          </w:p>
        </w:tc>
        <w:tc>
          <w:tcPr>
            <w:tcW w:w="1276" w:type="dxa"/>
            <w:vAlign w:val="center"/>
          </w:tcPr>
          <w:p w14:paraId="5BA38901" w14:textId="77777777" w:rsidR="00577D08" w:rsidRDefault="00577D08">
            <w:pPr>
              <w:jc w:val="right"/>
              <w:rPr>
                <w:sz w:val="15"/>
                <w:szCs w:val="15"/>
              </w:rPr>
            </w:pPr>
          </w:p>
        </w:tc>
        <w:tc>
          <w:tcPr>
            <w:tcW w:w="1364" w:type="dxa"/>
            <w:vAlign w:val="center"/>
          </w:tcPr>
          <w:p w14:paraId="2BCBD4F0" w14:textId="77777777" w:rsidR="00577D08" w:rsidRDefault="00577D08">
            <w:pPr>
              <w:jc w:val="right"/>
              <w:rPr>
                <w:sz w:val="15"/>
                <w:szCs w:val="15"/>
              </w:rPr>
            </w:pPr>
          </w:p>
        </w:tc>
      </w:tr>
      <w:tr w:rsidR="00577D08" w14:paraId="37551514" w14:textId="77777777">
        <w:sdt>
          <w:sdtPr>
            <w:rPr>
              <w:sz w:val="15"/>
              <w:szCs w:val="15"/>
            </w:rPr>
            <w:tag w:val="_PLD_9db953ff4eb242bd9b2d516481ce5c51"/>
            <w:id w:val="-589225769"/>
          </w:sdtPr>
          <w:sdtContent>
            <w:tc>
              <w:tcPr>
                <w:tcW w:w="959" w:type="dxa"/>
                <w:vAlign w:val="center"/>
              </w:tcPr>
              <w:p w14:paraId="44F8A3BE" w14:textId="77777777" w:rsidR="00577D08" w:rsidRDefault="00330FC0">
                <w:pPr>
                  <w:rPr>
                    <w:sz w:val="15"/>
                    <w:szCs w:val="15"/>
                  </w:rPr>
                </w:pPr>
                <w:r>
                  <w:rPr>
                    <w:sz w:val="15"/>
                    <w:szCs w:val="15"/>
                  </w:rPr>
                  <w:t>3</w:t>
                </w:r>
                <w:r>
                  <w:rPr>
                    <w:sz w:val="15"/>
                    <w:szCs w:val="15"/>
                  </w:rPr>
                  <w:t>．盈余公积弥补亏损</w:t>
                </w:r>
              </w:p>
            </w:tc>
          </w:sdtContent>
        </w:sdt>
        <w:tc>
          <w:tcPr>
            <w:tcW w:w="992" w:type="dxa"/>
            <w:vAlign w:val="center"/>
          </w:tcPr>
          <w:p w14:paraId="11AE8033" w14:textId="77777777" w:rsidR="00577D08" w:rsidRDefault="00577D08">
            <w:pPr>
              <w:jc w:val="right"/>
              <w:rPr>
                <w:sz w:val="15"/>
                <w:szCs w:val="15"/>
              </w:rPr>
            </w:pPr>
          </w:p>
        </w:tc>
        <w:tc>
          <w:tcPr>
            <w:tcW w:w="284" w:type="dxa"/>
            <w:vAlign w:val="center"/>
          </w:tcPr>
          <w:p w14:paraId="6E78E5A3" w14:textId="77777777" w:rsidR="00577D08" w:rsidRDefault="00577D08">
            <w:pPr>
              <w:jc w:val="right"/>
              <w:rPr>
                <w:sz w:val="15"/>
                <w:szCs w:val="15"/>
              </w:rPr>
            </w:pPr>
          </w:p>
        </w:tc>
        <w:tc>
          <w:tcPr>
            <w:tcW w:w="425" w:type="dxa"/>
            <w:vAlign w:val="center"/>
          </w:tcPr>
          <w:p w14:paraId="2F0E9880" w14:textId="77777777" w:rsidR="00577D08" w:rsidRDefault="00577D08">
            <w:pPr>
              <w:jc w:val="right"/>
              <w:rPr>
                <w:sz w:val="15"/>
                <w:szCs w:val="15"/>
              </w:rPr>
            </w:pPr>
          </w:p>
        </w:tc>
        <w:tc>
          <w:tcPr>
            <w:tcW w:w="425" w:type="dxa"/>
            <w:vAlign w:val="center"/>
          </w:tcPr>
          <w:p w14:paraId="5DFD2AC2" w14:textId="77777777" w:rsidR="00577D08" w:rsidRDefault="00577D08">
            <w:pPr>
              <w:jc w:val="right"/>
              <w:rPr>
                <w:sz w:val="15"/>
                <w:szCs w:val="15"/>
              </w:rPr>
            </w:pPr>
          </w:p>
        </w:tc>
        <w:tc>
          <w:tcPr>
            <w:tcW w:w="992" w:type="dxa"/>
            <w:vAlign w:val="center"/>
          </w:tcPr>
          <w:p w14:paraId="545E4086" w14:textId="77777777" w:rsidR="00577D08" w:rsidRDefault="00577D08">
            <w:pPr>
              <w:jc w:val="right"/>
              <w:rPr>
                <w:sz w:val="15"/>
                <w:szCs w:val="15"/>
              </w:rPr>
            </w:pPr>
          </w:p>
        </w:tc>
        <w:tc>
          <w:tcPr>
            <w:tcW w:w="1134" w:type="dxa"/>
            <w:vAlign w:val="center"/>
          </w:tcPr>
          <w:p w14:paraId="3EDE2BAC" w14:textId="77777777" w:rsidR="00577D08" w:rsidRDefault="00577D08">
            <w:pPr>
              <w:jc w:val="right"/>
              <w:rPr>
                <w:sz w:val="15"/>
                <w:szCs w:val="15"/>
              </w:rPr>
            </w:pPr>
          </w:p>
        </w:tc>
        <w:tc>
          <w:tcPr>
            <w:tcW w:w="1134" w:type="dxa"/>
            <w:vAlign w:val="center"/>
          </w:tcPr>
          <w:p w14:paraId="6C3E3AE6" w14:textId="77777777" w:rsidR="00577D08" w:rsidRDefault="00577D08">
            <w:pPr>
              <w:jc w:val="right"/>
              <w:rPr>
                <w:sz w:val="15"/>
                <w:szCs w:val="15"/>
              </w:rPr>
            </w:pPr>
          </w:p>
        </w:tc>
        <w:tc>
          <w:tcPr>
            <w:tcW w:w="1134" w:type="dxa"/>
            <w:vAlign w:val="center"/>
          </w:tcPr>
          <w:p w14:paraId="2A668C75" w14:textId="77777777" w:rsidR="00577D08" w:rsidRDefault="00577D08">
            <w:pPr>
              <w:jc w:val="right"/>
              <w:rPr>
                <w:sz w:val="15"/>
                <w:szCs w:val="15"/>
              </w:rPr>
            </w:pPr>
          </w:p>
        </w:tc>
        <w:tc>
          <w:tcPr>
            <w:tcW w:w="993" w:type="dxa"/>
            <w:vAlign w:val="center"/>
          </w:tcPr>
          <w:p w14:paraId="3B272491" w14:textId="77777777" w:rsidR="00577D08" w:rsidRDefault="00577D08">
            <w:pPr>
              <w:jc w:val="right"/>
              <w:rPr>
                <w:sz w:val="15"/>
                <w:szCs w:val="15"/>
              </w:rPr>
            </w:pPr>
          </w:p>
        </w:tc>
        <w:tc>
          <w:tcPr>
            <w:tcW w:w="567" w:type="dxa"/>
            <w:vAlign w:val="center"/>
          </w:tcPr>
          <w:p w14:paraId="67B2B420" w14:textId="77777777" w:rsidR="00577D08" w:rsidRDefault="00577D08">
            <w:pPr>
              <w:jc w:val="right"/>
              <w:rPr>
                <w:sz w:val="15"/>
                <w:szCs w:val="15"/>
              </w:rPr>
            </w:pPr>
          </w:p>
        </w:tc>
        <w:tc>
          <w:tcPr>
            <w:tcW w:w="992" w:type="dxa"/>
            <w:vAlign w:val="center"/>
          </w:tcPr>
          <w:p w14:paraId="4DB52D94" w14:textId="77777777" w:rsidR="00577D08" w:rsidRDefault="00577D08">
            <w:pPr>
              <w:jc w:val="right"/>
              <w:rPr>
                <w:sz w:val="15"/>
                <w:szCs w:val="15"/>
              </w:rPr>
            </w:pPr>
          </w:p>
        </w:tc>
        <w:tc>
          <w:tcPr>
            <w:tcW w:w="283" w:type="dxa"/>
            <w:vAlign w:val="center"/>
          </w:tcPr>
          <w:p w14:paraId="3AA26D91" w14:textId="77777777" w:rsidR="00577D08" w:rsidRDefault="00577D08">
            <w:pPr>
              <w:jc w:val="right"/>
              <w:rPr>
                <w:sz w:val="15"/>
                <w:szCs w:val="15"/>
              </w:rPr>
            </w:pPr>
          </w:p>
        </w:tc>
        <w:tc>
          <w:tcPr>
            <w:tcW w:w="1134" w:type="dxa"/>
            <w:vAlign w:val="center"/>
          </w:tcPr>
          <w:p w14:paraId="0452359C" w14:textId="77777777" w:rsidR="00577D08" w:rsidRDefault="00577D08">
            <w:pPr>
              <w:jc w:val="right"/>
              <w:rPr>
                <w:sz w:val="15"/>
                <w:szCs w:val="15"/>
              </w:rPr>
            </w:pPr>
          </w:p>
        </w:tc>
        <w:tc>
          <w:tcPr>
            <w:tcW w:w="1276" w:type="dxa"/>
            <w:vAlign w:val="center"/>
          </w:tcPr>
          <w:p w14:paraId="60DF64A8" w14:textId="77777777" w:rsidR="00577D08" w:rsidRDefault="00577D08">
            <w:pPr>
              <w:jc w:val="right"/>
              <w:rPr>
                <w:sz w:val="15"/>
                <w:szCs w:val="15"/>
              </w:rPr>
            </w:pPr>
          </w:p>
        </w:tc>
        <w:tc>
          <w:tcPr>
            <w:tcW w:w="1364" w:type="dxa"/>
            <w:vAlign w:val="center"/>
          </w:tcPr>
          <w:p w14:paraId="752569B4" w14:textId="77777777" w:rsidR="00577D08" w:rsidRDefault="00577D08">
            <w:pPr>
              <w:jc w:val="right"/>
              <w:rPr>
                <w:sz w:val="15"/>
                <w:szCs w:val="15"/>
              </w:rPr>
            </w:pPr>
          </w:p>
        </w:tc>
      </w:tr>
      <w:tr w:rsidR="00577D08" w14:paraId="5E95C226" w14:textId="77777777">
        <w:tc>
          <w:tcPr>
            <w:tcW w:w="959" w:type="dxa"/>
            <w:vAlign w:val="center"/>
          </w:tcPr>
          <w:sdt>
            <w:sdtPr>
              <w:rPr>
                <w:sz w:val="15"/>
                <w:szCs w:val="15"/>
              </w:rPr>
              <w:tag w:val="_PLD_4cff15a1162840c480701077d824f063"/>
              <w:id w:val="378051502"/>
            </w:sdtPr>
            <w:sdtContent>
              <w:p w14:paraId="56166F50" w14:textId="77777777" w:rsidR="00577D08" w:rsidRDefault="00330FC0">
                <w:pPr>
                  <w:rPr>
                    <w:sz w:val="15"/>
                    <w:szCs w:val="15"/>
                  </w:rPr>
                </w:pPr>
                <w:r>
                  <w:rPr>
                    <w:sz w:val="15"/>
                    <w:szCs w:val="15"/>
                  </w:rPr>
                  <w:t>4</w:t>
                </w:r>
                <w:r>
                  <w:rPr>
                    <w:sz w:val="15"/>
                    <w:szCs w:val="15"/>
                  </w:rPr>
                  <w:t>．设定受益计划变动额结转留存收益</w:t>
                </w:r>
              </w:p>
            </w:sdtContent>
          </w:sdt>
        </w:tc>
        <w:tc>
          <w:tcPr>
            <w:tcW w:w="992" w:type="dxa"/>
            <w:vAlign w:val="center"/>
          </w:tcPr>
          <w:p w14:paraId="35B9421B" w14:textId="77777777" w:rsidR="00577D08" w:rsidRDefault="00577D08">
            <w:pPr>
              <w:jc w:val="right"/>
              <w:rPr>
                <w:sz w:val="15"/>
                <w:szCs w:val="15"/>
              </w:rPr>
            </w:pPr>
          </w:p>
        </w:tc>
        <w:tc>
          <w:tcPr>
            <w:tcW w:w="284" w:type="dxa"/>
            <w:vAlign w:val="center"/>
          </w:tcPr>
          <w:p w14:paraId="1F29CAD2" w14:textId="77777777" w:rsidR="00577D08" w:rsidRDefault="00577D08">
            <w:pPr>
              <w:jc w:val="right"/>
              <w:rPr>
                <w:sz w:val="15"/>
                <w:szCs w:val="15"/>
              </w:rPr>
            </w:pPr>
          </w:p>
        </w:tc>
        <w:tc>
          <w:tcPr>
            <w:tcW w:w="425" w:type="dxa"/>
            <w:vAlign w:val="center"/>
          </w:tcPr>
          <w:p w14:paraId="215698EE" w14:textId="77777777" w:rsidR="00577D08" w:rsidRDefault="00577D08">
            <w:pPr>
              <w:jc w:val="right"/>
              <w:rPr>
                <w:sz w:val="15"/>
                <w:szCs w:val="15"/>
              </w:rPr>
            </w:pPr>
          </w:p>
        </w:tc>
        <w:tc>
          <w:tcPr>
            <w:tcW w:w="425" w:type="dxa"/>
            <w:vAlign w:val="center"/>
          </w:tcPr>
          <w:p w14:paraId="1235B69C" w14:textId="77777777" w:rsidR="00577D08" w:rsidRDefault="00577D08">
            <w:pPr>
              <w:jc w:val="right"/>
              <w:rPr>
                <w:sz w:val="15"/>
                <w:szCs w:val="15"/>
              </w:rPr>
            </w:pPr>
          </w:p>
        </w:tc>
        <w:tc>
          <w:tcPr>
            <w:tcW w:w="992" w:type="dxa"/>
            <w:vAlign w:val="center"/>
          </w:tcPr>
          <w:p w14:paraId="31AB3179" w14:textId="77777777" w:rsidR="00577D08" w:rsidRDefault="00577D08">
            <w:pPr>
              <w:jc w:val="right"/>
              <w:rPr>
                <w:sz w:val="15"/>
                <w:szCs w:val="15"/>
              </w:rPr>
            </w:pPr>
          </w:p>
        </w:tc>
        <w:tc>
          <w:tcPr>
            <w:tcW w:w="1134" w:type="dxa"/>
            <w:vAlign w:val="center"/>
          </w:tcPr>
          <w:p w14:paraId="0F95CEA5" w14:textId="77777777" w:rsidR="00577D08" w:rsidRDefault="00577D08">
            <w:pPr>
              <w:jc w:val="right"/>
              <w:rPr>
                <w:sz w:val="15"/>
                <w:szCs w:val="15"/>
              </w:rPr>
            </w:pPr>
          </w:p>
        </w:tc>
        <w:tc>
          <w:tcPr>
            <w:tcW w:w="1134" w:type="dxa"/>
            <w:vAlign w:val="center"/>
          </w:tcPr>
          <w:p w14:paraId="012541B3" w14:textId="77777777" w:rsidR="00577D08" w:rsidRDefault="00577D08">
            <w:pPr>
              <w:jc w:val="right"/>
              <w:rPr>
                <w:sz w:val="15"/>
                <w:szCs w:val="15"/>
              </w:rPr>
            </w:pPr>
          </w:p>
        </w:tc>
        <w:tc>
          <w:tcPr>
            <w:tcW w:w="1134" w:type="dxa"/>
            <w:vAlign w:val="center"/>
          </w:tcPr>
          <w:p w14:paraId="0D561485" w14:textId="77777777" w:rsidR="00577D08" w:rsidRDefault="00577D08">
            <w:pPr>
              <w:jc w:val="right"/>
              <w:rPr>
                <w:sz w:val="15"/>
                <w:szCs w:val="15"/>
              </w:rPr>
            </w:pPr>
          </w:p>
        </w:tc>
        <w:tc>
          <w:tcPr>
            <w:tcW w:w="993" w:type="dxa"/>
            <w:vAlign w:val="center"/>
          </w:tcPr>
          <w:p w14:paraId="3A5DF767" w14:textId="77777777" w:rsidR="00577D08" w:rsidRDefault="00577D08">
            <w:pPr>
              <w:jc w:val="right"/>
              <w:rPr>
                <w:sz w:val="15"/>
                <w:szCs w:val="15"/>
              </w:rPr>
            </w:pPr>
          </w:p>
        </w:tc>
        <w:tc>
          <w:tcPr>
            <w:tcW w:w="567" w:type="dxa"/>
            <w:vAlign w:val="center"/>
          </w:tcPr>
          <w:p w14:paraId="41E8FB87" w14:textId="77777777" w:rsidR="00577D08" w:rsidRDefault="00577D08">
            <w:pPr>
              <w:jc w:val="right"/>
              <w:rPr>
                <w:sz w:val="15"/>
                <w:szCs w:val="15"/>
              </w:rPr>
            </w:pPr>
          </w:p>
        </w:tc>
        <w:tc>
          <w:tcPr>
            <w:tcW w:w="992" w:type="dxa"/>
            <w:vAlign w:val="center"/>
          </w:tcPr>
          <w:p w14:paraId="220648C1" w14:textId="77777777" w:rsidR="00577D08" w:rsidRDefault="00577D08">
            <w:pPr>
              <w:jc w:val="right"/>
              <w:rPr>
                <w:sz w:val="15"/>
                <w:szCs w:val="15"/>
              </w:rPr>
            </w:pPr>
          </w:p>
        </w:tc>
        <w:tc>
          <w:tcPr>
            <w:tcW w:w="283" w:type="dxa"/>
            <w:vAlign w:val="center"/>
          </w:tcPr>
          <w:p w14:paraId="6621DE5D" w14:textId="77777777" w:rsidR="00577D08" w:rsidRDefault="00577D08">
            <w:pPr>
              <w:jc w:val="right"/>
              <w:rPr>
                <w:sz w:val="15"/>
                <w:szCs w:val="15"/>
              </w:rPr>
            </w:pPr>
          </w:p>
        </w:tc>
        <w:tc>
          <w:tcPr>
            <w:tcW w:w="1134" w:type="dxa"/>
            <w:vAlign w:val="center"/>
          </w:tcPr>
          <w:p w14:paraId="3C5C9636" w14:textId="77777777" w:rsidR="00577D08" w:rsidRDefault="00577D08">
            <w:pPr>
              <w:jc w:val="right"/>
              <w:rPr>
                <w:sz w:val="15"/>
                <w:szCs w:val="15"/>
              </w:rPr>
            </w:pPr>
          </w:p>
        </w:tc>
        <w:tc>
          <w:tcPr>
            <w:tcW w:w="1276" w:type="dxa"/>
            <w:vAlign w:val="center"/>
          </w:tcPr>
          <w:p w14:paraId="46FB7C32" w14:textId="77777777" w:rsidR="00577D08" w:rsidRDefault="00577D08">
            <w:pPr>
              <w:jc w:val="right"/>
              <w:rPr>
                <w:sz w:val="15"/>
                <w:szCs w:val="15"/>
              </w:rPr>
            </w:pPr>
          </w:p>
        </w:tc>
        <w:tc>
          <w:tcPr>
            <w:tcW w:w="1364" w:type="dxa"/>
            <w:vAlign w:val="center"/>
          </w:tcPr>
          <w:p w14:paraId="38D85731" w14:textId="77777777" w:rsidR="00577D08" w:rsidRDefault="00577D08">
            <w:pPr>
              <w:jc w:val="right"/>
              <w:rPr>
                <w:sz w:val="15"/>
                <w:szCs w:val="15"/>
              </w:rPr>
            </w:pPr>
          </w:p>
        </w:tc>
      </w:tr>
      <w:tr w:rsidR="00577D08" w14:paraId="5D60FF28" w14:textId="77777777">
        <w:tc>
          <w:tcPr>
            <w:tcW w:w="959" w:type="dxa"/>
            <w:vAlign w:val="center"/>
          </w:tcPr>
          <w:sdt>
            <w:sdtPr>
              <w:rPr>
                <w:sz w:val="15"/>
                <w:szCs w:val="15"/>
              </w:rPr>
              <w:tag w:val="_PLD_01b44dab85214948b610b65ce91a85dd"/>
              <w:id w:val="-1191296472"/>
            </w:sdtPr>
            <w:sdtContent>
              <w:p w14:paraId="3246135B" w14:textId="77777777" w:rsidR="00577D08" w:rsidRDefault="00330FC0">
                <w:pPr>
                  <w:rPr>
                    <w:sz w:val="15"/>
                    <w:szCs w:val="15"/>
                  </w:rPr>
                </w:pPr>
                <w:r>
                  <w:rPr>
                    <w:sz w:val="15"/>
                    <w:szCs w:val="15"/>
                  </w:rPr>
                  <w:t>5</w:t>
                </w:r>
                <w:r>
                  <w:rPr>
                    <w:sz w:val="15"/>
                    <w:szCs w:val="15"/>
                  </w:rPr>
                  <w:t>．其他综合收益结转留存收益</w:t>
                </w:r>
              </w:p>
            </w:sdtContent>
          </w:sdt>
        </w:tc>
        <w:tc>
          <w:tcPr>
            <w:tcW w:w="992" w:type="dxa"/>
            <w:vAlign w:val="center"/>
          </w:tcPr>
          <w:p w14:paraId="456164F2" w14:textId="77777777" w:rsidR="00577D08" w:rsidRDefault="00577D08">
            <w:pPr>
              <w:jc w:val="right"/>
              <w:rPr>
                <w:sz w:val="15"/>
                <w:szCs w:val="15"/>
              </w:rPr>
            </w:pPr>
          </w:p>
        </w:tc>
        <w:tc>
          <w:tcPr>
            <w:tcW w:w="284" w:type="dxa"/>
            <w:vAlign w:val="center"/>
          </w:tcPr>
          <w:p w14:paraId="446A7E6B" w14:textId="77777777" w:rsidR="00577D08" w:rsidRDefault="00577D08">
            <w:pPr>
              <w:jc w:val="right"/>
              <w:rPr>
                <w:sz w:val="15"/>
                <w:szCs w:val="15"/>
              </w:rPr>
            </w:pPr>
          </w:p>
        </w:tc>
        <w:tc>
          <w:tcPr>
            <w:tcW w:w="425" w:type="dxa"/>
            <w:vAlign w:val="center"/>
          </w:tcPr>
          <w:p w14:paraId="448094EE" w14:textId="77777777" w:rsidR="00577D08" w:rsidRDefault="00577D08">
            <w:pPr>
              <w:jc w:val="right"/>
              <w:rPr>
                <w:sz w:val="15"/>
                <w:szCs w:val="15"/>
              </w:rPr>
            </w:pPr>
          </w:p>
        </w:tc>
        <w:tc>
          <w:tcPr>
            <w:tcW w:w="425" w:type="dxa"/>
            <w:vAlign w:val="center"/>
          </w:tcPr>
          <w:p w14:paraId="13DE41EF" w14:textId="77777777" w:rsidR="00577D08" w:rsidRDefault="00577D08">
            <w:pPr>
              <w:jc w:val="right"/>
              <w:rPr>
                <w:sz w:val="15"/>
                <w:szCs w:val="15"/>
              </w:rPr>
            </w:pPr>
          </w:p>
        </w:tc>
        <w:tc>
          <w:tcPr>
            <w:tcW w:w="992" w:type="dxa"/>
            <w:vAlign w:val="center"/>
          </w:tcPr>
          <w:p w14:paraId="50942EA3" w14:textId="77777777" w:rsidR="00577D08" w:rsidRDefault="00577D08">
            <w:pPr>
              <w:jc w:val="right"/>
              <w:rPr>
                <w:sz w:val="15"/>
                <w:szCs w:val="15"/>
              </w:rPr>
            </w:pPr>
          </w:p>
        </w:tc>
        <w:tc>
          <w:tcPr>
            <w:tcW w:w="1134" w:type="dxa"/>
            <w:vAlign w:val="center"/>
          </w:tcPr>
          <w:p w14:paraId="5FCE019F" w14:textId="77777777" w:rsidR="00577D08" w:rsidRDefault="00577D08">
            <w:pPr>
              <w:jc w:val="right"/>
              <w:rPr>
                <w:sz w:val="15"/>
                <w:szCs w:val="15"/>
              </w:rPr>
            </w:pPr>
          </w:p>
        </w:tc>
        <w:tc>
          <w:tcPr>
            <w:tcW w:w="1134" w:type="dxa"/>
            <w:vAlign w:val="center"/>
          </w:tcPr>
          <w:p w14:paraId="7D212BDE" w14:textId="77777777" w:rsidR="00577D08" w:rsidRDefault="00577D08">
            <w:pPr>
              <w:jc w:val="right"/>
              <w:rPr>
                <w:sz w:val="15"/>
                <w:szCs w:val="15"/>
              </w:rPr>
            </w:pPr>
          </w:p>
        </w:tc>
        <w:tc>
          <w:tcPr>
            <w:tcW w:w="1134" w:type="dxa"/>
            <w:vAlign w:val="center"/>
          </w:tcPr>
          <w:p w14:paraId="7C9CCE31" w14:textId="77777777" w:rsidR="00577D08" w:rsidRDefault="00577D08">
            <w:pPr>
              <w:jc w:val="right"/>
              <w:rPr>
                <w:sz w:val="15"/>
                <w:szCs w:val="15"/>
              </w:rPr>
            </w:pPr>
          </w:p>
        </w:tc>
        <w:tc>
          <w:tcPr>
            <w:tcW w:w="993" w:type="dxa"/>
            <w:vAlign w:val="center"/>
          </w:tcPr>
          <w:p w14:paraId="269F3965" w14:textId="77777777" w:rsidR="00577D08" w:rsidRDefault="00577D08">
            <w:pPr>
              <w:jc w:val="right"/>
              <w:rPr>
                <w:sz w:val="15"/>
                <w:szCs w:val="15"/>
              </w:rPr>
            </w:pPr>
          </w:p>
        </w:tc>
        <w:tc>
          <w:tcPr>
            <w:tcW w:w="567" w:type="dxa"/>
            <w:vAlign w:val="center"/>
          </w:tcPr>
          <w:p w14:paraId="45699A74" w14:textId="77777777" w:rsidR="00577D08" w:rsidRDefault="00577D08">
            <w:pPr>
              <w:jc w:val="right"/>
              <w:rPr>
                <w:sz w:val="15"/>
                <w:szCs w:val="15"/>
              </w:rPr>
            </w:pPr>
          </w:p>
        </w:tc>
        <w:tc>
          <w:tcPr>
            <w:tcW w:w="992" w:type="dxa"/>
            <w:vAlign w:val="center"/>
          </w:tcPr>
          <w:p w14:paraId="7F5727E8" w14:textId="77777777" w:rsidR="00577D08" w:rsidRDefault="00577D08">
            <w:pPr>
              <w:jc w:val="right"/>
              <w:rPr>
                <w:sz w:val="15"/>
                <w:szCs w:val="15"/>
              </w:rPr>
            </w:pPr>
          </w:p>
        </w:tc>
        <w:tc>
          <w:tcPr>
            <w:tcW w:w="283" w:type="dxa"/>
            <w:vAlign w:val="center"/>
          </w:tcPr>
          <w:p w14:paraId="4DA2F255" w14:textId="77777777" w:rsidR="00577D08" w:rsidRDefault="00577D08">
            <w:pPr>
              <w:jc w:val="right"/>
              <w:rPr>
                <w:sz w:val="15"/>
                <w:szCs w:val="15"/>
              </w:rPr>
            </w:pPr>
          </w:p>
        </w:tc>
        <w:tc>
          <w:tcPr>
            <w:tcW w:w="1134" w:type="dxa"/>
            <w:vAlign w:val="center"/>
          </w:tcPr>
          <w:p w14:paraId="7F3774E0" w14:textId="77777777" w:rsidR="00577D08" w:rsidRDefault="00577D08">
            <w:pPr>
              <w:jc w:val="right"/>
              <w:rPr>
                <w:sz w:val="15"/>
                <w:szCs w:val="15"/>
              </w:rPr>
            </w:pPr>
          </w:p>
        </w:tc>
        <w:tc>
          <w:tcPr>
            <w:tcW w:w="1276" w:type="dxa"/>
            <w:vAlign w:val="center"/>
          </w:tcPr>
          <w:p w14:paraId="0D8BB8F4" w14:textId="77777777" w:rsidR="00577D08" w:rsidRDefault="00577D08">
            <w:pPr>
              <w:jc w:val="right"/>
              <w:rPr>
                <w:sz w:val="15"/>
                <w:szCs w:val="15"/>
              </w:rPr>
            </w:pPr>
          </w:p>
        </w:tc>
        <w:tc>
          <w:tcPr>
            <w:tcW w:w="1364" w:type="dxa"/>
            <w:vAlign w:val="center"/>
          </w:tcPr>
          <w:p w14:paraId="44431A9E" w14:textId="77777777" w:rsidR="00577D08" w:rsidRDefault="00577D08">
            <w:pPr>
              <w:jc w:val="right"/>
              <w:rPr>
                <w:sz w:val="15"/>
                <w:szCs w:val="15"/>
              </w:rPr>
            </w:pPr>
          </w:p>
        </w:tc>
      </w:tr>
      <w:tr w:rsidR="00577D08" w14:paraId="64438EDC" w14:textId="77777777">
        <w:sdt>
          <w:sdtPr>
            <w:rPr>
              <w:sz w:val="15"/>
              <w:szCs w:val="15"/>
            </w:rPr>
            <w:tag w:val="_PLD_3ac599075bf24593ba41b1bec2fb0e9e"/>
            <w:id w:val="1064920394"/>
          </w:sdtPr>
          <w:sdtContent>
            <w:tc>
              <w:tcPr>
                <w:tcW w:w="959" w:type="dxa"/>
                <w:vAlign w:val="center"/>
              </w:tcPr>
              <w:p w14:paraId="6D29809D" w14:textId="77777777" w:rsidR="00577D08" w:rsidRDefault="00330FC0">
                <w:pPr>
                  <w:rPr>
                    <w:sz w:val="15"/>
                    <w:szCs w:val="15"/>
                  </w:rPr>
                </w:pPr>
                <w:r>
                  <w:rPr>
                    <w:sz w:val="15"/>
                    <w:szCs w:val="15"/>
                  </w:rPr>
                  <w:t>6</w:t>
                </w:r>
                <w:r>
                  <w:rPr>
                    <w:sz w:val="15"/>
                    <w:szCs w:val="15"/>
                  </w:rPr>
                  <w:t>．其他</w:t>
                </w:r>
              </w:p>
            </w:tc>
          </w:sdtContent>
        </w:sdt>
        <w:tc>
          <w:tcPr>
            <w:tcW w:w="992" w:type="dxa"/>
            <w:vAlign w:val="center"/>
          </w:tcPr>
          <w:p w14:paraId="6C37F421" w14:textId="77777777" w:rsidR="00577D08" w:rsidRDefault="00577D08">
            <w:pPr>
              <w:jc w:val="right"/>
              <w:rPr>
                <w:sz w:val="15"/>
                <w:szCs w:val="15"/>
              </w:rPr>
            </w:pPr>
          </w:p>
        </w:tc>
        <w:tc>
          <w:tcPr>
            <w:tcW w:w="284" w:type="dxa"/>
            <w:vAlign w:val="center"/>
          </w:tcPr>
          <w:p w14:paraId="399D81D0" w14:textId="77777777" w:rsidR="00577D08" w:rsidRDefault="00577D08">
            <w:pPr>
              <w:jc w:val="right"/>
              <w:rPr>
                <w:sz w:val="15"/>
                <w:szCs w:val="15"/>
              </w:rPr>
            </w:pPr>
          </w:p>
        </w:tc>
        <w:tc>
          <w:tcPr>
            <w:tcW w:w="425" w:type="dxa"/>
            <w:vAlign w:val="center"/>
          </w:tcPr>
          <w:p w14:paraId="6A89CAB9" w14:textId="77777777" w:rsidR="00577D08" w:rsidRDefault="00577D08">
            <w:pPr>
              <w:jc w:val="right"/>
              <w:rPr>
                <w:sz w:val="15"/>
                <w:szCs w:val="15"/>
              </w:rPr>
            </w:pPr>
          </w:p>
        </w:tc>
        <w:tc>
          <w:tcPr>
            <w:tcW w:w="425" w:type="dxa"/>
            <w:vAlign w:val="center"/>
          </w:tcPr>
          <w:p w14:paraId="433303F5" w14:textId="77777777" w:rsidR="00577D08" w:rsidRDefault="00577D08">
            <w:pPr>
              <w:jc w:val="right"/>
              <w:rPr>
                <w:sz w:val="15"/>
                <w:szCs w:val="15"/>
              </w:rPr>
            </w:pPr>
          </w:p>
        </w:tc>
        <w:tc>
          <w:tcPr>
            <w:tcW w:w="992" w:type="dxa"/>
            <w:vAlign w:val="center"/>
          </w:tcPr>
          <w:p w14:paraId="172BA54C" w14:textId="77777777" w:rsidR="00577D08" w:rsidRDefault="00577D08">
            <w:pPr>
              <w:jc w:val="right"/>
              <w:rPr>
                <w:sz w:val="15"/>
                <w:szCs w:val="15"/>
              </w:rPr>
            </w:pPr>
          </w:p>
        </w:tc>
        <w:tc>
          <w:tcPr>
            <w:tcW w:w="1134" w:type="dxa"/>
            <w:vAlign w:val="center"/>
          </w:tcPr>
          <w:p w14:paraId="00711F8B" w14:textId="77777777" w:rsidR="00577D08" w:rsidRDefault="00577D08">
            <w:pPr>
              <w:jc w:val="right"/>
              <w:rPr>
                <w:sz w:val="15"/>
                <w:szCs w:val="15"/>
              </w:rPr>
            </w:pPr>
          </w:p>
        </w:tc>
        <w:tc>
          <w:tcPr>
            <w:tcW w:w="1134" w:type="dxa"/>
            <w:vAlign w:val="center"/>
          </w:tcPr>
          <w:p w14:paraId="0ED3BD30" w14:textId="77777777" w:rsidR="00577D08" w:rsidRDefault="00577D08">
            <w:pPr>
              <w:jc w:val="right"/>
              <w:rPr>
                <w:sz w:val="15"/>
                <w:szCs w:val="15"/>
              </w:rPr>
            </w:pPr>
          </w:p>
        </w:tc>
        <w:tc>
          <w:tcPr>
            <w:tcW w:w="1134" w:type="dxa"/>
            <w:vAlign w:val="center"/>
          </w:tcPr>
          <w:p w14:paraId="6C0D9BEC" w14:textId="77777777" w:rsidR="00577D08" w:rsidRDefault="00577D08">
            <w:pPr>
              <w:jc w:val="right"/>
              <w:rPr>
                <w:sz w:val="15"/>
                <w:szCs w:val="15"/>
              </w:rPr>
            </w:pPr>
          </w:p>
        </w:tc>
        <w:tc>
          <w:tcPr>
            <w:tcW w:w="993" w:type="dxa"/>
            <w:vAlign w:val="center"/>
          </w:tcPr>
          <w:p w14:paraId="6123AEFF" w14:textId="77777777" w:rsidR="00577D08" w:rsidRDefault="00577D08">
            <w:pPr>
              <w:jc w:val="right"/>
              <w:rPr>
                <w:sz w:val="15"/>
                <w:szCs w:val="15"/>
              </w:rPr>
            </w:pPr>
          </w:p>
        </w:tc>
        <w:tc>
          <w:tcPr>
            <w:tcW w:w="567" w:type="dxa"/>
            <w:vAlign w:val="center"/>
          </w:tcPr>
          <w:p w14:paraId="30FD516B" w14:textId="77777777" w:rsidR="00577D08" w:rsidRDefault="00577D08">
            <w:pPr>
              <w:jc w:val="right"/>
              <w:rPr>
                <w:sz w:val="15"/>
                <w:szCs w:val="15"/>
              </w:rPr>
            </w:pPr>
          </w:p>
        </w:tc>
        <w:tc>
          <w:tcPr>
            <w:tcW w:w="992" w:type="dxa"/>
            <w:vAlign w:val="center"/>
          </w:tcPr>
          <w:p w14:paraId="0129351D" w14:textId="77777777" w:rsidR="00577D08" w:rsidRDefault="00577D08">
            <w:pPr>
              <w:jc w:val="right"/>
              <w:rPr>
                <w:sz w:val="15"/>
                <w:szCs w:val="15"/>
              </w:rPr>
            </w:pPr>
          </w:p>
        </w:tc>
        <w:tc>
          <w:tcPr>
            <w:tcW w:w="283" w:type="dxa"/>
            <w:vAlign w:val="center"/>
          </w:tcPr>
          <w:p w14:paraId="24E758B4" w14:textId="77777777" w:rsidR="00577D08" w:rsidRDefault="00577D08">
            <w:pPr>
              <w:jc w:val="right"/>
              <w:rPr>
                <w:sz w:val="15"/>
                <w:szCs w:val="15"/>
              </w:rPr>
            </w:pPr>
          </w:p>
        </w:tc>
        <w:tc>
          <w:tcPr>
            <w:tcW w:w="1134" w:type="dxa"/>
            <w:vAlign w:val="center"/>
          </w:tcPr>
          <w:p w14:paraId="5A42A996" w14:textId="77777777" w:rsidR="00577D08" w:rsidRDefault="00577D08">
            <w:pPr>
              <w:jc w:val="right"/>
              <w:rPr>
                <w:sz w:val="15"/>
                <w:szCs w:val="15"/>
              </w:rPr>
            </w:pPr>
          </w:p>
        </w:tc>
        <w:tc>
          <w:tcPr>
            <w:tcW w:w="1276" w:type="dxa"/>
            <w:vAlign w:val="center"/>
          </w:tcPr>
          <w:p w14:paraId="4A70CDAD" w14:textId="77777777" w:rsidR="00577D08" w:rsidRDefault="00577D08">
            <w:pPr>
              <w:jc w:val="right"/>
              <w:rPr>
                <w:sz w:val="15"/>
                <w:szCs w:val="15"/>
              </w:rPr>
            </w:pPr>
          </w:p>
        </w:tc>
        <w:tc>
          <w:tcPr>
            <w:tcW w:w="1364" w:type="dxa"/>
            <w:vAlign w:val="center"/>
          </w:tcPr>
          <w:p w14:paraId="648F3079" w14:textId="77777777" w:rsidR="00577D08" w:rsidRDefault="00577D08">
            <w:pPr>
              <w:jc w:val="right"/>
              <w:rPr>
                <w:sz w:val="15"/>
                <w:szCs w:val="15"/>
              </w:rPr>
            </w:pPr>
          </w:p>
        </w:tc>
      </w:tr>
      <w:tr w:rsidR="00577D08" w14:paraId="165A0E0B" w14:textId="77777777">
        <w:sdt>
          <w:sdtPr>
            <w:rPr>
              <w:sz w:val="15"/>
              <w:szCs w:val="15"/>
            </w:rPr>
            <w:tag w:val="_PLD_e606d8680d944e6999b3743f1fcf75f9"/>
            <w:id w:val="326560168"/>
          </w:sdtPr>
          <w:sdtContent>
            <w:tc>
              <w:tcPr>
                <w:tcW w:w="959" w:type="dxa"/>
                <w:vAlign w:val="center"/>
              </w:tcPr>
              <w:p w14:paraId="0ECC8643" w14:textId="77777777" w:rsidR="00577D08" w:rsidRDefault="00330FC0">
                <w:pPr>
                  <w:rPr>
                    <w:sz w:val="15"/>
                    <w:szCs w:val="15"/>
                  </w:rPr>
                </w:pPr>
                <w:r>
                  <w:rPr>
                    <w:rFonts w:hint="eastAsia"/>
                    <w:sz w:val="15"/>
                    <w:szCs w:val="15"/>
                  </w:rPr>
                  <w:t>（五）专项储备</w:t>
                </w:r>
              </w:p>
            </w:tc>
          </w:sdtContent>
        </w:sdt>
        <w:tc>
          <w:tcPr>
            <w:tcW w:w="992" w:type="dxa"/>
            <w:vAlign w:val="center"/>
          </w:tcPr>
          <w:p w14:paraId="574760E0" w14:textId="77777777" w:rsidR="00577D08" w:rsidRDefault="00577D08">
            <w:pPr>
              <w:jc w:val="right"/>
              <w:rPr>
                <w:sz w:val="15"/>
                <w:szCs w:val="15"/>
              </w:rPr>
            </w:pPr>
          </w:p>
        </w:tc>
        <w:tc>
          <w:tcPr>
            <w:tcW w:w="284" w:type="dxa"/>
            <w:vAlign w:val="center"/>
          </w:tcPr>
          <w:p w14:paraId="685C557A" w14:textId="77777777" w:rsidR="00577D08" w:rsidRDefault="00577D08">
            <w:pPr>
              <w:jc w:val="right"/>
              <w:rPr>
                <w:sz w:val="15"/>
                <w:szCs w:val="15"/>
              </w:rPr>
            </w:pPr>
          </w:p>
        </w:tc>
        <w:tc>
          <w:tcPr>
            <w:tcW w:w="425" w:type="dxa"/>
            <w:vAlign w:val="center"/>
          </w:tcPr>
          <w:p w14:paraId="39481CEF" w14:textId="77777777" w:rsidR="00577D08" w:rsidRDefault="00577D08">
            <w:pPr>
              <w:jc w:val="right"/>
              <w:rPr>
                <w:sz w:val="15"/>
                <w:szCs w:val="15"/>
              </w:rPr>
            </w:pPr>
          </w:p>
        </w:tc>
        <w:tc>
          <w:tcPr>
            <w:tcW w:w="425" w:type="dxa"/>
            <w:vAlign w:val="center"/>
          </w:tcPr>
          <w:p w14:paraId="1E8AE115" w14:textId="77777777" w:rsidR="00577D08" w:rsidRDefault="00577D08">
            <w:pPr>
              <w:jc w:val="right"/>
              <w:rPr>
                <w:sz w:val="15"/>
                <w:szCs w:val="15"/>
              </w:rPr>
            </w:pPr>
          </w:p>
        </w:tc>
        <w:tc>
          <w:tcPr>
            <w:tcW w:w="992" w:type="dxa"/>
            <w:vAlign w:val="center"/>
          </w:tcPr>
          <w:p w14:paraId="50E99774" w14:textId="77777777" w:rsidR="00577D08" w:rsidRDefault="00577D08">
            <w:pPr>
              <w:jc w:val="right"/>
              <w:rPr>
                <w:sz w:val="15"/>
                <w:szCs w:val="15"/>
              </w:rPr>
            </w:pPr>
          </w:p>
        </w:tc>
        <w:tc>
          <w:tcPr>
            <w:tcW w:w="1134" w:type="dxa"/>
            <w:vAlign w:val="center"/>
          </w:tcPr>
          <w:p w14:paraId="2C641927" w14:textId="77777777" w:rsidR="00577D08" w:rsidRDefault="00577D08">
            <w:pPr>
              <w:jc w:val="right"/>
              <w:rPr>
                <w:sz w:val="15"/>
                <w:szCs w:val="15"/>
              </w:rPr>
            </w:pPr>
          </w:p>
        </w:tc>
        <w:tc>
          <w:tcPr>
            <w:tcW w:w="1134" w:type="dxa"/>
            <w:vAlign w:val="center"/>
          </w:tcPr>
          <w:p w14:paraId="1725C91C" w14:textId="77777777" w:rsidR="00577D08" w:rsidRDefault="00577D08">
            <w:pPr>
              <w:jc w:val="right"/>
              <w:rPr>
                <w:sz w:val="15"/>
                <w:szCs w:val="15"/>
              </w:rPr>
            </w:pPr>
          </w:p>
        </w:tc>
        <w:tc>
          <w:tcPr>
            <w:tcW w:w="1134" w:type="dxa"/>
            <w:vAlign w:val="center"/>
          </w:tcPr>
          <w:p w14:paraId="1FA0E5C8" w14:textId="77777777" w:rsidR="00577D08" w:rsidRDefault="00330FC0">
            <w:pPr>
              <w:jc w:val="right"/>
              <w:rPr>
                <w:sz w:val="15"/>
                <w:szCs w:val="15"/>
              </w:rPr>
            </w:pPr>
            <w:r>
              <w:rPr>
                <w:sz w:val="15"/>
                <w:szCs w:val="15"/>
              </w:rPr>
              <w:t>274,960.40</w:t>
            </w:r>
          </w:p>
        </w:tc>
        <w:tc>
          <w:tcPr>
            <w:tcW w:w="993" w:type="dxa"/>
            <w:vAlign w:val="center"/>
          </w:tcPr>
          <w:p w14:paraId="7A9BDC61" w14:textId="77777777" w:rsidR="00577D08" w:rsidRDefault="00577D08">
            <w:pPr>
              <w:jc w:val="right"/>
              <w:rPr>
                <w:sz w:val="15"/>
                <w:szCs w:val="15"/>
              </w:rPr>
            </w:pPr>
          </w:p>
        </w:tc>
        <w:tc>
          <w:tcPr>
            <w:tcW w:w="567" w:type="dxa"/>
            <w:vAlign w:val="center"/>
          </w:tcPr>
          <w:p w14:paraId="48627451" w14:textId="77777777" w:rsidR="00577D08" w:rsidRDefault="00577D08">
            <w:pPr>
              <w:jc w:val="right"/>
              <w:rPr>
                <w:sz w:val="15"/>
                <w:szCs w:val="15"/>
              </w:rPr>
            </w:pPr>
          </w:p>
        </w:tc>
        <w:tc>
          <w:tcPr>
            <w:tcW w:w="992" w:type="dxa"/>
            <w:vAlign w:val="center"/>
          </w:tcPr>
          <w:p w14:paraId="041523AB" w14:textId="77777777" w:rsidR="00577D08" w:rsidRDefault="00577D08">
            <w:pPr>
              <w:jc w:val="right"/>
              <w:rPr>
                <w:sz w:val="15"/>
                <w:szCs w:val="15"/>
              </w:rPr>
            </w:pPr>
          </w:p>
        </w:tc>
        <w:tc>
          <w:tcPr>
            <w:tcW w:w="283" w:type="dxa"/>
            <w:vAlign w:val="center"/>
          </w:tcPr>
          <w:p w14:paraId="3A05FB3D" w14:textId="77777777" w:rsidR="00577D08" w:rsidRDefault="00577D08">
            <w:pPr>
              <w:jc w:val="right"/>
              <w:rPr>
                <w:sz w:val="15"/>
                <w:szCs w:val="15"/>
              </w:rPr>
            </w:pPr>
          </w:p>
        </w:tc>
        <w:tc>
          <w:tcPr>
            <w:tcW w:w="1134" w:type="dxa"/>
            <w:vAlign w:val="center"/>
          </w:tcPr>
          <w:p w14:paraId="12841BC5" w14:textId="77777777" w:rsidR="00577D08" w:rsidRDefault="00330FC0">
            <w:pPr>
              <w:jc w:val="right"/>
              <w:rPr>
                <w:sz w:val="15"/>
                <w:szCs w:val="15"/>
              </w:rPr>
            </w:pPr>
            <w:r>
              <w:rPr>
                <w:sz w:val="15"/>
                <w:szCs w:val="15"/>
              </w:rPr>
              <w:t>274,960.40</w:t>
            </w:r>
          </w:p>
        </w:tc>
        <w:tc>
          <w:tcPr>
            <w:tcW w:w="1276" w:type="dxa"/>
            <w:vAlign w:val="center"/>
          </w:tcPr>
          <w:p w14:paraId="712A086A" w14:textId="77777777" w:rsidR="00577D08" w:rsidRDefault="00577D08">
            <w:pPr>
              <w:jc w:val="right"/>
              <w:rPr>
                <w:sz w:val="15"/>
                <w:szCs w:val="15"/>
              </w:rPr>
            </w:pPr>
          </w:p>
        </w:tc>
        <w:tc>
          <w:tcPr>
            <w:tcW w:w="1364" w:type="dxa"/>
            <w:vAlign w:val="center"/>
          </w:tcPr>
          <w:p w14:paraId="7491BF05" w14:textId="77777777" w:rsidR="00577D08" w:rsidRDefault="00330FC0">
            <w:pPr>
              <w:jc w:val="right"/>
              <w:rPr>
                <w:sz w:val="15"/>
                <w:szCs w:val="15"/>
              </w:rPr>
            </w:pPr>
            <w:r>
              <w:rPr>
                <w:sz w:val="15"/>
                <w:szCs w:val="15"/>
              </w:rPr>
              <w:t>274,960.40</w:t>
            </w:r>
          </w:p>
        </w:tc>
      </w:tr>
      <w:tr w:rsidR="00577D08" w14:paraId="3262F25D" w14:textId="77777777">
        <w:sdt>
          <w:sdtPr>
            <w:rPr>
              <w:sz w:val="15"/>
              <w:szCs w:val="15"/>
            </w:rPr>
            <w:tag w:val="_PLD_c1e7a107b4eb42c48000b98a786d499c"/>
            <w:id w:val="1338426010"/>
          </w:sdtPr>
          <w:sdtContent>
            <w:tc>
              <w:tcPr>
                <w:tcW w:w="959" w:type="dxa"/>
                <w:vAlign w:val="center"/>
              </w:tcPr>
              <w:p w14:paraId="17D96CC7" w14:textId="77777777" w:rsidR="00577D08" w:rsidRDefault="00330FC0">
                <w:pPr>
                  <w:rPr>
                    <w:sz w:val="15"/>
                    <w:szCs w:val="15"/>
                  </w:rPr>
                </w:pPr>
                <w:r>
                  <w:rPr>
                    <w:rFonts w:hint="eastAsia"/>
                    <w:sz w:val="15"/>
                    <w:szCs w:val="15"/>
                  </w:rPr>
                  <w:t>1</w:t>
                </w:r>
                <w:r>
                  <w:rPr>
                    <w:rFonts w:hint="eastAsia"/>
                    <w:sz w:val="15"/>
                    <w:szCs w:val="15"/>
                  </w:rPr>
                  <w:t>．本期提取</w:t>
                </w:r>
              </w:p>
            </w:tc>
          </w:sdtContent>
        </w:sdt>
        <w:tc>
          <w:tcPr>
            <w:tcW w:w="992" w:type="dxa"/>
            <w:vAlign w:val="center"/>
          </w:tcPr>
          <w:p w14:paraId="0B2ECB4A" w14:textId="77777777" w:rsidR="00577D08" w:rsidRDefault="00577D08">
            <w:pPr>
              <w:jc w:val="right"/>
              <w:rPr>
                <w:sz w:val="15"/>
                <w:szCs w:val="15"/>
              </w:rPr>
            </w:pPr>
          </w:p>
        </w:tc>
        <w:tc>
          <w:tcPr>
            <w:tcW w:w="284" w:type="dxa"/>
            <w:vAlign w:val="center"/>
          </w:tcPr>
          <w:p w14:paraId="1D3983D1" w14:textId="77777777" w:rsidR="00577D08" w:rsidRDefault="00577D08">
            <w:pPr>
              <w:jc w:val="right"/>
              <w:rPr>
                <w:sz w:val="15"/>
                <w:szCs w:val="15"/>
              </w:rPr>
            </w:pPr>
          </w:p>
        </w:tc>
        <w:tc>
          <w:tcPr>
            <w:tcW w:w="425" w:type="dxa"/>
            <w:vAlign w:val="center"/>
          </w:tcPr>
          <w:p w14:paraId="4282A9AA" w14:textId="77777777" w:rsidR="00577D08" w:rsidRDefault="00577D08">
            <w:pPr>
              <w:jc w:val="right"/>
              <w:rPr>
                <w:sz w:val="15"/>
                <w:szCs w:val="15"/>
              </w:rPr>
            </w:pPr>
          </w:p>
        </w:tc>
        <w:tc>
          <w:tcPr>
            <w:tcW w:w="425" w:type="dxa"/>
            <w:vAlign w:val="center"/>
          </w:tcPr>
          <w:p w14:paraId="29B3B633" w14:textId="77777777" w:rsidR="00577D08" w:rsidRDefault="00577D08">
            <w:pPr>
              <w:jc w:val="right"/>
              <w:rPr>
                <w:sz w:val="15"/>
                <w:szCs w:val="15"/>
              </w:rPr>
            </w:pPr>
          </w:p>
        </w:tc>
        <w:tc>
          <w:tcPr>
            <w:tcW w:w="992" w:type="dxa"/>
            <w:vAlign w:val="center"/>
          </w:tcPr>
          <w:p w14:paraId="6E619B64" w14:textId="77777777" w:rsidR="00577D08" w:rsidRDefault="00577D08">
            <w:pPr>
              <w:jc w:val="right"/>
              <w:rPr>
                <w:sz w:val="15"/>
                <w:szCs w:val="15"/>
              </w:rPr>
            </w:pPr>
          </w:p>
        </w:tc>
        <w:tc>
          <w:tcPr>
            <w:tcW w:w="1134" w:type="dxa"/>
            <w:vAlign w:val="center"/>
          </w:tcPr>
          <w:p w14:paraId="31933581" w14:textId="77777777" w:rsidR="00577D08" w:rsidRDefault="00577D08">
            <w:pPr>
              <w:jc w:val="right"/>
              <w:rPr>
                <w:sz w:val="15"/>
                <w:szCs w:val="15"/>
              </w:rPr>
            </w:pPr>
          </w:p>
        </w:tc>
        <w:tc>
          <w:tcPr>
            <w:tcW w:w="1134" w:type="dxa"/>
            <w:vAlign w:val="center"/>
          </w:tcPr>
          <w:p w14:paraId="7778582C" w14:textId="77777777" w:rsidR="00577D08" w:rsidRDefault="00577D08">
            <w:pPr>
              <w:jc w:val="right"/>
              <w:rPr>
                <w:sz w:val="15"/>
                <w:szCs w:val="15"/>
              </w:rPr>
            </w:pPr>
          </w:p>
        </w:tc>
        <w:tc>
          <w:tcPr>
            <w:tcW w:w="1134" w:type="dxa"/>
            <w:vAlign w:val="center"/>
          </w:tcPr>
          <w:p w14:paraId="5EDB86AB" w14:textId="77777777" w:rsidR="00577D08" w:rsidRDefault="00330FC0">
            <w:pPr>
              <w:jc w:val="right"/>
              <w:rPr>
                <w:sz w:val="15"/>
                <w:szCs w:val="15"/>
              </w:rPr>
            </w:pPr>
            <w:r>
              <w:rPr>
                <w:sz w:val="15"/>
                <w:szCs w:val="15"/>
              </w:rPr>
              <w:t>16,235,252.26</w:t>
            </w:r>
          </w:p>
        </w:tc>
        <w:tc>
          <w:tcPr>
            <w:tcW w:w="993" w:type="dxa"/>
            <w:vAlign w:val="center"/>
          </w:tcPr>
          <w:p w14:paraId="26CA4389" w14:textId="77777777" w:rsidR="00577D08" w:rsidRDefault="00577D08">
            <w:pPr>
              <w:jc w:val="right"/>
              <w:rPr>
                <w:sz w:val="15"/>
                <w:szCs w:val="15"/>
              </w:rPr>
            </w:pPr>
          </w:p>
        </w:tc>
        <w:tc>
          <w:tcPr>
            <w:tcW w:w="567" w:type="dxa"/>
            <w:vAlign w:val="center"/>
          </w:tcPr>
          <w:p w14:paraId="388DAA73" w14:textId="77777777" w:rsidR="00577D08" w:rsidRDefault="00577D08">
            <w:pPr>
              <w:jc w:val="right"/>
              <w:rPr>
                <w:sz w:val="15"/>
                <w:szCs w:val="15"/>
              </w:rPr>
            </w:pPr>
          </w:p>
        </w:tc>
        <w:tc>
          <w:tcPr>
            <w:tcW w:w="992" w:type="dxa"/>
            <w:vAlign w:val="center"/>
          </w:tcPr>
          <w:p w14:paraId="2DD0C2CA" w14:textId="77777777" w:rsidR="00577D08" w:rsidRDefault="00577D08">
            <w:pPr>
              <w:jc w:val="right"/>
              <w:rPr>
                <w:sz w:val="15"/>
                <w:szCs w:val="15"/>
              </w:rPr>
            </w:pPr>
          </w:p>
        </w:tc>
        <w:tc>
          <w:tcPr>
            <w:tcW w:w="283" w:type="dxa"/>
            <w:vAlign w:val="center"/>
          </w:tcPr>
          <w:p w14:paraId="3CCD7E06" w14:textId="77777777" w:rsidR="00577D08" w:rsidRDefault="00577D08">
            <w:pPr>
              <w:jc w:val="right"/>
              <w:rPr>
                <w:sz w:val="15"/>
                <w:szCs w:val="15"/>
              </w:rPr>
            </w:pPr>
          </w:p>
        </w:tc>
        <w:tc>
          <w:tcPr>
            <w:tcW w:w="1134" w:type="dxa"/>
            <w:vAlign w:val="center"/>
          </w:tcPr>
          <w:p w14:paraId="32688053" w14:textId="77777777" w:rsidR="00577D08" w:rsidRDefault="00330FC0">
            <w:pPr>
              <w:jc w:val="right"/>
              <w:rPr>
                <w:sz w:val="15"/>
                <w:szCs w:val="15"/>
              </w:rPr>
            </w:pPr>
            <w:r>
              <w:rPr>
                <w:sz w:val="15"/>
                <w:szCs w:val="15"/>
              </w:rPr>
              <w:t>16,235,252.26</w:t>
            </w:r>
          </w:p>
        </w:tc>
        <w:tc>
          <w:tcPr>
            <w:tcW w:w="1276" w:type="dxa"/>
            <w:vAlign w:val="center"/>
          </w:tcPr>
          <w:p w14:paraId="6E0FC951" w14:textId="77777777" w:rsidR="00577D08" w:rsidRDefault="00577D08">
            <w:pPr>
              <w:jc w:val="right"/>
              <w:rPr>
                <w:sz w:val="15"/>
                <w:szCs w:val="15"/>
              </w:rPr>
            </w:pPr>
          </w:p>
        </w:tc>
        <w:tc>
          <w:tcPr>
            <w:tcW w:w="1364" w:type="dxa"/>
            <w:vAlign w:val="center"/>
          </w:tcPr>
          <w:p w14:paraId="6EAB081B" w14:textId="77777777" w:rsidR="00577D08" w:rsidRDefault="00330FC0">
            <w:pPr>
              <w:jc w:val="right"/>
              <w:rPr>
                <w:sz w:val="15"/>
                <w:szCs w:val="15"/>
              </w:rPr>
            </w:pPr>
            <w:r>
              <w:rPr>
                <w:sz w:val="15"/>
                <w:szCs w:val="15"/>
              </w:rPr>
              <w:t>16,235,252.26</w:t>
            </w:r>
          </w:p>
        </w:tc>
      </w:tr>
      <w:tr w:rsidR="00577D08" w14:paraId="18C6ADC8" w14:textId="77777777">
        <w:sdt>
          <w:sdtPr>
            <w:rPr>
              <w:sz w:val="15"/>
              <w:szCs w:val="15"/>
            </w:rPr>
            <w:tag w:val="_PLD_69b59bbd4f7a49708a1fc0c2a96e3869"/>
            <w:id w:val="-90786595"/>
          </w:sdtPr>
          <w:sdtContent>
            <w:tc>
              <w:tcPr>
                <w:tcW w:w="959" w:type="dxa"/>
                <w:vAlign w:val="center"/>
              </w:tcPr>
              <w:p w14:paraId="18F8ABAF" w14:textId="77777777" w:rsidR="00577D08" w:rsidRDefault="00330FC0">
                <w:pPr>
                  <w:rPr>
                    <w:sz w:val="15"/>
                    <w:szCs w:val="15"/>
                  </w:rPr>
                </w:pPr>
                <w:r>
                  <w:rPr>
                    <w:rFonts w:hint="eastAsia"/>
                    <w:sz w:val="15"/>
                    <w:szCs w:val="15"/>
                  </w:rPr>
                  <w:t>2</w:t>
                </w:r>
                <w:r>
                  <w:rPr>
                    <w:rFonts w:hint="eastAsia"/>
                    <w:sz w:val="15"/>
                    <w:szCs w:val="15"/>
                  </w:rPr>
                  <w:t>．本期使用</w:t>
                </w:r>
              </w:p>
            </w:tc>
          </w:sdtContent>
        </w:sdt>
        <w:tc>
          <w:tcPr>
            <w:tcW w:w="992" w:type="dxa"/>
            <w:vAlign w:val="center"/>
          </w:tcPr>
          <w:p w14:paraId="16DF2082" w14:textId="77777777" w:rsidR="00577D08" w:rsidRDefault="00577D08">
            <w:pPr>
              <w:jc w:val="right"/>
              <w:rPr>
                <w:sz w:val="15"/>
                <w:szCs w:val="15"/>
              </w:rPr>
            </w:pPr>
          </w:p>
        </w:tc>
        <w:tc>
          <w:tcPr>
            <w:tcW w:w="284" w:type="dxa"/>
            <w:vAlign w:val="center"/>
          </w:tcPr>
          <w:p w14:paraId="08EEDD18" w14:textId="77777777" w:rsidR="00577D08" w:rsidRDefault="00577D08">
            <w:pPr>
              <w:jc w:val="right"/>
              <w:rPr>
                <w:sz w:val="15"/>
                <w:szCs w:val="15"/>
              </w:rPr>
            </w:pPr>
          </w:p>
        </w:tc>
        <w:tc>
          <w:tcPr>
            <w:tcW w:w="425" w:type="dxa"/>
            <w:vAlign w:val="center"/>
          </w:tcPr>
          <w:p w14:paraId="4EA4883B" w14:textId="77777777" w:rsidR="00577D08" w:rsidRDefault="00577D08">
            <w:pPr>
              <w:jc w:val="right"/>
              <w:rPr>
                <w:sz w:val="15"/>
                <w:szCs w:val="15"/>
              </w:rPr>
            </w:pPr>
          </w:p>
        </w:tc>
        <w:tc>
          <w:tcPr>
            <w:tcW w:w="425" w:type="dxa"/>
            <w:vAlign w:val="center"/>
          </w:tcPr>
          <w:p w14:paraId="190B2736" w14:textId="77777777" w:rsidR="00577D08" w:rsidRDefault="00577D08">
            <w:pPr>
              <w:jc w:val="right"/>
              <w:rPr>
                <w:sz w:val="15"/>
                <w:szCs w:val="15"/>
              </w:rPr>
            </w:pPr>
          </w:p>
        </w:tc>
        <w:tc>
          <w:tcPr>
            <w:tcW w:w="992" w:type="dxa"/>
            <w:vAlign w:val="center"/>
          </w:tcPr>
          <w:p w14:paraId="5BEC0C0C" w14:textId="77777777" w:rsidR="00577D08" w:rsidRDefault="00577D08">
            <w:pPr>
              <w:jc w:val="right"/>
              <w:rPr>
                <w:sz w:val="15"/>
                <w:szCs w:val="15"/>
              </w:rPr>
            </w:pPr>
          </w:p>
        </w:tc>
        <w:tc>
          <w:tcPr>
            <w:tcW w:w="1134" w:type="dxa"/>
            <w:vAlign w:val="center"/>
          </w:tcPr>
          <w:p w14:paraId="09970280" w14:textId="77777777" w:rsidR="00577D08" w:rsidRDefault="00577D08">
            <w:pPr>
              <w:jc w:val="right"/>
              <w:rPr>
                <w:sz w:val="15"/>
                <w:szCs w:val="15"/>
              </w:rPr>
            </w:pPr>
          </w:p>
        </w:tc>
        <w:tc>
          <w:tcPr>
            <w:tcW w:w="1134" w:type="dxa"/>
            <w:vAlign w:val="center"/>
          </w:tcPr>
          <w:p w14:paraId="0147AFB0" w14:textId="77777777" w:rsidR="00577D08" w:rsidRDefault="00577D08">
            <w:pPr>
              <w:jc w:val="right"/>
              <w:rPr>
                <w:sz w:val="15"/>
                <w:szCs w:val="15"/>
              </w:rPr>
            </w:pPr>
          </w:p>
        </w:tc>
        <w:tc>
          <w:tcPr>
            <w:tcW w:w="1134" w:type="dxa"/>
            <w:vAlign w:val="center"/>
          </w:tcPr>
          <w:p w14:paraId="362B957B" w14:textId="77777777" w:rsidR="00577D08" w:rsidRDefault="00330FC0">
            <w:pPr>
              <w:jc w:val="right"/>
              <w:rPr>
                <w:sz w:val="15"/>
                <w:szCs w:val="15"/>
              </w:rPr>
            </w:pPr>
            <w:r>
              <w:rPr>
                <w:sz w:val="15"/>
                <w:szCs w:val="15"/>
              </w:rPr>
              <w:t>-15,960,291.86</w:t>
            </w:r>
          </w:p>
        </w:tc>
        <w:tc>
          <w:tcPr>
            <w:tcW w:w="993" w:type="dxa"/>
            <w:vAlign w:val="center"/>
          </w:tcPr>
          <w:p w14:paraId="41125F69" w14:textId="77777777" w:rsidR="00577D08" w:rsidRDefault="00577D08">
            <w:pPr>
              <w:jc w:val="right"/>
              <w:rPr>
                <w:sz w:val="15"/>
                <w:szCs w:val="15"/>
              </w:rPr>
            </w:pPr>
          </w:p>
        </w:tc>
        <w:tc>
          <w:tcPr>
            <w:tcW w:w="567" w:type="dxa"/>
            <w:vAlign w:val="center"/>
          </w:tcPr>
          <w:p w14:paraId="78E30845" w14:textId="77777777" w:rsidR="00577D08" w:rsidRDefault="00577D08">
            <w:pPr>
              <w:jc w:val="right"/>
              <w:rPr>
                <w:sz w:val="15"/>
                <w:szCs w:val="15"/>
              </w:rPr>
            </w:pPr>
          </w:p>
        </w:tc>
        <w:tc>
          <w:tcPr>
            <w:tcW w:w="992" w:type="dxa"/>
            <w:vAlign w:val="center"/>
          </w:tcPr>
          <w:p w14:paraId="38C14A0F" w14:textId="77777777" w:rsidR="00577D08" w:rsidRDefault="00577D08">
            <w:pPr>
              <w:jc w:val="right"/>
              <w:rPr>
                <w:sz w:val="15"/>
                <w:szCs w:val="15"/>
              </w:rPr>
            </w:pPr>
          </w:p>
        </w:tc>
        <w:tc>
          <w:tcPr>
            <w:tcW w:w="283" w:type="dxa"/>
            <w:vAlign w:val="center"/>
          </w:tcPr>
          <w:p w14:paraId="6A42F930" w14:textId="77777777" w:rsidR="00577D08" w:rsidRDefault="00577D08">
            <w:pPr>
              <w:jc w:val="right"/>
              <w:rPr>
                <w:sz w:val="15"/>
                <w:szCs w:val="15"/>
              </w:rPr>
            </w:pPr>
          </w:p>
        </w:tc>
        <w:tc>
          <w:tcPr>
            <w:tcW w:w="1134" w:type="dxa"/>
            <w:vAlign w:val="center"/>
          </w:tcPr>
          <w:p w14:paraId="265E9B2D" w14:textId="77777777" w:rsidR="00577D08" w:rsidRDefault="00330FC0">
            <w:pPr>
              <w:jc w:val="right"/>
              <w:rPr>
                <w:sz w:val="15"/>
                <w:szCs w:val="15"/>
              </w:rPr>
            </w:pPr>
            <w:r>
              <w:rPr>
                <w:sz w:val="15"/>
                <w:szCs w:val="15"/>
              </w:rPr>
              <w:t>-15,960,291.86</w:t>
            </w:r>
          </w:p>
        </w:tc>
        <w:tc>
          <w:tcPr>
            <w:tcW w:w="1276" w:type="dxa"/>
            <w:vAlign w:val="center"/>
          </w:tcPr>
          <w:p w14:paraId="1673E70A" w14:textId="77777777" w:rsidR="00577D08" w:rsidRDefault="00577D08">
            <w:pPr>
              <w:jc w:val="right"/>
              <w:rPr>
                <w:sz w:val="15"/>
                <w:szCs w:val="15"/>
              </w:rPr>
            </w:pPr>
          </w:p>
        </w:tc>
        <w:tc>
          <w:tcPr>
            <w:tcW w:w="1364" w:type="dxa"/>
            <w:vAlign w:val="center"/>
          </w:tcPr>
          <w:p w14:paraId="77732E5D" w14:textId="77777777" w:rsidR="00577D08" w:rsidRDefault="00330FC0">
            <w:pPr>
              <w:jc w:val="right"/>
              <w:rPr>
                <w:sz w:val="15"/>
                <w:szCs w:val="15"/>
              </w:rPr>
            </w:pPr>
            <w:r>
              <w:rPr>
                <w:sz w:val="15"/>
                <w:szCs w:val="15"/>
              </w:rPr>
              <w:t>-15,960,291.86</w:t>
            </w:r>
          </w:p>
        </w:tc>
      </w:tr>
      <w:tr w:rsidR="00577D08" w14:paraId="5E0E1B13" w14:textId="77777777">
        <w:sdt>
          <w:sdtPr>
            <w:rPr>
              <w:sz w:val="15"/>
              <w:szCs w:val="15"/>
            </w:rPr>
            <w:tag w:val="_PLD_8e6f5912872d41cc910f3bdca18b82d0"/>
            <w:id w:val="-643273301"/>
          </w:sdtPr>
          <w:sdtContent>
            <w:tc>
              <w:tcPr>
                <w:tcW w:w="959" w:type="dxa"/>
                <w:vAlign w:val="center"/>
              </w:tcPr>
              <w:p w14:paraId="19059F36" w14:textId="77777777" w:rsidR="00577D08" w:rsidRDefault="00330FC0">
                <w:pPr>
                  <w:rPr>
                    <w:sz w:val="15"/>
                    <w:szCs w:val="15"/>
                  </w:rPr>
                </w:pPr>
                <w:r>
                  <w:rPr>
                    <w:rFonts w:hint="eastAsia"/>
                    <w:sz w:val="15"/>
                    <w:szCs w:val="15"/>
                  </w:rPr>
                  <w:t>（六）其他</w:t>
                </w:r>
              </w:p>
            </w:tc>
          </w:sdtContent>
        </w:sdt>
        <w:tc>
          <w:tcPr>
            <w:tcW w:w="992" w:type="dxa"/>
            <w:vAlign w:val="center"/>
          </w:tcPr>
          <w:p w14:paraId="07B98E06" w14:textId="77777777" w:rsidR="00577D08" w:rsidRDefault="00577D08">
            <w:pPr>
              <w:jc w:val="right"/>
              <w:rPr>
                <w:sz w:val="15"/>
                <w:szCs w:val="15"/>
              </w:rPr>
            </w:pPr>
          </w:p>
        </w:tc>
        <w:tc>
          <w:tcPr>
            <w:tcW w:w="284" w:type="dxa"/>
            <w:vAlign w:val="center"/>
          </w:tcPr>
          <w:p w14:paraId="748A2084" w14:textId="77777777" w:rsidR="00577D08" w:rsidRDefault="00577D08">
            <w:pPr>
              <w:jc w:val="right"/>
              <w:rPr>
                <w:sz w:val="15"/>
                <w:szCs w:val="15"/>
              </w:rPr>
            </w:pPr>
          </w:p>
        </w:tc>
        <w:tc>
          <w:tcPr>
            <w:tcW w:w="425" w:type="dxa"/>
            <w:vAlign w:val="center"/>
          </w:tcPr>
          <w:p w14:paraId="720E6BD3" w14:textId="77777777" w:rsidR="00577D08" w:rsidRDefault="00577D08">
            <w:pPr>
              <w:jc w:val="right"/>
              <w:rPr>
                <w:sz w:val="15"/>
                <w:szCs w:val="15"/>
              </w:rPr>
            </w:pPr>
          </w:p>
        </w:tc>
        <w:tc>
          <w:tcPr>
            <w:tcW w:w="425" w:type="dxa"/>
            <w:vAlign w:val="center"/>
          </w:tcPr>
          <w:p w14:paraId="2E4B71DE" w14:textId="77777777" w:rsidR="00577D08" w:rsidRDefault="00577D08">
            <w:pPr>
              <w:jc w:val="right"/>
              <w:rPr>
                <w:sz w:val="15"/>
                <w:szCs w:val="15"/>
              </w:rPr>
            </w:pPr>
          </w:p>
        </w:tc>
        <w:tc>
          <w:tcPr>
            <w:tcW w:w="992" w:type="dxa"/>
            <w:vAlign w:val="center"/>
          </w:tcPr>
          <w:p w14:paraId="1F5C2100" w14:textId="77777777" w:rsidR="00577D08" w:rsidRDefault="00577D08">
            <w:pPr>
              <w:jc w:val="right"/>
              <w:rPr>
                <w:sz w:val="15"/>
                <w:szCs w:val="15"/>
              </w:rPr>
            </w:pPr>
          </w:p>
        </w:tc>
        <w:tc>
          <w:tcPr>
            <w:tcW w:w="1134" w:type="dxa"/>
            <w:vAlign w:val="center"/>
          </w:tcPr>
          <w:p w14:paraId="2C6ABE30" w14:textId="77777777" w:rsidR="00577D08" w:rsidRDefault="00577D08">
            <w:pPr>
              <w:jc w:val="right"/>
              <w:rPr>
                <w:sz w:val="15"/>
                <w:szCs w:val="15"/>
              </w:rPr>
            </w:pPr>
          </w:p>
        </w:tc>
        <w:tc>
          <w:tcPr>
            <w:tcW w:w="1134" w:type="dxa"/>
            <w:vAlign w:val="center"/>
          </w:tcPr>
          <w:p w14:paraId="160F1254" w14:textId="77777777" w:rsidR="00577D08" w:rsidRDefault="00577D08">
            <w:pPr>
              <w:jc w:val="right"/>
              <w:rPr>
                <w:sz w:val="15"/>
                <w:szCs w:val="15"/>
              </w:rPr>
            </w:pPr>
          </w:p>
        </w:tc>
        <w:tc>
          <w:tcPr>
            <w:tcW w:w="1134" w:type="dxa"/>
            <w:vAlign w:val="center"/>
          </w:tcPr>
          <w:p w14:paraId="5B3EE0A7" w14:textId="77777777" w:rsidR="00577D08" w:rsidRDefault="00577D08">
            <w:pPr>
              <w:jc w:val="right"/>
              <w:rPr>
                <w:sz w:val="15"/>
                <w:szCs w:val="15"/>
              </w:rPr>
            </w:pPr>
          </w:p>
        </w:tc>
        <w:tc>
          <w:tcPr>
            <w:tcW w:w="993" w:type="dxa"/>
            <w:vAlign w:val="center"/>
          </w:tcPr>
          <w:p w14:paraId="163D5318" w14:textId="77777777" w:rsidR="00577D08" w:rsidRDefault="00577D08">
            <w:pPr>
              <w:jc w:val="right"/>
              <w:rPr>
                <w:sz w:val="15"/>
                <w:szCs w:val="15"/>
              </w:rPr>
            </w:pPr>
          </w:p>
        </w:tc>
        <w:tc>
          <w:tcPr>
            <w:tcW w:w="567" w:type="dxa"/>
            <w:vAlign w:val="center"/>
          </w:tcPr>
          <w:p w14:paraId="49A96CD3" w14:textId="77777777" w:rsidR="00577D08" w:rsidRDefault="00577D08">
            <w:pPr>
              <w:jc w:val="right"/>
              <w:rPr>
                <w:sz w:val="15"/>
                <w:szCs w:val="15"/>
              </w:rPr>
            </w:pPr>
          </w:p>
        </w:tc>
        <w:tc>
          <w:tcPr>
            <w:tcW w:w="992" w:type="dxa"/>
            <w:vAlign w:val="center"/>
          </w:tcPr>
          <w:p w14:paraId="03C0C1D5" w14:textId="77777777" w:rsidR="00577D08" w:rsidRDefault="00577D08">
            <w:pPr>
              <w:jc w:val="right"/>
              <w:rPr>
                <w:sz w:val="15"/>
                <w:szCs w:val="15"/>
              </w:rPr>
            </w:pPr>
          </w:p>
        </w:tc>
        <w:tc>
          <w:tcPr>
            <w:tcW w:w="283" w:type="dxa"/>
            <w:vAlign w:val="center"/>
          </w:tcPr>
          <w:p w14:paraId="14D8C06E" w14:textId="77777777" w:rsidR="00577D08" w:rsidRDefault="00577D08">
            <w:pPr>
              <w:jc w:val="right"/>
              <w:rPr>
                <w:sz w:val="15"/>
                <w:szCs w:val="15"/>
              </w:rPr>
            </w:pPr>
          </w:p>
        </w:tc>
        <w:tc>
          <w:tcPr>
            <w:tcW w:w="1134" w:type="dxa"/>
            <w:vAlign w:val="center"/>
          </w:tcPr>
          <w:p w14:paraId="5A5AEA57" w14:textId="77777777" w:rsidR="00577D08" w:rsidRDefault="00577D08">
            <w:pPr>
              <w:jc w:val="right"/>
              <w:rPr>
                <w:sz w:val="15"/>
                <w:szCs w:val="15"/>
              </w:rPr>
            </w:pPr>
          </w:p>
        </w:tc>
        <w:tc>
          <w:tcPr>
            <w:tcW w:w="1276" w:type="dxa"/>
            <w:vAlign w:val="center"/>
          </w:tcPr>
          <w:p w14:paraId="6CDCF627" w14:textId="77777777" w:rsidR="00577D08" w:rsidRDefault="00577D08">
            <w:pPr>
              <w:jc w:val="right"/>
              <w:rPr>
                <w:sz w:val="15"/>
                <w:szCs w:val="15"/>
              </w:rPr>
            </w:pPr>
          </w:p>
        </w:tc>
        <w:tc>
          <w:tcPr>
            <w:tcW w:w="1364" w:type="dxa"/>
            <w:vAlign w:val="center"/>
          </w:tcPr>
          <w:p w14:paraId="73DC1B3E" w14:textId="77777777" w:rsidR="00577D08" w:rsidRDefault="00577D08">
            <w:pPr>
              <w:jc w:val="right"/>
              <w:rPr>
                <w:sz w:val="15"/>
                <w:szCs w:val="15"/>
              </w:rPr>
            </w:pPr>
          </w:p>
        </w:tc>
      </w:tr>
      <w:tr w:rsidR="00577D08" w14:paraId="36FD5BC4" w14:textId="77777777">
        <w:sdt>
          <w:sdtPr>
            <w:rPr>
              <w:sz w:val="15"/>
              <w:szCs w:val="15"/>
            </w:rPr>
            <w:tag w:val="_PLD_f6ec7abefe954758b48497b1b1440546"/>
            <w:id w:val="-1775778763"/>
          </w:sdtPr>
          <w:sdtContent>
            <w:tc>
              <w:tcPr>
                <w:tcW w:w="959" w:type="dxa"/>
                <w:vAlign w:val="center"/>
              </w:tcPr>
              <w:p w14:paraId="5E3183FD" w14:textId="77777777" w:rsidR="00577D08" w:rsidRDefault="00330FC0">
                <w:pPr>
                  <w:rPr>
                    <w:sz w:val="15"/>
                    <w:szCs w:val="15"/>
                  </w:rPr>
                </w:pPr>
                <w:r>
                  <w:rPr>
                    <w:sz w:val="15"/>
                    <w:szCs w:val="15"/>
                  </w:rPr>
                  <w:t>四、本期期末余额</w:t>
                </w:r>
              </w:p>
            </w:tc>
          </w:sdtContent>
        </w:sdt>
        <w:tc>
          <w:tcPr>
            <w:tcW w:w="992" w:type="dxa"/>
            <w:vAlign w:val="center"/>
          </w:tcPr>
          <w:p w14:paraId="2CA163D1" w14:textId="77777777" w:rsidR="00577D08" w:rsidRDefault="00330FC0">
            <w:pPr>
              <w:jc w:val="right"/>
              <w:rPr>
                <w:sz w:val="15"/>
                <w:szCs w:val="15"/>
              </w:rPr>
            </w:pPr>
            <w:r>
              <w:rPr>
                <w:sz w:val="15"/>
                <w:szCs w:val="15"/>
              </w:rPr>
              <w:t>332,353,407.00</w:t>
            </w:r>
          </w:p>
        </w:tc>
        <w:tc>
          <w:tcPr>
            <w:tcW w:w="284" w:type="dxa"/>
            <w:vAlign w:val="center"/>
          </w:tcPr>
          <w:p w14:paraId="467F19C6" w14:textId="77777777" w:rsidR="00577D08" w:rsidRDefault="00577D08">
            <w:pPr>
              <w:jc w:val="right"/>
              <w:rPr>
                <w:sz w:val="15"/>
                <w:szCs w:val="15"/>
              </w:rPr>
            </w:pPr>
          </w:p>
        </w:tc>
        <w:tc>
          <w:tcPr>
            <w:tcW w:w="425" w:type="dxa"/>
            <w:vAlign w:val="center"/>
          </w:tcPr>
          <w:p w14:paraId="150C9A66" w14:textId="77777777" w:rsidR="00577D08" w:rsidRDefault="00577D08">
            <w:pPr>
              <w:jc w:val="right"/>
              <w:rPr>
                <w:sz w:val="15"/>
                <w:szCs w:val="15"/>
              </w:rPr>
            </w:pPr>
          </w:p>
        </w:tc>
        <w:tc>
          <w:tcPr>
            <w:tcW w:w="425" w:type="dxa"/>
            <w:vAlign w:val="center"/>
          </w:tcPr>
          <w:p w14:paraId="1F8BE9E3" w14:textId="77777777" w:rsidR="00577D08" w:rsidRDefault="00577D08">
            <w:pPr>
              <w:jc w:val="right"/>
              <w:rPr>
                <w:sz w:val="15"/>
                <w:szCs w:val="15"/>
              </w:rPr>
            </w:pPr>
          </w:p>
        </w:tc>
        <w:tc>
          <w:tcPr>
            <w:tcW w:w="992" w:type="dxa"/>
            <w:vAlign w:val="center"/>
          </w:tcPr>
          <w:p w14:paraId="55987118" w14:textId="77777777" w:rsidR="00577D08" w:rsidRDefault="00330FC0">
            <w:pPr>
              <w:jc w:val="right"/>
              <w:rPr>
                <w:sz w:val="15"/>
                <w:szCs w:val="15"/>
              </w:rPr>
            </w:pPr>
            <w:r>
              <w:rPr>
                <w:sz w:val="15"/>
                <w:szCs w:val="15"/>
              </w:rPr>
              <w:t>979,601,250.80</w:t>
            </w:r>
          </w:p>
        </w:tc>
        <w:tc>
          <w:tcPr>
            <w:tcW w:w="1134" w:type="dxa"/>
            <w:vAlign w:val="center"/>
          </w:tcPr>
          <w:p w14:paraId="5437986F" w14:textId="77777777" w:rsidR="00577D08" w:rsidRDefault="00330FC0">
            <w:pPr>
              <w:jc w:val="right"/>
              <w:rPr>
                <w:sz w:val="15"/>
                <w:szCs w:val="15"/>
              </w:rPr>
            </w:pPr>
            <w:r>
              <w:rPr>
                <w:sz w:val="15"/>
                <w:szCs w:val="15"/>
              </w:rPr>
              <w:t>19,807,681.28</w:t>
            </w:r>
          </w:p>
        </w:tc>
        <w:tc>
          <w:tcPr>
            <w:tcW w:w="1134" w:type="dxa"/>
            <w:vAlign w:val="center"/>
          </w:tcPr>
          <w:p w14:paraId="73DFB7AF" w14:textId="77777777" w:rsidR="00577D08" w:rsidRDefault="00330FC0">
            <w:pPr>
              <w:jc w:val="right"/>
              <w:rPr>
                <w:sz w:val="15"/>
                <w:szCs w:val="15"/>
              </w:rPr>
            </w:pPr>
            <w:r>
              <w:rPr>
                <w:sz w:val="15"/>
                <w:szCs w:val="15"/>
              </w:rPr>
              <w:t>1,023,934.45</w:t>
            </w:r>
          </w:p>
        </w:tc>
        <w:tc>
          <w:tcPr>
            <w:tcW w:w="1134" w:type="dxa"/>
            <w:vAlign w:val="center"/>
          </w:tcPr>
          <w:p w14:paraId="68969AD9" w14:textId="77777777" w:rsidR="00577D08" w:rsidRDefault="00330FC0">
            <w:pPr>
              <w:jc w:val="right"/>
              <w:rPr>
                <w:sz w:val="15"/>
                <w:szCs w:val="15"/>
              </w:rPr>
            </w:pPr>
            <w:r>
              <w:rPr>
                <w:sz w:val="15"/>
                <w:szCs w:val="15"/>
              </w:rPr>
              <w:t>22,715,521.68</w:t>
            </w:r>
          </w:p>
        </w:tc>
        <w:tc>
          <w:tcPr>
            <w:tcW w:w="993" w:type="dxa"/>
            <w:vAlign w:val="center"/>
          </w:tcPr>
          <w:p w14:paraId="74BF74C9" w14:textId="77777777" w:rsidR="00577D08" w:rsidRDefault="00330FC0">
            <w:pPr>
              <w:jc w:val="right"/>
              <w:rPr>
                <w:sz w:val="15"/>
                <w:szCs w:val="15"/>
              </w:rPr>
            </w:pPr>
            <w:r>
              <w:rPr>
                <w:sz w:val="15"/>
                <w:szCs w:val="15"/>
              </w:rPr>
              <w:t>127,047,120.13</w:t>
            </w:r>
          </w:p>
        </w:tc>
        <w:tc>
          <w:tcPr>
            <w:tcW w:w="567" w:type="dxa"/>
            <w:vAlign w:val="center"/>
          </w:tcPr>
          <w:p w14:paraId="6FF029D2" w14:textId="77777777" w:rsidR="00577D08" w:rsidRDefault="00577D08">
            <w:pPr>
              <w:jc w:val="right"/>
              <w:rPr>
                <w:sz w:val="15"/>
                <w:szCs w:val="15"/>
              </w:rPr>
            </w:pPr>
          </w:p>
        </w:tc>
        <w:tc>
          <w:tcPr>
            <w:tcW w:w="992" w:type="dxa"/>
            <w:vAlign w:val="center"/>
          </w:tcPr>
          <w:p w14:paraId="6B813F38" w14:textId="77777777" w:rsidR="00577D08" w:rsidRDefault="00330FC0">
            <w:pPr>
              <w:jc w:val="right"/>
              <w:rPr>
                <w:sz w:val="15"/>
                <w:szCs w:val="15"/>
              </w:rPr>
            </w:pPr>
            <w:r>
              <w:rPr>
                <w:sz w:val="15"/>
                <w:szCs w:val="15"/>
              </w:rPr>
              <w:t>1,051,708,163.82</w:t>
            </w:r>
          </w:p>
        </w:tc>
        <w:tc>
          <w:tcPr>
            <w:tcW w:w="283" w:type="dxa"/>
            <w:vAlign w:val="center"/>
          </w:tcPr>
          <w:p w14:paraId="586330C4" w14:textId="77777777" w:rsidR="00577D08" w:rsidRDefault="00577D08">
            <w:pPr>
              <w:jc w:val="right"/>
              <w:rPr>
                <w:sz w:val="15"/>
                <w:szCs w:val="15"/>
              </w:rPr>
            </w:pPr>
          </w:p>
        </w:tc>
        <w:tc>
          <w:tcPr>
            <w:tcW w:w="1134" w:type="dxa"/>
            <w:vAlign w:val="center"/>
          </w:tcPr>
          <w:p w14:paraId="7052BEEB" w14:textId="77777777" w:rsidR="00577D08" w:rsidRDefault="00330FC0">
            <w:pPr>
              <w:jc w:val="right"/>
              <w:rPr>
                <w:sz w:val="15"/>
                <w:szCs w:val="15"/>
              </w:rPr>
            </w:pPr>
            <w:r>
              <w:rPr>
                <w:sz w:val="15"/>
                <w:szCs w:val="15"/>
              </w:rPr>
              <w:t>2,494,641,716.60</w:t>
            </w:r>
          </w:p>
        </w:tc>
        <w:tc>
          <w:tcPr>
            <w:tcW w:w="1276" w:type="dxa"/>
            <w:vAlign w:val="center"/>
          </w:tcPr>
          <w:p w14:paraId="317336E8" w14:textId="77777777" w:rsidR="00577D08" w:rsidRDefault="00330FC0">
            <w:pPr>
              <w:jc w:val="right"/>
              <w:rPr>
                <w:sz w:val="15"/>
                <w:szCs w:val="15"/>
              </w:rPr>
            </w:pPr>
            <w:r>
              <w:rPr>
                <w:sz w:val="15"/>
                <w:szCs w:val="15"/>
              </w:rPr>
              <w:t>3,630,385.53</w:t>
            </w:r>
          </w:p>
        </w:tc>
        <w:tc>
          <w:tcPr>
            <w:tcW w:w="1364" w:type="dxa"/>
            <w:vAlign w:val="center"/>
          </w:tcPr>
          <w:p w14:paraId="2C0E2DBC" w14:textId="77777777" w:rsidR="00577D08" w:rsidRDefault="00330FC0">
            <w:pPr>
              <w:jc w:val="right"/>
              <w:rPr>
                <w:sz w:val="15"/>
                <w:szCs w:val="15"/>
              </w:rPr>
            </w:pPr>
            <w:r>
              <w:rPr>
                <w:sz w:val="15"/>
                <w:szCs w:val="15"/>
              </w:rPr>
              <w:t>2,498,272,102.13</w:t>
            </w:r>
          </w:p>
        </w:tc>
      </w:tr>
      <w:bookmarkEnd w:id="293"/>
    </w:tbl>
    <w:p w14:paraId="30B63935" w14:textId="77777777" w:rsidR="00577D08" w:rsidRDefault="00577D08"/>
    <w:p w14:paraId="59BD7946" w14:textId="77777777" w:rsidR="00577D08" w:rsidRDefault="00577D08">
      <w:pPr>
        <w:snapToGrid w:val="0"/>
        <w:spacing w:line="240" w:lineRule="atLeast"/>
        <w:ind w:rightChars="-759" w:right="-159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284"/>
        <w:gridCol w:w="425"/>
        <w:gridCol w:w="425"/>
        <w:gridCol w:w="992"/>
        <w:gridCol w:w="1134"/>
        <w:gridCol w:w="1134"/>
        <w:gridCol w:w="1134"/>
        <w:gridCol w:w="993"/>
        <w:gridCol w:w="567"/>
        <w:gridCol w:w="992"/>
        <w:gridCol w:w="283"/>
        <w:gridCol w:w="1134"/>
        <w:gridCol w:w="1276"/>
        <w:gridCol w:w="1364"/>
      </w:tblGrid>
      <w:tr w:rsidR="00577D08" w14:paraId="2A9AF99E" w14:textId="77777777">
        <w:trPr>
          <w:cantSplit/>
        </w:trPr>
        <w:tc>
          <w:tcPr>
            <w:tcW w:w="959" w:type="dxa"/>
            <w:vMerge w:val="restart"/>
            <w:vAlign w:val="center"/>
          </w:tcPr>
          <w:bookmarkStart w:id="294" w:name="_Hlk224912072" w:displacedByCustomXml="next"/>
          <w:sdt>
            <w:sdtPr>
              <w:rPr>
                <w:sz w:val="15"/>
                <w:szCs w:val="15"/>
              </w:rPr>
              <w:tag w:val="_PLD_229212c664af43faa41821d5eec551b8"/>
              <w:id w:val="-1835759057"/>
            </w:sdtPr>
            <w:sdtContent>
              <w:p w14:paraId="54E25629" w14:textId="77777777" w:rsidR="00577D08" w:rsidRDefault="00330FC0">
                <w:pPr>
                  <w:snapToGrid w:val="0"/>
                  <w:spacing w:line="240" w:lineRule="atLeast"/>
                  <w:jc w:val="center"/>
                  <w:rPr>
                    <w:sz w:val="15"/>
                    <w:szCs w:val="15"/>
                  </w:rPr>
                </w:pPr>
                <w:r>
                  <w:rPr>
                    <w:rFonts w:hint="eastAsia"/>
                    <w:sz w:val="15"/>
                    <w:szCs w:val="15"/>
                  </w:rPr>
                  <w:t>项目</w:t>
                </w:r>
              </w:p>
            </w:sdtContent>
          </w:sdt>
        </w:tc>
        <w:tc>
          <w:tcPr>
            <w:tcW w:w="13129" w:type="dxa"/>
            <w:gridSpan w:val="15"/>
            <w:vAlign w:val="center"/>
          </w:tcPr>
          <w:p w14:paraId="0A1033AC" w14:textId="77777777" w:rsidR="00577D08" w:rsidRDefault="00000000">
            <w:pPr>
              <w:snapToGrid w:val="0"/>
              <w:spacing w:line="240" w:lineRule="atLeast"/>
              <w:ind w:rightChars="-759" w:right="-1594"/>
              <w:jc w:val="center"/>
              <w:rPr>
                <w:sz w:val="15"/>
                <w:szCs w:val="15"/>
              </w:rPr>
            </w:pPr>
            <w:sdt>
              <w:sdtPr>
                <w:rPr>
                  <w:sz w:val="15"/>
                  <w:szCs w:val="15"/>
                </w:rPr>
                <w:tag w:val="_PLD_5c8dcea3749f4f92b2d283c717162a73"/>
                <w:id w:val="-1951541206"/>
              </w:sdtPr>
              <w:sdtContent>
                <w:r w:rsidR="00330FC0">
                  <w:rPr>
                    <w:rFonts w:hint="eastAsia"/>
                    <w:sz w:val="15"/>
                    <w:szCs w:val="15"/>
                  </w:rPr>
                  <w:t>2024</w:t>
                </w:r>
                <w:r w:rsidR="00330FC0">
                  <w:rPr>
                    <w:rFonts w:hint="eastAsia"/>
                    <w:sz w:val="15"/>
                    <w:szCs w:val="15"/>
                  </w:rPr>
                  <w:t>年度</w:t>
                </w:r>
              </w:sdtContent>
            </w:sdt>
          </w:p>
        </w:tc>
      </w:tr>
      <w:tr w:rsidR="00577D08" w14:paraId="099EE3EB" w14:textId="77777777">
        <w:trPr>
          <w:cantSplit/>
          <w:trHeight w:val="471"/>
        </w:trPr>
        <w:tc>
          <w:tcPr>
            <w:tcW w:w="959" w:type="dxa"/>
            <w:vMerge/>
            <w:vAlign w:val="center"/>
          </w:tcPr>
          <w:p w14:paraId="1666FBB7" w14:textId="77777777" w:rsidR="00577D08" w:rsidRDefault="00577D08">
            <w:pPr>
              <w:snapToGrid w:val="0"/>
              <w:spacing w:line="240" w:lineRule="atLeast"/>
              <w:ind w:rightChars="-759" w:right="-1594"/>
              <w:rPr>
                <w:sz w:val="15"/>
                <w:szCs w:val="15"/>
              </w:rPr>
            </w:pPr>
          </w:p>
        </w:tc>
        <w:sdt>
          <w:sdtPr>
            <w:rPr>
              <w:sz w:val="15"/>
              <w:szCs w:val="15"/>
            </w:rPr>
            <w:tag w:val="_PLD_e725a8cacf9d4d1abedbfeae17c394e0"/>
            <w:id w:val="961457917"/>
          </w:sdtPr>
          <w:sdtContent>
            <w:tc>
              <w:tcPr>
                <w:tcW w:w="10489" w:type="dxa"/>
                <w:gridSpan w:val="13"/>
                <w:vAlign w:val="center"/>
              </w:tcPr>
              <w:p w14:paraId="07D362BE" w14:textId="77777777" w:rsidR="00577D08" w:rsidRDefault="00330FC0">
                <w:pPr>
                  <w:jc w:val="center"/>
                  <w:rPr>
                    <w:sz w:val="15"/>
                    <w:szCs w:val="15"/>
                  </w:rPr>
                </w:pPr>
                <w:r>
                  <w:rPr>
                    <w:sz w:val="15"/>
                    <w:szCs w:val="15"/>
                  </w:rPr>
                  <w:t>归属于母公司所有者权益</w:t>
                </w:r>
              </w:p>
            </w:tc>
          </w:sdtContent>
        </w:sdt>
        <w:sdt>
          <w:sdtPr>
            <w:rPr>
              <w:sz w:val="15"/>
              <w:szCs w:val="15"/>
            </w:rPr>
            <w:tag w:val="_PLD_fe6c49384f0941088b29ad945caeb72b"/>
            <w:id w:val="-2013141547"/>
          </w:sdtPr>
          <w:sdtContent>
            <w:tc>
              <w:tcPr>
                <w:tcW w:w="1276" w:type="dxa"/>
                <w:vMerge w:val="restart"/>
                <w:vAlign w:val="center"/>
              </w:tcPr>
              <w:p w14:paraId="537FBC88" w14:textId="77777777" w:rsidR="00577D08" w:rsidRDefault="00330FC0">
                <w:pPr>
                  <w:jc w:val="center"/>
                  <w:rPr>
                    <w:sz w:val="15"/>
                    <w:szCs w:val="15"/>
                  </w:rPr>
                </w:pPr>
                <w:r>
                  <w:rPr>
                    <w:sz w:val="15"/>
                    <w:szCs w:val="15"/>
                  </w:rPr>
                  <w:t>少数股东权益</w:t>
                </w:r>
              </w:p>
            </w:tc>
          </w:sdtContent>
        </w:sdt>
        <w:sdt>
          <w:sdtPr>
            <w:rPr>
              <w:sz w:val="15"/>
              <w:szCs w:val="15"/>
            </w:rPr>
            <w:tag w:val="_PLD_bbe71d4307504d648ce52638ee90ccd4"/>
            <w:id w:val="2147311327"/>
          </w:sdtPr>
          <w:sdtContent>
            <w:tc>
              <w:tcPr>
                <w:tcW w:w="1364" w:type="dxa"/>
                <w:vMerge w:val="restart"/>
                <w:vAlign w:val="center"/>
              </w:tcPr>
              <w:p w14:paraId="66709F5F" w14:textId="77777777" w:rsidR="00577D08" w:rsidRDefault="00330FC0">
                <w:pPr>
                  <w:jc w:val="center"/>
                  <w:rPr>
                    <w:sz w:val="15"/>
                    <w:szCs w:val="15"/>
                  </w:rPr>
                </w:pPr>
                <w:r>
                  <w:rPr>
                    <w:sz w:val="15"/>
                    <w:szCs w:val="15"/>
                  </w:rPr>
                  <w:t>所有者权益合计</w:t>
                </w:r>
              </w:p>
            </w:tc>
          </w:sdtContent>
        </w:sdt>
      </w:tr>
      <w:tr w:rsidR="00577D08" w14:paraId="71D85A3D" w14:textId="77777777">
        <w:trPr>
          <w:cantSplit/>
          <w:trHeight w:val="383"/>
        </w:trPr>
        <w:tc>
          <w:tcPr>
            <w:tcW w:w="959" w:type="dxa"/>
            <w:vMerge/>
            <w:vAlign w:val="center"/>
          </w:tcPr>
          <w:p w14:paraId="2F9A7122" w14:textId="77777777" w:rsidR="00577D08" w:rsidRDefault="00577D08">
            <w:pPr>
              <w:snapToGrid w:val="0"/>
              <w:spacing w:line="240" w:lineRule="atLeast"/>
              <w:ind w:rightChars="-759" w:right="-1594"/>
              <w:rPr>
                <w:sz w:val="15"/>
                <w:szCs w:val="15"/>
              </w:rPr>
            </w:pPr>
          </w:p>
        </w:tc>
        <w:sdt>
          <w:sdtPr>
            <w:rPr>
              <w:sz w:val="15"/>
              <w:szCs w:val="15"/>
            </w:rPr>
            <w:tag w:val="_PLD_941585ba85eb48fa931876151974e425"/>
            <w:id w:val="-711181349"/>
          </w:sdtPr>
          <w:sdtContent>
            <w:tc>
              <w:tcPr>
                <w:tcW w:w="992" w:type="dxa"/>
                <w:vMerge w:val="restart"/>
                <w:vAlign w:val="center"/>
              </w:tcPr>
              <w:p w14:paraId="52F2F91F" w14:textId="77777777" w:rsidR="00577D08" w:rsidRDefault="00330FC0">
                <w:pPr>
                  <w:snapToGrid w:val="0"/>
                  <w:spacing w:line="240" w:lineRule="atLeast"/>
                  <w:jc w:val="center"/>
                  <w:rPr>
                    <w:sz w:val="15"/>
                    <w:szCs w:val="15"/>
                  </w:rPr>
                </w:pPr>
                <w:r>
                  <w:rPr>
                    <w:sz w:val="15"/>
                    <w:szCs w:val="15"/>
                  </w:rPr>
                  <w:t>实收资本</w:t>
                </w:r>
                <w:r>
                  <w:rPr>
                    <w:sz w:val="15"/>
                    <w:szCs w:val="15"/>
                  </w:rPr>
                  <w:t>(</w:t>
                </w:r>
                <w:r>
                  <w:rPr>
                    <w:sz w:val="15"/>
                    <w:szCs w:val="15"/>
                  </w:rPr>
                  <w:t>或股本</w:t>
                </w:r>
                <w:r>
                  <w:rPr>
                    <w:sz w:val="15"/>
                    <w:szCs w:val="15"/>
                  </w:rPr>
                  <w:t>)</w:t>
                </w:r>
              </w:p>
            </w:tc>
          </w:sdtContent>
        </w:sdt>
        <w:sdt>
          <w:sdtPr>
            <w:rPr>
              <w:sz w:val="15"/>
              <w:szCs w:val="15"/>
            </w:rPr>
            <w:tag w:val="_PLD_4097b1c4c4f449ef94e9dedb67cf7c3a"/>
            <w:id w:val="-2147116621"/>
          </w:sdtPr>
          <w:sdtContent>
            <w:tc>
              <w:tcPr>
                <w:tcW w:w="1134" w:type="dxa"/>
                <w:gridSpan w:val="3"/>
                <w:vAlign w:val="center"/>
              </w:tcPr>
              <w:p w14:paraId="4E4BF6F3" w14:textId="77777777" w:rsidR="00577D08" w:rsidRDefault="00330FC0">
                <w:pPr>
                  <w:snapToGrid w:val="0"/>
                  <w:spacing w:line="240" w:lineRule="atLeast"/>
                  <w:jc w:val="center"/>
                  <w:rPr>
                    <w:sz w:val="15"/>
                    <w:szCs w:val="15"/>
                  </w:rPr>
                </w:pPr>
                <w:r>
                  <w:rPr>
                    <w:rFonts w:hint="eastAsia"/>
                    <w:sz w:val="15"/>
                    <w:szCs w:val="15"/>
                  </w:rPr>
                  <w:t>其他权益工具</w:t>
                </w:r>
              </w:p>
            </w:tc>
          </w:sdtContent>
        </w:sdt>
        <w:sdt>
          <w:sdtPr>
            <w:rPr>
              <w:sz w:val="15"/>
              <w:szCs w:val="15"/>
            </w:rPr>
            <w:tag w:val="_PLD_f8441471f9a041ac884142e2c9e87055"/>
            <w:id w:val="-1235856164"/>
          </w:sdtPr>
          <w:sdtContent>
            <w:tc>
              <w:tcPr>
                <w:tcW w:w="992" w:type="dxa"/>
                <w:vMerge w:val="restart"/>
                <w:vAlign w:val="center"/>
              </w:tcPr>
              <w:p w14:paraId="534D9634" w14:textId="77777777" w:rsidR="00577D08" w:rsidRDefault="00330FC0">
                <w:pPr>
                  <w:snapToGrid w:val="0"/>
                  <w:spacing w:line="240" w:lineRule="atLeast"/>
                  <w:jc w:val="center"/>
                  <w:rPr>
                    <w:sz w:val="15"/>
                    <w:szCs w:val="15"/>
                  </w:rPr>
                </w:pPr>
                <w:r>
                  <w:rPr>
                    <w:rFonts w:hint="eastAsia"/>
                    <w:sz w:val="15"/>
                    <w:szCs w:val="15"/>
                  </w:rPr>
                  <w:t>资本公积</w:t>
                </w:r>
              </w:p>
            </w:tc>
          </w:sdtContent>
        </w:sdt>
        <w:sdt>
          <w:sdtPr>
            <w:rPr>
              <w:sz w:val="15"/>
              <w:szCs w:val="15"/>
            </w:rPr>
            <w:tag w:val="_PLD_f972a7ccc15d4f409243ecc02ea77629"/>
            <w:id w:val="-725988532"/>
          </w:sdtPr>
          <w:sdtContent>
            <w:tc>
              <w:tcPr>
                <w:tcW w:w="1134" w:type="dxa"/>
                <w:vMerge w:val="restart"/>
                <w:vAlign w:val="center"/>
              </w:tcPr>
              <w:p w14:paraId="62881F22" w14:textId="77777777" w:rsidR="00577D08" w:rsidRDefault="00330FC0">
                <w:pPr>
                  <w:snapToGrid w:val="0"/>
                  <w:spacing w:line="240" w:lineRule="atLeast"/>
                  <w:jc w:val="center"/>
                  <w:rPr>
                    <w:sz w:val="15"/>
                    <w:szCs w:val="15"/>
                  </w:rPr>
                </w:pPr>
                <w:r>
                  <w:rPr>
                    <w:rFonts w:hint="eastAsia"/>
                    <w:sz w:val="15"/>
                    <w:szCs w:val="15"/>
                  </w:rPr>
                  <w:t>减：库存股</w:t>
                </w:r>
              </w:p>
            </w:tc>
          </w:sdtContent>
        </w:sdt>
        <w:sdt>
          <w:sdtPr>
            <w:rPr>
              <w:sz w:val="15"/>
              <w:szCs w:val="15"/>
            </w:rPr>
            <w:tag w:val="_PLD_32394603dc124fdb904af0ad8606aa79"/>
            <w:id w:val="-176118694"/>
          </w:sdtPr>
          <w:sdtContent>
            <w:tc>
              <w:tcPr>
                <w:tcW w:w="1134" w:type="dxa"/>
                <w:vMerge w:val="restart"/>
                <w:vAlign w:val="center"/>
              </w:tcPr>
              <w:p w14:paraId="1B1F37D1" w14:textId="77777777" w:rsidR="00577D08" w:rsidRDefault="00330FC0">
                <w:pPr>
                  <w:snapToGrid w:val="0"/>
                  <w:spacing w:line="240" w:lineRule="atLeast"/>
                  <w:jc w:val="center"/>
                  <w:rPr>
                    <w:sz w:val="15"/>
                    <w:szCs w:val="15"/>
                  </w:rPr>
                </w:pPr>
                <w:r>
                  <w:rPr>
                    <w:rFonts w:hint="eastAsia"/>
                    <w:sz w:val="15"/>
                    <w:szCs w:val="15"/>
                  </w:rPr>
                  <w:t>其他综合收益</w:t>
                </w:r>
              </w:p>
            </w:tc>
          </w:sdtContent>
        </w:sdt>
        <w:sdt>
          <w:sdtPr>
            <w:rPr>
              <w:sz w:val="15"/>
              <w:szCs w:val="15"/>
            </w:rPr>
            <w:tag w:val="_PLD_af29ec23e072452c89c8447237a4831e"/>
            <w:id w:val="1713609939"/>
          </w:sdtPr>
          <w:sdtContent>
            <w:tc>
              <w:tcPr>
                <w:tcW w:w="1134" w:type="dxa"/>
                <w:vMerge w:val="restart"/>
                <w:vAlign w:val="center"/>
              </w:tcPr>
              <w:p w14:paraId="17AD05F3" w14:textId="77777777" w:rsidR="00577D08" w:rsidRDefault="00330FC0">
                <w:pPr>
                  <w:snapToGrid w:val="0"/>
                  <w:spacing w:line="240" w:lineRule="atLeast"/>
                  <w:jc w:val="center"/>
                  <w:rPr>
                    <w:sz w:val="15"/>
                    <w:szCs w:val="15"/>
                  </w:rPr>
                </w:pPr>
                <w:r>
                  <w:rPr>
                    <w:rFonts w:hint="eastAsia"/>
                    <w:sz w:val="15"/>
                    <w:szCs w:val="15"/>
                  </w:rPr>
                  <w:t>专项储备</w:t>
                </w:r>
              </w:p>
            </w:tc>
          </w:sdtContent>
        </w:sdt>
        <w:sdt>
          <w:sdtPr>
            <w:rPr>
              <w:sz w:val="15"/>
              <w:szCs w:val="15"/>
            </w:rPr>
            <w:tag w:val="_PLD_81a68447a616402b99500dae3d54a22d"/>
            <w:id w:val="-1237009876"/>
          </w:sdtPr>
          <w:sdtContent>
            <w:tc>
              <w:tcPr>
                <w:tcW w:w="993" w:type="dxa"/>
                <w:vMerge w:val="restart"/>
                <w:vAlign w:val="center"/>
              </w:tcPr>
              <w:p w14:paraId="63C9F785" w14:textId="77777777" w:rsidR="00577D08" w:rsidRDefault="00330FC0">
                <w:pPr>
                  <w:snapToGrid w:val="0"/>
                  <w:spacing w:line="240" w:lineRule="atLeast"/>
                  <w:jc w:val="center"/>
                  <w:rPr>
                    <w:sz w:val="15"/>
                    <w:szCs w:val="15"/>
                  </w:rPr>
                </w:pPr>
                <w:r>
                  <w:rPr>
                    <w:rFonts w:hint="eastAsia"/>
                    <w:sz w:val="15"/>
                    <w:szCs w:val="15"/>
                  </w:rPr>
                  <w:t>盈余公积</w:t>
                </w:r>
              </w:p>
            </w:tc>
          </w:sdtContent>
        </w:sdt>
        <w:sdt>
          <w:sdtPr>
            <w:rPr>
              <w:sz w:val="15"/>
              <w:szCs w:val="15"/>
            </w:rPr>
            <w:tag w:val="_PLD_ad0dadbaf28f45779fefb69d05b7215d"/>
            <w:id w:val="-2094158845"/>
          </w:sdtPr>
          <w:sdtContent>
            <w:tc>
              <w:tcPr>
                <w:tcW w:w="567" w:type="dxa"/>
                <w:vMerge w:val="restart"/>
                <w:vAlign w:val="center"/>
              </w:tcPr>
              <w:p w14:paraId="562984A7" w14:textId="77777777" w:rsidR="00577D08" w:rsidRDefault="00330FC0">
                <w:pPr>
                  <w:snapToGrid w:val="0"/>
                  <w:spacing w:line="240" w:lineRule="atLeast"/>
                  <w:jc w:val="center"/>
                  <w:rPr>
                    <w:sz w:val="15"/>
                    <w:szCs w:val="15"/>
                  </w:rPr>
                </w:pPr>
                <w:r>
                  <w:rPr>
                    <w:rFonts w:hint="eastAsia"/>
                    <w:sz w:val="15"/>
                    <w:szCs w:val="15"/>
                  </w:rPr>
                  <w:t>一般风险准备</w:t>
                </w:r>
              </w:p>
            </w:tc>
          </w:sdtContent>
        </w:sdt>
        <w:sdt>
          <w:sdtPr>
            <w:rPr>
              <w:sz w:val="15"/>
              <w:szCs w:val="15"/>
            </w:rPr>
            <w:tag w:val="_PLD_a51f5c6bdac744979b275b09b6a9d1d8"/>
            <w:id w:val="1360699311"/>
          </w:sdtPr>
          <w:sdtContent>
            <w:tc>
              <w:tcPr>
                <w:tcW w:w="992" w:type="dxa"/>
                <w:vMerge w:val="restart"/>
                <w:vAlign w:val="center"/>
              </w:tcPr>
              <w:p w14:paraId="11D2E49F" w14:textId="77777777" w:rsidR="00577D08" w:rsidRDefault="00330FC0">
                <w:pPr>
                  <w:snapToGrid w:val="0"/>
                  <w:spacing w:line="240" w:lineRule="atLeast"/>
                  <w:jc w:val="center"/>
                  <w:rPr>
                    <w:sz w:val="15"/>
                    <w:szCs w:val="15"/>
                  </w:rPr>
                </w:pPr>
                <w:r>
                  <w:rPr>
                    <w:rFonts w:hint="eastAsia"/>
                    <w:sz w:val="15"/>
                    <w:szCs w:val="15"/>
                  </w:rPr>
                  <w:t>未分配利润</w:t>
                </w:r>
              </w:p>
            </w:tc>
          </w:sdtContent>
        </w:sdt>
        <w:tc>
          <w:tcPr>
            <w:tcW w:w="283" w:type="dxa"/>
            <w:vMerge w:val="restart"/>
            <w:vAlign w:val="center"/>
          </w:tcPr>
          <w:sdt>
            <w:sdtPr>
              <w:rPr>
                <w:sz w:val="15"/>
                <w:szCs w:val="15"/>
              </w:rPr>
              <w:tag w:val="_PLD_ae449a7a80f64d56b34968f1f21d2198"/>
              <w:id w:val="1346669780"/>
            </w:sdtPr>
            <w:sdtContent>
              <w:p w14:paraId="62995517" w14:textId="77777777" w:rsidR="00577D08" w:rsidRDefault="00330FC0">
                <w:pPr>
                  <w:jc w:val="center"/>
                  <w:rPr>
                    <w:sz w:val="15"/>
                    <w:szCs w:val="15"/>
                  </w:rPr>
                </w:pPr>
                <w:r>
                  <w:rPr>
                    <w:rFonts w:hint="eastAsia"/>
                    <w:sz w:val="15"/>
                    <w:szCs w:val="15"/>
                  </w:rPr>
                  <w:t>其他</w:t>
                </w:r>
              </w:p>
            </w:sdtContent>
          </w:sdt>
        </w:tc>
        <w:tc>
          <w:tcPr>
            <w:tcW w:w="1134" w:type="dxa"/>
            <w:vMerge w:val="restart"/>
            <w:vAlign w:val="center"/>
          </w:tcPr>
          <w:sdt>
            <w:sdtPr>
              <w:rPr>
                <w:sz w:val="15"/>
                <w:szCs w:val="15"/>
              </w:rPr>
              <w:tag w:val="_PLD_f2691f33b2164ad8b83415f8cd404dea"/>
              <w:id w:val="-158070094"/>
            </w:sdtPr>
            <w:sdtContent>
              <w:p w14:paraId="2F624F70" w14:textId="77777777" w:rsidR="00577D08" w:rsidRDefault="00330FC0">
                <w:pPr>
                  <w:jc w:val="center"/>
                  <w:rPr>
                    <w:sz w:val="15"/>
                    <w:szCs w:val="15"/>
                  </w:rPr>
                </w:pPr>
                <w:r>
                  <w:rPr>
                    <w:rFonts w:hint="eastAsia"/>
                    <w:sz w:val="15"/>
                    <w:szCs w:val="15"/>
                  </w:rPr>
                  <w:t>小计</w:t>
                </w:r>
              </w:p>
            </w:sdtContent>
          </w:sdt>
        </w:tc>
        <w:tc>
          <w:tcPr>
            <w:tcW w:w="1276" w:type="dxa"/>
            <w:vMerge/>
            <w:vAlign w:val="center"/>
          </w:tcPr>
          <w:p w14:paraId="698E4DBB" w14:textId="77777777" w:rsidR="00577D08" w:rsidRDefault="00577D08">
            <w:pPr>
              <w:jc w:val="center"/>
              <w:rPr>
                <w:sz w:val="15"/>
                <w:szCs w:val="15"/>
              </w:rPr>
            </w:pPr>
          </w:p>
        </w:tc>
        <w:tc>
          <w:tcPr>
            <w:tcW w:w="1364" w:type="dxa"/>
            <w:vMerge/>
            <w:vAlign w:val="center"/>
          </w:tcPr>
          <w:p w14:paraId="1348FB2B" w14:textId="77777777" w:rsidR="00577D08" w:rsidRDefault="00577D08">
            <w:pPr>
              <w:jc w:val="center"/>
              <w:rPr>
                <w:sz w:val="15"/>
                <w:szCs w:val="15"/>
              </w:rPr>
            </w:pPr>
          </w:p>
        </w:tc>
      </w:tr>
      <w:tr w:rsidR="00577D08" w14:paraId="600C24B3" w14:textId="77777777">
        <w:trPr>
          <w:cantSplit/>
          <w:trHeight w:val="303"/>
        </w:trPr>
        <w:tc>
          <w:tcPr>
            <w:tcW w:w="959" w:type="dxa"/>
            <w:vMerge/>
            <w:vAlign w:val="center"/>
          </w:tcPr>
          <w:p w14:paraId="140ACA27" w14:textId="77777777" w:rsidR="00577D08" w:rsidRDefault="00577D08">
            <w:pPr>
              <w:snapToGrid w:val="0"/>
              <w:spacing w:line="240" w:lineRule="atLeast"/>
              <w:ind w:rightChars="-759" w:right="-1594"/>
              <w:rPr>
                <w:sz w:val="15"/>
                <w:szCs w:val="15"/>
              </w:rPr>
            </w:pPr>
          </w:p>
        </w:tc>
        <w:tc>
          <w:tcPr>
            <w:tcW w:w="992" w:type="dxa"/>
            <w:vMerge/>
            <w:vAlign w:val="center"/>
          </w:tcPr>
          <w:p w14:paraId="7CF9F489" w14:textId="77777777" w:rsidR="00577D08" w:rsidRDefault="00577D08">
            <w:pPr>
              <w:snapToGrid w:val="0"/>
              <w:spacing w:line="240" w:lineRule="atLeast"/>
              <w:jc w:val="center"/>
              <w:rPr>
                <w:sz w:val="15"/>
                <w:szCs w:val="15"/>
              </w:rPr>
            </w:pPr>
          </w:p>
        </w:tc>
        <w:sdt>
          <w:sdtPr>
            <w:rPr>
              <w:sz w:val="15"/>
              <w:szCs w:val="15"/>
            </w:rPr>
            <w:tag w:val="_PLD_c8e4e3f938444f399262729a0267aa59"/>
            <w:id w:val="-1885481042"/>
          </w:sdtPr>
          <w:sdtContent>
            <w:tc>
              <w:tcPr>
                <w:tcW w:w="284" w:type="dxa"/>
                <w:vAlign w:val="center"/>
              </w:tcPr>
              <w:p w14:paraId="1C2718B8" w14:textId="77777777" w:rsidR="00577D08" w:rsidRDefault="00330FC0">
                <w:pPr>
                  <w:jc w:val="center"/>
                  <w:rPr>
                    <w:sz w:val="15"/>
                    <w:szCs w:val="15"/>
                  </w:rPr>
                </w:pPr>
                <w:r>
                  <w:rPr>
                    <w:rFonts w:hint="eastAsia"/>
                    <w:sz w:val="15"/>
                    <w:szCs w:val="15"/>
                  </w:rPr>
                  <w:t>优先股</w:t>
                </w:r>
              </w:p>
            </w:tc>
          </w:sdtContent>
        </w:sdt>
        <w:sdt>
          <w:sdtPr>
            <w:rPr>
              <w:sz w:val="15"/>
              <w:szCs w:val="15"/>
            </w:rPr>
            <w:tag w:val="_PLD_70f3796cf4ab4ecbb92343a346942a09"/>
            <w:id w:val="-1738316312"/>
          </w:sdtPr>
          <w:sdtContent>
            <w:tc>
              <w:tcPr>
                <w:tcW w:w="425" w:type="dxa"/>
                <w:vAlign w:val="center"/>
              </w:tcPr>
              <w:p w14:paraId="22EC0284" w14:textId="77777777" w:rsidR="00577D08" w:rsidRDefault="00330FC0">
                <w:pPr>
                  <w:jc w:val="center"/>
                  <w:rPr>
                    <w:sz w:val="15"/>
                    <w:szCs w:val="15"/>
                  </w:rPr>
                </w:pPr>
                <w:r>
                  <w:rPr>
                    <w:rFonts w:hint="eastAsia"/>
                    <w:sz w:val="15"/>
                    <w:szCs w:val="15"/>
                  </w:rPr>
                  <w:t>永续债</w:t>
                </w:r>
              </w:p>
            </w:tc>
          </w:sdtContent>
        </w:sdt>
        <w:sdt>
          <w:sdtPr>
            <w:rPr>
              <w:sz w:val="15"/>
              <w:szCs w:val="15"/>
            </w:rPr>
            <w:tag w:val="_PLD_a3d4853d11ed4217a1c5e27cfc45c1c9"/>
            <w:id w:val="-801758806"/>
          </w:sdtPr>
          <w:sdtContent>
            <w:tc>
              <w:tcPr>
                <w:tcW w:w="425" w:type="dxa"/>
                <w:vAlign w:val="center"/>
              </w:tcPr>
              <w:p w14:paraId="53295A38" w14:textId="77777777" w:rsidR="00577D08" w:rsidRDefault="00330FC0">
                <w:pPr>
                  <w:jc w:val="center"/>
                  <w:rPr>
                    <w:sz w:val="15"/>
                    <w:szCs w:val="15"/>
                  </w:rPr>
                </w:pPr>
                <w:r>
                  <w:rPr>
                    <w:rFonts w:hint="eastAsia"/>
                    <w:sz w:val="15"/>
                    <w:szCs w:val="15"/>
                  </w:rPr>
                  <w:t>其他</w:t>
                </w:r>
              </w:p>
            </w:tc>
          </w:sdtContent>
        </w:sdt>
        <w:tc>
          <w:tcPr>
            <w:tcW w:w="992" w:type="dxa"/>
            <w:vMerge/>
            <w:vAlign w:val="center"/>
          </w:tcPr>
          <w:p w14:paraId="7476EF22" w14:textId="77777777" w:rsidR="00577D08" w:rsidRDefault="00577D08">
            <w:pPr>
              <w:snapToGrid w:val="0"/>
              <w:spacing w:line="240" w:lineRule="atLeast"/>
              <w:jc w:val="center"/>
              <w:rPr>
                <w:sz w:val="15"/>
                <w:szCs w:val="15"/>
              </w:rPr>
            </w:pPr>
          </w:p>
        </w:tc>
        <w:tc>
          <w:tcPr>
            <w:tcW w:w="1134" w:type="dxa"/>
            <w:vMerge/>
            <w:vAlign w:val="center"/>
          </w:tcPr>
          <w:p w14:paraId="11C0CE8F" w14:textId="77777777" w:rsidR="00577D08" w:rsidRDefault="00577D08">
            <w:pPr>
              <w:snapToGrid w:val="0"/>
              <w:spacing w:line="240" w:lineRule="atLeast"/>
              <w:jc w:val="center"/>
              <w:rPr>
                <w:sz w:val="15"/>
                <w:szCs w:val="15"/>
              </w:rPr>
            </w:pPr>
          </w:p>
        </w:tc>
        <w:tc>
          <w:tcPr>
            <w:tcW w:w="1134" w:type="dxa"/>
            <w:vMerge/>
            <w:vAlign w:val="center"/>
          </w:tcPr>
          <w:p w14:paraId="2CC10A4F" w14:textId="77777777" w:rsidR="00577D08" w:rsidRDefault="00577D08">
            <w:pPr>
              <w:snapToGrid w:val="0"/>
              <w:spacing w:line="240" w:lineRule="atLeast"/>
              <w:jc w:val="center"/>
              <w:rPr>
                <w:sz w:val="15"/>
                <w:szCs w:val="15"/>
              </w:rPr>
            </w:pPr>
          </w:p>
        </w:tc>
        <w:tc>
          <w:tcPr>
            <w:tcW w:w="1134" w:type="dxa"/>
            <w:vMerge/>
            <w:vAlign w:val="center"/>
          </w:tcPr>
          <w:p w14:paraId="04B541AF" w14:textId="77777777" w:rsidR="00577D08" w:rsidRDefault="00577D08">
            <w:pPr>
              <w:snapToGrid w:val="0"/>
              <w:spacing w:line="240" w:lineRule="atLeast"/>
              <w:jc w:val="center"/>
              <w:rPr>
                <w:sz w:val="15"/>
                <w:szCs w:val="15"/>
              </w:rPr>
            </w:pPr>
          </w:p>
        </w:tc>
        <w:tc>
          <w:tcPr>
            <w:tcW w:w="993" w:type="dxa"/>
            <w:vMerge/>
            <w:vAlign w:val="center"/>
          </w:tcPr>
          <w:p w14:paraId="38A586E7" w14:textId="77777777" w:rsidR="00577D08" w:rsidRDefault="00577D08">
            <w:pPr>
              <w:snapToGrid w:val="0"/>
              <w:spacing w:line="240" w:lineRule="atLeast"/>
              <w:jc w:val="center"/>
              <w:rPr>
                <w:sz w:val="15"/>
                <w:szCs w:val="15"/>
              </w:rPr>
            </w:pPr>
          </w:p>
        </w:tc>
        <w:tc>
          <w:tcPr>
            <w:tcW w:w="567" w:type="dxa"/>
            <w:vMerge/>
            <w:vAlign w:val="center"/>
          </w:tcPr>
          <w:p w14:paraId="41352BD4" w14:textId="77777777" w:rsidR="00577D08" w:rsidRDefault="00577D08">
            <w:pPr>
              <w:snapToGrid w:val="0"/>
              <w:spacing w:line="240" w:lineRule="atLeast"/>
              <w:jc w:val="center"/>
              <w:rPr>
                <w:sz w:val="15"/>
                <w:szCs w:val="15"/>
              </w:rPr>
            </w:pPr>
          </w:p>
        </w:tc>
        <w:tc>
          <w:tcPr>
            <w:tcW w:w="992" w:type="dxa"/>
            <w:vMerge/>
            <w:vAlign w:val="center"/>
          </w:tcPr>
          <w:p w14:paraId="2FDF2AAD" w14:textId="77777777" w:rsidR="00577D08" w:rsidRDefault="00577D08">
            <w:pPr>
              <w:snapToGrid w:val="0"/>
              <w:spacing w:line="240" w:lineRule="atLeast"/>
              <w:jc w:val="center"/>
              <w:rPr>
                <w:sz w:val="15"/>
                <w:szCs w:val="15"/>
              </w:rPr>
            </w:pPr>
          </w:p>
        </w:tc>
        <w:tc>
          <w:tcPr>
            <w:tcW w:w="283" w:type="dxa"/>
            <w:vMerge/>
            <w:vAlign w:val="center"/>
          </w:tcPr>
          <w:p w14:paraId="1F74ED57" w14:textId="77777777" w:rsidR="00577D08" w:rsidRDefault="00577D08">
            <w:pPr>
              <w:jc w:val="center"/>
              <w:rPr>
                <w:sz w:val="15"/>
                <w:szCs w:val="15"/>
              </w:rPr>
            </w:pPr>
          </w:p>
        </w:tc>
        <w:tc>
          <w:tcPr>
            <w:tcW w:w="1134" w:type="dxa"/>
            <w:vMerge/>
            <w:vAlign w:val="center"/>
          </w:tcPr>
          <w:p w14:paraId="63C1E8D0" w14:textId="77777777" w:rsidR="00577D08" w:rsidRDefault="00577D08">
            <w:pPr>
              <w:jc w:val="center"/>
              <w:rPr>
                <w:sz w:val="15"/>
                <w:szCs w:val="15"/>
              </w:rPr>
            </w:pPr>
          </w:p>
        </w:tc>
        <w:tc>
          <w:tcPr>
            <w:tcW w:w="1276" w:type="dxa"/>
            <w:vMerge/>
            <w:vAlign w:val="center"/>
          </w:tcPr>
          <w:p w14:paraId="210D54F9" w14:textId="77777777" w:rsidR="00577D08" w:rsidRDefault="00577D08">
            <w:pPr>
              <w:jc w:val="center"/>
              <w:rPr>
                <w:sz w:val="15"/>
                <w:szCs w:val="15"/>
              </w:rPr>
            </w:pPr>
          </w:p>
        </w:tc>
        <w:tc>
          <w:tcPr>
            <w:tcW w:w="1364" w:type="dxa"/>
            <w:vMerge/>
            <w:tcBorders>
              <w:bottom w:val="nil"/>
            </w:tcBorders>
            <w:vAlign w:val="center"/>
          </w:tcPr>
          <w:p w14:paraId="17818D08" w14:textId="77777777" w:rsidR="00577D08" w:rsidRDefault="00577D08">
            <w:pPr>
              <w:jc w:val="center"/>
              <w:rPr>
                <w:sz w:val="15"/>
                <w:szCs w:val="15"/>
              </w:rPr>
            </w:pPr>
          </w:p>
        </w:tc>
      </w:tr>
      <w:tr w:rsidR="00577D08" w14:paraId="28F9D66B" w14:textId="77777777">
        <w:sdt>
          <w:sdtPr>
            <w:rPr>
              <w:sz w:val="15"/>
              <w:szCs w:val="15"/>
            </w:rPr>
            <w:tag w:val="_PLD_24c39056f5874862855dc37ef7f0d558"/>
            <w:id w:val="-1243643133"/>
          </w:sdtPr>
          <w:sdtContent>
            <w:tc>
              <w:tcPr>
                <w:tcW w:w="959" w:type="dxa"/>
                <w:vAlign w:val="center"/>
              </w:tcPr>
              <w:p w14:paraId="4CE8DB17" w14:textId="77777777" w:rsidR="00577D08" w:rsidRDefault="00330FC0">
                <w:pPr>
                  <w:rPr>
                    <w:sz w:val="15"/>
                    <w:szCs w:val="15"/>
                  </w:rPr>
                </w:pPr>
                <w:r>
                  <w:rPr>
                    <w:sz w:val="15"/>
                    <w:szCs w:val="15"/>
                  </w:rPr>
                  <w:t>一、上年</w:t>
                </w:r>
                <w:r>
                  <w:rPr>
                    <w:rFonts w:hint="eastAsia"/>
                    <w:sz w:val="15"/>
                    <w:szCs w:val="15"/>
                  </w:rPr>
                  <w:t>年</w:t>
                </w:r>
                <w:r>
                  <w:rPr>
                    <w:sz w:val="15"/>
                    <w:szCs w:val="15"/>
                  </w:rPr>
                  <w:t>末余额</w:t>
                </w:r>
              </w:p>
            </w:tc>
          </w:sdtContent>
        </w:sdt>
        <w:tc>
          <w:tcPr>
            <w:tcW w:w="992" w:type="dxa"/>
            <w:vAlign w:val="center"/>
          </w:tcPr>
          <w:p w14:paraId="1C29E90F" w14:textId="77777777" w:rsidR="00577D08" w:rsidRDefault="00330FC0">
            <w:pPr>
              <w:jc w:val="right"/>
              <w:rPr>
                <w:sz w:val="15"/>
                <w:szCs w:val="15"/>
              </w:rPr>
            </w:pPr>
            <w:r>
              <w:rPr>
                <w:sz w:val="15"/>
                <w:szCs w:val="15"/>
              </w:rPr>
              <w:t>333,167,407.00</w:t>
            </w:r>
          </w:p>
        </w:tc>
        <w:tc>
          <w:tcPr>
            <w:tcW w:w="284" w:type="dxa"/>
            <w:vAlign w:val="center"/>
          </w:tcPr>
          <w:p w14:paraId="0EDEA6EA" w14:textId="77777777" w:rsidR="00577D08" w:rsidRDefault="00577D08">
            <w:pPr>
              <w:jc w:val="right"/>
              <w:rPr>
                <w:sz w:val="15"/>
                <w:szCs w:val="15"/>
              </w:rPr>
            </w:pPr>
          </w:p>
        </w:tc>
        <w:tc>
          <w:tcPr>
            <w:tcW w:w="425" w:type="dxa"/>
            <w:vAlign w:val="center"/>
          </w:tcPr>
          <w:p w14:paraId="0EB616E8" w14:textId="77777777" w:rsidR="00577D08" w:rsidRDefault="00577D08">
            <w:pPr>
              <w:jc w:val="right"/>
              <w:rPr>
                <w:sz w:val="15"/>
                <w:szCs w:val="15"/>
              </w:rPr>
            </w:pPr>
          </w:p>
        </w:tc>
        <w:tc>
          <w:tcPr>
            <w:tcW w:w="425" w:type="dxa"/>
            <w:vAlign w:val="center"/>
          </w:tcPr>
          <w:p w14:paraId="7A998916" w14:textId="77777777" w:rsidR="00577D08" w:rsidRDefault="00577D08">
            <w:pPr>
              <w:jc w:val="right"/>
              <w:rPr>
                <w:sz w:val="15"/>
                <w:szCs w:val="15"/>
              </w:rPr>
            </w:pPr>
          </w:p>
        </w:tc>
        <w:tc>
          <w:tcPr>
            <w:tcW w:w="992" w:type="dxa"/>
            <w:vAlign w:val="center"/>
          </w:tcPr>
          <w:p w14:paraId="6F2D03C8" w14:textId="77777777" w:rsidR="00577D08" w:rsidRDefault="00330FC0">
            <w:pPr>
              <w:jc w:val="right"/>
              <w:rPr>
                <w:sz w:val="15"/>
                <w:szCs w:val="15"/>
              </w:rPr>
            </w:pPr>
            <w:r>
              <w:rPr>
                <w:sz w:val="15"/>
                <w:szCs w:val="15"/>
              </w:rPr>
              <w:t>975,698,666.95</w:t>
            </w:r>
          </w:p>
        </w:tc>
        <w:tc>
          <w:tcPr>
            <w:tcW w:w="1134" w:type="dxa"/>
            <w:vAlign w:val="center"/>
          </w:tcPr>
          <w:p w14:paraId="2CF6F3FD" w14:textId="77777777" w:rsidR="00577D08" w:rsidRDefault="00330FC0">
            <w:pPr>
              <w:jc w:val="right"/>
              <w:rPr>
                <w:sz w:val="15"/>
                <w:szCs w:val="15"/>
              </w:rPr>
            </w:pPr>
            <w:r>
              <w:rPr>
                <w:sz w:val="15"/>
                <w:szCs w:val="15"/>
              </w:rPr>
              <w:t>50,299,241.28</w:t>
            </w:r>
          </w:p>
        </w:tc>
        <w:tc>
          <w:tcPr>
            <w:tcW w:w="1134" w:type="dxa"/>
            <w:vAlign w:val="center"/>
          </w:tcPr>
          <w:p w14:paraId="18FAECC8" w14:textId="77777777" w:rsidR="00577D08" w:rsidRDefault="00577D08">
            <w:pPr>
              <w:jc w:val="right"/>
              <w:rPr>
                <w:sz w:val="15"/>
                <w:szCs w:val="15"/>
              </w:rPr>
            </w:pPr>
          </w:p>
        </w:tc>
        <w:tc>
          <w:tcPr>
            <w:tcW w:w="1134" w:type="dxa"/>
            <w:vAlign w:val="center"/>
          </w:tcPr>
          <w:p w14:paraId="6D5A6D26" w14:textId="77777777" w:rsidR="00577D08" w:rsidRDefault="00330FC0">
            <w:pPr>
              <w:jc w:val="right"/>
              <w:rPr>
                <w:sz w:val="15"/>
                <w:szCs w:val="15"/>
              </w:rPr>
            </w:pPr>
            <w:r>
              <w:rPr>
                <w:sz w:val="15"/>
                <w:szCs w:val="15"/>
              </w:rPr>
              <w:t>21,903,104.70</w:t>
            </w:r>
          </w:p>
        </w:tc>
        <w:tc>
          <w:tcPr>
            <w:tcW w:w="993" w:type="dxa"/>
            <w:vAlign w:val="center"/>
          </w:tcPr>
          <w:p w14:paraId="411A495C" w14:textId="77777777" w:rsidR="00577D08" w:rsidRDefault="00330FC0">
            <w:pPr>
              <w:jc w:val="right"/>
              <w:rPr>
                <w:sz w:val="15"/>
                <w:szCs w:val="15"/>
              </w:rPr>
            </w:pPr>
            <w:r>
              <w:rPr>
                <w:sz w:val="15"/>
                <w:szCs w:val="15"/>
              </w:rPr>
              <w:t>118,088,672.71</w:t>
            </w:r>
          </w:p>
        </w:tc>
        <w:tc>
          <w:tcPr>
            <w:tcW w:w="567" w:type="dxa"/>
            <w:vAlign w:val="center"/>
          </w:tcPr>
          <w:p w14:paraId="287D2052" w14:textId="77777777" w:rsidR="00577D08" w:rsidRDefault="00577D08">
            <w:pPr>
              <w:jc w:val="right"/>
              <w:rPr>
                <w:sz w:val="15"/>
                <w:szCs w:val="15"/>
              </w:rPr>
            </w:pPr>
          </w:p>
        </w:tc>
        <w:tc>
          <w:tcPr>
            <w:tcW w:w="992" w:type="dxa"/>
            <w:vAlign w:val="center"/>
          </w:tcPr>
          <w:p w14:paraId="634DB1B8" w14:textId="77777777" w:rsidR="00577D08" w:rsidRDefault="00330FC0">
            <w:pPr>
              <w:jc w:val="right"/>
              <w:rPr>
                <w:sz w:val="15"/>
                <w:szCs w:val="15"/>
              </w:rPr>
            </w:pPr>
            <w:r>
              <w:rPr>
                <w:sz w:val="15"/>
                <w:szCs w:val="15"/>
              </w:rPr>
              <w:t>992,249,846.86</w:t>
            </w:r>
          </w:p>
        </w:tc>
        <w:tc>
          <w:tcPr>
            <w:tcW w:w="283" w:type="dxa"/>
            <w:vAlign w:val="center"/>
          </w:tcPr>
          <w:p w14:paraId="36A7C812" w14:textId="77777777" w:rsidR="00577D08" w:rsidRDefault="00577D08">
            <w:pPr>
              <w:jc w:val="right"/>
              <w:rPr>
                <w:sz w:val="15"/>
                <w:szCs w:val="15"/>
              </w:rPr>
            </w:pPr>
          </w:p>
        </w:tc>
        <w:tc>
          <w:tcPr>
            <w:tcW w:w="1134" w:type="dxa"/>
            <w:vAlign w:val="center"/>
          </w:tcPr>
          <w:p w14:paraId="5DB3276A" w14:textId="77777777" w:rsidR="00577D08" w:rsidRDefault="00330FC0">
            <w:pPr>
              <w:jc w:val="right"/>
              <w:rPr>
                <w:sz w:val="15"/>
                <w:szCs w:val="15"/>
              </w:rPr>
            </w:pPr>
            <w:r>
              <w:rPr>
                <w:sz w:val="15"/>
                <w:szCs w:val="15"/>
              </w:rPr>
              <w:t>2,390,808,456.94</w:t>
            </w:r>
          </w:p>
        </w:tc>
        <w:tc>
          <w:tcPr>
            <w:tcW w:w="1276" w:type="dxa"/>
            <w:vAlign w:val="center"/>
          </w:tcPr>
          <w:p w14:paraId="3CFBF549" w14:textId="77777777" w:rsidR="00577D08" w:rsidRDefault="00577D08">
            <w:pPr>
              <w:jc w:val="right"/>
              <w:rPr>
                <w:sz w:val="15"/>
                <w:szCs w:val="15"/>
              </w:rPr>
            </w:pPr>
          </w:p>
        </w:tc>
        <w:tc>
          <w:tcPr>
            <w:tcW w:w="1364" w:type="dxa"/>
            <w:vAlign w:val="center"/>
          </w:tcPr>
          <w:p w14:paraId="28FDBAF3" w14:textId="77777777" w:rsidR="00577D08" w:rsidRDefault="00330FC0">
            <w:pPr>
              <w:jc w:val="right"/>
              <w:rPr>
                <w:sz w:val="15"/>
                <w:szCs w:val="15"/>
              </w:rPr>
            </w:pPr>
            <w:r>
              <w:rPr>
                <w:sz w:val="15"/>
                <w:szCs w:val="15"/>
              </w:rPr>
              <w:t>2,390,808,456.94</w:t>
            </w:r>
          </w:p>
        </w:tc>
      </w:tr>
      <w:tr w:rsidR="00577D08" w14:paraId="536AE559" w14:textId="77777777">
        <w:sdt>
          <w:sdtPr>
            <w:rPr>
              <w:sz w:val="15"/>
              <w:szCs w:val="15"/>
            </w:rPr>
            <w:tag w:val="_PLD_5feb351bb250466a8fad5b20d2922c70"/>
            <w:id w:val="1800564802"/>
          </w:sdtPr>
          <w:sdtContent>
            <w:tc>
              <w:tcPr>
                <w:tcW w:w="959" w:type="dxa"/>
                <w:vAlign w:val="center"/>
              </w:tcPr>
              <w:p w14:paraId="13A38E0E" w14:textId="77777777" w:rsidR="00577D08" w:rsidRDefault="00330FC0">
                <w:pPr>
                  <w:rPr>
                    <w:sz w:val="15"/>
                    <w:szCs w:val="15"/>
                  </w:rPr>
                </w:pPr>
                <w:r>
                  <w:rPr>
                    <w:rFonts w:hint="eastAsia"/>
                    <w:sz w:val="15"/>
                    <w:szCs w:val="15"/>
                  </w:rPr>
                  <w:t>加：</w:t>
                </w:r>
                <w:r>
                  <w:rPr>
                    <w:sz w:val="15"/>
                    <w:szCs w:val="15"/>
                  </w:rPr>
                  <w:t>会计政策变更</w:t>
                </w:r>
              </w:p>
            </w:tc>
          </w:sdtContent>
        </w:sdt>
        <w:tc>
          <w:tcPr>
            <w:tcW w:w="992" w:type="dxa"/>
            <w:vAlign w:val="center"/>
          </w:tcPr>
          <w:p w14:paraId="048D77FF" w14:textId="77777777" w:rsidR="00577D08" w:rsidRDefault="00577D08">
            <w:pPr>
              <w:jc w:val="right"/>
              <w:rPr>
                <w:sz w:val="15"/>
                <w:szCs w:val="15"/>
              </w:rPr>
            </w:pPr>
          </w:p>
        </w:tc>
        <w:tc>
          <w:tcPr>
            <w:tcW w:w="284" w:type="dxa"/>
            <w:vAlign w:val="center"/>
          </w:tcPr>
          <w:p w14:paraId="42411AFF" w14:textId="77777777" w:rsidR="00577D08" w:rsidRDefault="00577D08">
            <w:pPr>
              <w:jc w:val="right"/>
              <w:rPr>
                <w:sz w:val="15"/>
                <w:szCs w:val="15"/>
              </w:rPr>
            </w:pPr>
          </w:p>
        </w:tc>
        <w:tc>
          <w:tcPr>
            <w:tcW w:w="425" w:type="dxa"/>
            <w:vAlign w:val="center"/>
          </w:tcPr>
          <w:p w14:paraId="56B58CAA" w14:textId="77777777" w:rsidR="00577D08" w:rsidRDefault="00577D08">
            <w:pPr>
              <w:jc w:val="right"/>
              <w:rPr>
                <w:sz w:val="15"/>
                <w:szCs w:val="15"/>
              </w:rPr>
            </w:pPr>
          </w:p>
        </w:tc>
        <w:tc>
          <w:tcPr>
            <w:tcW w:w="425" w:type="dxa"/>
            <w:vAlign w:val="center"/>
          </w:tcPr>
          <w:p w14:paraId="0DE24268" w14:textId="77777777" w:rsidR="00577D08" w:rsidRDefault="00577D08">
            <w:pPr>
              <w:jc w:val="right"/>
              <w:rPr>
                <w:sz w:val="15"/>
                <w:szCs w:val="15"/>
              </w:rPr>
            </w:pPr>
          </w:p>
        </w:tc>
        <w:tc>
          <w:tcPr>
            <w:tcW w:w="992" w:type="dxa"/>
            <w:vAlign w:val="center"/>
          </w:tcPr>
          <w:p w14:paraId="3C1A51CB" w14:textId="77777777" w:rsidR="00577D08" w:rsidRDefault="00577D08">
            <w:pPr>
              <w:jc w:val="right"/>
              <w:rPr>
                <w:sz w:val="15"/>
                <w:szCs w:val="15"/>
              </w:rPr>
            </w:pPr>
          </w:p>
        </w:tc>
        <w:tc>
          <w:tcPr>
            <w:tcW w:w="1134" w:type="dxa"/>
            <w:vAlign w:val="center"/>
          </w:tcPr>
          <w:p w14:paraId="58C0B38F" w14:textId="77777777" w:rsidR="00577D08" w:rsidRDefault="00577D08">
            <w:pPr>
              <w:jc w:val="right"/>
              <w:rPr>
                <w:sz w:val="15"/>
                <w:szCs w:val="15"/>
              </w:rPr>
            </w:pPr>
          </w:p>
        </w:tc>
        <w:tc>
          <w:tcPr>
            <w:tcW w:w="1134" w:type="dxa"/>
            <w:vAlign w:val="center"/>
          </w:tcPr>
          <w:p w14:paraId="73B5547B" w14:textId="77777777" w:rsidR="00577D08" w:rsidRDefault="00577D08">
            <w:pPr>
              <w:jc w:val="right"/>
              <w:rPr>
                <w:sz w:val="15"/>
                <w:szCs w:val="15"/>
              </w:rPr>
            </w:pPr>
          </w:p>
        </w:tc>
        <w:tc>
          <w:tcPr>
            <w:tcW w:w="1134" w:type="dxa"/>
            <w:vAlign w:val="center"/>
          </w:tcPr>
          <w:p w14:paraId="0E76E33B" w14:textId="77777777" w:rsidR="00577D08" w:rsidRDefault="00577D08">
            <w:pPr>
              <w:jc w:val="right"/>
              <w:rPr>
                <w:sz w:val="15"/>
                <w:szCs w:val="15"/>
              </w:rPr>
            </w:pPr>
          </w:p>
        </w:tc>
        <w:tc>
          <w:tcPr>
            <w:tcW w:w="993" w:type="dxa"/>
            <w:vAlign w:val="center"/>
          </w:tcPr>
          <w:p w14:paraId="01F7FB52" w14:textId="77777777" w:rsidR="00577D08" w:rsidRDefault="00577D08">
            <w:pPr>
              <w:jc w:val="right"/>
              <w:rPr>
                <w:sz w:val="15"/>
                <w:szCs w:val="15"/>
              </w:rPr>
            </w:pPr>
          </w:p>
        </w:tc>
        <w:tc>
          <w:tcPr>
            <w:tcW w:w="567" w:type="dxa"/>
            <w:vAlign w:val="center"/>
          </w:tcPr>
          <w:p w14:paraId="217124B3" w14:textId="77777777" w:rsidR="00577D08" w:rsidRDefault="00577D08">
            <w:pPr>
              <w:jc w:val="right"/>
              <w:rPr>
                <w:sz w:val="15"/>
                <w:szCs w:val="15"/>
              </w:rPr>
            </w:pPr>
          </w:p>
        </w:tc>
        <w:tc>
          <w:tcPr>
            <w:tcW w:w="992" w:type="dxa"/>
            <w:vAlign w:val="center"/>
          </w:tcPr>
          <w:p w14:paraId="0C99AB71" w14:textId="77777777" w:rsidR="00577D08" w:rsidRDefault="00577D08">
            <w:pPr>
              <w:jc w:val="right"/>
              <w:rPr>
                <w:sz w:val="15"/>
                <w:szCs w:val="15"/>
              </w:rPr>
            </w:pPr>
          </w:p>
        </w:tc>
        <w:tc>
          <w:tcPr>
            <w:tcW w:w="283" w:type="dxa"/>
            <w:vAlign w:val="center"/>
          </w:tcPr>
          <w:p w14:paraId="7E52D24F" w14:textId="77777777" w:rsidR="00577D08" w:rsidRDefault="00577D08">
            <w:pPr>
              <w:jc w:val="right"/>
              <w:rPr>
                <w:sz w:val="15"/>
                <w:szCs w:val="15"/>
              </w:rPr>
            </w:pPr>
          </w:p>
        </w:tc>
        <w:tc>
          <w:tcPr>
            <w:tcW w:w="1134" w:type="dxa"/>
            <w:vAlign w:val="center"/>
          </w:tcPr>
          <w:p w14:paraId="4A5B0CBF" w14:textId="77777777" w:rsidR="00577D08" w:rsidRDefault="00577D08">
            <w:pPr>
              <w:jc w:val="right"/>
              <w:rPr>
                <w:sz w:val="15"/>
                <w:szCs w:val="15"/>
              </w:rPr>
            </w:pPr>
          </w:p>
        </w:tc>
        <w:tc>
          <w:tcPr>
            <w:tcW w:w="1276" w:type="dxa"/>
            <w:vAlign w:val="center"/>
          </w:tcPr>
          <w:p w14:paraId="2204D288" w14:textId="77777777" w:rsidR="00577D08" w:rsidRDefault="00577D08">
            <w:pPr>
              <w:jc w:val="right"/>
              <w:rPr>
                <w:sz w:val="15"/>
                <w:szCs w:val="15"/>
              </w:rPr>
            </w:pPr>
          </w:p>
        </w:tc>
        <w:tc>
          <w:tcPr>
            <w:tcW w:w="1364" w:type="dxa"/>
            <w:vAlign w:val="center"/>
          </w:tcPr>
          <w:p w14:paraId="2E0D6866" w14:textId="77777777" w:rsidR="00577D08" w:rsidRDefault="00577D08">
            <w:pPr>
              <w:jc w:val="right"/>
              <w:rPr>
                <w:sz w:val="15"/>
                <w:szCs w:val="15"/>
              </w:rPr>
            </w:pPr>
          </w:p>
        </w:tc>
      </w:tr>
      <w:tr w:rsidR="00577D08" w14:paraId="6E996F0C" w14:textId="77777777">
        <w:sdt>
          <w:sdtPr>
            <w:rPr>
              <w:sz w:val="15"/>
              <w:szCs w:val="15"/>
            </w:rPr>
            <w:tag w:val="_PLD_b3480764b7144ae885e5b5b29f4f4705"/>
            <w:id w:val="-595780676"/>
          </w:sdtPr>
          <w:sdtContent>
            <w:tc>
              <w:tcPr>
                <w:tcW w:w="959" w:type="dxa"/>
                <w:vAlign w:val="center"/>
              </w:tcPr>
              <w:p w14:paraId="46ED6E6F" w14:textId="77777777" w:rsidR="00577D08" w:rsidRDefault="00330FC0">
                <w:pPr>
                  <w:ind w:firstLineChars="200" w:firstLine="300"/>
                  <w:rPr>
                    <w:sz w:val="15"/>
                    <w:szCs w:val="15"/>
                  </w:rPr>
                </w:pPr>
                <w:r>
                  <w:rPr>
                    <w:sz w:val="15"/>
                    <w:szCs w:val="15"/>
                  </w:rPr>
                  <w:t>前期差错更正</w:t>
                </w:r>
              </w:p>
            </w:tc>
          </w:sdtContent>
        </w:sdt>
        <w:tc>
          <w:tcPr>
            <w:tcW w:w="992" w:type="dxa"/>
            <w:vAlign w:val="center"/>
          </w:tcPr>
          <w:p w14:paraId="1DB26FC5" w14:textId="77777777" w:rsidR="00577D08" w:rsidRDefault="00577D08">
            <w:pPr>
              <w:jc w:val="right"/>
              <w:rPr>
                <w:sz w:val="15"/>
                <w:szCs w:val="15"/>
              </w:rPr>
            </w:pPr>
          </w:p>
        </w:tc>
        <w:tc>
          <w:tcPr>
            <w:tcW w:w="284" w:type="dxa"/>
            <w:vAlign w:val="center"/>
          </w:tcPr>
          <w:p w14:paraId="61768B11" w14:textId="77777777" w:rsidR="00577D08" w:rsidRDefault="00577D08">
            <w:pPr>
              <w:jc w:val="right"/>
              <w:rPr>
                <w:sz w:val="15"/>
                <w:szCs w:val="15"/>
              </w:rPr>
            </w:pPr>
          </w:p>
        </w:tc>
        <w:tc>
          <w:tcPr>
            <w:tcW w:w="425" w:type="dxa"/>
            <w:vAlign w:val="center"/>
          </w:tcPr>
          <w:p w14:paraId="1BC1F55A" w14:textId="77777777" w:rsidR="00577D08" w:rsidRDefault="00577D08">
            <w:pPr>
              <w:jc w:val="right"/>
              <w:rPr>
                <w:sz w:val="15"/>
                <w:szCs w:val="15"/>
              </w:rPr>
            </w:pPr>
          </w:p>
        </w:tc>
        <w:tc>
          <w:tcPr>
            <w:tcW w:w="425" w:type="dxa"/>
            <w:vAlign w:val="center"/>
          </w:tcPr>
          <w:p w14:paraId="7AEE3FEE" w14:textId="77777777" w:rsidR="00577D08" w:rsidRDefault="00577D08">
            <w:pPr>
              <w:jc w:val="right"/>
              <w:rPr>
                <w:sz w:val="15"/>
                <w:szCs w:val="15"/>
              </w:rPr>
            </w:pPr>
          </w:p>
        </w:tc>
        <w:tc>
          <w:tcPr>
            <w:tcW w:w="992" w:type="dxa"/>
            <w:vAlign w:val="center"/>
          </w:tcPr>
          <w:p w14:paraId="21177D2E" w14:textId="77777777" w:rsidR="00577D08" w:rsidRDefault="00577D08">
            <w:pPr>
              <w:jc w:val="right"/>
              <w:rPr>
                <w:sz w:val="15"/>
                <w:szCs w:val="15"/>
              </w:rPr>
            </w:pPr>
          </w:p>
        </w:tc>
        <w:tc>
          <w:tcPr>
            <w:tcW w:w="1134" w:type="dxa"/>
            <w:vAlign w:val="center"/>
          </w:tcPr>
          <w:p w14:paraId="1D2A20F5" w14:textId="77777777" w:rsidR="00577D08" w:rsidRDefault="00577D08">
            <w:pPr>
              <w:jc w:val="right"/>
              <w:rPr>
                <w:sz w:val="15"/>
                <w:szCs w:val="15"/>
              </w:rPr>
            </w:pPr>
          </w:p>
        </w:tc>
        <w:tc>
          <w:tcPr>
            <w:tcW w:w="1134" w:type="dxa"/>
            <w:vAlign w:val="center"/>
          </w:tcPr>
          <w:p w14:paraId="743F2946" w14:textId="77777777" w:rsidR="00577D08" w:rsidRDefault="00577D08">
            <w:pPr>
              <w:jc w:val="right"/>
              <w:rPr>
                <w:sz w:val="15"/>
                <w:szCs w:val="15"/>
              </w:rPr>
            </w:pPr>
          </w:p>
        </w:tc>
        <w:tc>
          <w:tcPr>
            <w:tcW w:w="1134" w:type="dxa"/>
            <w:vAlign w:val="center"/>
          </w:tcPr>
          <w:p w14:paraId="361F4D34" w14:textId="77777777" w:rsidR="00577D08" w:rsidRDefault="00577D08">
            <w:pPr>
              <w:jc w:val="right"/>
              <w:rPr>
                <w:sz w:val="15"/>
                <w:szCs w:val="15"/>
              </w:rPr>
            </w:pPr>
          </w:p>
        </w:tc>
        <w:tc>
          <w:tcPr>
            <w:tcW w:w="993" w:type="dxa"/>
            <w:vAlign w:val="center"/>
          </w:tcPr>
          <w:p w14:paraId="69E19795" w14:textId="77777777" w:rsidR="00577D08" w:rsidRDefault="00577D08">
            <w:pPr>
              <w:jc w:val="right"/>
              <w:rPr>
                <w:sz w:val="15"/>
                <w:szCs w:val="15"/>
              </w:rPr>
            </w:pPr>
          </w:p>
        </w:tc>
        <w:tc>
          <w:tcPr>
            <w:tcW w:w="567" w:type="dxa"/>
            <w:vAlign w:val="center"/>
          </w:tcPr>
          <w:p w14:paraId="0E812B37" w14:textId="77777777" w:rsidR="00577D08" w:rsidRDefault="00577D08">
            <w:pPr>
              <w:jc w:val="right"/>
              <w:rPr>
                <w:sz w:val="15"/>
                <w:szCs w:val="15"/>
              </w:rPr>
            </w:pPr>
          </w:p>
        </w:tc>
        <w:tc>
          <w:tcPr>
            <w:tcW w:w="992" w:type="dxa"/>
            <w:vAlign w:val="center"/>
          </w:tcPr>
          <w:p w14:paraId="0C6388AB" w14:textId="77777777" w:rsidR="00577D08" w:rsidRDefault="00577D08">
            <w:pPr>
              <w:jc w:val="right"/>
              <w:rPr>
                <w:sz w:val="15"/>
                <w:szCs w:val="15"/>
              </w:rPr>
            </w:pPr>
          </w:p>
        </w:tc>
        <w:tc>
          <w:tcPr>
            <w:tcW w:w="283" w:type="dxa"/>
            <w:vAlign w:val="center"/>
          </w:tcPr>
          <w:p w14:paraId="617EB7A0" w14:textId="77777777" w:rsidR="00577D08" w:rsidRDefault="00577D08">
            <w:pPr>
              <w:jc w:val="right"/>
              <w:rPr>
                <w:sz w:val="15"/>
                <w:szCs w:val="15"/>
              </w:rPr>
            </w:pPr>
          </w:p>
        </w:tc>
        <w:tc>
          <w:tcPr>
            <w:tcW w:w="1134" w:type="dxa"/>
            <w:vAlign w:val="center"/>
          </w:tcPr>
          <w:p w14:paraId="5557551B" w14:textId="77777777" w:rsidR="00577D08" w:rsidRDefault="00577D08">
            <w:pPr>
              <w:jc w:val="right"/>
              <w:rPr>
                <w:sz w:val="15"/>
                <w:szCs w:val="15"/>
              </w:rPr>
            </w:pPr>
          </w:p>
        </w:tc>
        <w:tc>
          <w:tcPr>
            <w:tcW w:w="1276" w:type="dxa"/>
            <w:vAlign w:val="center"/>
          </w:tcPr>
          <w:p w14:paraId="1268E0CD" w14:textId="77777777" w:rsidR="00577D08" w:rsidRDefault="00577D08">
            <w:pPr>
              <w:jc w:val="right"/>
              <w:rPr>
                <w:sz w:val="15"/>
                <w:szCs w:val="15"/>
              </w:rPr>
            </w:pPr>
          </w:p>
        </w:tc>
        <w:tc>
          <w:tcPr>
            <w:tcW w:w="1364" w:type="dxa"/>
            <w:vAlign w:val="center"/>
          </w:tcPr>
          <w:p w14:paraId="5C84D2D7" w14:textId="77777777" w:rsidR="00577D08" w:rsidRDefault="00577D08">
            <w:pPr>
              <w:jc w:val="right"/>
              <w:rPr>
                <w:sz w:val="15"/>
                <w:szCs w:val="15"/>
              </w:rPr>
            </w:pPr>
          </w:p>
        </w:tc>
      </w:tr>
      <w:tr w:rsidR="00577D08" w14:paraId="2BB67ECB" w14:textId="77777777">
        <w:sdt>
          <w:sdtPr>
            <w:rPr>
              <w:sz w:val="15"/>
              <w:szCs w:val="15"/>
            </w:rPr>
            <w:tag w:val="_PLD_3226061f12cf4cf887adc2639edc13d6"/>
            <w:id w:val="1511173753"/>
          </w:sdtPr>
          <w:sdtContent>
            <w:tc>
              <w:tcPr>
                <w:tcW w:w="959" w:type="dxa"/>
                <w:vAlign w:val="center"/>
              </w:tcPr>
              <w:p w14:paraId="0F46239C" w14:textId="77777777" w:rsidR="00577D08" w:rsidRDefault="00330FC0">
                <w:pPr>
                  <w:ind w:firstLineChars="200" w:firstLine="300"/>
                  <w:rPr>
                    <w:sz w:val="15"/>
                    <w:szCs w:val="15"/>
                  </w:rPr>
                </w:pPr>
                <w:r>
                  <w:rPr>
                    <w:rFonts w:hint="eastAsia"/>
                    <w:sz w:val="15"/>
                    <w:szCs w:val="15"/>
                  </w:rPr>
                  <w:t>其他</w:t>
                </w:r>
              </w:p>
            </w:tc>
          </w:sdtContent>
        </w:sdt>
        <w:tc>
          <w:tcPr>
            <w:tcW w:w="992" w:type="dxa"/>
            <w:vAlign w:val="center"/>
          </w:tcPr>
          <w:p w14:paraId="10D0E214" w14:textId="77777777" w:rsidR="00577D08" w:rsidRDefault="00577D08">
            <w:pPr>
              <w:jc w:val="right"/>
              <w:rPr>
                <w:sz w:val="15"/>
                <w:szCs w:val="15"/>
              </w:rPr>
            </w:pPr>
          </w:p>
        </w:tc>
        <w:tc>
          <w:tcPr>
            <w:tcW w:w="284" w:type="dxa"/>
            <w:vAlign w:val="center"/>
          </w:tcPr>
          <w:p w14:paraId="387DDAE7" w14:textId="77777777" w:rsidR="00577D08" w:rsidRDefault="00577D08">
            <w:pPr>
              <w:jc w:val="right"/>
              <w:rPr>
                <w:sz w:val="15"/>
                <w:szCs w:val="15"/>
              </w:rPr>
            </w:pPr>
          </w:p>
        </w:tc>
        <w:tc>
          <w:tcPr>
            <w:tcW w:w="425" w:type="dxa"/>
            <w:vAlign w:val="center"/>
          </w:tcPr>
          <w:p w14:paraId="4F43AE41" w14:textId="77777777" w:rsidR="00577D08" w:rsidRDefault="00577D08">
            <w:pPr>
              <w:jc w:val="right"/>
              <w:rPr>
                <w:sz w:val="15"/>
                <w:szCs w:val="15"/>
              </w:rPr>
            </w:pPr>
          </w:p>
        </w:tc>
        <w:tc>
          <w:tcPr>
            <w:tcW w:w="425" w:type="dxa"/>
            <w:vAlign w:val="center"/>
          </w:tcPr>
          <w:p w14:paraId="7280C163" w14:textId="77777777" w:rsidR="00577D08" w:rsidRDefault="00577D08">
            <w:pPr>
              <w:jc w:val="right"/>
              <w:rPr>
                <w:sz w:val="15"/>
                <w:szCs w:val="15"/>
              </w:rPr>
            </w:pPr>
          </w:p>
        </w:tc>
        <w:tc>
          <w:tcPr>
            <w:tcW w:w="992" w:type="dxa"/>
            <w:vAlign w:val="center"/>
          </w:tcPr>
          <w:p w14:paraId="5087E1A2" w14:textId="77777777" w:rsidR="00577D08" w:rsidRDefault="00577D08">
            <w:pPr>
              <w:jc w:val="right"/>
              <w:rPr>
                <w:sz w:val="15"/>
                <w:szCs w:val="15"/>
              </w:rPr>
            </w:pPr>
          </w:p>
        </w:tc>
        <w:tc>
          <w:tcPr>
            <w:tcW w:w="1134" w:type="dxa"/>
            <w:vAlign w:val="center"/>
          </w:tcPr>
          <w:p w14:paraId="07E7E8A2" w14:textId="77777777" w:rsidR="00577D08" w:rsidRDefault="00577D08">
            <w:pPr>
              <w:jc w:val="right"/>
              <w:rPr>
                <w:sz w:val="15"/>
                <w:szCs w:val="15"/>
              </w:rPr>
            </w:pPr>
          </w:p>
        </w:tc>
        <w:tc>
          <w:tcPr>
            <w:tcW w:w="1134" w:type="dxa"/>
            <w:vAlign w:val="center"/>
          </w:tcPr>
          <w:p w14:paraId="66D44E17" w14:textId="77777777" w:rsidR="00577D08" w:rsidRDefault="00577D08">
            <w:pPr>
              <w:jc w:val="right"/>
              <w:rPr>
                <w:sz w:val="15"/>
                <w:szCs w:val="15"/>
              </w:rPr>
            </w:pPr>
          </w:p>
        </w:tc>
        <w:tc>
          <w:tcPr>
            <w:tcW w:w="1134" w:type="dxa"/>
            <w:vAlign w:val="center"/>
          </w:tcPr>
          <w:p w14:paraId="79C4ADE1" w14:textId="77777777" w:rsidR="00577D08" w:rsidRDefault="00577D08">
            <w:pPr>
              <w:jc w:val="right"/>
              <w:rPr>
                <w:sz w:val="15"/>
                <w:szCs w:val="15"/>
              </w:rPr>
            </w:pPr>
          </w:p>
        </w:tc>
        <w:tc>
          <w:tcPr>
            <w:tcW w:w="993" w:type="dxa"/>
            <w:vAlign w:val="center"/>
          </w:tcPr>
          <w:p w14:paraId="094F95AA" w14:textId="77777777" w:rsidR="00577D08" w:rsidRDefault="00577D08">
            <w:pPr>
              <w:jc w:val="right"/>
              <w:rPr>
                <w:sz w:val="15"/>
                <w:szCs w:val="15"/>
              </w:rPr>
            </w:pPr>
          </w:p>
        </w:tc>
        <w:tc>
          <w:tcPr>
            <w:tcW w:w="567" w:type="dxa"/>
            <w:vAlign w:val="center"/>
          </w:tcPr>
          <w:p w14:paraId="4D2D5739" w14:textId="77777777" w:rsidR="00577D08" w:rsidRDefault="00577D08">
            <w:pPr>
              <w:jc w:val="right"/>
              <w:rPr>
                <w:sz w:val="15"/>
                <w:szCs w:val="15"/>
              </w:rPr>
            </w:pPr>
          </w:p>
        </w:tc>
        <w:tc>
          <w:tcPr>
            <w:tcW w:w="992" w:type="dxa"/>
            <w:vAlign w:val="center"/>
          </w:tcPr>
          <w:p w14:paraId="5F7815F3" w14:textId="77777777" w:rsidR="00577D08" w:rsidRDefault="00577D08">
            <w:pPr>
              <w:jc w:val="right"/>
              <w:rPr>
                <w:sz w:val="15"/>
                <w:szCs w:val="15"/>
              </w:rPr>
            </w:pPr>
          </w:p>
        </w:tc>
        <w:tc>
          <w:tcPr>
            <w:tcW w:w="283" w:type="dxa"/>
            <w:vAlign w:val="center"/>
          </w:tcPr>
          <w:p w14:paraId="1CEEE8DE" w14:textId="77777777" w:rsidR="00577D08" w:rsidRDefault="00577D08">
            <w:pPr>
              <w:jc w:val="right"/>
              <w:rPr>
                <w:sz w:val="15"/>
                <w:szCs w:val="15"/>
              </w:rPr>
            </w:pPr>
          </w:p>
        </w:tc>
        <w:tc>
          <w:tcPr>
            <w:tcW w:w="1134" w:type="dxa"/>
            <w:vAlign w:val="center"/>
          </w:tcPr>
          <w:p w14:paraId="14683B1B" w14:textId="77777777" w:rsidR="00577D08" w:rsidRDefault="00577D08">
            <w:pPr>
              <w:jc w:val="right"/>
              <w:rPr>
                <w:sz w:val="15"/>
                <w:szCs w:val="15"/>
              </w:rPr>
            </w:pPr>
          </w:p>
        </w:tc>
        <w:tc>
          <w:tcPr>
            <w:tcW w:w="1276" w:type="dxa"/>
            <w:vAlign w:val="center"/>
          </w:tcPr>
          <w:p w14:paraId="7DB045F5" w14:textId="77777777" w:rsidR="00577D08" w:rsidRDefault="00577D08">
            <w:pPr>
              <w:jc w:val="right"/>
              <w:rPr>
                <w:sz w:val="15"/>
                <w:szCs w:val="15"/>
              </w:rPr>
            </w:pPr>
          </w:p>
        </w:tc>
        <w:tc>
          <w:tcPr>
            <w:tcW w:w="1364" w:type="dxa"/>
            <w:vAlign w:val="center"/>
          </w:tcPr>
          <w:p w14:paraId="6E78CF52" w14:textId="77777777" w:rsidR="00577D08" w:rsidRDefault="00577D08">
            <w:pPr>
              <w:jc w:val="right"/>
              <w:rPr>
                <w:sz w:val="15"/>
                <w:szCs w:val="15"/>
              </w:rPr>
            </w:pPr>
          </w:p>
        </w:tc>
      </w:tr>
      <w:tr w:rsidR="00577D08" w14:paraId="0C2B6824" w14:textId="77777777">
        <w:sdt>
          <w:sdtPr>
            <w:rPr>
              <w:sz w:val="15"/>
              <w:szCs w:val="15"/>
            </w:rPr>
            <w:tag w:val="_PLD_6438083d485a4ed1a2cb2a35b3d400f3"/>
            <w:id w:val="-1415936380"/>
          </w:sdtPr>
          <w:sdtContent>
            <w:tc>
              <w:tcPr>
                <w:tcW w:w="959" w:type="dxa"/>
                <w:vAlign w:val="center"/>
              </w:tcPr>
              <w:p w14:paraId="132AEAEB" w14:textId="77777777" w:rsidR="00577D08" w:rsidRDefault="00330FC0">
                <w:pPr>
                  <w:rPr>
                    <w:sz w:val="15"/>
                    <w:szCs w:val="15"/>
                  </w:rPr>
                </w:pPr>
                <w:r>
                  <w:rPr>
                    <w:sz w:val="15"/>
                    <w:szCs w:val="15"/>
                  </w:rPr>
                  <w:t>二、本年</w:t>
                </w:r>
                <w:r>
                  <w:rPr>
                    <w:rFonts w:hint="eastAsia"/>
                    <w:sz w:val="15"/>
                    <w:szCs w:val="15"/>
                  </w:rPr>
                  <w:t>期</w:t>
                </w:r>
                <w:r>
                  <w:rPr>
                    <w:sz w:val="15"/>
                    <w:szCs w:val="15"/>
                  </w:rPr>
                  <w:t>初余额</w:t>
                </w:r>
              </w:p>
            </w:tc>
          </w:sdtContent>
        </w:sdt>
        <w:tc>
          <w:tcPr>
            <w:tcW w:w="992" w:type="dxa"/>
            <w:vAlign w:val="center"/>
          </w:tcPr>
          <w:p w14:paraId="7083038C" w14:textId="77777777" w:rsidR="00577D08" w:rsidRDefault="00330FC0">
            <w:pPr>
              <w:jc w:val="right"/>
              <w:rPr>
                <w:sz w:val="15"/>
                <w:szCs w:val="15"/>
              </w:rPr>
            </w:pPr>
            <w:r>
              <w:rPr>
                <w:sz w:val="15"/>
                <w:szCs w:val="15"/>
              </w:rPr>
              <w:t>333,167,407.00</w:t>
            </w:r>
          </w:p>
        </w:tc>
        <w:tc>
          <w:tcPr>
            <w:tcW w:w="284" w:type="dxa"/>
            <w:vAlign w:val="center"/>
          </w:tcPr>
          <w:p w14:paraId="6D2C0B51" w14:textId="77777777" w:rsidR="00577D08" w:rsidRDefault="00577D08">
            <w:pPr>
              <w:jc w:val="right"/>
              <w:rPr>
                <w:sz w:val="15"/>
                <w:szCs w:val="15"/>
              </w:rPr>
            </w:pPr>
          </w:p>
        </w:tc>
        <w:tc>
          <w:tcPr>
            <w:tcW w:w="425" w:type="dxa"/>
            <w:vAlign w:val="center"/>
          </w:tcPr>
          <w:p w14:paraId="4DBB0D33" w14:textId="77777777" w:rsidR="00577D08" w:rsidRDefault="00577D08">
            <w:pPr>
              <w:jc w:val="right"/>
              <w:rPr>
                <w:sz w:val="15"/>
                <w:szCs w:val="15"/>
              </w:rPr>
            </w:pPr>
          </w:p>
        </w:tc>
        <w:tc>
          <w:tcPr>
            <w:tcW w:w="425" w:type="dxa"/>
            <w:vAlign w:val="center"/>
          </w:tcPr>
          <w:p w14:paraId="1BF6313A" w14:textId="77777777" w:rsidR="00577D08" w:rsidRDefault="00577D08">
            <w:pPr>
              <w:jc w:val="right"/>
              <w:rPr>
                <w:sz w:val="15"/>
                <w:szCs w:val="15"/>
              </w:rPr>
            </w:pPr>
          </w:p>
        </w:tc>
        <w:tc>
          <w:tcPr>
            <w:tcW w:w="992" w:type="dxa"/>
            <w:vAlign w:val="center"/>
          </w:tcPr>
          <w:p w14:paraId="4ECB2D6D" w14:textId="77777777" w:rsidR="00577D08" w:rsidRDefault="00330FC0">
            <w:pPr>
              <w:jc w:val="right"/>
              <w:rPr>
                <w:sz w:val="15"/>
                <w:szCs w:val="15"/>
              </w:rPr>
            </w:pPr>
            <w:r>
              <w:rPr>
                <w:sz w:val="15"/>
                <w:szCs w:val="15"/>
              </w:rPr>
              <w:t>975,698,666.95</w:t>
            </w:r>
          </w:p>
        </w:tc>
        <w:tc>
          <w:tcPr>
            <w:tcW w:w="1134" w:type="dxa"/>
            <w:vAlign w:val="center"/>
          </w:tcPr>
          <w:p w14:paraId="639A80A4" w14:textId="77777777" w:rsidR="00577D08" w:rsidRDefault="00330FC0">
            <w:pPr>
              <w:jc w:val="right"/>
              <w:rPr>
                <w:sz w:val="15"/>
                <w:szCs w:val="15"/>
              </w:rPr>
            </w:pPr>
            <w:r>
              <w:rPr>
                <w:sz w:val="15"/>
                <w:szCs w:val="15"/>
              </w:rPr>
              <w:t>50,299,241.28</w:t>
            </w:r>
          </w:p>
        </w:tc>
        <w:tc>
          <w:tcPr>
            <w:tcW w:w="1134" w:type="dxa"/>
            <w:vAlign w:val="center"/>
          </w:tcPr>
          <w:p w14:paraId="39460FCF" w14:textId="77777777" w:rsidR="00577D08" w:rsidRDefault="00577D08">
            <w:pPr>
              <w:jc w:val="right"/>
              <w:rPr>
                <w:sz w:val="15"/>
                <w:szCs w:val="15"/>
              </w:rPr>
            </w:pPr>
          </w:p>
        </w:tc>
        <w:tc>
          <w:tcPr>
            <w:tcW w:w="1134" w:type="dxa"/>
            <w:vAlign w:val="center"/>
          </w:tcPr>
          <w:p w14:paraId="4FD9582F" w14:textId="77777777" w:rsidR="00577D08" w:rsidRDefault="00330FC0">
            <w:pPr>
              <w:jc w:val="right"/>
              <w:rPr>
                <w:sz w:val="15"/>
                <w:szCs w:val="15"/>
              </w:rPr>
            </w:pPr>
            <w:r>
              <w:rPr>
                <w:sz w:val="15"/>
                <w:szCs w:val="15"/>
              </w:rPr>
              <w:t>21,903,104.70</w:t>
            </w:r>
          </w:p>
        </w:tc>
        <w:tc>
          <w:tcPr>
            <w:tcW w:w="993" w:type="dxa"/>
            <w:vAlign w:val="center"/>
          </w:tcPr>
          <w:p w14:paraId="6018D0B3" w14:textId="77777777" w:rsidR="00577D08" w:rsidRDefault="00330FC0">
            <w:pPr>
              <w:jc w:val="right"/>
              <w:rPr>
                <w:sz w:val="15"/>
                <w:szCs w:val="15"/>
              </w:rPr>
            </w:pPr>
            <w:r>
              <w:rPr>
                <w:sz w:val="15"/>
                <w:szCs w:val="15"/>
              </w:rPr>
              <w:t>118,088,672.71</w:t>
            </w:r>
          </w:p>
        </w:tc>
        <w:tc>
          <w:tcPr>
            <w:tcW w:w="567" w:type="dxa"/>
            <w:vAlign w:val="center"/>
          </w:tcPr>
          <w:p w14:paraId="330B43C3" w14:textId="77777777" w:rsidR="00577D08" w:rsidRDefault="00577D08">
            <w:pPr>
              <w:jc w:val="right"/>
              <w:rPr>
                <w:sz w:val="15"/>
                <w:szCs w:val="15"/>
              </w:rPr>
            </w:pPr>
          </w:p>
        </w:tc>
        <w:tc>
          <w:tcPr>
            <w:tcW w:w="992" w:type="dxa"/>
            <w:vAlign w:val="center"/>
          </w:tcPr>
          <w:p w14:paraId="5233566C" w14:textId="77777777" w:rsidR="00577D08" w:rsidRDefault="00330FC0">
            <w:pPr>
              <w:jc w:val="right"/>
              <w:rPr>
                <w:sz w:val="15"/>
                <w:szCs w:val="15"/>
              </w:rPr>
            </w:pPr>
            <w:r>
              <w:rPr>
                <w:sz w:val="15"/>
                <w:szCs w:val="15"/>
              </w:rPr>
              <w:t>992,249,846.86</w:t>
            </w:r>
          </w:p>
        </w:tc>
        <w:tc>
          <w:tcPr>
            <w:tcW w:w="283" w:type="dxa"/>
            <w:vAlign w:val="center"/>
          </w:tcPr>
          <w:p w14:paraId="16874B1F" w14:textId="77777777" w:rsidR="00577D08" w:rsidRDefault="00577D08">
            <w:pPr>
              <w:jc w:val="right"/>
              <w:rPr>
                <w:sz w:val="15"/>
                <w:szCs w:val="15"/>
              </w:rPr>
            </w:pPr>
          </w:p>
        </w:tc>
        <w:tc>
          <w:tcPr>
            <w:tcW w:w="1134" w:type="dxa"/>
            <w:vAlign w:val="center"/>
          </w:tcPr>
          <w:p w14:paraId="5F59AE97" w14:textId="77777777" w:rsidR="00577D08" w:rsidRDefault="00330FC0">
            <w:pPr>
              <w:jc w:val="right"/>
              <w:rPr>
                <w:sz w:val="15"/>
                <w:szCs w:val="15"/>
              </w:rPr>
            </w:pPr>
            <w:r>
              <w:rPr>
                <w:sz w:val="15"/>
                <w:szCs w:val="15"/>
              </w:rPr>
              <w:t>2,390,808,456.94</w:t>
            </w:r>
          </w:p>
        </w:tc>
        <w:tc>
          <w:tcPr>
            <w:tcW w:w="1276" w:type="dxa"/>
            <w:vAlign w:val="center"/>
          </w:tcPr>
          <w:p w14:paraId="0E8BB7E4" w14:textId="77777777" w:rsidR="00577D08" w:rsidRDefault="00577D08">
            <w:pPr>
              <w:jc w:val="right"/>
              <w:rPr>
                <w:sz w:val="15"/>
                <w:szCs w:val="15"/>
              </w:rPr>
            </w:pPr>
          </w:p>
        </w:tc>
        <w:tc>
          <w:tcPr>
            <w:tcW w:w="1364" w:type="dxa"/>
            <w:vAlign w:val="center"/>
          </w:tcPr>
          <w:p w14:paraId="211A61EC" w14:textId="77777777" w:rsidR="00577D08" w:rsidRDefault="00330FC0">
            <w:pPr>
              <w:jc w:val="right"/>
              <w:rPr>
                <w:sz w:val="15"/>
                <w:szCs w:val="15"/>
              </w:rPr>
            </w:pPr>
            <w:r>
              <w:rPr>
                <w:sz w:val="15"/>
                <w:szCs w:val="15"/>
              </w:rPr>
              <w:t>2,390,808,456.94</w:t>
            </w:r>
          </w:p>
        </w:tc>
      </w:tr>
      <w:tr w:rsidR="00577D08" w14:paraId="1672DD59" w14:textId="77777777">
        <w:sdt>
          <w:sdtPr>
            <w:rPr>
              <w:sz w:val="15"/>
              <w:szCs w:val="15"/>
            </w:rPr>
            <w:tag w:val="_PLD_a0d70a8ecfa64251bc0240cb363e3dd7"/>
            <w:id w:val="-637879426"/>
          </w:sdtPr>
          <w:sdtContent>
            <w:tc>
              <w:tcPr>
                <w:tcW w:w="959" w:type="dxa"/>
                <w:vAlign w:val="center"/>
              </w:tcPr>
              <w:p w14:paraId="7846D28A" w14:textId="77777777" w:rsidR="00577D08" w:rsidRDefault="00330FC0">
                <w:pPr>
                  <w:rPr>
                    <w:sz w:val="15"/>
                    <w:szCs w:val="15"/>
                  </w:rPr>
                </w:pPr>
                <w:r>
                  <w:rPr>
                    <w:sz w:val="15"/>
                    <w:szCs w:val="15"/>
                  </w:rPr>
                  <w:t>三、本</w:t>
                </w:r>
                <w:r>
                  <w:rPr>
                    <w:rFonts w:hint="eastAsia"/>
                    <w:sz w:val="15"/>
                    <w:szCs w:val="15"/>
                  </w:rPr>
                  <w:t>期</w:t>
                </w:r>
                <w:r>
                  <w:rPr>
                    <w:sz w:val="15"/>
                    <w:szCs w:val="15"/>
                  </w:rPr>
                  <w:t>增减变动金额（减少以</w:t>
                </w:r>
                <w:r>
                  <w:rPr>
                    <w:sz w:val="15"/>
                    <w:szCs w:val="15"/>
                  </w:rPr>
                  <w:t>“</w:t>
                </w:r>
                <w:r>
                  <w:rPr>
                    <w:sz w:val="15"/>
                    <w:szCs w:val="15"/>
                  </w:rPr>
                  <w:t>－</w:t>
                </w:r>
                <w:r>
                  <w:rPr>
                    <w:sz w:val="15"/>
                    <w:szCs w:val="15"/>
                  </w:rPr>
                  <w:t>”</w:t>
                </w:r>
                <w:r>
                  <w:rPr>
                    <w:sz w:val="15"/>
                    <w:szCs w:val="15"/>
                  </w:rPr>
                  <w:t>号填列）</w:t>
                </w:r>
              </w:p>
            </w:tc>
          </w:sdtContent>
        </w:sdt>
        <w:tc>
          <w:tcPr>
            <w:tcW w:w="992" w:type="dxa"/>
            <w:vAlign w:val="center"/>
          </w:tcPr>
          <w:p w14:paraId="5007F171" w14:textId="77777777" w:rsidR="00577D08" w:rsidRDefault="00577D08">
            <w:pPr>
              <w:jc w:val="right"/>
              <w:rPr>
                <w:sz w:val="15"/>
                <w:szCs w:val="15"/>
              </w:rPr>
            </w:pPr>
          </w:p>
        </w:tc>
        <w:tc>
          <w:tcPr>
            <w:tcW w:w="284" w:type="dxa"/>
            <w:vAlign w:val="center"/>
          </w:tcPr>
          <w:p w14:paraId="5BC658E3" w14:textId="77777777" w:rsidR="00577D08" w:rsidRDefault="00577D08">
            <w:pPr>
              <w:jc w:val="right"/>
              <w:rPr>
                <w:sz w:val="15"/>
                <w:szCs w:val="15"/>
              </w:rPr>
            </w:pPr>
          </w:p>
        </w:tc>
        <w:tc>
          <w:tcPr>
            <w:tcW w:w="425" w:type="dxa"/>
            <w:vAlign w:val="center"/>
          </w:tcPr>
          <w:p w14:paraId="634CD853" w14:textId="77777777" w:rsidR="00577D08" w:rsidRDefault="00577D08">
            <w:pPr>
              <w:jc w:val="right"/>
              <w:rPr>
                <w:sz w:val="15"/>
                <w:szCs w:val="15"/>
              </w:rPr>
            </w:pPr>
          </w:p>
        </w:tc>
        <w:tc>
          <w:tcPr>
            <w:tcW w:w="425" w:type="dxa"/>
            <w:vAlign w:val="center"/>
          </w:tcPr>
          <w:p w14:paraId="1613DC85" w14:textId="77777777" w:rsidR="00577D08" w:rsidRDefault="00577D08">
            <w:pPr>
              <w:jc w:val="right"/>
              <w:rPr>
                <w:sz w:val="15"/>
                <w:szCs w:val="15"/>
              </w:rPr>
            </w:pPr>
          </w:p>
        </w:tc>
        <w:tc>
          <w:tcPr>
            <w:tcW w:w="992" w:type="dxa"/>
            <w:vAlign w:val="center"/>
          </w:tcPr>
          <w:p w14:paraId="12FF912B" w14:textId="77777777" w:rsidR="00577D08" w:rsidRDefault="00330FC0">
            <w:pPr>
              <w:jc w:val="right"/>
              <w:rPr>
                <w:sz w:val="15"/>
                <w:szCs w:val="15"/>
              </w:rPr>
            </w:pPr>
            <w:r>
              <w:rPr>
                <w:sz w:val="15"/>
                <w:szCs w:val="15"/>
              </w:rPr>
              <w:t>-14,824,944.44</w:t>
            </w:r>
          </w:p>
        </w:tc>
        <w:tc>
          <w:tcPr>
            <w:tcW w:w="1134" w:type="dxa"/>
            <w:vAlign w:val="center"/>
          </w:tcPr>
          <w:p w14:paraId="7170D098" w14:textId="77777777" w:rsidR="00577D08" w:rsidRDefault="00330FC0">
            <w:pPr>
              <w:jc w:val="right"/>
              <w:rPr>
                <w:sz w:val="15"/>
                <w:szCs w:val="15"/>
              </w:rPr>
            </w:pPr>
            <w:r>
              <w:rPr>
                <w:sz w:val="15"/>
                <w:szCs w:val="15"/>
              </w:rPr>
              <w:t>-19,405,500.00</w:t>
            </w:r>
          </w:p>
        </w:tc>
        <w:tc>
          <w:tcPr>
            <w:tcW w:w="1134" w:type="dxa"/>
            <w:vAlign w:val="center"/>
          </w:tcPr>
          <w:p w14:paraId="0FFF5D58" w14:textId="77777777" w:rsidR="00577D08" w:rsidRDefault="00330FC0">
            <w:pPr>
              <w:jc w:val="right"/>
              <w:rPr>
                <w:sz w:val="15"/>
                <w:szCs w:val="15"/>
              </w:rPr>
            </w:pPr>
            <w:r>
              <w:rPr>
                <w:sz w:val="15"/>
                <w:szCs w:val="15"/>
              </w:rPr>
              <w:t>2,027,597.71</w:t>
            </w:r>
          </w:p>
        </w:tc>
        <w:tc>
          <w:tcPr>
            <w:tcW w:w="1134" w:type="dxa"/>
            <w:vAlign w:val="center"/>
          </w:tcPr>
          <w:p w14:paraId="52ACB1D7" w14:textId="77777777" w:rsidR="00577D08" w:rsidRDefault="00330FC0">
            <w:pPr>
              <w:jc w:val="right"/>
              <w:rPr>
                <w:sz w:val="15"/>
                <w:szCs w:val="15"/>
              </w:rPr>
            </w:pPr>
            <w:r>
              <w:rPr>
                <w:sz w:val="15"/>
                <w:szCs w:val="15"/>
              </w:rPr>
              <w:t>537,456.58</w:t>
            </w:r>
          </w:p>
        </w:tc>
        <w:tc>
          <w:tcPr>
            <w:tcW w:w="993" w:type="dxa"/>
            <w:vAlign w:val="center"/>
          </w:tcPr>
          <w:p w14:paraId="462F59C6" w14:textId="77777777" w:rsidR="00577D08" w:rsidRDefault="00330FC0">
            <w:pPr>
              <w:jc w:val="right"/>
              <w:rPr>
                <w:sz w:val="15"/>
                <w:szCs w:val="15"/>
              </w:rPr>
            </w:pPr>
            <w:r>
              <w:rPr>
                <w:sz w:val="15"/>
                <w:szCs w:val="15"/>
              </w:rPr>
              <w:t>4,106,781.71</w:t>
            </w:r>
          </w:p>
        </w:tc>
        <w:tc>
          <w:tcPr>
            <w:tcW w:w="567" w:type="dxa"/>
            <w:vAlign w:val="center"/>
          </w:tcPr>
          <w:p w14:paraId="2193E483" w14:textId="77777777" w:rsidR="00577D08" w:rsidRDefault="00577D08">
            <w:pPr>
              <w:jc w:val="right"/>
              <w:rPr>
                <w:sz w:val="15"/>
                <w:szCs w:val="15"/>
              </w:rPr>
            </w:pPr>
          </w:p>
        </w:tc>
        <w:tc>
          <w:tcPr>
            <w:tcW w:w="992" w:type="dxa"/>
            <w:vAlign w:val="center"/>
          </w:tcPr>
          <w:p w14:paraId="41B2386D" w14:textId="77777777" w:rsidR="00577D08" w:rsidRDefault="00330FC0">
            <w:pPr>
              <w:jc w:val="right"/>
              <w:rPr>
                <w:sz w:val="15"/>
                <w:szCs w:val="15"/>
              </w:rPr>
            </w:pPr>
            <w:r>
              <w:rPr>
                <w:sz w:val="15"/>
                <w:szCs w:val="15"/>
              </w:rPr>
              <w:t>11,182,494.89</w:t>
            </w:r>
          </w:p>
        </w:tc>
        <w:tc>
          <w:tcPr>
            <w:tcW w:w="283" w:type="dxa"/>
            <w:vAlign w:val="center"/>
          </w:tcPr>
          <w:p w14:paraId="6D2B8855" w14:textId="77777777" w:rsidR="00577D08" w:rsidRDefault="00577D08">
            <w:pPr>
              <w:jc w:val="right"/>
              <w:rPr>
                <w:sz w:val="15"/>
                <w:szCs w:val="15"/>
              </w:rPr>
            </w:pPr>
          </w:p>
        </w:tc>
        <w:tc>
          <w:tcPr>
            <w:tcW w:w="1134" w:type="dxa"/>
            <w:vAlign w:val="center"/>
          </w:tcPr>
          <w:p w14:paraId="3A1A23CF" w14:textId="77777777" w:rsidR="00577D08" w:rsidRDefault="00330FC0">
            <w:pPr>
              <w:jc w:val="right"/>
              <w:rPr>
                <w:sz w:val="15"/>
                <w:szCs w:val="15"/>
              </w:rPr>
            </w:pPr>
            <w:r>
              <w:rPr>
                <w:sz w:val="15"/>
                <w:szCs w:val="15"/>
              </w:rPr>
              <w:t>22,434,886.45</w:t>
            </w:r>
          </w:p>
        </w:tc>
        <w:tc>
          <w:tcPr>
            <w:tcW w:w="1276" w:type="dxa"/>
            <w:vAlign w:val="center"/>
          </w:tcPr>
          <w:p w14:paraId="17DC8AA7" w14:textId="77777777" w:rsidR="00577D08" w:rsidRDefault="00330FC0">
            <w:pPr>
              <w:jc w:val="right"/>
              <w:rPr>
                <w:sz w:val="15"/>
                <w:szCs w:val="15"/>
              </w:rPr>
            </w:pPr>
            <w:r>
              <w:rPr>
                <w:sz w:val="15"/>
                <w:szCs w:val="15"/>
              </w:rPr>
              <w:t>139,598,553.64</w:t>
            </w:r>
          </w:p>
        </w:tc>
        <w:tc>
          <w:tcPr>
            <w:tcW w:w="1364" w:type="dxa"/>
            <w:vAlign w:val="center"/>
          </w:tcPr>
          <w:p w14:paraId="02BFE2F7" w14:textId="77777777" w:rsidR="00577D08" w:rsidRDefault="00330FC0">
            <w:pPr>
              <w:jc w:val="right"/>
              <w:rPr>
                <w:sz w:val="15"/>
                <w:szCs w:val="15"/>
              </w:rPr>
            </w:pPr>
            <w:r>
              <w:rPr>
                <w:sz w:val="15"/>
                <w:szCs w:val="15"/>
              </w:rPr>
              <w:t>162,033,440.09</w:t>
            </w:r>
          </w:p>
        </w:tc>
      </w:tr>
      <w:tr w:rsidR="00577D08" w14:paraId="2C29C3B0" w14:textId="77777777">
        <w:sdt>
          <w:sdtPr>
            <w:rPr>
              <w:sz w:val="15"/>
              <w:szCs w:val="15"/>
            </w:rPr>
            <w:tag w:val="_PLD_d3b5283bf10a4a3c8882e3f3c30046c5"/>
            <w:id w:val="974256346"/>
          </w:sdtPr>
          <w:sdtContent>
            <w:tc>
              <w:tcPr>
                <w:tcW w:w="959" w:type="dxa"/>
                <w:vAlign w:val="center"/>
              </w:tcPr>
              <w:p w14:paraId="4FA25AFA" w14:textId="77777777" w:rsidR="00577D08" w:rsidRDefault="00330FC0">
                <w:pPr>
                  <w:rPr>
                    <w:sz w:val="15"/>
                    <w:szCs w:val="15"/>
                  </w:rPr>
                </w:pPr>
                <w:r>
                  <w:rPr>
                    <w:rFonts w:hint="eastAsia"/>
                    <w:sz w:val="15"/>
                    <w:szCs w:val="15"/>
                  </w:rPr>
                  <w:t>（一）综合收益总额</w:t>
                </w:r>
              </w:p>
            </w:tc>
          </w:sdtContent>
        </w:sdt>
        <w:tc>
          <w:tcPr>
            <w:tcW w:w="992" w:type="dxa"/>
            <w:vAlign w:val="center"/>
          </w:tcPr>
          <w:p w14:paraId="228909C8" w14:textId="77777777" w:rsidR="00577D08" w:rsidRDefault="00577D08">
            <w:pPr>
              <w:jc w:val="right"/>
              <w:rPr>
                <w:sz w:val="15"/>
                <w:szCs w:val="15"/>
              </w:rPr>
            </w:pPr>
          </w:p>
        </w:tc>
        <w:tc>
          <w:tcPr>
            <w:tcW w:w="284" w:type="dxa"/>
            <w:vAlign w:val="center"/>
          </w:tcPr>
          <w:p w14:paraId="7E48F2C7" w14:textId="77777777" w:rsidR="00577D08" w:rsidRDefault="00577D08">
            <w:pPr>
              <w:jc w:val="right"/>
              <w:rPr>
                <w:sz w:val="15"/>
                <w:szCs w:val="15"/>
              </w:rPr>
            </w:pPr>
          </w:p>
        </w:tc>
        <w:tc>
          <w:tcPr>
            <w:tcW w:w="425" w:type="dxa"/>
            <w:vAlign w:val="center"/>
          </w:tcPr>
          <w:p w14:paraId="4F96B42D" w14:textId="77777777" w:rsidR="00577D08" w:rsidRDefault="00577D08">
            <w:pPr>
              <w:jc w:val="right"/>
              <w:rPr>
                <w:sz w:val="15"/>
                <w:szCs w:val="15"/>
              </w:rPr>
            </w:pPr>
          </w:p>
        </w:tc>
        <w:tc>
          <w:tcPr>
            <w:tcW w:w="425" w:type="dxa"/>
            <w:vAlign w:val="center"/>
          </w:tcPr>
          <w:p w14:paraId="638B1429" w14:textId="77777777" w:rsidR="00577D08" w:rsidRDefault="00577D08">
            <w:pPr>
              <w:jc w:val="right"/>
              <w:rPr>
                <w:sz w:val="15"/>
                <w:szCs w:val="15"/>
              </w:rPr>
            </w:pPr>
          </w:p>
        </w:tc>
        <w:tc>
          <w:tcPr>
            <w:tcW w:w="992" w:type="dxa"/>
            <w:vAlign w:val="center"/>
          </w:tcPr>
          <w:p w14:paraId="699165B9" w14:textId="77777777" w:rsidR="00577D08" w:rsidRDefault="00577D08">
            <w:pPr>
              <w:jc w:val="right"/>
              <w:rPr>
                <w:sz w:val="15"/>
                <w:szCs w:val="15"/>
              </w:rPr>
            </w:pPr>
          </w:p>
        </w:tc>
        <w:tc>
          <w:tcPr>
            <w:tcW w:w="1134" w:type="dxa"/>
            <w:vAlign w:val="center"/>
          </w:tcPr>
          <w:p w14:paraId="09F85B94" w14:textId="77777777" w:rsidR="00577D08" w:rsidRDefault="00577D08">
            <w:pPr>
              <w:jc w:val="right"/>
              <w:rPr>
                <w:sz w:val="15"/>
                <w:szCs w:val="15"/>
              </w:rPr>
            </w:pPr>
          </w:p>
        </w:tc>
        <w:tc>
          <w:tcPr>
            <w:tcW w:w="1134" w:type="dxa"/>
            <w:vAlign w:val="center"/>
          </w:tcPr>
          <w:p w14:paraId="17DDE96D" w14:textId="77777777" w:rsidR="00577D08" w:rsidRDefault="00330FC0">
            <w:pPr>
              <w:jc w:val="right"/>
              <w:rPr>
                <w:sz w:val="15"/>
                <w:szCs w:val="15"/>
              </w:rPr>
            </w:pPr>
            <w:r>
              <w:rPr>
                <w:sz w:val="15"/>
                <w:szCs w:val="15"/>
              </w:rPr>
              <w:t>2,027,597.71</w:t>
            </w:r>
          </w:p>
        </w:tc>
        <w:tc>
          <w:tcPr>
            <w:tcW w:w="1134" w:type="dxa"/>
            <w:vAlign w:val="center"/>
          </w:tcPr>
          <w:p w14:paraId="3750B7F7" w14:textId="77777777" w:rsidR="00577D08" w:rsidRDefault="00577D08">
            <w:pPr>
              <w:jc w:val="right"/>
              <w:rPr>
                <w:sz w:val="15"/>
                <w:szCs w:val="15"/>
              </w:rPr>
            </w:pPr>
          </w:p>
        </w:tc>
        <w:tc>
          <w:tcPr>
            <w:tcW w:w="993" w:type="dxa"/>
            <w:vAlign w:val="center"/>
          </w:tcPr>
          <w:p w14:paraId="2EAE4F81" w14:textId="77777777" w:rsidR="00577D08" w:rsidRDefault="00577D08">
            <w:pPr>
              <w:jc w:val="right"/>
              <w:rPr>
                <w:sz w:val="15"/>
                <w:szCs w:val="15"/>
              </w:rPr>
            </w:pPr>
          </w:p>
        </w:tc>
        <w:tc>
          <w:tcPr>
            <w:tcW w:w="567" w:type="dxa"/>
            <w:vAlign w:val="center"/>
          </w:tcPr>
          <w:p w14:paraId="702CDA5B" w14:textId="77777777" w:rsidR="00577D08" w:rsidRDefault="00577D08">
            <w:pPr>
              <w:jc w:val="right"/>
              <w:rPr>
                <w:sz w:val="15"/>
                <w:szCs w:val="15"/>
              </w:rPr>
            </w:pPr>
          </w:p>
        </w:tc>
        <w:tc>
          <w:tcPr>
            <w:tcW w:w="992" w:type="dxa"/>
            <w:vAlign w:val="center"/>
          </w:tcPr>
          <w:p w14:paraId="03C1D4BE" w14:textId="77777777" w:rsidR="00577D08" w:rsidRDefault="00330FC0">
            <w:pPr>
              <w:jc w:val="right"/>
              <w:rPr>
                <w:sz w:val="15"/>
                <w:szCs w:val="15"/>
              </w:rPr>
            </w:pPr>
            <w:r>
              <w:rPr>
                <w:sz w:val="15"/>
                <w:szCs w:val="15"/>
              </w:rPr>
              <w:t>65,166,472.45</w:t>
            </w:r>
          </w:p>
        </w:tc>
        <w:tc>
          <w:tcPr>
            <w:tcW w:w="283" w:type="dxa"/>
            <w:vAlign w:val="center"/>
          </w:tcPr>
          <w:p w14:paraId="3E0B1DEB" w14:textId="77777777" w:rsidR="00577D08" w:rsidRDefault="00577D08">
            <w:pPr>
              <w:jc w:val="right"/>
              <w:rPr>
                <w:sz w:val="15"/>
                <w:szCs w:val="15"/>
              </w:rPr>
            </w:pPr>
          </w:p>
        </w:tc>
        <w:tc>
          <w:tcPr>
            <w:tcW w:w="1134" w:type="dxa"/>
            <w:vAlign w:val="center"/>
          </w:tcPr>
          <w:p w14:paraId="4B87903F" w14:textId="77777777" w:rsidR="00577D08" w:rsidRDefault="00330FC0">
            <w:pPr>
              <w:jc w:val="right"/>
              <w:rPr>
                <w:sz w:val="15"/>
                <w:szCs w:val="15"/>
              </w:rPr>
            </w:pPr>
            <w:r>
              <w:rPr>
                <w:sz w:val="15"/>
                <w:szCs w:val="15"/>
              </w:rPr>
              <w:t>67,194,070.16</w:t>
            </w:r>
          </w:p>
        </w:tc>
        <w:tc>
          <w:tcPr>
            <w:tcW w:w="1276" w:type="dxa"/>
            <w:vAlign w:val="center"/>
          </w:tcPr>
          <w:p w14:paraId="2AB58C7E" w14:textId="77777777" w:rsidR="00577D08" w:rsidRDefault="00330FC0">
            <w:pPr>
              <w:jc w:val="right"/>
              <w:rPr>
                <w:sz w:val="15"/>
                <w:szCs w:val="15"/>
              </w:rPr>
            </w:pPr>
            <w:r>
              <w:rPr>
                <w:sz w:val="15"/>
                <w:szCs w:val="15"/>
              </w:rPr>
              <w:t>10,703,859.53</w:t>
            </w:r>
          </w:p>
        </w:tc>
        <w:tc>
          <w:tcPr>
            <w:tcW w:w="1364" w:type="dxa"/>
            <w:vAlign w:val="center"/>
          </w:tcPr>
          <w:p w14:paraId="11DB7BD1" w14:textId="77777777" w:rsidR="00577D08" w:rsidRDefault="00330FC0">
            <w:pPr>
              <w:jc w:val="right"/>
              <w:rPr>
                <w:sz w:val="15"/>
                <w:szCs w:val="15"/>
              </w:rPr>
            </w:pPr>
            <w:r>
              <w:rPr>
                <w:sz w:val="15"/>
                <w:szCs w:val="15"/>
              </w:rPr>
              <w:t>77,897,929.69</w:t>
            </w:r>
          </w:p>
        </w:tc>
      </w:tr>
      <w:tr w:rsidR="00577D08" w14:paraId="030D261E" w14:textId="77777777">
        <w:sdt>
          <w:sdtPr>
            <w:rPr>
              <w:sz w:val="15"/>
              <w:szCs w:val="15"/>
            </w:rPr>
            <w:tag w:val="_PLD_ecb1a0919fe148e5893e9977ac112e36"/>
            <w:id w:val="795954452"/>
          </w:sdtPr>
          <w:sdtContent>
            <w:tc>
              <w:tcPr>
                <w:tcW w:w="959" w:type="dxa"/>
                <w:vAlign w:val="center"/>
              </w:tcPr>
              <w:p w14:paraId="59450AB5" w14:textId="77777777" w:rsidR="00577D08" w:rsidRDefault="00330FC0">
                <w:pPr>
                  <w:rPr>
                    <w:sz w:val="15"/>
                    <w:szCs w:val="15"/>
                  </w:rPr>
                </w:pPr>
                <w:r>
                  <w:rPr>
                    <w:sz w:val="15"/>
                    <w:szCs w:val="15"/>
                  </w:rPr>
                  <w:t>（</w:t>
                </w:r>
                <w:r>
                  <w:rPr>
                    <w:rFonts w:hint="eastAsia"/>
                    <w:sz w:val="15"/>
                    <w:szCs w:val="15"/>
                  </w:rPr>
                  <w:t>二</w:t>
                </w:r>
                <w:r>
                  <w:rPr>
                    <w:sz w:val="15"/>
                    <w:szCs w:val="15"/>
                  </w:rPr>
                  <w:t>）所有者投入和减少资本</w:t>
                </w:r>
              </w:p>
            </w:tc>
          </w:sdtContent>
        </w:sdt>
        <w:tc>
          <w:tcPr>
            <w:tcW w:w="992" w:type="dxa"/>
            <w:vAlign w:val="center"/>
          </w:tcPr>
          <w:p w14:paraId="48B89E71" w14:textId="77777777" w:rsidR="00577D08" w:rsidRDefault="00577D08">
            <w:pPr>
              <w:jc w:val="right"/>
              <w:rPr>
                <w:sz w:val="15"/>
                <w:szCs w:val="15"/>
              </w:rPr>
            </w:pPr>
          </w:p>
        </w:tc>
        <w:tc>
          <w:tcPr>
            <w:tcW w:w="284" w:type="dxa"/>
            <w:vAlign w:val="center"/>
          </w:tcPr>
          <w:p w14:paraId="6DA322F9" w14:textId="77777777" w:rsidR="00577D08" w:rsidRDefault="00577D08">
            <w:pPr>
              <w:jc w:val="right"/>
              <w:rPr>
                <w:sz w:val="15"/>
                <w:szCs w:val="15"/>
              </w:rPr>
            </w:pPr>
          </w:p>
        </w:tc>
        <w:tc>
          <w:tcPr>
            <w:tcW w:w="425" w:type="dxa"/>
            <w:vAlign w:val="center"/>
          </w:tcPr>
          <w:p w14:paraId="2681A711" w14:textId="77777777" w:rsidR="00577D08" w:rsidRDefault="00577D08">
            <w:pPr>
              <w:jc w:val="right"/>
              <w:rPr>
                <w:sz w:val="15"/>
                <w:szCs w:val="15"/>
              </w:rPr>
            </w:pPr>
          </w:p>
        </w:tc>
        <w:tc>
          <w:tcPr>
            <w:tcW w:w="425" w:type="dxa"/>
            <w:vAlign w:val="center"/>
          </w:tcPr>
          <w:p w14:paraId="56F2ED59" w14:textId="77777777" w:rsidR="00577D08" w:rsidRDefault="00577D08">
            <w:pPr>
              <w:jc w:val="right"/>
              <w:rPr>
                <w:sz w:val="15"/>
                <w:szCs w:val="15"/>
              </w:rPr>
            </w:pPr>
          </w:p>
        </w:tc>
        <w:tc>
          <w:tcPr>
            <w:tcW w:w="992" w:type="dxa"/>
            <w:vAlign w:val="center"/>
          </w:tcPr>
          <w:p w14:paraId="408855AF" w14:textId="77777777" w:rsidR="00577D08" w:rsidRDefault="00330FC0">
            <w:pPr>
              <w:jc w:val="right"/>
              <w:rPr>
                <w:sz w:val="15"/>
                <w:szCs w:val="15"/>
              </w:rPr>
            </w:pPr>
            <w:r>
              <w:rPr>
                <w:sz w:val="15"/>
                <w:szCs w:val="15"/>
              </w:rPr>
              <w:t>-14,824,944.44</w:t>
            </w:r>
          </w:p>
        </w:tc>
        <w:tc>
          <w:tcPr>
            <w:tcW w:w="1134" w:type="dxa"/>
            <w:vAlign w:val="center"/>
          </w:tcPr>
          <w:p w14:paraId="494BF90F" w14:textId="77777777" w:rsidR="00577D08" w:rsidRDefault="00330FC0">
            <w:pPr>
              <w:jc w:val="right"/>
              <w:rPr>
                <w:sz w:val="15"/>
                <w:szCs w:val="15"/>
              </w:rPr>
            </w:pPr>
            <w:r>
              <w:rPr>
                <w:sz w:val="15"/>
                <w:szCs w:val="15"/>
              </w:rPr>
              <w:t>-19,405,500.00</w:t>
            </w:r>
          </w:p>
        </w:tc>
        <w:tc>
          <w:tcPr>
            <w:tcW w:w="1134" w:type="dxa"/>
            <w:vAlign w:val="center"/>
          </w:tcPr>
          <w:p w14:paraId="029E902A" w14:textId="77777777" w:rsidR="00577D08" w:rsidRDefault="00577D08">
            <w:pPr>
              <w:jc w:val="right"/>
              <w:rPr>
                <w:sz w:val="15"/>
                <w:szCs w:val="15"/>
              </w:rPr>
            </w:pPr>
          </w:p>
        </w:tc>
        <w:tc>
          <w:tcPr>
            <w:tcW w:w="1134" w:type="dxa"/>
            <w:vAlign w:val="center"/>
          </w:tcPr>
          <w:p w14:paraId="180D5B53" w14:textId="77777777" w:rsidR="00577D08" w:rsidRDefault="00577D08">
            <w:pPr>
              <w:jc w:val="right"/>
              <w:rPr>
                <w:sz w:val="15"/>
                <w:szCs w:val="15"/>
              </w:rPr>
            </w:pPr>
          </w:p>
        </w:tc>
        <w:tc>
          <w:tcPr>
            <w:tcW w:w="993" w:type="dxa"/>
            <w:vAlign w:val="center"/>
          </w:tcPr>
          <w:p w14:paraId="53753E3E" w14:textId="77777777" w:rsidR="00577D08" w:rsidRDefault="00577D08">
            <w:pPr>
              <w:jc w:val="right"/>
              <w:rPr>
                <w:sz w:val="15"/>
                <w:szCs w:val="15"/>
              </w:rPr>
            </w:pPr>
          </w:p>
        </w:tc>
        <w:tc>
          <w:tcPr>
            <w:tcW w:w="567" w:type="dxa"/>
            <w:vAlign w:val="center"/>
          </w:tcPr>
          <w:p w14:paraId="53E1BF1E" w14:textId="77777777" w:rsidR="00577D08" w:rsidRDefault="00577D08">
            <w:pPr>
              <w:jc w:val="right"/>
              <w:rPr>
                <w:sz w:val="15"/>
                <w:szCs w:val="15"/>
              </w:rPr>
            </w:pPr>
          </w:p>
        </w:tc>
        <w:tc>
          <w:tcPr>
            <w:tcW w:w="992" w:type="dxa"/>
            <w:vAlign w:val="center"/>
          </w:tcPr>
          <w:p w14:paraId="166DBFA3" w14:textId="77777777" w:rsidR="00577D08" w:rsidRDefault="00577D08">
            <w:pPr>
              <w:jc w:val="right"/>
              <w:rPr>
                <w:sz w:val="15"/>
                <w:szCs w:val="15"/>
              </w:rPr>
            </w:pPr>
          </w:p>
        </w:tc>
        <w:tc>
          <w:tcPr>
            <w:tcW w:w="283" w:type="dxa"/>
            <w:vAlign w:val="center"/>
          </w:tcPr>
          <w:p w14:paraId="0B5D8C9C" w14:textId="77777777" w:rsidR="00577D08" w:rsidRDefault="00577D08">
            <w:pPr>
              <w:jc w:val="right"/>
              <w:rPr>
                <w:sz w:val="15"/>
                <w:szCs w:val="15"/>
              </w:rPr>
            </w:pPr>
          </w:p>
        </w:tc>
        <w:tc>
          <w:tcPr>
            <w:tcW w:w="1134" w:type="dxa"/>
            <w:vAlign w:val="center"/>
          </w:tcPr>
          <w:p w14:paraId="1EE7FF96" w14:textId="77777777" w:rsidR="00577D08" w:rsidRDefault="00330FC0">
            <w:pPr>
              <w:jc w:val="right"/>
              <w:rPr>
                <w:sz w:val="15"/>
                <w:szCs w:val="15"/>
              </w:rPr>
            </w:pPr>
            <w:r>
              <w:rPr>
                <w:sz w:val="15"/>
                <w:szCs w:val="15"/>
              </w:rPr>
              <w:t>4,580,555.56</w:t>
            </w:r>
          </w:p>
        </w:tc>
        <w:tc>
          <w:tcPr>
            <w:tcW w:w="1276" w:type="dxa"/>
            <w:vAlign w:val="center"/>
          </w:tcPr>
          <w:p w14:paraId="4544D8D6" w14:textId="77777777" w:rsidR="00577D08" w:rsidRDefault="00330FC0">
            <w:pPr>
              <w:jc w:val="right"/>
              <w:rPr>
                <w:sz w:val="15"/>
                <w:szCs w:val="15"/>
              </w:rPr>
            </w:pPr>
            <w:r>
              <w:rPr>
                <w:sz w:val="15"/>
                <w:szCs w:val="15"/>
              </w:rPr>
              <w:t>128,809,658.57</w:t>
            </w:r>
          </w:p>
        </w:tc>
        <w:tc>
          <w:tcPr>
            <w:tcW w:w="1364" w:type="dxa"/>
            <w:vAlign w:val="center"/>
          </w:tcPr>
          <w:p w14:paraId="7D3F5E2F" w14:textId="77777777" w:rsidR="00577D08" w:rsidRDefault="00330FC0">
            <w:pPr>
              <w:jc w:val="right"/>
              <w:rPr>
                <w:sz w:val="15"/>
                <w:szCs w:val="15"/>
              </w:rPr>
            </w:pPr>
            <w:r>
              <w:rPr>
                <w:sz w:val="15"/>
                <w:szCs w:val="15"/>
              </w:rPr>
              <w:t>133,390,214.13</w:t>
            </w:r>
          </w:p>
        </w:tc>
      </w:tr>
      <w:tr w:rsidR="00577D08" w14:paraId="6633EFC5" w14:textId="77777777">
        <w:sdt>
          <w:sdtPr>
            <w:rPr>
              <w:sz w:val="15"/>
              <w:szCs w:val="15"/>
            </w:rPr>
            <w:tag w:val="_PLD_611ba2ed8c6b439788c9acf67433da0c"/>
            <w:id w:val="1269430393"/>
          </w:sdtPr>
          <w:sdtContent>
            <w:tc>
              <w:tcPr>
                <w:tcW w:w="959" w:type="dxa"/>
                <w:vAlign w:val="center"/>
              </w:tcPr>
              <w:p w14:paraId="2A7BF5E3" w14:textId="77777777" w:rsidR="00577D08" w:rsidRDefault="00330FC0">
                <w:pPr>
                  <w:rPr>
                    <w:sz w:val="15"/>
                    <w:szCs w:val="15"/>
                  </w:rPr>
                </w:pPr>
                <w:r>
                  <w:rPr>
                    <w:rFonts w:hint="eastAsia"/>
                    <w:sz w:val="15"/>
                    <w:szCs w:val="15"/>
                  </w:rPr>
                  <w:t>1</w:t>
                </w:r>
                <w:r>
                  <w:rPr>
                    <w:rFonts w:hint="eastAsia"/>
                    <w:sz w:val="15"/>
                    <w:szCs w:val="15"/>
                  </w:rPr>
                  <w:t>．所有者投入的普通股</w:t>
                </w:r>
              </w:p>
            </w:tc>
          </w:sdtContent>
        </w:sdt>
        <w:tc>
          <w:tcPr>
            <w:tcW w:w="992" w:type="dxa"/>
            <w:vAlign w:val="center"/>
          </w:tcPr>
          <w:p w14:paraId="7094C6A7" w14:textId="77777777" w:rsidR="00577D08" w:rsidRDefault="00577D08">
            <w:pPr>
              <w:jc w:val="right"/>
              <w:rPr>
                <w:sz w:val="15"/>
                <w:szCs w:val="15"/>
              </w:rPr>
            </w:pPr>
          </w:p>
        </w:tc>
        <w:tc>
          <w:tcPr>
            <w:tcW w:w="284" w:type="dxa"/>
            <w:vAlign w:val="center"/>
          </w:tcPr>
          <w:p w14:paraId="1695E690" w14:textId="77777777" w:rsidR="00577D08" w:rsidRDefault="00577D08">
            <w:pPr>
              <w:jc w:val="right"/>
              <w:rPr>
                <w:sz w:val="15"/>
                <w:szCs w:val="15"/>
              </w:rPr>
            </w:pPr>
          </w:p>
        </w:tc>
        <w:tc>
          <w:tcPr>
            <w:tcW w:w="425" w:type="dxa"/>
            <w:vAlign w:val="center"/>
          </w:tcPr>
          <w:p w14:paraId="0FBAD963" w14:textId="77777777" w:rsidR="00577D08" w:rsidRDefault="00577D08">
            <w:pPr>
              <w:jc w:val="right"/>
              <w:rPr>
                <w:sz w:val="15"/>
                <w:szCs w:val="15"/>
              </w:rPr>
            </w:pPr>
          </w:p>
        </w:tc>
        <w:tc>
          <w:tcPr>
            <w:tcW w:w="425" w:type="dxa"/>
            <w:vAlign w:val="center"/>
          </w:tcPr>
          <w:p w14:paraId="0E3271DA" w14:textId="77777777" w:rsidR="00577D08" w:rsidRDefault="00577D08">
            <w:pPr>
              <w:jc w:val="right"/>
              <w:rPr>
                <w:sz w:val="15"/>
                <w:szCs w:val="15"/>
              </w:rPr>
            </w:pPr>
          </w:p>
        </w:tc>
        <w:tc>
          <w:tcPr>
            <w:tcW w:w="992" w:type="dxa"/>
            <w:vAlign w:val="center"/>
          </w:tcPr>
          <w:p w14:paraId="4046653A" w14:textId="77777777" w:rsidR="00577D08" w:rsidRDefault="00577D08">
            <w:pPr>
              <w:jc w:val="right"/>
              <w:rPr>
                <w:sz w:val="15"/>
                <w:szCs w:val="15"/>
              </w:rPr>
            </w:pPr>
          </w:p>
        </w:tc>
        <w:tc>
          <w:tcPr>
            <w:tcW w:w="1134" w:type="dxa"/>
            <w:vAlign w:val="center"/>
          </w:tcPr>
          <w:p w14:paraId="67A64247" w14:textId="77777777" w:rsidR="00577D08" w:rsidRDefault="00577D08">
            <w:pPr>
              <w:jc w:val="right"/>
              <w:rPr>
                <w:sz w:val="15"/>
                <w:szCs w:val="15"/>
              </w:rPr>
            </w:pPr>
          </w:p>
        </w:tc>
        <w:tc>
          <w:tcPr>
            <w:tcW w:w="1134" w:type="dxa"/>
            <w:vAlign w:val="center"/>
          </w:tcPr>
          <w:p w14:paraId="70498052" w14:textId="77777777" w:rsidR="00577D08" w:rsidRDefault="00577D08">
            <w:pPr>
              <w:jc w:val="right"/>
              <w:rPr>
                <w:sz w:val="15"/>
                <w:szCs w:val="15"/>
              </w:rPr>
            </w:pPr>
          </w:p>
        </w:tc>
        <w:tc>
          <w:tcPr>
            <w:tcW w:w="1134" w:type="dxa"/>
            <w:vAlign w:val="center"/>
          </w:tcPr>
          <w:p w14:paraId="4ECCC485" w14:textId="77777777" w:rsidR="00577D08" w:rsidRDefault="00577D08">
            <w:pPr>
              <w:jc w:val="right"/>
              <w:rPr>
                <w:sz w:val="15"/>
                <w:szCs w:val="15"/>
              </w:rPr>
            </w:pPr>
          </w:p>
        </w:tc>
        <w:tc>
          <w:tcPr>
            <w:tcW w:w="993" w:type="dxa"/>
            <w:vAlign w:val="center"/>
          </w:tcPr>
          <w:p w14:paraId="209C108A" w14:textId="77777777" w:rsidR="00577D08" w:rsidRDefault="00577D08">
            <w:pPr>
              <w:jc w:val="right"/>
              <w:rPr>
                <w:sz w:val="15"/>
                <w:szCs w:val="15"/>
              </w:rPr>
            </w:pPr>
          </w:p>
        </w:tc>
        <w:tc>
          <w:tcPr>
            <w:tcW w:w="567" w:type="dxa"/>
            <w:vAlign w:val="center"/>
          </w:tcPr>
          <w:p w14:paraId="1E333907" w14:textId="77777777" w:rsidR="00577D08" w:rsidRDefault="00577D08">
            <w:pPr>
              <w:jc w:val="right"/>
              <w:rPr>
                <w:sz w:val="15"/>
                <w:szCs w:val="15"/>
              </w:rPr>
            </w:pPr>
          </w:p>
        </w:tc>
        <w:tc>
          <w:tcPr>
            <w:tcW w:w="992" w:type="dxa"/>
            <w:vAlign w:val="center"/>
          </w:tcPr>
          <w:p w14:paraId="2E1F928B" w14:textId="77777777" w:rsidR="00577D08" w:rsidRDefault="00577D08">
            <w:pPr>
              <w:jc w:val="right"/>
              <w:rPr>
                <w:sz w:val="15"/>
                <w:szCs w:val="15"/>
              </w:rPr>
            </w:pPr>
          </w:p>
        </w:tc>
        <w:tc>
          <w:tcPr>
            <w:tcW w:w="283" w:type="dxa"/>
            <w:vAlign w:val="center"/>
          </w:tcPr>
          <w:p w14:paraId="0C459F8A" w14:textId="77777777" w:rsidR="00577D08" w:rsidRDefault="00577D08">
            <w:pPr>
              <w:jc w:val="right"/>
              <w:rPr>
                <w:sz w:val="15"/>
                <w:szCs w:val="15"/>
              </w:rPr>
            </w:pPr>
          </w:p>
        </w:tc>
        <w:tc>
          <w:tcPr>
            <w:tcW w:w="1134" w:type="dxa"/>
            <w:vAlign w:val="center"/>
          </w:tcPr>
          <w:p w14:paraId="660617B8" w14:textId="77777777" w:rsidR="00577D08" w:rsidRDefault="00330FC0">
            <w:pPr>
              <w:jc w:val="right"/>
              <w:rPr>
                <w:sz w:val="15"/>
                <w:szCs w:val="15"/>
              </w:rPr>
            </w:pPr>
            <w:r>
              <w:rPr>
                <w:sz w:val="15"/>
                <w:szCs w:val="15"/>
              </w:rPr>
              <w:t>-</w:t>
            </w:r>
          </w:p>
        </w:tc>
        <w:tc>
          <w:tcPr>
            <w:tcW w:w="1276" w:type="dxa"/>
            <w:vAlign w:val="center"/>
          </w:tcPr>
          <w:p w14:paraId="12C8DC97" w14:textId="77777777" w:rsidR="00577D08" w:rsidRDefault="00577D08">
            <w:pPr>
              <w:jc w:val="right"/>
              <w:rPr>
                <w:sz w:val="15"/>
                <w:szCs w:val="15"/>
              </w:rPr>
            </w:pPr>
          </w:p>
        </w:tc>
        <w:tc>
          <w:tcPr>
            <w:tcW w:w="1364" w:type="dxa"/>
            <w:vAlign w:val="center"/>
          </w:tcPr>
          <w:p w14:paraId="3EC3522A" w14:textId="77777777" w:rsidR="00577D08" w:rsidRDefault="00330FC0">
            <w:pPr>
              <w:jc w:val="right"/>
              <w:rPr>
                <w:sz w:val="15"/>
                <w:szCs w:val="15"/>
              </w:rPr>
            </w:pPr>
            <w:r>
              <w:rPr>
                <w:sz w:val="15"/>
                <w:szCs w:val="15"/>
              </w:rPr>
              <w:t>-</w:t>
            </w:r>
          </w:p>
        </w:tc>
      </w:tr>
      <w:tr w:rsidR="00577D08" w14:paraId="0D34759D" w14:textId="77777777">
        <w:sdt>
          <w:sdtPr>
            <w:rPr>
              <w:sz w:val="15"/>
              <w:szCs w:val="15"/>
            </w:rPr>
            <w:tag w:val="_PLD_c90ad87987d54aec9ebb059ca9fe2d83"/>
            <w:id w:val="-1399210132"/>
          </w:sdtPr>
          <w:sdtContent>
            <w:tc>
              <w:tcPr>
                <w:tcW w:w="959" w:type="dxa"/>
                <w:vAlign w:val="center"/>
              </w:tcPr>
              <w:p w14:paraId="71824296" w14:textId="77777777" w:rsidR="00577D08" w:rsidRDefault="00330FC0">
                <w:pPr>
                  <w:rPr>
                    <w:sz w:val="15"/>
                    <w:szCs w:val="15"/>
                  </w:rPr>
                </w:pPr>
                <w:r>
                  <w:rPr>
                    <w:rFonts w:hint="eastAsia"/>
                    <w:sz w:val="15"/>
                    <w:szCs w:val="15"/>
                  </w:rPr>
                  <w:t>2</w:t>
                </w:r>
                <w:r>
                  <w:rPr>
                    <w:rFonts w:hint="eastAsia"/>
                    <w:sz w:val="15"/>
                    <w:szCs w:val="15"/>
                  </w:rPr>
                  <w:t>．其他权益工具持有者投入资本</w:t>
                </w:r>
              </w:p>
            </w:tc>
          </w:sdtContent>
        </w:sdt>
        <w:tc>
          <w:tcPr>
            <w:tcW w:w="992" w:type="dxa"/>
            <w:vAlign w:val="center"/>
          </w:tcPr>
          <w:p w14:paraId="2D417585" w14:textId="77777777" w:rsidR="00577D08" w:rsidRDefault="00577D08">
            <w:pPr>
              <w:jc w:val="right"/>
              <w:rPr>
                <w:sz w:val="15"/>
                <w:szCs w:val="15"/>
              </w:rPr>
            </w:pPr>
          </w:p>
        </w:tc>
        <w:tc>
          <w:tcPr>
            <w:tcW w:w="284" w:type="dxa"/>
            <w:vAlign w:val="center"/>
          </w:tcPr>
          <w:p w14:paraId="43464110" w14:textId="77777777" w:rsidR="00577D08" w:rsidRDefault="00577D08">
            <w:pPr>
              <w:jc w:val="right"/>
              <w:rPr>
                <w:sz w:val="15"/>
                <w:szCs w:val="15"/>
              </w:rPr>
            </w:pPr>
          </w:p>
        </w:tc>
        <w:tc>
          <w:tcPr>
            <w:tcW w:w="425" w:type="dxa"/>
            <w:vAlign w:val="center"/>
          </w:tcPr>
          <w:p w14:paraId="793AE32B" w14:textId="77777777" w:rsidR="00577D08" w:rsidRDefault="00577D08">
            <w:pPr>
              <w:jc w:val="right"/>
              <w:rPr>
                <w:sz w:val="15"/>
                <w:szCs w:val="15"/>
              </w:rPr>
            </w:pPr>
          </w:p>
        </w:tc>
        <w:tc>
          <w:tcPr>
            <w:tcW w:w="425" w:type="dxa"/>
            <w:vAlign w:val="center"/>
          </w:tcPr>
          <w:p w14:paraId="6329D916" w14:textId="77777777" w:rsidR="00577D08" w:rsidRDefault="00577D08">
            <w:pPr>
              <w:jc w:val="right"/>
              <w:rPr>
                <w:sz w:val="15"/>
                <w:szCs w:val="15"/>
              </w:rPr>
            </w:pPr>
          </w:p>
        </w:tc>
        <w:tc>
          <w:tcPr>
            <w:tcW w:w="992" w:type="dxa"/>
            <w:vAlign w:val="center"/>
          </w:tcPr>
          <w:p w14:paraId="577A138E" w14:textId="77777777" w:rsidR="00577D08" w:rsidRDefault="00577D08">
            <w:pPr>
              <w:jc w:val="right"/>
              <w:rPr>
                <w:sz w:val="15"/>
                <w:szCs w:val="15"/>
              </w:rPr>
            </w:pPr>
          </w:p>
        </w:tc>
        <w:tc>
          <w:tcPr>
            <w:tcW w:w="1134" w:type="dxa"/>
            <w:vAlign w:val="center"/>
          </w:tcPr>
          <w:p w14:paraId="014D2461" w14:textId="77777777" w:rsidR="00577D08" w:rsidRDefault="00577D08">
            <w:pPr>
              <w:jc w:val="right"/>
              <w:rPr>
                <w:sz w:val="15"/>
                <w:szCs w:val="15"/>
              </w:rPr>
            </w:pPr>
          </w:p>
        </w:tc>
        <w:tc>
          <w:tcPr>
            <w:tcW w:w="1134" w:type="dxa"/>
            <w:vAlign w:val="center"/>
          </w:tcPr>
          <w:p w14:paraId="07793F09" w14:textId="77777777" w:rsidR="00577D08" w:rsidRDefault="00577D08">
            <w:pPr>
              <w:jc w:val="right"/>
              <w:rPr>
                <w:sz w:val="15"/>
                <w:szCs w:val="15"/>
              </w:rPr>
            </w:pPr>
          </w:p>
        </w:tc>
        <w:tc>
          <w:tcPr>
            <w:tcW w:w="1134" w:type="dxa"/>
            <w:vAlign w:val="center"/>
          </w:tcPr>
          <w:p w14:paraId="5173ECAC" w14:textId="77777777" w:rsidR="00577D08" w:rsidRDefault="00577D08">
            <w:pPr>
              <w:jc w:val="right"/>
              <w:rPr>
                <w:sz w:val="15"/>
                <w:szCs w:val="15"/>
              </w:rPr>
            </w:pPr>
          </w:p>
        </w:tc>
        <w:tc>
          <w:tcPr>
            <w:tcW w:w="993" w:type="dxa"/>
            <w:vAlign w:val="center"/>
          </w:tcPr>
          <w:p w14:paraId="674B74DC" w14:textId="77777777" w:rsidR="00577D08" w:rsidRDefault="00577D08">
            <w:pPr>
              <w:jc w:val="right"/>
              <w:rPr>
                <w:sz w:val="15"/>
                <w:szCs w:val="15"/>
              </w:rPr>
            </w:pPr>
          </w:p>
        </w:tc>
        <w:tc>
          <w:tcPr>
            <w:tcW w:w="567" w:type="dxa"/>
            <w:vAlign w:val="center"/>
          </w:tcPr>
          <w:p w14:paraId="54CF1382" w14:textId="77777777" w:rsidR="00577D08" w:rsidRDefault="00577D08">
            <w:pPr>
              <w:jc w:val="right"/>
              <w:rPr>
                <w:sz w:val="15"/>
                <w:szCs w:val="15"/>
              </w:rPr>
            </w:pPr>
          </w:p>
        </w:tc>
        <w:tc>
          <w:tcPr>
            <w:tcW w:w="992" w:type="dxa"/>
            <w:vAlign w:val="center"/>
          </w:tcPr>
          <w:p w14:paraId="272C382C" w14:textId="77777777" w:rsidR="00577D08" w:rsidRDefault="00577D08">
            <w:pPr>
              <w:jc w:val="right"/>
              <w:rPr>
                <w:sz w:val="15"/>
                <w:szCs w:val="15"/>
              </w:rPr>
            </w:pPr>
          </w:p>
        </w:tc>
        <w:tc>
          <w:tcPr>
            <w:tcW w:w="283" w:type="dxa"/>
            <w:vAlign w:val="center"/>
          </w:tcPr>
          <w:p w14:paraId="6673B092" w14:textId="77777777" w:rsidR="00577D08" w:rsidRDefault="00577D08">
            <w:pPr>
              <w:jc w:val="right"/>
              <w:rPr>
                <w:sz w:val="15"/>
                <w:szCs w:val="15"/>
              </w:rPr>
            </w:pPr>
          </w:p>
        </w:tc>
        <w:tc>
          <w:tcPr>
            <w:tcW w:w="1134" w:type="dxa"/>
            <w:vAlign w:val="center"/>
          </w:tcPr>
          <w:p w14:paraId="7F49C0E7" w14:textId="77777777" w:rsidR="00577D08" w:rsidRDefault="00330FC0">
            <w:pPr>
              <w:jc w:val="right"/>
              <w:rPr>
                <w:sz w:val="15"/>
                <w:szCs w:val="15"/>
              </w:rPr>
            </w:pPr>
            <w:r>
              <w:rPr>
                <w:sz w:val="15"/>
                <w:szCs w:val="15"/>
              </w:rPr>
              <w:t>-</w:t>
            </w:r>
          </w:p>
        </w:tc>
        <w:tc>
          <w:tcPr>
            <w:tcW w:w="1276" w:type="dxa"/>
            <w:vAlign w:val="center"/>
          </w:tcPr>
          <w:p w14:paraId="4B7A6563" w14:textId="77777777" w:rsidR="00577D08" w:rsidRDefault="00577D08">
            <w:pPr>
              <w:jc w:val="right"/>
              <w:rPr>
                <w:sz w:val="15"/>
                <w:szCs w:val="15"/>
              </w:rPr>
            </w:pPr>
          </w:p>
        </w:tc>
        <w:tc>
          <w:tcPr>
            <w:tcW w:w="1364" w:type="dxa"/>
            <w:vAlign w:val="center"/>
          </w:tcPr>
          <w:p w14:paraId="31907064" w14:textId="77777777" w:rsidR="00577D08" w:rsidRDefault="00330FC0">
            <w:pPr>
              <w:jc w:val="right"/>
              <w:rPr>
                <w:sz w:val="15"/>
                <w:szCs w:val="15"/>
              </w:rPr>
            </w:pPr>
            <w:r>
              <w:rPr>
                <w:sz w:val="15"/>
                <w:szCs w:val="15"/>
              </w:rPr>
              <w:t>-</w:t>
            </w:r>
          </w:p>
        </w:tc>
      </w:tr>
      <w:tr w:rsidR="00577D08" w14:paraId="44CE7A5F" w14:textId="77777777">
        <w:sdt>
          <w:sdtPr>
            <w:rPr>
              <w:sz w:val="15"/>
              <w:szCs w:val="15"/>
            </w:rPr>
            <w:tag w:val="_PLD_d73580ad15ab461695606b09453b2233"/>
            <w:id w:val="78728966"/>
          </w:sdtPr>
          <w:sdtContent>
            <w:tc>
              <w:tcPr>
                <w:tcW w:w="959" w:type="dxa"/>
                <w:vAlign w:val="center"/>
              </w:tcPr>
              <w:p w14:paraId="3090ADE0" w14:textId="77777777" w:rsidR="00577D08" w:rsidRDefault="00330FC0">
                <w:pPr>
                  <w:rPr>
                    <w:sz w:val="15"/>
                    <w:szCs w:val="15"/>
                  </w:rPr>
                </w:pPr>
                <w:r>
                  <w:rPr>
                    <w:rFonts w:hint="eastAsia"/>
                    <w:sz w:val="15"/>
                    <w:szCs w:val="15"/>
                  </w:rPr>
                  <w:t>3</w:t>
                </w:r>
                <w:r>
                  <w:rPr>
                    <w:sz w:val="15"/>
                    <w:szCs w:val="15"/>
                  </w:rPr>
                  <w:t>．股份支付计入所有者权益的金额</w:t>
                </w:r>
              </w:p>
            </w:tc>
          </w:sdtContent>
        </w:sdt>
        <w:tc>
          <w:tcPr>
            <w:tcW w:w="992" w:type="dxa"/>
            <w:vAlign w:val="center"/>
          </w:tcPr>
          <w:p w14:paraId="396B39CD" w14:textId="77777777" w:rsidR="00577D08" w:rsidRDefault="00577D08">
            <w:pPr>
              <w:jc w:val="right"/>
              <w:rPr>
                <w:sz w:val="15"/>
                <w:szCs w:val="15"/>
              </w:rPr>
            </w:pPr>
          </w:p>
        </w:tc>
        <w:tc>
          <w:tcPr>
            <w:tcW w:w="284" w:type="dxa"/>
            <w:vAlign w:val="center"/>
          </w:tcPr>
          <w:p w14:paraId="619535A0" w14:textId="77777777" w:rsidR="00577D08" w:rsidRDefault="00577D08">
            <w:pPr>
              <w:jc w:val="right"/>
              <w:rPr>
                <w:sz w:val="15"/>
                <w:szCs w:val="15"/>
              </w:rPr>
            </w:pPr>
          </w:p>
        </w:tc>
        <w:tc>
          <w:tcPr>
            <w:tcW w:w="425" w:type="dxa"/>
            <w:vAlign w:val="center"/>
          </w:tcPr>
          <w:p w14:paraId="34373842" w14:textId="77777777" w:rsidR="00577D08" w:rsidRDefault="00577D08">
            <w:pPr>
              <w:jc w:val="right"/>
              <w:rPr>
                <w:sz w:val="15"/>
                <w:szCs w:val="15"/>
              </w:rPr>
            </w:pPr>
          </w:p>
        </w:tc>
        <w:tc>
          <w:tcPr>
            <w:tcW w:w="425" w:type="dxa"/>
            <w:vAlign w:val="center"/>
          </w:tcPr>
          <w:p w14:paraId="4575FC7D" w14:textId="77777777" w:rsidR="00577D08" w:rsidRDefault="00577D08">
            <w:pPr>
              <w:jc w:val="right"/>
              <w:rPr>
                <w:sz w:val="15"/>
                <w:szCs w:val="15"/>
              </w:rPr>
            </w:pPr>
          </w:p>
        </w:tc>
        <w:tc>
          <w:tcPr>
            <w:tcW w:w="992" w:type="dxa"/>
            <w:vAlign w:val="center"/>
          </w:tcPr>
          <w:p w14:paraId="5A64304F" w14:textId="77777777" w:rsidR="00577D08" w:rsidRDefault="00330FC0">
            <w:pPr>
              <w:jc w:val="right"/>
              <w:rPr>
                <w:sz w:val="15"/>
                <w:szCs w:val="15"/>
              </w:rPr>
            </w:pPr>
            <w:r>
              <w:rPr>
                <w:sz w:val="15"/>
                <w:szCs w:val="15"/>
              </w:rPr>
              <w:t>-14,824,944.44</w:t>
            </w:r>
          </w:p>
        </w:tc>
        <w:tc>
          <w:tcPr>
            <w:tcW w:w="1134" w:type="dxa"/>
            <w:vAlign w:val="center"/>
          </w:tcPr>
          <w:p w14:paraId="509E2BED" w14:textId="77777777" w:rsidR="00577D08" w:rsidRDefault="00330FC0">
            <w:pPr>
              <w:jc w:val="right"/>
              <w:rPr>
                <w:sz w:val="15"/>
                <w:szCs w:val="15"/>
              </w:rPr>
            </w:pPr>
            <w:r>
              <w:rPr>
                <w:sz w:val="15"/>
                <w:szCs w:val="15"/>
              </w:rPr>
              <w:t>-19,405,500.00</w:t>
            </w:r>
          </w:p>
        </w:tc>
        <w:tc>
          <w:tcPr>
            <w:tcW w:w="1134" w:type="dxa"/>
            <w:vAlign w:val="center"/>
          </w:tcPr>
          <w:p w14:paraId="5F080C25" w14:textId="77777777" w:rsidR="00577D08" w:rsidRDefault="00577D08">
            <w:pPr>
              <w:jc w:val="right"/>
              <w:rPr>
                <w:sz w:val="15"/>
                <w:szCs w:val="15"/>
              </w:rPr>
            </w:pPr>
          </w:p>
        </w:tc>
        <w:tc>
          <w:tcPr>
            <w:tcW w:w="1134" w:type="dxa"/>
            <w:vAlign w:val="center"/>
          </w:tcPr>
          <w:p w14:paraId="52C6DA9B" w14:textId="77777777" w:rsidR="00577D08" w:rsidRDefault="00577D08">
            <w:pPr>
              <w:jc w:val="right"/>
              <w:rPr>
                <w:sz w:val="15"/>
                <w:szCs w:val="15"/>
              </w:rPr>
            </w:pPr>
          </w:p>
        </w:tc>
        <w:tc>
          <w:tcPr>
            <w:tcW w:w="993" w:type="dxa"/>
            <w:vAlign w:val="center"/>
          </w:tcPr>
          <w:p w14:paraId="31BD4D1E" w14:textId="77777777" w:rsidR="00577D08" w:rsidRDefault="00577D08">
            <w:pPr>
              <w:jc w:val="right"/>
              <w:rPr>
                <w:sz w:val="15"/>
                <w:szCs w:val="15"/>
              </w:rPr>
            </w:pPr>
          </w:p>
        </w:tc>
        <w:tc>
          <w:tcPr>
            <w:tcW w:w="567" w:type="dxa"/>
            <w:vAlign w:val="center"/>
          </w:tcPr>
          <w:p w14:paraId="46444573" w14:textId="77777777" w:rsidR="00577D08" w:rsidRDefault="00577D08">
            <w:pPr>
              <w:jc w:val="right"/>
              <w:rPr>
                <w:sz w:val="15"/>
                <w:szCs w:val="15"/>
              </w:rPr>
            </w:pPr>
          </w:p>
        </w:tc>
        <w:tc>
          <w:tcPr>
            <w:tcW w:w="992" w:type="dxa"/>
            <w:vAlign w:val="center"/>
          </w:tcPr>
          <w:p w14:paraId="4429268B" w14:textId="77777777" w:rsidR="00577D08" w:rsidRDefault="00577D08">
            <w:pPr>
              <w:jc w:val="right"/>
              <w:rPr>
                <w:sz w:val="15"/>
                <w:szCs w:val="15"/>
              </w:rPr>
            </w:pPr>
          </w:p>
        </w:tc>
        <w:tc>
          <w:tcPr>
            <w:tcW w:w="283" w:type="dxa"/>
            <w:vAlign w:val="center"/>
          </w:tcPr>
          <w:p w14:paraId="79B86D32" w14:textId="77777777" w:rsidR="00577D08" w:rsidRDefault="00577D08">
            <w:pPr>
              <w:jc w:val="right"/>
              <w:rPr>
                <w:sz w:val="15"/>
                <w:szCs w:val="15"/>
              </w:rPr>
            </w:pPr>
          </w:p>
        </w:tc>
        <w:tc>
          <w:tcPr>
            <w:tcW w:w="1134" w:type="dxa"/>
            <w:vAlign w:val="center"/>
          </w:tcPr>
          <w:p w14:paraId="33421B0A" w14:textId="77777777" w:rsidR="00577D08" w:rsidRDefault="00330FC0">
            <w:pPr>
              <w:jc w:val="right"/>
              <w:rPr>
                <w:sz w:val="15"/>
                <w:szCs w:val="15"/>
              </w:rPr>
            </w:pPr>
            <w:r>
              <w:rPr>
                <w:sz w:val="15"/>
                <w:szCs w:val="15"/>
              </w:rPr>
              <w:t>4,580,555.56</w:t>
            </w:r>
          </w:p>
        </w:tc>
        <w:tc>
          <w:tcPr>
            <w:tcW w:w="1276" w:type="dxa"/>
            <w:vAlign w:val="center"/>
          </w:tcPr>
          <w:p w14:paraId="0A141C7D" w14:textId="77777777" w:rsidR="00577D08" w:rsidRDefault="00577D08">
            <w:pPr>
              <w:jc w:val="right"/>
              <w:rPr>
                <w:sz w:val="15"/>
                <w:szCs w:val="15"/>
              </w:rPr>
            </w:pPr>
          </w:p>
        </w:tc>
        <w:tc>
          <w:tcPr>
            <w:tcW w:w="1364" w:type="dxa"/>
            <w:vAlign w:val="center"/>
          </w:tcPr>
          <w:p w14:paraId="40959052" w14:textId="77777777" w:rsidR="00577D08" w:rsidRDefault="00330FC0">
            <w:pPr>
              <w:jc w:val="right"/>
              <w:rPr>
                <w:sz w:val="15"/>
                <w:szCs w:val="15"/>
              </w:rPr>
            </w:pPr>
            <w:r>
              <w:rPr>
                <w:sz w:val="15"/>
                <w:szCs w:val="15"/>
              </w:rPr>
              <w:t>4,580,555.56</w:t>
            </w:r>
          </w:p>
        </w:tc>
      </w:tr>
      <w:tr w:rsidR="00577D08" w14:paraId="296262A3" w14:textId="77777777">
        <w:sdt>
          <w:sdtPr>
            <w:rPr>
              <w:sz w:val="15"/>
              <w:szCs w:val="15"/>
            </w:rPr>
            <w:tag w:val="_PLD_32d1c7d278224bfa80a28845c7639c86"/>
            <w:id w:val="-338316085"/>
          </w:sdtPr>
          <w:sdtContent>
            <w:tc>
              <w:tcPr>
                <w:tcW w:w="959" w:type="dxa"/>
                <w:vAlign w:val="center"/>
              </w:tcPr>
              <w:p w14:paraId="40396D85" w14:textId="77777777" w:rsidR="00577D08" w:rsidRDefault="00330FC0">
                <w:pPr>
                  <w:rPr>
                    <w:sz w:val="15"/>
                    <w:szCs w:val="15"/>
                  </w:rPr>
                </w:pPr>
                <w:r>
                  <w:rPr>
                    <w:rFonts w:hint="eastAsia"/>
                    <w:sz w:val="15"/>
                    <w:szCs w:val="15"/>
                  </w:rPr>
                  <w:t>4</w:t>
                </w:r>
                <w:r>
                  <w:rPr>
                    <w:sz w:val="15"/>
                    <w:szCs w:val="15"/>
                  </w:rPr>
                  <w:t>．其他</w:t>
                </w:r>
              </w:p>
            </w:tc>
          </w:sdtContent>
        </w:sdt>
        <w:tc>
          <w:tcPr>
            <w:tcW w:w="992" w:type="dxa"/>
            <w:vAlign w:val="center"/>
          </w:tcPr>
          <w:p w14:paraId="762B6D71" w14:textId="77777777" w:rsidR="00577D08" w:rsidRDefault="00577D08">
            <w:pPr>
              <w:jc w:val="right"/>
              <w:rPr>
                <w:sz w:val="15"/>
                <w:szCs w:val="15"/>
              </w:rPr>
            </w:pPr>
          </w:p>
        </w:tc>
        <w:tc>
          <w:tcPr>
            <w:tcW w:w="284" w:type="dxa"/>
            <w:vAlign w:val="center"/>
          </w:tcPr>
          <w:p w14:paraId="7B1277FE" w14:textId="77777777" w:rsidR="00577D08" w:rsidRDefault="00577D08">
            <w:pPr>
              <w:jc w:val="right"/>
              <w:rPr>
                <w:sz w:val="15"/>
                <w:szCs w:val="15"/>
              </w:rPr>
            </w:pPr>
          </w:p>
        </w:tc>
        <w:tc>
          <w:tcPr>
            <w:tcW w:w="425" w:type="dxa"/>
            <w:vAlign w:val="center"/>
          </w:tcPr>
          <w:p w14:paraId="0E923381" w14:textId="77777777" w:rsidR="00577D08" w:rsidRDefault="00577D08">
            <w:pPr>
              <w:jc w:val="right"/>
              <w:rPr>
                <w:sz w:val="15"/>
                <w:szCs w:val="15"/>
              </w:rPr>
            </w:pPr>
          </w:p>
        </w:tc>
        <w:tc>
          <w:tcPr>
            <w:tcW w:w="425" w:type="dxa"/>
            <w:vAlign w:val="center"/>
          </w:tcPr>
          <w:p w14:paraId="19CE8274" w14:textId="77777777" w:rsidR="00577D08" w:rsidRDefault="00577D08">
            <w:pPr>
              <w:jc w:val="right"/>
              <w:rPr>
                <w:sz w:val="15"/>
                <w:szCs w:val="15"/>
              </w:rPr>
            </w:pPr>
          </w:p>
        </w:tc>
        <w:tc>
          <w:tcPr>
            <w:tcW w:w="992" w:type="dxa"/>
            <w:vAlign w:val="center"/>
          </w:tcPr>
          <w:p w14:paraId="226F6486" w14:textId="77777777" w:rsidR="00577D08" w:rsidRDefault="00577D08">
            <w:pPr>
              <w:jc w:val="right"/>
              <w:rPr>
                <w:sz w:val="15"/>
                <w:szCs w:val="15"/>
              </w:rPr>
            </w:pPr>
          </w:p>
        </w:tc>
        <w:tc>
          <w:tcPr>
            <w:tcW w:w="1134" w:type="dxa"/>
            <w:vAlign w:val="center"/>
          </w:tcPr>
          <w:p w14:paraId="26702DFE" w14:textId="77777777" w:rsidR="00577D08" w:rsidRDefault="00577D08">
            <w:pPr>
              <w:jc w:val="right"/>
              <w:rPr>
                <w:sz w:val="15"/>
                <w:szCs w:val="15"/>
              </w:rPr>
            </w:pPr>
          </w:p>
        </w:tc>
        <w:tc>
          <w:tcPr>
            <w:tcW w:w="1134" w:type="dxa"/>
            <w:vAlign w:val="center"/>
          </w:tcPr>
          <w:p w14:paraId="38A11D6D" w14:textId="77777777" w:rsidR="00577D08" w:rsidRDefault="00577D08">
            <w:pPr>
              <w:jc w:val="right"/>
              <w:rPr>
                <w:sz w:val="15"/>
                <w:szCs w:val="15"/>
              </w:rPr>
            </w:pPr>
          </w:p>
        </w:tc>
        <w:tc>
          <w:tcPr>
            <w:tcW w:w="1134" w:type="dxa"/>
            <w:vAlign w:val="center"/>
          </w:tcPr>
          <w:p w14:paraId="17F2A243" w14:textId="77777777" w:rsidR="00577D08" w:rsidRDefault="00577D08">
            <w:pPr>
              <w:jc w:val="right"/>
              <w:rPr>
                <w:sz w:val="15"/>
                <w:szCs w:val="15"/>
              </w:rPr>
            </w:pPr>
          </w:p>
        </w:tc>
        <w:tc>
          <w:tcPr>
            <w:tcW w:w="993" w:type="dxa"/>
            <w:vAlign w:val="center"/>
          </w:tcPr>
          <w:p w14:paraId="524798A4" w14:textId="77777777" w:rsidR="00577D08" w:rsidRDefault="00577D08">
            <w:pPr>
              <w:jc w:val="right"/>
              <w:rPr>
                <w:sz w:val="15"/>
                <w:szCs w:val="15"/>
              </w:rPr>
            </w:pPr>
          </w:p>
        </w:tc>
        <w:tc>
          <w:tcPr>
            <w:tcW w:w="567" w:type="dxa"/>
            <w:vAlign w:val="center"/>
          </w:tcPr>
          <w:p w14:paraId="1FB79D2D" w14:textId="77777777" w:rsidR="00577D08" w:rsidRDefault="00577D08">
            <w:pPr>
              <w:jc w:val="right"/>
              <w:rPr>
                <w:sz w:val="15"/>
                <w:szCs w:val="15"/>
              </w:rPr>
            </w:pPr>
          </w:p>
        </w:tc>
        <w:tc>
          <w:tcPr>
            <w:tcW w:w="992" w:type="dxa"/>
            <w:vAlign w:val="center"/>
          </w:tcPr>
          <w:p w14:paraId="621599C4" w14:textId="77777777" w:rsidR="00577D08" w:rsidRDefault="00577D08">
            <w:pPr>
              <w:jc w:val="right"/>
              <w:rPr>
                <w:sz w:val="15"/>
                <w:szCs w:val="15"/>
              </w:rPr>
            </w:pPr>
          </w:p>
        </w:tc>
        <w:tc>
          <w:tcPr>
            <w:tcW w:w="283" w:type="dxa"/>
            <w:vAlign w:val="center"/>
          </w:tcPr>
          <w:p w14:paraId="71B8ECE9" w14:textId="77777777" w:rsidR="00577D08" w:rsidRDefault="00577D08">
            <w:pPr>
              <w:jc w:val="right"/>
              <w:rPr>
                <w:sz w:val="15"/>
                <w:szCs w:val="15"/>
              </w:rPr>
            </w:pPr>
          </w:p>
        </w:tc>
        <w:tc>
          <w:tcPr>
            <w:tcW w:w="1134" w:type="dxa"/>
            <w:vAlign w:val="center"/>
          </w:tcPr>
          <w:p w14:paraId="5E659862" w14:textId="77777777" w:rsidR="00577D08" w:rsidRDefault="00577D08">
            <w:pPr>
              <w:jc w:val="right"/>
              <w:rPr>
                <w:sz w:val="15"/>
                <w:szCs w:val="15"/>
              </w:rPr>
            </w:pPr>
          </w:p>
        </w:tc>
        <w:tc>
          <w:tcPr>
            <w:tcW w:w="1276" w:type="dxa"/>
            <w:vAlign w:val="center"/>
          </w:tcPr>
          <w:p w14:paraId="7A93DD9C" w14:textId="77777777" w:rsidR="00577D08" w:rsidRDefault="00330FC0">
            <w:pPr>
              <w:jc w:val="right"/>
              <w:rPr>
                <w:sz w:val="15"/>
                <w:szCs w:val="15"/>
              </w:rPr>
            </w:pPr>
            <w:r>
              <w:rPr>
                <w:sz w:val="15"/>
                <w:szCs w:val="15"/>
              </w:rPr>
              <w:t>128,809,658.57</w:t>
            </w:r>
          </w:p>
        </w:tc>
        <w:tc>
          <w:tcPr>
            <w:tcW w:w="1364" w:type="dxa"/>
            <w:vAlign w:val="center"/>
          </w:tcPr>
          <w:p w14:paraId="15A9AD19" w14:textId="77777777" w:rsidR="00577D08" w:rsidRDefault="00330FC0">
            <w:pPr>
              <w:jc w:val="right"/>
              <w:rPr>
                <w:sz w:val="15"/>
                <w:szCs w:val="15"/>
              </w:rPr>
            </w:pPr>
            <w:r>
              <w:rPr>
                <w:sz w:val="15"/>
                <w:szCs w:val="15"/>
              </w:rPr>
              <w:t>128,809,658.57</w:t>
            </w:r>
          </w:p>
        </w:tc>
      </w:tr>
      <w:tr w:rsidR="00577D08" w14:paraId="0A380C8F" w14:textId="77777777">
        <w:sdt>
          <w:sdtPr>
            <w:rPr>
              <w:sz w:val="15"/>
              <w:szCs w:val="15"/>
            </w:rPr>
            <w:tag w:val="_PLD_4f4c1a0d22784a4a81a90a7b772560b9"/>
            <w:id w:val="1064827894"/>
          </w:sdtPr>
          <w:sdtContent>
            <w:tc>
              <w:tcPr>
                <w:tcW w:w="959" w:type="dxa"/>
                <w:vAlign w:val="center"/>
              </w:tcPr>
              <w:p w14:paraId="3E6ED6CA" w14:textId="77777777" w:rsidR="00577D08" w:rsidRDefault="00330FC0">
                <w:pPr>
                  <w:rPr>
                    <w:sz w:val="15"/>
                    <w:szCs w:val="15"/>
                  </w:rPr>
                </w:pPr>
                <w:r>
                  <w:rPr>
                    <w:sz w:val="15"/>
                    <w:szCs w:val="15"/>
                  </w:rPr>
                  <w:t>（</w:t>
                </w:r>
                <w:r>
                  <w:rPr>
                    <w:rFonts w:hint="eastAsia"/>
                    <w:sz w:val="15"/>
                    <w:szCs w:val="15"/>
                  </w:rPr>
                  <w:t>三</w:t>
                </w:r>
                <w:r>
                  <w:rPr>
                    <w:sz w:val="15"/>
                    <w:szCs w:val="15"/>
                  </w:rPr>
                  <w:t>）利润分配</w:t>
                </w:r>
              </w:p>
            </w:tc>
          </w:sdtContent>
        </w:sdt>
        <w:tc>
          <w:tcPr>
            <w:tcW w:w="992" w:type="dxa"/>
            <w:vAlign w:val="center"/>
          </w:tcPr>
          <w:p w14:paraId="3D32D97A" w14:textId="77777777" w:rsidR="00577D08" w:rsidRDefault="00577D08">
            <w:pPr>
              <w:jc w:val="right"/>
              <w:rPr>
                <w:sz w:val="15"/>
                <w:szCs w:val="15"/>
              </w:rPr>
            </w:pPr>
          </w:p>
        </w:tc>
        <w:tc>
          <w:tcPr>
            <w:tcW w:w="284" w:type="dxa"/>
            <w:vAlign w:val="center"/>
          </w:tcPr>
          <w:p w14:paraId="62CDEBD8" w14:textId="77777777" w:rsidR="00577D08" w:rsidRDefault="00577D08">
            <w:pPr>
              <w:jc w:val="right"/>
              <w:rPr>
                <w:sz w:val="15"/>
                <w:szCs w:val="15"/>
              </w:rPr>
            </w:pPr>
          </w:p>
        </w:tc>
        <w:tc>
          <w:tcPr>
            <w:tcW w:w="425" w:type="dxa"/>
            <w:vAlign w:val="center"/>
          </w:tcPr>
          <w:p w14:paraId="10DDA519" w14:textId="77777777" w:rsidR="00577D08" w:rsidRDefault="00577D08">
            <w:pPr>
              <w:jc w:val="right"/>
              <w:rPr>
                <w:sz w:val="15"/>
                <w:szCs w:val="15"/>
              </w:rPr>
            </w:pPr>
          </w:p>
        </w:tc>
        <w:tc>
          <w:tcPr>
            <w:tcW w:w="425" w:type="dxa"/>
            <w:vAlign w:val="center"/>
          </w:tcPr>
          <w:p w14:paraId="22136B94" w14:textId="77777777" w:rsidR="00577D08" w:rsidRDefault="00577D08">
            <w:pPr>
              <w:jc w:val="right"/>
              <w:rPr>
                <w:sz w:val="15"/>
                <w:szCs w:val="15"/>
              </w:rPr>
            </w:pPr>
          </w:p>
        </w:tc>
        <w:tc>
          <w:tcPr>
            <w:tcW w:w="992" w:type="dxa"/>
            <w:vAlign w:val="center"/>
          </w:tcPr>
          <w:p w14:paraId="5E12C8C8" w14:textId="77777777" w:rsidR="00577D08" w:rsidRDefault="00577D08">
            <w:pPr>
              <w:jc w:val="right"/>
              <w:rPr>
                <w:sz w:val="15"/>
                <w:szCs w:val="15"/>
              </w:rPr>
            </w:pPr>
          </w:p>
        </w:tc>
        <w:tc>
          <w:tcPr>
            <w:tcW w:w="1134" w:type="dxa"/>
            <w:vAlign w:val="center"/>
          </w:tcPr>
          <w:p w14:paraId="11AD8D75" w14:textId="77777777" w:rsidR="00577D08" w:rsidRDefault="00577D08">
            <w:pPr>
              <w:jc w:val="right"/>
              <w:rPr>
                <w:sz w:val="15"/>
                <w:szCs w:val="15"/>
              </w:rPr>
            </w:pPr>
          </w:p>
        </w:tc>
        <w:tc>
          <w:tcPr>
            <w:tcW w:w="1134" w:type="dxa"/>
            <w:vAlign w:val="center"/>
          </w:tcPr>
          <w:p w14:paraId="4A186B17" w14:textId="77777777" w:rsidR="00577D08" w:rsidRDefault="00577D08">
            <w:pPr>
              <w:jc w:val="right"/>
              <w:rPr>
                <w:sz w:val="15"/>
                <w:szCs w:val="15"/>
              </w:rPr>
            </w:pPr>
          </w:p>
        </w:tc>
        <w:tc>
          <w:tcPr>
            <w:tcW w:w="1134" w:type="dxa"/>
            <w:vAlign w:val="center"/>
          </w:tcPr>
          <w:p w14:paraId="25D123EE" w14:textId="77777777" w:rsidR="00577D08" w:rsidRDefault="00577D08">
            <w:pPr>
              <w:jc w:val="right"/>
              <w:rPr>
                <w:sz w:val="15"/>
                <w:szCs w:val="15"/>
              </w:rPr>
            </w:pPr>
          </w:p>
        </w:tc>
        <w:tc>
          <w:tcPr>
            <w:tcW w:w="993" w:type="dxa"/>
            <w:vAlign w:val="center"/>
          </w:tcPr>
          <w:p w14:paraId="635C1B61" w14:textId="77777777" w:rsidR="00577D08" w:rsidRDefault="00330FC0">
            <w:pPr>
              <w:jc w:val="right"/>
              <w:rPr>
                <w:sz w:val="15"/>
                <w:szCs w:val="15"/>
              </w:rPr>
            </w:pPr>
            <w:r>
              <w:rPr>
                <w:sz w:val="15"/>
                <w:szCs w:val="15"/>
              </w:rPr>
              <w:t>4,106,781.71</w:t>
            </w:r>
          </w:p>
        </w:tc>
        <w:tc>
          <w:tcPr>
            <w:tcW w:w="567" w:type="dxa"/>
            <w:vAlign w:val="center"/>
          </w:tcPr>
          <w:p w14:paraId="5F9341BC" w14:textId="77777777" w:rsidR="00577D08" w:rsidRDefault="00577D08">
            <w:pPr>
              <w:jc w:val="right"/>
              <w:rPr>
                <w:sz w:val="15"/>
                <w:szCs w:val="15"/>
              </w:rPr>
            </w:pPr>
          </w:p>
        </w:tc>
        <w:tc>
          <w:tcPr>
            <w:tcW w:w="992" w:type="dxa"/>
            <w:vAlign w:val="center"/>
          </w:tcPr>
          <w:p w14:paraId="2F4DBFE9" w14:textId="77777777" w:rsidR="00577D08" w:rsidRDefault="00330FC0">
            <w:pPr>
              <w:jc w:val="right"/>
              <w:rPr>
                <w:sz w:val="15"/>
                <w:szCs w:val="15"/>
              </w:rPr>
            </w:pPr>
            <w:r>
              <w:rPr>
                <w:sz w:val="15"/>
                <w:szCs w:val="15"/>
              </w:rPr>
              <w:t>-53,983,977.56</w:t>
            </w:r>
          </w:p>
        </w:tc>
        <w:tc>
          <w:tcPr>
            <w:tcW w:w="283" w:type="dxa"/>
            <w:vAlign w:val="center"/>
          </w:tcPr>
          <w:p w14:paraId="54C815B9" w14:textId="77777777" w:rsidR="00577D08" w:rsidRDefault="00577D08">
            <w:pPr>
              <w:jc w:val="right"/>
              <w:rPr>
                <w:sz w:val="15"/>
                <w:szCs w:val="15"/>
              </w:rPr>
            </w:pPr>
          </w:p>
        </w:tc>
        <w:tc>
          <w:tcPr>
            <w:tcW w:w="1134" w:type="dxa"/>
            <w:vAlign w:val="center"/>
          </w:tcPr>
          <w:p w14:paraId="1AF6505F" w14:textId="77777777" w:rsidR="00577D08" w:rsidRDefault="00330FC0">
            <w:pPr>
              <w:jc w:val="right"/>
              <w:rPr>
                <w:sz w:val="15"/>
                <w:szCs w:val="15"/>
              </w:rPr>
            </w:pPr>
            <w:r>
              <w:rPr>
                <w:sz w:val="15"/>
                <w:szCs w:val="15"/>
              </w:rPr>
              <w:t>-49,877,195.85</w:t>
            </w:r>
          </w:p>
        </w:tc>
        <w:tc>
          <w:tcPr>
            <w:tcW w:w="1276" w:type="dxa"/>
            <w:vAlign w:val="center"/>
          </w:tcPr>
          <w:p w14:paraId="76761125" w14:textId="77777777" w:rsidR="00577D08" w:rsidRDefault="00577D08">
            <w:pPr>
              <w:jc w:val="right"/>
              <w:rPr>
                <w:sz w:val="15"/>
                <w:szCs w:val="15"/>
              </w:rPr>
            </w:pPr>
          </w:p>
        </w:tc>
        <w:tc>
          <w:tcPr>
            <w:tcW w:w="1364" w:type="dxa"/>
            <w:vAlign w:val="center"/>
          </w:tcPr>
          <w:p w14:paraId="2A7CA0F8" w14:textId="77777777" w:rsidR="00577D08" w:rsidRDefault="00330FC0">
            <w:pPr>
              <w:jc w:val="right"/>
              <w:rPr>
                <w:sz w:val="15"/>
                <w:szCs w:val="15"/>
              </w:rPr>
            </w:pPr>
            <w:r>
              <w:rPr>
                <w:sz w:val="15"/>
                <w:szCs w:val="15"/>
              </w:rPr>
              <w:t>-49,877,195.85</w:t>
            </w:r>
          </w:p>
        </w:tc>
      </w:tr>
      <w:tr w:rsidR="00577D08" w14:paraId="144307C7" w14:textId="77777777">
        <w:sdt>
          <w:sdtPr>
            <w:rPr>
              <w:sz w:val="15"/>
              <w:szCs w:val="15"/>
            </w:rPr>
            <w:tag w:val="_PLD_73a49eb420a24cdbb4f7f5ce05660344"/>
            <w:id w:val="1875576239"/>
          </w:sdtPr>
          <w:sdtContent>
            <w:tc>
              <w:tcPr>
                <w:tcW w:w="959" w:type="dxa"/>
                <w:vAlign w:val="center"/>
              </w:tcPr>
              <w:p w14:paraId="234681D9" w14:textId="77777777" w:rsidR="00577D08" w:rsidRDefault="00330FC0">
                <w:pPr>
                  <w:rPr>
                    <w:sz w:val="15"/>
                    <w:szCs w:val="15"/>
                  </w:rPr>
                </w:pPr>
                <w:r>
                  <w:rPr>
                    <w:sz w:val="15"/>
                    <w:szCs w:val="15"/>
                  </w:rPr>
                  <w:t>1</w:t>
                </w:r>
                <w:r>
                  <w:rPr>
                    <w:sz w:val="15"/>
                    <w:szCs w:val="15"/>
                  </w:rPr>
                  <w:t>．提取盈余公积</w:t>
                </w:r>
              </w:p>
            </w:tc>
          </w:sdtContent>
        </w:sdt>
        <w:tc>
          <w:tcPr>
            <w:tcW w:w="992" w:type="dxa"/>
            <w:vAlign w:val="center"/>
          </w:tcPr>
          <w:p w14:paraId="62F028A3" w14:textId="77777777" w:rsidR="00577D08" w:rsidRDefault="00577D08">
            <w:pPr>
              <w:jc w:val="right"/>
              <w:rPr>
                <w:sz w:val="15"/>
                <w:szCs w:val="15"/>
              </w:rPr>
            </w:pPr>
          </w:p>
        </w:tc>
        <w:tc>
          <w:tcPr>
            <w:tcW w:w="284" w:type="dxa"/>
            <w:vAlign w:val="center"/>
          </w:tcPr>
          <w:p w14:paraId="3253E802" w14:textId="77777777" w:rsidR="00577D08" w:rsidRDefault="00577D08">
            <w:pPr>
              <w:jc w:val="right"/>
              <w:rPr>
                <w:sz w:val="15"/>
                <w:szCs w:val="15"/>
              </w:rPr>
            </w:pPr>
          </w:p>
        </w:tc>
        <w:tc>
          <w:tcPr>
            <w:tcW w:w="425" w:type="dxa"/>
            <w:vAlign w:val="center"/>
          </w:tcPr>
          <w:p w14:paraId="57F852B1" w14:textId="77777777" w:rsidR="00577D08" w:rsidRDefault="00577D08">
            <w:pPr>
              <w:jc w:val="right"/>
              <w:rPr>
                <w:sz w:val="15"/>
                <w:szCs w:val="15"/>
              </w:rPr>
            </w:pPr>
          </w:p>
        </w:tc>
        <w:tc>
          <w:tcPr>
            <w:tcW w:w="425" w:type="dxa"/>
            <w:vAlign w:val="center"/>
          </w:tcPr>
          <w:p w14:paraId="6C893274" w14:textId="77777777" w:rsidR="00577D08" w:rsidRDefault="00577D08">
            <w:pPr>
              <w:jc w:val="right"/>
              <w:rPr>
                <w:sz w:val="15"/>
                <w:szCs w:val="15"/>
              </w:rPr>
            </w:pPr>
          </w:p>
        </w:tc>
        <w:tc>
          <w:tcPr>
            <w:tcW w:w="992" w:type="dxa"/>
            <w:vAlign w:val="center"/>
          </w:tcPr>
          <w:p w14:paraId="66618A65" w14:textId="77777777" w:rsidR="00577D08" w:rsidRDefault="00577D08">
            <w:pPr>
              <w:jc w:val="right"/>
              <w:rPr>
                <w:sz w:val="15"/>
                <w:szCs w:val="15"/>
              </w:rPr>
            </w:pPr>
          </w:p>
        </w:tc>
        <w:tc>
          <w:tcPr>
            <w:tcW w:w="1134" w:type="dxa"/>
            <w:vAlign w:val="center"/>
          </w:tcPr>
          <w:p w14:paraId="47072114" w14:textId="77777777" w:rsidR="00577D08" w:rsidRDefault="00577D08">
            <w:pPr>
              <w:jc w:val="right"/>
              <w:rPr>
                <w:sz w:val="15"/>
                <w:szCs w:val="15"/>
              </w:rPr>
            </w:pPr>
          </w:p>
        </w:tc>
        <w:tc>
          <w:tcPr>
            <w:tcW w:w="1134" w:type="dxa"/>
            <w:vAlign w:val="center"/>
          </w:tcPr>
          <w:p w14:paraId="778CD4AE" w14:textId="77777777" w:rsidR="00577D08" w:rsidRDefault="00577D08">
            <w:pPr>
              <w:jc w:val="right"/>
              <w:rPr>
                <w:sz w:val="15"/>
                <w:szCs w:val="15"/>
              </w:rPr>
            </w:pPr>
          </w:p>
        </w:tc>
        <w:tc>
          <w:tcPr>
            <w:tcW w:w="1134" w:type="dxa"/>
            <w:vAlign w:val="center"/>
          </w:tcPr>
          <w:p w14:paraId="70C7FDEF" w14:textId="77777777" w:rsidR="00577D08" w:rsidRDefault="00577D08">
            <w:pPr>
              <w:jc w:val="right"/>
              <w:rPr>
                <w:sz w:val="15"/>
                <w:szCs w:val="15"/>
              </w:rPr>
            </w:pPr>
          </w:p>
        </w:tc>
        <w:tc>
          <w:tcPr>
            <w:tcW w:w="993" w:type="dxa"/>
            <w:vAlign w:val="center"/>
          </w:tcPr>
          <w:p w14:paraId="4365BB3A" w14:textId="77777777" w:rsidR="00577D08" w:rsidRDefault="00330FC0">
            <w:pPr>
              <w:jc w:val="right"/>
              <w:rPr>
                <w:sz w:val="15"/>
                <w:szCs w:val="15"/>
              </w:rPr>
            </w:pPr>
            <w:r>
              <w:rPr>
                <w:sz w:val="15"/>
                <w:szCs w:val="15"/>
              </w:rPr>
              <w:t>4,106,781.71</w:t>
            </w:r>
          </w:p>
        </w:tc>
        <w:tc>
          <w:tcPr>
            <w:tcW w:w="567" w:type="dxa"/>
            <w:vAlign w:val="center"/>
          </w:tcPr>
          <w:p w14:paraId="30CC6E39" w14:textId="77777777" w:rsidR="00577D08" w:rsidRDefault="00577D08">
            <w:pPr>
              <w:jc w:val="right"/>
              <w:rPr>
                <w:sz w:val="15"/>
                <w:szCs w:val="15"/>
              </w:rPr>
            </w:pPr>
          </w:p>
        </w:tc>
        <w:tc>
          <w:tcPr>
            <w:tcW w:w="992" w:type="dxa"/>
            <w:vAlign w:val="center"/>
          </w:tcPr>
          <w:p w14:paraId="2DAD457E" w14:textId="77777777" w:rsidR="00577D08" w:rsidRDefault="00330FC0">
            <w:pPr>
              <w:jc w:val="right"/>
              <w:rPr>
                <w:sz w:val="15"/>
                <w:szCs w:val="15"/>
              </w:rPr>
            </w:pPr>
            <w:r>
              <w:rPr>
                <w:sz w:val="15"/>
                <w:szCs w:val="15"/>
              </w:rPr>
              <w:t>-4,106,781.71</w:t>
            </w:r>
          </w:p>
        </w:tc>
        <w:tc>
          <w:tcPr>
            <w:tcW w:w="283" w:type="dxa"/>
            <w:vAlign w:val="center"/>
          </w:tcPr>
          <w:p w14:paraId="6B4FC2DF" w14:textId="77777777" w:rsidR="00577D08" w:rsidRDefault="00577D08">
            <w:pPr>
              <w:jc w:val="right"/>
              <w:rPr>
                <w:sz w:val="15"/>
                <w:szCs w:val="15"/>
              </w:rPr>
            </w:pPr>
          </w:p>
        </w:tc>
        <w:tc>
          <w:tcPr>
            <w:tcW w:w="1134" w:type="dxa"/>
            <w:vAlign w:val="center"/>
          </w:tcPr>
          <w:p w14:paraId="6DF3C584" w14:textId="77777777" w:rsidR="00577D08" w:rsidRDefault="00577D08">
            <w:pPr>
              <w:jc w:val="right"/>
              <w:rPr>
                <w:sz w:val="15"/>
                <w:szCs w:val="15"/>
              </w:rPr>
            </w:pPr>
          </w:p>
        </w:tc>
        <w:tc>
          <w:tcPr>
            <w:tcW w:w="1276" w:type="dxa"/>
            <w:vAlign w:val="center"/>
          </w:tcPr>
          <w:p w14:paraId="3BED575C" w14:textId="77777777" w:rsidR="00577D08" w:rsidRDefault="00577D08">
            <w:pPr>
              <w:jc w:val="right"/>
              <w:rPr>
                <w:sz w:val="15"/>
                <w:szCs w:val="15"/>
              </w:rPr>
            </w:pPr>
          </w:p>
        </w:tc>
        <w:tc>
          <w:tcPr>
            <w:tcW w:w="1364" w:type="dxa"/>
            <w:vAlign w:val="center"/>
          </w:tcPr>
          <w:p w14:paraId="1B3D2862" w14:textId="77777777" w:rsidR="00577D08" w:rsidRDefault="00577D08">
            <w:pPr>
              <w:jc w:val="right"/>
              <w:rPr>
                <w:sz w:val="15"/>
                <w:szCs w:val="15"/>
              </w:rPr>
            </w:pPr>
          </w:p>
        </w:tc>
      </w:tr>
      <w:tr w:rsidR="00577D08" w14:paraId="0AE36BB2" w14:textId="77777777">
        <w:sdt>
          <w:sdtPr>
            <w:rPr>
              <w:sz w:val="15"/>
              <w:szCs w:val="15"/>
            </w:rPr>
            <w:tag w:val="_PLD_230083ca1b684aa0b92b69b31995ea1b"/>
            <w:id w:val="1242843087"/>
          </w:sdtPr>
          <w:sdtContent>
            <w:tc>
              <w:tcPr>
                <w:tcW w:w="959" w:type="dxa"/>
                <w:vAlign w:val="center"/>
              </w:tcPr>
              <w:p w14:paraId="6A8E1E67" w14:textId="77777777" w:rsidR="00577D08" w:rsidRDefault="00330FC0">
                <w:pPr>
                  <w:rPr>
                    <w:sz w:val="15"/>
                    <w:szCs w:val="15"/>
                  </w:rPr>
                </w:pPr>
                <w:r>
                  <w:rPr>
                    <w:sz w:val="15"/>
                    <w:szCs w:val="15"/>
                  </w:rPr>
                  <w:t>2</w:t>
                </w:r>
                <w:r>
                  <w:rPr>
                    <w:sz w:val="15"/>
                    <w:szCs w:val="15"/>
                  </w:rPr>
                  <w:t>．提取一般风险准备</w:t>
                </w:r>
              </w:p>
            </w:tc>
          </w:sdtContent>
        </w:sdt>
        <w:tc>
          <w:tcPr>
            <w:tcW w:w="992" w:type="dxa"/>
            <w:vAlign w:val="center"/>
          </w:tcPr>
          <w:p w14:paraId="69314FB3" w14:textId="77777777" w:rsidR="00577D08" w:rsidRDefault="00577D08">
            <w:pPr>
              <w:jc w:val="right"/>
              <w:rPr>
                <w:sz w:val="15"/>
                <w:szCs w:val="15"/>
              </w:rPr>
            </w:pPr>
          </w:p>
        </w:tc>
        <w:tc>
          <w:tcPr>
            <w:tcW w:w="284" w:type="dxa"/>
            <w:vAlign w:val="center"/>
          </w:tcPr>
          <w:p w14:paraId="23CB70A7" w14:textId="77777777" w:rsidR="00577D08" w:rsidRDefault="00577D08">
            <w:pPr>
              <w:jc w:val="right"/>
              <w:rPr>
                <w:sz w:val="15"/>
                <w:szCs w:val="15"/>
              </w:rPr>
            </w:pPr>
          </w:p>
        </w:tc>
        <w:tc>
          <w:tcPr>
            <w:tcW w:w="425" w:type="dxa"/>
            <w:vAlign w:val="center"/>
          </w:tcPr>
          <w:p w14:paraId="4EAD7C5A" w14:textId="77777777" w:rsidR="00577D08" w:rsidRDefault="00577D08">
            <w:pPr>
              <w:jc w:val="right"/>
              <w:rPr>
                <w:sz w:val="15"/>
                <w:szCs w:val="15"/>
              </w:rPr>
            </w:pPr>
          </w:p>
        </w:tc>
        <w:tc>
          <w:tcPr>
            <w:tcW w:w="425" w:type="dxa"/>
            <w:vAlign w:val="center"/>
          </w:tcPr>
          <w:p w14:paraId="70885FAF" w14:textId="77777777" w:rsidR="00577D08" w:rsidRDefault="00577D08">
            <w:pPr>
              <w:jc w:val="right"/>
              <w:rPr>
                <w:sz w:val="15"/>
                <w:szCs w:val="15"/>
              </w:rPr>
            </w:pPr>
          </w:p>
        </w:tc>
        <w:tc>
          <w:tcPr>
            <w:tcW w:w="992" w:type="dxa"/>
            <w:vAlign w:val="center"/>
          </w:tcPr>
          <w:p w14:paraId="3ACBB85B" w14:textId="77777777" w:rsidR="00577D08" w:rsidRDefault="00577D08">
            <w:pPr>
              <w:jc w:val="right"/>
              <w:rPr>
                <w:sz w:val="15"/>
                <w:szCs w:val="15"/>
              </w:rPr>
            </w:pPr>
          </w:p>
        </w:tc>
        <w:tc>
          <w:tcPr>
            <w:tcW w:w="1134" w:type="dxa"/>
            <w:vAlign w:val="center"/>
          </w:tcPr>
          <w:p w14:paraId="346C5799" w14:textId="77777777" w:rsidR="00577D08" w:rsidRDefault="00577D08">
            <w:pPr>
              <w:jc w:val="right"/>
              <w:rPr>
                <w:sz w:val="15"/>
                <w:szCs w:val="15"/>
              </w:rPr>
            </w:pPr>
          </w:p>
        </w:tc>
        <w:tc>
          <w:tcPr>
            <w:tcW w:w="1134" w:type="dxa"/>
            <w:vAlign w:val="center"/>
          </w:tcPr>
          <w:p w14:paraId="3B694892" w14:textId="77777777" w:rsidR="00577D08" w:rsidRDefault="00577D08">
            <w:pPr>
              <w:jc w:val="right"/>
              <w:rPr>
                <w:sz w:val="15"/>
                <w:szCs w:val="15"/>
              </w:rPr>
            </w:pPr>
          </w:p>
        </w:tc>
        <w:tc>
          <w:tcPr>
            <w:tcW w:w="1134" w:type="dxa"/>
            <w:vAlign w:val="center"/>
          </w:tcPr>
          <w:p w14:paraId="5111E786" w14:textId="77777777" w:rsidR="00577D08" w:rsidRDefault="00577D08">
            <w:pPr>
              <w:jc w:val="right"/>
              <w:rPr>
                <w:sz w:val="15"/>
                <w:szCs w:val="15"/>
              </w:rPr>
            </w:pPr>
          </w:p>
        </w:tc>
        <w:tc>
          <w:tcPr>
            <w:tcW w:w="993" w:type="dxa"/>
            <w:vAlign w:val="center"/>
          </w:tcPr>
          <w:p w14:paraId="36EBDB65" w14:textId="77777777" w:rsidR="00577D08" w:rsidRDefault="00577D08">
            <w:pPr>
              <w:jc w:val="right"/>
              <w:rPr>
                <w:sz w:val="15"/>
                <w:szCs w:val="15"/>
              </w:rPr>
            </w:pPr>
          </w:p>
        </w:tc>
        <w:tc>
          <w:tcPr>
            <w:tcW w:w="567" w:type="dxa"/>
            <w:vAlign w:val="center"/>
          </w:tcPr>
          <w:p w14:paraId="114C71C2" w14:textId="77777777" w:rsidR="00577D08" w:rsidRDefault="00577D08">
            <w:pPr>
              <w:jc w:val="right"/>
              <w:rPr>
                <w:sz w:val="15"/>
                <w:szCs w:val="15"/>
              </w:rPr>
            </w:pPr>
          </w:p>
        </w:tc>
        <w:tc>
          <w:tcPr>
            <w:tcW w:w="992" w:type="dxa"/>
            <w:vAlign w:val="center"/>
          </w:tcPr>
          <w:p w14:paraId="3CB4DE91" w14:textId="77777777" w:rsidR="00577D08" w:rsidRDefault="00577D08">
            <w:pPr>
              <w:jc w:val="right"/>
              <w:rPr>
                <w:sz w:val="15"/>
                <w:szCs w:val="15"/>
              </w:rPr>
            </w:pPr>
          </w:p>
        </w:tc>
        <w:tc>
          <w:tcPr>
            <w:tcW w:w="283" w:type="dxa"/>
            <w:vAlign w:val="center"/>
          </w:tcPr>
          <w:p w14:paraId="01CB3845" w14:textId="77777777" w:rsidR="00577D08" w:rsidRDefault="00577D08">
            <w:pPr>
              <w:jc w:val="right"/>
              <w:rPr>
                <w:sz w:val="15"/>
                <w:szCs w:val="15"/>
              </w:rPr>
            </w:pPr>
          </w:p>
        </w:tc>
        <w:tc>
          <w:tcPr>
            <w:tcW w:w="1134" w:type="dxa"/>
            <w:vAlign w:val="center"/>
          </w:tcPr>
          <w:p w14:paraId="6C3A6F81" w14:textId="77777777" w:rsidR="00577D08" w:rsidRDefault="00577D08">
            <w:pPr>
              <w:jc w:val="right"/>
              <w:rPr>
                <w:sz w:val="15"/>
                <w:szCs w:val="15"/>
              </w:rPr>
            </w:pPr>
          </w:p>
        </w:tc>
        <w:tc>
          <w:tcPr>
            <w:tcW w:w="1276" w:type="dxa"/>
            <w:vAlign w:val="center"/>
          </w:tcPr>
          <w:p w14:paraId="18D489CD" w14:textId="77777777" w:rsidR="00577D08" w:rsidRDefault="00577D08">
            <w:pPr>
              <w:jc w:val="right"/>
              <w:rPr>
                <w:sz w:val="15"/>
                <w:szCs w:val="15"/>
              </w:rPr>
            </w:pPr>
          </w:p>
        </w:tc>
        <w:tc>
          <w:tcPr>
            <w:tcW w:w="1364" w:type="dxa"/>
            <w:vAlign w:val="center"/>
          </w:tcPr>
          <w:p w14:paraId="2CB7311A" w14:textId="77777777" w:rsidR="00577D08" w:rsidRDefault="00577D08">
            <w:pPr>
              <w:jc w:val="right"/>
              <w:rPr>
                <w:sz w:val="15"/>
                <w:szCs w:val="15"/>
              </w:rPr>
            </w:pPr>
          </w:p>
        </w:tc>
      </w:tr>
      <w:tr w:rsidR="00577D08" w14:paraId="52B11D5E" w14:textId="77777777">
        <w:sdt>
          <w:sdtPr>
            <w:rPr>
              <w:sz w:val="15"/>
              <w:szCs w:val="15"/>
            </w:rPr>
            <w:tag w:val="_PLD_d19b1d04bab14e67b22ee23afd215d76"/>
            <w:id w:val="315237181"/>
          </w:sdtPr>
          <w:sdtContent>
            <w:tc>
              <w:tcPr>
                <w:tcW w:w="959" w:type="dxa"/>
                <w:vAlign w:val="center"/>
              </w:tcPr>
              <w:p w14:paraId="51A73673" w14:textId="77777777" w:rsidR="00577D08" w:rsidRDefault="00330FC0">
                <w:pPr>
                  <w:rPr>
                    <w:sz w:val="15"/>
                    <w:szCs w:val="15"/>
                  </w:rPr>
                </w:pPr>
                <w:r>
                  <w:rPr>
                    <w:sz w:val="15"/>
                    <w:szCs w:val="15"/>
                  </w:rPr>
                  <w:t>3</w:t>
                </w:r>
                <w:r>
                  <w:rPr>
                    <w:sz w:val="15"/>
                    <w:szCs w:val="15"/>
                  </w:rPr>
                  <w:t>．对所有者（或股东）的分配</w:t>
                </w:r>
              </w:p>
            </w:tc>
          </w:sdtContent>
        </w:sdt>
        <w:tc>
          <w:tcPr>
            <w:tcW w:w="992" w:type="dxa"/>
            <w:vAlign w:val="center"/>
          </w:tcPr>
          <w:p w14:paraId="16E0A8C1" w14:textId="77777777" w:rsidR="00577D08" w:rsidRDefault="00577D08">
            <w:pPr>
              <w:jc w:val="right"/>
              <w:rPr>
                <w:sz w:val="15"/>
                <w:szCs w:val="15"/>
              </w:rPr>
            </w:pPr>
          </w:p>
        </w:tc>
        <w:tc>
          <w:tcPr>
            <w:tcW w:w="284" w:type="dxa"/>
            <w:vAlign w:val="center"/>
          </w:tcPr>
          <w:p w14:paraId="43B6B8D3" w14:textId="77777777" w:rsidR="00577D08" w:rsidRDefault="00577D08">
            <w:pPr>
              <w:jc w:val="right"/>
              <w:rPr>
                <w:sz w:val="15"/>
                <w:szCs w:val="15"/>
              </w:rPr>
            </w:pPr>
          </w:p>
        </w:tc>
        <w:tc>
          <w:tcPr>
            <w:tcW w:w="425" w:type="dxa"/>
            <w:vAlign w:val="center"/>
          </w:tcPr>
          <w:p w14:paraId="53DD3FC8" w14:textId="77777777" w:rsidR="00577D08" w:rsidRDefault="00577D08">
            <w:pPr>
              <w:jc w:val="right"/>
              <w:rPr>
                <w:sz w:val="15"/>
                <w:szCs w:val="15"/>
              </w:rPr>
            </w:pPr>
          </w:p>
        </w:tc>
        <w:tc>
          <w:tcPr>
            <w:tcW w:w="425" w:type="dxa"/>
            <w:vAlign w:val="center"/>
          </w:tcPr>
          <w:p w14:paraId="69E4C048" w14:textId="77777777" w:rsidR="00577D08" w:rsidRDefault="00577D08">
            <w:pPr>
              <w:jc w:val="right"/>
              <w:rPr>
                <w:sz w:val="15"/>
                <w:szCs w:val="15"/>
              </w:rPr>
            </w:pPr>
          </w:p>
        </w:tc>
        <w:tc>
          <w:tcPr>
            <w:tcW w:w="992" w:type="dxa"/>
            <w:vAlign w:val="center"/>
          </w:tcPr>
          <w:p w14:paraId="07B18830" w14:textId="77777777" w:rsidR="00577D08" w:rsidRDefault="00577D08">
            <w:pPr>
              <w:jc w:val="right"/>
              <w:rPr>
                <w:sz w:val="15"/>
                <w:szCs w:val="15"/>
              </w:rPr>
            </w:pPr>
          </w:p>
        </w:tc>
        <w:tc>
          <w:tcPr>
            <w:tcW w:w="1134" w:type="dxa"/>
            <w:vAlign w:val="center"/>
          </w:tcPr>
          <w:p w14:paraId="40C260D8" w14:textId="77777777" w:rsidR="00577D08" w:rsidRDefault="00577D08">
            <w:pPr>
              <w:jc w:val="right"/>
              <w:rPr>
                <w:sz w:val="15"/>
                <w:szCs w:val="15"/>
              </w:rPr>
            </w:pPr>
          </w:p>
        </w:tc>
        <w:tc>
          <w:tcPr>
            <w:tcW w:w="1134" w:type="dxa"/>
            <w:vAlign w:val="center"/>
          </w:tcPr>
          <w:p w14:paraId="7C0A1C47" w14:textId="77777777" w:rsidR="00577D08" w:rsidRDefault="00577D08">
            <w:pPr>
              <w:jc w:val="right"/>
              <w:rPr>
                <w:sz w:val="15"/>
                <w:szCs w:val="15"/>
              </w:rPr>
            </w:pPr>
          </w:p>
        </w:tc>
        <w:tc>
          <w:tcPr>
            <w:tcW w:w="1134" w:type="dxa"/>
            <w:vAlign w:val="center"/>
          </w:tcPr>
          <w:p w14:paraId="2AEBB985" w14:textId="77777777" w:rsidR="00577D08" w:rsidRDefault="00577D08">
            <w:pPr>
              <w:jc w:val="right"/>
              <w:rPr>
                <w:sz w:val="15"/>
                <w:szCs w:val="15"/>
              </w:rPr>
            </w:pPr>
          </w:p>
        </w:tc>
        <w:tc>
          <w:tcPr>
            <w:tcW w:w="993" w:type="dxa"/>
            <w:vAlign w:val="center"/>
          </w:tcPr>
          <w:p w14:paraId="3038E22F" w14:textId="77777777" w:rsidR="00577D08" w:rsidRDefault="00577D08">
            <w:pPr>
              <w:jc w:val="right"/>
              <w:rPr>
                <w:sz w:val="15"/>
                <w:szCs w:val="15"/>
              </w:rPr>
            </w:pPr>
          </w:p>
        </w:tc>
        <w:tc>
          <w:tcPr>
            <w:tcW w:w="567" w:type="dxa"/>
            <w:vAlign w:val="center"/>
          </w:tcPr>
          <w:p w14:paraId="1149E7C3" w14:textId="77777777" w:rsidR="00577D08" w:rsidRDefault="00577D08">
            <w:pPr>
              <w:jc w:val="right"/>
              <w:rPr>
                <w:sz w:val="15"/>
                <w:szCs w:val="15"/>
              </w:rPr>
            </w:pPr>
          </w:p>
        </w:tc>
        <w:tc>
          <w:tcPr>
            <w:tcW w:w="992" w:type="dxa"/>
            <w:vAlign w:val="center"/>
          </w:tcPr>
          <w:p w14:paraId="5B4CF0A4" w14:textId="77777777" w:rsidR="00577D08" w:rsidRDefault="00330FC0">
            <w:pPr>
              <w:jc w:val="right"/>
              <w:rPr>
                <w:sz w:val="15"/>
                <w:szCs w:val="15"/>
              </w:rPr>
            </w:pPr>
            <w:r>
              <w:rPr>
                <w:sz w:val="15"/>
                <w:szCs w:val="15"/>
              </w:rPr>
              <w:t>-49,877,195.85</w:t>
            </w:r>
          </w:p>
        </w:tc>
        <w:tc>
          <w:tcPr>
            <w:tcW w:w="283" w:type="dxa"/>
            <w:vAlign w:val="center"/>
          </w:tcPr>
          <w:p w14:paraId="31B8A463" w14:textId="77777777" w:rsidR="00577D08" w:rsidRDefault="00577D08">
            <w:pPr>
              <w:jc w:val="right"/>
              <w:rPr>
                <w:sz w:val="15"/>
                <w:szCs w:val="15"/>
              </w:rPr>
            </w:pPr>
          </w:p>
        </w:tc>
        <w:tc>
          <w:tcPr>
            <w:tcW w:w="1134" w:type="dxa"/>
            <w:vAlign w:val="center"/>
          </w:tcPr>
          <w:p w14:paraId="13873785" w14:textId="77777777" w:rsidR="00577D08" w:rsidRDefault="00330FC0">
            <w:pPr>
              <w:jc w:val="right"/>
              <w:rPr>
                <w:sz w:val="15"/>
                <w:szCs w:val="15"/>
              </w:rPr>
            </w:pPr>
            <w:r>
              <w:rPr>
                <w:sz w:val="15"/>
                <w:szCs w:val="15"/>
              </w:rPr>
              <w:t>-49,877,195.85</w:t>
            </w:r>
          </w:p>
        </w:tc>
        <w:tc>
          <w:tcPr>
            <w:tcW w:w="1276" w:type="dxa"/>
            <w:vAlign w:val="center"/>
          </w:tcPr>
          <w:p w14:paraId="45699CB8" w14:textId="77777777" w:rsidR="00577D08" w:rsidRDefault="00577D08">
            <w:pPr>
              <w:jc w:val="right"/>
              <w:rPr>
                <w:sz w:val="15"/>
                <w:szCs w:val="15"/>
              </w:rPr>
            </w:pPr>
          </w:p>
        </w:tc>
        <w:tc>
          <w:tcPr>
            <w:tcW w:w="1364" w:type="dxa"/>
            <w:vAlign w:val="center"/>
          </w:tcPr>
          <w:p w14:paraId="7FAE098B" w14:textId="77777777" w:rsidR="00577D08" w:rsidRDefault="00330FC0">
            <w:pPr>
              <w:jc w:val="right"/>
              <w:rPr>
                <w:sz w:val="15"/>
                <w:szCs w:val="15"/>
              </w:rPr>
            </w:pPr>
            <w:r>
              <w:rPr>
                <w:sz w:val="15"/>
                <w:szCs w:val="15"/>
              </w:rPr>
              <w:t>-49,877,195.85</w:t>
            </w:r>
          </w:p>
        </w:tc>
      </w:tr>
      <w:tr w:rsidR="00577D08" w14:paraId="624D3B29" w14:textId="77777777">
        <w:sdt>
          <w:sdtPr>
            <w:rPr>
              <w:sz w:val="15"/>
              <w:szCs w:val="15"/>
            </w:rPr>
            <w:tag w:val="_PLD_6e5628e129d04d23a2d71da503cecfdd"/>
            <w:id w:val="534233361"/>
          </w:sdtPr>
          <w:sdtContent>
            <w:tc>
              <w:tcPr>
                <w:tcW w:w="959" w:type="dxa"/>
                <w:vAlign w:val="center"/>
              </w:tcPr>
              <w:p w14:paraId="6FC0935C" w14:textId="77777777" w:rsidR="00577D08" w:rsidRDefault="00330FC0">
                <w:pPr>
                  <w:rPr>
                    <w:sz w:val="15"/>
                    <w:szCs w:val="15"/>
                  </w:rPr>
                </w:pPr>
                <w:r>
                  <w:rPr>
                    <w:sz w:val="15"/>
                    <w:szCs w:val="15"/>
                  </w:rPr>
                  <w:t>4</w:t>
                </w:r>
                <w:r>
                  <w:rPr>
                    <w:sz w:val="15"/>
                    <w:szCs w:val="15"/>
                  </w:rPr>
                  <w:t>．其他</w:t>
                </w:r>
              </w:p>
            </w:tc>
          </w:sdtContent>
        </w:sdt>
        <w:tc>
          <w:tcPr>
            <w:tcW w:w="992" w:type="dxa"/>
            <w:vAlign w:val="center"/>
          </w:tcPr>
          <w:p w14:paraId="49E2260F" w14:textId="77777777" w:rsidR="00577D08" w:rsidRDefault="00577D08">
            <w:pPr>
              <w:jc w:val="right"/>
              <w:rPr>
                <w:sz w:val="15"/>
                <w:szCs w:val="15"/>
              </w:rPr>
            </w:pPr>
          </w:p>
        </w:tc>
        <w:tc>
          <w:tcPr>
            <w:tcW w:w="284" w:type="dxa"/>
            <w:vAlign w:val="center"/>
          </w:tcPr>
          <w:p w14:paraId="03DAEE30" w14:textId="77777777" w:rsidR="00577D08" w:rsidRDefault="00577D08">
            <w:pPr>
              <w:jc w:val="right"/>
              <w:rPr>
                <w:sz w:val="15"/>
                <w:szCs w:val="15"/>
              </w:rPr>
            </w:pPr>
          </w:p>
        </w:tc>
        <w:tc>
          <w:tcPr>
            <w:tcW w:w="425" w:type="dxa"/>
            <w:vAlign w:val="center"/>
          </w:tcPr>
          <w:p w14:paraId="00F047A9" w14:textId="77777777" w:rsidR="00577D08" w:rsidRDefault="00577D08">
            <w:pPr>
              <w:jc w:val="right"/>
              <w:rPr>
                <w:sz w:val="15"/>
                <w:szCs w:val="15"/>
              </w:rPr>
            </w:pPr>
          </w:p>
        </w:tc>
        <w:tc>
          <w:tcPr>
            <w:tcW w:w="425" w:type="dxa"/>
            <w:vAlign w:val="center"/>
          </w:tcPr>
          <w:p w14:paraId="1CF9D5EB" w14:textId="77777777" w:rsidR="00577D08" w:rsidRDefault="00577D08">
            <w:pPr>
              <w:jc w:val="right"/>
              <w:rPr>
                <w:sz w:val="15"/>
                <w:szCs w:val="15"/>
              </w:rPr>
            </w:pPr>
          </w:p>
        </w:tc>
        <w:tc>
          <w:tcPr>
            <w:tcW w:w="992" w:type="dxa"/>
            <w:vAlign w:val="center"/>
          </w:tcPr>
          <w:p w14:paraId="379062B4" w14:textId="77777777" w:rsidR="00577D08" w:rsidRDefault="00577D08">
            <w:pPr>
              <w:jc w:val="right"/>
              <w:rPr>
                <w:sz w:val="15"/>
                <w:szCs w:val="15"/>
              </w:rPr>
            </w:pPr>
          </w:p>
        </w:tc>
        <w:tc>
          <w:tcPr>
            <w:tcW w:w="1134" w:type="dxa"/>
            <w:vAlign w:val="center"/>
          </w:tcPr>
          <w:p w14:paraId="39275990" w14:textId="77777777" w:rsidR="00577D08" w:rsidRDefault="00577D08">
            <w:pPr>
              <w:jc w:val="right"/>
              <w:rPr>
                <w:sz w:val="15"/>
                <w:szCs w:val="15"/>
              </w:rPr>
            </w:pPr>
          </w:p>
        </w:tc>
        <w:tc>
          <w:tcPr>
            <w:tcW w:w="1134" w:type="dxa"/>
            <w:vAlign w:val="center"/>
          </w:tcPr>
          <w:p w14:paraId="35A3B418" w14:textId="77777777" w:rsidR="00577D08" w:rsidRDefault="00577D08">
            <w:pPr>
              <w:jc w:val="right"/>
              <w:rPr>
                <w:sz w:val="15"/>
                <w:szCs w:val="15"/>
              </w:rPr>
            </w:pPr>
          </w:p>
        </w:tc>
        <w:tc>
          <w:tcPr>
            <w:tcW w:w="1134" w:type="dxa"/>
            <w:vAlign w:val="center"/>
          </w:tcPr>
          <w:p w14:paraId="6440BAD5" w14:textId="77777777" w:rsidR="00577D08" w:rsidRDefault="00577D08">
            <w:pPr>
              <w:jc w:val="right"/>
              <w:rPr>
                <w:sz w:val="15"/>
                <w:szCs w:val="15"/>
              </w:rPr>
            </w:pPr>
          </w:p>
        </w:tc>
        <w:tc>
          <w:tcPr>
            <w:tcW w:w="993" w:type="dxa"/>
            <w:vAlign w:val="center"/>
          </w:tcPr>
          <w:p w14:paraId="224C6D79" w14:textId="77777777" w:rsidR="00577D08" w:rsidRDefault="00577D08">
            <w:pPr>
              <w:jc w:val="right"/>
              <w:rPr>
                <w:sz w:val="15"/>
                <w:szCs w:val="15"/>
              </w:rPr>
            </w:pPr>
          </w:p>
        </w:tc>
        <w:tc>
          <w:tcPr>
            <w:tcW w:w="567" w:type="dxa"/>
            <w:vAlign w:val="center"/>
          </w:tcPr>
          <w:p w14:paraId="69108A9B" w14:textId="77777777" w:rsidR="00577D08" w:rsidRDefault="00577D08">
            <w:pPr>
              <w:jc w:val="right"/>
              <w:rPr>
                <w:sz w:val="15"/>
                <w:szCs w:val="15"/>
              </w:rPr>
            </w:pPr>
          </w:p>
        </w:tc>
        <w:tc>
          <w:tcPr>
            <w:tcW w:w="992" w:type="dxa"/>
            <w:vAlign w:val="center"/>
          </w:tcPr>
          <w:p w14:paraId="3AA2395F" w14:textId="77777777" w:rsidR="00577D08" w:rsidRDefault="00577D08">
            <w:pPr>
              <w:jc w:val="right"/>
              <w:rPr>
                <w:sz w:val="15"/>
                <w:szCs w:val="15"/>
              </w:rPr>
            </w:pPr>
          </w:p>
        </w:tc>
        <w:tc>
          <w:tcPr>
            <w:tcW w:w="283" w:type="dxa"/>
            <w:vAlign w:val="center"/>
          </w:tcPr>
          <w:p w14:paraId="7C7FBBEA" w14:textId="77777777" w:rsidR="00577D08" w:rsidRDefault="00577D08">
            <w:pPr>
              <w:jc w:val="right"/>
              <w:rPr>
                <w:sz w:val="15"/>
                <w:szCs w:val="15"/>
              </w:rPr>
            </w:pPr>
          </w:p>
        </w:tc>
        <w:tc>
          <w:tcPr>
            <w:tcW w:w="1134" w:type="dxa"/>
            <w:vAlign w:val="center"/>
          </w:tcPr>
          <w:p w14:paraId="4B58E802" w14:textId="77777777" w:rsidR="00577D08" w:rsidRDefault="00577D08">
            <w:pPr>
              <w:jc w:val="right"/>
              <w:rPr>
                <w:sz w:val="15"/>
                <w:szCs w:val="15"/>
              </w:rPr>
            </w:pPr>
          </w:p>
        </w:tc>
        <w:tc>
          <w:tcPr>
            <w:tcW w:w="1276" w:type="dxa"/>
            <w:vAlign w:val="center"/>
          </w:tcPr>
          <w:p w14:paraId="2CC97310" w14:textId="77777777" w:rsidR="00577D08" w:rsidRDefault="00577D08">
            <w:pPr>
              <w:jc w:val="right"/>
              <w:rPr>
                <w:sz w:val="15"/>
                <w:szCs w:val="15"/>
              </w:rPr>
            </w:pPr>
          </w:p>
        </w:tc>
        <w:tc>
          <w:tcPr>
            <w:tcW w:w="1364" w:type="dxa"/>
            <w:vAlign w:val="center"/>
          </w:tcPr>
          <w:p w14:paraId="474FFA97" w14:textId="77777777" w:rsidR="00577D08" w:rsidRDefault="00577D08">
            <w:pPr>
              <w:jc w:val="right"/>
              <w:rPr>
                <w:sz w:val="15"/>
                <w:szCs w:val="15"/>
              </w:rPr>
            </w:pPr>
          </w:p>
        </w:tc>
      </w:tr>
      <w:tr w:rsidR="00577D08" w14:paraId="41482166" w14:textId="77777777">
        <w:sdt>
          <w:sdtPr>
            <w:rPr>
              <w:sz w:val="15"/>
              <w:szCs w:val="15"/>
            </w:rPr>
            <w:tag w:val="_PLD_a953b61d69004a7a91974afa1318df0a"/>
            <w:id w:val="157428800"/>
          </w:sdtPr>
          <w:sdtContent>
            <w:tc>
              <w:tcPr>
                <w:tcW w:w="959" w:type="dxa"/>
                <w:vAlign w:val="center"/>
              </w:tcPr>
              <w:p w14:paraId="47E37899" w14:textId="77777777" w:rsidR="00577D08" w:rsidRDefault="00330FC0">
                <w:pPr>
                  <w:rPr>
                    <w:sz w:val="15"/>
                    <w:szCs w:val="15"/>
                  </w:rPr>
                </w:pPr>
                <w:r>
                  <w:rPr>
                    <w:sz w:val="15"/>
                    <w:szCs w:val="15"/>
                  </w:rPr>
                  <w:t>（</w:t>
                </w:r>
                <w:r>
                  <w:rPr>
                    <w:rFonts w:hint="eastAsia"/>
                    <w:sz w:val="15"/>
                    <w:szCs w:val="15"/>
                  </w:rPr>
                  <w:t>四</w:t>
                </w:r>
                <w:r>
                  <w:rPr>
                    <w:sz w:val="15"/>
                    <w:szCs w:val="15"/>
                  </w:rPr>
                  <w:t>）所有者权益内部结转</w:t>
                </w:r>
              </w:p>
            </w:tc>
          </w:sdtContent>
        </w:sdt>
        <w:tc>
          <w:tcPr>
            <w:tcW w:w="992" w:type="dxa"/>
            <w:vAlign w:val="center"/>
          </w:tcPr>
          <w:p w14:paraId="7C966437" w14:textId="77777777" w:rsidR="00577D08" w:rsidRDefault="00577D08">
            <w:pPr>
              <w:jc w:val="right"/>
              <w:rPr>
                <w:sz w:val="15"/>
                <w:szCs w:val="15"/>
              </w:rPr>
            </w:pPr>
          </w:p>
        </w:tc>
        <w:tc>
          <w:tcPr>
            <w:tcW w:w="284" w:type="dxa"/>
            <w:vAlign w:val="center"/>
          </w:tcPr>
          <w:p w14:paraId="308F7BA1" w14:textId="77777777" w:rsidR="00577D08" w:rsidRDefault="00577D08">
            <w:pPr>
              <w:jc w:val="right"/>
              <w:rPr>
                <w:sz w:val="15"/>
                <w:szCs w:val="15"/>
              </w:rPr>
            </w:pPr>
          </w:p>
        </w:tc>
        <w:tc>
          <w:tcPr>
            <w:tcW w:w="425" w:type="dxa"/>
            <w:vAlign w:val="center"/>
          </w:tcPr>
          <w:p w14:paraId="0B86ADD4" w14:textId="77777777" w:rsidR="00577D08" w:rsidRDefault="00577D08">
            <w:pPr>
              <w:jc w:val="right"/>
              <w:rPr>
                <w:sz w:val="15"/>
                <w:szCs w:val="15"/>
              </w:rPr>
            </w:pPr>
          </w:p>
        </w:tc>
        <w:tc>
          <w:tcPr>
            <w:tcW w:w="425" w:type="dxa"/>
            <w:vAlign w:val="center"/>
          </w:tcPr>
          <w:p w14:paraId="48C7456D" w14:textId="77777777" w:rsidR="00577D08" w:rsidRDefault="00577D08">
            <w:pPr>
              <w:jc w:val="right"/>
              <w:rPr>
                <w:sz w:val="15"/>
                <w:szCs w:val="15"/>
              </w:rPr>
            </w:pPr>
          </w:p>
        </w:tc>
        <w:tc>
          <w:tcPr>
            <w:tcW w:w="992" w:type="dxa"/>
            <w:vAlign w:val="center"/>
          </w:tcPr>
          <w:p w14:paraId="1FBF5545" w14:textId="77777777" w:rsidR="00577D08" w:rsidRDefault="00577D08">
            <w:pPr>
              <w:jc w:val="right"/>
              <w:rPr>
                <w:sz w:val="15"/>
                <w:szCs w:val="15"/>
              </w:rPr>
            </w:pPr>
          </w:p>
        </w:tc>
        <w:tc>
          <w:tcPr>
            <w:tcW w:w="1134" w:type="dxa"/>
            <w:vAlign w:val="center"/>
          </w:tcPr>
          <w:p w14:paraId="0A36F669" w14:textId="77777777" w:rsidR="00577D08" w:rsidRDefault="00577D08">
            <w:pPr>
              <w:jc w:val="right"/>
              <w:rPr>
                <w:sz w:val="15"/>
                <w:szCs w:val="15"/>
              </w:rPr>
            </w:pPr>
          </w:p>
        </w:tc>
        <w:tc>
          <w:tcPr>
            <w:tcW w:w="1134" w:type="dxa"/>
            <w:vAlign w:val="center"/>
          </w:tcPr>
          <w:p w14:paraId="7997D26A" w14:textId="77777777" w:rsidR="00577D08" w:rsidRDefault="00577D08">
            <w:pPr>
              <w:jc w:val="right"/>
              <w:rPr>
                <w:sz w:val="15"/>
                <w:szCs w:val="15"/>
              </w:rPr>
            </w:pPr>
          </w:p>
        </w:tc>
        <w:tc>
          <w:tcPr>
            <w:tcW w:w="1134" w:type="dxa"/>
            <w:vAlign w:val="center"/>
          </w:tcPr>
          <w:p w14:paraId="50701628" w14:textId="77777777" w:rsidR="00577D08" w:rsidRDefault="00577D08">
            <w:pPr>
              <w:jc w:val="right"/>
              <w:rPr>
                <w:sz w:val="15"/>
                <w:szCs w:val="15"/>
              </w:rPr>
            </w:pPr>
          </w:p>
        </w:tc>
        <w:tc>
          <w:tcPr>
            <w:tcW w:w="993" w:type="dxa"/>
            <w:vAlign w:val="center"/>
          </w:tcPr>
          <w:p w14:paraId="770EDADD" w14:textId="77777777" w:rsidR="00577D08" w:rsidRDefault="00577D08">
            <w:pPr>
              <w:jc w:val="right"/>
              <w:rPr>
                <w:sz w:val="15"/>
                <w:szCs w:val="15"/>
              </w:rPr>
            </w:pPr>
          </w:p>
        </w:tc>
        <w:tc>
          <w:tcPr>
            <w:tcW w:w="567" w:type="dxa"/>
            <w:vAlign w:val="center"/>
          </w:tcPr>
          <w:p w14:paraId="0FEF446D" w14:textId="77777777" w:rsidR="00577D08" w:rsidRDefault="00577D08">
            <w:pPr>
              <w:jc w:val="right"/>
              <w:rPr>
                <w:sz w:val="15"/>
                <w:szCs w:val="15"/>
              </w:rPr>
            </w:pPr>
          </w:p>
        </w:tc>
        <w:tc>
          <w:tcPr>
            <w:tcW w:w="992" w:type="dxa"/>
            <w:vAlign w:val="center"/>
          </w:tcPr>
          <w:p w14:paraId="6920D20D" w14:textId="77777777" w:rsidR="00577D08" w:rsidRDefault="00577D08">
            <w:pPr>
              <w:jc w:val="right"/>
              <w:rPr>
                <w:sz w:val="15"/>
                <w:szCs w:val="15"/>
              </w:rPr>
            </w:pPr>
          </w:p>
        </w:tc>
        <w:tc>
          <w:tcPr>
            <w:tcW w:w="283" w:type="dxa"/>
            <w:vAlign w:val="center"/>
          </w:tcPr>
          <w:p w14:paraId="2B272F5D" w14:textId="77777777" w:rsidR="00577D08" w:rsidRDefault="00577D08">
            <w:pPr>
              <w:jc w:val="right"/>
              <w:rPr>
                <w:sz w:val="15"/>
                <w:szCs w:val="15"/>
              </w:rPr>
            </w:pPr>
          </w:p>
        </w:tc>
        <w:tc>
          <w:tcPr>
            <w:tcW w:w="1134" w:type="dxa"/>
            <w:vAlign w:val="center"/>
          </w:tcPr>
          <w:p w14:paraId="1950D92E" w14:textId="77777777" w:rsidR="00577D08" w:rsidRDefault="00577D08">
            <w:pPr>
              <w:jc w:val="right"/>
              <w:rPr>
                <w:sz w:val="15"/>
                <w:szCs w:val="15"/>
              </w:rPr>
            </w:pPr>
          </w:p>
        </w:tc>
        <w:tc>
          <w:tcPr>
            <w:tcW w:w="1276" w:type="dxa"/>
            <w:vAlign w:val="center"/>
          </w:tcPr>
          <w:p w14:paraId="4DA87DBF" w14:textId="77777777" w:rsidR="00577D08" w:rsidRDefault="00577D08">
            <w:pPr>
              <w:jc w:val="right"/>
              <w:rPr>
                <w:sz w:val="15"/>
                <w:szCs w:val="15"/>
              </w:rPr>
            </w:pPr>
          </w:p>
        </w:tc>
        <w:tc>
          <w:tcPr>
            <w:tcW w:w="1364" w:type="dxa"/>
            <w:vAlign w:val="center"/>
          </w:tcPr>
          <w:p w14:paraId="53ECDF87" w14:textId="77777777" w:rsidR="00577D08" w:rsidRDefault="00577D08">
            <w:pPr>
              <w:jc w:val="right"/>
              <w:rPr>
                <w:sz w:val="15"/>
                <w:szCs w:val="15"/>
              </w:rPr>
            </w:pPr>
          </w:p>
        </w:tc>
      </w:tr>
      <w:tr w:rsidR="00577D08" w14:paraId="32C1E225" w14:textId="77777777">
        <w:sdt>
          <w:sdtPr>
            <w:rPr>
              <w:sz w:val="15"/>
              <w:szCs w:val="15"/>
            </w:rPr>
            <w:tag w:val="_PLD_278fa3d290b3473aacd1d849016a2959"/>
            <w:id w:val="-175120819"/>
          </w:sdtPr>
          <w:sdtContent>
            <w:tc>
              <w:tcPr>
                <w:tcW w:w="959" w:type="dxa"/>
                <w:vAlign w:val="center"/>
              </w:tcPr>
              <w:p w14:paraId="07361A5A" w14:textId="77777777" w:rsidR="00577D08" w:rsidRDefault="00330FC0">
                <w:pPr>
                  <w:rPr>
                    <w:sz w:val="15"/>
                    <w:szCs w:val="15"/>
                  </w:rPr>
                </w:pPr>
                <w:r>
                  <w:rPr>
                    <w:sz w:val="15"/>
                    <w:szCs w:val="15"/>
                  </w:rPr>
                  <w:t>1</w:t>
                </w:r>
                <w:r>
                  <w:rPr>
                    <w:sz w:val="15"/>
                    <w:szCs w:val="15"/>
                  </w:rPr>
                  <w:t>．资本公积转增资本（或股本）</w:t>
                </w:r>
              </w:p>
            </w:tc>
          </w:sdtContent>
        </w:sdt>
        <w:tc>
          <w:tcPr>
            <w:tcW w:w="992" w:type="dxa"/>
            <w:vAlign w:val="center"/>
          </w:tcPr>
          <w:p w14:paraId="419DAF6F" w14:textId="77777777" w:rsidR="00577D08" w:rsidRDefault="00577D08">
            <w:pPr>
              <w:jc w:val="right"/>
              <w:rPr>
                <w:sz w:val="15"/>
                <w:szCs w:val="15"/>
              </w:rPr>
            </w:pPr>
          </w:p>
        </w:tc>
        <w:tc>
          <w:tcPr>
            <w:tcW w:w="284" w:type="dxa"/>
            <w:vAlign w:val="center"/>
          </w:tcPr>
          <w:p w14:paraId="59600CC4" w14:textId="77777777" w:rsidR="00577D08" w:rsidRDefault="00577D08">
            <w:pPr>
              <w:jc w:val="right"/>
              <w:rPr>
                <w:sz w:val="15"/>
                <w:szCs w:val="15"/>
              </w:rPr>
            </w:pPr>
          </w:p>
        </w:tc>
        <w:tc>
          <w:tcPr>
            <w:tcW w:w="425" w:type="dxa"/>
            <w:vAlign w:val="center"/>
          </w:tcPr>
          <w:p w14:paraId="54D69411" w14:textId="77777777" w:rsidR="00577D08" w:rsidRDefault="00577D08">
            <w:pPr>
              <w:jc w:val="right"/>
              <w:rPr>
                <w:sz w:val="15"/>
                <w:szCs w:val="15"/>
              </w:rPr>
            </w:pPr>
          </w:p>
        </w:tc>
        <w:tc>
          <w:tcPr>
            <w:tcW w:w="425" w:type="dxa"/>
            <w:vAlign w:val="center"/>
          </w:tcPr>
          <w:p w14:paraId="46FB3A59" w14:textId="77777777" w:rsidR="00577D08" w:rsidRDefault="00577D08">
            <w:pPr>
              <w:jc w:val="right"/>
              <w:rPr>
                <w:sz w:val="15"/>
                <w:szCs w:val="15"/>
              </w:rPr>
            </w:pPr>
          </w:p>
        </w:tc>
        <w:tc>
          <w:tcPr>
            <w:tcW w:w="992" w:type="dxa"/>
            <w:vAlign w:val="center"/>
          </w:tcPr>
          <w:p w14:paraId="2EFA50EF" w14:textId="77777777" w:rsidR="00577D08" w:rsidRDefault="00577D08">
            <w:pPr>
              <w:jc w:val="right"/>
              <w:rPr>
                <w:sz w:val="15"/>
                <w:szCs w:val="15"/>
              </w:rPr>
            </w:pPr>
          </w:p>
        </w:tc>
        <w:tc>
          <w:tcPr>
            <w:tcW w:w="1134" w:type="dxa"/>
            <w:vAlign w:val="center"/>
          </w:tcPr>
          <w:p w14:paraId="53FFAA2E" w14:textId="77777777" w:rsidR="00577D08" w:rsidRDefault="00577D08">
            <w:pPr>
              <w:jc w:val="right"/>
              <w:rPr>
                <w:sz w:val="15"/>
                <w:szCs w:val="15"/>
              </w:rPr>
            </w:pPr>
          </w:p>
        </w:tc>
        <w:tc>
          <w:tcPr>
            <w:tcW w:w="1134" w:type="dxa"/>
            <w:vAlign w:val="center"/>
          </w:tcPr>
          <w:p w14:paraId="123079E2" w14:textId="77777777" w:rsidR="00577D08" w:rsidRDefault="00577D08">
            <w:pPr>
              <w:jc w:val="right"/>
              <w:rPr>
                <w:sz w:val="15"/>
                <w:szCs w:val="15"/>
              </w:rPr>
            </w:pPr>
          </w:p>
        </w:tc>
        <w:tc>
          <w:tcPr>
            <w:tcW w:w="1134" w:type="dxa"/>
            <w:vAlign w:val="center"/>
          </w:tcPr>
          <w:p w14:paraId="68C09E67" w14:textId="77777777" w:rsidR="00577D08" w:rsidRDefault="00577D08">
            <w:pPr>
              <w:jc w:val="right"/>
              <w:rPr>
                <w:sz w:val="15"/>
                <w:szCs w:val="15"/>
              </w:rPr>
            </w:pPr>
          </w:p>
        </w:tc>
        <w:tc>
          <w:tcPr>
            <w:tcW w:w="993" w:type="dxa"/>
            <w:vAlign w:val="center"/>
          </w:tcPr>
          <w:p w14:paraId="4089C450" w14:textId="77777777" w:rsidR="00577D08" w:rsidRDefault="00577D08">
            <w:pPr>
              <w:jc w:val="right"/>
              <w:rPr>
                <w:sz w:val="15"/>
                <w:szCs w:val="15"/>
              </w:rPr>
            </w:pPr>
          </w:p>
        </w:tc>
        <w:tc>
          <w:tcPr>
            <w:tcW w:w="567" w:type="dxa"/>
            <w:vAlign w:val="center"/>
          </w:tcPr>
          <w:p w14:paraId="003D0450" w14:textId="77777777" w:rsidR="00577D08" w:rsidRDefault="00577D08">
            <w:pPr>
              <w:jc w:val="right"/>
              <w:rPr>
                <w:sz w:val="15"/>
                <w:szCs w:val="15"/>
              </w:rPr>
            </w:pPr>
          </w:p>
        </w:tc>
        <w:tc>
          <w:tcPr>
            <w:tcW w:w="992" w:type="dxa"/>
            <w:vAlign w:val="center"/>
          </w:tcPr>
          <w:p w14:paraId="3FDB1CF9" w14:textId="77777777" w:rsidR="00577D08" w:rsidRDefault="00577D08">
            <w:pPr>
              <w:jc w:val="right"/>
              <w:rPr>
                <w:sz w:val="15"/>
                <w:szCs w:val="15"/>
              </w:rPr>
            </w:pPr>
          </w:p>
        </w:tc>
        <w:tc>
          <w:tcPr>
            <w:tcW w:w="283" w:type="dxa"/>
            <w:vAlign w:val="center"/>
          </w:tcPr>
          <w:p w14:paraId="53F340DE" w14:textId="77777777" w:rsidR="00577D08" w:rsidRDefault="00577D08">
            <w:pPr>
              <w:jc w:val="right"/>
              <w:rPr>
                <w:sz w:val="15"/>
                <w:szCs w:val="15"/>
              </w:rPr>
            </w:pPr>
          </w:p>
        </w:tc>
        <w:tc>
          <w:tcPr>
            <w:tcW w:w="1134" w:type="dxa"/>
            <w:vAlign w:val="center"/>
          </w:tcPr>
          <w:p w14:paraId="360C66A8" w14:textId="77777777" w:rsidR="00577D08" w:rsidRDefault="00577D08">
            <w:pPr>
              <w:jc w:val="right"/>
              <w:rPr>
                <w:sz w:val="15"/>
                <w:szCs w:val="15"/>
              </w:rPr>
            </w:pPr>
          </w:p>
        </w:tc>
        <w:tc>
          <w:tcPr>
            <w:tcW w:w="1276" w:type="dxa"/>
            <w:vAlign w:val="center"/>
          </w:tcPr>
          <w:p w14:paraId="14CB04FD" w14:textId="77777777" w:rsidR="00577D08" w:rsidRDefault="00577D08">
            <w:pPr>
              <w:jc w:val="right"/>
              <w:rPr>
                <w:sz w:val="15"/>
                <w:szCs w:val="15"/>
              </w:rPr>
            </w:pPr>
          </w:p>
        </w:tc>
        <w:tc>
          <w:tcPr>
            <w:tcW w:w="1364" w:type="dxa"/>
            <w:vAlign w:val="center"/>
          </w:tcPr>
          <w:p w14:paraId="4B8B1C1A" w14:textId="77777777" w:rsidR="00577D08" w:rsidRDefault="00577D08">
            <w:pPr>
              <w:jc w:val="right"/>
              <w:rPr>
                <w:sz w:val="15"/>
                <w:szCs w:val="15"/>
              </w:rPr>
            </w:pPr>
          </w:p>
        </w:tc>
      </w:tr>
      <w:tr w:rsidR="00577D08" w14:paraId="4C15A145" w14:textId="77777777">
        <w:sdt>
          <w:sdtPr>
            <w:rPr>
              <w:sz w:val="15"/>
              <w:szCs w:val="15"/>
            </w:rPr>
            <w:tag w:val="_PLD_2dbeb2e6cbbd4ba2a65e4f369c7e7929"/>
            <w:id w:val="-1577962438"/>
          </w:sdtPr>
          <w:sdtContent>
            <w:tc>
              <w:tcPr>
                <w:tcW w:w="959" w:type="dxa"/>
                <w:vAlign w:val="center"/>
              </w:tcPr>
              <w:p w14:paraId="530D70F8" w14:textId="77777777" w:rsidR="00577D08" w:rsidRDefault="00330FC0">
                <w:pPr>
                  <w:rPr>
                    <w:sz w:val="15"/>
                    <w:szCs w:val="15"/>
                  </w:rPr>
                </w:pPr>
                <w:r>
                  <w:rPr>
                    <w:sz w:val="15"/>
                    <w:szCs w:val="15"/>
                  </w:rPr>
                  <w:t>2</w:t>
                </w:r>
                <w:r>
                  <w:rPr>
                    <w:sz w:val="15"/>
                    <w:szCs w:val="15"/>
                  </w:rPr>
                  <w:t>．盈余公积转增资本（或股本）</w:t>
                </w:r>
              </w:p>
            </w:tc>
          </w:sdtContent>
        </w:sdt>
        <w:tc>
          <w:tcPr>
            <w:tcW w:w="992" w:type="dxa"/>
            <w:vAlign w:val="center"/>
          </w:tcPr>
          <w:p w14:paraId="45B3B788" w14:textId="77777777" w:rsidR="00577D08" w:rsidRDefault="00577D08">
            <w:pPr>
              <w:jc w:val="right"/>
              <w:rPr>
                <w:sz w:val="15"/>
                <w:szCs w:val="15"/>
              </w:rPr>
            </w:pPr>
          </w:p>
        </w:tc>
        <w:tc>
          <w:tcPr>
            <w:tcW w:w="284" w:type="dxa"/>
            <w:vAlign w:val="center"/>
          </w:tcPr>
          <w:p w14:paraId="1A94A34B" w14:textId="77777777" w:rsidR="00577D08" w:rsidRDefault="00577D08">
            <w:pPr>
              <w:jc w:val="right"/>
              <w:rPr>
                <w:sz w:val="15"/>
                <w:szCs w:val="15"/>
              </w:rPr>
            </w:pPr>
          </w:p>
        </w:tc>
        <w:tc>
          <w:tcPr>
            <w:tcW w:w="425" w:type="dxa"/>
            <w:vAlign w:val="center"/>
          </w:tcPr>
          <w:p w14:paraId="53492147" w14:textId="77777777" w:rsidR="00577D08" w:rsidRDefault="00577D08">
            <w:pPr>
              <w:jc w:val="right"/>
              <w:rPr>
                <w:sz w:val="15"/>
                <w:szCs w:val="15"/>
              </w:rPr>
            </w:pPr>
          </w:p>
        </w:tc>
        <w:tc>
          <w:tcPr>
            <w:tcW w:w="425" w:type="dxa"/>
            <w:vAlign w:val="center"/>
          </w:tcPr>
          <w:p w14:paraId="378E8100" w14:textId="77777777" w:rsidR="00577D08" w:rsidRDefault="00577D08">
            <w:pPr>
              <w:jc w:val="right"/>
              <w:rPr>
                <w:sz w:val="15"/>
                <w:szCs w:val="15"/>
              </w:rPr>
            </w:pPr>
          </w:p>
        </w:tc>
        <w:tc>
          <w:tcPr>
            <w:tcW w:w="992" w:type="dxa"/>
            <w:vAlign w:val="center"/>
          </w:tcPr>
          <w:p w14:paraId="70F7BF87" w14:textId="77777777" w:rsidR="00577D08" w:rsidRDefault="00577D08">
            <w:pPr>
              <w:jc w:val="right"/>
              <w:rPr>
                <w:sz w:val="15"/>
                <w:szCs w:val="15"/>
              </w:rPr>
            </w:pPr>
          </w:p>
        </w:tc>
        <w:tc>
          <w:tcPr>
            <w:tcW w:w="1134" w:type="dxa"/>
            <w:vAlign w:val="center"/>
          </w:tcPr>
          <w:p w14:paraId="6B7B98C6" w14:textId="77777777" w:rsidR="00577D08" w:rsidRDefault="00577D08">
            <w:pPr>
              <w:jc w:val="right"/>
              <w:rPr>
                <w:sz w:val="15"/>
                <w:szCs w:val="15"/>
              </w:rPr>
            </w:pPr>
          </w:p>
        </w:tc>
        <w:tc>
          <w:tcPr>
            <w:tcW w:w="1134" w:type="dxa"/>
            <w:vAlign w:val="center"/>
          </w:tcPr>
          <w:p w14:paraId="7FA0D225" w14:textId="77777777" w:rsidR="00577D08" w:rsidRDefault="00577D08">
            <w:pPr>
              <w:jc w:val="right"/>
              <w:rPr>
                <w:sz w:val="15"/>
                <w:szCs w:val="15"/>
              </w:rPr>
            </w:pPr>
          </w:p>
        </w:tc>
        <w:tc>
          <w:tcPr>
            <w:tcW w:w="1134" w:type="dxa"/>
            <w:vAlign w:val="center"/>
          </w:tcPr>
          <w:p w14:paraId="57AADD23" w14:textId="77777777" w:rsidR="00577D08" w:rsidRDefault="00577D08">
            <w:pPr>
              <w:jc w:val="right"/>
              <w:rPr>
                <w:sz w:val="15"/>
                <w:szCs w:val="15"/>
              </w:rPr>
            </w:pPr>
          </w:p>
        </w:tc>
        <w:tc>
          <w:tcPr>
            <w:tcW w:w="993" w:type="dxa"/>
            <w:vAlign w:val="center"/>
          </w:tcPr>
          <w:p w14:paraId="50F25FC1" w14:textId="77777777" w:rsidR="00577D08" w:rsidRDefault="00577D08">
            <w:pPr>
              <w:jc w:val="right"/>
              <w:rPr>
                <w:sz w:val="15"/>
                <w:szCs w:val="15"/>
              </w:rPr>
            </w:pPr>
          </w:p>
        </w:tc>
        <w:tc>
          <w:tcPr>
            <w:tcW w:w="567" w:type="dxa"/>
            <w:vAlign w:val="center"/>
          </w:tcPr>
          <w:p w14:paraId="7D50595C" w14:textId="77777777" w:rsidR="00577D08" w:rsidRDefault="00577D08">
            <w:pPr>
              <w:jc w:val="right"/>
              <w:rPr>
                <w:sz w:val="15"/>
                <w:szCs w:val="15"/>
              </w:rPr>
            </w:pPr>
          </w:p>
        </w:tc>
        <w:tc>
          <w:tcPr>
            <w:tcW w:w="992" w:type="dxa"/>
            <w:vAlign w:val="center"/>
          </w:tcPr>
          <w:p w14:paraId="0E810DFE" w14:textId="77777777" w:rsidR="00577D08" w:rsidRDefault="00577D08">
            <w:pPr>
              <w:jc w:val="right"/>
              <w:rPr>
                <w:sz w:val="15"/>
                <w:szCs w:val="15"/>
              </w:rPr>
            </w:pPr>
          </w:p>
        </w:tc>
        <w:tc>
          <w:tcPr>
            <w:tcW w:w="283" w:type="dxa"/>
            <w:vAlign w:val="center"/>
          </w:tcPr>
          <w:p w14:paraId="08028E96" w14:textId="77777777" w:rsidR="00577D08" w:rsidRDefault="00577D08">
            <w:pPr>
              <w:jc w:val="right"/>
              <w:rPr>
                <w:sz w:val="15"/>
                <w:szCs w:val="15"/>
              </w:rPr>
            </w:pPr>
          </w:p>
        </w:tc>
        <w:tc>
          <w:tcPr>
            <w:tcW w:w="1134" w:type="dxa"/>
            <w:vAlign w:val="center"/>
          </w:tcPr>
          <w:p w14:paraId="6524C4A4" w14:textId="77777777" w:rsidR="00577D08" w:rsidRDefault="00577D08">
            <w:pPr>
              <w:jc w:val="right"/>
              <w:rPr>
                <w:sz w:val="15"/>
                <w:szCs w:val="15"/>
              </w:rPr>
            </w:pPr>
          </w:p>
        </w:tc>
        <w:tc>
          <w:tcPr>
            <w:tcW w:w="1276" w:type="dxa"/>
            <w:vAlign w:val="center"/>
          </w:tcPr>
          <w:p w14:paraId="4E98B19A" w14:textId="77777777" w:rsidR="00577D08" w:rsidRDefault="00577D08">
            <w:pPr>
              <w:jc w:val="right"/>
              <w:rPr>
                <w:sz w:val="15"/>
                <w:szCs w:val="15"/>
              </w:rPr>
            </w:pPr>
          </w:p>
        </w:tc>
        <w:tc>
          <w:tcPr>
            <w:tcW w:w="1364" w:type="dxa"/>
            <w:vAlign w:val="center"/>
          </w:tcPr>
          <w:p w14:paraId="52E23B9C" w14:textId="77777777" w:rsidR="00577D08" w:rsidRDefault="00577D08">
            <w:pPr>
              <w:jc w:val="right"/>
              <w:rPr>
                <w:sz w:val="15"/>
                <w:szCs w:val="15"/>
              </w:rPr>
            </w:pPr>
          </w:p>
        </w:tc>
      </w:tr>
      <w:tr w:rsidR="00577D08" w14:paraId="6A71875D" w14:textId="77777777">
        <w:sdt>
          <w:sdtPr>
            <w:rPr>
              <w:sz w:val="15"/>
              <w:szCs w:val="15"/>
            </w:rPr>
            <w:tag w:val="_PLD_58f2b570df754e85bb72c0f63cdd3f1c"/>
            <w:id w:val="-151366626"/>
          </w:sdtPr>
          <w:sdtContent>
            <w:tc>
              <w:tcPr>
                <w:tcW w:w="959" w:type="dxa"/>
                <w:vAlign w:val="center"/>
              </w:tcPr>
              <w:p w14:paraId="74D8A67C" w14:textId="77777777" w:rsidR="00577D08" w:rsidRDefault="00330FC0">
                <w:pPr>
                  <w:rPr>
                    <w:sz w:val="15"/>
                    <w:szCs w:val="15"/>
                  </w:rPr>
                </w:pPr>
                <w:r>
                  <w:rPr>
                    <w:sz w:val="15"/>
                    <w:szCs w:val="15"/>
                  </w:rPr>
                  <w:t>3</w:t>
                </w:r>
                <w:r>
                  <w:rPr>
                    <w:sz w:val="15"/>
                    <w:szCs w:val="15"/>
                  </w:rPr>
                  <w:t>．盈余公积弥补亏损</w:t>
                </w:r>
              </w:p>
            </w:tc>
          </w:sdtContent>
        </w:sdt>
        <w:tc>
          <w:tcPr>
            <w:tcW w:w="992" w:type="dxa"/>
            <w:vAlign w:val="center"/>
          </w:tcPr>
          <w:p w14:paraId="3677DBC2" w14:textId="77777777" w:rsidR="00577D08" w:rsidRDefault="00577D08">
            <w:pPr>
              <w:jc w:val="right"/>
              <w:rPr>
                <w:sz w:val="15"/>
                <w:szCs w:val="15"/>
              </w:rPr>
            </w:pPr>
          </w:p>
        </w:tc>
        <w:tc>
          <w:tcPr>
            <w:tcW w:w="284" w:type="dxa"/>
            <w:vAlign w:val="center"/>
          </w:tcPr>
          <w:p w14:paraId="2F366CEE" w14:textId="77777777" w:rsidR="00577D08" w:rsidRDefault="00577D08">
            <w:pPr>
              <w:jc w:val="right"/>
              <w:rPr>
                <w:sz w:val="15"/>
                <w:szCs w:val="15"/>
              </w:rPr>
            </w:pPr>
          </w:p>
        </w:tc>
        <w:tc>
          <w:tcPr>
            <w:tcW w:w="425" w:type="dxa"/>
            <w:vAlign w:val="center"/>
          </w:tcPr>
          <w:p w14:paraId="55FDBCED" w14:textId="77777777" w:rsidR="00577D08" w:rsidRDefault="00577D08">
            <w:pPr>
              <w:jc w:val="right"/>
              <w:rPr>
                <w:sz w:val="15"/>
                <w:szCs w:val="15"/>
              </w:rPr>
            </w:pPr>
          </w:p>
        </w:tc>
        <w:tc>
          <w:tcPr>
            <w:tcW w:w="425" w:type="dxa"/>
            <w:vAlign w:val="center"/>
          </w:tcPr>
          <w:p w14:paraId="0245C178" w14:textId="77777777" w:rsidR="00577D08" w:rsidRDefault="00577D08">
            <w:pPr>
              <w:jc w:val="right"/>
              <w:rPr>
                <w:sz w:val="15"/>
                <w:szCs w:val="15"/>
              </w:rPr>
            </w:pPr>
          </w:p>
        </w:tc>
        <w:tc>
          <w:tcPr>
            <w:tcW w:w="992" w:type="dxa"/>
            <w:vAlign w:val="center"/>
          </w:tcPr>
          <w:p w14:paraId="491BC540" w14:textId="77777777" w:rsidR="00577D08" w:rsidRDefault="00577D08">
            <w:pPr>
              <w:jc w:val="right"/>
              <w:rPr>
                <w:sz w:val="15"/>
                <w:szCs w:val="15"/>
              </w:rPr>
            </w:pPr>
          </w:p>
        </w:tc>
        <w:tc>
          <w:tcPr>
            <w:tcW w:w="1134" w:type="dxa"/>
            <w:vAlign w:val="center"/>
          </w:tcPr>
          <w:p w14:paraId="496B0BFB" w14:textId="77777777" w:rsidR="00577D08" w:rsidRDefault="00577D08">
            <w:pPr>
              <w:jc w:val="right"/>
              <w:rPr>
                <w:sz w:val="15"/>
                <w:szCs w:val="15"/>
              </w:rPr>
            </w:pPr>
          </w:p>
        </w:tc>
        <w:tc>
          <w:tcPr>
            <w:tcW w:w="1134" w:type="dxa"/>
            <w:vAlign w:val="center"/>
          </w:tcPr>
          <w:p w14:paraId="2AB783F6" w14:textId="77777777" w:rsidR="00577D08" w:rsidRDefault="00577D08">
            <w:pPr>
              <w:jc w:val="right"/>
              <w:rPr>
                <w:sz w:val="15"/>
                <w:szCs w:val="15"/>
              </w:rPr>
            </w:pPr>
          </w:p>
        </w:tc>
        <w:tc>
          <w:tcPr>
            <w:tcW w:w="1134" w:type="dxa"/>
            <w:vAlign w:val="center"/>
          </w:tcPr>
          <w:p w14:paraId="5D4E3DCC" w14:textId="77777777" w:rsidR="00577D08" w:rsidRDefault="00577D08">
            <w:pPr>
              <w:jc w:val="right"/>
              <w:rPr>
                <w:sz w:val="15"/>
                <w:szCs w:val="15"/>
              </w:rPr>
            </w:pPr>
          </w:p>
        </w:tc>
        <w:tc>
          <w:tcPr>
            <w:tcW w:w="993" w:type="dxa"/>
            <w:vAlign w:val="center"/>
          </w:tcPr>
          <w:p w14:paraId="1DA59540" w14:textId="77777777" w:rsidR="00577D08" w:rsidRDefault="00577D08">
            <w:pPr>
              <w:jc w:val="right"/>
              <w:rPr>
                <w:sz w:val="15"/>
                <w:szCs w:val="15"/>
              </w:rPr>
            </w:pPr>
          </w:p>
        </w:tc>
        <w:tc>
          <w:tcPr>
            <w:tcW w:w="567" w:type="dxa"/>
            <w:vAlign w:val="center"/>
          </w:tcPr>
          <w:p w14:paraId="745B7F6E" w14:textId="77777777" w:rsidR="00577D08" w:rsidRDefault="00577D08">
            <w:pPr>
              <w:jc w:val="right"/>
              <w:rPr>
                <w:sz w:val="15"/>
                <w:szCs w:val="15"/>
              </w:rPr>
            </w:pPr>
          </w:p>
        </w:tc>
        <w:tc>
          <w:tcPr>
            <w:tcW w:w="992" w:type="dxa"/>
            <w:vAlign w:val="center"/>
          </w:tcPr>
          <w:p w14:paraId="75348E3A" w14:textId="77777777" w:rsidR="00577D08" w:rsidRDefault="00577D08">
            <w:pPr>
              <w:jc w:val="right"/>
              <w:rPr>
                <w:sz w:val="15"/>
                <w:szCs w:val="15"/>
              </w:rPr>
            </w:pPr>
          </w:p>
        </w:tc>
        <w:tc>
          <w:tcPr>
            <w:tcW w:w="283" w:type="dxa"/>
            <w:vAlign w:val="center"/>
          </w:tcPr>
          <w:p w14:paraId="7C413D3B" w14:textId="77777777" w:rsidR="00577D08" w:rsidRDefault="00577D08">
            <w:pPr>
              <w:jc w:val="right"/>
              <w:rPr>
                <w:sz w:val="15"/>
                <w:szCs w:val="15"/>
              </w:rPr>
            </w:pPr>
          </w:p>
        </w:tc>
        <w:tc>
          <w:tcPr>
            <w:tcW w:w="1134" w:type="dxa"/>
            <w:vAlign w:val="center"/>
          </w:tcPr>
          <w:p w14:paraId="6DD6EB81" w14:textId="77777777" w:rsidR="00577D08" w:rsidRDefault="00577D08">
            <w:pPr>
              <w:jc w:val="right"/>
              <w:rPr>
                <w:sz w:val="15"/>
                <w:szCs w:val="15"/>
              </w:rPr>
            </w:pPr>
          </w:p>
        </w:tc>
        <w:tc>
          <w:tcPr>
            <w:tcW w:w="1276" w:type="dxa"/>
            <w:vAlign w:val="center"/>
          </w:tcPr>
          <w:p w14:paraId="6915A36E" w14:textId="77777777" w:rsidR="00577D08" w:rsidRDefault="00577D08">
            <w:pPr>
              <w:jc w:val="right"/>
              <w:rPr>
                <w:sz w:val="15"/>
                <w:szCs w:val="15"/>
              </w:rPr>
            </w:pPr>
          </w:p>
        </w:tc>
        <w:tc>
          <w:tcPr>
            <w:tcW w:w="1364" w:type="dxa"/>
            <w:vAlign w:val="center"/>
          </w:tcPr>
          <w:p w14:paraId="7E2B9EA1" w14:textId="77777777" w:rsidR="00577D08" w:rsidRDefault="00577D08">
            <w:pPr>
              <w:jc w:val="right"/>
              <w:rPr>
                <w:sz w:val="15"/>
                <w:szCs w:val="15"/>
              </w:rPr>
            </w:pPr>
          </w:p>
        </w:tc>
      </w:tr>
      <w:tr w:rsidR="00577D08" w14:paraId="1E486449" w14:textId="77777777">
        <w:tc>
          <w:tcPr>
            <w:tcW w:w="959" w:type="dxa"/>
            <w:vAlign w:val="center"/>
          </w:tcPr>
          <w:sdt>
            <w:sdtPr>
              <w:rPr>
                <w:sz w:val="15"/>
                <w:szCs w:val="15"/>
              </w:rPr>
              <w:tag w:val="_PLD_88022ba02c7c4775ba5e9f75f6b07fa4"/>
              <w:id w:val="1516953256"/>
            </w:sdtPr>
            <w:sdtContent>
              <w:p w14:paraId="2062E4D0" w14:textId="77777777" w:rsidR="00577D08" w:rsidRDefault="00330FC0">
                <w:pPr>
                  <w:rPr>
                    <w:sz w:val="15"/>
                    <w:szCs w:val="15"/>
                  </w:rPr>
                </w:pPr>
                <w:r>
                  <w:rPr>
                    <w:sz w:val="15"/>
                    <w:szCs w:val="15"/>
                  </w:rPr>
                  <w:t>4</w:t>
                </w:r>
                <w:r>
                  <w:rPr>
                    <w:sz w:val="15"/>
                    <w:szCs w:val="15"/>
                  </w:rPr>
                  <w:t>．设定受益计划变动额结转留存收益</w:t>
                </w:r>
              </w:p>
            </w:sdtContent>
          </w:sdt>
        </w:tc>
        <w:tc>
          <w:tcPr>
            <w:tcW w:w="992" w:type="dxa"/>
            <w:vAlign w:val="center"/>
          </w:tcPr>
          <w:p w14:paraId="0CF0B3DE" w14:textId="77777777" w:rsidR="00577D08" w:rsidRDefault="00577D08">
            <w:pPr>
              <w:jc w:val="right"/>
              <w:rPr>
                <w:sz w:val="15"/>
                <w:szCs w:val="15"/>
              </w:rPr>
            </w:pPr>
          </w:p>
        </w:tc>
        <w:tc>
          <w:tcPr>
            <w:tcW w:w="284" w:type="dxa"/>
            <w:vAlign w:val="center"/>
          </w:tcPr>
          <w:p w14:paraId="0930F6E3" w14:textId="77777777" w:rsidR="00577D08" w:rsidRDefault="00577D08">
            <w:pPr>
              <w:jc w:val="right"/>
              <w:rPr>
                <w:sz w:val="15"/>
                <w:szCs w:val="15"/>
              </w:rPr>
            </w:pPr>
          </w:p>
        </w:tc>
        <w:tc>
          <w:tcPr>
            <w:tcW w:w="425" w:type="dxa"/>
            <w:vAlign w:val="center"/>
          </w:tcPr>
          <w:p w14:paraId="367C0E86" w14:textId="77777777" w:rsidR="00577D08" w:rsidRDefault="00577D08">
            <w:pPr>
              <w:jc w:val="right"/>
              <w:rPr>
                <w:sz w:val="15"/>
                <w:szCs w:val="15"/>
              </w:rPr>
            </w:pPr>
          </w:p>
        </w:tc>
        <w:tc>
          <w:tcPr>
            <w:tcW w:w="425" w:type="dxa"/>
            <w:vAlign w:val="center"/>
          </w:tcPr>
          <w:p w14:paraId="5045FD06" w14:textId="77777777" w:rsidR="00577D08" w:rsidRDefault="00577D08">
            <w:pPr>
              <w:jc w:val="right"/>
              <w:rPr>
                <w:sz w:val="15"/>
                <w:szCs w:val="15"/>
              </w:rPr>
            </w:pPr>
          </w:p>
        </w:tc>
        <w:tc>
          <w:tcPr>
            <w:tcW w:w="992" w:type="dxa"/>
            <w:vAlign w:val="center"/>
          </w:tcPr>
          <w:p w14:paraId="2808C0EC" w14:textId="77777777" w:rsidR="00577D08" w:rsidRDefault="00577D08">
            <w:pPr>
              <w:jc w:val="right"/>
              <w:rPr>
                <w:sz w:val="15"/>
                <w:szCs w:val="15"/>
              </w:rPr>
            </w:pPr>
          </w:p>
        </w:tc>
        <w:tc>
          <w:tcPr>
            <w:tcW w:w="1134" w:type="dxa"/>
            <w:vAlign w:val="center"/>
          </w:tcPr>
          <w:p w14:paraId="72DDED3B" w14:textId="77777777" w:rsidR="00577D08" w:rsidRDefault="00577D08">
            <w:pPr>
              <w:jc w:val="right"/>
              <w:rPr>
                <w:sz w:val="15"/>
                <w:szCs w:val="15"/>
              </w:rPr>
            </w:pPr>
          </w:p>
        </w:tc>
        <w:tc>
          <w:tcPr>
            <w:tcW w:w="1134" w:type="dxa"/>
            <w:vAlign w:val="center"/>
          </w:tcPr>
          <w:p w14:paraId="46E2E5EC" w14:textId="77777777" w:rsidR="00577D08" w:rsidRDefault="00577D08">
            <w:pPr>
              <w:jc w:val="right"/>
              <w:rPr>
                <w:sz w:val="15"/>
                <w:szCs w:val="15"/>
              </w:rPr>
            </w:pPr>
          </w:p>
        </w:tc>
        <w:tc>
          <w:tcPr>
            <w:tcW w:w="1134" w:type="dxa"/>
            <w:vAlign w:val="center"/>
          </w:tcPr>
          <w:p w14:paraId="099B6162" w14:textId="77777777" w:rsidR="00577D08" w:rsidRDefault="00577D08">
            <w:pPr>
              <w:jc w:val="right"/>
              <w:rPr>
                <w:sz w:val="15"/>
                <w:szCs w:val="15"/>
              </w:rPr>
            </w:pPr>
          </w:p>
        </w:tc>
        <w:tc>
          <w:tcPr>
            <w:tcW w:w="993" w:type="dxa"/>
            <w:vAlign w:val="center"/>
          </w:tcPr>
          <w:p w14:paraId="28F3AD7E" w14:textId="77777777" w:rsidR="00577D08" w:rsidRDefault="00577D08">
            <w:pPr>
              <w:jc w:val="right"/>
              <w:rPr>
                <w:sz w:val="15"/>
                <w:szCs w:val="15"/>
              </w:rPr>
            </w:pPr>
          </w:p>
        </w:tc>
        <w:tc>
          <w:tcPr>
            <w:tcW w:w="567" w:type="dxa"/>
            <w:vAlign w:val="center"/>
          </w:tcPr>
          <w:p w14:paraId="275379CA" w14:textId="77777777" w:rsidR="00577D08" w:rsidRDefault="00577D08">
            <w:pPr>
              <w:jc w:val="right"/>
              <w:rPr>
                <w:sz w:val="15"/>
                <w:szCs w:val="15"/>
              </w:rPr>
            </w:pPr>
          </w:p>
        </w:tc>
        <w:tc>
          <w:tcPr>
            <w:tcW w:w="992" w:type="dxa"/>
            <w:vAlign w:val="center"/>
          </w:tcPr>
          <w:p w14:paraId="48740B01" w14:textId="77777777" w:rsidR="00577D08" w:rsidRDefault="00577D08">
            <w:pPr>
              <w:jc w:val="right"/>
              <w:rPr>
                <w:sz w:val="15"/>
                <w:szCs w:val="15"/>
              </w:rPr>
            </w:pPr>
          </w:p>
        </w:tc>
        <w:tc>
          <w:tcPr>
            <w:tcW w:w="283" w:type="dxa"/>
            <w:vAlign w:val="center"/>
          </w:tcPr>
          <w:p w14:paraId="26D7104A" w14:textId="77777777" w:rsidR="00577D08" w:rsidRDefault="00577D08">
            <w:pPr>
              <w:jc w:val="right"/>
              <w:rPr>
                <w:sz w:val="15"/>
                <w:szCs w:val="15"/>
              </w:rPr>
            </w:pPr>
          </w:p>
        </w:tc>
        <w:tc>
          <w:tcPr>
            <w:tcW w:w="1134" w:type="dxa"/>
            <w:vAlign w:val="center"/>
          </w:tcPr>
          <w:p w14:paraId="2398A214" w14:textId="77777777" w:rsidR="00577D08" w:rsidRDefault="00577D08">
            <w:pPr>
              <w:jc w:val="right"/>
              <w:rPr>
                <w:sz w:val="15"/>
                <w:szCs w:val="15"/>
              </w:rPr>
            </w:pPr>
          </w:p>
        </w:tc>
        <w:tc>
          <w:tcPr>
            <w:tcW w:w="1276" w:type="dxa"/>
            <w:vAlign w:val="center"/>
          </w:tcPr>
          <w:p w14:paraId="318E9FC6" w14:textId="77777777" w:rsidR="00577D08" w:rsidRDefault="00577D08">
            <w:pPr>
              <w:jc w:val="right"/>
              <w:rPr>
                <w:sz w:val="15"/>
                <w:szCs w:val="15"/>
              </w:rPr>
            </w:pPr>
          </w:p>
        </w:tc>
        <w:tc>
          <w:tcPr>
            <w:tcW w:w="1364" w:type="dxa"/>
            <w:vAlign w:val="center"/>
          </w:tcPr>
          <w:p w14:paraId="479445D9" w14:textId="77777777" w:rsidR="00577D08" w:rsidRDefault="00577D08">
            <w:pPr>
              <w:jc w:val="right"/>
              <w:rPr>
                <w:sz w:val="15"/>
                <w:szCs w:val="15"/>
              </w:rPr>
            </w:pPr>
          </w:p>
        </w:tc>
      </w:tr>
      <w:tr w:rsidR="00577D08" w14:paraId="15FD1D9E" w14:textId="77777777">
        <w:tc>
          <w:tcPr>
            <w:tcW w:w="959" w:type="dxa"/>
            <w:vAlign w:val="center"/>
          </w:tcPr>
          <w:sdt>
            <w:sdtPr>
              <w:rPr>
                <w:sz w:val="15"/>
                <w:szCs w:val="15"/>
              </w:rPr>
              <w:tag w:val="_PLD_0259028a18dd4c059a8b77a9e4fe86f9"/>
              <w:id w:val="1221403189"/>
            </w:sdtPr>
            <w:sdtContent>
              <w:p w14:paraId="5A3BFED0" w14:textId="77777777" w:rsidR="00577D08" w:rsidRDefault="00330FC0">
                <w:pPr>
                  <w:rPr>
                    <w:sz w:val="15"/>
                    <w:szCs w:val="15"/>
                  </w:rPr>
                </w:pPr>
                <w:r>
                  <w:rPr>
                    <w:sz w:val="15"/>
                    <w:szCs w:val="15"/>
                  </w:rPr>
                  <w:t>5</w:t>
                </w:r>
                <w:r>
                  <w:rPr>
                    <w:sz w:val="15"/>
                    <w:szCs w:val="15"/>
                  </w:rPr>
                  <w:t>．其他综合收益结转留存收益</w:t>
                </w:r>
              </w:p>
            </w:sdtContent>
          </w:sdt>
        </w:tc>
        <w:tc>
          <w:tcPr>
            <w:tcW w:w="992" w:type="dxa"/>
            <w:vAlign w:val="center"/>
          </w:tcPr>
          <w:p w14:paraId="4AAB578A" w14:textId="77777777" w:rsidR="00577D08" w:rsidRDefault="00577D08">
            <w:pPr>
              <w:jc w:val="right"/>
              <w:rPr>
                <w:sz w:val="15"/>
                <w:szCs w:val="15"/>
              </w:rPr>
            </w:pPr>
          </w:p>
        </w:tc>
        <w:tc>
          <w:tcPr>
            <w:tcW w:w="284" w:type="dxa"/>
            <w:vAlign w:val="center"/>
          </w:tcPr>
          <w:p w14:paraId="2A4A2B24" w14:textId="77777777" w:rsidR="00577D08" w:rsidRDefault="00577D08">
            <w:pPr>
              <w:jc w:val="right"/>
              <w:rPr>
                <w:sz w:val="15"/>
                <w:szCs w:val="15"/>
              </w:rPr>
            </w:pPr>
          </w:p>
        </w:tc>
        <w:tc>
          <w:tcPr>
            <w:tcW w:w="425" w:type="dxa"/>
            <w:vAlign w:val="center"/>
          </w:tcPr>
          <w:p w14:paraId="7A65CE07" w14:textId="77777777" w:rsidR="00577D08" w:rsidRDefault="00577D08">
            <w:pPr>
              <w:jc w:val="right"/>
              <w:rPr>
                <w:sz w:val="15"/>
                <w:szCs w:val="15"/>
              </w:rPr>
            </w:pPr>
          </w:p>
        </w:tc>
        <w:tc>
          <w:tcPr>
            <w:tcW w:w="425" w:type="dxa"/>
            <w:vAlign w:val="center"/>
          </w:tcPr>
          <w:p w14:paraId="2E9DED76" w14:textId="77777777" w:rsidR="00577D08" w:rsidRDefault="00577D08">
            <w:pPr>
              <w:jc w:val="right"/>
              <w:rPr>
                <w:sz w:val="15"/>
                <w:szCs w:val="15"/>
              </w:rPr>
            </w:pPr>
          </w:p>
        </w:tc>
        <w:tc>
          <w:tcPr>
            <w:tcW w:w="992" w:type="dxa"/>
            <w:vAlign w:val="center"/>
          </w:tcPr>
          <w:p w14:paraId="7BAB98B6" w14:textId="77777777" w:rsidR="00577D08" w:rsidRDefault="00577D08">
            <w:pPr>
              <w:jc w:val="right"/>
              <w:rPr>
                <w:sz w:val="15"/>
                <w:szCs w:val="15"/>
              </w:rPr>
            </w:pPr>
          </w:p>
        </w:tc>
        <w:tc>
          <w:tcPr>
            <w:tcW w:w="1134" w:type="dxa"/>
            <w:vAlign w:val="center"/>
          </w:tcPr>
          <w:p w14:paraId="010E7DF3" w14:textId="77777777" w:rsidR="00577D08" w:rsidRDefault="00577D08">
            <w:pPr>
              <w:jc w:val="right"/>
              <w:rPr>
                <w:sz w:val="15"/>
                <w:szCs w:val="15"/>
              </w:rPr>
            </w:pPr>
          </w:p>
        </w:tc>
        <w:tc>
          <w:tcPr>
            <w:tcW w:w="1134" w:type="dxa"/>
            <w:vAlign w:val="center"/>
          </w:tcPr>
          <w:p w14:paraId="24028242" w14:textId="77777777" w:rsidR="00577D08" w:rsidRDefault="00577D08">
            <w:pPr>
              <w:jc w:val="right"/>
              <w:rPr>
                <w:sz w:val="15"/>
                <w:szCs w:val="15"/>
              </w:rPr>
            </w:pPr>
          </w:p>
        </w:tc>
        <w:tc>
          <w:tcPr>
            <w:tcW w:w="1134" w:type="dxa"/>
            <w:vAlign w:val="center"/>
          </w:tcPr>
          <w:p w14:paraId="0F4BF38D" w14:textId="77777777" w:rsidR="00577D08" w:rsidRDefault="00577D08">
            <w:pPr>
              <w:jc w:val="right"/>
              <w:rPr>
                <w:sz w:val="15"/>
                <w:szCs w:val="15"/>
              </w:rPr>
            </w:pPr>
          </w:p>
        </w:tc>
        <w:tc>
          <w:tcPr>
            <w:tcW w:w="993" w:type="dxa"/>
            <w:vAlign w:val="center"/>
          </w:tcPr>
          <w:p w14:paraId="6FCB1178" w14:textId="77777777" w:rsidR="00577D08" w:rsidRDefault="00577D08">
            <w:pPr>
              <w:jc w:val="right"/>
              <w:rPr>
                <w:sz w:val="15"/>
                <w:szCs w:val="15"/>
              </w:rPr>
            </w:pPr>
          </w:p>
        </w:tc>
        <w:tc>
          <w:tcPr>
            <w:tcW w:w="567" w:type="dxa"/>
            <w:vAlign w:val="center"/>
          </w:tcPr>
          <w:p w14:paraId="5C6A155A" w14:textId="77777777" w:rsidR="00577D08" w:rsidRDefault="00577D08">
            <w:pPr>
              <w:jc w:val="right"/>
              <w:rPr>
                <w:sz w:val="15"/>
                <w:szCs w:val="15"/>
              </w:rPr>
            </w:pPr>
          </w:p>
        </w:tc>
        <w:tc>
          <w:tcPr>
            <w:tcW w:w="992" w:type="dxa"/>
            <w:vAlign w:val="center"/>
          </w:tcPr>
          <w:p w14:paraId="6CC1FD60" w14:textId="77777777" w:rsidR="00577D08" w:rsidRDefault="00577D08">
            <w:pPr>
              <w:jc w:val="right"/>
              <w:rPr>
                <w:sz w:val="15"/>
                <w:szCs w:val="15"/>
              </w:rPr>
            </w:pPr>
          </w:p>
        </w:tc>
        <w:tc>
          <w:tcPr>
            <w:tcW w:w="283" w:type="dxa"/>
            <w:vAlign w:val="center"/>
          </w:tcPr>
          <w:p w14:paraId="69224A5A" w14:textId="77777777" w:rsidR="00577D08" w:rsidRDefault="00577D08">
            <w:pPr>
              <w:jc w:val="right"/>
              <w:rPr>
                <w:sz w:val="15"/>
                <w:szCs w:val="15"/>
              </w:rPr>
            </w:pPr>
          </w:p>
        </w:tc>
        <w:tc>
          <w:tcPr>
            <w:tcW w:w="1134" w:type="dxa"/>
            <w:vAlign w:val="center"/>
          </w:tcPr>
          <w:p w14:paraId="638B4FE9" w14:textId="77777777" w:rsidR="00577D08" w:rsidRDefault="00577D08">
            <w:pPr>
              <w:jc w:val="right"/>
              <w:rPr>
                <w:sz w:val="15"/>
                <w:szCs w:val="15"/>
              </w:rPr>
            </w:pPr>
          </w:p>
        </w:tc>
        <w:tc>
          <w:tcPr>
            <w:tcW w:w="1276" w:type="dxa"/>
            <w:vAlign w:val="center"/>
          </w:tcPr>
          <w:p w14:paraId="72858917" w14:textId="77777777" w:rsidR="00577D08" w:rsidRDefault="00577D08">
            <w:pPr>
              <w:jc w:val="right"/>
              <w:rPr>
                <w:sz w:val="15"/>
                <w:szCs w:val="15"/>
              </w:rPr>
            </w:pPr>
          </w:p>
        </w:tc>
        <w:tc>
          <w:tcPr>
            <w:tcW w:w="1364" w:type="dxa"/>
            <w:vAlign w:val="center"/>
          </w:tcPr>
          <w:p w14:paraId="07E92355" w14:textId="77777777" w:rsidR="00577D08" w:rsidRDefault="00577D08">
            <w:pPr>
              <w:jc w:val="right"/>
              <w:rPr>
                <w:sz w:val="15"/>
                <w:szCs w:val="15"/>
              </w:rPr>
            </w:pPr>
          </w:p>
        </w:tc>
      </w:tr>
      <w:tr w:rsidR="00577D08" w14:paraId="67F536AB" w14:textId="77777777">
        <w:sdt>
          <w:sdtPr>
            <w:rPr>
              <w:sz w:val="15"/>
              <w:szCs w:val="15"/>
            </w:rPr>
            <w:tag w:val="_PLD_5844253ac18b45ceaa765e5b2f55d052"/>
            <w:id w:val="-1670865400"/>
          </w:sdtPr>
          <w:sdtContent>
            <w:tc>
              <w:tcPr>
                <w:tcW w:w="959" w:type="dxa"/>
                <w:vAlign w:val="center"/>
              </w:tcPr>
              <w:p w14:paraId="2A65F08B" w14:textId="77777777" w:rsidR="00577D08" w:rsidRDefault="00330FC0">
                <w:pPr>
                  <w:rPr>
                    <w:sz w:val="15"/>
                    <w:szCs w:val="15"/>
                  </w:rPr>
                </w:pPr>
                <w:r>
                  <w:rPr>
                    <w:sz w:val="15"/>
                    <w:szCs w:val="15"/>
                  </w:rPr>
                  <w:t>6</w:t>
                </w:r>
                <w:r>
                  <w:rPr>
                    <w:sz w:val="15"/>
                    <w:szCs w:val="15"/>
                  </w:rPr>
                  <w:t>．其他</w:t>
                </w:r>
              </w:p>
            </w:tc>
          </w:sdtContent>
        </w:sdt>
        <w:tc>
          <w:tcPr>
            <w:tcW w:w="992" w:type="dxa"/>
            <w:vAlign w:val="center"/>
          </w:tcPr>
          <w:p w14:paraId="23C9DC8A" w14:textId="77777777" w:rsidR="00577D08" w:rsidRDefault="00577D08">
            <w:pPr>
              <w:jc w:val="right"/>
              <w:rPr>
                <w:sz w:val="15"/>
                <w:szCs w:val="15"/>
              </w:rPr>
            </w:pPr>
          </w:p>
        </w:tc>
        <w:tc>
          <w:tcPr>
            <w:tcW w:w="284" w:type="dxa"/>
            <w:vAlign w:val="center"/>
          </w:tcPr>
          <w:p w14:paraId="121E5E05" w14:textId="77777777" w:rsidR="00577D08" w:rsidRDefault="00577D08">
            <w:pPr>
              <w:jc w:val="right"/>
              <w:rPr>
                <w:sz w:val="15"/>
                <w:szCs w:val="15"/>
              </w:rPr>
            </w:pPr>
          </w:p>
        </w:tc>
        <w:tc>
          <w:tcPr>
            <w:tcW w:w="425" w:type="dxa"/>
            <w:vAlign w:val="center"/>
          </w:tcPr>
          <w:p w14:paraId="3209AF06" w14:textId="77777777" w:rsidR="00577D08" w:rsidRDefault="00577D08">
            <w:pPr>
              <w:jc w:val="right"/>
              <w:rPr>
                <w:sz w:val="15"/>
                <w:szCs w:val="15"/>
              </w:rPr>
            </w:pPr>
          </w:p>
        </w:tc>
        <w:tc>
          <w:tcPr>
            <w:tcW w:w="425" w:type="dxa"/>
            <w:vAlign w:val="center"/>
          </w:tcPr>
          <w:p w14:paraId="388C3E6A" w14:textId="77777777" w:rsidR="00577D08" w:rsidRDefault="00577D08">
            <w:pPr>
              <w:jc w:val="right"/>
              <w:rPr>
                <w:sz w:val="15"/>
                <w:szCs w:val="15"/>
              </w:rPr>
            </w:pPr>
          </w:p>
        </w:tc>
        <w:tc>
          <w:tcPr>
            <w:tcW w:w="992" w:type="dxa"/>
            <w:vAlign w:val="center"/>
          </w:tcPr>
          <w:p w14:paraId="77433C0D" w14:textId="77777777" w:rsidR="00577D08" w:rsidRDefault="00577D08">
            <w:pPr>
              <w:jc w:val="right"/>
              <w:rPr>
                <w:sz w:val="15"/>
                <w:szCs w:val="15"/>
              </w:rPr>
            </w:pPr>
          </w:p>
        </w:tc>
        <w:tc>
          <w:tcPr>
            <w:tcW w:w="1134" w:type="dxa"/>
            <w:vAlign w:val="center"/>
          </w:tcPr>
          <w:p w14:paraId="6963ACDD" w14:textId="77777777" w:rsidR="00577D08" w:rsidRDefault="00577D08">
            <w:pPr>
              <w:jc w:val="right"/>
              <w:rPr>
                <w:sz w:val="15"/>
                <w:szCs w:val="15"/>
              </w:rPr>
            </w:pPr>
          </w:p>
        </w:tc>
        <w:tc>
          <w:tcPr>
            <w:tcW w:w="1134" w:type="dxa"/>
            <w:vAlign w:val="center"/>
          </w:tcPr>
          <w:p w14:paraId="2FEB9B17" w14:textId="77777777" w:rsidR="00577D08" w:rsidRDefault="00577D08">
            <w:pPr>
              <w:jc w:val="right"/>
              <w:rPr>
                <w:sz w:val="15"/>
                <w:szCs w:val="15"/>
              </w:rPr>
            </w:pPr>
          </w:p>
        </w:tc>
        <w:tc>
          <w:tcPr>
            <w:tcW w:w="1134" w:type="dxa"/>
            <w:vAlign w:val="center"/>
          </w:tcPr>
          <w:p w14:paraId="7CA97E0B" w14:textId="77777777" w:rsidR="00577D08" w:rsidRDefault="00577D08">
            <w:pPr>
              <w:jc w:val="right"/>
              <w:rPr>
                <w:sz w:val="15"/>
                <w:szCs w:val="15"/>
              </w:rPr>
            </w:pPr>
          </w:p>
        </w:tc>
        <w:tc>
          <w:tcPr>
            <w:tcW w:w="993" w:type="dxa"/>
            <w:vAlign w:val="center"/>
          </w:tcPr>
          <w:p w14:paraId="0D557126" w14:textId="77777777" w:rsidR="00577D08" w:rsidRDefault="00577D08">
            <w:pPr>
              <w:jc w:val="right"/>
              <w:rPr>
                <w:sz w:val="15"/>
                <w:szCs w:val="15"/>
              </w:rPr>
            </w:pPr>
          </w:p>
        </w:tc>
        <w:tc>
          <w:tcPr>
            <w:tcW w:w="567" w:type="dxa"/>
            <w:vAlign w:val="center"/>
          </w:tcPr>
          <w:p w14:paraId="21E269BE" w14:textId="77777777" w:rsidR="00577D08" w:rsidRDefault="00577D08">
            <w:pPr>
              <w:jc w:val="right"/>
              <w:rPr>
                <w:sz w:val="15"/>
                <w:szCs w:val="15"/>
              </w:rPr>
            </w:pPr>
          </w:p>
        </w:tc>
        <w:tc>
          <w:tcPr>
            <w:tcW w:w="992" w:type="dxa"/>
            <w:vAlign w:val="center"/>
          </w:tcPr>
          <w:p w14:paraId="05FF5493" w14:textId="77777777" w:rsidR="00577D08" w:rsidRDefault="00577D08">
            <w:pPr>
              <w:jc w:val="right"/>
              <w:rPr>
                <w:sz w:val="15"/>
                <w:szCs w:val="15"/>
              </w:rPr>
            </w:pPr>
          </w:p>
        </w:tc>
        <w:tc>
          <w:tcPr>
            <w:tcW w:w="283" w:type="dxa"/>
            <w:vAlign w:val="center"/>
          </w:tcPr>
          <w:p w14:paraId="2F5C47DF" w14:textId="77777777" w:rsidR="00577D08" w:rsidRDefault="00577D08">
            <w:pPr>
              <w:jc w:val="right"/>
              <w:rPr>
                <w:sz w:val="15"/>
                <w:szCs w:val="15"/>
              </w:rPr>
            </w:pPr>
          </w:p>
        </w:tc>
        <w:tc>
          <w:tcPr>
            <w:tcW w:w="1134" w:type="dxa"/>
            <w:vAlign w:val="center"/>
          </w:tcPr>
          <w:p w14:paraId="023DFFE5" w14:textId="77777777" w:rsidR="00577D08" w:rsidRDefault="00577D08">
            <w:pPr>
              <w:jc w:val="right"/>
              <w:rPr>
                <w:sz w:val="15"/>
                <w:szCs w:val="15"/>
              </w:rPr>
            </w:pPr>
          </w:p>
        </w:tc>
        <w:tc>
          <w:tcPr>
            <w:tcW w:w="1276" w:type="dxa"/>
            <w:vAlign w:val="center"/>
          </w:tcPr>
          <w:p w14:paraId="1F8EAB6A" w14:textId="77777777" w:rsidR="00577D08" w:rsidRDefault="00577D08">
            <w:pPr>
              <w:jc w:val="right"/>
              <w:rPr>
                <w:sz w:val="15"/>
                <w:szCs w:val="15"/>
              </w:rPr>
            </w:pPr>
          </w:p>
        </w:tc>
        <w:tc>
          <w:tcPr>
            <w:tcW w:w="1364" w:type="dxa"/>
            <w:vAlign w:val="center"/>
          </w:tcPr>
          <w:p w14:paraId="3F52D654" w14:textId="77777777" w:rsidR="00577D08" w:rsidRDefault="00577D08">
            <w:pPr>
              <w:jc w:val="right"/>
              <w:rPr>
                <w:sz w:val="15"/>
                <w:szCs w:val="15"/>
              </w:rPr>
            </w:pPr>
          </w:p>
        </w:tc>
      </w:tr>
      <w:tr w:rsidR="00577D08" w14:paraId="4651287D" w14:textId="77777777">
        <w:sdt>
          <w:sdtPr>
            <w:rPr>
              <w:sz w:val="15"/>
              <w:szCs w:val="15"/>
            </w:rPr>
            <w:tag w:val="_PLD_3bbf2260615f4991a49bda77fd1fc28b"/>
            <w:id w:val="-22863018"/>
          </w:sdtPr>
          <w:sdtContent>
            <w:tc>
              <w:tcPr>
                <w:tcW w:w="959" w:type="dxa"/>
                <w:vAlign w:val="center"/>
              </w:tcPr>
              <w:p w14:paraId="453F3C60" w14:textId="77777777" w:rsidR="00577D08" w:rsidRDefault="00330FC0">
                <w:pPr>
                  <w:rPr>
                    <w:sz w:val="15"/>
                    <w:szCs w:val="15"/>
                  </w:rPr>
                </w:pPr>
                <w:r>
                  <w:rPr>
                    <w:rFonts w:hint="eastAsia"/>
                    <w:sz w:val="15"/>
                    <w:szCs w:val="15"/>
                  </w:rPr>
                  <w:t>（五）专项储备</w:t>
                </w:r>
              </w:p>
            </w:tc>
          </w:sdtContent>
        </w:sdt>
        <w:tc>
          <w:tcPr>
            <w:tcW w:w="992" w:type="dxa"/>
            <w:vAlign w:val="center"/>
          </w:tcPr>
          <w:p w14:paraId="25FC0B30" w14:textId="77777777" w:rsidR="00577D08" w:rsidRDefault="00577D08">
            <w:pPr>
              <w:jc w:val="right"/>
              <w:rPr>
                <w:sz w:val="15"/>
                <w:szCs w:val="15"/>
              </w:rPr>
            </w:pPr>
          </w:p>
        </w:tc>
        <w:tc>
          <w:tcPr>
            <w:tcW w:w="284" w:type="dxa"/>
            <w:vAlign w:val="center"/>
          </w:tcPr>
          <w:p w14:paraId="514601E2" w14:textId="77777777" w:rsidR="00577D08" w:rsidRDefault="00577D08">
            <w:pPr>
              <w:jc w:val="right"/>
              <w:rPr>
                <w:sz w:val="15"/>
                <w:szCs w:val="15"/>
              </w:rPr>
            </w:pPr>
          </w:p>
        </w:tc>
        <w:tc>
          <w:tcPr>
            <w:tcW w:w="425" w:type="dxa"/>
            <w:vAlign w:val="center"/>
          </w:tcPr>
          <w:p w14:paraId="05C325F4" w14:textId="77777777" w:rsidR="00577D08" w:rsidRDefault="00577D08">
            <w:pPr>
              <w:jc w:val="right"/>
              <w:rPr>
                <w:sz w:val="15"/>
                <w:szCs w:val="15"/>
              </w:rPr>
            </w:pPr>
          </w:p>
        </w:tc>
        <w:tc>
          <w:tcPr>
            <w:tcW w:w="425" w:type="dxa"/>
            <w:vAlign w:val="center"/>
          </w:tcPr>
          <w:p w14:paraId="2A93B5DE" w14:textId="77777777" w:rsidR="00577D08" w:rsidRDefault="00577D08">
            <w:pPr>
              <w:jc w:val="right"/>
              <w:rPr>
                <w:sz w:val="15"/>
                <w:szCs w:val="15"/>
              </w:rPr>
            </w:pPr>
          </w:p>
        </w:tc>
        <w:tc>
          <w:tcPr>
            <w:tcW w:w="992" w:type="dxa"/>
            <w:vAlign w:val="center"/>
          </w:tcPr>
          <w:p w14:paraId="7FB4D046" w14:textId="77777777" w:rsidR="00577D08" w:rsidRDefault="00577D08">
            <w:pPr>
              <w:jc w:val="right"/>
              <w:rPr>
                <w:sz w:val="15"/>
                <w:szCs w:val="15"/>
              </w:rPr>
            </w:pPr>
          </w:p>
        </w:tc>
        <w:tc>
          <w:tcPr>
            <w:tcW w:w="1134" w:type="dxa"/>
            <w:vAlign w:val="center"/>
          </w:tcPr>
          <w:p w14:paraId="56A70A56" w14:textId="77777777" w:rsidR="00577D08" w:rsidRDefault="00577D08">
            <w:pPr>
              <w:jc w:val="right"/>
              <w:rPr>
                <w:sz w:val="15"/>
                <w:szCs w:val="15"/>
              </w:rPr>
            </w:pPr>
          </w:p>
        </w:tc>
        <w:tc>
          <w:tcPr>
            <w:tcW w:w="1134" w:type="dxa"/>
            <w:vAlign w:val="center"/>
          </w:tcPr>
          <w:p w14:paraId="61445749" w14:textId="77777777" w:rsidR="00577D08" w:rsidRDefault="00577D08">
            <w:pPr>
              <w:jc w:val="right"/>
              <w:rPr>
                <w:sz w:val="15"/>
                <w:szCs w:val="15"/>
              </w:rPr>
            </w:pPr>
          </w:p>
        </w:tc>
        <w:tc>
          <w:tcPr>
            <w:tcW w:w="1134" w:type="dxa"/>
            <w:vAlign w:val="center"/>
          </w:tcPr>
          <w:p w14:paraId="15D587C1" w14:textId="77777777" w:rsidR="00577D08" w:rsidRDefault="00330FC0">
            <w:pPr>
              <w:jc w:val="right"/>
              <w:rPr>
                <w:sz w:val="15"/>
                <w:szCs w:val="15"/>
              </w:rPr>
            </w:pPr>
            <w:r>
              <w:rPr>
                <w:sz w:val="15"/>
                <w:szCs w:val="15"/>
              </w:rPr>
              <w:t>537,456.58</w:t>
            </w:r>
          </w:p>
        </w:tc>
        <w:tc>
          <w:tcPr>
            <w:tcW w:w="993" w:type="dxa"/>
            <w:vAlign w:val="center"/>
          </w:tcPr>
          <w:p w14:paraId="3BC5B0BC" w14:textId="77777777" w:rsidR="00577D08" w:rsidRDefault="00577D08">
            <w:pPr>
              <w:jc w:val="right"/>
              <w:rPr>
                <w:sz w:val="15"/>
                <w:szCs w:val="15"/>
              </w:rPr>
            </w:pPr>
          </w:p>
        </w:tc>
        <w:tc>
          <w:tcPr>
            <w:tcW w:w="567" w:type="dxa"/>
            <w:vAlign w:val="center"/>
          </w:tcPr>
          <w:p w14:paraId="2A19E9ED" w14:textId="77777777" w:rsidR="00577D08" w:rsidRDefault="00577D08">
            <w:pPr>
              <w:jc w:val="right"/>
              <w:rPr>
                <w:sz w:val="15"/>
                <w:szCs w:val="15"/>
              </w:rPr>
            </w:pPr>
          </w:p>
        </w:tc>
        <w:tc>
          <w:tcPr>
            <w:tcW w:w="992" w:type="dxa"/>
            <w:vAlign w:val="center"/>
          </w:tcPr>
          <w:p w14:paraId="3F2FE378" w14:textId="77777777" w:rsidR="00577D08" w:rsidRDefault="00577D08">
            <w:pPr>
              <w:jc w:val="right"/>
              <w:rPr>
                <w:sz w:val="15"/>
                <w:szCs w:val="15"/>
              </w:rPr>
            </w:pPr>
          </w:p>
        </w:tc>
        <w:tc>
          <w:tcPr>
            <w:tcW w:w="283" w:type="dxa"/>
            <w:vAlign w:val="center"/>
          </w:tcPr>
          <w:p w14:paraId="2B36392E" w14:textId="77777777" w:rsidR="00577D08" w:rsidRDefault="00577D08">
            <w:pPr>
              <w:jc w:val="right"/>
              <w:rPr>
                <w:sz w:val="15"/>
                <w:szCs w:val="15"/>
              </w:rPr>
            </w:pPr>
          </w:p>
        </w:tc>
        <w:tc>
          <w:tcPr>
            <w:tcW w:w="1134" w:type="dxa"/>
            <w:vAlign w:val="center"/>
          </w:tcPr>
          <w:p w14:paraId="5A3C513B" w14:textId="77777777" w:rsidR="00577D08" w:rsidRDefault="00330FC0">
            <w:pPr>
              <w:jc w:val="right"/>
              <w:rPr>
                <w:sz w:val="15"/>
                <w:szCs w:val="15"/>
              </w:rPr>
            </w:pPr>
            <w:r>
              <w:rPr>
                <w:sz w:val="15"/>
                <w:szCs w:val="15"/>
              </w:rPr>
              <w:t>537,456.58</w:t>
            </w:r>
          </w:p>
        </w:tc>
        <w:tc>
          <w:tcPr>
            <w:tcW w:w="1276" w:type="dxa"/>
            <w:vAlign w:val="center"/>
          </w:tcPr>
          <w:p w14:paraId="57053520" w14:textId="77777777" w:rsidR="00577D08" w:rsidRDefault="00330FC0">
            <w:pPr>
              <w:jc w:val="right"/>
              <w:rPr>
                <w:sz w:val="15"/>
                <w:szCs w:val="15"/>
              </w:rPr>
            </w:pPr>
            <w:r>
              <w:rPr>
                <w:sz w:val="15"/>
                <w:szCs w:val="15"/>
              </w:rPr>
              <w:t>85,035.54</w:t>
            </w:r>
          </w:p>
        </w:tc>
        <w:tc>
          <w:tcPr>
            <w:tcW w:w="1364" w:type="dxa"/>
            <w:vAlign w:val="center"/>
          </w:tcPr>
          <w:p w14:paraId="7DD3EDA7" w14:textId="77777777" w:rsidR="00577D08" w:rsidRDefault="00330FC0">
            <w:pPr>
              <w:jc w:val="right"/>
              <w:rPr>
                <w:sz w:val="15"/>
                <w:szCs w:val="15"/>
              </w:rPr>
            </w:pPr>
            <w:r>
              <w:rPr>
                <w:sz w:val="15"/>
                <w:szCs w:val="15"/>
              </w:rPr>
              <w:t>622,492.12</w:t>
            </w:r>
          </w:p>
        </w:tc>
      </w:tr>
      <w:tr w:rsidR="00577D08" w14:paraId="5D39384B" w14:textId="77777777">
        <w:sdt>
          <w:sdtPr>
            <w:rPr>
              <w:sz w:val="15"/>
              <w:szCs w:val="15"/>
            </w:rPr>
            <w:tag w:val="_PLD_f1e833fa15ec452384f3784c7a9b36fe"/>
            <w:id w:val="-603645141"/>
          </w:sdtPr>
          <w:sdtContent>
            <w:tc>
              <w:tcPr>
                <w:tcW w:w="959" w:type="dxa"/>
                <w:vAlign w:val="center"/>
              </w:tcPr>
              <w:p w14:paraId="328B10F6" w14:textId="77777777" w:rsidR="00577D08" w:rsidRDefault="00330FC0">
                <w:pPr>
                  <w:rPr>
                    <w:sz w:val="15"/>
                    <w:szCs w:val="15"/>
                  </w:rPr>
                </w:pPr>
                <w:r>
                  <w:rPr>
                    <w:rFonts w:hint="eastAsia"/>
                    <w:sz w:val="15"/>
                    <w:szCs w:val="15"/>
                  </w:rPr>
                  <w:t>1</w:t>
                </w:r>
                <w:r>
                  <w:rPr>
                    <w:rFonts w:hint="eastAsia"/>
                    <w:sz w:val="15"/>
                    <w:szCs w:val="15"/>
                  </w:rPr>
                  <w:t>．本期提取</w:t>
                </w:r>
              </w:p>
            </w:tc>
          </w:sdtContent>
        </w:sdt>
        <w:tc>
          <w:tcPr>
            <w:tcW w:w="992" w:type="dxa"/>
            <w:vAlign w:val="center"/>
          </w:tcPr>
          <w:p w14:paraId="1C168722" w14:textId="77777777" w:rsidR="00577D08" w:rsidRDefault="00577D08">
            <w:pPr>
              <w:jc w:val="right"/>
              <w:rPr>
                <w:sz w:val="15"/>
                <w:szCs w:val="15"/>
              </w:rPr>
            </w:pPr>
          </w:p>
        </w:tc>
        <w:tc>
          <w:tcPr>
            <w:tcW w:w="284" w:type="dxa"/>
            <w:vAlign w:val="center"/>
          </w:tcPr>
          <w:p w14:paraId="274AEE0F" w14:textId="77777777" w:rsidR="00577D08" w:rsidRDefault="00577D08">
            <w:pPr>
              <w:jc w:val="right"/>
              <w:rPr>
                <w:sz w:val="15"/>
                <w:szCs w:val="15"/>
              </w:rPr>
            </w:pPr>
          </w:p>
        </w:tc>
        <w:tc>
          <w:tcPr>
            <w:tcW w:w="425" w:type="dxa"/>
            <w:vAlign w:val="center"/>
          </w:tcPr>
          <w:p w14:paraId="009B6C9A" w14:textId="77777777" w:rsidR="00577D08" w:rsidRDefault="00577D08">
            <w:pPr>
              <w:jc w:val="right"/>
              <w:rPr>
                <w:sz w:val="15"/>
                <w:szCs w:val="15"/>
              </w:rPr>
            </w:pPr>
          </w:p>
        </w:tc>
        <w:tc>
          <w:tcPr>
            <w:tcW w:w="425" w:type="dxa"/>
            <w:vAlign w:val="center"/>
          </w:tcPr>
          <w:p w14:paraId="65A1F76E" w14:textId="77777777" w:rsidR="00577D08" w:rsidRDefault="00577D08">
            <w:pPr>
              <w:jc w:val="right"/>
              <w:rPr>
                <w:sz w:val="15"/>
                <w:szCs w:val="15"/>
              </w:rPr>
            </w:pPr>
          </w:p>
        </w:tc>
        <w:tc>
          <w:tcPr>
            <w:tcW w:w="992" w:type="dxa"/>
            <w:vAlign w:val="center"/>
          </w:tcPr>
          <w:p w14:paraId="119E2C9A" w14:textId="77777777" w:rsidR="00577D08" w:rsidRDefault="00577D08">
            <w:pPr>
              <w:jc w:val="right"/>
              <w:rPr>
                <w:sz w:val="15"/>
                <w:szCs w:val="15"/>
              </w:rPr>
            </w:pPr>
          </w:p>
        </w:tc>
        <w:tc>
          <w:tcPr>
            <w:tcW w:w="1134" w:type="dxa"/>
            <w:vAlign w:val="center"/>
          </w:tcPr>
          <w:p w14:paraId="7C21D5A0" w14:textId="77777777" w:rsidR="00577D08" w:rsidRDefault="00577D08">
            <w:pPr>
              <w:jc w:val="right"/>
              <w:rPr>
                <w:sz w:val="15"/>
                <w:szCs w:val="15"/>
              </w:rPr>
            </w:pPr>
          </w:p>
        </w:tc>
        <w:tc>
          <w:tcPr>
            <w:tcW w:w="1134" w:type="dxa"/>
            <w:vAlign w:val="center"/>
          </w:tcPr>
          <w:p w14:paraId="390D587B" w14:textId="77777777" w:rsidR="00577D08" w:rsidRDefault="00577D08">
            <w:pPr>
              <w:jc w:val="right"/>
              <w:rPr>
                <w:sz w:val="15"/>
                <w:szCs w:val="15"/>
              </w:rPr>
            </w:pPr>
          </w:p>
        </w:tc>
        <w:tc>
          <w:tcPr>
            <w:tcW w:w="1134" w:type="dxa"/>
            <w:vAlign w:val="center"/>
          </w:tcPr>
          <w:p w14:paraId="50083C2D" w14:textId="77777777" w:rsidR="00577D08" w:rsidRDefault="00330FC0">
            <w:pPr>
              <w:jc w:val="right"/>
              <w:rPr>
                <w:sz w:val="15"/>
                <w:szCs w:val="15"/>
              </w:rPr>
            </w:pPr>
            <w:r>
              <w:rPr>
                <w:sz w:val="15"/>
                <w:szCs w:val="15"/>
              </w:rPr>
              <w:t>13,527,276.57</w:t>
            </w:r>
          </w:p>
        </w:tc>
        <w:tc>
          <w:tcPr>
            <w:tcW w:w="993" w:type="dxa"/>
            <w:vAlign w:val="center"/>
          </w:tcPr>
          <w:p w14:paraId="66F96DDA" w14:textId="77777777" w:rsidR="00577D08" w:rsidRDefault="00577D08">
            <w:pPr>
              <w:jc w:val="right"/>
              <w:rPr>
                <w:sz w:val="15"/>
                <w:szCs w:val="15"/>
              </w:rPr>
            </w:pPr>
          </w:p>
        </w:tc>
        <w:tc>
          <w:tcPr>
            <w:tcW w:w="567" w:type="dxa"/>
            <w:vAlign w:val="center"/>
          </w:tcPr>
          <w:p w14:paraId="09F8266E" w14:textId="77777777" w:rsidR="00577D08" w:rsidRDefault="00577D08">
            <w:pPr>
              <w:jc w:val="right"/>
              <w:rPr>
                <w:sz w:val="15"/>
                <w:szCs w:val="15"/>
              </w:rPr>
            </w:pPr>
          </w:p>
        </w:tc>
        <w:tc>
          <w:tcPr>
            <w:tcW w:w="992" w:type="dxa"/>
            <w:vAlign w:val="center"/>
          </w:tcPr>
          <w:p w14:paraId="0FE70276" w14:textId="77777777" w:rsidR="00577D08" w:rsidRDefault="00577D08">
            <w:pPr>
              <w:jc w:val="right"/>
              <w:rPr>
                <w:sz w:val="15"/>
                <w:szCs w:val="15"/>
              </w:rPr>
            </w:pPr>
          </w:p>
        </w:tc>
        <w:tc>
          <w:tcPr>
            <w:tcW w:w="283" w:type="dxa"/>
            <w:vAlign w:val="center"/>
          </w:tcPr>
          <w:p w14:paraId="2C561AB2" w14:textId="77777777" w:rsidR="00577D08" w:rsidRDefault="00577D08">
            <w:pPr>
              <w:jc w:val="right"/>
              <w:rPr>
                <w:sz w:val="15"/>
                <w:szCs w:val="15"/>
              </w:rPr>
            </w:pPr>
          </w:p>
        </w:tc>
        <w:tc>
          <w:tcPr>
            <w:tcW w:w="1134" w:type="dxa"/>
            <w:vAlign w:val="center"/>
          </w:tcPr>
          <w:p w14:paraId="7E4AF07B" w14:textId="77777777" w:rsidR="00577D08" w:rsidRDefault="00330FC0">
            <w:pPr>
              <w:jc w:val="right"/>
              <w:rPr>
                <w:sz w:val="15"/>
                <w:szCs w:val="15"/>
              </w:rPr>
            </w:pPr>
            <w:r>
              <w:rPr>
                <w:sz w:val="15"/>
                <w:szCs w:val="15"/>
              </w:rPr>
              <w:t>13,527,276.57</w:t>
            </w:r>
          </w:p>
        </w:tc>
        <w:tc>
          <w:tcPr>
            <w:tcW w:w="1276" w:type="dxa"/>
            <w:vAlign w:val="center"/>
          </w:tcPr>
          <w:p w14:paraId="1BF8AC60" w14:textId="77777777" w:rsidR="00577D08" w:rsidRDefault="00330FC0">
            <w:pPr>
              <w:jc w:val="right"/>
              <w:rPr>
                <w:sz w:val="15"/>
                <w:szCs w:val="15"/>
              </w:rPr>
            </w:pPr>
            <w:r>
              <w:rPr>
                <w:sz w:val="15"/>
                <w:szCs w:val="15"/>
              </w:rPr>
              <w:t>313,540.94</w:t>
            </w:r>
          </w:p>
        </w:tc>
        <w:tc>
          <w:tcPr>
            <w:tcW w:w="1364" w:type="dxa"/>
            <w:vAlign w:val="center"/>
          </w:tcPr>
          <w:p w14:paraId="2DF9A4EF" w14:textId="77777777" w:rsidR="00577D08" w:rsidRDefault="00330FC0">
            <w:pPr>
              <w:jc w:val="right"/>
              <w:rPr>
                <w:sz w:val="15"/>
                <w:szCs w:val="15"/>
              </w:rPr>
            </w:pPr>
            <w:r>
              <w:rPr>
                <w:sz w:val="15"/>
                <w:szCs w:val="15"/>
              </w:rPr>
              <w:t>13,840,817.51</w:t>
            </w:r>
          </w:p>
        </w:tc>
      </w:tr>
      <w:tr w:rsidR="00577D08" w14:paraId="201C6E97" w14:textId="77777777">
        <w:sdt>
          <w:sdtPr>
            <w:rPr>
              <w:sz w:val="15"/>
              <w:szCs w:val="15"/>
            </w:rPr>
            <w:tag w:val="_PLD_301fc21ab7954268be9851ddd0cf2d8a"/>
            <w:id w:val="-1884857199"/>
          </w:sdtPr>
          <w:sdtContent>
            <w:tc>
              <w:tcPr>
                <w:tcW w:w="959" w:type="dxa"/>
                <w:vAlign w:val="center"/>
              </w:tcPr>
              <w:p w14:paraId="77317C6B" w14:textId="77777777" w:rsidR="00577D08" w:rsidRDefault="00330FC0">
                <w:pPr>
                  <w:rPr>
                    <w:sz w:val="15"/>
                    <w:szCs w:val="15"/>
                  </w:rPr>
                </w:pPr>
                <w:r>
                  <w:rPr>
                    <w:rFonts w:hint="eastAsia"/>
                    <w:sz w:val="15"/>
                    <w:szCs w:val="15"/>
                  </w:rPr>
                  <w:t>2</w:t>
                </w:r>
                <w:r>
                  <w:rPr>
                    <w:rFonts w:hint="eastAsia"/>
                    <w:sz w:val="15"/>
                    <w:szCs w:val="15"/>
                  </w:rPr>
                  <w:t>．本期使用</w:t>
                </w:r>
              </w:p>
            </w:tc>
          </w:sdtContent>
        </w:sdt>
        <w:tc>
          <w:tcPr>
            <w:tcW w:w="992" w:type="dxa"/>
            <w:vAlign w:val="center"/>
          </w:tcPr>
          <w:p w14:paraId="407F19A5" w14:textId="77777777" w:rsidR="00577D08" w:rsidRDefault="00577D08">
            <w:pPr>
              <w:jc w:val="right"/>
              <w:rPr>
                <w:sz w:val="15"/>
                <w:szCs w:val="15"/>
              </w:rPr>
            </w:pPr>
          </w:p>
        </w:tc>
        <w:tc>
          <w:tcPr>
            <w:tcW w:w="284" w:type="dxa"/>
            <w:vAlign w:val="center"/>
          </w:tcPr>
          <w:p w14:paraId="6707A3AF" w14:textId="77777777" w:rsidR="00577D08" w:rsidRDefault="00577D08">
            <w:pPr>
              <w:jc w:val="right"/>
              <w:rPr>
                <w:sz w:val="15"/>
                <w:szCs w:val="15"/>
              </w:rPr>
            </w:pPr>
          </w:p>
        </w:tc>
        <w:tc>
          <w:tcPr>
            <w:tcW w:w="425" w:type="dxa"/>
            <w:vAlign w:val="center"/>
          </w:tcPr>
          <w:p w14:paraId="2B1F5B20" w14:textId="77777777" w:rsidR="00577D08" w:rsidRDefault="00577D08">
            <w:pPr>
              <w:jc w:val="right"/>
              <w:rPr>
                <w:sz w:val="15"/>
                <w:szCs w:val="15"/>
              </w:rPr>
            </w:pPr>
          </w:p>
        </w:tc>
        <w:tc>
          <w:tcPr>
            <w:tcW w:w="425" w:type="dxa"/>
            <w:vAlign w:val="center"/>
          </w:tcPr>
          <w:p w14:paraId="6CF79956" w14:textId="77777777" w:rsidR="00577D08" w:rsidRDefault="00577D08">
            <w:pPr>
              <w:jc w:val="right"/>
              <w:rPr>
                <w:sz w:val="15"/>
                <w:szCs w:val="15"/>
              </w:rPr>
            </w:pPr>
          </w:p>
        </w:tc>
        <w:tc>
          <w:tcPr>
            <w:tcW w:w="992" w:type="dxa"/>
            <w:vAlign w:val="center"/>
          </w:tcPr>
          <w:p w14:paraId="71C279B7" w14:textId="77777777" w:rsidR="00577D08" w:rsidRDefault="00577D08">
            <w:pPr>
              <w:jc w:val="right"/>
              <w:rPr>
                <w:sz w:val="15"/>
                <w:szCs w:val="15"/>
              </w:rPr>
            </w:pPr>
          </w:p>
        </w:tc>
        <w:tc>
          <w:tcPr>
            <w:tcW w:w="1134" w:type="dxa"/>
            <w:vAlign w:val="center"/>
          </w:tcPr>
          <w:p w14:paraId="4CC45CE3" w14:textId="77777777" w:rsidR="00577D08" w:rsidRDefault="00577D08">
            <w:pPr>
              <w:jc w:val="right"/>
              <w:rPr>
                <w:sz w:val="15"/>
                <w:szCs w:val="15"/>
              </w:rPr>
            </w:pPr>
          </w:p>
        </w:tc>
        <w:tc>
          <w:tcPr>
            <w:tcW w:w="1134" w:type="dxa"/>
            <w:vAlign w:val="center"/>
          </w:tcPr>
          <w:p w14:paraId="242C509A" w14:textId="77777777" w:rsidR="00577D08" w:rsidRDefault="00577D08">
            <w:pPr>
              <w:jc w:val="right"/>
              <w:rPr>
                <w:sz w:val="15"/>
                <w:szCs w:val="15"/>
              </w:rPr>
            </w:pPr>
          </w:p>
        </w:tc>
        <w:tc>
          <w:tcPr>
            <w:tcW w:w="1134" w:type="dxa"/>
            <w:vAlign w:val="center"/>
          </w:tcPr>
          <w:p w14:paraId="531CD925" w14:textId="77777777" w:rsidR="00577D08" w:rsidRDefault="00330FC0">
            <w:pPr>
              <w:jc w:val="right"/>
              <w:rPr>
                <w:sz w:val="15"/>
                <w:szCs w:val="15"/>
              </w:rPr>
            </w:pPr>
            <w:r>
              <w:rPr>
                <w:sz w:val="15"/>
                <w:szCs w:val="15"/>
              </w:rPr>
              <w:t>-12,989,819.99</w:t>
            </w:r>
          </w:p>
        </w:tc>
        <w:tc>
          <w:tcPr>
            <w:tcW w:w="993" w:type="dxa"/>
            <w:vAlign w:val="center"/>
          </w:tcPr>
          <w:p w14:paraId="14C338EF" w14:textId="77777777" w:rsidR="00577D08" w:rsidRDefault="00577D08">
            <w:pPr>
              <w:jc w:val="right"/>
              <w:rPr>
                <w:sz w:val="15"/>
                <w:szCs w:val="15"/>
              </w:rPr>
            </w:pPr>
          </w:p>
        </w:tc>
        <w:tc>
          <w:tcPr>
            <w:tcW w:w="567" w:type="dxa"/>
            <w:vAlign w:val="center"/>
          </w:tcPr>
          <w:p w14:paraId="206BF029" w14:textId="77777777" w:rsidR="00577D08" w:rsidRDefault="00577D08">
            <w:pPr>
              <w:jc w:val="right"/>
              <w:rPr>
                <w:sz w:val="15"/>
                <w:szCs w:val="15"/>
              </w:rPr>
            </w:pPr>
          </w:p>
        </w:tc>
        <w:tc>
          <w:tcPr>
            <w:tcW w:w="992" w:type="dxa"/>
            <w:vAlign w:val="center"/>
          </w:tcPr>
          <w:p w14:paraId="67E9055F" w14:textId="77777777" w:rsidR="00577D08" w:rsidRDefault="00577D08">
            <w:pPr>
              <w:jc w:val="right"/>
              <w:rPr>
                <w:sz w:val="15"/>
                <w:szCs w:val="15"/>
              </w:rPr>
            </w:pPr>
          </w:p>
        </w:tc>
        <w:tc>
          <w:tcPr>
            <w:tcW w:w="283" w:type="dxa"/>
            <w:vAlign w:val="center"/>
          </w:tcPr>
          <w:p w14:paraId="717FFB5B" w14:textId="77777777" w:rsidR="00577D08" w:rsidRDefault="00577D08">
            <w:pPr>
              <w:jc w:val="right"/>
              <w:rPr>
                <w:sz w:val="15"/>
                <w:szCs w:val="15"/>
              </w:rPr>
            </w:pPr>
          </w:p>
        </w:tc>
        <w:tc>
          <w:tcPr>
            <w:tcW w:w="1134" w:type="dxa"/>
            <w:vAlign w:val="center"/>
          </w:tcPr>
          <w:p w14:paraId="55DAB6D6" w14:textId="77777777" w:rsidR="00577D08" w:rsidRDefault="00330FC0">
            <w:pPr>
              <w:jc w:val="right"/>
              <w:rPr>
                <w:sz w:val="15"/>
                <w:szCs w:val="15"/>
              </w:rPr>
            </w:pPr>
            <w:r>
              <w:rPr>
                <w:sz w:val="15"/>
                <w:szCs w:val="15"/>
              </w:rPr>
              <w:t>-12,989,819.99</w:t>
            </w:r>
          </w:p>
        </w:tc>
        <w:tc>
          <w:tcPr>
            <w:tcW w:w="1276" w:type="dxa"/>
            <w:vAlign w:val="center"/>
          </w:tcPr>
          <w:p w14:paraId="42A5156C" w14:textId="77777777" w:rsidR="00577D08" w:rsidRDefault="00330FC0">
            <w:pPr>
              <w:jc w:val="right"/>
              <w:rPr>
                <w:sz w:val="15"/>
                <w:szCs w:val="15"/>
              </w:rPr>
            </w:pPr>
            <w:r>
              <w:rPr>
                <w:sz w:val="15"/>
                <w:szCs w:val="15"/>
              </w:rPr>
              <w:t>-228,505.40</w:t>
            </w:r>
          </w:p>
        </w:tc>
        <w:tc>
          <w:tcPr>
            <w:tcW w:w="1364" w:type="dxa"/>
            <w:vAlign w:val="center"/>
          </w:tcPr>
          <w:p w14:paraId="5233965E" w14:textId="77777777" w:rsidR="00577D08" w:rsidRDefault="00330FC0">
            <w:pPr>
              <w:jc w:val="right"/>
              <w:rPr>
                <w:sz w:val="15"/>
                <w:szCs w:val="15"/>
              </w:rPr>
            </w:pPr>
            <w:r>
              <w:rPr>
                <w:sz w:val="15"/>
                <w:szCs w:val="15"/>
              </w:rPr>
              <w:t>-13,218,325.39</w:t>
            </w:r>
          </w:p>
        </w:tc>
      </w:tr>
      <w:tr w:rsidR="00577D08" w14:paraId="0CA2C8B8" w14:textId="77777777">
        <w:sdt>
          <w:sdtPr>
            <w:rPr>
              <w:sz w:val="15"/>
              <w:szCs w:val="15"/>
            </w:rPr>
            <w:tag w:val="_PLD_43b1e5b489b047e98cf38f8c5f130759"/>
            <w:id w:val="2140989333"/>
          </w:sdtPr>
          <w:sdtContent>
            <w:tc>
              <w:tcPr>
                <w:tcW w:w="959" w:type="dxa"/>
                <w:vAlign w:val="center"/>
              </w:tcPr>
              <w:p w14:paraId="7DCB538B" w14:textId="77777777" w:rsidR="00577D08" w:rsidRDefault="00330FC0">
                <w:pPr>
                  <w:rPr>
                    <w:sz w:val="15"/>
                    <w:szCs w:val="15"/>
                  </w:rPr>
                </w:pPr>
                <w:r>
                  <w:rPr>
                    <w:rFonts w:hint="eastAsia"/>
                    <w:sz w:val="15"/>
                    <w:szCs w:val="15"/>
                  </w:rPr>
                  <w:t>（六）其他</w:t>
                </w:r>
              </w:p>
            </w:tc>
          </w:sdtContent>
        </w:sdt>
        <w:tc>
          <w:tcPr>
            <w:tcW w:w="992" w:type="dxa"/>
            <w:vAlign w:val="center"/>
          </w:tcPr>
          <w:p w14:paraId="7C5100A4" w14:textId="77777777" w:rsidR="00577D08" w:rsidRDefault="00577D08">
            <w:pPr>
              <w:jc w:val="right"/>
              <w:rPr>
                <w:sz w:val="15"/>
                <w:szCs w:val="15"/>
              </w:rPr>
            </w:pPr>
          </w:p>
        </w:tc>
        <w:tc>
          <w:tcPr>
            <w:tcW w:w="284" w:type="dxa"/>
            <w:vAlign w:val="center"/>
          </w:tcPr>
          <w:p w14:paraId="4A928B3D" w14:textId="77777777" w:rsidR="00577D08" w:rsidRDefault="00577D08">
            <w:pPr>
              <w:jc w:val="right"/>
              <w:rPr>
                <w:sz w:val="15"/>
                <w:szCs w:val="15"/>
              </w:rPr>
            </w:pPr>
          </w:p>
        </w:tc>
        <w:tc>
          <w:tcPr>
            <w:tcW w:w="425" w:type="dxa"/>
            <w:vAlign w:val="center"/>
          </w:tcPr>
          <w:p w14:paraId="72F48025" w14:textId="77777777" w:rsidR="00577D08" w:rsidRDefault="00577D08">
            <w:pPr>
              <w:jc w:val="right"/>
              <w:rPr>
                <w:sz w:val="15"/>
                <w:szCs w:val="15"/>
              </w:rPr>
            </w:pPr>
          </w:p>
        </w:tc>
        <w:tc>
          <w:tcPr>
            <w:tcW w:w="425" w:type="dxa"/>
            <w:vAlign w:val="center"/>
          </w:tcPr>
          <w:p w14:paraId="28E4F53E" w14:textId="77777777" w:rsidR="00577D08" w:rsidRDefault="00577D08">
            <w:pPr>
              <w:jc w:val="right"/>
              <w:rPr>
                <w:sz w:val="15"/>
                <w:szCs w:val="15"/>
              </w:rPr>
            </w:pPr>
          </w:p>
        </w:tc>
        <w:tc>
          <w:tcPr>
            <w:tcW w:w="992" w:type="dxa"/>
            <w:vAlign w:val="center"/>
          </w:tcPr>
          <w:p w14:paraId="72A11147" w14:textId="77777777" w:rsidR="00577D08" w:rsidRDefault="00577D08">
            <w:pPr>
              <w:jc w:val="right"/>
              <w:rPr>
                <w:sz w:val="15"/>
                <w:szCs w:val="15"/>
              </w:rPr>
            </w:pPr>
          </w:p>
        </w:tc>
        <w:tc>
          <w:tcPr>
            <w:tcW w:w="1134" w:type="dxa"/>
            <w:vAlign w:val="center"/>
          </w:tcPr>
          <w:p w14:paraId="2820D51E" w14:textId="77777777" w:rsidR="00577D08" w:rsidRDefault="00577D08">
            <w:pPr>
              <w:jc w:val="right"/>
              <w:rPr>
                <w:sz w:val="15"/>
                <w:szCs w:val="15"/>
              </w:rPr>
            </w:pPr>
          </w:p>
        </w:tc>
        <w:tc>
          <w:tcPr>
            <w:tcW w:w="1134" w:type="dxa"/>
            <w:vAlign w:val="center"/>
          </w:tcPr>
          <w:p w14:paraId="0E9CB159" w14:textId="77777777" w:rsidR="00577D08" w:rsidRDefault="00577D08">
            <w:pPr>
              <w:jc w:val="right"/>
              <w:rPr>
                <w:sz w:val="15"/>
                <w:szCs w:val="15"/>
              </w:rPr>
            </w:pPr>
          </w:p>
        </w:tc>
        <w:tc>
          <w:tcPr>
            <w:tcW w:w="1134" w:type="dxa"/>
            <w:vAlign w:val="center"/>
          </w:tcPr>
          <w:p w14:paraId="2C4C67D1" w14:textId="77777777" w:rsidR="00577D08" w:rsidRDefault="00577D08">
            <w:pPr>
              <w:jc w:val="right"/>
              <w:rPr>
                <w:sz w:val="15"/>
                <w:szCs w:val="15"/>
              </w:rPr>
            </w:pPr>
          </w:p>
        </w:tc>
        <w:tc>
          <w:tcPr>
            <w:tcW w:w="993" w:type="dxa"/>
            <w:vAlign w:val="center"/>
          </w:tcPr>
          <w:p w14:paraId="0A379785" w14:textId="77777777" w:rsidR="00577D08" w:rsidRDefault="00577D08">
            <w:pPr>
              <w:jc w:val="right"/>
              <w:rPr>
                <w:sz w:val="15"/>
                <w:szCs w:val="15"/>
              </w:rPr>
            </w:pPr>
          </w:p>
        </w:tc>
        <w:tc>
          <w:tcPr>
            <w:tcW w:w="567" w:type="dxa"/>
            <w:vAlign w:val="center"/>
          </w:tcPr>
          <w:p w14:paraId="11BC6D96" w14:textId="77777777" w:rsidR="00577D08" w:rsidRDefault="00577D08">
            <w:pPr>
              <w:jc w:val="right"/>
              <w:rPr>
                <w:sz w:val="15"/>
                <w:szCs w:val="15"/>
              </w:rPr>
            </w:pPr>
          </w:p>
        </w:tc>
        <w:tc>
          <w:tcPr>
            <w:tcW w:w="992" w:type="dxa"/>
            <w:vAlign w:val="center"/>
          </w:tcPr>
          <w:p w14:paraId="04C4C3AD" w14:textId="77777777" w:rsidR="00577D08" w:rsidRDefault="00577D08">
            <w:pPr>
              <w:jc w:val="right"/>
              <w:rPr>
                <w:sz w:val="15"/>
                <w:szCs w:val="15"/>
              </w:rPr>
            </w:pPr>
          </w:p>
        </w:tc>
        <w:tc>
          <w:tcPr>
            <w:tcW w:w="283" w:type="dxa"/>
            <w:vAlign w:val="center"/>
          </w:tcPr>
          <w:p w14:paraId="0B936F76" w14:textId="77777777" w:rsidR="00577D08" w:rsidRDefault="00577D08">
            <w:pPr>
              <w:jc w:val="right"/>
              <w:rPr>
                <w:sz w:val="15"/>
                <w:szCs w:val="15"/>
              </w:rPr>
            </w:pPr>
          </w:p>
        </w:tc>
        <w:tc>
          <w:tcPr>
            <w:tcW w:w="1134" w:type="dxa"/>
            <w:vAlign w:val="center"/>
          </w:tcPr>
          <w:p w14:paraId="3227AA68" w14:textId="77777777" w:rsidR="00577D08" w:rsidRDefault="00330FC0">
            <w:pPr>
              <w:jc w:val="right"/>
              <w:rPr>
                <w:sz w:val="15"/>
                <w:szCs w:val="15"/>
              </w:rPr>
            </w:pPr>
            <w:r>
              <w:rPr>
                <w:sz w:val="15"/>
                <w:szCs w:val="15"/>
              </w:rPr>
              <w:t>-</w:t>
            </w:r>
          </w:p>
        </w:tc>
        <w:tc>
          <w:tcPr>
            <w:tcW w:w="1276" w:type="dxa"/>
            <w:vAlign w:val="center"/>
          </w:tcPr>
          <w:p w14:paraId="36C11586" w14:textId="77777777" w:rsidR="00577D08" w:rsidRDefault="00577D08">
            <w:pPr>
              <w:jc w:val="right"/>
              <w:rPr>
                <w:sz w:val="15"/>
                <w:szCs w:val="15"/>
              </w:rPr>
            </w:pPr>
          </w:p>
        </w:tc>
        <w:tc>
          <w:tcPr>
            <w:tcW w:w="1364" w:type="dxa"/>
            <w:vAlign w:val="center"/>
          </w:tcPr>
          <w:p w14:paraId="286382EF" w14:textId="77777777" w:rsidR="00577D08" w:rsidRDefault="00577D08">
            <w:pPr>
              <w:jc w:val="right"/>
              <w:rPr>
                <w:sz w:val="15"/>
                <w:szCs w:val="15"/>
              </w:rPr>
            </w:pPr>
          </w:p>
        </w:tc>
      </w:tr>
      <w:tr w:rsidR="00577D08" w14:paraId="22ADE399" w14:textId="77777777">
        <w:sdt>
          <w:sdtPr>
            <w:rPr>
              <w:sz w:val="15"/>
              <w:szCs w:val="15"/>
            </w:rPr>
            <w:tag w:val="_PLD_7355d7c321c84166a15737d2581911bf"/>
            <w:id w:val="-1707479345"/>
          </w:sdtPr>
          <w:sdtContent>
            <w:tc>
              <w:tcPr>
                <w:tcW w:w="959" w:type="dxa"/>
                <w:vAlign w:val="center"/>
              </w:tcPr>
              <w:p w14:paraId="5BFAEFAB" w14:textId="77777777" w:rsidR="00577D08" w:rsidRDefault="00330FC0">
                <w:pPr>
                  <w:rPr>
                    <w:sz w:val="15"/>
                    <w:szCs w:val="15"/>
                  </w:rPr>
                </w:pPr>
                <w:r>
                  <w:rPr>
                    <w:sz w:val="15"/>
                    <w:szCs w:val="15"/>
                  </w:rPr>
                  <w:t>四、本期期末余额</w:t>
                </w:r>
              </w:p>
            </w:tc>
          </w:sdtContent>
        </w:sdt>
        <w:tc>
          <w:tcPr>
            <w:tcW w:w="992" w:type="dxa"/>
            <w:vAlign w:val="center"/>
          </w:tcPr>
          <w:p w14:paraId="44C94F22" w14:textId="77777777" w:rsidR="00577D08" w:rsidRDefault="00330FC0">
            <w:pPr>
              <w:jc w:val="right"/>
              <w:rPr>
                <w:sz w:val="15"/>
                <w:szCs w:val="15"/>
              </w:rPr>
            </w:pPr>
            <w:r>
              <w:rPr>
                <w:sz w:val="15"/>
                <w:szCs w:val="15"/>
              </w:rPr>
              <w:t>333,167,407.00</w:t>
            </w:r>
          </w:p>
        </w:tc>
        <w:tc>
          <w:tcPr>
            <w:tcW w:w="284" w:type="dxa"/>
            <w:vAlign w:val="center"/>
          </w:tcPr>
          <w:p w14:paraId="79EDA749" w14:textId="77777777" w:rsidR="00577D08" w:rsidRDefault="00577D08">
            <w:pPr>
              <w:jc w:val="right"/>
              <w:rPr>
                <w:sz w:val="15"/>
                <w:szCs w:val="15"/>
              </w:rPr>
            </w:pPr>
          </w:p>
        </w:tc>
        <w:tc>
          <w:tcPr>
            <w:tcW w:w="425" w:type="dxa"/>
            <w:vAlign w:val="center"/>
          </w:tcPr>
          <w:p w14:paraId="2D3796DA" w14:textId="77777777" w:rsidR="00577D08" w:rsidRDefault="00577D08">
            <w:pPr>
              <w:jc w:val="right"/>
              <w:rPr>
                <w:sz w:val="15"/>
                <w:szCs w:val="15"/>
              </w:rPr>
            </w:pPr>
          </w:p>
        </w:tc>
        <w:tc>
          <w:tcPr>
            <w:tcW w:w="425" w:type="dxa"/>
            <w:vAlign w:val="center"/>
          </w:tcPr>
          <w:p w14:paraId="48A3026F" w14:textId="77777777" w:rsidR="00577D08" w:rsidRDefault="00577D08">
            <w:pPr>
              <w:jc w:val="right"/>
              <w:rPr>
                <w:sz w:val="15"/>
                <w:szCs w:val="15"/>
              </w:rPr>
            </w:pPr>
          </w:p>
        </w:tc>
        <w:tc>
          <w:tcPr>
            <w:tcW w:w="992" w:type="dxa"/>
            <w:vAlign w:val="center"/>
          </w:tcPr>
          <w:p w14:paraId="30A142FA" w14:textId="77777777" w:rsidR="00577D08" w:rsidRDefault="00330FC0">
            <w:pPr>
              <w:jc w:val="right"/>
              <w:rPr>
                <w:sz w:val="15"/>
                <w:szCs w:val="15"/>
              </w:rPr>
            </w:pPr>
            <w:r>
              <w:rPr>
                <w:sz w:val="15"/>
                <w:szCs w:val="15"/>
              </w:rPr>
              <w:t>960,873,722.51</w:t>
            </w:r>
          </w:p>
        </w:tc>
        <w:tc>
          <w:tcPr>
            <w:tcW w:w="1134" w:type="dxa"/>
            <w:vAlign w:val="center"/>
          </w:tcPr>
          <w:p w14:paraId="359344D1" w14:textId="77777777" w:rsidR="00577D08" w:rsidRDefault="00330FC0">
            <w:pPr>
              <w:jc w:val="right"/>
              <w:rPr>
                <w:sz w:val="15"/>
                <w:szCs w:val="15"/>
              </w:rPr>
            </w:pPr>
            <w:r>
              <w:rPr>
                <w:sz w:val="15"/>
                <w:szCs w:val="15"/>
              </w:rPr>
              <w:t>30,893,741.28</w:t>
            </w:r>
          </w:p>
        </w:tc>
        <w:tc>
          <w:tcPr>
            <w:tcW w:w="1134" w:type="dxa"/>
            <w:vAlign w:val="center"/>
          </w:tcPr>
          <w:p w14:paraId="6DC3D127" w14:textId="77777777" w:rsidR="00577D08" w:rsidRDefault="00330FC0">
            <w:pPr>
              <w:jc w:val="right"/>
              <w:rPr>
                <w:sz w:val="15"/>
                <w:szCs w:val="15"/>
              </w:rPr>
            </w:pPr>
            <w:r>
              <w:rPr>
                <w:sz w:val="15"/>
                <w:szCs w:val="15"/>
              </w:rPr>
              <w:t>2,027,597.71</w:t>
            </w:r>
          </w:p>
        </w:tc>
        <w:tc>
          <w:tcPr>
            <w:tcW w:w="1134" w:type="dxa"/>
            <w:vAlign w:val="center"/>
          </w:tcPr>
          <w:p w14:paraId="0C3BAD19" w14:textId="77777777" w:rsidR="00577D08" w:rsidRDefault="00330FC0">
            <w:pPr>
              <w:jc w:val="right"/>
              <w:rPr>
                <w:sz w:val="15"/>
                <w:szCs w:val="15"/>
              </w:rPr>
            </w:pPr>
            <w:r>
              <w:rPr>
                <w:sz w:val="15"/>
                <w:szCs w:val="15"/>
              </w:rPr>
              <w:t>22,440,561.28</w:t>
            </w:r>
          </w:p>
        </w:tc>
        <w:tc>
          <w:tcPr>
            <w:tcW w:w="993" w:type="dxa"/>
            <w:vAlign w:val="center"/>
          </w:tcPr>
          <w:p w14:paraId="686C4928" w14:textId="77777777" w:rsidR="00577D08" w:rsidRDefault="00330FC0">
            <w:pPr>
              <w:jc w:val="right"/>
              <w:rPr>
                <w:sz w:val="15"/>
                <w:szCs w:val="15"/>
              </w:rPr>
            </w:pPr>
            <w:r>
              <w:rPr>
                <w:sz w:val="15"/>
                <w:szCs w:val="15"/>
              </w:rPr>
              <w:t>122,195,454.42</w:t>
            </w:r>
          </w:p>
        </w:tc>
        <w:tc>
          <w:tcPr>
            <w:tcW w:w="567" w:type="dxa"/>
            <w:vAlign w:val="center"/>
          </w:tcPr>
          <w:p w14:paraId="1D3F82C3" w14:textId="77777777" w:rsidR="00577D08" w:rsidRDefault="00577D08">
            <w:pPr>
              <w:jc w:val="right"/>
              <w:rPr>
                <w:sz w:val="15"/>
                <w:szCs w:val="15"/>
              </w:rPr>
            </w:pPr>
          </w:p>
        </w:tc>
        <w:tc>
          <w:tcPr>
            <w:tcW w:w="992" w:type="dxa"/>
            <w:vAlign w:val="center"/>
          </w:tcPr>
          <w:p w14:paraId="288836A7" w14:textId="77777777" w:rsidR="00577D08" w:rsidRDefault="00330FC0">
            <w:pPr>
              <w:jc w:val="right"/>
              <w:rPr>
                <w:sz w:val="15"/>
                <w:szCs w:val="15"/>
              </w:rPr>
            </w:pPr>
            <w:r>
              <w:rPr>
                <w:sz w:val="15"/>
                <w:szCs w:val="15"/>
              </w:rPr>
              <w:t>1,003,432,341.75</w:t>
            </w:r>
          </w:p>
        </w:tc>
        <w:tc>
          <w:tcPr>
            <w:tcW w:w="283" w:type="dxa"/>
            <w:vAlign w:val="center"/>
          </w:tcPr>
          <w:p w14:paraId="0CA566E8" w14:textId="77777777" w:rsidR="00577D08" w:rsidRDefault="00577D08">
            <w:pPr>
              <w:jc w:val="right"/>
              <w:rPr>
                <w:sz w:val="15"/>
                <w:szCs w:val="15"/>
              </w:rPr>
            </w:pPr>
          </w:p>
        </w:tc>
        <w:tc>
          <w:tcPr>
            <w:tcW w:w="1134" w:type="dxa"/>
            <w:vAlign w:val="center"/>
          </w:tcPr>
          <w:p w14:paraId="40699BA3" w14:textId="77777777" w:rsidR="00577D08" w:rsidRDefault="00330FC0">
            <w:pPr>
              <w:jc w:val="right"/>
              <w:rPr>
                <w:sz w:val="15"/>
                <w:szCs w:val="15"/>
              </w:rPr>
            </w:pPr>
            <w:r>
              <w:rPr>
                <w:sz w:val="15"/>
                <w:szCs w:val="15"/>
              </w:rPr>
              <w:t>2,413,243,343.39</w:t>
            </w:r>
          </w:p>
        </w:tc>
        <w:tc>
          <w:tcPr>
            <w:tcW w:w="1276" w:type="dxa"/>
            <w:vAlign w:val="center"/>
          </w:tcPr>
          <w:p w14:paraId="2E848F63" w14:textId="77777777" w:rsidR="00577D08" w:rsidRDefault="00330FC0">
            <w:pPr>
              <w:jc w:val="right"/>
              <w:rPr>
                <w:sz w:val="15"/>
                <w:szCs w:val="15"/>
              </w:rPr>
            </w:pPr>
            <w:r>
              <w:rPr>
                <w:sz w:val="15"/>
                <w:szCs w:val="15"/>
              </w:rPr>
              <w:t>139,598,553.64</w:t>
            </w:r>
          </w:p>
        </w:tc>
        <w:tc>
          <w:tcPr>
            <w:tcW w:w="1364" w:type="dxa"/>
            <w:vAlign w:val="center"/>
          </w:tcPr>
          <w:p w14:paraId="2E7D9445" w14:textId="77777777" w:rsidR="00577D08" w:rsidRDefault="00330FC0">
            <w:pPr>
              <w:jc w:val="right"/>
              <w:rPr>
                <w:sz w:val="15"/>
                <w:szCs w:val="15"/>
              </w:rPr>
            </w:pPr>
            <w:r>
              <w:rPr>
                <w:sz w:val="15"/>
                <w:szCs w:val="15"/>
              </w:rPr>
              <w:t>2,552,841,897.03</w:t>
            </w:r>
          </w:p>
        </w:tc>
      </w:tr>
    </w:tbl>
    <w:bookmarkEnd w:id="294"/>
    <w:p w14:paraId="040137D5" w14:textId="77777777" w:rsidR="00577D08" w:rsidRDefault="00330FC0">
      <w:pPr>
        <w:snapToGrid w:val="0"/>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076a4a0998a840bab20f0ed83e5bab3d"/>
          <w:id w:val="-450858924"/>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t>主管会计工作负责人</w:t>
      </w:r>
      <w:r>
        <w:rPr>
          <w:rFonts w:hint="eastAsia"/>
        </w:rPr>
        <w:t>：</w:t>
      </w:r>
      <w:sdt>
        <w:sdtPr>
          <w:rPr>
            <w:rFonts w:hint="eastAsia"/>
          </w:rPr>
          <w:alias w:val="主管会计工作负责人姓名"/>
          <w:tag w:val="_GBC_5b21002df9e248fa81a6770579ce76cd"/>
          <w:id w:val="-1608585422"/>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t>会计机构负责人</w:t>
      </w:r>
      <w:r>
        <w:rPr>
          <w:rFonts w:hint="eastAsia"/>
        </w:rPr>
        <w:t>：</w:t>
      </w:r>
      <w:sdt>
        <w:sdtPr>
          <w:rPr>
            <w:rFonts w:hint="eastAsia"/>
          </w:rPr>
          <w:alias w:val="会计机构负责人姓名"/>
          <w:tag w:val="_GBC_6a446d6543174dc48c72d440eefb0b71"/>
          <w:id w:val="-1252203988"/>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p w14:paraId="3DC7924A" w14:textId="77777777" w:rsidR="00577D08" w:rsidRDefault="00577D08"/>
    <w:p w14:paraId="2C43E54B" w14:textId="77777777" w:rsidR="00577D08" w:rsidRDefault="00577D08"/>
    <w:p w14:paraId="43C041DE" w14:textId="77777777" w:rsidR="00577D08" w:rsidRDefault="00330FC0">
      <w:pPr>
        <w:tabs>
          <w:tab w:val="left" w:pos="10080"/>
        </w:tabs>
        <w:snapToGrid w:val="0"/>
        <w:spacing w:line="240" w:lineRule="atLeast"/>
        <w:ind w:rightChars="12" w:right="25"/>
        <w:jc w:val="center"/>
        <w:outlineLvl w:val="2"/>
        <w:rPr>
          <w:b/>
        </w:rPr>
      </w:pPr>
      <w:r>
        <w:rPr>
          <w:b/>
        </w:rPr>
        <w:t>母公司</w:t>
      </w:r>
      <w:r>
        <w:rPr>
          <w:rFonts w:hint="eastAsia"/>
          <w:b/>
        </w:rPr>
        <w:t>所有者权益变动表</w:t>
      </w:r>
    </w:p>
    <w:p w14:paraId="41ABB066" w14:textId="77777777" w:rsidR="00577D08" w:rsidRDefault="00330FC0">
      <w:pPr>
        <w:tabs>
          <w:tab w:val="left" w:pos="10080"/>
        </w:tabs>
        <w:snapToGrid w:val="0"/>
        <w:spacing w:line="240" w:lineRule="atLeast"/>
        <w:ind w:rightChars="12" w:right="25"/>
        <w:jc w:val="center"/>
        <w:rPr>
          <w:b/>
          <w:bCs/>
        </w:rPr>
      </w:pPr>
      <w:r>
        <w:t>2025</w:t>
      </w:r>
      <w:r>
        <w:t>年</w:t>
      </w:r>
      <w:r>
        <w:rPr>
          <w:rFonts w:hint="eastAsia"/>
        </w:rPr>
        <w:t>1</w:t>
      </w:r>
      <w:r>
        <w:rPr>
          <w:rFonts w:hint="eastAsia"/>
        </w:rPr>
        <w:t>—</w:t>
      </w:r>
      <w:r>
        <w:rPr>
          <w:rFonts w:hint="eastAsia"/>
        </w:rPr>
        <w:t>12</w:t>
      </w:r>
      <w:r>
        <w:t>月</w:t>
      </w:r>
    </w:p>
    <w:p w14:paraId="729B0F38" w14:textId="300DAD9C" w:rsidR="00577D08" w:rsidRDefault="00330FC0">
      <w:pPr>
        <w:snapToGrid w:val="0"/>
        <w:spacing w:line="240" w:lineRule="atLeast"/>
        <w:jc w:val="right"/>
      </w:pPr>
      <w:r>
        <w:t>单位：</w:t>
      </w:r>
      <w:sdt>
        <w:sdtPr>
          <w:alias w:val="单位：母公司股东权益调节表"/>
          <w:tag w:val="_GBC_048773409e614c6bb753000b028316a5"/>
          <w:id w:val="5433322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r w:rsidR="00CC5C32">
            <w:t xml:space="preserve"> </w:t>
          </w:r>
        </w:sdtContent>
      </w:sdt>
      <w:r>
        <w:t>币种：</w:t>
      </w:r>
      <w:sdt>
        <w:sdtPr>
          <w:alias w:val="币种：母公司股东权益调节表"/>
          <w:tag w:val="_GBC_5214b7a188334da286fc3038d017d072"/>
          <w:id w:val="2541780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50"/>
        <w:gridCol w:w="1202"/>
        <w:gridCol w:w="709"/>
        <w:gridCol w:w="709"/>
        <w:gridCol w:w="425"/>
        <w:gridCol w:w="1276"/>
        <w:gridCol w:w="1134"/>
        <w:gridCol w:w="992"/>
        <w:gridCol w:w="1134"/>
        <w:gridCol w:w="1276"/>
        <w:gridCol w:w="1275"/>
        <w:gridCol w:w="1378"/>
      </w:tblGrid>
      <w:tr w:rsidR="00577D08" w14:paraId="671E0801" w14:textId="77777777">
        <w:trPr>
          <w:trHeight w:val="20"/>
        </w:trPr>
        <w:bookmarkStart w:id="295" w:name="OLE_LINK8" w:displacedByCustomXml="next"/>
        <w:sdt>
          <w:sdtPr>
            <w:rPr>
              <w:sz w:val="15"/>
              <w:szCs w:val="15"/>
            </w:rPr>
            <w:tag w:val="_PLD_6243181199ca48faaab1b52ea7b6f562"/>
            <w:id w:val="-1990385113"/>
          </w:sdtPr>
          <w:sdtContent>
            <w:tc>
              <w:tcPr>
                <w:tcW w:w="2450" w:type="dxa"/>
                <w:vMerge w:val="restart"/>
                <w:vAlign w:val="center"/>
              </w:tcPr>
              <w:p w14:paraId="41A3D333" w14:textId="77777777" w:rsidR="00577D08" w:rsidRDefault="00330FC0">
                <w:pPr>
                  <w:adjustRightInd w:val="0"/>
                  <w:snapToGrid w:val="0"/>
                  <w:jc w:val="center"/>
                  <w:rPr>
                    <w:sz w:val="15"/>
                    <w:szCs w:val="15"/>
                  </w:rPr>
                </w:pPr>
                <w:r>
                  <w:rPr>
                    <w:rFonts w:hint="eastAsia"/>
                    <w:sz w:val="15"/>
                    <w:szCs w:val="15"/>
                  </w:rPr>
                  <w:t>项目</w:t>
                </w:r>
              </w:p>
            </w:tc>
          </w:sdtContent>
        </w:sdt>
        <w:tc>
          <w:tcPr>
            <w:tcW w:w="11510" w:type="dxa"/>
            <w:gridSpan w:val="11"/>
            <w:vAlign w:val="center"/>
          </w:tcPr>
          <w:p w14:paraId="44EA2F1B" w14:textId="77777777" w:rsidR="00577D08" w:rsidRDefault="00000000">
            <w:pPr>
              <w:adjustRightInd w:val="0"/>
              <w:snapToGrid w:val="0"/>
              <w:jc w:val="center"/>
              <w:rPr>
                <w:sz w:val="15"/>
                <w:szCs w:val="15"/>
              </w:rPr>
            </w:pPr>
            <w:sdt>
              <w:sdtPr>
                <w:rPr>
                  <w:sz w:val="15"/>
                  <w:szCs w:val="15"/>
                </w:rPr>
                <w:tag w:val="_PLD_53ebc36a4faa4485960520df843f0c63"/>
                <w:id w:val="2082324255"/>
              </w:sdtPr>
              <w:sdtContent>
                <w:r w:rsidR="00330FC0">
                  <w:rPr>
                    <w:rFonts w:hint="eastAsia"/>
                    <w:sz w:val="15"/>
                    <w:szCs w:val="15"/>
                  </w:rPr>
                  <w:t>2025</w:t>
                </w:r>
                <w:r w:rsidR="00330FC0">
                  <w:rPr>
                    <w:rFonts w:hint="eastAsia"/>
                    <w:sz w:val="15"/>
                    <w:szCs w:val="15"/>
                  </w:rPr>
                  <w:t>年度</w:t>
                </w:r>
              </w:sdtContent>
            </w:sdt>
          </w:p>
        </w:tc>
      </w:tr>
      <w:tr w:rsidR="00577D08" w14:paraId="774397AC" w14:textId="77777777">
        <w:trPr>
          <w:trHeight w:val="315"/>
        </w:trPr>
        <w:tc>
          <w:tcPr>
            <w:tcW w:w="2450" w:type="dxa"/>
            <w:vMerge/>
            <w:vAlign w:val="center"/>
          </w:tcPr>
          <w:p w14:paraId="06260F78" w14:textId="77777777" w:rsidR="00577D08" w:rsidRDefault="00577D08">
            <w:pPr>
              <w:adjustRightInd w:val="0"/>
              <w:snapToGrid w:val="0"/>
              <w:rPr>
                <w:sz w:val="15"/>
                <w:szCs w:val="15"/>
              </w:rPr>
            </w:pPr>
          </w:p>
        </w:tc>
        <w:sdt>
          <w:sdtPr>
            <w:rPr>
              <w:sz w:val="15"/>
              <w:szCs w:val="15"/>
            </w:rPr>
            <w:tag w:val="_PLD_d42b0ce5c44e4777bd36491652f20dd8"/>
            <w:id w:val="1547020764"/>
          </w:sdtPr>
          <w:sdtContent>
            <w:tc>
              <w:tcPr>
                <w:tcW w:w="1202" w:type="dxa"/>
                <w:vMerge w:val="restart"/>
                <w:tcBorders>
                  <w:right w:val="single" w:sz="4" w:space="0" w:color="auto"/>
                </w:tcBorders>
                <w:vAlign w:val="center"/>
              </w:tcPr>
              <w:p w14:paraId="7D2C20CB" w14:textId="77777777" w:rsidR="00577D08" w:rsidRDefault="00330FC0">
                <w:pPr>
                  <w:adjustRightInd w:val="0"/>
                  <w:snapToGrid w:val="0"/>
                  <w:jc w:val="center"/>
                  <w:rPr>
                    <w:sz w:val="15"/>
                    <w:szCs w:val="15"/>
                  </w:rPr>
                </w:pPr>
                <w:r>
                  <w:rPr>
                    <w:sz w:val="15"/>
                    <w:szCs w:val="15"/>
                  </w:rPr>
                  <w:t>实收资本</w:t>
                </w:r>
                <w:r>
                  <w:rPr>
                    <w:sz w:val="15"/>
                    <w:szCs w:val="15"/>
                  </w:rPr>
                  <w:t>(</w:t>
                </w:r>
                <w:r>
                  <w:rPr>
                    <w:sz w:val="15"/>
                    <w:szCs w:val="15"/>
                  </w:rPr>
                  <w:t>或股本</w:t>
                </w:r>
                <w:r>
                  <w:rPr>
                    <w:sz w:val="15"/>
                    <w:szCs w:val="15"/>
                  </w:rPr>
                  <w:t>)</w:t>
                </w:r>
              </w:p>
            </w:tc>
          </w:sdtContent>
        </w:sdt>
        <w:sdt>
          <w:sdtPr>
            <w:rPr>
              <w:sz w:val="15"/>
              <w:szCs w:val="15"/>
            </w:rPr>
            <w:tag w:val="_PLD_2b96b9233b354a859329aa59fac6fc9e"/>
            <w:id w:val="-953783954"/>
          </w:sdtPr>
          <w:sdtContent>
            <w:tc>
              <w:tcPr>
                <w:tcW w:w="1843" w:type="dxa"/>
                <w:gridSpan w:val="3"/>
                <w:tcBorders>
                  <w:left w:val="single" w:sz="4" w:space="0" w:color="auto"/>
                  <w:bottom w:val="single" w:sz="4" w:space="0" w:color="auto"/>
                </w:tcBorders>
                <w:vAlign w:val="center"/>
              </w:tcPr>
              <w:p w14:paraId="20F30069" w14:textId="77777777" w:rsidR="00577D08" w:rsidRDefault="00330FC0">
                <w:pPr>
                  <w:adjustRightInd w:val="0"/>
                  <w:snapToGrid w:val="0"/>
                  <w:jc w:val="center"/>
                  <w:rPr>
                    <w:sz w:val="15"/>
                    <w:szCs w:val="15"/>
                  </w:rPr>
                </w:pPr>
                <w:r>
                  <w:rPr>
                    <w:rFonts w:hint="eastAsia"/>
                    <w:sz w:val="15"/>
                    <w:szCs w:val="15"/>
                  </w:rPr>
                  <w:t>其他权益工具</w:t>
                </w:r>
              </w:p>
            </w:tc>
          </w:sdtContent>
        </w:sdt>
        <w:sdt>
          <w:sdtPr>
            <w:rPr>
              <w:sz w:val="15"/>
              <w:szCs w:val="15"/>
            </w:rPr>
            <w:tag w:val="_PLD_dafb11707213467d9f285bde7429767a"/>
            <w:id w:val="176247327"/>
          </w:sdtPr>
          <w:sdtContent>
            <w:tc>
              <w:tcPr>
                <w:tcW w:w="1276" w:type="dxa"/>
                <w:vMerge w:val="restart"/>
                <w:vAlign w:val="center"/>
              </w:tcPr>
              <w:p w14:paraId="25638EF1" w14:textId="77777777" w:rsidR="00577D08" w:rsidRDefault="00330FC0">
                <w:pPr>
                  <w:adjustRightInd w:val="0"/>
                  <w:snapToGrid w:val="0"/>
                  <w:jc w:val="center"/>
                  <w:rPr>
                    <w:sz w:val="15"/>
                    <w:szCs w:val="15"/>
                  </w:rPr>
                </w:pPr>
                <w:r>
                  <w:rPr>
                    <w:sz w:val="15"/>
                    <w:szCs w:val="15"/>
                  </w:rPr>
                  <w:t>资本公积</w:t>
                </w:r>
              </w:p>
            </w:tc>
          </w:sdtContent>
        </w:sdt>
        <w:sdt>
          <w:sdtPr>
            <w:rPr>
              <w:sz w:val="15"/>
              <w:szCs w:val="15"/>
            </w:rPr>
            <w:tag w:val="_PLD_2fb702eaa01c41839715d0f477a28608"/>
            <w:id w:val="-1088382363"/>
          </w:sdtPr>
          <w:sdtContent>
            <w:tc>
              <w:tcPr>
                <w:tcW w:w="1134" w:type="dxa"/>
                <w:vMerge w:val="restart"/>
                <w:vAlign w:val="center"/>
              </w:tcPr>
              <w:p w14:paraId="776F825F" w14:textId="77777777" w:rsidR="00577D08" w:rsidRDefault="00330FC0">
                <w:pPr>
                  <w:adjustRightInd w:val="0"/>
                  <w:snapToGrid w:val="0"/>
                  <w:jc w:val="center"/>
                  <w:rPr>
                    <w:sz w:val="15"/>
                    <w:szCs w:val="15"/>
                  </w:rPr>
                </w:pPr>
                <w:r>
                  <w:rPr>
                    <w:sz w:val="15"/>
                    <w:szCs w:val="15"/>
                  </w:rPr>
                  <w:t>减：库存股</w:t>
                </w:r>
              </w:p>
            </w:tc>
          </w:sdtContent>
        </w:sdt>
        <w:sdt>
          <w:sdtPr>
            <w:rPr>
              <w:sz w:val="15"/>
              <w:szCs w:val="15"/>
            </w:rPr>
            <w:tag w:val="_PLD_01fd07c61bdc4289ad848770e21829f0"/>
            <w:id w:val="1976872834"/>
          </w:sdtPr>
          <w:sdtContent>
            <w:tc>
              <w:tcPr>
                <w:tcW w:w="992" w:type="dxa"/>
                <w:vMerge w:val="restart"/>
                <w:vAlign w:val="center"/>
              </w:tcPr>
              <w:p w14:paraId="0BE97A04" w14:textId="77777777" w:rsidR="00577D08" w:rsidRDefault="00330FC0">
                <w:pPr>
                  <w:jc w:val="center"/>
                  <w:rPr>
                    <w:sz w:val="15"/>
                    <w:szCs w:val="15"/>
                  </w:rPr>
                </w:pPr>
                <w:r>
                  <w:rPr>
                    <w:rFonts w:hint="eastAsia"/>
                    <w:sz w:val="15"/>
                    <w:szCs w:val="15"/>
                  </w:rPr>
                  <w:t>其他综合收益</w:t>
                </w:r>
              </w:p>
            </w:tc>
          </w:sdtContent>
        </w:sdt>
        <w:sdt>
          <w:sdtPr>
            <w:rPr>
              <w:sz w:val="15"/>
              <w:szCs w:val="15"/>
            </w:rPr>
            <w:tag w:val="_PLD_90a7206226784441ae3a059bd6e2aeb9"/>
            <w:id w:val="2030060666"/>
          </w:sdtPr>
          <w:sdtContent>
            <w:tc>
              <w:tcPr>
                <w:tcW w:w="1134" w:type="dxa"/>
                <w:vMerge w:val="restart"/>
                <w:vAlign w:val="center"/>
              </w:tcPr>
              <w:p w14:paraId="16FA968A" w14:textId="77777777" w:rsidR="00577D08" w:rsidRDefault="00330FC0">
                <w:pPr>
                  <w:adjustRightInd w:val="0"/>
                  <w:snapToGrid w:val="0"/>
                  <w:jc w:val="center"/>
                  <w:rPr>
                    <w:sz w:val="15"/>
                    <w:szCs w:val="15"/>
                  </w:rPr>
                </w:pPr>
                <w:r>
                  <w:rPr>
                    <w:rFonts w:hint="eastAsia"/>
                    <w:sz w:val="15"/>
                    <w:szCs w:val="15"/>
                  </w:rPr>
                  <w:t>专项储备</w:t>
                </w:r>
              </w:p>
            </w:tc>
          </w:sdtContent>
        </w:sdt>
        <w:sdt>
          <w:sdtPr>
            <w:rPr>
              <w:sz w:val="15"/>
              <w:szCs w:val="15"/>
            </w:rPr>
            <w:tag w:val="_PLD_e9a70df1813948df997635772bea7de3"/>
            <w:id w:val="1497996950"/>
          </w:sdtPr>
          <w:sdtContent>
            <w:tc>
              <w:tcPr>
                <w:tcW w:w="1276" w:type="dxa"/>
                <w:vMerge w:val="restart"/>
                <w:vAlign w:val="center"/>
              </w:tcPr>
              <w:p w14:paraId="266DF09F" w14:textId="77777777" w:rsidR="00577D08" w:rsidRDefault="00330FC0">
                <w:pPr>
                  <w:adjustRightInd w:val="0"/>
                  <w:snapToGrid w:val="0"/>
                  <w:jc w:val="center"/>
                  <w:rPr>
                    <w:sz w:val="15"/>
                    <w:szCs w:val="15"/>
                  </w:rPr>
                </w:pPr>
                <w:r>
                  <w:rPr>
                    <w:sz w:val="15"/>
                    <w:szCs w:val="15"/>
                  </w:rPr>
                  <w:t>盈余公积</w:t>
                </w:r>
              </w:p>
            </w:tc>
          </w:sdtContent>
        </w:sdt>
        <w:sdt>
          <w:sdtPr>
            <w:rPr>
              <w:sz w:val="15"/>
              <w:szCs w:val="15"/>
            </w:rPr>
            <w:tag w:val="_PLD_9b2be5c2b4a3447c85cf695b1da440fa"/>
            <w:id w:val="450981695"/>
          </w:sdtPr>
          <w:sdtContent>
            <w:tc>
              <w:tcPr>
                <w:tcW w:w="1275" w:type="dxa"/>
                <w:vMerge w:val="restart"/>
                <w:vAlign w:val="center"/>
              </w:tcPr>
              <w:p w14:paraId="62B4B7FC" w14:textId="77777777" w:rsidR="00577D08" w:rsidRDefault="00330FC0">
                <w:pPr>
                  <w:adjustRightInd w:val="0"/>
                  <w:snapToGrid w:val="0"/>
                  <w:jc w:val="center"/>
                  <w:rPr>
                    <w:sz w:val="15"/>
                    <w:szCs w:val="15"/>
                  </w:rPr>
                </w:pPr>
                <w:r>
                  <w:rPr>
                    <w:sz w:val="15"/>
                    <w:szCs w:val="15"/>
                  </w:rPr>
                  <w:t>未分配利润</w:t>
                </w:r>
              </w:p>
            </w:tc>
          </w:sdtContent>
        </w:sdt>
        <w:sdt>
          <w:sdtPr>
            <w:rPr>
              <w:sz w:val="15"/>
              <w:szCs w:val="15"/>
            </w:rPr>
            <w:tag w:val="_PLD_61dd0378fbe645dfb87cfecfbc846206"/>
            <w:id w:val="487527553"/>
          </w:sdtPr>
          <w:sdtContent>
            <w:tc>
              <w:tcPr>
                <w:tcW w:w="1378" w:type="dxa"/>
                <w:vMerge w:val="restart"/>
                <w:vAlign w:val="center"/>
              </w:tcPr>
              <w:p w14:paraId="4A032F8A" w14:textId="77777777" w:rsidR="00577D08" w:rsidRDefault="00330FC0">
                <w:pPr>
                  <w:adjustRightInd w:val="0"/>
                  <w:snapToGrid w:val="0"/>
                  <w:jc w:val="center"/>
                  <w:rPr>
                    <w:sz w:val="15"/>
                    <w:szCs w:val="15"/>
                  </w:rPr>
                </w:pPr>
                <w:r>
                  <w:rPr>
                    <w:sz w:val="15"/>
                    <w:szCs w:val="15"/>
                  </w:rPr>
                  <w:t>所有者权益合计</w:t>
                </w:r>
              </w:p>
            </w:tc>
          </w:sdtContent>
        </w:sdt>
      </w:tr>
      <w:tr w:rsidR="00577D08" w14:paraId="015A022F" w14:textId="77777777">
        <w:trPr>
          <w:trHeight w:val="294"/>
        </w:trPr>
        <w:tc>
          <w:tcPr>
            <w:tcW w:w="2450" w:type="dxa"/>
            <w:vMerge/>
            <w:vAlign w:val="center"/>
          </w:tcPr>
          <w:p w14:paraId="771E99D1" w14:textId="77777777" w:rsidR="00577D08" w:rsidRDefault="00577D08">
            <w:pPr>
              <w:adjustRightInd w:val="0"/>
              <w:snapToGrid w:val="0"/>
              <w:rPr>
                <w:sz w:val="15"/>
                <w:szCs w:val="15"/>
              </w:rPr>
            </w:pPr>
          </w:p>
        </w:tc>
        <w:tc>
          <w:tcPr>
            <w:tcW w:w="1202" w:type="dxa"/>
            <w:vMerge/>
            <w:tcBorders>
              <w:right w:val="single" w:sz="4" w:space="0" w:color="auto"/>
            </w:tcBorders>
            <w:vAlign w:val="center"/>
          </w:tcPr>
          <w:p w14:paraId="6BFFDC56" w14:textId="77777777" w:rsidR="00577D08" w:rsidRDefault="00577D08">
            <w:pPr>
              <w:adjustRightInd w:val="0"/>
              <w:snapToGrid w:val="0"/>
              <w:jc w:val="center"/>
              <w:rPr>
                <w:sz w:val="15"/>
                <w:szCs w:val="15"/>
              </w:rPr>
            </w:pPr>
          </w:p>
        </w:tc>
        <w:sdt>
          <w:sdtPr>
            <w:rPr>
              <w:sz w:val="15"/>
              <w:szCs w:val="15"/>
            </w:rPr>
            <w:tag w:val="_PLD_506dd395f17d4bea92c50a0850471ea4"/>
            <w:id w:val="-338700527"/>
          </w:sdtPr>
          <w:sdtContent>
            <w:tc>
              <w:tcPr>
                <w:tcW w:w="709" w:type="dxa"/>
                <w:tcBorders>
                  <w:top w:val="single" w:sz="4" w:space="0" w:color="auto"/>
                  <w:left w:val="single" w:sz="4" w:space="0" w:color="auto"/>
                  <w:right w:val="single" w:sz="4" w:space="0" w:color="auto"/>
                </w:tcBorders>
                <w:vAlign w:val="center"/>
              </w:tcPr>
              <w:p w14:paraId="51B4C15B" w14:textId="77777777" w:rsidR="00577D08" w:rsidRDefault="00330FC0">
                <w:pPr>
                  <w:adjustRightInd w:val="0"/>
                  <w:snapToGrid w:val="0"/>
                  <w:jc w:val="center"/>
                  <w:rPr>
                    <w:sz w:val="15"/>
                    <w:szCs w:val="15"/>
                  </w:rPr>
                </w:pPr>
                <w:r>
                  <w:rPr>
                    <w:rFonts w:hint="eastAsia"/>
                    <w:sz w:val="15"/>
                    <w:szCs w:val="15"/>
                  </w:rPr>
                  <w:t>优先股</w:t>
                </w:r>
              </w:p>
            </w:tc>
          </w:sdtContent>
        </w:sdt>
        <w:sdt>
          <w:sdtPr>
            <w:rPr>
              <w:sz w:val="15"/>
              <w:szCs w:val="15"/>
            </w:rPr>
            <w:tag w:val="_PLD_d66ebd59f659426db31ba0d488ae47d0"/>
            <w:id w:val="538716747"/>
          </w:sdtPr>
          <w:sdtContent>
            <w:tc>
              <w:tcPr>
                <w:tcW w:w="709" w:type="dxa"/>
                <w:tcBorders>
                  <w:top w:val="single" w:sz="4" w:space="0" w:color="auto"/>
                  <w:left w:val="single" w:sz="4" w:space="0" w:color="auto"/>
                  <w:right w:val="single" w:sz="4" w:space="0" w:color="auto"/>
                </w:tcBorders>
                <w:vAlign w:val="center"/>
              </w:tcPr>
              <w:p w14:paraId="1E6AB27A" w14:textId="77777777" w:rsidR="00577D08" w:rsidRDefault="00330FC0">
                <w:pPr>
                  <w:adjustRightInd w:val="0"/>
                  <w:snapToGrid w:val="0"/>
                  <w:jc w:val="center"/>
                  <w:rPr>
                    <w:sz w:val="15"/>
                    <w:szCs w:val="15"/>
                  </w:rPr>
                </w:pPr>
                <w:r>
                  <w:rPr>
                    <w:rFonts w:hint="eastAsia"/>
                    <w:sz w:val="15"/>
                    <w:szCs w:val="15"/>
                  </w:rPr>
                  <w:t>永续债</w:t>
                </w:r>
              </w:p>
            </w:tc>
          </w:sdtContent>
        </w:sdt>
        <w:sdt>
          <w:sdtPr>
            <w:rPr>
              <w:sz w:val="15"/>
              <w:szCs w:val="15"/>
            </w:rPr>
            <w:tag w:val="_PLD_997e05d9124249eeb1a10ac094efcb41"/>
            <w:id w:val="-839390852"/>
          </w:sdtPr>
          <w:sdtContent>
            <w:tc>
              <w:tcPr>
                <w:tcW w:w="425" w:type="dxa"/>
                <w:tcBorders>
                  <w:top w:val="single" w:sz="4" w:space="0" w:color="auto"/>
                  <w:left w:val="single" w:sz="4" w:space="0" w:color="auto"/>
                </w:tcBorders>
                <w:vAlign w:val="center"/>
              </w:tcPr>
              <w:p w14:paraId="7E4DB3CE" w14:textId="77777777" w:rsidR="00577D08" w:rsidRDefault="00330FC0">
                <w:pPr>
                  <w:adjustRightInd w:val="0"/>
                  <w:snapToGrid w:val="0"/>
                  <w:jc w:val="center"/>
                  <w:rPr>
                    <w:sz w:val="15"/>
                    <w:szCs w:val="15"/>
                  </w:rPr>
                </w:pPr>
                <w:r>
                  <w:rPr>
                    <w:rFonts w:hint="eastAsia"/>
                    <w:sz w:val="15"/>
                    <w:szCs w:val="15"/>
                  </w:rPr>
                  <w:t>其他</w:t>
                </w:r>
              </w:p>
            </w:tc>
          </w:sdtContent>
        </w:sdt>
        <w:tc>
          <w:tcPr>
            <w:tcW w:w="1276" w:type="dxa"/>
            <w:vMerge/>
            <w:vAlign w:val="center"/>
          </w:tcPr>
          <w:p w14:paraId="05F7DC9A" w14:textId="77777777" w:rsidR="00577D08" w:rsidRDefault="00577D08">
            <w:pPr>
              <w:adjustRightInd w:val="0"/>
              <w:snapToGrid w:val="0"/>
              <w:jc w:val="center"/>
              <w:rPr>
                <w:sz w:val="15"/>
                <w:szCs w:val="15"/>
              </w:rPr>
            </w:pPr>
          </w:p>
        </w:tc>
        <w:tc>
          <w:tcPr>
            <w:tcW w:w="1134" w:type="dxa"/>
            <w:vMerge/>
            <w:vAlign w:val="center"/>
          </w:tcPr>
          <w:p w14:paraId="10D6AFAE" w14:textId="77777777" w:rsidR="00577D08" w:rsidRDefault="00577D08">
            <w:pPr>
              <w:adjustRightInd w:val="0"/>
              <w:snapToGrid w:val="0"/>
              <w:jc w:val="center"/>
              <w:rPr>
                <w:sz w:val="15"/>
                <w:szCs w:val="15"/>
              </w:rPr>
            </w:pPr>
          </w:p>
        </w:tc>
        <w:tc>
          <w:tcPr>
            <w:tcW w:w="992" w:type="dxa"/>
            <w:vMerge/>
            <w:vAlign w:val="center"/>
          </w:tcPr>
          <w:p w14:paraId="171E4E60" w14:textId="77777777" w:rsidR="00577D08" w:rsidRDefault="00577D08">
            <w:pPr>
              <w:jc w:val="center"/>
              <w:rPr>
                <w:sz w:val="15"/>
                <w:szCs w:val="15"/>
              </w:rPr>
            </w:pPr>
          </w:p>
        </w:tc>
        <w:tc>
          <w:tcPr>
            <w:tcW w:w="1134" w:type="dxa"/>
            <w:vMerge/>
            <w:vAlign w:val="center"/>
          </w:tcPr>
          <w:p w14:paraId="00B17A24" w14:textId="77777777" w:rsidR="00577D08" w:rsidRDefault="00577D08">
            <w:pPr>
              <w:adjustRightInd w:val="0"/>
              <w:snapToGrid w:val="0"/>
              <w:jc w:val="center"/>
              <w:rPr>
                <w:sz w:val="15"/>
                <w:szCs w:val="15"/>
              </w:rPr>
            </w:pPr>
          </w:p>
        </w:tc>
        <w:tc>
          <w:tcPr>
            <w:tcW w:w="1276" w:type="dxa"/>
            <w:vMerge/>
            <w:vAlign w:val="center"/>
          </w:tcPr>
          <w:p w14:paraId="33A77293" w14:textId="77777777" w:rsidR="00577D08" w:rsidRDefault="00577D08">
            <w:pPr>
              <w:adjustRightInd w:val="0"/>
              <w:snapToGrid w:val="0"/>
              <w:jc w:val="center"/>
              <w:rPr>
                <w:sz w:val="15"/>
                <w:szCs w:val="15"/>
              </w:rPr>
            </w:pPr>
          </w:p>
        </w:tc>
        <w:tc>
          <w:tcPr>
            <w:tcW w:w="1275" w:type="dxa"/>
            <w:vMerge/>
            <w:vAlign w:val="center"/>
          </w:tcPr>
          <w:p w14:paraId="39E32D6C" w14:textId="77777777" w:rsidR="00577D08" w:rsidRDefault="00577D08">
            <w:pPr>
              <w:adjustRightInd w:val="0"/>
              <w:snapToGrid w:val="0"/>
              <w:jc w:val="center"/>
              <w:rPr>
                <w:sz w:val="15"/>
                <w:szCs w:val="15"/>
              </w:rPr>
            </w:pPr>
          </w:p>
        </w:tc>
        <w:tc>
          <w:tcPr>
            <w:tcW w:w="1378" w:type="dxa"/>
            <w:vMerge/>
            <w:vAlign w:val="center"/>
          </w:tcPr>
          <w:p w14:paraId="5B525A2B" w14:textId="77777777" w:rsidR="00577D08" w:rsidRDefault="00577D08">
            <w:pPr>
              <w:adjustRightInd w:val="0"/>
              <w:snapToGrid w:val="0"/>
              <w:jc w:val="center"/>
              <w:rPr>
                <w:sz w:val="15"/>
                <w:szCs w:val="15"/>
              </w:rPr>
            </w:pPr>
          </w:p>
        </w:tc>
      </w:tr>
      <w:tr w:rsidR="00577D08" w14:paraId="6169C93C" w14:textId="77777777">
        <w:trPr>
          <w:trHeight w:val="20"/>
        </w:trPr>
        <w:sdt>
          <w:sdtPr>
            <w:rPr>
              <w:sz w:val="15"/>
              <w:szCs w:val="15"/>
            </w:rPr>
            <w:tag w:val="_PLD_08f8c5f19f2b42f7ae650f62c6878570"/>
            <w:id w:val="-1258743375"/>
          </w:sdtPr>
          <w:sdtContent>
            <w:tc>
              <w:tcPr>
                <w:tcW w:w="2450" w:type="dxa"/>
                <w:vAlign w:val="center"/>
              </w:tcPr>
              <w:p w14:paraId="75128163" w14:textId="77777777" w:rsidR="00577D08" w:rsidRDefault="00330FC0">
                <w:pPr>
                  <w:rPr>
                    <w:sz w:val="15"/>
                    <w:szCs w:val="15"/>
                  </w:rPr>
                </w:pPr>
                <w:r>
                  <w:rPr>
                    <w:sz w:val="15"/>
                    <w:szCs w:val="15"/>
                  </w:rPr>
                  <w:t>一、上年</w:t>
                </w:r>
                <w:r>
                  <w:rPr>
                    <w:rFonts w:hint="eastAsia"/>
                    <w:sz w:val="15"/>
                    <w:szCs w:val="15"/>
                  </w:rPr>
                  <w:t>年</w:t>
                </w:r>
                <w:r>
                  <w:rPr>
                    <w:sz w:val="15"/>
                    <w:szCs w:val="15"/>
                  </w:rPr>
                  <w:t>末余额</w:t>
                </w:r>
              </w:p>
            </w:tc>
          </w:sdtContent>
        </w:sdt>
        <w:tc>
          <w:tcPr>
            <w:tcW w:w="1202" w:type="dxa"/>
            <w:tcBorders>
              <w:right w:val="single" w:sz="4" w:space="0" w:color="auto"/>
            </w:tcBorders>
            <w:vAlign w:val="center"/>
          </w:tcPr>
          <w:p w14:paraId="61FABBA2" w14:textId="77777777" w:rsidR="00577D08" w:rsidRDefault="00330FC0">
            <w:pPr>
              <w:jc w:val="right"/>
              <w:rPr>
                <w:sz w:val="15"/>
                <w:szCs w:val="15"/>
              </w:rPr>
            </w:pPr>
            <w:r>
              <w:rPr>
                <w:sz w:val="15"/>
                <w:szCs w:val="15"/>
              </w:rPr>
              <w:t>333,167,407.00</w:t>
            </w:r>
          </w:p>
        </w:tc>
        <w:tc>
          <w:tcPr>
            <w:tcW w:w="709" w:type="dxa"/>
            <w:tcBorders>
              <w:left w:val="single" w:sz="4" w:space="0" w:color="auto"/>
              <w:right w:val="single" w:sz="4" w:space="0" w:color="auto"/>
            </w:tcBorders>
            <w:vAlign w:val="center"/>
          </w:tcPr>
          <w:p w14:paraId="6AFD273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CD6625E" w14:textId="77777777" w:rsidR="00577D08" w:rsidRDefault="00577D08">
            <w:pPr>
              <w:jc w:val="right"/>
              <w:rPr>
                <w:sz w:val="15"/>
                <w:szCs w:val="15"/>
              </w:rPr>
            </w:pPr>
          </w:p>
        </w:tc>
        <w:tc>
          <w:tcPr>
            <w:tcW w:w="425" w:type="dxa"/>
            <w:tcBorders>
              <w:left w:val="single" w:sz="4" w:space="0" w:color="auto"/>
              <w:right w:val="single" w:sz="4" w:space="0" w:color="auto"/>
            </w:tcBorders>
            <w:vAlign w:val="center"/>
          </w:tcPr>
          <w:p w14:paraId="17886D84" w14:textId="77777777" w:rsidR="00577D08" w:rsidRDefault="00577D08">
            <w:pPr>
              <w:jc w:val="right"/>
              <w:rPr>
                <w:sz w:val="15"/>
                <w:szCs w:val="15"/>
              </w:rPr>
            </w:pPr>
          </w:p>
        </w:tc>
        <w:tc>
          <w:tcPr>
            <w:tcW w:w="1276" w:type="dxa"/>
            <w:tcBorders>
              <w:left w:val="single" w:sz="4" w:space="0" w:color="auto"/>
            </w:tcBorders>
            <w:vAlign w:val="center"/>
          </w:tcPr>
          <w:p w14:paraId="67DE31B9" w14:textId="77777777" w:rsidR="00577D08" w:rsidRDefault="00330FC0">
            <w:pPr>
              <w:jc w:val="right"/>
              <w:rPr>
                <w:sz w:val="15"/>
                <w:szCs w:val="15"/>
              </w:rPr>
            </w:pPr>
            <w:r>
              <w:rPr>
                <w:sz w:val="15"/>
                <w:szCs w:val="15"/>
              </w:rPr>
              <w:t>969,891,813.86</w:t>
            </w:r>
          </w:p>
        </w:tc>
        <w:tc>
          <w:tcPr>
            <w:tcW w:w="1134" w:type="dxa"/>
            <w:vAlign w:val="center"/>
          </w:tcPr>
          <w:p w14:paraId="52267F11" w14:textId="77777777" w:rsidR="00577D08" w:rsidRDefault="00330FC0">
            <w:pPr>
              <w:jc w:val="right"/>
              <w:rPr>
                <w:sz w:val="15"/>
                <w:szCs w:val="15"/>
              </w:rPr>
            </w:pPr>
            <w:r>
              <w:rPr>
                <w:sz w:val="15"/>
                <w:szCs w:val="15"/>
              </w:rPr>
              <w:t>30,893,741.28</w:t>
            </w:r>
          </w:p>
        </w:tc>
        <w:tc>
          <w:tcPr>
            <w:tcW w:w="992" w:type="dxa"/>
            <w:vAlign w:val="center"/>
          </w:tcPr>
          <w:p w14:paraId="29E5887E" w14:textId="77777777" w:rsidR="00577D08" w:rsidRDefault="00577D08">
            <w:pPr>
              <w:jc w:val="right"/>
              <w:rPr>
                <w:sz w:val="15"/>
                <w:szCs w:val="15"/>
              </w:rPr>
            </w:pPr>
          </w:p>
        </w:tc>
        <w:tc>
          <w:tcPr>
            <w:tcW w:w="1134" w:type="dxa"/>
            <w:vAlign w:val="center"/>
          </w:tcPr>
          <w:p w14:paraId="65B21107" w14:textId="77777777" w:rsidR="00577D08" w:rsidRDefault="00330FC0">
            <w:pPr>
              <w:jc w:val="right"/>
              <w:rPr>
                <w:sz w:val="15"/>
                <w:szCs w:val="15"/>
              </w:rPr>
            </w:pPr>
            <w:r>
              <w:rPr>
                <w:sz w:val="15"/>
                <w:szCs w:val="15"/>
              </w:rPr>
              <w:t>19,302,441.84</w:t>
            </w:r>
          </w:p>
        </w:tc>
        <w:tc>
          <w:tcPr>
            <w:tcW w:w="1276" w:type="dxa"/>
            <w:vAlign w:val="center"/>
          </w:tcPr>
          <w:p w14:paraId="7B442FC7" w14:textId="77777777" w:rsidR="00577D08" w:rsidRDefault="00330FC0">
            <w:pPr>
              <w:jc w:val="right"/>
              <w:rPr>
                <w:sz w:val="15"/>
                <w:szCs w:val="15"/>
              </w:rPr>
            </w:pPr>
            <w:r>
              <w:rPr>
                <w:sz w:val="15"/>
                <w:szCs w:val="15"/>
              </w:rPr>
              <w:t>121,494,338.37</w:t>
            </w:r>
          </w:p>
        </w:tc>
        <w:tc>
          <w:tcPr>
            <w:tcW w:w="1275" w:type="dxa"/>
            <w:vAlign w:val="center"/>
          </w:tcPr>
          <w:p w14:paraId="01E9D743" w14:textId="77777777" w:rsidR="00577D08" w:rsidRDefault="00330FC0">
            <w:pPr>
              <w:jc w:val="right"/>
              <w:rPr>
                <w:sz w:val="15"/>
                <w:szCs w:val="15"/>
              </w:rPr>
            </w:pPr>
            <w:r>
              <w:rPr>
                <w:sz w:val="15"/>
                <w:szCs w:val="15"/>
              </w:rPr>
              <w:t>982,926,914.80</w:t>
            </w:r>
          </w:p>
        </w:tc>
        <w:tc>
          <w:tcPr>
            <w:tcW w:w="1378" w:type="dxa"/>
            <w:vAlign w:val="center"/>
          </w:tcPr>
          <w:p w14:paraId="02F3E376" w14:textId="77777777" w:rsidR="00577D08" w:rsidRDefault="00330FC0">
            <w:pPr>
              <w:jc w:val="right"/>
              <w:rPr>
                <w:sz w:val="15"/>
                <w:szCs w:val="15"/>
              </w:rPr>
            </w:pPr>
            <w:r>
              <w:rPr>
                <w:sz w:val="15"/>
                <w:szCs w:val="15"/>
              </w:rPr>
              <w:t>2,395,889,174.59</w:t>
            </w:r>
          </w:p>
        </w:tc>
      </w:tr>
      <w:tr w:rsidR="00577D08" w14:paraId="4B25D6A3" w14:textId="77777777">
        <w:trPr>
          <w:trHeight w:val="20"/>
        </w:trPr>
        <w:sdt>
          <w:sdtPr>
            <w:rPr>
              <w:sz w:val="15"/>
              <w:szCs w:val="15"/>
            </w:rPr>
            <w:tag w:val="_PLD_f977aa291b254801929edbd8e09eff6f"/>
            <w:id w:val="-431900547"/>
          </w:sdtPr>
          <w:sdtContent>
            <w:tc>
              <w:tcPr>
                <w:tcW w:w="2450" w:type="dxa"/>
                <w:vAlign w:val="center"/>
              </w:tcPr>
              <w:p w14:paraId="3259E972" w14:textId="77777777" w:rsidR="00577D08" w:rsidRDefault="00330FC0">
                <w:pPr>
                  <w:rPr>
                    <w:sz w:val="15"/>
                    <w:szCs w:val="15"/>
                  </w:rPr>
                </w:pPr>
                <w:r>
                  <w:rPr>
                    <w:sz w:val="15"/>
                    <w:szCs w:val="15"/>
                  </w:rPr>
                  <w:t>加：会计政策变更</w:t>
                </w:r>
              </w:p>
            </w:tc>
          </w:sdtContent>
        </w:sdt>
        <w:tc>
          <w:tcPr>
            <w:tcW w:w="1202" w:type="dxa"/>
            <w:tcBorders>
              <w:right w:val="single" w:sz="4" w:space="0" w:color="auto"/>
            </w:tcBorders>
            <w:vAlign w:val="center"/>
          </w:tcPr>
          <w:p w14:paraId="3E5D86C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507EA9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BBE7C97" w14:textId="77777777" w:rsidR="00577D08" w:rsidRDefault="00577D08">
            <w:pPr>
              <w:jc w:val="right"/>
              <w:rPr>
                <w:sz w:val="15"/>
                <w:szCs w:val="15"/>
              </w:rPr>
            </w:pPr>
          </w:p>
        </w:tc>
        <w:tc>
          <w:tcPr>
            <w:tcW w:w="425" w:type="dxa"/>
            <w:tcBorders>
              <w:left w:val="single" w:sz="4" w:space="0" w:color="auto"/>
              <w:right w:val="single" w:sz="4" w:space="0" w:color="auto"/>
            </w:tcBorders>
            <w:vAlign w:val="center"/>
          </w:tcPr>
          <w:p w14:paraId="15BE8460" w14:textId="77777777" w:rsidR="00577D08" w:rsidRDefault="00577D08">
            <w:pPr>
              <w:jc w:val="right"/>
              <w:rPr>
                <w:sz w:val="15"/>
                <w:szCs w:val="15"/>
              </w:rPr>
            </w:pPr>
          </w:p>
        </w:tc>
        <w:tc>
          <w:tcPr>
            <w:tcW w:w="1276" w:type="dxa"/>
            <w:tcBorders>
              <w:left w:val="single" w:sz="4" w:space="0" w:color="auto"/>
            </w:tcBorders>
            <w:vAlign w:val="center"/>
          </w:tcPr>
          <w:p w14:paraId="48E91058" w14:textId="77777777" w:rsidR="00577D08" w:rsidRDefault="00577D08">
            <w:pPr>
              <w:jc w:val="right"/>
              <w:rPr>
                <w:sz w:val="15"/>
                <w:szCs w:val="15"/>
              </w:rPr>
            </w:pPr>
          </w:p>
        </w:tc>
        <w:tc>
          <w:tcPr>
            <w:tcW w:w="1134" w:type="dxa"/>
            <w:vAlign w:val="center"/>
          </w:tcPr>
          <w:p w14:paraId="3024E606" w14:textId="77777777" w:rsidR="00577D08" w:rsidRDefault="00577D08">
            <w:pPr>
              <w:jc w:val="right"/>
              <w:rPr>
                <w:sz w:val="15"/>
                <w:szCs w:val="15"/>
              </w:rPr>
            </w:pPr>
          </w:p>
        </w:tc>
        <w:tc>
          <w:tcPr>
            <w:tcW w:w="992" w:type="dxa"/>
            <w:vAlign w:val="center"/>
          </w:tcPr>
          <w:p w14:paraId="129936CB" w14:textId="77777777" w:rsidR="00577D08" w:rsidRDefault="00577D08">
            <w:pPr>
              <w:jc w:val="right"/>
              <w:rPr>
                <w:sz w:val="15"/>
                <w:szCs w:val="15"/>
              </w:rPr>
            </w:pPr>
          </w:p>
        </w:tc>
        <w:tc>
          <w:tcPr>
            <w:tcW w:w="1134" w:type="dxa"/>
            <w:vAlign w:val="center"/>
          </w:tcPr>
          <w:p w14:paraId="1AD7CF95" w14:textId="77777777" w:rsidR="00577D08" w:rsidRDefault="00577D08">
            <w:pPr>
              <w:jc w:val="right"/>
              <w:rPr>
                <w:sz w:val="15"/>
                <w:szCs w:val="15"/>
              </w:rPr>
            </w:pPr>
          </w:p>
        </w:tc>
        <w:tc>
          <w:tcPr>
            <w:tcW w:w="1276" w:type="dxa"/>
            <w:vAlign w:val="center"/>
          </w:tcPr>
          <w:p w14:paraId="644345B1" w14:textId="77777777" w:rsidR="00577D08" w:rsidRDefault="00577D08">
            <w:pPr>
              <w:jc w:val="right"/>
              <w:rPr>
                <w:sz w:val="15"/>
                <w:szCs w:val="15"/>
              </w:rPr>
            </w:pPr>
          </w:p>
        </w:tc>
        <w:tc>
          <w:tcPr>
            <w:tcW w:w="1275" w:type="dxa"/>
            <w:vAlign w:val="center"/>
          </w:tcPr>
          <w:p w14:paraId="03D58AD8" w14:textId="77777777" w:rsidR="00577D08" w:rsidRDefault="00577D08">
            <w:pPr>
              <w:jc w:val="right"/>
              <w:rPr>
                <w:sz w:val="15"/>
                <w:szCs w:val="15"/>
              </w:rPr>
            </w:pPr>
          </w:p>
        </w:tc>
        <w:tc>
          <w:tcPr>
            <w:tcW w:w="1378" w:type="dxa"/>
            <w:vAlign w:val="center"/>
          </w:tcPr>
          <w:p w14:paraId="323C3764" w14:textId="77777777" w:rsidR="00577D08" w:rsidRDefault="00577D08">
            <w:pPr>
              <w:jc w:val="right"/>
              <w:rPr>
                <w:sz w:val="15"/>
                <w:szCs w:val="15"/>
              </w:rPr>
            </w:pPr>
          </w:p>
        </w:tc>
      </w:tr>
      <w:tr w:rsidR="00577D08" w14:paraId="593631F5" w14:textId="77777777">
        <w:trPr>
          <w:trHeight w:val="20"/>
        </w:trPr>
        <w:sdt>
          <w:sdtPr>
            <w:rPr>
              <w:sz w:val="15"/>
              <w:szCs w:val="15"/>
            </w:rPr>
            <w:tag w:val="_PLD_1dcd3d26f66745c0b48a5fac832ef867"/>
            <w:id w:val="146642476"/>
          </w:sdtPr>
          <w:sdtContent>
            <w:tc>
              <w:tcPr>
                <w:tcW w:w="2450" w:type="dxa"/>
                <w:vAlign w:val="center"/>
              </w:tcPr>
              <w:p w14:paraId="05A806DB" w14:textId="77777777" w:rsidR="00577D08" w:rsidRDefault="00330FC0">
                <w:pPr>
                  <w:ind w:firstLineChars="200" w:firstLine="300"/>
                  <w:rPr>
                    <w:sz w:val="15"/>
                    <w:szCs w:val="15"/>
                  </w:rPr>
                </w:pPr>
                <w:r>
                  <w:rPr>
                    <w:sz w:val="15"/>
                    <w:szCs w:val="15"/>
                  </w:rPr>
                  <w:t>前期差错更正</w:t>
                </w:r>
              </w:p>
            </w:tc>
          </w:sdtContent>
        </w:sdt>
        <w:tc>
          <w:tcPr>
            <w:tcW w:w="1202" w:type="dxa"/>
            <w:tcBorders>
              <w:right w:val="single" w:sz="4" w:space="0" w:color="auto"/>
            </w:tcBorders>
            <w:vAlign w:val="center"/>
          </w:tcPr>
          <w:p w14:paraId="1A1BB8A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487C83E"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819C9BD" w14:textId="77777777" w:rsidR="00577D08" w:rsidRDefault="00577D08">
            <w:pPr>
              <w:jc w:val="right"/>
              <w:rPr>
                <w:sz w:val="15"/>
                <w:szCs w:val="15"/>
              </w:rPr>
            </w:pPr>
          </w:p>
        </w:tc>
        <w:tc>
          <w:tcPr>
            <w:tcW w:w="425" w:type="dxa"/>
            <w:tcBorders>
              <w:left w:val="single" w:sz="4" w:space="0" w:color="auto"/>
              <w:right w:val="single" w:sz="4" w:space="0" w:color="auto"/>
            </w:tcBorders>
            <w:vAlign w:val="center"/>
          </w:tcPr>
          <w:p w14:paraId="705D41FB" w14:textId="77777777" w:rsidR="00577D08" w:rsidRDefault="00577D08">
            <w:pPr>
              <w:jc w:val="right"/>
              <w:rPr>
                <w:sz w:val="15"/>
                <w:szCs w:val="15"/>
              </w:rPr>
            </w:pPr>
          </w:p>
        </w:tc>
        <w:tc>
          <w:tcPr>
            <w:tcW w:w="1276" w:type="dxa"/>
            <w:tcBorders>
              <w:left w:val="single" w:sz="4" w:space="0" w:color="auto"/>
            </w:tcBorders>
            <w:vAlign w:val="center"/>
          </w:tcPr>
          <w:p w14:paraId="44B930B8" w14:textId="77777777" w:rsidR="00577D08" w:rsidRDefault="00577D08">
            <w:pPr>
              <w:jc w:val="right"/>
              <w:rPr>
                <w:sz w:val="15"/>
                <w:szCs w:val="15"/>
              </w:rPr>
            </w:pPr>
          </w:p>
        </w:tc>
        <w:tc>
          <w:tcPr>
            <w:tcW w:w="1134" w:type="dxa"/>
            <w:vAlign w:val="center"/>
          </w:tcPr>
          <w:p w14:paraId="0F8EEA79" w14:textId="77777777" w:rsidR="00577D08" w:rsidRDefault="00577D08">
            <w:pPr>
              <w:jc w:val="right"/>
              <w:rPr>
                <w:sz w:val="15"/>
                <w:szCs w:val="15"/>
              </w:rPr>
            </w:pPr>
          </w:p>
        </w:tc>
        <w:tc>
          <w:tcPr>
            <w:tcW w:w="992" w:type="dxa"/>
            <w:vAlign w:val="center"/>
          </w:tcPr>
          <w:p w14:paraId="78C5DF72" w14:textId="77777777" w:rsidR="00577D08" w:rsidRDefault="00577D08">
            <w:pPr>
              <w:jc w:val="right"/>
              <w:rPr>
                <w:sz w:val="15"/>
                <w:szCs w:val="15"/>
              </w:rPr>
            </w:pPr>
          </w:p>
        </w:tc>
        <w:tc>
          <w:tcPr>
            <w:tcW w:w="1134" w:type="dxa"/>
            <w:vAlign w:val="center"/>
          </w:tcPr>
          <w:p w14:paraId="5A1A2128" w14:textId="77777777" w:rsidR="00577D08" w:rsidRDefault="00577D08">
            <w:pPr>
              <w:jc w:val="right"/>
              <w:rPr>
                <w:sz w:val="15"/>
                <w:szCs w:val="15"/>
              </w:rPr>
            </w:pPr>
          </w:p>
        </w:tc>
        <w:tc>
          <w:tcPr>
            <w:tcW w:w="1276" w:type="dxa"/>
            <w:vAlign w:val="center"/>
          </w:tcPr>
          <w:p w14:paraId="3776E867" w14:textId="77777777" w:rsidR="00577D08" w:rsidRDefault="00577D08">
            <w:pPr>
              <w:jc w:val="right"/>
              <w:rPr>
                <w:sz w:val="15"/>
                <w:szCs w:val="15"/>
              </w:rPr>
            </w:pPr>
          </w:p>
        </w:tc>
        <w:tc>
          <w:tcPr>
            <w:tcW w:w="1275" w:type="dxa"/>
            <w:vAlign w:val="center"/>
          </w:tcPr>
          <w:p w14:paraId="67BE8E55" w14:textId="77777777" w:rsidR="00577D08" w:rsidRDefault="00577D08">
            <w:pPr>
              <w:jc w:val="right"/>
              <w:rPr>
                <w:sz w:val="15"/>
                <w:szCs w:val="15"/>
              </w:rPr>
            </w:pPr>
          </w:p>
        </w:tc>
        <w:tc>
          <w:tcPr>
            <w:tcW w:w="1378" w:type="dxa"/>
            <w:vAlign w:val="center"/>
          </w:tcPr>
          <w:p w14:paraId="146747B2" w14:textId="77777777" w:rsidR="00577D08" w:rsidRDefault="00577D08">
            <w:pPr>
              <w:jc w:val="right"/>
              <w:rPr>
                <w:sz w:val="15"/>
                <w:szCs w:val="15"/>
              </w:rPr>
            </w:pPr>
          </w:p>
        </w:tc>
      </w:tr>
      <w:tr w:rsidR="00577D08" w14:paraId="7D953846" w14:textId="77777777">
        <w:trPr>
          <w:trHeight w:val="20"/>
        </w:trPr>
        <w:sdt>
          <w:sdtPr>
            <w:rPr>
              <w:sz w:val="15"/>
              <w:szCs w:val="15"/>
            </w:rPr>
            <w:tag w:val="_PLD_1e1d4d884e6e401b8c40d08e9d6c5d32"/>
            <w:id w:val="1973091077"/>
          </w:sdtPr>
          <w:sdtContent>
            <w:tc>
              <w:tcPr>
                <w:tcW w:w="2450" w:type="dxa"/>
                <w:vAlign w:val="center"/>
              </w:tcPr>
              <w:p w14:paraId="0F2769FC" w14:textId="77777777" w:rsidR="00577D08" w:rsidRDefault="00330FC0">
                <w:pPr>
                  <w:ind w:firstLineChars="200" w:firstLine="300"/>
                  <w:rPr>
                    <w:sz w:val="15"/>
                    <w:szCs w:val="15"/>
                  </w:rPr>
                </w:pPr>
                <w:r>
                  <w:rPr>
                    <w:rFonts w:hint="eastAsia"/>
                    <w:sz w:val="15"/>
                    <w:szCs w:val="15"/>
                  </w:rPr>
                  <w:t>其他</w:t>
                </w:r>
              </w:p>
            </w:tc>
          </w:sdtContent>
        </w:sdt>
        <w:tc>
          <w:tcPr>
            <w:tcW w:w="1202" w:type="dxa"/>
            <w:tcBorders>
              <w:right w:val="single" w:sz="4" w:space="0" w:color="auto"/>
            </w:tcBorders>
            <w:vAlign w:val="center"/>
          </w:tcPr>
          <w:p w14:paraId="7619A43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0BCB5C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29591BD" w14:textId="77777777" w:rsidR="00577D08" w:rsidRDefault="00577D08">
            <w:pPr>
              <w:jc w:val="right"/>
              <w:rPr>
                <w:sz w:val="15"/>
                <w:szCs w:val="15"/>
              </w:rPr>
            </w:pPr>
          </w:p>
        </w:tc>
        <w:tc>
          <w:tcPr>
            <w:tcW w:w="425" w:type="dxa"/>
            <w:tcBorders>
              <w:left w:val="single" w:sz="4" w:space="0" w:color="auto"/>
              <w:right w:val="single" w:sz="4" w:space="0" w:color="auto"/>
            </w:tcBorders>
            <w:vAlign w:val="center"/>
          </w:tcPr>
          <w:p w14:paraId="6F04FDB0" w14:textId="77777777" w:rsidR="00577D08" w:rsidRDefault="00577D08">
            <w:pPr>
              <w:jc w:val="right"/>
              <w:rPr>
                <w:sz w:val="15"/>
                <w:szCs w:val="15"/>
              </w:rPr>
            </w:pPr>
          </w:p>
        </w:tc>
        <w:tc>
          <w:tcPr>
            <w:tcW w:w="1276" w:type="dxa"/>
            <w:tcBorders>
              <w:left w:val="single" w:sz="4" w:space="0" w:color="auto"/>
            </w:tcBorders>
            <w:vAlign w:val="center"/>
          </w:tcPr>
          <w:p w14:paraId="2D8536DC" w14:textId="77777777" w:rsidR="00577D08" w:rsidRDefault="00577D08">
            <w:pPr>
              <w:jc w:val="right"/>
              <w:rPr>
                <w:sz w:val="15"/>
                <w:szCs w:val="15"/>
              </w:rPr>
            </w:pPr>
          </w:p>
        </w:tc>
        <w:tc>
          <w:tcPr>
            <w:tcW w:w="1134" w:type="dxa"/>
            <w:vAlign w:val="center"/>
          </w:tcPr>
          <w:p w14:paraId="6A965B61" w14:textId="77777777" w:rsidR="00577D08" w:rsidRDefault="00577D08">
            <w:pPr>
              <w:jc w:val="right"/>
              <w:rPr>
                <w:sz w:val="15"/>
                <w:szCs w:val="15"/>
              </w:rPr>
            </w:pPr>
          </w:p>
        </w:tc>
        <w:tc>
          <w:tcPr>
            <w:tcW w:w="992" w:type="dxa"/>
            <w:vAlign w:val="center"/>
          </w:tcPr>
          <w:p w14:paraId="253C80B1" w14:textId="77777777" w:rsidR="00577D08" w:rsidRDefault="00577D08">
            <w:pPr>
              <w:jc w:val="right"/>
              <w:rPr>
                <w:sz w:val="15"/>
                <w:szCs w:val="15"/>
              </w:rPr>
            </w:pPr>
          </w:p>
        </w:tc>
        <w:tc>
          <w:tcPr>
            <w:tcW w:w="1134" w:type="dxa"/>
            <w:vAlign w:val="center"/>
          </w:tcPr>
          <w:p w14:paraId="1D21C1B9" w14:textId="77777777" w:rsidR="00577D08" w:rsidRDefault="00577D08">
            <w:pPr>
              <w:jc w:val="right"/>
              <w:rPr>
                <w:sz w:val="15"/>
                <w:szCs w:val="15"/>
              </w:rPr>
            </w:pPr>
          </w:p>
        </w:tc>
        <w:tc>
          <w:tcPr>
            <w:tcW w:w="1276" w:type="dxa"/>
            <w:vAlign w:val="center"/>
          </w:tcPr>
          <w:p w14:paraId="33118B42" w14:textId="77777777" w:rsidR="00577D08" w:rsidRDefault="00577D08">
            <w:pPr>
              <w:jc w:val="right"/>
              <w:rPr>
                <w:sz w:val="15"/>
                <w:szCs w:val="15"/>
              </w:rPr>
            </w:pPr>
          </w:p>
        </w:tc>
        <w:tc>
          <w:tcPr>
            <w:tcW w:w="1275" w:type="dxa"/>
            <w:vAlign w:val="center"/>
          </w:tcPr>
          <w:p w14:paraId="43182D88" w14:textId="77777777" w:rsidR="00577D08" w:rsidRDefault="00577D08">
            <w:pPr>
              <w:jc w:val="right"/>
              <w:rPr>
                <w:sz w:val="15"/>
                <w:szCs w:val="15"/>
              </w:rPr>
            </w:pPr>
          </w:p>
        </w:tc>
        <w:tc>
          <w:tcPr>
            <w:tcW w:w="1378" w:type="dxa"/>
            <w:vAlign w:val="center"/>
          </w:tcPr>
          <w:p w14:paraId="119789FC" w14:textId="77777777" w:rsidR="00577D08" w:rsidRDefault="00577D08">
            <w:pPr>
              <w:jc w:val="right"/>
              <w:rPr>
                <w:sz w:val="15"/>
                <w:szCs w:val="15"/>
              </w:rPr>
            </w:pPr>
          </w:p>
        </w:tc>
      </w:tr>
      <w:tr w:rsidR="00577D08" w14:paraId="19353F48" w14:textId="77777777">
        <w:trPr>
          <w:trHeight w:val="20"/>
        </w:trPr>
        <w:sdt>
          <w:sdtPr>
            <w:rPr>
              <w:sz w:val="15"/>
              <w:szCs w:val="15"/>
            </w:rPr>
            <w:tag w:val="_PLD_abc6effbbaad4f92a93b112da199425f"/>
            <w:id w:val="1384674235"/>
          </w:sdtPr>
          <w:sdtContent>
            <w:tc>
              <w:tcPr>
                <w:tcW w:w="2450" w:type="dxa"/>
                <w:vAlign w:val="center"/>
              </w:tcPr>
              <w:p w14:paraId="609CCA51" w14:textId="77777777" w:rsidR="00577D08" w:rsidRDefault="00330FC0">
                <w:pPr>
                  <w:rPr>
                    <w:sz w:val="15"/>
                    <w:szCs w:val="15"/>
                  </w:rPr>
                </w:pPr>
                <w:r>
                  <w:rPr>
                    <w:sz w:val="15"/>
                    <w:szCs w:val="15"/>
                  </w:rPr>
                  <w:t>二、本年</w:t>
                </w:r>
                <w:r>
                  <w:rPr>
                    <w:rFonts w:hint="eastAsia"/>
                    <w:sz w:val="15"/>
                    <w:szCs w:val="15"/>
                  </w:rPr>
                  <w:t>期</w:t>
                </w:r>
                <w:r>
                  <w:rPr>
                    <w:sz w:val="15"/>
                    <w:szCs w:val="15"/>
                  </w:rPr>
                  <w:t>初余额</w:t>
                </w:r>
              </w:p>
            </w:tc>
          </w:sdtContent>
        </w:sdt>
        <w:tc>
          <w:tcPr>
            <w:tcW w:w="1202" w:type="dxa"/>
            <w:tcBorders>
              <w:right w:val="single" w:sz="4" w:space="0" w:color="auto"/>
            </w:tcBorders>
            <w:vAlign w:val="center"/>
          </w:tcPr>
          <w:p w14:paraId="7A0A6D0C" w14:textId="77777777" w:rsidR="00577D08" w:rsidRDefault="00330FC0">
            <w:pPr>
              <w:jc w:val="right"/>
              <w:rPr>
                <w:sz w:val="15"/>
                <w:szCs w:val="15"/>
              </w:rPr>
            </w:pPr>
            <w:r>
              <w:rPr>
                <w:sz w:val="15"/>
                <w:szCs w:val="15"/>
              </w:rPr>
              <w:t>333,167,407.00</w:t>
            </w:r>
          </w:p>
        </w:tc>
        <w:tc>
          <w:tcPr>
            <w:tcW w:w="709" w:type="dxa"/>
            <w:tcBorders>
              <w:left w:val="single" w:sz="4" w:space="0" w:color="auto"/>
              <w:right w:val="single" w:sz="4" w:space="0" w:color="auto"/>
            </w:tcBorders>
            <w:vAlign w:val="center"/>
          </w:tcPr>
          <w:p w14:paraId="7D066D93"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AA6A94B" w14:textId="77777777" w:rsidR="00577D08" w:rsidRDefault="00577D08">
            <w:pPr>
              <w:jc w:val="right"/>
              <w:rPr>
                <w:sz w:val="15"/>
                <w:szCs w:val="15"/>
              </w:rPr>
            </w:pPr>
          </w:p>
        </w:tc>
        <w:tc>
          <w:tcPr>
            <w:tcW w:w="425" w:type="dxa"/>
            <w:tcBorders>
              <w:left w:val="single" w:sz="4" w:space="0" w:color="auto"/>
              <w:right w:val="single" w:sz="4" w:space="0" w:color="auto"/>
            </w:tcBorders>
            <w:vAlign w:val="center"/>
          </w:tcPr>
          <w:p w14:paraId="66B99D0D" w14:textId="77777777" w:rsidR="00577D08" w:rsidRDefault="00577D08">
            <w:pPr>
              <w:jc w:val="right"/>
              <w:rPr>
                <w:sz w:val="15"/>
                <w:szCs w:val="15"/>
              </w:rPr>
            </w:pPr>
          </w:p>
        </w:tc>
        <w:tc>
          <w:tcPr>
            <w:tcW w:w="1276" w:type="dxa"/>
            <w:tcBorders>
              <w:left w:val="single" w:sz="4" w:space="0" w:color="auto"/>
            </w:tcBorders>
            <w:vAlign w:val="center"/>
          </w:tcPr>
          <w:p w14:paraId="79CAF0D5" w14:textId="77777777" w:rsidR="00577D08" w:rsidRDefault="00330FC0">
            <w:pPr>
              <w:jc w:val="right"/>
              <w:rPr>
                <w:sz w:val="15"/>
                <w:szCs w:val="15"/>
              </w:rPr>
            </w:pPr>
            <w:r>
              <w:rPr>
                <w:sz w:val="15"/>
                <w:szCs w:val="15"/>
              </w:rPr>
              <w:t>969,891,813.86</w:t>
            </w:r>
          </w:p>
        </w:tc>
        <w:tc>
          <w:tcPr>
            <w:tcW w:w="1134" w:type="dxa"/>
            <w:vAlign w:val="center"/>
          </w:tcPr>
          <w:p w14:paraId="798617E8" w14:textId="77777777" w:rsidR="00577D08" w:rsidRDefault="00330FC0">
            <w:pPr>
              <w:jc w:val="right"/>
              <w:rPr>
                <w:sz w:val="15"/>
                <w:szCs w:val="15"/>
              </w:rPr>
            </w:pPr>
            <w:r>
              <w:rPr>
                <w:sz w:val="15"/>
                <w:szCs w:val="15"/>
              </w:rPr>
              <w:t>30,893,741.28</w:t>
            </w:r>
          </w:p>
        </w:tc>
        <w:tc>
          <w:tcPr>
            <w:tcW w:w="992" w:type="dxa"/>
            <w:vAlign w:val="center"/>
          </w:tcPr>
          <w:p w14:paraId="28501B4A" w14:textId="77777777" w:rsidR="00577D08" w:rsidRDefault="00577D08">
            <w:pPr>
              <w:jc w:val="right"/>
              <w:rPr>
                <w:sz w:val="15"/>
                <w:szCs w:val="15"/>
              </w:rPr>
            </w:pPr>
          </w:p>
        </w:tc>
        <w:tc>
          <w:tcPr>
            <w:tcW w:w="1134" w:type="dxa"/>
            <w:vAlign w:val="center"/>
          </w:tcPr>
          <w:p w14:paraId="2433B10A" w14:textId="77777777" w:rsidR="00577D08" w:rsidRDefault="00330FC0">
            <w:pPr>
              <w:jc w:val="right"/>
              <w:rPr>
                <w:sz w:val="15"/>
                <w:szCs w:val="15"/>
              </w:rPr>
            </w:pPr>
            <w:r>
              <w:rPr>
                <w:sz w:val="15"/>
                <w:szCs w:val="15"/>
              </w:rPr>
              <w:t>19,302,441.84</w:t>
            </w:r>
          </w:p>
        </w:tc>
        <w:tc>
          <w:tcPr>
            <w:tcW w:w="1276" w:type="dxa"/>
            <w:vAlign w:val="center"/>
          </w:tcPr>
          <w:p w14:paraId="6E1B8739" w14:textId="77777777" w:rsidR="00577D08" w:rsidRDefault="00330FC0">
            <w:pPr>
              <w:jc w:val="right"/>
              <w:rPr>
                <w:sz w:val="15"/>
                <w:szCs w:val="15"/>
              </w:rPr>
            </w:pPr>
            <w:r>
              <w:rPr>
                <w:sz w:val="15"/>
                <w:szCs w:val="15"/>
              </w:rPr>
              <w:t>121,494,338.37</w:t>
            </w:r>
          </w:p>
        </w:tc>
        <w:tc>
          <w:tcPr>
            <w:tcW w:w="1275" w:type="dxa"/>
            <w:vAlign w:val="center"/>
          </w:tcPr>
          <w:p w14:paraId="311F978F" w14:textId="77777777" w:rsidR="00577D08" w:rsidRDefault="00330FC0">
            <w:pPr>
              <w:jc w:val="right"/>
              <w:rPr>
                <w:sz w:val="15"/>
                <w:szCs w:val="15"/>
              </w:rPr>
            </w:pPr>
            <w:r>
              <w:rPr>
                <w:sz w:val="15"/>
                <w:szCs w:val="15"/>
              </w:rPr>
              <w:t>982,926,914.80</w:t>
            </w:r>
          </w:p>
        </w:tc>
        <w:tc>
          <w:tcPr>
            <w:tcW w:w="1378" w:type="dxa"/>
            <w:vAlign w:val="center"/>
          </w:tcPr>
          <w:p w14:paraId="24061A8C" w14:textId="77777777" w:rsidR="00577D08" w:rsidRDefault="00330FC0">
            <w:pPr>
              <w:jc w:val="right"/>
              <w:rPr>
                <w:sz w:val="15"/>
                <w:szCs w:val="15"/>
              </w:rPr>
            </w:pPr>
            <w:r>
              <w:rPr>
                <w:sz w:val="15"/>
                <w:szCs w:val="15"/>
              </w:rPr>
              <w:t>2,395,889,174.59</w:t>
            </w:r>
          </w:p>
        </w:tc>
      </w:tr>
      <w:tr w:rsidR="00577D08" w14:paraId="3D1A3022" w14:textId="77777777">
        <w:trPr>
          <w:trHeight w:val="20"/>
        </w:trPr>
        <w:sdt>
          <w:sdtPr>
            <w:rPr>
              <w:sz w:val="15"/>
              <w:szCs w:val="15"/>
            </w:rPr>
            <w:tag w:val="_PLD_22eea8f5bd284adbb011ea489737927b"/>
            <w:id w:val="346448061"/>
          </w:sdtPr>
          <w:sdtContent>
            <w:tc>
              <w:tcPr>
                <w:tcW w:w="2450" w:type="dxa"/>
                <w:vAlign w:val="center"/>
              </w:tcPr>
              <w:p w14:paraId="2AC97F81" w14:textId="77777777" w:rsidR="00577D08" w:rsidRDefault="00330FC0">
                <w:pPr>
                  <w:rPr>
                    <w:sz w:val="15"/>
                    <w:szCs w:val="15"/>
                  </w:rPr>
                </w:pPr>
                <w:r>
                  <w:rPr>
                    <w:sz w:val="15"/>
                    <w:szCs w:val="15"/>
                  </w:rPr>
                  <w:t>三、本</w:t>
                </w:r>
                <w:r>
                  <w:rPr>
                    <w:rFonts w:hint="eastAsia"/>
                    <w:sz w:val="15"/>
                    <w:szCs w:val="15"/>
                  </w:rPr>
                  <w:t>期</w:t>
                </w:r>
                <w:r>
                  <w:rPr>
                    <w:sz w:val="15"/>
                    <w:szCs w:val="15"/>
                  </w:rPr>
                  <w:t>增减变动金额（减少以</w:t>
                </w:r>
                <w:r>
                  <w:rPr>
                    <w:sz w:val="15"/>
                    <w:szCs w:val="15"/>
                  </w:rPr>
                  <w:t>“</w:t>
                </w:r>
                <w:r>
                  <w:rPr>
                    <w:sz w:val="15"/>
                    <w:szCs w:val="15"/>
                  </w:rPr>
                  <w:t>－</w:t>
                </w:r>
                <w:r>
                  <w:rPr>
                    <w:sz w:val="15"/>
                    <w:szCs w:val="15"/>
                  </w:rPr>
                  <w:t>”</w:t>
                </w:r>
                <w:r>
                  <w:rPr>
                    <w:sz w:val="15"/>
                    <w:szCs w:val="15"/>
                  </w:rPr>
                  <w:t>号填列）</w:t>
                </w:r>
              </w:p>
            </w:tc>
          </w:sdtContent>
        </w:sdt>
        <w:tc>
          <w:tcPr>
            <w:tcW w:w="1202" w:type="dxa"/>
            <w:tcBorders>
              <w:right w:val="single" w:sz="4" w:space="0" w:color="auto"/>
            </w:tcBorders>
            <w:vAlign w:val="center"/>
          </w:tcPr>
          <w:p w14:paraId="0F2D433F" w14:textId="77777777" w:rsidR="00577D08" w:rsidRDefault="00330FC0">
            <w:pPr>
              <w:jc w:val="right"/>
              <w:rPr>
                <w:sz w:val="15"/>
                <w:szCs w:val="15"/>
              </w:rPr>
            </w:pPr>
            <w:r>
              <w:rPr>
                <w:sz w:val="15"/>
                <w:szCs w:val="15"/>
              </w:rPr>
              <w:t>-814,000.00</w:t>
            </w:r>
          </w:p>
        </w:tc>
        <w:tc>
          <w:tcPr>
            <w:tcW w:w="709" w:type="dxa"/>
            <w:tcBorders>
              <w:left w:val="single" w:sz="4" w:space="0" w:color="auto"/>
              <w:right w:val="single" w:sz="4" w:space="0" w:color="auto"/>
            </w:tcBorders>
            <w:vAlign w:val="center"/>
          </w:tcPr>
          <w:p w14:paraId="5679710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BF1C24F" w14:textId="77777777" w:rsidR="00577D08" w:rsidRDefault="00577D08">
            <w:pPr>
              <w:jc w:val="right"/>
              <w:rPr>
                <w:sz w:val="15"/>
                <w:szCs w:val="15"/>
              </w:rPr>
            </w:pPr>
          </w:p>
        </w:tc>
        <w:tc>
          <w:tcPr>
            <w:tcW w:w="425" w:type="dxa"/>
            <w:tcBorders>
              <w:left w:val="single" w:sz="4" w:space="0" w:color="auto"/>
            </w:tcBorders>
            <w:vAlign w:val="center"/>
          </w:tcPr>
          <w:p w14:paraId="54B7FCFB" w14:textId="77777777" w:rsidR="00577D08" w:rsidRDefault="00577D08">
            <w:pPr>
              <w:jc w:val="right"/>
              <w:rPr>
                <w:sz w:val="15"/>
                <w:szCs w:val="15"/>
              </w:rPr>
            </w:pPr>
          </w:p>
        </w:tc>
        <w:tc>
          <w:tcPr>
            <w:tcW w:w="1276" w:type="dxa"/>
            <w:vAlign w:val="center"/>
          </w:tcPr>
          <w:p w14:paraId="31711070" w14:textId="77777777" w:rsidR="00577D08" w:rsidRDefault="00330FC0">
            <w:pPr>
              <w:jc w:val="right"/>
              <w:rPr>
                <w:sz w:val="15"/>
                <w:szCs w:val="15"/>
              </w:rPr>
            </w:pPr>
            <w:r>
              <w:rPr>
                <w:sz w:val="15"/>
                <w:szCs w:val="15"/>
              </w:rPr>
              <w:t>-7,228,562.43</w:t>
            </w:r>
          </w:p>
        </w:tc>
        <w:tc>
          <w:tcPr>
            <w:tcW w:w="1134" w:type="dxa"/>
            <w:vAlign w:val="center"/>
          </w:tcPr>
          <w:p w14:paraId="599057B3" w14:textId="77777777" w:rsidR="00577D08" w:rsidRDefault="00330FC0">
            <w:pPr>
              <w:jc w:val="right"/>
              <w:rPr>
                <w:sz w:val="15"/>
                <w:szCs w:val="15"/>
              </w:rPr>
            </w:pPr>
            <w:r>
              <w:rPr>
                <w:sz w:val="15"/>
                <w:szCs w:val="15"/>
              </w:rPr>
              <w:t>-11,086,060.00</w:t>
            </w:r>
          </w:p>
        </w:tc>
        <w:tc>
          <w:tcPr>
            <w:tcW w:w="992" w:type="dxa"/>
            <w:vAlign w:val="center"/>
          </w:tcPr>
          <w:p w14:paraId="11816504" w14:textId="77777777" w:rsidR="00577D08" w:rsidRDefault="00577D08">
            <w:pPr>
              <w:jc w:val="right"/>
              <w:rPr>
                <w:sz w:val="15"/>
                <w:szCs w:val="15"/>
              </w:rPr>
            </w:pPr>
          </w:p>
        </w:tc>
        <w:tc>
          <w:tcPr>
            <w:tcW w:w="1134" w:type="dxa"/>
            <w:vAlign w:val="center"/>
          </w:tcPr>
          <w:p w14:paraId="2C0D0F04" w14:textId="77777777" w:rsidR="00577D08" w:rsidRDefault="00330FC0">
            <w:pPr>
              <w:jc w:val="right"/>
              <w:rPr>
                <w:sz w:val="15"/>
                <w:szCs w:val="15"/>
              </w:rPr>
            </w:pPr>
            <w:r>
              <w:rPr>
                <w:sz w:val="15"/>
                <w:szCs w:val="15"/>
              </w:rPr>
              <w:t>1,164,586.84</w:t>
            </w:r>
          </w:p>
        </w:tc>
        <w:tc>
          <w:tcPr>
            <w:tcW w:w="1276" w:type="dxa"/>
            <w:vAlign w:val="center"/>
          </w:tcPr>
          <w:p w14:paraId="0C05C7A6" w14:textId="77777777" w:rsidR="00577D08" w:rsidRDefault="00330FC0">
            <w:pPr>
              <w:jc w:val="right"/>
              <w:rPr>
                <w:sz w:val="15"/>
                <w:szCs w:val="15"/>
              </w:rPr>
            </w:pPr>
            <w:r>
              <w:rPr>
                <w:sz w:val="15"/>
                <w:szCs w:val="15"/>
              </w:rPr>
              <w:t>4,851,665.71</w:t>
            </w:r>
          </w:p>
        </w:tc>
        <w:tc>
          <w:tcPr>
            <w:tcW w:w="1275" w:type="dxa"/>
            <w:vAlign w:val="center"/>
          </w:tcPr>
          <w:p w14:paraId="54C8F1D0" w14:textId="77777777" w:rsidR="00577D08" w:rsidRDefault="00330FC0">
            <w:pPr>
              <w:jc w:val="right"/>
              <w:rPr>
                <w:sz w:val="15"/>
                <w:szCs w:val="15"/>
              </w:rPr>
            </w:pPr>
            <w:r>
              <w:rPr>
                <w:sz w:val="15"/>
                <w:szCs w:val="15"/>
              </w:rPr>
              <w:t>27,549,259.42</w:t>
            </w:r>
          </w:p>
        </w:tc>
        <w:tc>
          <w:tcPr>
            <w:tcW w:w="1378" w:type="dxa"/>
            <w:vAlign w:val="center"/>
          </w:tcPr>
          <w:p w14:paraId="3BF18F7B" w14:textId="77777777" w:rsidR="00577D08" w:rsidRDefault="00330FC0">
            <w:pPr>
              <w:jc w:val="right"/>
              <w:rPr>
                <w:sz w:val="15"/>
                <w:szCs w:val="15"/>
              </w:rPr>
            </w:pPr>
            <w:r>
              <w:rPr>
                <w:sz w:val="15"/>
                <w:szCs w:val="15"/>
              </w:rPr>
              <w:t>36,609,009.54</w:t>
            </w:r>
          </w:p>
        </w:tc>
      </w:tr>
      <w:tr w:rsidR="00577D08" w14:paraId="2FFB081D" w14:textId="77777777">
        <w:trPr>
          <w:trHeight w:val="20"/>
        </w:trPr>
        <w:sdt>
          <w:sdtPr>
            <w:rPr>
              <w:sz w:val="15"/>
              <w:szCs w:val="15"/>
            </w:rPr>
            <w:tag w:val="_PLD_16bc7260292e4c19ad140bdfdf1ee46c"/>
            <w:id w:val="-1779324772"/>
          </w:sdtPr>
          <w:sdtContent>
            <w:tc>
              <w:tcPr>
                <w:tcW w:w="2450" w:type="dxa"/>
                <w:vAlign w:val="center"/>
              </w:tcPr>
              <w:p w14:paraId="30B56903" w14:textId="77777777" w:rsidR="00577D08" w:rsidRDefault="00330FC0">
                <w:pPr>
                  <w:rPr>
                    <w:sz w:val="15"/>
                    <w:szCs w:val="15"/>
                  </w:rPr>
                </w:pPr>
                <w:r>
                  <w:rPr>
                    <w:rFonts w:hint="eastAsia"/>
                    <w:sz w:val="15"/>
                    <w:szCs w:val="15"/>
                  </w:rPr>
                  <w:t>（一）综合收益总额</w:t>
                </w:r>
              </w:p>
            </w:tc>
          </w:sdtContent>
        </w:sdt>
        <w:tc>
          <w:tcPr>
            <w:tcW w:w="1202" w:type="dxa"/>
            <w:tcBorders>
              <w:right w:val="single" w:sz="4" w:space="0" w:color="auto"/>
            </w:tcBorders>
            <w:vAlign w:val="center"/>
          </w:tcPr>
          <w:p w14:paraId="3A8A57B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853766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4F1F102" w14:textId="77777777" w:rsidR="00577D08" w:rsidRDefault="00577D08">
            <w:pPr>
              <w:jc w:val="right"/>
              <w:rPr>
                <w:sz w:val="15"/>
                <w:szCs w:val="15"/>
              </w:rPr>
            </w:pPr>
          </w:p>
        </w:tc>
        <w:tc>
          <w:tcPr>
            <w:tcW w:w="425" w:type="dxa"/>
            <w:tcBorders>
              <w:left w:val="single" w:sz="4" w:space="0" w:color="auto"/>
            </w:tcBorders>
            <w:vAlign w:val="center"/>
          </w:tcPr>
          <w:p w14:paraId="30B7BE48" w14:textId="77777777" w:rsidR="00577D08" w:rsidRDefault="00577D08">
            <w:pPr>
              <w:jc w:val="right"/>
              <w:rPr>
                <w:sz w:val="15"/>
                <w:szCs w:val="15"/>
              </w:rPr>
            </w:pPr>
          </w:p>
        </w:tc>
        <w:tc>
          <w:tcPr>
            <w:tcW w:w="1276" w:type="dxa"/>
            <w:vAlign w:val="center"/>
          </w:tcPr>
          <w:p w14:paraId="140BA0DB" w14:textId="77777777" w:rsidR="00577D08" w:rsidRDefault="00577D08">
            <w:pPr>
              <w:jc w:val="right"/>
              <w:rPr>
                <w:sz w:val="15"/>
                <w:szCs w:val="15"/>
              </w:rPr>
            </w:pPr>
          </w:p>
        </w:tc>
        <w:tc>
          <w:tcPr>
            <w:tcW w:w="1134" w:type="dxa"/>
            <w:vAlign w:val="center"/>
          </w:tcPr>
          <w:p w14:paraId="1D26BD17" w14:textId="77777777" w:rsidR="00577D08" w:rsidRDefault="00577D08">
            <w:pPr>
              <w:jc w:val="right"/>
              <w:rPr>
                <w:sz w:val="15"/>
                <w:szCs w:val="15"/>
              </w:rPr>
            </w:pPr>
          </w:p>
        </w:tc>
        <w:tc>
          <w:tcPr>
            <w:tcW w:w="992" w:type="dxa"/>
            <w:vAlign w:val="center"/>
          </w:tcPr>
          <w:p w14:paraId="7230D26D" w14:textId="77777777" w:rsidR="00577D08" w:rsidRDefault="00577D08">
            <w:pPr>
              <w:jc w:val="right"/>
              <w:rPr>
                <w:sz w:val="15"/>
                <w:szCs w:val="15"/>
              </w:rPr>
            </w:pPr>
          </w:p>
        </w:tc>
        <w:tc>
          <w:tcPr>
            <w:tcW w:w="1134" w:type="dxa"/>
            <w:vAlign w:val="center"/>
          </w:tcPr>
          <w:p w14:paraId="56058CD8" w14:textId="77777777" w:rsidR="00577D08" w:rsidRDefault="00577D08">
            <w:pPr>
              <w:jc w:val="right"/>
              <w:rPr>
                <w:sz w:val="15"/>
                <w:szCs w:val="15"/>
              </w:rPr>
            </w:pPr>
          </w:p>
        </w:tc>
        <w:tc>
          <w:tcPr>
            <w:tcW w:w="1276" w:type="dxa"/>
            <w:vAlign w:val="center"/>
          </w:tcPr>
          <w:p w14:paraId="2DF90E04" w14:textId="77777777" w:rsidR="00577D08" w:rsidRDefault="00577D08">
            <w:pPr>
              <w:jc w:val="right"/>
              <w:rPr>
                <w:sz w:val="15"/>
                <w:szCs w:val="15"/>
              </w:rPr>
            </w:pPr>
          </w:p>
        </w:tc>
        <w:tc>
          <w:tcPr>
            <w:tcW w:w="1275" w:type="dxa"/>
            <w:vAlign w:val="center"/>
          </w:tcPr>
          <w:p w14:paraId="469B773C" w14:textId="77777777" w:rsidR="00577D08" w:rsidRDefault="00330FC0">
            <w:pPr>
              <w:jc w:val="right"/>
              <w:rPr>
                <w:sz w:val="15"/>
                <w:szCs w:val="15"/>
              </w:rPr>
            </w:pPr>
            <w:r>
              <w:rPr>
                <w:sz w:val="15"/>
                <w:szCs w:val="15"/>
              </w:rPr>
              <w:t>48,516,657.08</w:t>
            </w:r>
          </w:p>
        </w:tc>
        <w:tc>
          <w:tcPr>
            <w:tcW w:w="1378" w:type="dxa"/>
            <w:vAlign w:val="center"/>
          </w:tcPr>
          <w:p w14:paraId="553A1316" w14:textId="77777777" w:rsidR="00577D08" w:rsidRDefault="00330FC0">
            <w:pPr>
              <w:jc w:val="right"/>
              <w:rPr>
                <w:sz w:val="15"/>
                <w:szCs w:val="15"/>
              </w:rPr>
            </w:pPr>
            <w:r>
              <w:rPr>
                <w:sz w:val="15"/>
                <w:szCs w:val="15"/>
              </w:rPr>
              <w:t>48,516,657.08</w:t>
            </w:r>
          </w:p>
        </w:tc>
      </w:tr>
      <w:tr w:rsidR="00577D08" w14:paraId="6B5979C0" w14:textId="77777777">
        <w:trPr>
          <w:trHeight w:val="20"/>
        </w:trPr>
        <w:sdt>
          <w:sdtPr>
            <w:rPr>
              <w:sz w:val="15"/>
              <w:szCs w:val="15"/>
            </w:rPr>
            <w:tag w:val="_PLD_878006a38fe64d8788706ec54fa4a47b"/>
            <w:id w:val="-809864880"/>
          </w:sdtPr>
          <w:sdtContent>
            <w:tc>
              <w:tcPr>
                <w:tcW w:w="2450" w:type="dxa"/>
                <w:vAlign w:val="center"/>
              </w:tcPr>
              <w:p w14:paraId="4C730133" w14:textId="77777777" w:rsidR="00577D08" w:rsidRDefault="00330FC0">
                <w:pPr>
                  <w:rPr>
                    <w:sz w:val="15"/>
                    <w:szCs w:val="15"/>
                  </w:rPr>
                </w:pPr>
                <w:r>
                  <w:rPr>
                    <w:sz w:val="15"/>
                    <w:szCs w:val="15"/>
                  </w:rPr>
                  <w:t>（</w:t>
                </w:r>
                <w:r>
                  <w:rPr>
                    <w:rFonts w:hint="eastAsia"/>
                    <w:sz w:val="15"/>
                    <w:szCs w:val="15"/>
                  </w:rPr>
                  <w:t>二</w:t>
                </w:r>
                <w:r>
                  <w:rPr>
                    <w:sz w:val="15"/>
                    <w:szCs w:val="15"/>
                  </w:rPr>
                  <w:t>）所有者投入和减少资本</w:t>
                </w:r>
              </w:p>
            </w:tc>
          </w:sdtContent>
        </w:sdt>
        <w:tc>
          <w:tcPr>
            <w:tcW w:w="1202" w:type="dxa"/>
            <w:tcBorders>
              <w:right w:val="single" w:sz="4" w:space="0" w:color="auto"/>
            </w:tcBorders>
            <w:vAlign w:val="center"/>
          </w:tcPr>
          <w:p w14:paraId="7301D1FF" w14:textId="77777777" w:rsidR="00577D08" w:rsidRDefault="00330FC0">
            <w:pPr>
              <w:jc w:val="right"/>
              <w:rPr>
                <w:sz w:val="15"/>
                <w:szCs w:val="15"/>
              </w:rPr>
            </w:pPr>
            <w:r>
              <w:rPr>
                <w:sz w:val="15"/>
                <w:szCs w:val="15"/>
              </w:rPr>
              <w:t>-814,000.00</w:t>
            </w:r>
          </w:p>
        </w:tc>
        <w:tc>
          <w:tcPr>
            <w:tcW w:w="709" w:type="dxa"/>
            <w:tcBorders>
              <w:left w:val="single" w:sz="4" w:space="0" w:color="auto"/>
              <w:right w:val="single" w:sz="4" w:space="0" w:color="auto"/>
            </w:tcBorders>
            <w:vAlign w:val="center"/>
          </w:tcPr>
          <w:p w14:paraId="27E226F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9FE7B6C" w14:textId="77777777" w:rsidR="00577D08" w:rsidRDefault="00577D08">
            <w:pPr>
              <w:jc w:val="right"/>
              <w:rPr>
                <w:sz w:val="15"/>
                <w:szCs w:val="15"/>
              </w:rPr>
            </w:pPr>
          </w:p>
        </w:tc>
        <w:tc>
          <w:tcPr>
            <w:tcW w:w="425" w:type="dxa"/>
            <w:tcBorders>
              <w:left w:val="single" w:sz="4" w:space="0" w:color="auto"/>
            </w:tcBorders>
            <w:vAlign w:val="center"/>
          </w:tcPr>
          <w:p w14:paraId="22D1AAF7" w14:textId="77777777" w:rsidR="00577D08" w:rsidRDefault="00577D08">
            <w:pPr>
              <w:jc w:val="right"/>
              <w:rPr>
                <w:sz w:val="15"/>
                <w:szCs w:val="15"/>
              </w:rPr>
            </w:pPr>
          </w:p>
        </w:tc>
        <w:tc>
          <w:tcPr>
            <w:tcW w:w="1276" w:type="dxa"/>
            <w:vAlign w:val="center"/>
          </w:tcPr>
          <w:p w14:paraId="60987934" w14:textId="77777777" w:rsidR="00577D08" w:rsidRDefault="00330FC0">
            <w:pPr>
              <w:jc w:val="right"/>
              <w:rPr>
                <w:sz w:val="15"/>
                <w:szCs w:val="15"/>
              </w:rPr>
            </w:pPr>
            <w:r>
              <w:rPr>
                <w:sz w:val="15"/>
                <w:szCs w:val="15"/>
              </w:rPr>
              <w:t>-7,228,562.43</w:t>
            </w:r>
          </w:p>
        </w:tc>
        <w:tc>
          <w:tcPr>
            <w:tcW w:w="1134" w:type="dxa"/>
            <w:vAlign w:val="center"/>
          </w:tcPr>
          <w:p w14:paraId="546EB7ED" w14:textId="77777777" w:rsidR="00577D08" w:rsidRDefault="00330FC0">
            <w:pPr>
              <w:jc w:val="right"/>
              <w:rPr>
                <w:sz w:val="15"/>
                <w:szCs w:val="15"/>
              </w:rPr>
            </w:pPr>
            <w:r>
              <w:rPr>
                <w:sz w:val="15"/>
                <w:szCs w:val="15"/>
              </w:rPr>
              <w:t>-11,086,060.00</w:t>
            </w:r>
          </w:p>
        </w:tc>
        <w:tc>
          <w:tcPr>
            <w:tcW w:w="992" w:type="dxa"/>
            <w:vAlign w:val="center"/>
          </w:tcPr>
          <w:p w14:paraId="3692D87D" w14:textId="77777777" w:rsidR="00577D08" w:rsidRDefault="00577D08">
            <w:pPr>
              <w:jc w:val="right"/>
              <w:rPr>
                <w:sz w:val="15"/>
                <w:szCs w:val="15"/>
              </w:rPr>
            </w:pPr>
          </w:p>
        </w:tc>
        <w:tc>
          <w:tcPr>
            <w:tcW w:w="1134" w:type="dxa"/>
            <w:vAlign w:val="center"/>
          </w:tcPr>
          <w:p w14:paraId="3A8801A3" w14:textId="77777777" w:rsidR="00577D08" w:rsidRDefault="00577D08">
            <w:pPr>
              <w:jc w:val="right"/>
              <w:rPr>
                <w:sz w:val="15"/>
                <w:szCs w:val="15"/>
              </w:rPr>
            </w:pPr>
          </w:p>
        </w:tc>
        <w:tc>
          <w:tcPr>
            <w:tcW w:w="1276" w:type="dxa"/>
            <w:vAlign w:val="center"/>
          </w:tcPr>
          <w:p w14:paraId="0EB395F8" w14:textId="77777777" w:rsidR="00577D08" w:rsidRDefault="00577D08">
            <w:pPr>
              <w:jc w:val="right"/>
              <w:rPr>
                <w:sz w:val="15"/>
                <w:szCs w:val="15"/>
              </w:rPr>
            </w:pPr>
          </w:p>
        </w:tc>
        <w:tc>
          <w:tcPr>
            <w:tcW w:w="1275" w:type="dxa"/>
            <w:vAlign w:val="center"/>
          </w:tcPr>
          <w:p w14:paraId="1A8D1713" w14:textId="77777777" w:rsidR="00577D08" w:rsidRDefault="00330FC0">
            <w:pPr>
              <w:jc w:val="right"/>
              <w:rPr>
                <w:sz w:val="15"/>
                <w:szCs w:val="15"/>
              </w:rPr>
            </w:pPr>
            <w:r>
              <w:rPr>
                <w:sz w:val="15"/>
                <w:szCs w:val="15"/>
              </w:rPr>
              <w:t>498,300.00</w:t>
            </w:r>
          </w:p>
        </w:tc>
        <w:tc>
          <w:tcPr>
            <w:tcW w:w="1378" w:type="dxa"/>
            <w:vAlign w:val="center"/>
          </w:tcPr>
          <w:p w14:paraId="31BAEE6C" w14:textId="77777777" w:rsidR="00577D08" w:rsidRDefault="00330FC0">
            <w:pPr>
              <w:jc w:val="right"/>
              <w:rPr>
                <w:sz w:val="15"/>
                <w:szCs w:val="15"/>
              </w:rPr>
            </w:pPr>
            <w:r>
              <w:rPr>
                <w:sz w:val="15"/>
                <w:szCs w:val="15"/>
              </w:rPr>
              <w:t>3,541,797.57</w:t>
            </w:r>
          </w:p>
        </w:tc>
      </w:tr>
      <w:tr w:rsidR="00577D08" w14:paraId="5FE687AF" w14:textId="77777777">
        <w:trPr>
          <w:trHeight w:val="20"/>
        </w:trPr>
        <w:sdt>
          <w:sdtPr>
            <w:rPr>
              <w:sz w:val="15"/>
              <w:szCs w:val="15"/>
            </w:rPr>
            <w:tag w:val="_PLD_87b7ce2356df4876b71161948845f6e6"/>
            <w:id w:val="1703216868"/>
          </w:sdtPr>
          <w:sdtContent>
            <w:tc>
              <w:tcPr>
                <w:tcW w:w="2450" w:type="dxa"/>
                <w:vAlign w:val="center"/>
              </w:tcPr>
              <w:p w14:paraId="62A0B6C1" w14:textId="77777777" w:rsidR="00577D08" w:rsidRDefault="00330FC0">
                <w:pPr>
                  <w:rPr>
                    <w:sz w:val="15"/>
                    <w:szCs w:val="15"/>
                  </w:rPr>
                </w:pPr>
                <w:r>
                  <w:rPr>
                    <w:rFonts w:hint="eastAsia"/>
                    <w:sz w:val="15"/>
                    <w:szCs w:val="15"/>
                  </w:rPr>
                  <w:t>1</w:t>
                </w:r>
                <w:r>
                  <w:rPr>
                    <w:rFonts w:hint="eastAsia"/>
                    <w:sz w:val="15"/>
                    <w:szCs w:val="15"/>
                  </w:rPr>
                  <w:t>．所有者投入的普通股</w:t>
                </w:r>
              </w:p>
            </w:tc>
          </w:sdtContent>
        </w:sdt>
        <w:tc>
          <w:tcPr>
            <w:tcW w:w="1202" w:type="dxa"/>
            <w:tcBorders>
              <w:right w:val="single" w:sz="4" w:space="0" w:color="auto"/>
            </w:tcBorders>
            <w:vAlign w:val="center"/>
          </w:tcPr>
          <w:p w14:paraId="4A8FFBA1" w14:textId="77777777" w:rsidR="00577D08" w:rsidRDefault="00330FC0">
            <w:pPr>
              <w:jc w:val="right"/>
              <w:rPr>
                <w:sz w:val="15"/>
                <w:szCs w:val="15"/>
              </w:rPr>
            </w:pPr>
            <w:r>
              <w:rPr>
                <w:sz w:val="15"/>
                <w:szCs w:val="15"/>
              </w:rPr>
              <w:t>-814,000.00</w:t>
            </w:r>
          </w:p>
        </w:tc>
        <w:tc>
          <w:tcPr>
            <w:tcW w:w="709" w:type="dxa"/>
            <w:tcBorders>
              <w:left w:val="single" w:sz="4" w:space="0" w:color="auto"/>
              <w:right w:val="single" w:sz="4" w:space="0" w:color="auto"/>
            </w:tcBorders>
            <w:vAlign w:val="center"/>
          </w:tcPr>
          <w:p w14:paraId="10B53073"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21060E8" w14:textId="77777777" w:rsidR="00577D08" w:rsidRDefault="00577D08">
            <w:pPr>
              <w:jc w:val="right"/>
              <w:rPr>
                <w:sz w:val="15"/>
                <w:szCs w:val="15"/>
              </w:rPr>
            </w:pPr>
          </w:p>
        </w:tc>
        <w:tc>
          <w:tcPr>
            <w:tcW w:w="425" w:type="dxa"/>
            <w:tcBorders>
              <w:left w:val="single" w:sz="4" w:space="0" w:color="auto"/>
            </w:tcBorders>
            <w:vAlign w:val="center"/>
          </w:tcPr>
          <w:p w14:paraId="19624F71" w14:textId="77777777" w:rsidR="00577D08" w:rsidRDefault="00577D08">
            <w:pPr>
              <w:jc w:val="right"/>
              <w:rPr>
                <w:sz w:val="15"/>
                <w:szCs w:val="15"/>
              </w:rPr>
            </w:pPr>
          </w:p>
        </w:tc>
        <w:tc>
          <w:tcPr>
            <w:tcW w:w="1276" w:type="dxa"/>
            <w:vAlign w:val="center"/>
          </w:tcPr>
          <w:p w14:paraId="6B8E6D80" w14:textId="77777777" w:rsidR="00577D08" w:rsidRDefault="00577D08">
            <w:pPr>
              <w:jc w:val="right"/>
              <w:rPr>
                <w:sz w:val="15"/>
                <w:szCs w:val="15"/>
              </w:rPr>
            </w:pPr>
          </w:p>
        </w:tc>
        <w:tc>
          <w:tcPr>
            <w:tcW w:w="1134" w:type="dxa"/>
            <w:vAlign w:val="center"/>
          </w:tcPr>
          <w:p w14:paraId="520BC454" w14:textId="77777777" w:rsidR="00577D08" w:rsidRDefault="00577D08">
            <w:pPr>
              <w:jc w:val="right"/>
              <w:rPr>
                <w:sz w:val="15"/>
                <w:szCs w:val="15"/>
              </w:rPr>
            </w:pPr>
          </w:p>
        </w:tc>
        <w:tc>
          <w:tcPr>
            <w:tcW w:w="992" w:type="dxa"/>
            <w:vAlign w:val="center"/>
          </w:tcPr>
          <w:p w14:paraId="2877BC09" w14:textId="77777777" w:rsidR="00577D08" w:rsidRDefault="00577D08">
            <w:pPr>
              <w:jc w:val="right"/>
              <w:rPr>
                <w:sz w:val="15"/>
                <w:szCs w:val="15"/>
              </w:rPr>
            </w:pPr>
          </w:p>
        </w:tc>
        <w:tc>
          <w:tcPr>
            <w:tcW w:w="1134" w:type="dxa"/>
            <w:vAlign w:val="center"/>
          </w:tcPr>
          <w:p w14:paraId="14755FDE" w14:textId="77777777" w:rsidR="00577D08" w:rsidRDefault="00577D08">
            <w:pPr>
              <w:jc w:val="right"/>
              <w:rPr>
                <w:sz w:val="15"/>
                <w:szCs w:val="15"/>
              </w:rPr>
            </w:pPr>
          </w:p>
        </w:tc>
        <w:tc>
          <w:tcPr>
            <w:tcW w:w="1276" w:type="dxa"/>
            <w:vAlign w:val="center"/>
          </w:tcPr>
          <w:p w14:paraId="75EB7CC5" w14:textId="77777777" w:rsidR="00577D08" w:rsidRDefault="00577D08">
            <w:pPr>
              <w:jc w:val="right"/>
              <w:rPr>
                <w:sz w:val="15"/>
                <w:szCs w:val="15"/>
              </w:rPr>
            </w:pPr>
          </w:p>
        </w:tc>
        <w:tc>
          <w:tcPr>
            <w:tcW w:w="1275" w:type="dxa"/>
            <w:vAlign w:val="center"/>
          </w:tcPr>
          <w:p w14:paraId="661E8973" w14:textId="77777777" w:rsidR="00577D08" w:rsidRDefault="00577D08">
            <w:pPr>
              <w:jc w:val="right"/>
              <w:rPr>
                <w:sz w:val="15"/>
                <w:szCs w:val="15"/>
              </w:rPr>
            </w:pPr>
          </w:p>
        </w:tc>
        <w:tc>
          <w:tcPr>
            <w:tcW w:w="1378" w:type="dxa"/>
            <w:vAlign w:val="center"/>
          </w:tcPr>
          <w:p w14:paraId="3C8BF298" w14:textId="77777777" w:rsidR="00577D08" w:rsidRDefault="00330FC0">
            <w:pPr>
              <w:jc w:val="right"/>
              <w:rPr>
                <w:sz w:val="15"/>
                <w:szCs w:val="15"/>
              </w:rPr>
            </w:pPr>
            <w:r>
              <w:rPr>
                <w:sz w:val="15"/>
                <w:szCs w:val="15"/>
              </w:rPr>
              <w:t>-814,000.00</w:t>
            </w:r>
          </w:p>
        </w:tc>
      </w:tr>
      <w:tr w:rsidR="00577D08" w14:paraId="79EDB44C" w14:textId="77777777">
        <w:trPr>
          <w:trHeight w:val="20"/>
        </w:trPr>
        <w:sdt>
          <w:sdtPr>
            <w:rPr>
              <w:sz w:val="15"/>
              <w:szCs w:val="15"/>
            </w:rPr>
            <w:tag w:val="_PLD_364b722055ed48639a8a73b5223e270d"/>
            <w:id w:val="-1538737169"/>
          </w:sdtPr>
          <w:sdtContent>
            <w:tc>
              <w:tcPr>
                <w:tcW w:w="2450" w:type="dxa"/>
                <w:vAlign w:val="center"/>
              </w:tcPr>
              <w:p w14:paraId="29F035F1" w14:textId="77777777" w:rsidR="00577D08" w:rsidRDefault="00330FC0">
                <w:pPr>
                  <w:rPr>
                    <w:sz w:val="15"/>
                    <w:szCs w:val="15"/>
                  </w:rPr>
                </w:pPr>
                <w:r>
                  <w:rPr>
                    <w:rFonts w:hint="eastAsia"/>
                    <w:sz w:val="15"/>
                    <w:szCs w:val="15"/>
                  </w:rPr>
                  <w:t>2</w:t>
                </w:r>
                <w:r>
                  <w:rPr>
                    <w:rFonts w:hint="eastAsia"/>
                    <w:sz w:val="15"/>
                    <w:szCs w:val="15"/>
                  </w:rPr>
                  <w:t>．其他权益工具持有者投入资本</w:t>
                </w:r>
              </w:p>
            </w:tc>
          </w:sdtContent>
        </w:sdt>
        <w:tc>
          <w:tcPr>
            <w:tcW w:w="1202" w:type="dxa"/>
            <w:tcBorders>
              <w:right w:val="single" w:sz="4" w:space="0" w:color="auto"/>
            </w:tcBorders>
            <w:vAlign w:val="center"/>
          </w:tcPr>
          <w:p w14:paraId="7F52319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F4491C6"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499036A" w14:textId="77777777" w:rsidR="00577D08" w:rsidRDefault="00577D08">
            <w:pPr>
              <w:jc w:val="right"/>
              <w:rPr>
                <w:sz w:val="15"/>
                <w:szCs w:val="15"/>
              </w:rPr>
            </w:pPr>
          </w:p>
        </w:tc>
        <w:tc>
          <w:tcPr>
            <w:tcW w:w="425" w:type="dxa"/>
            <w:tcBorders>
              <w:left w:val="single" w:sz="4" w:space="0" w:color="auto"/>
            </w:tcBorders>
            <w:vAlign w:val="center"/>
          </w:tcPr>
          <w:p w14:paraId="0D24D2FA" w14:textId="77777777" w:rsidR="00577D08" w:rsidRDefault="00577D08">
            <w:pPr>
              <w:jc w:val="right"/>
              <w:rPr>
                <w:sz w:val="15"/>
                <w:szCs w:val="15"/>
              </w:rPr>
            </w:pPr>
          </w:p>
        </w:tc>
        <w:tc>
          <w:tcPr>
            <w:tcW w:w="1276" w:type="dxa"/>
            <w:vAlign w:val="center"/>
          </w:tcPr>
          <w:p w14:paraId="58BE6FA6" w14:textId="77777777" w:rsidR="00577D08" w:rsidRDefault="00577D08">
            <w:pPr>
              <w:jc w:val="right"/>
              <w:rPr>
                <w:sz w:val="15"/>
                <w:szCs w:val="15"/>
              </w:rPr>
            </w:pPr>
          </w:p>
        </w:tc>
        <w:tc>
          <w:tcPr>
            <w:tcW w:w="1134" w:type="dxa"/>
            <w:vAlign w:val="center"/>
          </w:tcPr>
          <w:p w14:paraId="1CCE214D" w14:textId="77777777" w:rsidR="00577D08" w:rsidRDefault="00577D08">
            <w:pPr>
              <w:jc w:val="right"/>
              <w:rPr>
                <w:sz w:val="15"/>
                <w:szCs w:val="15"/>
              </w:rPr>
            </w:pPr>
          </w:p>
        </w:tc>
        <w:tc>
          <w:tcPr>
            <w:tcW w:w="992" w:type="dxa"/>
            <w:vAlign w:val="center"/>
          </w:tcPr>
          <w:p w14:paraId="2AE05354" w14:textId="77777777" w:rsidR="00577D08" w:rsidRDefault="00577D08">
            <w:pPr>
              <w:jc w:val="right"/>
              <w:rPr>
                <w:sz w:val="15"/>
                <w:szCs w:val="15"/>
              </w:rPr>
            </w:pPr>
          </w:p>
        </w:tc>
        <w:tc>
          <w:tcPr>
            <w:tcW w:w="1134" w:type="dxa"/>
            <w:vAlign w:val="center"/>
          </w:tcPr>
          <w:p w14:paraId="7AE97482" w14:textId="77777777" w:rsidR="00577D08" w:rsidRDefault="00577D08">
            <w:pPr>
              <w:jc w:val="right"/>
              <w:rPr>
                <w:sz w:val="15"/>
                <w:szCs w:val="15"/>
              </w:rPr>
            </w:pPr>
          </w:p>
        </w:tc>
        <w:tc>
          <w:tcPr>
            <w:tcW w:w="1276" w:type="dxa"/>
            <w:vAlign w:val="center"/>
          </w:tcPr>
          <w:p w14:paraId="6927ABDD" w14:textId="77777777" w:rsidR="00577D08" w:rsidRDefault="00577D08">
            <w:pPr>
              <w:jc w:val="right"/>
              <w:rPr>
                <w:sz w:val="15"/>
                <w:szCs w:val="15"/>
              </w:rPr>
            </w:pPr>
          </w:p>
        </w:tc>
        <w:tc>
          <w:tcPr>
            <w:tcW w:w="1275" w:type="dxa"/>
            <w:vAlign w:val="center"/>
          </w:tcPr>
          <w:p w14:paraId="31F93B3E" w14:textId="77777777" w:rsidR="00577D08" w:rsidRDefault="00577D08">
            <w:pPr>
              <w:jc w:val="right"/>
              <w:rPr>
                <w:sz w:val="15"/>
                <w:szCs w:val="15"/>
              </w:rPr>
            </w:pPr>
          </w:p>
        </w:tc>
        <w:tc>
          <w:tcPr>
            <w:tcW w:w="1378" w:type="dxa"/>
            <w:vAlign w:val="center"/>
          </w:tcPr>
          <w:p w14:paraId="416279F6" w14:textId="77777777" w:rsidR="00577D08" w:rsidRDefault="00577D08">
            <w:pPr>
              <w:jc w:val="right"/>
              <w:rPr>
                <w:sz w:val="15"/>
                <w:szCs w:val="15"/>
              </w:rPr>
            </w:pPr>
          </w:p>
        </w:tc>
      </w:tr>
      <w:tr w:rsidR="00577D08" w14:paraId="0AD88207" w14:textId="77777777">
        <w:trPr>
          <w:trHeight w:val="20"/>
        </w:trPr>
        <w:sdt>
          <w:sdtPr>
            <w:rPr>
              <w:sz w:val="15"/>
              <w:szCs w:val="15"/>
            </w:rPr>
            <w:tag w:val="_PLD_224ee219054e4248b57b186593db85a6"/>
            <w:id w:val="410358502"/>
          </w:sdtPr>
          <w:sdtContent>
            <w:tc>
              <w:tcPr>
                <w:tcW w:w="2450" w:type="dxa"/>
                <w:vAlign w:val="center"/>
              </w:tcPr>
              <w:p w14:paraId="2F2AB0F6" w14:textId="77777777" w:rsidR="00577D08" w:rsidRDefault="00330FC0">
                <w:pPr>
                  <w:rPr>
                    <w:sz w:val="15"/>
                    <w:szCs w:val="15"/>
                  </w:rPr>
                </w:pPr>
                <w:r>
                  <w:rPr>
                    <w:rFonts w:hint="eastAsia"/>
                    <w:sz w:val="15"/>
                    <w:szCs w:val="15"/>
                  </w:rPr>
                  <w:t>3</w:t>
                </w:r>
                <w:r>
                  <w:rPr>
                    <w:sz w:val="15"/>
                    <w:szCs w:val="15"/>
                  </w:rPr>
                  <w:t>．股份支付计入所有者权益的金额</w:t>
                </w:r>
              </w:p>
            </w:tc>
          </w:sdtContent>
        </w:sdt>
        <w:tc>
          <w:tcPr>
            <w:tcW w:w="1202" w:type="dxa"/>
            <w:tcBorders>
              <w:right w:val="single" w:sz="4" w:space="0" w:color="auto"/>
            </w:tcBorders>
            <w:vAlign w:val="center"/>
          </w:tcPr>
          <w:p w14:paraId="13D38FD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641964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D2EE89B" w14:textId="77777777" w:rsidR="00577D08" w:rsidRDefault="00577D08">
            <w:pPr>
              <w:jc w:val="right"/>
              <w:rPr>
                <w:sz w:val="15"/>
                <w:szCs w:val="15"/>
              </w:rPr>
            </w:pPr>
          </w:p>
        </w:tc>
        <w:tc>
          <w:tcPr>
            <w:tcW w:w="425" w:type="dxa"/>
            <w:tcBorders>
              <w:left w:val="single" w:sz="4" w:space="0" w:color="auto"/>
            </w:tcBorders>
            <w:vAlign w:val="center"/>
          </w:tcPr>
          <w:p w14:paraId="5B9E285F" w14:textId="77777777" w:rsidR="00577D08" w:rsidRDefault="00577D08">
            <w:pPr>
              <w:jc w:val="right"/>
              <w:rPr>
                <w:sz w:val="15"/>
                <w:szCs w:val="15"/>
              </w:rPr>
            </w:pPr>
          </w:p>
        </w:tc>
        <w:tc>
          <w:tcPr>
            <w:tcW w:w="1276" w:type="dxa"/>
            <w:vAlign w:val="center"/>
          </w:tcPr>
          <w:p w14:paraId="5D7FA8D7" w14:textId="77777777" w:rsidR="00577D08" w:rsidRDefault="00330FC0">
            <w:pPr>
              <w:jc w:val="right"/>
              <w:rPr>
                <w:sz w:val="15"/>
                <w:szCs w:val="15"/>
              </w:rPr>
            </w:pPr>
            <w:r>
              <w:rPr>
                <w:sz w:val="15"/>
                <w:szCs w:val="15"/>
              </w:rPr>
              <w:t>-7,228,562.43</w:t>
            </w:r>
          </w:p>
        </w:tc>
        <w:tc>
          <w:tcPr>
            <w:tcW w:w="1134" w:type="dxa"/>
            <w:vAlign w:val="center"/>
          </w:tcPr>
          <w:p w14:paraId="057D2244" w14:textId="77777777" w:rsidR="00577D08" w:rsidRDefault="00330FC0">
            <w:pPr>
              <w:jc w:val="right"/>
              <w:rPr>
                <w:sz w:val="15"/>
                <w:szCs w:val="15"/>
              </w:rPr>
            </w:pPr>
            <w:r>
              <w:rPr>
                <w:sz w:val="15"/>
                <w:szCs w:val="15"/>
              </w:rPr>
              <w:t>-11,086,060.00</w:t>
            </w:r>
          </w:p>
        </w:tc>
        <w:tc>
          <w:tcPr>
            <w:tcW w:w="992" w:type="dxa"/>
            <w:vAlign w:val="center"/>
          </w:tcPr>
          <w:p w14:paraId="2C983C3B" w14:textId="77777777" w:rsidR="00577D08" w:rsidRDefault="00577D08">
            <w:pPr>
              <w:jc w:val="right"/>
              <w:rPr>
                <w:sz w:val="15"/>
                <w:szCs w:val="15"/>
              </w:rPr>
            </w:pPr>
          </w:p>
        </w:tc>
        <w:tc>
          <w:tcPr>
            <w:tcW w:w="1134" w:type="dxa"/>
            <w:vAlign w:val="center"/>
          </w:tcPr>
          <w:p w14:paraId="674B7FBE" w14:textId="77777777" w:rsidR="00577D08" w:rsidRDefault="00577D08">
            <w:pPr>
              <w:jc w:val="right"/>
              <w:rPr>
                <w:sz w:val="15"/>
                <w:szCs w:val="15"/>
              </w:rPr>
            </w:pPr>
          </w:p>
        </w:tc>
        <w:tc>
          <w:tcPr>
            <w:tcW w:w="1276" w:type="dxa"/>
            <w:vAlign w:val="center"/>
          </w:tcPr>
          <w:p w14:paraId="567093D5" w14:textId="77777777" w:rsidR="00577D08" w:rsidRDefault="00577D08">
            <w:pPr>
              <w:jc w:val="right"/>
              <w:rPr>
                <w:sz w:val="15"/>
                <w:szCs w:val="15"/>
              </w:rPr>
            </w:pPr>
          </w:p>
        </w:tc>
        <w:tc>
          <w:tcPr>
            <w:tcW w:w="1275" w:type="dxa"/>
            <w:vAlign w:val="center"/>
          </w:tcPr>
          <w:p w14:paraId="37E43D3A" w14:textId="77777777" w:rsidR="00577D08" w:rsidRDefault="00577D08">
            <w:pPr>
              <w:jc w:val="right"/>
              <w:rPr>
                <w:sz w:val="15"/>
                <w:szCs w:val="15"/>
              </w:rPr>
            </w:pPr>
          </w:p>
        </w:tc>
        <w:tc>
          <w:tcPr>
            <w:tcW w:w="1378" w:type="dxa"/>
            <w:vAlign w:val="center"/>
          </w:tcPr>
          <w:p w14:paraId="4A0DB4A9" w14:textId="77777777" w:rsidR="00577D08" w:rsidRDefault="00330FC0">
            <w:pPr>
              <w:jc w:val="right"/>
              <w:rPr>
                <w:sz w:val="15"/>
                <w:szCs w:val="15"/>
              </w:rPr>
            </w:pPr>
            <w:r>
              <w:rPr>
                <w:sz w:val="15"/>
                <w:szCs w:val="15"/>
              </w:rPr>
              <w:t>3,857,497.57</w:t>
            </w:r>
          </w:p>
        </w:tc>
      </w:tr>
      <w:tr w:rsidR="00577D08" w14:paraId="56170448" w14:textId="77777777">
        <w:trPr>
          <w:trHeight w:val="20"/>
        </w:trPr>
        <w:sdt>
          <w:sdtPr>
            <w:rPr>
              <w:sz w:val="15"/>
              <w:szCs w:val="15"/>
            </w:rPr>
            <w:tag w:val="_PLD_2bb07b8c813f401e9b889121fc03b9bd"/>
            <w:id w:val="-310166967"/>
          </w:sdtPr>
          <w:sdtContent>
            <w:tc>
              <w:tcPr>
                <w:tcW w:w="2450" w:type="dxa"/>
                <w:vAlign w:val="center"/>
              </w:tcPr>
              <w:p w14:paraId="2F00F6B9" w14:textId="77777777" w:rsidR="00577D08" w:rsidRDefault="00330FC0">
                <w:pPr>
                  <w:rPr>
                    <w:sz w:val="15"/>
                    <w:szCs w:val="15"/>
                  </w:rPr>
                </w:pPr>
                <w:r>
                  <w:rPr>
                    <w:rFonts w:hint="eastAsia"/>
                    <w:sz w:val="15"/>
                    <w:szCs w:val="15"/>
                  </w:rPr>
                  <w:t>4</w:t>
                </w:r>
                <w:r>
                  <w:rPr>
                    <w:sz w:val="15"/>
                    <w:szCs w:val="15"/>
                  </w:rPr>
                  <w:t>．其他</w:t>
                </w:r>
              </w:p>
            </w:tc>
          </w:sdtContent>
        </w:sdt>
        <w:tc>
          <w:tcPr>
            <w:tcW w:w="1202" w:type="dxa"/>
            <w:tcBorders>
              <w:right w:val="single" w:sz="4" w:space="0" w:color="auto"/>
            </w:tcBorders>
            <w:vAlign w:val="center"/>
          </w:tcPr>
          <w:p w14:paraId="5305E92E"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4CF589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1873CC7" w14:textId="77777777" w:rsidR="00577D08" w:rsidRDefault="00577D08">
            <w:pPr>
              <w:jc w:val="right"/>
              <w:rPr>
                <w:sz w:val="15"/>
                <w:szCs w:val="15"/>
              </w:rPr>
            </w:pPr>
          </w:p>
        </w:tc>
        <w:tc>
          <w:tcPr>
            <w:tcW w:w="425" w:type="dxa"/>
            <w:tcBorders>
              <w:left w:val="single" w:sz="4" w:space="0" w:color="auto"/>
            </w:tcBorders>
            <w:vAlign w:val="center"/>
          </w:tcPr>
          <w:p w14:paraId="7C336B8A" w14:textId="77777777" w:rsidR="00577D08" w:rsidRDefault="00577D08">
            <w:pPr>
              <w:jc w:val="right"/>
              <w:rPr>
                <w:sz w:val="15"/>
                <w:szCs w:val="15"/>
              </w:rPr>
            </w:pPr>
          </w:p>
        </w:tc>
        <w:tc>
          <w:tcPr>
            <w:tcW w:w="1276" w:type="dxa"/>
            <w:vAlign w:val="center"/>
          </w:tcPr>
          <w:p w14:paraId="5BB197C0" w14:textId="77777777" w:rsidR="00577D08" w:rsidRDefault="00577D08">
            <w:pPr>
              <w:jc w:val="right"/>
              <w:rPr>
                <w:sz w:val="15"/>
                <w:szCs w:val="15"/>
              </w:rPr>
            </w:pPr>
          </w:p>
        </w:tc>
        <w:tc>
          <w:tcPr>
            <w:tcW w:w="1134" w:type="dxa"/>
            <w:vAlign w:val="center"/>
          </w:tcPr>
          <w:p w14:paraId="47177C16" w14:textId="77777777" w:rsidR="00577D08" w:rsidRDefault="00577D08">
            <w:pPr>
              <w:jc w:val="right"/>
              <w:rPr>
                <w:sz w:val="15"/>
                <w:szCs w:val="15"/>
              </w:rPr>
            </w:pPr>
          </w:p>
        </w:tc>
        <w:tc>
          <w:tcPr>
            <w:tcW w:w="992" w:type="dxa"/>
            <w:vAlign w:val="center"/>
          </w:tcPr>
          <w:p w14:paraId="6B0041F0" w14:textId="77777777" w:rsidR="00577D08" w:rsidRDefault="00577D08">
            <w:pPr>
              <w:jc w:val="right"/>
              <w:rPr>
                <w:sz w:val="15"/>
                <w:szCs w:val="15"/>
              </w:rPr>
            </w:pPr>
          </w:p>
        </w:tc>
        <w:tc>
          <w:tcPr>
            <w:tcW w:w="1134" w:type="dxa"/>
            <w:vAlign w:val="center"/>
          </w:tcPr>
          <w:p w14:paraId="03EE8E40" w14:textId="77777777" w:rsidR="00577D08" w:rsidRDefault="00577D08">
            <w:pPr>
              <w:jc w:val="right"/>
              <w:rPr>
                <w:sz w:val="15"/>
                <w:szCs w:val="15"/>
              </w:rPr>
            </w:pPr>
          </w:p>
        </w:tc>
        <w:tc>
          <w:tcPr>
            <w:tcW w:w="1276" w:type="dxa"/>
            <w:vAlign w:val="center"/>
          </w:tcPr>
          <w:p w14:paraId="71D3DCAD" w14:textId="77777777" w:rsidR="00577D08" w:rsidRDefault="00577D08">
            <w:pPr>
              <w:jc w:val="right"/>
              <w:rPr>
                <w:sz w:val="15"/>
                <w:szCs w:val="15"/>
              </w:rPr>
            </w:pPr>
          </w:p>
        </w:tc>
        <w:tc>
          <w:tcPr>
            <w:tcW w:w="1275" w:type="dxa"/>
            <w:vAlign w:val="center"/>
          </w:tcPr>
          <w:p w14:paraId="67C5D839" w14:textId="77777777" w:rsidR="00577D08" w:rsidRDefault="00330FC0">
            <w:pPr>
              <w:jc w:val="right"/>
              <w:rPr>
                <w:sz w:val="15"/>
                <w:szCs w:val="15"/>
              </w:rPr>
            </w:pPr>
            <w:r>
              <w:rPr>
                <w:sz w:val="15"/>
                <w:szCs w:val="15"/>
              </w:rPr>
              <w:t>498,300.00</w:t>
            </w:r>
          </w:p>
        </w:tc>
        <w:tc>
          <w:tcPr>
            <w:tcW w:w="1378" w:type="dxa"/>
            <w:vAlign w:val="center"/>
          </w:tcPr>
          <w:p w14:paraId="2C04FAD2" w14:textId="77777777" w:rsidR="00577D08" w:rsidRDefault="00330FC0">
            <w:pPr>
              <w:jc w:val="right"/>
              <w:rPr>
                <w:sz w:val="15"/>
                <w:szCs w:val="15"/>
              </w:rPr>
            </w:pPr>
            <w:r>
              <w:rPr>
                <w:sz w:val="15"/>
                <w:szCs w:val="15"/>
              </w:rPr>
              <w:t>498,300.00</w:t>
            </w:r>
          </w:p>
        </w:tc>
      </w:tr>
      <w:tr w:rsidR="00577D08" w14:paraId="3367675E" w14:textId="77777777">
        <w:trPr>
          <w:trHeight w:val="20"/>
        </w:trPr>
        <w:sdt>
          <w:sdtPr>
            <w:rPr>
              <w:sz w:val="15"/>
              <w:szCs w:val="15"/>
            </w:rPr>
            <w:tag w:val="_PLD_b280cf7ceeaa4dd8b4b782055ca20607"/>
            <w:id w:val="1186325530"/>
          </w:sdtPr>
          <w:sdtContent>
            <w:tc>
              <w:tcPr>
                <w:tcW w:w="2450" w:type="dxa"/>
                <w:vAlign w:val="center"/>
              </w:tcPr>
              <w:p w14:paraId="4C0C2EA0" w14:textId="77777777" w:rsidR="00577D08" w:rsidRDefault="00330FC0">
                <w:pPr>
                  <w:rPr>
                    <w:sz w:val="15"/>
                    <w:szCs w:val="15"/>
                  </w:rPr>
                </w:pPr>
                <w:r>
                  <w:rPr>
                    <w:sz w:val="15"/>
                    <w:szCs w:val="15"/>
                  </w:rPr>
                  <w:t>（</w:t>
                </w:r>
                <w:r>
                  <w:rPr>
                    <w:rFonts w:hint="eastAsia"/>
                    <w:sz w:val="15"/>
                    <w:szCs w:val="15"/>
                  </w:rPr>
                  <w:t>三</w:t>
                </w:r>
                <w:r>
                  <w:rPr>
                    <w:sz w:val="15"/>
                    <w:szCs w:val="15"/>
                  </w:rPr>
                  <w:t>）利润分配</w:t>
                </w:r>
              </w:p>
            </w:tc>
          </w:sdtContent>
        </w:sdt>
        <w:tc>
          <w:tcPr>
            <w:tcW w:w="1202" w:type="dxa"/>
            <w:tcBorders>
              <w:right w:val="single" w:sz="4" w:space="0" w:color="auto"/>
            </w:tcBorders>
            <w:vAlign w:val="center"/>
          </w:tcPr>
          <w:p w14:paraId="0A657C4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25C921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45C88D0" w14:textId="77777777" w:rsidR="00577D08" w:rsidRDefault="00577D08">
            <w:pPr>
              <w:jc w:val="right"/>
              <w:rPr>
                <w:sz w:val="15"/>
                <w:szCs w:val="15"/>
              </w:rPr>
            </w:pPr>
          </w:p>
        </w:tc>
        <w:tc>
          <w:tcPr>
            <w:tcW w:w="425" w:type="dxa"/>
            <w:tcBorders>
              <w:left w:val="single" w:sz="4" w:space="0" w:color="auto"/>
            </w:tcBorders>
            <w:vAlign w:val="center"/>
          </w:tcPr>
          <w:p w14:paraId="4CF99078" w14:textId="77777777" w:rsidR="00577D08" w:rsidRDefault="00577D08">
            <w:pPr>
              <w:jc w:val="right"/>
              <w:rPr>
                <w:sz w:val="15"/>
                <w:szCs w:val="15"/>
              </w:rPr>
            </w:pPr>
          </w:p>
        </w:tc>
        <w:tc>
          <w:tcPr>
            <w:tcW w:w="1276" w:type="dxa"/>
            <w:vAlign w:val="center"/>
          </w:tcPr>
          <w:p w14:paraId="1D281D91" w14:textId="77777777" w:rsidR="00577D08" w:rsidRDefault="00577D08">
            <w:pPr>
              <w:jc w:val="right"/>
              <w:rPr>
                <w:sz w:val="15"/>
                <w:szCs w:val="15"/>
              </w:rPr>
            </w:pPr>
          </w:p>
        </w:tc>
        <w:tc>
          <w:tcPr>
            <w:tcW w:w="1134" w:type="dxa"/>
            <w:vAlign w:val="center"/>
          </w:tcPr>
          <w:p w14:paraId="27031294" w14:textId="77777777" w:rsidR="00577D08" w:rsidRDefault="00577D08">
            <w:pPr>
              <w:jc w:val="right"/>
              <w:rPr>
                <w:sz w:val="15"/>
                <w:szCs w:val="15"/>
              </w:rPr>
            </w:pPr>
          </w:p>
        </w:tc>
        <w:tc>
          <w:tcPr>
            <w:tcW w:w="992" w:type="dxa"/>
            <w:vAlign w:val="center"/>
          </w:tcPr>
          <w:p w14:paraId="3BEC7582" w14:textId="77777777" w:rsidR="00577D08" w:rsidRDefault="00577D08">
            <w:pPr>
              <w:jc w:val="right"/>
              <w:rPr>
                <w:sz w:val="15"/>
                <w:szCs w:val="15"/>
              </w:rPr>
            </w:pPr>
          </w:p>
        </w:tc>
        <w:tc>
          <w:tcPr>
            <w:tcW w:w="1134" w:type="dxa"/>
            <w:vAlign w:val="center"/>
          </w:tcPr>
          <w:p w14:paraId="7964C979" w14:textId="77777777" w:rsidR="00577D08" w:rsidRDefault="00577D08">
            <w:pPr>
              <w:jc w:val="right"/>
              <w:rPr>
                <w:sz w:val="15"/>
                <w:szCs w:val="15"/>
              </w:rPr>
            </w:pPr>
          </w:p>
        </w:tc>
        <w:tc>
          <w:tcPr>
            <w:tcW w:w="1276" w:type="dxa"/>
            <w:vAlign w:val="center"/>
          </w:tcPr>
          <w:p w14:paraId="2A923193" w14:textId="77777777" w:rsidR="00577D08" w:rsidRDefault="00330FC0">
            <w:pPr>
              <w:jc w:val="right"/>
              <w:rPr>
                <w:sz w:val="15"/>
                <w:szCs w:val="15"/>
              </w:rPr>
            </w:pPr>
            <w:r>
              <w:rPr>
                <w:sz w:val="15"/>
                <w:szCs w:val="15"/>
              </w:rPr>
              <w:t>4,851,665.71</w:t>
            </w:r>
          </w:p>
        </w:tc>
        <w:tc>
          <w:tcPr>
            <w:tcW w:w="1275" w:type="dxa"/>
            <w:vAlign w:val="center"/>
          </w:tcPr>
          <w:p w14:paraId="4584AFBD" w14:textId="77777777" w:rsidR="00577D08" w:rsidRDefault="00330FC0">
            <w:pPr>
              <w:jc w:val="right"/>
              <w:rPr>
                <w:sz w:val="15"/>
                <w:szCs w:val="15"/>
              </w:rPr>
            </w:pPr>
            <w:r>
              <w:rPr>
                <w:sz w:val="15"/>
                <w:szCs w:val="15"/>
              </w:rPr>
              <w:t>-21,465,697.66</w:t>
            </w:r>
          </w:p>
        </w:tc>
        <w:tc>
          <w:tcPr>
            <w:tcW w:w="1378" w:type="dxa"/>
            <w:vAlign w:val="center"/>
          </w:tcPr>
          <w:p w14:paraId="0E56CF9D" w14:textId="77777777" w:rsidR="00577D08" w:rsidRDefault="00330FC0">
            <w:pPr>
              <w:jc w:val="right"/>
              <w:rPr>
                <w:sz w:val="15"/>
                <w:szCs w:val="15"/>
              </w:rPr>
            </w:pPr>
            <w:r>
              <w:rPr>
                <w:sz w:val="15"/>
                <w:szCs w:val="15"/>
              </w:rPr>
              <w:t>-16,614,031.95</w:t>
            </w:r>
          </w:p>
        </w:tc>
      </w:tr>
      <w:tr w:rsidR="00577D08" w14:paraId="1F996114" w14:textId="77777777">
        <w:trPr>
          <w:trHeight w:val="20"/>
        </w:trPr>
        <w:sdt>
          <w:sdtPr>
            <w:rPr>
              <w:sz w:val="15"/>
              <w:szCs w:val="15"/>
            </w:rPr>
            <w:tag w:val="_PLD_bae08be416ce4c01886da1cc65a38bd8"/>
            <w:id w:val="905413408"/>
          </w:sdtPr>
          <w:sdtContent>
            <w:tc>
              <w:tcPr>
                <w:tcW w:w="2450" w:type="dxa"/>
                <w:vAlign w:val="center"/>
              </w:tcPr>
              <w:p w14:paraId="20F556DE" w14:textId="77777777" w:rsidR="00577D08" w:rsidRDefault="00330FC0">
                <w:pPr>
                  <w:rPr>
                    <w:sz w:val="15"/>
                    <w:szCs w:val="15"/>
                  </w:rPr>
                </w:pPr>
                <w:r>
                  <w:rPr>
                    <w:sz w:val="15"/>
                    <w:szCs w:val="15"/>
                  </w:rPr>
                  <w:t>1</w:t>
                </w:r>
                <w:r>
                  <w:rPr>
                    <w:sz w:val="15"/>
                    <w:szCs w:val="15"/>
                  </w:rPr>
                  <w:t>．提取盈余公积</w:t>
                </w:r>
              </w:p>
            </w:tc>
          </w:sdtContent>
        </w:sdt>
        <w:tc>
          <w:tcPr>
            <w:tcW w:w="1202" w:type="dxa"/>
            <w:tcBorders>
              <w:right w:val="single" w:sz="4" w:space="0" w:color="auto"/>
            </w:tcBorders>
            <w:vAlign w:val="center"/>
          </w:tcPr>
          <w:p w14:paraId="7F1254B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D48068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F2F6F8A" w14:textId="77777777" w:rsidR="00577D08" w:rsidRDefault="00577D08">
            <w:pPr>
              <w:jc w:val="right"/>
              <w:rPr>
                <w:sz w:val="15"/>
                <w:szCs w:val="15"/>
              </w:rPr>
            </w:pPr>
          </w:p>
        </w:tc>
        <w:tc>
          <w:tcPr>
            <w:tcW w:w="425" w:type="dxa"/>
            <w:tcBorders>
              <w:left w:val="single" w:sz="4" w:space="0" w:color="auto"/>
            </w:tcBorders>
            <w:vAlign w:val="center"/>
          </w:tcPr>
          <w:p w14:paraId="69D6DCC5" w14:textId="77777777" w:rsidR="00577D08" w:rsidRDefault="00577D08">
            <w:pPr>
              <w:jc w:val="right"/>
              <w:rPr>
                <w:sz w:val="15"/>
                <w:szCs w:val="15"/>
              </w:rPr>
            </w:pPr>
          </w:p>
        </w:tc>
        <w:tc>
          <w:tcPr>
            <w:tcW w:w="1276" w:type="dxa"/>
            <w:vAlign w:val="center"/>
          </w:tcPr>
          <w:p w14:paraId="72E05106" w14:textId="77777777" w:rsidR="00577D08" w:rsidRDefault="00577D08">
            <w:pPr>
              <w:jc w:val="right"/>
              <w:rPr>
                <w:sz w:val="15"/>
                <w:szCs w:val="15"/>
              </w:rPr>
            </w:pPr>
          </w:p>
        </w:tc>
        <w:tc>
          <w:tcPr>
            <w:tcW w:w="1134" w:type="dxa"/>
            <w:vAlign w:val="center"/>
          </w:tcPr>
          <w:p w14:paraId="22913CC1" w14:textId="77777777" w:rsidR="00577D08" w:rsidRDefault="00577D08">
            <w:pPr>
              <w:jc w:val="right"/>
              <w:rPr>
                <w:sz w:val="15"/>
                <w:szCs w:val="15"/>
              </w:rPr>
            </w:pPr>
          </w:p>
        </w:tc>
        <w:tc>
          <w:tcPr>
            <w:tcW w:w="992" w:type="dxa"/>
            <w:vAlign w:val="center"/>
          </w:tcPr>
          <w:p w14:paraId="38D48F68" w14:textId="77777777" w:rsidR="00577D08" w:rsidRDefault="00577D08">
            <w:pPr>
              <w:jc w:val="right"/>
              <w:rPr>
                <w:sz w:val="15"/>
                <w:szCs w:val="15"/>
              </w:rPr>
            </w:pPr>
          </w:p>
        </w:tc>
        <w:tc>
          <w:tcPr>
            <w:tcW w:w="1134" w:type="dxa"/>
            <w:vAlign w:val="center"/>
          </w:tcPr>
          <w:p w14:paraId="4D8E53B6" w14:textId="77777777" w:rsidR="00577D08" w:rsidRDefault="00577D08">
            <w:pPr>
              <w:jc w:val="right"/>
              <w:rPr>
                <w:sz w:val="15"/>
                <w:szCs w:val="15"/>
              </w:rPr>
            </w:pPr>
          </w:p>
        </w:tc>
        <w:tc>
          <w:tcPr>
            <w:tcW w:w="1276" w:type="dxa"/>
            <w:vAlign w:val="center"/>
          </w:tcPr>
          <w:p w14:paraId="682E392B" w14:textId="77777777" w:rsidR="00577D08" w:rsidRDefault="00330FC0">
            <w:pPr>
              <w:jc w:val="right"/>
              <w:rPr>
                <w:sz w:val="15"/>
                <w:szCs w:val="15"/>
              </w:rPr>
            </w:pPr>
            <w:r>
              <w:rPr>
                <w:sz w:val="15"/>
                <w:szCs w:val="15"/>
              </w:rPr>
              <w:t>4,851,665.71</w:t>
            </w:r>
          </w:p>
        </w:tc>
        <w:tc>
          <w:tcPr>
            <w:tcW w:w="1275" w:type="dxa"/>
            <w:vAlign w:val="center"/>
          </w:tcPr>
          <w:p w14:paraId="50540E79" w14:textId="77777777" w:rsidR="00577D08" w:rsidRDefault="00330FC0">
            <w:pPr>
              <w:jc w:val="right"/>
              <w:rPr>
                <w:sz w:val="15"/>
                <w:szCs w:val="15"/>
              </w:rPr>
            </w:pPr>
            <w:r>
              <w:rPr>
                <w:sz w:val="15"/>
                <w:szCs w:val="15"/>
              </w:rPr>
              <w:t>-4,851,665.71</w:t>
            </w:r>
          </w:p>
        </w:tc>
        <w:tc>
          <w:tcPr>
            <w:tcW w:w="1378" w:type="dxa"/>
            <w:vAlign w:val="center"/>
          </w:tcPr>
          <w:p w14:paraId="43BC085B" w14:textId="77777777" w:rsidR="00577D08" w:rsidRDefault="00577D08">
            <w:pPr>
              <w:ind w:right="150"/>
              <w:jc w:val="right"/>
              <w:rPr>
                <w:sz w:val="15"/>
                <w:szCs w:val="15"/>
              </w:rPr>
            </w:pPr>
          </w:p>
        </w:tc>
      </w:tr>
      <w:tr w:rsidR="00577D08" w14:paraId="02F07FB1" w14:textId="77777777">
        <w:trPr>
          <w:trHeight w:val="20"/>
        </w:trPr>
        <w:sdt>
          <w:sdtPr>
            <w:rPr>
              <w:sz w:val="15"/>
              <w:szCs w:val="15"/>
            </w:rPr>
            <w:tag w:val="_PLD_4deac8941f8344f99337c17d7e8feb6f"/>
            <w:id w:val="-1194916202"/>
          </w:sdtPr>
          <w:sdtContent>
            <w:tc>
              <w:tcPr>
                <w:tcW w:w="2450" w:type="dxa"/>
                <w:vAlign w:val="center"/>
              </w:tcPr>
              <w:p w14:paraId="5A2E03D2" w14:textId="77777777" w:rsidR="00577D08" w:rsidRDefault="00330FC0">
                <w:pPr>
                  <w:rPr>
                    <w:sz w:val="15"/>
                    <w:szCs w:val="15"/>
                  </w:rPr>
                </w:pPr>
                <w:r>
                  <w:rPr>
                    <w:rFonts w:hint="eastAsia"/>
                    <w:sz w:val="15"/>
                    <w:szCs w:val="15"/>
                  </w:rPr>
                  <w:t>2</w:t>
                </w:r>
                <w:r>
                  <w:rPr>
                    <w:sz w:val="15"/>
                    <w:szCs w:val="15"/>
                  </w:rPr>
                  <w:t>．对所有者（或股东）的分配</w:t>
                </w:r>
              </w:p>
            </w:tc>
          </w:sdtContent>
        </w:sdt>
        <w:tc>
          <w:tcPr>
            <w:tcW w:w="1202" w:type="dxa"/>
            <w:tcBorders>
              <w:right w:val="single" w:sz="4" w:space="0" w:color="auto"/>
            </w:tcBorders>
            <w:vAlign w:val="center"/>
          </w:tcPr>
          <w:p w14:paraId="32557B09"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45DE9C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1DD50A6" w14:textId="77777777" w:rsidR="00577D08" w:rsidRDefault="00577D08">
            <w:pPr>
              <w:jc w:val="right"/>
              <w:rPr>
                <w:sz w:val="15"/>
                <w:szCs w:val="15"/>
              </w:rPr>
            </w:pPr>
          </w:p>
        </w:tc>
        <w:tc>
          <w:tcPr>
            <w:tcW w:w="425" w:type="dxa"/>
            <w:tcBorders>
              <w:left w:val="single" w:sz="4" w:space="0" w:color="auto"/>
            </w:tcBorders>
            <w:vAlign w:val="center"/>
          </w:tcPr>
          <w:p w14:paraId="526BF1B4" w14:textId="77777777" w:rsidR="00577D08" w:rsidRDefault="00577D08">
            <w:pPr>
              <w:jc w:val="right"/>
              <w:rPr>
                <w:sz w:val="15"/>
                <w:szCs w:val="15"/>
              </w:rPr>
            </w:pPr>
          </w:p>
        </w:tc>
        <w:tc>
          <w:tcPr>
            <w:tcW w:w="1276" w:type="dxa"/>
            <w:vAlign w:val="center"/>
          </w:tcPr>
          <w:p w14:paraId="12247AE8" w14:textId="77777777" w:rsidR="00577D08" w:rsidRDefault="00577D08">
            <w:pPr>
              <w:jc w:val="right"/>
              <w:rPr>
                <w:sz w:val="15"/>
                <w:szCs w:val="15"/>
              </w:rPr>
            </w:pPr>
          </w:p>
        </w:tc>
        <w:tc>
          <w:tcPr>
            <w:tcW w:w="1134" w:type="dxa"/>
            <w:vAlign w:val="center"/>
          </w:tcPr>
          <w:p w14:paraId="1C8BDB11" w14:textId="77777777" w:rsidR="00577D08" w:rsidRDefault="00577D08">
            <w:pPr>
              <w:jc w:val="right"/>
              <w:rPr>
                <w:sz w:val="15"/>
                <w:szCs w:val="15"/>
              </w:rPr>
            </w:pPr>
          </w:p>
        </w:tc>
        <w:tc>
          <w:tcPr>
            <w:tcW w:w="992" w:type="dxa"/>
            <w:vAlign w:val="center"/>
          </w:tcPr>
          <w:p w14:paraId="3C5FEB46" w14:textId="77777777" w:rsidR="00577D08" w:rsidRDefault="00577D08">
            <w:pPr>
              <w:jc w:val="right"/>
              <w:rPr>
                <w:sz w:val="15"/>
                <w:szCs w:val="15"/>
              </w:rPr>
            </w:pPr>
          </w:p>
        </w:tc>
        <w:tc>
          <w:tcPr>
            <w:tcW w:w="1134" w:type="dxa"/>
            <w:vAlign w:val="center"/>
          </w:tcPr>
          <w:p w14:paraId="46D1BCF0" w14:textId="77777777" w:rsidR="00577D08" w:rsidRDefault="00577D08">
            <w:pPr>
              <w:jc w:val="right"/>
              <w:rPr>
                <w:sz w:val="15"/>
                <w:szCs w:val="15"/>
              </w:rPr>
            </w:pPr>
          </w:p>
        </w:tc>
        <w:tc>
          <w:tcPr>
            <w:tcW w:w="1276" w:type="dxa"/>
            <w:vAlign w:val="center"/>
          </w:tcPr>
          <w:p w14:paraId="774A1B3A" w14:textId="77777777" w:rsidR="00577D08" w:rsidRDefault="00577D08">
            <w:pPr>
              <w:jc w:val="right"/>
              <w:rPr>
                <w:sz w:val="15"/>
                <w:szCs w:val="15"/>
              </w:rPr>
            </w:pPr>
          </w:p>
        </w:tc>
        <w:tc>
          <w:tcPr>
            <w:tcW w:w="1275" w:type="dxa"/>
            <w:vAlign w:val="center"/>
          </w:tcPr>
          <w:p w14:paraId="71036A51" w14:textId="77777777" w:rsidR="00577D08" w:rsidRDefault="00330FC0">
            <w:pPr>
              <w:jc w:val="right"/>
              <w:rPr>
                <w:sz w:val="15"/>
                <w:szCs w:val="15"/>
              </w:rPr>
            </w:pPr>
            <w:r>
              <w:rPr>
                <w:sz w:val="15"/>
                <w:szCs w:val="15"/>
              </w:rPr>
              <w:t>-16,614,031.95</w:t>
            </w:r>
          </w:p>
        </w:tc>
        <w:tc>
          <w:tcPr>
            <w:tcW w:w="1378" w:type="dxa"/>
            <w:vAlign w:val="center"/>
          </w:tcPr>
          <w:p w14:paraId="2B129525" w14:textId="77777777" w:rsidR="00577D08" w:rsidRDefault="00330FC0">
            <w:pPr>
              <w:jc w:val="right"/>
              <w:rPr>
                <w:sz w:val="15"/>
                <w:szCs w:val="15"/>
              </w:rPr>
            </w:pPr>
            <w:r>
              <w:rPr>
                <w:sz w:val="15"/>
                <w:szCs w:val="15"/>
              </w:rPr>
              <w:t>-16,614,031.95</w:t>
            </w:r>
          </w:p>
        </w:tc>
      </w:tr>
      <w:tr w:rsidR="00577D08" w14:paraId="239A0169" w14:textId="77777777">
        <w:trPr>
          <w:trHeight w:val="20"/>
        </w:trPr>
        <w:sdt>
          <w:sdtPr>
            <w:rPr>
              <w:sz w:val="15"/>
              <w:szCs w:val="15"/>
            </w:rPr>
            <w:tag w:val="_PLD_ff58a7e98f194ea88a1175d96b9527b1"/>
            <w:id w:val="-260683430"/>
          </w:sdtPr>
          <w:sdtContent>
            <w:tc>
              <w:tcPr>
                <w:tcW w:w="2450" w:type="dxa"/>
                <w:vAlign w:val="center"/>
              </w:tcPr>
              <w:p w14:paraId="5F5F5535" w14:textId="77777777" w:rsidR="00577D08" w:rsidRDefault="00330FC0">
                <w:pPr>
                  <w:rPr>
                    <w:sz w:val="15"/>
                    <w:szCs w:val="15"/>
                  </w:rPr>
                </w:pPr>
                <w:r>
                  <w:rPr>
                    <w:rFonts w:hint="eastAsia"/>
                    <w:sz w:val="15"/>
                    <w:szCs w:val="15"/>
                  </w:rPr>
                  <w:t>3</w:t>
                </w:r>
                <w:r>
                  <w:rPr>
                    <w:sz w:val="15"/>
                    <w:szCs w:val="15"/>
                  </w:rPr>
                  <w:t>．其他</w:t>
                </w:r>
              </w:p>
            </w:tc>
          </w:sdtContent>
        </w:sdt>
        <w:tc>
          <w:tcPr>
            <w:tcW w:w="1202" w:type="dxa"/>
            <w:tcBorders>
              <w:right w:val="single" w:sz="4" w:space="0" w:color="auto"/>
            </w:tcBorders>
            <w:vAlign w:val="center"/>
          </w:tcPr>
          <w:p w14:paraId="6754BD0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8E4A02B"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5E1574E" w14:textId="77777777" w:rsidR="00577D08" w:rsidRDefault="00577D08">
            <w:pPr>
              <w:jc w:val="right"/>
              <w:rPr>
                <w:sz w:val="15"/>
                <w:szCs w:val="15"/>
              </w:rPr>
            </w:pPr>
          </w:p>
        </w:tc>
        <w:tc>
          <w:tcPr>
            <w:tcW w:w="425" w:type="dxa"/>
            <w:tcBorders>
              <w:left w:val="single" w:sz="4" w:space="0" w:color="auto"/>
            </w:tcBorders>
            <w:vAlign w:val="center"/>
          </w:tcPr>
          <w:p w14:paraId="20DF2254" w14:textId="77777777" w:rsidR="00577D08" w:rsidRDefault="00577D08">
            <w:pPr>
              <w:jc w:val="right"/>
              <w:rPr>
                <w:sz w:val="15"/>
                <w:szCs w:val="15"/>
              </w:rPr>
            </w:pPr>
          </w:p>
        </w:tc>
        <w:tc>
          <w:tcPr>
            <w:tcW w:w="1276" w:type="dxa"/>
            <w:vAlign w:val="center"/>
          </w:tcPr>
          <w:p w14:paraId="2B34C5EF" w14:textId="77777777" w:rsidR="00577D08" w:rsidRDefault="00577D08">
            <w:pPr>
              <w:jc w:val="right"/>
              <w:rPr>
                <w:sz w:val="15"/>
                <w:szCs w:val="15"/>
              </w:rPr>
            </w:pPr>
          </w:p>
        </w:tc>
        <w:tc>
          <w:tcPr>
            <w:tcW w:w="1134" w:type="dxa"/>
            <w:vAlign w:val="center"/>
          </w:tcPr>
          <w:p w14:paraId="229A3E5D" w14:textId="77777777" w:rsidR="00577D08" w:rsidRDefault="00577D08">
            <w:pPr>
              <w:jc w:val="right"/>
              <w:rPr>
                <w:sz w:val="15"/>
                <w:szCs w:val="15"/>
              </w:rPr>
            </w:pPr>
          </w:p>
        </w:tc>
        <w:tc>
          <w:tcPr>
            <w:tcW w:w="992" w:type="dxa"/>
            <w:vAlign w:val="center"/>
          </w:tcPr>
          <w:p w14:paraId="125735C7" w14:textId="77777777" w:rsidR="00577D08" w:rsidRDefault="00577D08">
            <w:pPr>
              <w:jc w:val="right"/>
              <w:rPr>
                <w:sz w:val="15"/>
                <w:szCs w:val="15"/>
              </w:rPr>
            </w:pPr>
          </w:p>
        </w:tc>
        <w:tc>
          <w:tcPr>
            <w:tcW w:w="1134" w:type="dxa"/>
            <w:vAlign w:val="center"/>
          </w:tcPr>
          <w:p w14:paraId="36B6CB6A" w14:textId="77777777" w:rsidR="00577D08" w:rsidRDefault="00577D08">
            <w:pPr>
              <w:jc w:val="right"/>
              <w:rPr>
                <w:sz w:val="15"/>
                <w:szCs w:val="15"/>
              </w:rPr>
            </w:pPr>
          </w:p>
        </w:tc>
        <w:tc>
          <w:tcPr>
            <w:tcW w:w="1276" w:type="dxa"/>
            <w:vAlign w:val="center"/>
          </w:tcPr>
          <w:p w14:paraId="1DA67D39" w14:textId="77777777" w:rsidR="00577D08" w:rsidRDefault="00577D08">
            <w:pPr>
              <w:jc w:val="right"/>
              <w:rPr>
                <w:sz w:val="15"/>
                <w:szCs w:val="15"/>
              </w:rPr>
            </w:pPr>
          </w:p>
        </w:tc>
        <w:tc>
          <w:tcPr>
            <w:tcW w:w="1275" w:type="dxa"/>
            <w:vAlign w:val="center"/>
          </w:tcPr>
          <w:p w14:paraId="171EB3C6" w14:textId="77777777" w:rsidR="00577D08" w:rsidRDefault="00577D08">
            <w:pPr>
              <w:jc w:val="right"/>
              <w:rPr>
                <w:sz w:val="15"/>
                <w:szCs w:val="15"/>
              </w:rPr>
            </w:pPr>
          </w:p>
        </w:tc>
        <w:tc>
          <w:tcPr>
            <w:tcW w:w="1378" w:type="dxa"/>
            <w:vAlign w:val="center"/>
          </w:tcPr>
          <w:p w14:paraId="0FE37206" w14:textId="77777777" w:rsidR="00577D08" w:rsidRDefault="00577D08">
            <w:pPr>
              <w:jc w:val="right"/>
              <w:rPr>
                <w:sz w:val="15"/>
                <w:szCs w:val="15"/>
              </w:rPr>
            </w:pPr>
          </w:p>
        </w:tc>
      </w:tr>
      <w:tr w:rsidR="00577D08" w14:paraId="29A97776" w14:textId="77777777">
        <w:trPr>
          <w:trHeight w:val="20"/>
        </w:trPr>
        <w:sdt>
          <w:sdtPr>
            <w:rPr>
              <w:sz w:val="15"/>
              <w:szCs w:val="15"/>
            </w:rPr>
            <w:tag w:val="_PLD_8938fb7f04ef4f54b6183645ffa42f40"/>
            <w:id w:val="1204133192"/>
          </w:sdtPr>
          <w:sdtContent>
            <w:tc>
              <w:tcPr>
                <w:tcW w:w="2450" w:type="dxa"/>
                <w:vAlign w:val="center"/>
              </w:tcPr>
              <w:p w14:paraId="6634D995" w14:textId="77777777" w:rsidR="00577D08" w:rsidRDefault="00330FC0">
                <w:pPr>
                  <w:rPr>
                    <w:sz w:val="15"/>
                    <w:szCs w:val="15"/>
                  </w:rPr>
                </w:pPr>
                <w:r>
                  <w:rPr>
                    <w:sz w:val="15"/>
                    <w:szCs w:val="15"/>
                  </w:rPr>
                  <w:t>（</w:t>
                </w:r>
                <w:r>
                  <w:rPr>
                    <w:rFonts w:hint="eastAsia"/>
                    <w:sz w:val="15"/>
                    <w:szCs w:val="15"/>
                  </w:rPr>
                  <w:t>四</w:t>
                </w:r>
                <w:r>
                  <w:rPr>
                    <w:sz w:val="15"/>
                    <w:szCs w:val="15"/>
                  </w:rPr>
                  <w:t>）所有者权益内部结转</w:t>
                </w:r>
              </w:p>
            </w:tc>
          </w:sdtContent>
        </w:sdt>
        <w:tc>
          <w:tcPr>
            <w:tcW w:w="1202" w:type="dxa"/>
            <w:tcBorders>
              <w:right w:val="single" w:sz="4" w:space="0" w:color="auto"/>
            </w:tcBorders>
            <w:vAlign w:val="center"/>
          </w:tcPr>
          <w:p w14:paraId="148C0B1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B9127CC"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AB0A5C8" w14:textId="77777777" w:rsidR="00577D08" w:rsidRDefault="00577D08">
            <w:pPr>
              <w:jc w:val="right"/>
              <w:rPr>
                <w:sz w:val="15"/>
                <w:szCs w:val="15"/>
              </w:rPr>
            </w:pPr>
          </w:p>
        </w:tc>
        <w:tc>
          <w:tcPr>
            <w:tcW w:w="425" w:type="dxa"/>
            <w:tcBorders>
              <w:left w:val="single" w:sz="4" w:space="0" w:color="auto"/>
            </w:tcBorders>
            <w:vAlign w:val="center"/>
          </w:tcPr>
          <w:p w14:paraId="15D4E058" w14:textId="77777777" w:rsidR="00577D08" w:rsidRDefault="00577D08">
            <w:pPr>
              <w:jc w:val="right"/>
              <w:rPr>
                <w:sz w:val="15"/>
                <w:szCs w:val="15"/>
              </w:rPr>
            </w:pPr>
          </w:p>
        </w:tc>
        <w:tc>
          <w:tcPr>
            <w:tcW w:w="1276" w:type="dxa"/>
            <w:vAlign w:val="center"/>
          </w:tcPr>
          <w:p w14:paraId="22AF5F05" w14:textId="77777777" w:rsidR="00577D08" w:rsidRDefault="00577D08">
            <w:pPr>
              <w:jc w:val="right"/>
              <w:rPr>
                <w:sz w:val="15"/>
                <w:szCs w:val="15"/>
              </w:rPr>
            </w:pPr>
          </w:p>
        </w:tc>
        <w:tc>
          <w:tcPr>
            <w:tcW w:w="1134" w:type="dxa"/>
            <w:vAlign w:val="center"/>
          </w:tcPr>
          <w:p w14:paraId="3CDD0E7F" w14:textId="77777777" w:rsidR="00577D08" w:rsidRDefault="00577D08">
            <w:pPr>
              <w:jc w:val="right"/>
              <w:rPr>
                <w:sz w:val="15"/>
                <w:szCs w:val="15"/>
              </w:rPr>
            </w:pPr>
          </w:p>
        </w:tc>
        <w:tc>
          <w:tcPr>
            <w:tcW w:w="992" w:type="dxa"/>
            <w:vAlign w:val="center"/>
          </w:tcPr>
          <w:p w14:paraId="0781E326" w14:textId="77777777" w:rsidR="00577D08" w:rsidRDefault="00577D08">
            <w:pPr>
              <w:jc w:val="right"/>
              <w:rPr>
                <w:sz w:val="15"/>
                <w:szCs w:val="15"/>
              </w:rPr>
            </w:pPr>
          </w:p>
        </w:tc>
        <w:tc>
          <w:tcPr>
            <w:tcW w:w="1134" w:type="dxa"/>
            <w:vAlign w:val="center"/>
          </w:tcPr>
          <w:p w14:paraId="1CF3E772" w14:textId="77777777" w:rsidR="00577D08" w:rsidRDefault="00577D08">
            <w:pPr>
              <w:jc w:val="right"/>
              <w:rPr>
                <w:sz w:val="15"/>
                <w:szCs w:val="15"/>
              </w:rPr>
            </w:pPr>
          </w:p>
        </w:tc>
        <w:tc>
          <w:tcPr>
            <w:tcW w:w="1276" w:type="dxa"/>
            <w:vAlign w:val="center"/>
          </w:tcPr>
          <w:p w14:paraId="5402D48F" w14:textId="77777777" w:rsidR="00577D08" w:rsidRDefault="00577D08">
            <w:pPr>
              <w:jc w:val="right"/>
              <w:rPr>
                <w:sz w:val="15"/>
                <w:szCs w:val="15"/>
              </w:rPr>
            </w:pPr>
          </w:p>
        </w:tc>
        <w:tc>
          <w:tcPr>
            <w:tcW w:w="1275" w:type="dxa"/>
            <w:vAlign w:val="center"/>
          </w:tcPr>
          <w:p w14:paraId="0BA14B1E" w14:textId="77777777" w:rsidR="00577D08" w:rsidRDefault="00577D08">
            <w:pPr>
              <w:jc w:val="right"/>
              <w:rPr>
                <w:sz w:val="15"/>
                <w:szCs w:val="15"/>
              </w:rPr>
            </w:pPr>
          </w:p>
        </w:tc>
        <w:tc>
          <w:tcPr>
            <w:tcW w:w="1378" w:type="dxa"/>
            <w:vAlign w:val="center"/>
          </w:tcPr>
          <w:p w14:paraId="45CB7738" w14:textId="77777777" w:rsidR="00577D08" w:rsidRDefault="00577D08">
            <w:pPr>
              <w:jc w:val="right"/>
              <w:rPr>
                <w:sz w:val="15"/>
                <w:szCs w:val="15"/>
              </w:rPr>
            </w:pPr>
          </w:p>
        </w:tc>
      </w:tr>
      <w:tr w:rsidR="00577D08" w14:paraId="134742FC" w14:textId="77777777">
        <w:trPr>
          <w:trHeight w:val="20"/>
        </w:trPr>
        <w:sdt>
          <w:sdtPr>
            <w:rPr>
              <w:sz w:val="15"/>
              <w:szCs w:val="15"/>
            </w:rPr>
            <w:tag w:val="_PLD_805f473e3b5c4efd99b4c472dc99ddb5"/>
            <w:id w:val="1193652028"/>
          </w:sdtPr>
          <w:sdtContent>
            <w:tc>
              <w:tcPr>
                <w:tcW w:w="2450" w:type="dxa"/>
                <w:vAlign w:val="center"/>
              </w:tcPr>
              <w:p w14:paraId="6558B4B8" w14:textId="77777777" w:rsidR="00577D08" w:rsidRDefault="00330FC0">
                <w:pPr>
                  <w:rPr>
                    <w:sz w:val="15"/>
                    <w:szCs w:val="15"/>
                  </w:rPr>
                </w:pPr>
                <w:r>
                  <w:rPr>
                    <w:sz w:val="15"/>
                    <w:szCs w:val="15"/>
                  </w:rPr>
                  <w:t>1</w:t>
                </w:r>
                <w:r>
                  <w:rPr>
                    <w:sz w:val="15"/>
                    <w:szCs w:val="15"/>
                  </w:rPr>
                  <w:t>．资本公积转增资本（或股本）</w:t>
                </w:r>
              </w:p>
            </w:tc>
          </w:sdtContent>
        </w:sdt>
        <w:tc>
          <w:tcPr>
            <w:tcW w:w="1202" w:type="dxa"/>
            <w:tcBorders>
              <w:right w:val="single" w:sz="4" w:space="0" w:color="auto"/>
            </w:tcBorders>
            <w:vAlign w:val="center"/>
          </w:tcPr>
          <w:p w14:paraId="1719E24B"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70B1CDA"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05ECD95" w14:textId="77777777" w:rsidR="00577D08" w:rsidRDefault="00577D08">
            <w:pPr>
              <w:jc w:val="right"/>
              <w:rPr>
                <w:sz w:val="15"/>
                <w:szCs w:val="15"/>
              </w:rPr>
            </w:pPr>
          </w:p>
        </w:tc>
        <w:tc>
          <w:tcPr>
            <w:tcW w:w="425" w:type="dxa"/>
            <w:tcBorders>
              <w:left w:val="single" w:sz="4" w:space="0" w:color="auto"/>
            </w:tcBorders>
            <w:vAlign w:val="center"/>
          </w:tcPr>
          <w:p w14:paraId="3001A6AB" w14:textId="77777777" w:rsidR="00577D08" w:rsidRDefault="00577D08">
            <w:pPr>
              <w:jc w:val="right"/>
              <w:rPr>
                <w:sz w:val="15"/>
                <w:szCs w:val="15"/>
              </w:rPr>
            </w:pPr>
          </w:p>
        </w:tc>
        <w:tc>
          <w:tcPr>
            <w:tcW w:w="1276" w:type="dxa"/>
            <w:vAlign w:val="center"/>
          </w:tcPr>
          <w:p w14:paraId="4A63CA48" w14:textId="77777777" w:rsidR="00577D08" w:rsidRDefault="00577D08">
            <w:pPr>
              <w:jc w:val="right"/>
              <w:rPr>
                <w:sz w:val="15"/>
                <w:szCs w:val="15"/>
              </w:rPr>
            </w:pPr>
          </w:p>
        </w:tc>
        <w:tc>
          <w:tcPr>
            <w:tcW w:w="1134" w:type="dxa"/>
            <w:vAlign w:val="center"/>
          </w:tcPr>
          <w:p w14:paraId="71541607" w14:textId="77777777" w:rsidR="00577D08" w:rsidRDefault="00577D08">
            <w:pPr>
              <w:jc w:val="right"/>
              <w:rPr>
                <w:sz w:val="15"/>
                <w:szCs w:val="15"/>
              </w:rPr>
            </w:pPr>
          </w:p>
        </w:tc>
        <w:tc>
          <w:tcPr>
            <w:tcW w:w="992" w:type="dxa"/>
            <w:vAlign w:val="center"/>
          </w:tcPr>
          <w:p w14:paraId="41DDFDA2" w14:textId="77777777" w:rsidR="00577D08" w:rsidRDefault="00577D08">
            <w:pPr>
              <w:jc w:val="right"/>
              <w:rPr>
                <w:sz w:val="15"/>
                <w:szCs w:val="15"/>
              </w:rPr>
            </w:pPr>
          </w:p>
        </w:tc>
        <w:tc>
          <w:tcPr>
            <w:tcW w:w="1134" w:type="dxa"/>
            <w:vAlign w:val="center"/>
          </w:tcPr>
          <w:p w14:paraId="7C5809B0" w14:textId="77777777" w:rsidR="00577D08" w:rsidRDefault="00577D08">
            <w:pPr>
              <w:jc w:val="right"/>
              <w:rPr>
                <w:sz w:val="15"/>
                <w:szCs w:val="15"/>
              </w:rPr>
            </w:pPr>
          </w:p>
        </w:tc>
        <w:tc>
          <w:tcPr>
            <w:tcW w:w="1276" w:type="dxa"/>
            <w:vAlign w:val="center"/>
          </w:tcPr>
          <w:p w14:paraId="58789CF9" w14:textId="77777777" w:rsidR="00577D08" w:rsidRDefault="00577D08">
            <w:pPr>
              <w:jc w:val="right"/>
              <w:rPr>
                <w:sz w:val="15"/>
                <w:szCs w:val="15"/>
              </w:rPr>
            </w:pPr>
          </w:p>
        </w:tc>
        <w:tc>
          <w:tcPr>
            <w:tcW w:w="1275" w:type="dxa"/>
            <w:vAlign w:val="center"/>
          </w:tcPr>
          <w:p w14:paraId="262AD600" w14:textId="77777777" w:rsidR="00577D08" w:rsidRDefault="00577D08">
            <w:pPr>
              <w:jc w:val="right"/>
              <w:rPr>
                <w:sz w:val="15"/>
                <w:szCs w:val="15"/>
              </w:rPr>
            </w:pPr>
          </w:p>
        </w:tc>
        <w:tc>
          <w:tcPr>
            <w:tcW w:w="1378" w:type="dxa"/>
            <w:vAlign w:val="center"/>
          </w:tcPr>
          <w:p w14:paraId="546073CC" w14:textId="77777777" w:rsidR="00577D08" w:rsidRDefault="00577D08">
            <w:pPr>
              <w:jc w:val="right"/>
              <w:rPr>
                <w:sz w:val="15"/>
                <w:szCs w:val="15"/>
              </w:rPr>
            </w:pPr>
          </w:p>
        </w:tc>
      </w:tr>
      <w:tr w:rsidR="00577D08" w14:paraId="485D7BDA" w14:textId="77777777">
        <w:trPr>
          <w:trHeight w:val="20"/>
        </w:trPr>
        <w:sdt>
          <w:sdtPr>
            <w:rPr>
              <w:sz w:val="15"/>
              <w:szCs w:val="15"/>
            </w:rPr>
            <w:tag w:val="_PLD_c2dd17db22d54e02ba5942412d96f3ac"/>
            <w:id w:val="-172190357"/>
          </w:sdtPr>
          <w:sdtContent>
            <w:tc>
              <w:tcPr>
                <w:tcW w:w="2450" w:type="dxa"/>
                <w:vAlign w:val="center"/>
              </w:tcPr>
              <w:p w14:paraId="2FE18A46" w14:textId="77777777" w:rsidR="00577D08" w:rsidRDefault="00330FC0">
                <w:pPr>
                  <w:rPr>
                    <w:sz w:val="15"/>
                    <w:szCs w:val="15"/>
                  </w:rPr>
                </w:pPr>
                <w:r>
                  <w:rPr>
                    <w:sz w:val="15"/>
                    <w:szCs w:val="15"/>
                  </w:rPr>
                  <w:t>2</w:t>
                </w:r>
                <w:r>
                  <w:rPr>
                    <w:sz w:val="15"/>
                    <w:szCs w:val="15"/>
                  </w:rPr>
                  <w:t>．盈余公积转增资本（或股本）</w:t>
                </w:r>
              </w:p>
            </w:tc>
          </w:sdtContent>
        </w:sdt>
        <w:tc>
          <w:tcPr>
            <w:tcW w:w="1202" w:type="dxa"/>
            <w:tcBorders>
              <w:right w:val="single" w:sz="4" w:space="0" w:color="auto"/>
            </w:tcBorders>
            <w:vAlign w:val="center"/>
          </w:tcPr>
          <w:p w14:paraId="7A82794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A731DBC"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D48B533" w14:textId="77777777" w:rsidR="00577D08" w:rsidRDefault="00577D08">
            <w:pPr>
              <w:jc w:val="right"/>
              <w:rPr>
                <w:sz w:val="15"/>
                <w:szCs w:val="15"/>
              </w:rPr>
            </w:pPr>
          </w:p>
        </w:tc>
        <w:tc>
          <w:tcPr>
            <w:tcW w:w="425" w:type="dxa"/>
            <w:tcBorders>
              <w:left w:val="single" w:sz="4" w:space="0" w:color="auto"/>
            </w:tcBorders>
            <w:vAlign w:val="center"/>
          </w:tcPr>
          <w:p w14:paraId="595C41C3" w14:textId="77777777" w:rsidR="00577D08" w:rsidRDefault="00577D08">
            <w:pPr>
              <w:jc w:val="right"/>
              <w:rPr>
                <w:sz w:val="15"/>
                <w:szCs w:val="15"/>
              </w:rPr>
            </w:pPr>
          </w:p>
        </w:tc>
        <w:tc>
          <w:tcPr>
            <w:tcW w:w="1276" w:type="dxa"/>
            <w:vAlign w:val="center"/>
          </w:tcPr>
          <w:p w14:paraId="4353C6AF" w14:textId="77777777" w:rsidR="00577D08" w:rsidRDefault="00577D08">
            <w:pPr>
              <w:jc w:val="right"/>
              <w:rPr>
                <w:sz w:val="15"/>
                <w:szCs w:val="15"/>
              </w:rPr>
            </w:pPr>
          </w:p>
        </w:tc>
        <w:tc>
          <w:tcPr>
            <w:tcW w:w="1134" w:type="dxa"/>
            <w:vAlign w:val="center"/>
          </w:tcPr>
          <w:p w14:paraId="7FF9F02D" w14:textId="77777777" w:rsidR="00577D08" w:rsidRDefault="00577D08">
            <w:pPr>
              <w:jc w:val="right"/>
              <w:rPr>
                <w:sz w:val="15"/>
                <w:szCs w:val="15"/>
              </w:rPr>
            </w:pPr>
          </w:p>
        </w:tc>
        <w:tc>
          <w:tcPr>
            <w:tcW w:w="992" w:type="dxa"/>
            <w:vAlign w:val="center"/>
          </w:tcPr>
          <w:p w14:paraId="327FEEED" w14:textId="77777777" w:rsidR="00577D08" w:rsidRDefault="00577D08">
            <w:pPr>
              <w:jc w:val="right"/>
              <w:rPr>
                <w:sz w:val="15"/>
                <w:szCs w:val="15"/>
              </w:rPr>
            </w:pPr>
          </w:p>
        </w:tc>
        <w:tc>
          <w:tcPr>
            <w:tcW w:w="1134" w:type="dxa"/>
            <w:vAlign w:val="center"/>
          </w:tcPr>
          <w:p w14:paraId="70FDC83F" w14:textId="77777777" w:rsidR="00577D08" w:rsidRDefault="00577D08">
            <w:pPr>
              <w:jc w:val="right"/>
              <w:rPr>
                <w:sz w:val="15"/>
                <w:szCs w:val="15"/>
              </w:rPr>
            </w:pPr>
          </w:p>
        </w:tc>
        <w:tc>
          <w:tcPr>
            <w:tcW w:w="1276" w:type="dxa"/>
            <w:vAlign w:val="center"/>
          </w:tcPr>
          <w:p w14:paraId="52F80409" w14:textId="77777777" w:rsidR="00577D08" w:rsidRDefault="00577D08">
            <w:pPr>
              <w:jc w:val="right"/>
              <w:rPr>
                <w:sz w:val="15"/>
                <w:szCs w:val="15"/>
              </w:rPr>
            </w:pPr>
          </w:p>
        </w:tc>
        <w:tc>
          <w:tcPr>
            <w:tcW w:w="1275" w:type="dxa"/>
            <w:vAlign w:val="center"/>
          </w:tcPr>
          <w:p w14:paraId="0FBF9D85" w14:textId="77777777" w:rsidR="00577D08" w:rsidRDefault="00577D08">
            <w:pPr>
              <w:jc w:val="right"/>
              <w:rPr>
                <w:sz w:val="15"/>
                <w:szCs w:val="15"/>
              </w:rPr>
            </w:pPr>
          </w:p>
        </w:tc>
        <w:tc>
          <w:tcPr>
            <w:tcW w:w="1378" w:type="dxa"/>
            <w:vAlign w:val="center"/>
          </w:tcPr>
          <w:p w14:paraId="450ABF66" w14:textId="77777777" w:rsidR="00577D08" w:rsidRDefault="00577D08">
            <w:pPr>
              <w:jc w:val="right"/>
              <w:rPr>
                <w:sz w:val="15"/>
                <w:szCs w:val="15"/>
              </w:rPr>
            </w:pPr>
          </w:p>
        </w:tc>
      </w:tr>
      <w:tr w:rsidR="00577D08" w14:paraId="03A75A7B" w14:textId="77777777">
        <w:trPr>
          <w:trHeight w:val="20"/>
        </w:trPr>
        <w:sdt>
          <w:sdtPr>
            <w:rPr>
              <w:sz w:val="15"/>
              <w:szCs w:val="15"/>
            </w:rPr>
            <w:tag w:val="_PLD_de8855f6aaf94578a33d614865e23362"/>
            <w:id w:val="-1853718525"/>
          </w:sdtPr>
          <w:sdtContent>
            <w:tc>
              <w:tcPr>
                <w:tcW w:w="2450" w:type="dxa"/>
                <w:vAlign w:val="center"/>
              </w:tcPr>
              <w:p w14:paraId="45654531" w14:textId="77777777" w:rsidR="00577D08" w:rsidRDefault="00330FC0">
                <w:pPr>
                  <w:rPr>
                    <w:sz w:val="15"/>
                    <w:szCs w:val="15"/>
                  </w:rPr>
                </w:pPr>
                <w:r>
                  <w:rPr>
                    <w:sz w:val="15"/>
                    <w:szCs w:val="15"/>
                  </w:rPr>
                  <w:t>3</w:t>
                </w:r>
                <w:r>
                  <w:rPr>
                    <w:sz w:val="15"/>
                    <w:szCs w:val="15"/>
                  </w:rPr>
                  <w:t>．盈余公积弥补亏损</w:t>
                </w:r>
              </w:p>
            </w:tc>
          </w:sdtContent>
        </w:sdt>
        <w:tc>
          <w:tcPr>
            <w:tcW w:w="1202" w:type="dxa"/>
            <w:tcBorders>
              <w:right w:val="single" w:sz="4" w:space="0" w:color="auto"/>
            </w:tcBorders>
            <w:vAlign w:val="center"/>
          </w:tcPr>
          <w:p w14:paraId="591C5153"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E68C5E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47D0637" w14:textId="77777777" w:rsidR="00577D08" w:rsidRDefault="00577D08">
            <w:pPr>
              <w:jc w:val="right"/>
              <w:rPr>
                <w:sz w:val="15"/>
                <w:szCs w:val="15"/>
              </w:rPr>
            </w:pPr>
          </w:p>
        </w:tc>
        <w:tc>
          <w:tcPr>
            <w:tcW w:w="425" w:type="dxa"/>
            <w:tcBorders>
              <w:left w:val="single" w:sz="4" w:space="0" w:color="auto"/>
            </w:tcBorders>
            <w:vAlign w:val="center"/>
          </w:tcPr>
          <w:p w14:paraId="4B64108C" w14:textId="77777777" w:rsidR="00577D08" w:rsidRDefault="00577D08">
            <w:pPr>
              <w:jc w:val="right"/>
              <w:rPr>
                <w:sz w:val="15"/>
                <w:szCs w:val="15"/>
              </w:rPr>
            </w:pPr>
          </w:p>
        </w:tc>
        <w:tc>
          <w:tcPr>
            <w:tcW w:w="1276" w:type="dxa"/>
            <w:vAlign w:val="center"/>
          </w:tcPr>
          <w:p w14:paraId="58DB96E9" w14:textId="77777777" w:rsidR="00577D08" w:rsidRDefault="00577D08">
            <w:pPr>
              <w:jc w:val="right"/>
              <w:rPr>
                <w:sz w:val="15"/>
                <w:szCs w:val="15"/>
              </w:rPr>
            </w:pPr>
          </w:p>
        </w:tc>
        <w:tc>
          <w:tcPr>
            <w:tcW w:w="1134" w:type="dxa"/>
            <w:vAlign w:val="center"/>
          </w:tcPr>
          <w:p w14:paraId="7B39507E" w14:textId="77777777" w:rsidR="00577D08" w:rsidRDefault="00577D08">
            <w:pPr>
              <w:jc w:val="right"/>
              <w:rPr>
                <w:sz w:val="15"/>
                <w:szCs w:val="15"/>
              </w:rPr>
            </w:pPr>
          </w:p>
        </w:tc>
        <w:tc>
          <w:tcPr>
            <w:tcW w:w="992" w:type="dxa"/>
            <w:vAlign w:val="center"/>
          </w:tcPr>
          <w:p w14:paraId="60D1E888" w14:textId="77777777" w:rsidR="00577D08" w:rsidRDefault="00577D08">
            <w:pPr>
              <w:jc w:val="right"/>
              <w:rPr>
                <w:sz w:val="15"/>
                <w:szCs w:val="15"/>
              </w:rPr>
            </w:pPr>
          </w:p>
        </w:tc>
        <w:tc>
          <w:tcPr>
            <w:tcW w:w="1134" w:type="dxa"/>
            <w:vAlign w:val="center"/>
          </w:tcPr>
          <w:p w14:paraId="6FD2A5DC" w14:textId="77777777" w:rsidR="00577D08" w:rsidRDefault="00577D08">
            <w:pPr>
              <w:jc w:val="right"/>
              <w:rPr>
                <w:sz w:val="15"/>
                <w:szCs w:val="15"/>
              </w:rPr>
            </w:pPr>
          </w:p>
        </w:tc>
        <w:tc>
          <w:tcPr>
            <w:tcW w:w="1276" w:type="dxa"/>
            <w:vAlign w:val="center"/>
          </w:tcPr>
          <w:p w14:paraId="7F31DDCE" w14:textId="77777777" w:rsidR="00577D08" w:rsidRDefault="00577D08">
            <w:pPr>
              <w:jc w:val="right"/>
              <w:rPr>
                <w:sz w:val="15"/>
                <w:szCs w:val="15"/>
              </w:rPr>
            </w:pPr>
          </w:p>
        </w:tc>
        <w:tc>
          <w:tcPr>
            <w:tcW w:w="1275" w:type="dxa"/>
            <w:vAlign w:val="center"/>
          </w:tcPr>
          <w:p w14:paraId="371735D3" w14:textId="77777777" w:rsidR="00577D08" w:rsidRDefault="00577D08">
            <w:pPr>
              <w:jc w:val="right"/>
              <w:rPr>
                <w:sz w:val="15"/>
                <w:szCs w:val="15"/>
              </w:rPr>
            </w:pPr>
          </w:p>
        </w:tc>
        <w:tc>
          <w:tcPr>
            <w:tcW w:w="1378" w:type="dxa"/>
            <w:vAlign w:val="center"/>
          </w:tcPr>
          <w:p w14:paraId="1078C196" w14:textId="77777777" w:rsidR="00577D08" w:rsidRDefault="00577D08">
            <w:pPr>
              <w:jc w:val="right"/>
              <w:rPr>
                <w:sz w:val="15"/>
                <w:szCs w:val="15"/>
              </w:rPr>
            </w:pPr>
          </w:p>
        </w:tc>
      </w:tr>
      <w:tr w:rsidR="00577D08" w14:paraId="6A444DB0" w14:textId="77777777">
        <w:trPr>
          <w:trHeight w:val="20"/>
        </w:trPr>
        <w:tc>
          <w:tcPr>
            <w:tcW w:w="2450" w:type="dxa"/>
            <w:vAlign w:val="center"/>
          </w:tcPr>
          <w:sdt>
            <w:sdtPr>
              <w:rPr>
                <w:sz w:val="15"/>
                <w:szCs w:val="15"/>
              </w:rPr>
              <w:tag w:val="_PLD_0a2eca501c544dfc9dfd8d666c32970b"/>
              <w:id w:val="1568614505"/>
            </w:sdtPr>
            <w:sdtContent>
              <w:p w14:paraId="4646E2FF" w14:textId="77777777" w:rsidR="00577D08" w:rsidRDefault="00330FC0">
                <w:pPr>
                  <w:rPr>
                    <w:sz w:val="15"/>
                    <w:szCs w:val="15"/>
                  </w:rPr>
                </w:pPr>
                <w:r>
                  <w:rPr>
                    <w:sz w:val="15"/>
                    <w:szCs w:val="15"/>
                  </w:rPr>
                  <w:t>4</w:t>
                </w:r>
                <w:r>
                  <w:rPr>
                    <w:sz w:val="15"/>
                    <w:szCs w:val="15"/>
                  </w:rPr>
                  <w:t>．设定受益计划变动额结转留存收益</w:t>
                </w:r>
              </w:p>
            </w:sdtContent>
          </w:sdt>
        </w:tc>
        <w:tc>
          <w:tcPr>
            <w:tcW w:w="1202" w:type="dxa"/>
            <w:tcBorders>
              <w:right w:val="single" w:sz="4" w:space="0" w:color="auto"/>
            </w:tcBorders>
            <w:vAlign w:val="center"/>
          </w:tcPr>
          <w:p w14:paraId="287F20F6"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0204C6B"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220708C" w14:textId="77777777" w:rsidR="00577D08" w:rsidRDefault="00577D08">
            <w:pPr>
              <w:jc w:val="right"/>
              <w:rPr>
                <w:sz w:val="15"/>
                <w:szCs w:val="15"/>
              </w:rPr>
            </w:pPr>
          </w:p>
        </w:tc>
        <w:tc>
          <w:tcPr>
            <w:tcW w:w="425" w:type="dxa"/>
            <w:tcBorders>
              <w:left w:val="single" w:sz="4" w:space="0" w:color="auto"/>
            </w:tcBorders>
            <w:vAlign w:val="center"/>
          </w:tcPr>
          <w:p w14:paraId="118A963C" w14:textId="77777777" w:rsidR="00577D08" w:rsidRDefault="00577D08">
            <w:pPr>
              <w:jc w:val="right"/>
              <w:rPr>
                <w:sz w:val="15"/>
                <w:szCs w:val="15"/>
              </w:rPr>
            </w:pPr>
          </w:p>
        </w:tc>
        <w:tc>
          <w:tcPr>
            <w:tcW w:w="1276" w:type="dxa"/>
            <w:vAlign w:val="center"/>
          </w:tcPr>
          <w:p w14:paraId="0CB23A71" w14:textId="77777777" w:rsidR="00577D08" w:rsidRDefault="00577D08">
            <w:pPr>
              <w:jc w:val="right"/>
              <w:rPr>
                <w:sz w:val="15"/>
                <w:szCs w:val="15"/>
              </w:rPr>
            </w:pPr>
          </w:p>
        </w:tc>
        <w:tc>
          <w:tcPr>
            <w:tcW w:w="1134" w:type="dxa"/>
            <w:vAlign w:val="center"/>
          </w:tcPr>
          <w:p w14:paraId="2C78AED5" w14:textId="77777777" w:rsidR="00577D08" w:rsidRDefault="00577D08">
            <w:pPr>
              <w:jc w:val="right"/>
              <w:rPr>
                <w:sz w:val="15"/>
                <w:szCs w:val="15"/>
              </w:rPr>
            </w:pPr>
          </w:p>
        </w:tc>
        <w:tc>
          <w:tcPr>
            <w:tcW w:w="992" w:type="dxa"/>
            <w:vAlign w:val="center"/>
          </w:tcPr>
          <w:p w14:paraId="2CD7FA8C" w14:textId="77777777" w:rsidR="00577D08" w:rsidRDefault="00577D08">
            <w:pPr>
              <w:jc w:val="right"/>
              <w:rPr>
                <w:sz w:val="15"/>
                <w:szCs w:val="15"/>
              </w:rPr>
            </w:pPr>
          </w:p>
        </w:tc>
        <w:tc>
          <w:tcPr>
            <w:tcW w:w="1134" w:type="dxa"/>
            <w:vAlign w:val="center"/>
          </w:tcPr>
          <w:p w14:paraId="74B3862D" w14:textId="77777777" w:rsidR="00577D08" w:rsidRDefault="00577D08">
            <w:pPr>
              <w:jc w:val="right"/>
              <w:rPr>
                <w:sz w:val="15"/>
                <w:szCs w:val="15"/>
              </w:rPr>
            </w:pPr>
          </w:p>
        </w:tc>
        <w:tc>
          <w:tcPr>
            <w:tcW w:w="1276" w:type="dxa"/>
            <w:vAlign w:val="center"/>
          </w:tcPr>
          <w:p w14:paraId="262F6AD4" w14:textId="77777777" w:rsidR="00577D08" w:rsidRDefault="00577D08">
            <w:pPr>
              <w:jc w:val="right"/>
              <w:rPr>
                <w:sz w:val="15"/>
                <w:szCs w:val="15"/>
              </w:rPr>
            </w:pPr>
          </w:p>
        </w:tc>
        <w:tc>
          <w:tcPr>
            <w:tcW w:w="1275" w:type="dxa"/>
            <w:vAlign w:val="center"/>
          </w:tcPr>
          <w:p w14:paraId="042211DF" w14:textId="77777777" w:rsidR="00577D08" w:rsidRDefault="00577D08">
            <w:pPr>
              <w:jc w:val="right"/>
              <w:rPr>
                <w:sz w:val="15"/>
                <w:szCs w:val="15"/>
              </w:rPr>
            </w:pPr>
          </w:p>
        </w:tc>
        <w:tc>
          <w:tcPr>
            <w:tcW w:w="1378" w:type="dxa"/>
          </w:tcPr>
          <w:p w14:paraId="2A145D19" w14:textId="77777777" w:rsidR="00577D08" w:rsidRDefault="00577D08">
            <w:pPr>
              <w:jc w:val="right"/>
              <w:rPr>
                <w:sz w:val="15"/>
                <w:szCs w:val="15"/>
              </w:rPr>
            </w:pPr>
          </w:p>
        </w:tc>
      </w:tr>
      <w:tr w:rsidR="00577D08" w14:paraId="78DC18CA" w14:textId="77777777">
        <w:trPr>
          <w:trHeight w:val="20"/>
        </w:trPr>
        <w:tc>
          <w:tcPr>
            <w:tcW w:w="2450" w:type="dxa"/>
            <w:vAlign w:val="center"/>
          </w:tcPr>
          <w:sdt>
            <w:sdtPr>
              <w:rPr>
                <w:sz w:val="15"/>
                <w:szCs w:val="15"/>
              </w:rPr>
              <w:tag w:val="_PLD_e2c794a3876347288864cf2ea4ed53e5"/>
              <w:id w:val="-1500111264"/>
            </w:sdtPr>
            <w:sdtContent>
              <w:p w14:paraId="59654F53" w14:textId="77777777" w:rsidR="00577D08" w:rsidRDefault="00330FC0">
                <w:pPr>
                  <w:rPr>
                    <w:sz w:val="15"/>
                    <w:szCs w:val="15"/>
                  </w:rPr>
                </w:pPr>
                <w:r>
                  <w:rPr>
                    <w:sz w:val="15"/>
                    <w:szCs w:val="15"/>
                  </w:rPr>
                  <w:t>5</w:t>
                </w:r>
                <w:r>
                  <w:rPr>
                    <w:sz w:val="15"/>
                    <w:szCs w:val="15"/>
                  </w:rPr>
                  <w:t>．其他综合收益结转留存收益</w:t>
                </w:r>
              </w:p>
            </w:sdtContent>
          </w:sdt>
        </w:tc>
        <w:tc>
          <w:tcPr>
            <w:tcW w:w="1202" w:type="dxa"/>
            <w:tcBorders>
              <w:right w:val="single" w:sz="4" w:space="0" w:color="auto"/>
            </w:tcBorders>
            <w:vAlign w:val="center"/>
          </w:tcPr>
          <w:p w14:paraId="1EA0FCB2"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10AEE7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B6B0EBE" w14:textId="77777777" w:rsidR="00577D08" w:rsidRDefault="00577D08">
            <w:pPr>
              <w:jc w:val="right"/>
              <w:rPr>
                <w:sz w:val="15"/>
                <w:szCs w:val="15"/>
              </w:rPr>
            </w:pPr>
          </w:p>
        </w:tc>
        <w:tc>
          <w:tcPr>
            <w:tcW w:w="425" w:type="dxa"/>
            <w:tcBorders>
              <w:left w:val="single" w:sz="4" w:space="0" w:color="auto"/>
            </w:tcBorders>
            <w:vAlign w:val="center"/>
          </w:tcPr>
          <w:p w14:paraId="15215BC1" w14:textId="77777777" w:rsidR="00577D08" w:rsidRDefault="00577D08">
            <w:pPr>
              <w:jc w:val="right"/>
              <w:rPr>
                <w:sz w:val="15"/>
                <w:szCs w:val="15"/>
              </w:rPr>
            </w:pPr>
          </w:p>
        </w:tc>
        <w:tc>
          <w:tcPr>
            <w:tcW w:w="1276" w:type="dxa"/>
            <w:vAlign w:val="center"/>
          </w:tcPr>
          <w:p w14:paraId="3BC9AE97" w14:textId="77777777" w:rsidR="00577D08" w:rsidRDefault="00577D08">
            <w:pPr>
              <w:jc w:val="right"/>
              <w:rPr>
                <w:sz w:val="15"/>
                <w:szCs w:val="15"/>
              </w:rPr>
            </w:pPr>
          </w:p>
        </w:tc>
        <w:tc>
          <w:tcPr>
            <w:tcW w:w="1134" w:type="dxa"/>
            <w:vAlign w:val="center"/>
          </w:tcPr>
          <w:p w14:paraId="433BA887" w14:textId="77777777" w:rsidR="00577D08" w:rsidRDefault="00577D08">
            <w:pPr>
              <w:jc w:val="right"/>
              <w:rPr>
                <w:sz w:val="15"/>
                <w:szCs w:val="15"/>
              </w:rPr>
            </w:pPr>
          </w:p>
        </w:tc>
        <w:tc>
          <w:tcPr>
            <w:tcW w:w="992" w:type="dxa"/>
            <w:vAlign w:val="center"/>
          </w:tcPr>
          <w:p w14:paraId="62BD1C6E" w14:textId="77777777" w:rsidR="00577D08" w:rsidRDefault="00577D08">
            <w:pPr>
              <w:jc w:val="right"/>
              <w:rPr>
                <w:sz w:val="15"/>
                <w:szCs w:val="15"/>
              </w:rPr>
            </w:pPr>
          </w:p>
        </w:tc>
        <w:tc>
          <w:tcPr>
            <w:tcW w:w="1134" w:type="dxa"/>
            <w:vAlign w:val="center"/>
          </w:tcPr>
          <w:p w14:paraId="0BF89C8E" w14:textId="77777777" w:rsidR="00577D08" w:rsidRDefault="00577D08">
            <w:pPr>
              <w:jc w:val="right"/>
              <w:rPr>
                <w:sz w:val="15"/>
                <w:szCs w:val="15"/>
              </w:rPr>
            </w:pPr>
          </w:p>
        </w:tc>
        <w:tc>
          <w:tcPr>
            <w:tcW w:w="1276" w:type="dxa"/>
            <w:vAlign w:val="center"/>
          </w:tcPr>
          <w:p w14:paraId="5B9A98F9" w14:textId="77777777" w:rsidR="00577D08" w:rsidRDefault="00577D08">
            <w:pPr>
              <w:jc w:val="right"/>
              <w:rPr>
                <w:sz w:val="15"/>
                <w:szCs w:val="15"/>
              </w:rPr>
            </w:pPr>
          </w:p>
        </w:tc>
        <w:tc>
          <w:tcPr>
            <w:tcW w:w="1275" w:type="dxa"/>
            <w:vAlign w:val="center"/>
          </w:tcPr>
          <w:p w14:paraId="54EB7ACC" w14:textId="77777777" w:rsidR="00577D08" w:rsidRDefault="00577D08">
            <w:pPr>
              <w:jc w:val="right"/>
              <w:rPr>
                <w:sz w:val="15"/>
                <w:szCs w:val="15"/>
              </w:rPr>
            </w:pPr>
          </w:p>
        </w:tc>
        <w:tc>
          <w:tcPr>
            <w:tcW w:w="1378" w:type="dxa"/>
          </w:tcPr>
          <w:p w14:paraId="68D2C4FD" w14:textId="77777777" w:rsidR="00577D08" w:rsidRDefault="00577D08">
            <w:pPr>
              <w:jc w:val="right"/>
              <w:rPr>
                <w:sz w:val="15"/>
                <w:szCs w:val="15"/>
              </w:rPr>
            </w:pPr>
          </w:p>
        </w:tc>
      </w:tr>
      <w:tr w:rsidR="00577D08" w14:paraId="1CF1821B" w14:textId="77777777">
        <w:trPr>
          <w:trHeight w:val="20"/>
        </w:trPr>
        <w:tc>
          <w:tcPr>
            <w:tcW w:w="2450" w:type="dxa"/>
            <w:vAlign w:val="center"/>
          </w:tcPr>
          <w:sdt>
            <w:sdtPr>
              <w:rPr>
                <w:sz w:val="15"/>
                <w:szCs w:val="15"/>
              </w:rPr>
              <w:tag w:val="_PLD_921b15a12ec54658b00654a6a398aa0c"/>
              <w:id w:val="-1506285334"/>
            </w:sdtPr>
            <w:sdtContent>
              <w:p w14:paraId="2EAFF964" w14:textId="77777777" w:rsidR="00577D08" w:rsidRDefault="00330FC0">
                <w:pPr>
                  <w:rPr>
                    <w:sz w:val="15"/>
                    <w:szCs w:val="15"/>
                  </w:rPr>
                </w:pPr>
                <w:r>
                  <w:rPr>
                    <w:sz w:val="15"/>
                    <w:szCs w:val="15"/>
                  </w:rPr>
                  <w:t>6</w:t>
                </w:r>
                <w:r>
                  <w:rPr>
                    <w:sz w:val="15"/>
                    <w:szCs w:val="15"/>
                  </w:rPr>
                  <w:t>．其他</w:t>
                </w:r>
              </w:p>
            </w:sdtContent>
          </w:sdt>
        </w:tc>
        <w:tc>
          <w:tcPr>
            <w:tcW w:w="1202" w:type="dxa"/>
            <w:tcBorders>
              <w:right w:val="single" w:sz="4" w:space="0" w:color="auto"/>
            </w:tcBorders>
            <w:vAlign w:val="center"/>
          </w:tcPr>
          <w:p w14:paraId="2FFF3C7C"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DC01BA3"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DF13E10" w14:textId="77777777" w:rsidR="00577D08" w:rsidRDefault="00577D08">
            <w:pPr>
              <w:jc w:val="right"/>
              <w:rPr>
                <w:sz w:val="15"/>
                <w:szCs w:val="15"/>
              </w:rPr>
            </w:pPr>
          </w:p>
        </w:tc>
        <w:tc>
          <w:tcPr>
            <w:tcW w:w="425" w:type="dxa"/>
            <w:tcBorders>
              <w:left w:val="single" w:sz="4" w:space="0" w:color="auto"/>
            </w:tcBorders>
            <w:vAlign w:val="center"/>
          </w:tcPr>
          <w:p w14:paraId="2AE6E3C6" w14:textId="77777777" w:rsidR="00577D08" w:rsidRDefault="00577D08">
            <w:pPr>
              <w:jc w:val="right"/>
              <w:rPr>
                <w:sz w:val="15"/>
                <w:szCs w:val="15"/>
              </w:rPr>
            </w:pPr>
          </w:p>
        </w:tc>
        <w:tc>
          <w:tcPr>
            <w:tcW w:w="1276" w:type="dxa"/>
            <w:vAlign w:val="center"/>
          </w:tcPr>
          <w:p w14:paraId="76BCF56C" w14:textId="77777777" w:rsidR="00577D08" w:rsidRDefault="00577D08">
            <w:pPr>
              <w:jc w:val="right"/>
              <w:rPr>
                <w:sz w:val="15"/>
                <w:szCs w:val="15"/>
              </w:rPr>
            </w:pPr>
          </w:p>
        </w:tc>
        <w:tc>
          <w:tcPr>
            <w:tcW w:w="1134" w:type="dxa"/>
            <w:vAlign w:val="center"/>
          </w:tcPr>
          <w:p w14:paraId="4A202FE9" w14:textId="77777777" w:rsidR="00577D08" w:rsidRDefault="00577D08">
            <w:pPr>
              <w:jc w:val="right"/>
              <w:rPr>
                <w:sz w:val="15"/>
                <w:szCs w:val="15"/>
              </w:rPr>
            </w:pPr>
          </w:p>
        </w:tc>
        <w:tc>
          <w:tcPr>
            <w:tcW w:w="992" w:type="dxa"/>
            <w:vAlign w:val="center"/>
          </w:tcPr>
          <w:p w14:paraId="4FDAEB44" w14:textId="77777777" w:rsidR="00577D08" w:rsidRDefault="00577D08">
            <w:pPr>
              <w:jc w:val="right"/>
              <w:rPr>
                <w:sz w:val="15"/>
                <w:szCs w:val="15"/>
              </w:rPr>
            </w:pPr>
          </w:p>
        </w:tc>
        <w:tc>
          <w:tcPr>
            <w:tcW w:w="1134" w:type="dxa"/>
            <w:vAlign w:val="center"/>
          </w:tcPr>
          <w:p w14:paraId="1C805F94" w14:textId="77777777" w:rsidR="00577D08" w:rsidRDefault="00577D08">
            <w:pPr>
              <w:jc w:val="right"/>
              <w:rPr>
                <w:sz w:val="15"/>
                <w:szCs w:val="15"/>
              </w:rPr>
            </w:pPr>
          </w:p>
        </w:tc>
        <w:tc>
          <w:tcPr>
            <w:tcW w:w="1276" w:type="dxa"/>
            <w:vAlign w:val="center"/>
          </w:tcPr>
          <w:p w14:paraId="03DF7C5F" w14:textId="77777777" w:rsidR="00577D08" w:rsidRDefault="00577D08">
            <w:pPr>
              <w:jc w:val="right"/>
              <w:rPr>
                <w:sz w:val="15"/>
                <w:szCs w:val="15"/>
              </w:rPr>
            </w:pPr>
          </w:p>
        </w:tc>
        <w:tc>
          <w:tcPr>
            <w:tcW w:w="1275" w:type="dxa"/>
            <w:vAlign w:val="center"/>
          </w:tcPr>
          <w:p w14:paraId="2FB3068E" w14:textId="77777777" w:rsidR="00577D08" w:rsidRDefault="00577D08">
            <w:pPr>
              <w:jc w:val="right"/>
              <w:rPr>
                <w:sz w:val="15"/>
                <w:szCs w:val="15"/>
              </w:rPr>
            </w:pPr>
          </w:p>
        </w:tc>
        <w:tc>
          <w:tcPr>
            <w:tcW w:w="1378" w:type="dxa"/>
          </w:tcPr>
          <w:p w14:paraId="020F385A" w14:textId="77777777" w:rsidR="00577D08" w:rsidRDefault="00577D08">
            <w:pPr>
              <w:jc w:val="right"/>
              <w:rPr>
                <w:sz w:val="15"/>
                <w:szCs w:val="15"/>
              </w:rPr>
            </w:pPr>
          </w:p>
        </w:tc>
      </w:tr>
      <w:tr w:rsidR="00577D08" w14:paraId="25CA8EAD" w14:textId="77777777">
        <w:trPr>
          <w:trHeight w:val="20"/>
        </w:trPr>
        <w:sdt>
          <w:sdtPr>
            <w:rPr>
              <w:sz w:val="15"/>
              <w:szCs w:val="15"/>
            </w:rPr>
            <w:tag w:val="_PLD_ea236cbce24c48eabfeb2f3f4a19c5a8"/>
            <w:id w:val="-1021619432"/>
          </w:sdtPr>
          <w:sdtContent>
            <w:tc>
              <w:tcPr>
                <w:tcW w:w="2450" w:type="dxa"/>
                <w:vAlign w:val="center"/>
              </w:tcPr>
              <w:p w14:paraId="7818FC21" w14:textId="77777777" w:rsidR="00577D08" w:rsidRDefault="00330FC0">
                <w:pPr>
                  <w:rPr>
                    <w:sz w:val="15"/>
                    <w:szCs w:val="15"/>
                  </w:rPr>
                </w:pPr>
                <w:r>
                  <w:rPr>
                    <w:rFonts w:hint="eastAsia"/>
                    <w:sz w:val="15"/>
                    <w:szCs w:val="15"/>
                  </w:rPr>
                  <w:t>（五）专项储备</w:t>
                </w:r>
              </w:p>
            </w:tc>
          </w:sdtContent>
        </w:sdt>
        <w:tc>
          <w:tcPr>
            <w:tcW w:w="1202" w:type="dxa"/>
            <w:tcBorders>
              <w:right w:val="single" w:sz="4" w:space="0" w:color="auto"/>
            </w:tcBorders>
            <w:vAlign w:val="center"/>
          </w:tcPr>
          <w:p w14:paraId="718D894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DD85C6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05DE61C" w14:textId="77777777" w:rsidR="00577D08" w:rsidRDefault="00577D08">
            <w:pPr>
              <w:jc w:val="right"/>
              <w:rPr>
                <w:sz w:val="15"/>
                <w:szCs w:val="15"/>
              </w:rPr>
            </w:pPr>
          </w:p>
        </w:tc>
        <w:tc>
          <w:tcPr>
            <w:tcW w:w="425" w:type="dxa"/>
            <w:tcBorders>
              <w:left w:val="single" w:sz="4" w:space="0" w:color="auto"/>
            </w:tcBorders>
            <w:vAlign w:val="center"/>
          </w:tcPr>
          <w:p w14:paraId="3D51A254" w14:textId="77777777" w:rsidR="00577D08" w:rsidRDefault="00577D08">
            <w:pPr>
              <w:jc w:val="right"/>
              <w:rPr>
                <w:sz w:val="15"/>
                <w:szCs w:val="15"/>
              </w:rPr>
            </w:pPr>
          </w:p>
        </w:tc>
        <w:tc>
          <w:tcPr>
            <w:tcW w:w="1276" w:type="dxa"/>
            <w:vAlign w:val="center"/>
          </w:tcPr>
          <w:p w14:paraId="7FCD4867" w14:textId="77777777" w:rsidR="00577D08" w:rsidRDefault="00577D08">
            <w:pPr>
              <w:jc w:val="right"/>
              <w:rPr>
                <w:sz w:val="15"/>
                <w:szCs w:val="15"/>
              </w:rPr>
            </w:pPr>
          </w:p>
        </w:tc>
        <w:tc>
          <w:tcPr>
            <w:tcW w:w="1134" w:type="dxa"/>
            <w:vAlign w:val="center"/>
          </w:tcPr>
          <w:p w14:paraId="015F9A19" w14:textId="77777777" w:rsidR="00577D08" w:rsidRDefault="00577D08">
            <w:pPr>
              <w:jc w:val="right"/>
              <w:rPr>
                <w:sz w:val="15"/>
                <w:szCs w:val="15"/>
              </w:rPr>
            </w:pPr>
          </w:p>
        </w:tc>
        <w:tc>
          <w:tcPr>
            <w:tcW w:w="992" w:type="dxa"/>
            <w:vAlign w:val="center"/>
          </w:tcPr>
          <w:p w14:paraId="4BA75C2A" w14:textId="77777777" w:rsidR="00577D08" w:rsidRDefault="00577D08">
            <w:pPr>
              <w:jc w:val="right"/>
              <w:rPr>
                <w:sz w:val="15"/>
                <w:szCs w:val="15"/>
              </w:rPr>
            </w:pPr>
          </w:p>
        </w:tc>
        <w:tc>
          <w:tcPr>
            <w:tcW w:w="1134" w:type="dxa"/>
            <w:vAlign w:val="center"/>
          </w:tcPr>
          <w:p w14:paraId="6E87A21B" w14:textId="77777777" w:rsidR="00577D08" w:rsidRDefault="00330FC0">
            <w:pPr>
              <w:jc w:val="right"/>
              <w:rPr>
                <w:sz w:val="15"/>
                <w:szCs w:val="15"/>
              </w:rPr>
            </w:pPr>
            <w:r>
              <w:rPr>
                <w:sz w:val="15"/>
                <w:szCs w:val="15"/>
              </w:rPr>
              <w:t>1,164,586.84</w:t>
            </w:r>
          </w:p>
        </w:tc>
        <w:tc>
          <w:tcPr>
            <w:tcW w:w="1276" w:type="dxa"/>
            <w:vAlign w:val="center"/>
          </w:tcPr>
          <w:p w14:paraId="6462CBDC" w14:textId="77777777" w:rsidR="00577D08" w:rsidRDefault="00577D08">
            <w:pPr>
              <w:jc w:val="right"/>
              <w:rPr>
                <w:sz w:val="15"/>
                <w:szCs w:val="15"/>
              </w:rPr>
            </w:pPr>
          </w:p>
        </w:tc>
        <w:tc>
          <w:tcPr>
            <w:tcW w:w="1275" w:type="dxa"/>
            <w:vAlign w:val="center"/>
          </w:tcPr>
          <w:p w14:paraId="3D33A00C" w14:textId="77777777" w:rsidR="00577D08" w:rsidRDefault="00577D08">
            <w:pPr>
              <w:jc w:val="right"/>
              <w:rPr>
                <w:sz w:val="15"/>
                <w:szCs w:val="15"/>
              </w:rPr>
            </w:pPr>
          </w:p>
        </w:tc>
        <w:tc>
          <w:tcPr>
            <w:tcW w:w="1378" w:type="dxa"/>
          </w:tcPr>
          <w:p w14:paraId="008FC022" w14:textId="77777777" w:rsidR="00577D08" w:rsidRDefault="00330FC0">
            <w:pPr>
              <w:jc w:val="right"/>
              <w:rPr>
                <w:sz w:val="15"/>
                <w:szCs w:val="15"/>
              </w:rPr>
            </w:pPr>
            <w:r>
              <w:rPr>
                <w:sz w:val="15"/>
                <w:szCs w:val="15"/>
              </w:rPr>
              <w:t>1,164,586.84</w:t>
            </w:r>
          </w:p>
        </w:tc>
      </w:tr>
      <w:tr w:rsidR="00577D08" w14:paraId="76510D4C" w14:textId="77777777">
        <w:trPr>
          <w:trHeight w:val="20"/>
        </w:trPr>
        <w:sdt>
          <w:sdtPr>
            <w:rPr>
              <w:sz w:val="15"/>
              <w:szCs w:val="15"/>
            </w:rPr>
            <w:tag w:val="_PLD_f798cf6aa8f24816a06eab77e71e6a42"/>
            <w:id w:val="398716988"/>
          </w:sdtPr>
          <w:sdtContent>
            <w:tc>
              <w:tcPr>
                <w:tcW w:w="2450" w:type="dxa"/>
                <w:vAlign w:val="center"/>
              </w:tcPr>
              <w:p w14:paraId="66D050C6" w14:textId="77777777" w:rsidR="00577D08" w:rsidRDefault="00330FC0">
                <w:pPr>
                  <w:rPr>
                    <w:sz w:val="15"/>
                    <w:szCs w:val="15"/>
                  </w:rPr>
                </w:pPr>
                <w:r>
                  <w:rPr>
                    <w:rFonts w:hint="eastAsia"/>
                    <w:sz w:val="15"/>
                    <w:szCs w:val="15"/>
                  </w:rPr>
                  <w:t>1</w:t>
                </w:r>
                <w:r>
                  <w:rPr>
                    <w:rFonts w:hint="eastAsia"/>
                    <w:sz w:val="15"/>
                    <w:szCs w:val="15"/>
                  </w:rPr>
                  <w:t>．本期提取</w:t>
                </w:r>
              </w:p>
            </w:tc>
          </w:sdtContent>
        </w:sdt>
        <w:tc>
          <w:tcPr>
            <w:tcW w:w="1202" w:type="dxa"/>
            <w:tcBorders>
              <w:right w:val="single" w:sz="4" w:space="0" w:color="auto"/>
            </w:tcBorders>
            <w:vAlign w:val="center"/>
          </w:tcPr>
          <w:p w14:paraId="60B79DAC"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F28BAA1"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88CA8F3" w14:textId="77777777" w:rsidR="00577D08" w:rsidRDefault="00577D08">
            <w:pPr>
              <w:jc w:val="right"/>
              <w:rPr>
                <w:sz w:val="15"/>
                <w:szCs w:val="15"/>
              </w:rPr>
            </w:pPr>
          </w:p>
        </w:tc>
        <w:tc>
          <w:tcPr>
            <w:tcW w:w="425" w:type="dxa"/>
            <w:tcBorders>
              <w:left w:val="single" w:sz="4" w:space="0" w:color="auto"/>
            </w:tcBorders>
            <w:vAlign w:val="center"/>
          </w:tcPr>
          <w:p w14:paraId="273A52DD" w14:textId="77777777" w:rsidR="00577D08" w:rsidRDefault="00577D08">
            <w:pPr>
              <w:jc w:val="right"/>
              <w:rPr>
                <w:sz w:val="15"/>
                <w:szCs w:val="15"/>
              </w:rPr>
            </w:pPr>
          </w:p>
        </w:tc>
        <w:tc>
          <w:tcPr>
            <w:tcW w:w="1276" w:type="dxa"/>
            <w:vAlign w:val="center"/>
          </w:tcPr>
          <w:p w14:paraId="0389A0EF" w14:textId="77777777" w:rsidR="00577D08" w:rsidRDefault="00577D08">
            <w:pPr>
              <w:jc w:val="right"/>
              <w:rPr>
                <w:sz w:val="15"/>
                <w:szCs w:val="15"/>
              </w:rPr>
            </w:pPr>
          </w:p>
        </w:tc>
        <w:tc>
          <w:tcPr>
            <w:tcW w:w="1134" w:type="dxa"/>
            <w:vAlign w:val="center"/>
          </w:tcPr>
          <w:p w14:paraId="51EFB096" w14:textId="77777777" w:rsidR="00577D08" w:rsidRDefault="00577D08">
            <w:pPr>
              <w:jc w:val="right"/>
              <w:rPr>
                <w:sz w:val="15"/>
                <w:szCs w:val="15"/>
              </w:rPr>
            </w:pPr>
          </w:p>
        </w:tc>
        <w:tc>
          <w:tcPr>
            <w:tcW w:w="992" w:type="dxa"/>
            <w:vAlign w:val="center"/>
          </w:tcPr>
          <w:p w14:paraId="73565A6F" w14:textId="77777777" w:rsidR="00577D08" w:rsidRDefault="00577D08">
            <w:pPr>
              <w:jc w:val="right"/>
              <w:rPr>
                <w:sz w:val="15"/>
                <w:szCs w:val="15"/>
              </w:rPr>
            </w:pPr>
          </w:p>
        </w:tc>
        <w:tc>
          <w:tcPr>
            <w:tcW w:w="1134" w:type="dxa"/>
            <w:vAlign w:val="center"/>
          </w:tcPr>
          <w:p w14:paraId="52D83C66" w14:textId="77777777" w:rsidR="00577D08" w:rsidRDefault="00330FC0">
            <w:pPr>
              <w:jc w:val="right"/>
              <w:rPr>
                <w:sz w:val="15"/>
                <w:szCs w:val="15"/>
              </w:rPr>
            </w:pPr>
            <w:r>
              <w:rPr>
                <w:sz w:val="15"/>
                <w:szCs w:val="15"/>
              </w:rPr>
              <w:t>10,819,725.96</w:t>
            </w:r>
          </w:p>
        </w:tc>
        <w:tc>
          <w:tcPr>
            <w:tcW w:w="1276" w:type="dxa"/>
            <w:vAlign w:val="center"/>
          </w:tcPr>
          <w:p w14:paraId="4C91FA6F" w14:textId="77777777" w:rsidR="00577D08" w:rsidRDefault="00577D08">
            <w:pPr>
              <w:jc w:val="right"/>
              <w:rPr>
                <w:sz w:val="15"/>
                <w:szCs w:val="15"/>
              </w:rPr>
            </w:pPr>
          </w:p>
        </w:tc>
        <w:tc>
          <w:tcPr>
            <w:tcW w:w="1275" w:type="dxa"/>
            <w:vAlign w:val="center"/>
          </w:tcPr>
          <w:p w14:paraId="174144F3" w14:textId="77777777" w:rsidR="00577D08" w:rsidRDefault="00577D08">
            <w:pPr>
              <w:jc w:val="right"/>
              <w:rPr>
                <w:sz w:val="15"/>
                <w:szCs w:val="15"/>
              </w:rPr>
            </w:pPr>
          </w:p>
        </w:tc>
        <w:tc>
          <w:tcPr>
            <w:tcW w:w="1378" w:type="dxa"/>
          </w:tcPr>
          <w:p w14:paraId="3DFEE2D6" w14:textId="77777777" w:rsidR="00577D08" w:rsidRDefault="00330FC0">
            <w:pPr>
              <w:jc w:val="right"/>
              <w:rPr>
                <w:sz w:val="15"/>
                <w:szCs w:val="15"/>
              </w:rPr>
            </w:pPr>
            <w:r>
              <w:rPr>
                <w:sz w:val="15"/>
                <w:szCs w:val="15"/>
              </w:rPr>
              <w:t>10,819,725.96</w:t>
            </w:r>
          </w:p>
        </w:tc>
      </w:tr>
      <w:tr w:rsidR="00577D08" w14:paraId="726EA7CE" w14:textId="77777777">
        <w:trPr>
          <w:trHeight w:val="20"/>
        </w:trPr>
        <w:sdt>
          <w:sdtPr>
            <w:rPr>
              <w:sz w:val="15"/>
              <w:szCs w:val="15"/>
            </w:rPr>
            <w:tag w:val="_PLD_294f6f5256724757ad52c27b29a0bb7d"/>
            <w:id w:val="-1602481125"/>
          </w:sdtPr>
          <w:sdtContent>
            <w:tc>
              <w:tcPr>
                <w:tcW w:w="2450" w:type="dxa"/>
                <w:vAlign w:val="center"/>
              </w:tcPr>
              <w:p w14:paraId="1E78097C" w14:textId="77777777" w:rsidR="00577D08" w:rsidRDefault="00330FC0">
                <w:pPr>
                  <w:rPr>
                    <w:sz w:val="15"/>
                    <w:szCs w:val="15"/>
                  </w:rPr>
                </w:pPr>
                <w:r>
                  <w:rPr>
                    <w:rFonts w:hint="eastAsia"/>
                    <w:sz w:val="15"/>
                    <w:szCs w:val="15"/>
                  </w:rPr>
                  <w:t>2</w:t>
                </w:r>
                <w:r>
                  <w:rPr>
                    <w:rFonts w:hint="eastAsia"/>
                    <w:sz w:val="15"/>
                    <w:szCs w:val="15"/>
                  </w:rPr>
                  <w:t>．本期使用</w:t>
                </w:r>
              </w:p>
            </w:tc>
          </w:sdtContent>
        </w:sdt>
        <w:tc>
          <w:tcPr>
            <w:tcW w:w="1202" w:type="dxa"/>
            <w:tcBorders>
              <w:right w:val="single" w:sz="4" w:space="0" w:color="auto"/>
            </w:tcBorders>
            <w:vAlign w:val="center"/>
          </w:tcPr>
          <w:p w14:paraId="7E108AAC"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BA4E44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FD5E13D" w14:textId="77777777" w:rsidR="00577D08" w:rsidRDefault="00577D08">
            <w:pPr>
              <w:jc w:val="right"/>
              <w:rPr>
                <w:sz w:val="15"/>
                <w:szCs w:val="15"/>
              </w:rPr>
            </w:pPr>
          </w:p>
        </w:tc>
        <w:tc>
          <w:tcPr>
            <w:tcW w:w="425" w:type="dxa"/>
            <w:tcBorders>
              <w:left w:val="single" w:sz="4" w:space="0" w:color="auto"/>
            </w:tcBorders>
            <w:vAlign w:val="center"/>
          </w:tcPr>
          <w:p w14:paraId="2B2EC784" w14:textId="77777777" w:rsidR="00577D08" w:rsidRDefault="00577D08">
            <w:pPr>
              <w:jc w:val="right"/>
              <w:rPr>
                <w:sz w:val="15"/>
                <w:szCs w:val="15"/>
              </w:rPr>
            </w:pPr>
          </w:p>
        </w:tc>
        <w:tc>
          <w:tcPr>
            <w:tcW w:w="1276" w:type="dxa"/>
            <w:vAlign w:val="center"/>
          </w:tcPr>
          <w:p w14:paraId="3CA8CB13" w14:textId="77777777" w:rsidR="00577D08" w:rsidRDefault="00577D08">
            <w:pPr>
              <w:jc w:val="right"/>
              <w:rPr>
                <w:sz w:val="15"/>
                <w:szCs w:val="15"/>
              </w:rPr>
            </w:pPr>
          </w:p>
        </w:tc>
        <w:tc>
          <w:tcPr>
            <w:tcW w:w="1134" w:type="dxa"/>
            <w:vAlign w:val="center"/>
          </w:tcPr>
          <w:p w14:paraId="3283739E" w14:textId="77777777" w:rsidR="00577D08" w:rsidRDefault="00577D08">
            <w:pPr>
              <w:jc w:val="right"/>
              <w:rPr>
                <w:sz w:val="15"/>
                <w:szCs w:val="15"/>
              </w:rPr>
            </w:pPr>
          </w:p>
        </w:tc>
        <w:tc>
          <w:tcPr>
            <w:tcW w:w="992" w:type="dxa"/>
            <w:vAlign w:val="center"/>
          </w:tcPr>
          <w:p w14:paraId="77F73476" w14:textId="77777777" w:rsidR="00577D08" w:rsidRDefault="00577D08">
            <w:pPr>
              <w:jc w:val="right"/>
              <w:rPr>
                <w:sz w:val="15"/>
                <w:szCs w:val="15"/>
              </w:rPr>
            </w:pPr>
          </w:p>
        </w:tc>
        <w:tc>
          <w:tcPr>
            <w:tcW w:w="1134" w:type="dxa"/>
            <w:vAlign w:val="center"/>
          </w:tcPr>
          <w:p w14:paraId="61A47852" w14:textId="77777777" w:rsidR="00577D08" w:rsidRDefault="00330FC0">
            <w:pPr>
              <w:jc w:val="right"/>
              <w:rPr>
                <w:sz w:val="15"/>
                <w:szCs w:val="15"/>
              </w:rPr>
            </w:pPr>
            <w:r>
              <w:rPr>
                <w:sz w:val="15"/>
                <w:szCs w:val="15"/>
              </w:rPr>
              <w:t>-9,655,139.12</w:t>
            </w:r>
          </w:p>
        </w:tc>
        <w:tc>
          <w:tcPr>
            <w:tcW w:w="1276" w:type="dxa"/>
            <w:vAlign w:val="center"/>
          </w:tcPr>
          <w:p w14:paraId="7DA8B987" w14:textId="77777777" w:rsidR="00577D08" w:rsidRDefault="00577D08">
            <w:pPr>
              <w:jc w:val="right"/>
              <w:rPr>
                <w:sz w:val="15"/>
                <w:szCs w:val="15"/>
              </w:rPr>
            </w:pPr>
          </w:p>
        </w:tc>
        <w:tc>
          <w:tcPr>
            <w:tcW w:w="1275" w:type="dxa"/>
            <w:vAlign w:val="center"/>
          </w:tcPr>
          <w:p w14:paraId="4CE264C8" w14:textId="77777777" w:rsidR="00577D08" w:rsidRDefault="00577D08">
            <w:pPr>
              <w:jc w:val="right"/>
              <w:rPr>
                <w:sz w:val="15"/>
                <w:szCs w:val="15"/>
              </w:rPr>
            </w:pPr>
          </w:p>
        </w:tc>
        <w:tc>
          <w:tcPr>
            <w:tcW w:w="1378" w:type="dxa"/>
          </w:tcPr>
          <w:p w14:paraId="2441267F" w14:textId="77777777" w:rsidR="00577D08" w:rsidRDefault="00330FC0">
            <w:pPr>
              <w:jc w:val="right"/>
              <w:rPr>
                <w:sz w:val="15"/>
                <w:szCs w:val="15"/>
              </w:rPr>
            </w:pPr>
            <w:r>
              <w:rPr>
                <w:sz w:val="15"/>
                <w:szCs w:val="15"/>
              </w:rPr>
              <w:t>-9,655,139.12</w:t>
            </w:r>
          </w:p>
        </w:tc>
      </w:tr>
      <w:tr w:rsidR="00577D08" w14:paraId="1C920B63" w14:textId="77777777">
        <w:trPr>
          <w:trHeight w:val="20"/>
        </w:trPr>
        <w:sdt>
          <w:sdtPr>
            <w:rPr>
              <w:sz w:val="15"/>
              <w:szCs w:val="15"/>
            </w:rPr>
            <w:tag w:val="_PLD_6633049a29464fd58ed8f9bdc82f6c7b"/>
            <w:id w:val="-1439819875"/>
          </w:sdtPr>
          <w:sdtContent>
            <w:tc>
              <w:tcPr>
                <w:tcW w:w="2450" w:type="dxa"/>
                <w:vAlign w:val="center"/>
              </w:tcPr>
              <w:p w14:paraId="1A288997" w14:textId="77777777" w:rsidR="00577D08" w:rsidRDefault="00330FC0">
                <w:pPr>
                  <w:rPr>
                    <w:sz w:val="15"/>
                    <w:szCs w:val="15"/>
                  </w:rPr>
                </w:pPr>
                <w:r>
                  <w:rPr>
                    <w:rFonts w:hint="eastAsia"/>
                    <w:sz w:val="15"/>
                    <w:szCs w:val="15"/>
                  </w:rPr>
                  <w:t>（六）其他</w:t>
                </w:r>
              </w:p>
            </w:tc>
          </w:sdtContent>
        </w:sdt>
        <w:tc>
          <w:tcPr>
            <w:tcW w:w="1202" w:type="dxa"/>
            <w:tcBorders>
              <w:right w:val="single" w:sz="4" w:space="0" w:color="auto"/>
            </w:tcBorders>
            <w:vAlign w:val="center"/>
          </w:tcPr>
          <w:p w14:paraId="2033342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764B54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D8A4679" w14:textId="77777777" w:rsidR="00577D08" w:rsidRDefault="00577D08">
            <w:pPr>
              <w:jc w:val="right"/>
              <w:rPr>
                <w:sz w:val="15"/>
                <w:szCs w:val="15"/>
              </w:rPr>
            </w:pPr>
          </w:p>
        </w:tc>
        <w:tc>
          <w:tcPr>
            <w:tcW w:w="425" w:type="dxa"/>
            <w:tcBorders>
              <w:left w:val="single" w:sz="4" w:space="0" w:color="auto"/>
            </w:tcBorders>
            <w:vAlign w:val="center"/>
          </w:tcPr>
          <w:p w14:paraId="5CBE4AD9" w14:textId="77777777" w:rsidR="00577D08" w:rsidRDefault="00577D08">
            <w:pPr>
              <w:jc w:val="right"/>
              <w:rPr>
                <w:sz w:val="15"/>
                <w:szCs w:val="15"/>
              </w:rPr>
            </w:pPr>
          </w:p>
        </w:tc>
        <w:tc>
          <w:tcPr>
            <w:tcW w:w="1276" w:type="dxa"/>
            <w:vAlign w:val="center"/>
          </w:tcPr>
          <w:p w14:paraId="0B4A5E32" w14:textId="77777777" w:rsidR="00577D08" w:rsidRDefault="00577D08">
            <w:pPr>
              <w:jc w:val="right"/>
              <w:rPr>
                <w:sz w:val="15"/>
                <w:szCs w:val="15"/>
              </w:rPr>
            </w:pPr>
          </w:p>
        </w:tc>
        <w:tc>
          <w:tcPr>
            <w:tcW w:w="1134" w:type="dxa"/>
            <w:vAlign w:val="center"/>
          </w:tcPr>
          <w:p w14:paraId="3F0C6534" w14:textId="77777777" w:rsidR="00577D08" w:rsidRDefault="00577D08">
            <w:pPr>
              <w:jc w:val="right"/>
              <w:rPr>
                <w:sz w:val="15"/>
                <w:szCs w:val="15"/>
              </w:rPr>
            </w:pPr>
          </w:p>
        </w:tc>
        <w:tc>
          <w:tcPr>
            <w:tcW w:w="992" w:type="dxa"/>
            <w:vAlign w:val="center"/>
          </w:tcPr>
          <w:p w14:paraId="599348D7" w14:textId="77777777" w:rsidR="00577D08" w:rsidRDefault="00577D08">
            <w:pPr>
              <w:jc w:val="right"/>
              <w:rPr>
                <w:sz w:val="15"/>
                <w:szCs w:val="15"/>
              </w:rPr>
            </w:pPr>
          </w:p>
        </w:tc>
        <w:tc>
          <w:tcPr>
            <w:tcW w:w="1134" w:type="dxa"/>
            <w:vAlign w:val="center"/>
          </w:tcPr>
          <w:p w14:paraId="025E4EDB" w14:textId="77777777" w:rsidR="00577D08" w:rsidRDefault="00577D08">
            <w:pPr>
              <w:jc w:val="right"/>
              <w:rPr>
                <w:sz w:val="15"/>
                <w:szCs w:val="15"/>
              </w:rPr>
            </w:pPr>
          </w:p>
        </w:tc>
        <w:tc>
          <w:tcPr>
            <w:tcW w:w="1276" w:type="dxa"/>
            <w:vAlign w:val="center"/>
          </w:tcPr>
          <w:p w14:paraId="7703C680" w14:textId="77777777" w:rsidR="00577D08" w:rsidRDefault="00577D08">
            <w:pPr>
              <w:jc w:val="right"/>
              <w:rPr>
                <w:sz w:val="15"/>
                <w:szCs w:val="15"/>
              </w:rPr>
            </w:pPr>
          </w:p>
        </w:tc>
        <w:tc>
          <w:tcPr>
            <w:tcW w:w="1275" w:type="dxa"/>
            <w:vAlign w:val="center"/>
          </w:tcPr>
          <w:p w14:paraId="66E31D61" w14:textId="77777777" w:rsidR="00577D08" w:rsidRDefault="00577D08">
            <w:pPr>
              <w:jc w:val="right"/>
              <w:rPr>
                <w:sz w:val="15"/>
                <w:szCs w:val="15"/>
              </w:rPr>
            </w:pPr>
          </w:p>
        </w:tc>
        <w:tc>
          <w:tcPr>
            <w:tcW w:w="1378" w:type="dxa"/>
          </w:tcPr>
          <w:p w14:paraId="31EAECFA" w14:textId="77777777" w:rsidR="00577D08" w:rsidRDefault="00577D08">
            <w:pPr>
              <w:jc w:val="right"/>
              <w:rPr>
                <w:sz w:val="15"/>
                <w:szCs w:val="15"/>
              </w:rPr>
            </w:pPr>
          </w:p>
        </w:tc>
      </w:tr>
      <w:tr w:rsidR="00577D08" w14:paraId="6567E02B" w14:textId="77777777">
        <w:trPr>
          <w:trHeight w:val="20"/>
        </w:trPr>
        <w:sdt>
          <w:sdtPr>
            <w:rPr>
              <w:sz w:val="15"/>
              <w:szCs w:val="15"/>
            </w:rPr>
            <w:tag w:val="_PLD_0d209cea233c428da026233fffdd75cf"/>
            <w:id w:val="1025138093"/>
          </w:sdtPr>
          <w:sdtContent>
            <w:tc>
              <w:tcPr>
                <w:tcW w:w="2450" w:type="dxa"/>
                <w:vAlign w:val="center"/>
              </w:tcPr>
              <w:p w14:paraId="29CBA344" w14:textId="77777777" w:rsidR="00577D08" w:rsidRDefault="00330FC0">
                <w:pPr>
                  <w:rPr>
                    <w:sz w:val="15"/>
                    <w:szCs w:val="15"/>
                  </w:rPr>
                </w:pPr>
                <w:r>
                  <w:rPr>
                    <w:sz w:val="15"/>
                    <w:szCs w:val="15"/>
                  </w:rPr>
                  <w:t>四、本期期末余额</w:t>
                </w:r>
              </w:p>
            </w:tc>
          </w:sdtContent>
        </w:sdt>
        <w:tc>
          <w:tcPr>
            <w:tcW w:w="1202" w:type="dxa"/>
            <w:tcBorders>
              <w:right w:val="single" w:sz="4" w:space="0" w:color="auto"/>
            </w:tcBorders>
            <w:vAlign w:val="center"/>
          </w:tcPr>
          <w:p w14:paraId="04433A6E" w14:textId="77777777" w:rsidR="00577D08" w:rsidRDefault="00330FC0">
            <w:pPr>
              <w:jc w:val="right"/>
              <w:rPr>
                <w:sz w:val="15"/>
                <w:szCs w:val="15"/>
              </w:rPr>
            </w:pPr>
            <w:r>
              <w:rPr>
                <w:sz w:val="15"/>
                <w:szCs w:val="15"/>
              </w:rPr>
              <w:t>332,353,407.00</w:t>
            </w:r>
          </w:p>
        </w:tc>
        <w:tc>
          <w:tcPr>
            <w:tcW w:w="709" w:type="dxa"/>
            <w:tcBorders>
              <w:left w:val="single" w:sz="4" w:space="0" w:color="auto"/>
              <w:right w:val="single" w:sz="4" w:space="0" w:color="auto"/>
            </w:tcBorders>
            <w:vAlign w:val="center"/>
          </w:tcPr>
          <w:p w14:paraId="22252F7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79A5667" w14:textId="77777777" w:rsidR="00577D08" w:rsidRDefault="00577D08">
            <w:pPr>
              <w:jc w:val="right"/>
              <w:rPr>
                <w:sz w:val="15"/>
                <w:szCs w:val="15"/>
              </w:rPr>
            </w:pPr>
          </w:p>
        </w:tc>
        <w:tc>
          <w:tcPr>
            <w:tcW w:w="425" w:type="dxa"/>
            <w:tcBorders>
              <w:left w:val="single" w:sz="4" w:space="0" w:color="auto"/>
            </w:tcBorders>
            <w:vAlign w:val="center"/>
          </w:tcPr>
          <w:p w14:paraId="46F1580D" w14:textId="77777777" w:rsidR="00577D08" w:rsidRDefault="00577D08">
            <w:pPr>
              <w:jc w:val="right"/>
              <w:rPr>
                <w:sz w:val="15"/>
                <w:szCs w:val="15"/>
              </w:rPr>
            </w:pPr>
          </w:p>
        </w:tc>
        <w:tc>
          <w:tcPr>
            <w:tcW w:w="1276" w:type="dxa"/>
            <w:vAlign w:val="center"/>
          </w:tcPr>
          <w:p w14:paraId="33CBD220" w14:textId="77777777" w:rsidR="00577D08" w:rsidRDefault="00330FC0">
            <w:pPr>
              <w:jc w:val="right"/>
              <w:rPr>
                <w:sz w:val="15"/>
                <w:szCs w:val="15"/>
              </w:rPr>
            </w:pPr>
            <w:r>
              <w:rPr>
                <w:sz w:val="15"/>
                <w:szCs w:val="15"/>
              </w:rPr>
              <w:t>962,663,251.43</w:t>
            </w:r>
          </w:p>
        </w:tc>
        <w:tc>
          <w:tcPr>
            <w:tcW w:w="1134" w:type="dxa"/>
            <w:vAlign w:val="center"/>
          </w:tcPr>
          <w:p w14:paraId="2D48E294" w14:textId="77777777" w:rsidR="00577D08" w:rsidRDefault="00330FC0">
            <w:pPr>
              <w:jc w:val="right"/>
              <w:rPr>
                <w:sz w:val="15"/>
                <w:szCs w:val="15"/>
              </w:rPr>
            </w:pPr>
            <w:r>
              <w:rPr>
                <w:sz w:val="15"/>
                <w:szCs w:val="15"/>
              </w:rPr>
              <w:t>19,807,681.28</w:t>
            </w:r>
          </w:p>
        </w:tc>
        <w:tc>
          <w:tcPr>
            <w:tcW w:w="992" w:type="dxa"/>
            <w:vAlign w:val="center"/>
          </w:tcPr>
          <w:p w14:paraId="60291025" w14:textId="77777777" w:rsidR="00577D08" w:rsidRDefault="00577D08">
            <w:pPr>
              <w:jc w:val="right"/>
              <w:rPr>
                <w:sz w:val="15"/>
                <w:szCs w:val="15"/>
              </w:rPr>
            </w:pPr>
          </w:p>
        </w:tc>
        <w:tc>
          <w:tcPr>
            <w:tcW w:w="1134" w:type="dxa"/>
            <w:vAlign w:val="center"/>
          </w:tcPr>
          <w:p w14:paraId="225D471E" w14:textId="77777777" w:rsidR="00577D08" w:rsidRDefault="00330FC0">
            <w:pPr>
              <w:jc w:val="right"/>
              <w:rPr>
                <w:sz w:val="15"/>
                <w:szCs w:val="15"/>
              </w:rPr>
            </w:pPr>
            <w:r>
              <w:rPr>
                <w:sz w:val="15"/>
                <w:szCs w:val="15"/>
              </w:rPr>
              <w:t>20,467,028.68</w:t>
            </w:r>
          </w:p>
        </w:tc>
        <w:tc>
          <w:tcPr>
            <w:tcW w:w="1276" w:type="dxa"/>
            <w:vAlign w:val="center"/>
          </w:tcPr>
          <w:p w14:paraId="6F7DFE0C" w14:textId="77777777" w:rsidR="00577D08" w:rsidRDefault="00330FC0">
            <w:pPr>
              <w:jc w:val="right"/>
              <w:rPr>
                <w:sz w:val="15"/>
                <w:szCs w:val="15"/>
              </w:rPr>
            </w:pPr>
            <w:r>
              <w:rPr>
                <w:sz w:val="15"/>
                <w:szCs w:val="15"/>
              </w:rPr>
              <w:t>126,346,004.08</w:t>
            </w:r>
          </w:p>
        </w:tc>
        <w:tc>
          <w:tcPr>
            <w:tcW w:w="1275" w:type="dxa"/>
            <w:vAlign w:val="center"/>
          </w:tcPr>
          <w:p w14:paraId="4F87FC62" w14:textId="77777777" w:rsidR="00577D08" w:rsidRDefault="00330FC0">
            <w:pPr>
              <w:jc w:val="right"/>
              <w:rPr>
                <w:sz w:val="15"/>
                <w:szCs w:val="15"/>
              </w:rPr>
            </w:pPr>
            <w:r>
              <w:rPr>
                <w:sz w:val="15"/>
                <w:szCs w:val="15"/>
              </w:rPr>
              <w:t>1,010,476,174.22</w:t>
            </w:r>
          </w:p>
        </w:tc>
        <w:tc>
          <w:tcPr>
            <w:tcW w:w="1378" w:type="dxa"/>
          </w:tcPr>
          <w:p w14:paraId="2EEA1657" w14:textId="77777777" w:rsidR="00577D08" w:rsidRDefault="00330FC0">
            <w:pPr>
              <w:jc w:val="right"/>
              <w:rPr>
                <w:sz w:val="15"/>
                <w:szCs w:val="15"/>
              </w:rPr>
            </w:pPr>
            <w:r>
              <w:rPr>
                <w:sz w:val="15"/>
                <w:szCs w:val="15"/>
              </w:rPr>
              <w:t>2,432,498,184.13</w:t>
            </w:r>
          </w:p>
        </w:tc>
      </w:tr>
      <w:bookmarkEnd w:id="295"/>
    </w:tbl>
    <w:p w14:paraId="5D0FC648" w14:textId="77777777" w:rsidR="00577D08" w:rsidRDefault="00577D08"/>
    <w:p w14:paraId="4136B13E" w14:textId="77777777" w:rsidR="00577D08" w:rsidRDefault="00577D08"/>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94"/>
        <w:gridCol w:w="1258"/>
        <w:gridCol w:w="709"/>
        <w:gridCol w:w="709"/>
        <w:gridCol w:w="567"/>
        <w:gridCol w:w="1275"/>
        <w:gridCol w:w="1134"/>
        <w:gridCol w:w="851"/>
        <w:gridCol w:w="1134"/>
        <w:gridCol w:w="1276"/>
        <w:gridCol w:w="1275"/>
        <w:gridCol w:w="1322"/>
      </w:tblGrid>
      <w:tr w:rsidR="00577D08" w14:paraId="66C8F222" w14:textId="77777777">
        <w:trPr>
          <w:trHeight w:val="20"/>
        </w:trPr>
        <w:tc>
          <w:tcPr>
            <w:tcW w:w="2394" w:type="dxa"/>
            <w:vMerge w:val="restart"/>
            <w:vAlign w:val="center"/>
          </w:tcPr>
          <w:bookmarkStart w:id="296" w:name="OLE_LINK9" w:displacedByCustomXml="next"/>
          <w:sdt>
            <w:sdtPr>
              <w:rPr>
                <w:sz w:val="15"/>
                <w:szCs w:val="15"/>
              </w:rPr>
              <w:tag w:val="_PLD_64a794ab75214f6d9d66748804bee4e8"/>
              <w:id w:val="147251477"/>
            </w:sdtPr>
            <w:sdtContent>
              <w:p w14:paraId="6A3A5F61" w14:textId="77777777" w:rsidR="00577D08" w:rsidRDefault="00330FC0">
                <w:pPr>
                  <w:adjustRightInd w:val="0"/>
                  <w:snapToGrid w:val="0"/>
                  <w:jc w:val="center"/>
                  <w:rPr>
                    <w:sz w:val="15"/>
                    <w:szCs w:val="15"/>
                  </w:rPr>
                </w:pPr>
                <w:r>
                  <w:rPr>
                    <w:rFonts w:hint="eastAsia"/>
                    <w:sz w:val="15"/>
                    <w:szCs w:val="15"/>
                  </w:rPr>
                  <w:t>项目</w:t>
                </w:r>
              </w:p>
            </w:sdtContent>
          </w:sdt>
        </w:tc>
        <w:tc>
          <w:tcPr>
            <w:tcW w:w="11510" w:type="dxa"/>
            <w:gridSpan w:val="11"/>
            <w:vAlign w:val="center"/>
          </w:tcPr>
          <w:p w14:paraId="5C69ED7E" w14:textId="77777777" w:rsidR="00577D08" w:rsidRDefault="00000000">
            <w:pPr>
              <w:adjustRightInd w:val="0"/>
              <w:snapToGrid w:val="0"/>
              <w:jc w:val="center"/>
              <w:rPr>
                <w:sz w:val="15"/>
                <w:szCs w:val="15"/>
              </w:rPr>
            </w:pPr>
            <w:sdt>
              <w:sdtPr>
                <w:rPr>
                  <w:sz w:val="15"/>
                  <w:szCs w:val="15"/>
                </w:rPr>
                <w:tag w:val="_PLD_6226137cffd442dfb505b8cfe7d1f423"/>
                <w:id w:val="1263877999"/>
              </w:sdtPr>
              <w:sdtContent>
                <w:r w:rsidR="00330FC0">
                  <w:rPr>
                    <w:rFonts w:hint="eastAsia"/>
                    <w:sz w:val="15"/>
                    <w:szCs w:val="15"/>
                  </w:rPr>
                  <w:t>2024</w:t>
                </w:r>
                <w:r w:rsidR="00330FC0">
                  <w:rPr>
                    <w:rFonts w:hint="eastAsia"/>
                    <w:sz w:val="15"/>
                    <w:szCs w:val="15"/>
                  </w:rPr>
                  <w:t>年度</w:t>
                </w:r>
              </w:sdtContent>
            </w:sdt>
          </w:p>
        </w:tc>
      </w:tr>
      <w:tr w:rsidR="00577D08" w14:paraId="0042AC13" w14:textId="77777777">
        <w:trPr>
          <w:trHeight w:val="315"/>
        </w:trPr>
        <w:tc>
          <w:tcPr>
            <w:tcW w:w="2394" w:type="dxa"/>
            <w:vMerge/>
            <w:vAlign w:val="center"/>
          </w:tcPr>
          <w:p w14:paraId="45FDE9C1" w14:textId="77777777" w:rsidR="00577D08" w:rsidRDefault="00577D08">
            <w:pPr>
              <w:adjustRightInd w:val="0"/>
              <w:snapToGrid w:val="0"/>
              <w:rPr>
                <w:sz w:val="15"/>
                <w:szCs w:val="15"/>
              </w:rPr>
            </w:pPr>
          </w:p>
        </w:tc>
        <w:sdt>
          <w:sdtPr>
            <w:rPr>
              <w:sz w:val="15"/>
              <w:szCs w:val="15"/>
            </w:rPr>
            <w:tag w:val="_PLD_e0e316f064db43a38ddec14c349b4dfa"/>
            <w:id w:val="-618221744"/>
          </w:sdtPr>
          <w:sdtContent>
            <w:tc>
              <w:tcPr>
                <w:tcW w:w="1258" w:type="dxa"/>
                <w:vMerge w:val="restart"/>
                <w:tcBorders>
                  <w:right w:val="single" w:sz="4" w:space="0" w:color="auto"/>
                </w:tcBorders>
                <w:vAlign w:val="center"/>
              </w:tcPr>
              <w:p w14:paraId="38FD5E11" w14:textId="77777777" w:rsidR="00577D08" w:rsidRDefault="00330FC0">
                <w:pPr>
                  <w:adjustRightInd w:val="0"/>
                  <w:snapToGrid w:val="0"/>
                  <w:jc w:val="center"/>
                  <w:rPr>
                    <w:sz w:val="15"/>
                    <w:szCs w:val="15"/>
                  </w:rPr>
                </w:pPr>
                <w:r>
                  <w:rPr>
                    <w:sz w:val="15"/>
                    <w:szCs w:val="15"/>
                  </w:rPr>
                  <w:t>实收资本</w:t>
                </w:r>
                <w:r>
                  <w:rPr>
                    <w:sz w:val="15"/>
                    <w:szCs w:val="15"/>
                  </w:rPr>
                  <w:t>(</w:t>
                </w:r>
                <w:r>
                  <w:rPr>
                    <w:sz w:val="15"/>
                    <w:szCs w:val="15"/>
                  </w:rPr>
                  <w:t>或股本</w:t>
                </w:r>
                <w:r>
                  <w:rPr>
                    <w:sz w:val="15"/>
                    <w:szCs w:val="15"/>
                  </w:rPr>
                  <w:t>)</w:t>
                </w:r>
              </w:p>
            </w:tc>
          </w:sdtContent>
        </w:sdt>
        <w:sdt>
          <w:sdtPr>
            <w:rPr>
              <w:sz w:val="15"/>
              <w:szCs w:val="15"/>
            </w:rPr>
            <w:tag w:val="_PLD_2c82747108ee4c518651265b45dbebcd"/>
            <w:id w:val="-243184174"/>
          </w:sdtPr>
          <w:sdtContent>
            <w:tc>
              <w:tcPr>
                <w:tcW w:w="1985" w:type="dxa"/>
                <w:gridSpan w:val="3"/>
                <w:tcBorders>
                  <w:left w:val="single" w:sz="4" w:space="0" w:color="auto"/>
                  <w:bottom w:val="single" w:sz="4" w:space="0" w:color="auto"/>
                </w:tcBorders>
                <w:vAlign w:val="center"/>
              </w:tcPr>
              <w:p w14:paraId="6B0E7A8E" w14:textId="77777777" w:rsidR="00577D08" w:rsidRDefault="00330FC0">
                <w:pPr>
                  <w:adjustRightInd w:val="0"/>
                  <w:snapToGrid w:val="0"/>
                  <w:jc w:val="center"/>
                  <w:rPr>
                    <w:sz w:val="15"/>
                    <w:szCs w:val="15"/>
                  </w:rPr>
                </w:pPr>
                <w:r>
                  <w:rPr>
                    <w:rFonts w:hint="eastAsia"/>
                    <w:sz w:val="15"/>
                    <w:szCs w:val="15"/>
                  </w:rPr>
                  <w:t>其他权益工具</w:t>
                </w:r>
              </w:p>
            </w:tc>
          </w:sdtContent>
        </w:sdt>
        <w:sdt>
          <w:sdtPr>
            <w:rPr>
              <w:sz w:val="15"/>
              <w:szCs w:val="15"/>
            </w:rPr>
            <w:tag w:val="_PLD_c459549b516242be83fce2e92cc794e6"/>
            <w:id w:val="-1239087499"/>
          </w:sdtPr>
          <w:sdtContent>
            <w:tc>
              <w:tcPr>
                <w:tcW w:w="1275" w:type="dxa"/>
                <w:vMerge w:val="restart"/>
                <w:vAlign w:val="center"/>
              </w:tcPr>
              <w:p w14:paraId="25808543" w14:textId="77777777" w:rsidR="00577D08" w:rsidRDefault="00330FC0">
                <w:pPr>
                  <w:adjustRightInd w:val="0"/>
                  <w:snapToGrid w:val="0"/>
                  <w:jc w:val="center"/>
                  <w:rPr>
                    <w:sz w:val="15"/>
                    <w:szCs w:val="15"/>
                  </w:rPr>
                </w:pPr>
                <w:r>
                  <w:rPr>
                    <w:sz w:val="15"/>
                    <w:szCs w:val="15"/>
                  </w:rPr>
                  <w:t>资本公积</w:t>
                </w:r>
              </w:p>
            </w:tc>
          </w:sdtContent>
        </w:sdt>
        <w:sdt>
          <w:sdtPr>
            <w:rPr>
              <w:sz w:val="15"/>
              <w:szCs w:val="15"/>
            </w:rPr>
            <w:tag w:val="_PLD_9979085a666a4b7a9ee698268b0bb615"/>
            <w:id w:val="-74049872"/>
          </w:sdtPr>
          <w:sdtContent>
            <w:tc>
              <w:tcPr>
                <w:tcW w:w="1134" w:type="dxa"/>
                <w:vMerge w:val="restart"/>
                <w:vAlign w:val="center"/>
              </w:tcPr>
              <w:p w14:paraId="4E850F90" w14:textId="77777777" w:rsidR="00577D08" w:rsidRDefault="00330FC0">
                <w:pPr>
                  <w:adjustRightInd w:val="0"/>
                  <w:snapToGrid w:val="0"/>
                  <w:jc w:val="center"/>
                  <w:rPr>
                    <w:sz w:val="15"/>
                    <w:szCs w:val="15"/>
                  </w:rPr>
                </w:pPr>
                <w:r>
                  <w:rPr>
                    <w:sz w:val="15"/>
                    <w:szCs w:val="15"/>
                  </w:rPr>
                  <w:t>减：库存股</w:t>
                </w:r>
              </w:p>
            </w:tc>
          </w:sdtContent>
        </w:sdt>
        <w:sdt>
          <w:sdtPr>
            <w:rPr>
              <w:sz w:val="15"/>
              <w:szCs w:val="15"/>
            </w:rPr>
            <w:tag w:val="_PLD_3b870c2efbdc421980e0e6ed21bc828a"/>
            <w:id w:val="-1132332700"/>
          </w:sdtPr>
          <w:sdtContent>
            <w:tc>
              <w:tcPr>
                <w:tcW w:w="851" w:type="dxa"/>
                <w:vMerge w:val="restart"/>
                <w:vAlign w:val="center"/>
              </w:tcPr>
              <w:p w14:paraId="61B2F84D" w14:textId="77777777" w:rsidR="00577D08" w:rsidRDefault="00330FC0">
                <w:pPr>
                  <w:jc w:val="center"/>
                  <w:rPr>
                    <w:sz w:val="15"/>
                    <w:szCs w:val="15"/>
                  </w:rPr>
                </w:pPr>
                <w:r>
                  <w:rPr>
                    <w:rFonts w:hint="eastAsia"/>
                    <w:sz w:val="15"/>
                    <w:szCs w:val="15"/>
                  </w:rPr>
                  <w:t>其他综合收益</w:t>
                </w:r>
              </w:p>
            </w:tc>
          </w:sdtContent>
        </w:sdt>
        <w:sdt>
          <w:sdtPr>
            <w:rPr>
              <w:sz w:val="15"/>
              <w:szCs w:val="15"/>
            </w:rPr>
            <w:tag w:val="_PLD_68a9918174cf4752ad67388e59bb3c51"/>
            <w:id w:val="-783650939"/>
          </w:sdtPr>
          <w:sdtContent>
            <w:tc>
              <w:tcPr>
                <w:tcW w:w="1134" w:type="dxa"/>
                <w:vMerge w:val="restart"/>
                <w:vAlign w:val="center"/>
              </w:tcPr>
              <w:p w14:paraId="29EC9EE1" w14:textId="77777777" w:rsidR="00577D08" w:rsidRDefault="00330FC0">
                <w:pPr>
                  <w:adjustRightInd w:val="0"/>
                  <w:snapToGrid w:val="0"/>
                  <w:jc w:val="center"/>
                  <w:rPr>
                    <w:sz w:val="15"/>
                    <w:szCs w:val="15"/>
                  </w:rPr>
                </w:pPr>
                <w:r>
                  <w:rPr>
                    <w:rFonts w:hint="eastAsia"/>
                    <w:sz w:val="15"/>
                    <w:szCs w:val="15"/>
                  </w:rPr>
                  <w:t>专项储备</w:t>
                </w:r>
              </w:p>
            </w:tc>
          </w:sdtContent>
        </w:sdt>
        <w:sdt>
          <w:sdtPr>
            <w:rPr>
              <w:sz w:val="15"/>
              <w:szCs w:val="15"/>
            </w:rPr>
            <w:tag w:val="_PLD_eddda9b1710646a5811c9efb65bf8703"/>
            <w:id w:val="-1936280771"/>
          </w:sdtPr>
          <w:sdtContent>
            <w:tc>
              <w:tcPr>
                <w:tcW w:w="1276" w:type="dxa"/>
                <w:vMerge w:val="restart"/>
                <w:vAlign w:val="center"/>
              </w:tcPr>
              <w:p w14:paraId="7597EFB5" w14:textId="77777777" w:rsidR="00577D08" w:rsidRDefault="00330FC0">
                <w:pPr>
                  <w:adjustRightInd w:val="0"/>
                  <w:snapToGrid w:val="0"/>
                  <w:jc w:val="center"/>
                  <w:rPr>
                    <w:sz w:val="15"/>
                    <w:szCs w:val="15"/>
                  </w:rPr>
                </w:pPr>
                <w:r>
                  <w:rPr>
                    <w:sz w:val="15"/>
                    <w:szCs w:val="15"/>
                  </w:rPr>
                  <w:t>盈余公积</w:t>
                </w:r>
              </w:p>
            </w:tc>
          </w:sdtContent>
        </w:sdt>
        <w:sdt>
          <w:sdtPr>
            <w:rPr>
              <w:sz w:val="15"/>
              <w:szCs w:val="15"/>
            </w:rPr>
            <w:tag w:val="_PLD_d210b1f3e63743b7b7ad078da7c00997"/>
            <w:id w:val="-1975595722"/>
          </w:sdtPr>
          <w:sdtContent>
            <w:tc>
              <w:tcPr>
                <w:tcW w:w="1275" w:type="dxa"/>
                <w:vMerge w:val="restart"/>
                <w:vAlign w:val="center"/>
              </w:tcPr>
              <w:p w14:paraId="60D3E804" w14:textId="77777777" w:rsidR="00577D08" w:rsidRDefault="00330FC0">
                <w:pPr>
                  <w:adjustRightInd w:val="0"/>
                  <w:snapToGrid w:val="0"/>
                  <w:jc w:val="center"/>
                  <w:rPr>
                    <w:sz w:val="15"/>
                    <w:szCs w:val="15"/>
                  </w:rPr>
                </w:pPr>
                <w:r>
                  <w:rPr>
                    <w:sz w:val="15"/>
                    <w:szCs w:val="15"/>
                  </w:rPr>
                  <w:t>未分配利润</w:t>
                </w:r>
              </w:p>
            </w:tc>
          </w:sdtContent>
        </w:sdt>
        <w:sdt>
          <w:sdtPr>
            <w:rPr>
              <w:sz w:val="15"/>
              <w:szCs w:val="15"/>
            </w:rPr>
            <w:tag w:val="_PLD_d0efa115b304401592a693cab0f3a46a"/>
            <w:id w:val="-225539015"/>
          </w:sdtPr>
          <w:sdtContent>
            <w:tc>
              <w:tcPr>
                <w:tcW w:w="1322" w:type="dxa"/>
                <w:vMerge w:val="restart"/>
                <w:vAlign w:val="center"/>
              </w:tcPr>
              <w:p w14:paraId="3C78C5A2" w14:textId="77777777" w:rsidR="00577D08" w:rsidRDefault="00330FC0">
                <w:pPr>
                  <w:adjustRightInd w:val="0"/>
                  <w:snapToGrid w:val="0"/>
                  <w:jc w:val="center"/>
                  <w:rPr>
                    <w:sz w:val="15"/>
                    <w:szCs w:val="15"/>
                  </w:rPr>
                </w:pPr>
                <w:r>
                  <w:rPr>
                    <w:sz w:val="15"/>
                    <w:szCs w:val="15"/>
                  </w:rPr>
                  <w:t>所有者权益合计</w:t>
                </w:r>
              </w:p>
            </w:tc>
          </w:sdtContent>
        </w:sdt>
      </w:tr>
      <w:tr w:rsidR="00577D08" w14:paraId="2E93B017" w14:textId="77777777">
        <w:trPr>
          <w:trHeight w:val="294"/>
        </w:trPr>
        <w:tc>
          <w:tcPr>
            <w:tcW w:w="2394" w:type="dxa"/>
            <w:vMerge/>
            <w:vAlign w:val="center"/>
          </w:tcPr>
          <w:p w14:paraId="18D00EAD" w14:textId="77777777" w:rsidR="00577D08" w:rsidRDefault="00577D08">
            <w:pPr>
              <w:adjustRightInd w:val="0"/>
              <w:snapToGrid w:val="0"/>
              <w:rPr>
                <w:sz w:val="15"/>
                <w:szCs w:val="15"/>
              </w:rPr>
            </w:pPr>
          </w:p>
        </w:tc>
        <w:tc>
          <w:tcPr>
            <w:tcW w:w="1258" w:type="dxa"/>
            <w:vMerge/>
            <w:tcBorders>
              <w:right w:val="single" w:sz="4" w:space="0" w:color="auto"/>
            </w:tcBorders>
            <w:vAlign w:val="center"/>
          </w:tcPr>
          <w:p w14:paraId="00CFB80D" w14:textId="77777777" w:rsidR="00577D08" w:rsidRDefault="00577D08">
            <w:pPr>
              <w:adjustRightInd w:val="0"/>
              <w:snapToGrid w:val="0"/>
              <w:jc w:val="center"/>
              <w:rPr>
                <w:sz w:val="15"/>
                <w:szCs w:val="15"/>
              </w:rPr>
            </w:pPr>
          </w:p>
        </w:tc>
        <w:sdt>
          <w:sdtPr>
            <w:rPr>
              <w:sz w:val="15"/>
              <w:szCs w:val="15"/>
            </w:rPr>
            <w:tag w:val="_PLD_f219b4732c3e4bd5a67b8c298432fd3d"/>
            <w:id w:val="-883868919"/>
          </w:sdtPr>
          <w:sdtContent>
            <w:tc>
              <w:tcPr>
                <w:tcW w:w="709" w:type="dxa"/>
                <w:tcBorders>
                  <w:top w:val="single" w:sz="4" w:space="0" w:color="auto"/>
                  <w:left w:val="single" w:sz="4" w:space="0" w:color="auto"/>
                  <w:right w:val="single" w:sz="4" w:space="0" w:color="auto"/>
                </w:tcBorders>
                <w:vAlign w:val="center"/>
              </w:tcPr>
              <w:p w14:paraId="3BD48B38" w14:textId="77777777" w:rsidR="00577D08" w:rsidRDefault="00330FC0">
                <w:pPr>
                  <w:adjustRightInd w:val="0"/>
                  <w:snapToGrid w:val="0"/>
                  <w:jc w:val="center"/>
                  <w:rPr>
                    <w:sz w:val="15"/>
                    <w:szCs w:val="15"/>
                  </w:rPr>
                </w:pPr>
                <w:r>
                  <w:rPr>
                    <w:rFonts w:hint="eastAsia"/>
                    <w:sz w:val="15"/>
                    <w:szCs w:val="15"/>
                  </w:rPr>
                  <w:t>优先股</w:t>
                </w:r>
              </w:p>
            </w:tc>
          </w:sdtContent>
        </w:sdt>
        <w:sdt>
          <w:sdtPr>
            <w:rPr>
              <w:sz w:val="15"/>
              <w:szCs w:val="15"/>
            </w:rPr>
            <w:tag w:val="_PLD_9c8ca36c728447658d99fee93d742edf"/>
            <w:id w:val="598835451"/>
          </w:sdtPr>
          <w:sdtContent>
            <w:tc>
              <w:tcPr>
                <w:tcW w:w="709" w:type="dxa"/>
                <w:tcBorders>
                  <w:top w:val="single" w:sz="4" w:space="0" w:color="auto"/>
                  <w:left w:val="single" w:sz="4" w:space="0" w:color="auto"/>
                  <w:right w:val="single" w:sz="4" w:space="0" w:color="auto"/>
                </w:tcBorders>
                <w:vAlign w:val="center"/>
              </w:tcPr>
              <w:p w14:paraId="63EDADBA" w14:textId="77777777" w:rsidR="00577D08" w:rsidRDefault="00330FC0">
                <w:pPr>
                  <w:adjustRightInd w:val="0"/>
                  <w:snapToGrid w:val="0"/>
                  <w:jc w:val="center"/>
                  <w:rPr>
                    <w:sz w:val="15"/>
                    <w:szCs w:val="15"/>
                  </w:rPr>
                </w:pPr>
                <w:r>
                  <w:rPr>
                    <w:rFonts w:hint="eastAsia"/>
                    <w:sz w:val="15"/>
                    <w:szCs w:val="15"/>
                  </w:rPr>
                  <w:t>永续债</w:t>
                </w:r>
              </w:p>
            </w:tc>
          </w:sdtContent>
        </w:sdt>
        <w:sdt>
          <w:sdtPr>
            <w:rPr>
              <w:sz w:val="15"/>
              <w:szCs w:val="15"/>
            </w:rPr>
            <w:tag w:val="_PLD_d053abd77b574111883b8fafe3a173d2"/>
            <w:id w:val="2012251573"/>
          </w:sdtPr>
          <w:sdtContent>
            <w:tc>
              <w:tcPr>
                <w:tcW w:w="567" w:type="dxa"/>
                <w:tcBorders>
                  <w:top w:val="single" w:sz="4" w:space="0" w:color="auto"/>
                  <w:left w:val="single" w:sz="4" w:space="0" w:color="auto"/>
                </w:tcBorders>
                <w:vAlign w:val="center"/>
              </w:tcPr>
              <w:p w14:paraId="302EB3E7" w14:textId="77777777" w:rsidR="00577D08" w:rsidRDefault="00330FC0">
                <w:pPr>
                  <w:adjustRightInd w:val="0"/>
                  <w:snapToGrid w:val="0"/>
                  <w:jc w:val="center"/>
                  <w:rPr>
                    <w:sz w:val="15"/>
                    <w:szCs w:val="15"/>
                  </w:rPr>
                </w:pPr>
                <w:r>
                  <w:rPr>
                    <w:rFonts w:hint="eastAsia"/>
                    <w:sz w:val="15"/>
                    <w:szCs w:val="15"/>
                  </w:rPr>
                  <w:t>其他</w:t>
                </w:r>
              </w:p>
            </w:tc>
          </w:sdtContent>
        </w:sdt>
        <w:tc>
          <w:tcPr>
            <w:tcW w:w="1275" w:type="dxa"/>
            <w:vMerge/>
            <w:vAlign w:val="center"/>
          </w:tcPr>
          <w:p w14:paraId="0AB87E03" w14:textId="77777777" w:rsidR="00577D08" w:rsidRDefault="00577D08">
            <w:pPr>
              <w:adjustRightInd w:val="0"/>
              <w:snapToGrid w:val="0"/>
              <w:jc w:val="center"/>
              <w:rPr>
                <w:sz w:val="15"/>
                <w:szCs w:val="15"/>
              </w:rPr>
            </w:pPr>
          </w:p>
        </w:tc>
        <w:tc>
          <w:tcPr>
            <w:tcW w:w="1134" w:type="dxa"/>
            <w:vMerge/>
            <w:vAlign w:val="center"/>
          </w:tcPr>
          <w:p w14:paraId="62C6EB71" w14:textId="77777777" w:rsidR="00577D08" w:rsidRDefault="00577D08">
            <w:pPr>
              <w:adjustRightInd w:val="0"/>
              <w:snapToGrid w:val="0"/>
              <w:jc w:val="center"/>
              <w:rPr>
                <w:sz w:val="15"/>
                <w:szCs w:val="15"/>
              </w:rPr>
            </w:pPr>
          </w:p>
        </w:tc>
        <w:tc>
          <w:tcPr>
            <w:tcW w:w="851" w:type="dxa"/>
            <w:vMerge/>
            <w:vAlign w:val="center"/>
          </w:tcPr>
          <w:p w14:paraId="04432A4B" w14:textId="77777777" w:rsidR="00577D08" w:rsidRDefault="00577D08">
            <w:pPr>
              <w:jc w:val="center"/>
              <w:rPr>
                <w:sz w:val="15"/>
                <w:szCs w:val="15"/>
              </w:rPr>
            </w:pPr>
          </w:p>
        </w:tc>
        <w:tc>
          <w:tcPr>
            <w:tcW w:w="1134" w:type="dxa"/>
            <w:vMerge/>
            <w:vAlign w:val="center"/>
          </w:tcPr>
          <w:p w14:paraId="1FBA235D" w14:textId="77777777" w:rsidR="00577D08" w:rsidRDefault="00577D08">
            <w:pPr>
              <w:adjustRightInd w:val="0"/>
              <w:snapToGrid w:val="0"/>
              <w:jc w:val="center"/>
              <w:rPr>
                <w:sz w:val="15"/>
                <w:szCs w:val="15"/>
              </w:rPr>
            </w:pPr>
          </w:p>
        </w:tc>
        <w:tc>
          <w:tcPr>
            <w:tcW w:w="1276" w:type="dxa"/>
            <w:vMerge/>
            <w:vAlign w:val="center"/>
          </w:tcPr>
          <w:p w14:paraId="42EB6F64" w14:textId="77777777" w:rsidR="00577D08" w:rsidRDefault="00577D08">
            <w:pPr>
              <w:adjustRightInd w:val="0"/>
              <w:snapToGrid w:val="0"/>
              <w:jc w:val="center"/>
              <w:rPr>
                <w:sz w:val="15"/>
                <w:szCs w:val="15"/>
              </w:rPr>
            </w:pPr>
          </w:p>
        </w:tc>
        <w:tc>
          <w:tcPr>
            <w:tcW w:w="1275" w:type="dxa"/>
            <w:vMerge/>
            <w:vAlign w:val="center"/>
          </w:tcPr>
          <w:p w14:paraId="5D1D298A" w14:textId="77777777" w:rsidR="00577D08" w:rsidRDefault="00577D08">
            <w:pPr>
              <w:adjustRightInd w:val="0"/>
              <w:snapToGrid w:val="0"/>
              <w:jc w:val="center"/>
              <w:rPr>
                <w:sz w:val="15"/>
                <w:szCs w:val="15"/>
              </w:rPr>
            </w:pPr>
          </w:p>
        </w:tc>
        <w:tc>
          <w:tcPr>
            <w:tcW w:w="1322" w:type="dxa"/>
            <w:vMerge/>
            <w:vAlign w:val="center"/>
          </w:tcPr>
          <w:p w14:paraId="42CF87A5" w14:textId="77777777" w:rsidR="00577D08" w:rsidRDefault="00577D08">
            <w:pPr>
              <w:adjustRightInd w:val="0"/>
              <w:snapToGrid w:val="0"/>
              <w:jc w:val="center"/>
              <w:rPr>
                <w:sz w:val="15"/>
                <w:szCs w:val="15"/>
              </w:rPr>
            </w:pPr>
          </w:p>
        </w:tc>
      </w:tr>
      <w:tr w:rsidR="00577D08" w14:paraId="47BC06DD" w14:textId="77777777">
        <w:trPr>
          <w:trHeight w:val="20"/>
        </w:trPr>
        <w:sdt>
          <w:sdtPr>
            <w:rPr>
              <w:sz w:val="15"/>
              <w:szCs w:val="15"/>
            </w:rPr>
            <w:tag w:val="_PLD_4b9f68f704bb4acfae62b3d3cbf0d790"/>
            <w:id w:val="-924103180"/>
          </w:sdtPr>
          <w:sdtContent>
            <w:tc>
              <w:tcPr>
                <w:tcW w:w="2394" w:type="dxa"/>
                <w:vAlign w:val="center"/>
              </w:tcPr>
              <w:p w14:paraId="72D73273" w14:textId="77777777" w:rsidR="00577D08" w:rsidRDefault="00330FC0">
                <w:pPr>
                  <w:rPr>
                    <w:sz w:val="15"/>
                    <w:szCs w:val="15"/>
                  </w:rPr>
                </w:pPr>
                <w:r>
                  <w:rPr>
                    <w:sz w:val="15"/>
                    <w:szCs w:val="15"/>
                  </w:rPr>
                  <w:t>一、上年</w:t>
                </w:r>
                <w:r>
                  <w:rPr>
                    <w:rFonts w:hint="eastAsia"/>
                    <w:sz w:val="15"/>
                    <w:szCs w:val="15"/>
                  </w:rPr>
                  <w:t>年</w:t>
                </w:r>
                <w:r>
                  <w:rPr>
                    <w:sz w:val="15"/>
                    <w:szCs w:val="15"/>
                  </w:rPr>
                  <w:t>末余额</w:t>
                </w:r>
              </w:p>
            </w:tc>
          </w:sdtContent>
        </w:sdt>
        <w:tc>
          <w:tcPr>
            <w:tcW w:w="1258" w:type="dxa"/>
            <w:tcBorders>
              <w:right w:val="single" w:sz="4" w:space="0" w:color="auto"/>
            </w:tcBorders>
            <w:vAlign w:val="center"/>
          </w:tcPr>
          <w:p w14:paraId="44B76CA6" w14:textId="77777777" w:rsidR="00577D08" w:rsidRDefault="00330FC0">
            <w:pPr>
              <w:jc w:val="right"/>
              <w:rPr>
                <w:sz w:val="15"/>
                <w:szCs w:val="15"/>
              </w:rPr>
            </w:pPr>
            <w:r>
              <w:rPr>
                <w:sz w:val="15"/>
                <w:szCs w:val="15"/>
              </w:rPr>
              <w:t>333,167,407.00</w:t>
            </w:r>
          </w:p>
        </w:tc>
        <w:tc>
          <w:tcPr>
            <w:tcW w:w="709" w:type="dxa"/>
            <w:tcBorders>
              <w:left w:val="single" w:sz="4" w:space="0" w:color="auto"/>
              <w:right w:val="single" w:sz="4" w:space="0" w:color="auto"/>
            </w:tcBorders>
            <w:vAlign w:val="center"/>
          </w:tcPr>
          <w:p w14:paraId="4BCFF45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3DDBE39" w14:textId="77777777" w:rsidR="00577D08" w:rsidRDefault="00577D08">
            <w:pPr>
              <w:jc w:val="right"/>
              <w:rPr>
                <w:sz w:val="15"/>
                <w:szCs w:val="15"/>
              </w:rPr>
            </w:pPr>
          </w:p>
        </w:tc>
        <w:tc>
          <w:tcPr>
            <w:tcW w:w="567" w:type="dxa"/>
            <w:tcBorders>
              <w:left w:val="single" w:sz="4" w:space="0" w:color="auto"/>
              <w:right w:val="single" w:sz="4" w:space="0" w:color="auto"/>
            </w:tcBorders>
            <w:vAlign w:val="center"/>
          </w:tcPr>
          <w:p w14:paraId="6CD7338C" w14:textId="77777777" w:rsidR="00577D08" w:rsidRDefault="00577D08">
            <w:pPr>
              <w:jc w:val="right"/>
              <w:rPr>
                <w:sz w:val="15"/>
                <w:szCs w:val="15"/>
              </w:rPr>
            </w:pPr>
          </w:p>
        </w:tc>
        <w:tc>
          <w:tcPr>
            <w:tcW w:w="1275" w:type="dxa"/>
            <w:tcBorders>
              <w:left w:val="single" w:sz="4" w:space="0" w:color="auto"/>
            </w:tcBorders>
            <w:vAlign w:val="center"/>
          </w:tcPr>
          <w:p w14:paraId="16E16D76" w14:textId="77777777" w:rsidR="00577D08" w:rsidRDefault="00330FC0">
            <w:pPr>
              <w:jc w:val="right"/>
              <w:rPr>
                <w:sz w:val="15"/>
                <w:szCs w:val="15"/>
              </w:rPr>
            </w:pPr>
            <w:r>
              <w:rPr>
                <w:sz w:val="15"/>
                <w:szCs w:val="15"/>
              </w:rPr>
              <w:t>984,845,013.70</w:t>
            </w:r>
          </w:p>
        </w:tc>
        <w:tc>
          <w:tcPr>
            <w:tcW w:w="1134" w:type="dxa"/>
            <w:vAlign w:val="center"/>
          </w:tcPr>
          <w:p w14:paraId="6130F50C" w14:textId="77777777" w:rsidR="00577D08" w:rsidRDefault="00330FC0">
            <w:pPr>
              <w:jc w:val="right"/>
              <w:rPr>
                <w:sz w:val="15"/>
                <w:szCs w:val="15"/>
              </w:rPr>
            </w:pPr>
            <w:r>
              <w:rPr>
                <w:sz w:val="15"/>
                <w:szCs w:val="15"/>
              </w:rPr>
              <w:t>50,299,241.28</w:t>
            </w:r>
          </w:p>
        </w:tc>
        <w:tc>
          <w:tcPr>
            <w:tcW w:w="851" w:type="dxa"/>
            <w:vAlign w:val="center"/>
          </w:tcPr>
          <w:p w14:paraId="2E35BB81" w14:textId="77777777" w:rsidR="00577D08" w:rsidRDefault="00577D08">
            <w:pPr>
              <w:jc w:val="right"/>
              <w:rPr>
                <w:sz w:val="15"/>
                <w:szCs w:val="15"/>
              </w:rPr>
            </w:pPr>
          </w:p>
        </w:tc>
        <w:tc>
          <w:tcPr>
            <w:tcW w:w="1134" w:type="dxa"/>
            <w:vAlign w:val="center"/>
          </w:tcPr>
          <w:p w14:paraId="5E671E26" w14:textId="77777777" w:rsidR="00577D08" w:rsidRDefault="00330FC0">
            <w:pPr>
              <w:jc w:val="right"/>
              <w:rPr>
                <w:sz w:val="15"/>
                <w:szCs w:val="15"/>
              </w:rPr>
            </w:pPr>
            <w:r>
              <w:rPr>
                <w:sz w:val="15"/>
                <w:szCs w:val="15"/>
              </w:rPr>
              <w:t>20,486,861.44</w:t>
            </w:r>
          </w:p>
        </w:tc>
        <w:tc>
          <w:tcPr>
            <w:tcW w:w="1276" w:type="dxa"/>
            <w:vAlign w:val="center"/>
          </w:tcPr>
          <w:p w14:paraId="34FC934A" w14:textId="77777777" w:rsidR="00577D08" w:rsidRDefault="00330FC0">
            <w:pPr>
              <w:jc w:val="right"/>
              <w:rPr>
                <w:sz w:val="15"/>
                <w:szCs w:val="15"/>
              </w:rPr>
            </w:pPr>
            <w:r>
              <w:rPr>
                <w:sz w:val="15"/>
                <w:szCs w:val="15"/>
              </w:rPr>
              <w:t>117,387,556.66</w:t>
            </w:r>
          </w:p>
        </w:tc>
        <w:tc>
          <w:tcPr>
            <w:tcW w:w="1275" w:type="dxa"/>
            <w:vAlign w:val="center"/>
          </w:tcPr>
          <w:p w14:paraId="58AB3E8B" w14:textId="77777777" w:rsidR="00577D08" w:rsidRDefault="00330FC0">
            <w:pPr>
              <w:jc w:val="right"/>
              <w:rPr>
                <w:sz w:val="15"/>
                <w:szCs w:val="15"/>
              </w:rPr>
            </w:pPr>
            <w:r>
              <w:rPr>
                <w:sz w:val="15"/>
                <w:szCs w:val="15"/>
              </w:rPr>
              <w:t>995,843,075.29</w:t>
            </w:r>
          </w:p>
        </w:tc>
        <w:tc>
          <w:tcPr>
            <w:tcW w:w="1322" w:type="dxa"/>
            <w:vAlign w:val="center"/>
          </w:tcPr>
          <w:p w14:paraId="3C8B5155" w14:textId="77777777" w:rsidR="00577D08" w:rsidRDefault="00330FC0">
            <w:pPr>
              <w:jc w:val="right"/>
              <w:rPr>
                <w:sz w:val="15"/>
                <w:szCs w:val="15"/>
              </w:rPr>
            </w:pPr>
            <w:r>
              <w:rPr>
                <w:sz w:val="15"/>
                <w:szCs w:val="15"/>
              </w:rPr>
              <w:t>2,401,430,672.81</w:t>
            </w:r>
          </w:p>
        </w:tc>
      </w:tr>
      <w:tr w:rsidR="00577D08" w14:paraId="0F3BC0AC" w14:textId="77777777">
        <w:trPr>
          <w:trHeight w:val="20"/>
        </w:trPr>
        <w:sdt>
          <w:sdtPr>
            <w:rPr>
              <w:sz w:val="15"/>
              <w:szCs w:val="15"/>
            </w:rPr>
            <w:tag w:val="_PLD_f7c284bf05bc4bb48bad7c818c157aa9"/>
            <w:id w:val="-752749815"/>
          </w:sdtPr>
          <w:sdtContent>
            <w:tc>
              <w:tcPr>
                <w:tcW w:w="2394" w:type="dxa"/>
                <w:vAlign w:val="center"/>
              </w:tcPr>
              <w:p w14:paraId="13603616" w14:textId="77777777" w:rsidR="00577D08" w:rsidRDefault="00330FC0">
                <w:pPr>
                  <w:rPr>
                    <w:sz w:val="15"/>
                    <w:szCs w:val="15"/>
                  </w:rPr>
                </w:pPr>
                <w:r>
                  <w:rPr>
                    <w:sz w:val="15"/>
                    <w:szCs w:val="15"/>
                  </w:rPr>
                  <w:t>加：会计政策变更</w:t>
                </w:r>
              </w:p>
            </w:tc>
          </w:sdtContent>
        </w:sdt>
        <w:tc>
          <w:tcPr>
            <w:tcW w:w="1258" w:type="dxa"/>
            <w:tcBorders>
              <w:right w:val="single" w:sz="4" w:space="0" w:color="auto"/>
            </w:tcBorders>
            <w:vAlign w:val="center"/>
          </w:tcPr>
          <w:p w14:paraId="6D07AFBF"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AEE36B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FB5B590" w14:textId="77777777" w:rsidR="00577D08" w:rsidRDefault="00577D08">
            <w:pPr>
              <w:jc w:val="right"/>
              <w:rPr>
                <w:sz w:val="15"/>
                <w:szCs w:val="15"/>
              </w:rPr>
            </w:pPr>
          </w:p>
        </w:tc>
        <w:tc>
          <w:tcPr>
            <w:tcW w:w="567" w:type="dxa"/>
            <w:tcBorders>
              <w:left w:val="single" w:sz="4" w:space="0" w:color="auto"/>
              <w:right w:val="single" w:sz="4" w:space="0" w:color="auto"/>
            </w:tcBorders>
            <w:vAlign w:val="center"/>
          </w:tcPr>
          <w:p w14:paraId="79034028" w14:textId="77777777" w:rsidR="00577D08" w:rsidRDefault="00577D08">
            <w:pPr>
              <w:jc w:val="right"/>
              <w:rPr>
                <w:sz w:val="15"/>
                <w:szCs w:val="15"/>
              </w:rPr>
            </w:pPr>
          </w:p>
        </w:tc>
        <w:tc>
          <w:tcPr>
            <w:tcW w:w="1275" w:type="dxa"/>
            <w:tcBorders>
              <w:left w:val="single" w:sz="4" w:space="0" w:color="auto"/>
            </w:tcBorders>
            <w:vAlign w:val="center"/>
          </w:tcPr>
          <w:p w14:paraId="0CC13FA3" w14:textId="77777777" w:rsidR="00577D08" w:rsidRDefault="00577D08">
            <w:pPr>
              <w:jc w:val="right"/>
              <w:rPr>
                <w:sz w:val="15"/>
                <w:szCs w:val="15"/>
              </w:rPr>
            </w:pPr>
          </w:p>
        </w:tc>
        <w:tc>
          <w:tcPr>
            <w:tcW w:w="1134" w:type="dxa"/>
            <w:vAlign w:val="center"/>
          </w:tcPr>
          <w:p w14:paraId="6CB3027D" w14:textId="77777777" w:rsidR="00577D08" w:rsidRDefault="00577D08">
            <w:pPr>
              <w:jc w:val="right"/>
              <w:rPr>
                <w:sz w:val="15"/>
                <w:szCs w:val="15"/>
              </w:rPr>
            </w:pPr>
          </w:p>
        </w:tc>
        <w:tc>
          <w:tcPr>
            <w:tcW w:w="851" w:type="dxa"/>
            <w:vAlign w:val="center"/>
          </w:tcPr>
          <w:p w14:paraId="2A73710B" w14:textId="77777777" w:rsidR="00577D08" w:rsidRDefault="00577D08">
            <w:pPr>
              <w:jc w:val="right"/>
              <w:rPr>
                <w:sz w:val="15"/>
                <w:szCs w:val="15"/>
              </w:rPr>
            </w:pPr>
          </w:p>
        </w:tc>
        <w:tc>
          <w:tcPr>
            <w:tcW w:w="1134" w:type="dxa"/>
            <w:vAlign w:val="center"/>
          </w:tcPr>
          <w:p w14:paraId="29C481BF" w14:textId="77777777" w:rsidR="00577D08" w:rsidRDefault="00577D08">
            <w:pPr>
              <w:jc w:val="right"/>
              <w:rPr>
                <w:sz w:val="15"/>
                <w:szCs w:val="15"/>
              </w:rPr>
            </w:pPr>
          </w:p>
        </w:tc>
        <w:tc>
          <w:tcPr>
            <w:tcW w:w="1276" w:type="dxa"/>
            <w:vAlign w:val="center"/>
          </w:tcPr>
          <w:p w14:paraId="72B2528D" w14:textId="77777777" w:rsidR="00577D08" w:rsidRDefault="00577D08">
            <w:pPr>
              <w:jc w:val="right"/>
              <w:rPr>
                <w:sz w:val="15"/>
                <w:szCs w:val="15"/>
              </w:rPr>
            </w:pPr>
          </w:p>
        </w:tc>
        <w:tc>
          <w:tcPr>
            <w:tcW w:w="1275" w:type="dxa"/>
            <w:vAlign w:val="center"/>
          </w:tcPr>
          <w:p w14:paraId="3E15E714" w14:textId="77777777" w:rsidR="00577D08" w:rsidRDefault="00577D08">
            <w:pPr>
              <w:jc w:val="right"/>
              <w:rPr>
                <w:sz w:val="15"/>
                <w:szCs w:val="15"/>
              </w:rPr>
            </w:pPr>
          </w:p>
        </w:tc>
        <w:tc>
          <w:tcPr>
            <w:tcW w:w="1322" w:type="dxa"/>
            <w:vAlign w:val="center"/>
          </w:tcPr>
          <w:p w14:paraId="694ECDD8" w14:textId="77777777" w:rsidR="00577D08" w:rsidRDefault="00577D08">
            <w:pPr>
              <w:jc w:val="right"/>
              <w:rPr>
                <w:sz w:val="15"/>
                <w:szCs w:val="15"/>
              </w:rPr>
            </w:pPr>
          </w:p>
        </w:tc>
      </w:tr>
      <w:tr w:rsidR="00577D08" w14:paraId="27D772F0" w14:textId="77777777">
        <w:trPr>
          <w:trHeight w:val="20"/>
        </w:trPr>
        <w:sdt>
          <w:sdtPr>
            <w:rPr>
              <w:sz w:val="15"/>
              <w:szCs w:val="15"/>
            </w:rPr>
            <w:tag w:val="_PLD_b84d86ae618141938210b68f81aeafe0"/>
            <w:id w:val="262886478"/>
          </w:sdtPr>
          <w:sdtContent>
            <w:tc>
              <w:tcPr>
                <w:tcW w:w="2394" w:type="dxa"/>
                <w:vAlign w:val="center"/>
              </w:tcPr>
              <w:p w14:paraId="025B3ADD" w14:textId="77777777" w:rsidR="00577D08" w:rsidRDefault="00330FC0">
                <w:pPr>
                  <w:ind w:firstLineChars="200" w:firstLine="300"/>
                  <w:rPr>
                    <w:sz w:val="15"/>
                    <w:szCs w:val="15"/>
                  </w:rPr>
                </w:pPr>
                <w:r>
                  <w:rPr>
                    <w:sz w:val="15"/>
                    <w:szCs w:val="15"/>
                  </w:rPr>
                  <w:t>前期差错更正</w:t>
                </w:r>
              </w:p>
            </w:tc>
          </w:sdtContent>
        </w:sdt>
        <w:tc>
          <w:tcPr>
            <w:tcW w:w="1258" w:type="dxa"/>
            <w:tcBorders>
              <w:right w:val="single" w:sz="4" w:space="0" w:color="auto"/>
            </w:tcBorders>
            <w:vAlign w:val="center"/>
          </w:tcPr>
          <w:p w14:paraId="00EDE27E"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116A3B6"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C9366D6" w14:textId="77777777" w:rsidR="00577D08" w:rsidRDefault="00577D08">
            <w:pPr>
              <w:jc w:val="right"/>
              <w:rPr>
                <w:sz w:val="15"/>
                <w:szCs w:val="15"/>
              </w:rPr>
            </w:pPr>
          </w:p>
        </w:tc>
        <w:tc>
          <w:tcPr>
            <w:tcW w:w="567" w:type="dxa"/>
            <w:tcBorders>
              <w:left w:val="single" w:sz="4" w:space="0" w:color="auto"/>
              <w:right w:val="single" w:sz="4" w:space="0" w:color="auto"/>
            </w:tcBorders>
            <w:vAlign w:val="center"/>
          </w:tcPr>
          <w:p w14:paraId="5DDCF1CA" w14:textId="77777777" w:rsidR="00577D08" w:rsidRDefault="00577D08">
            <w:pPr>
              <w:jc w:val="right"/>
              <w:rPr>
                <w:sz w:val="15"/>
                <w:szCs w:val="15"/>
              </w:rPr>
            </w:pPr>
          </w:p>
        </w:tc>
        <w:tc>
          <w:tcPr>
            <w:tcW w:w="1275" w:type="dxa"/>
            <w:tcBorders>
              <w:left w:val="single" w:sz="4" w:space="0" w:color="auto"/>
            </w:tcBorders>
            <w:vAlign w:val="center"/>
          </w:tcPr>
          <w:p w14:paraId="0034A841" w14:textId="77777777" w:rsidR="00577D08" w:rsidRDefault="00577D08">
            <w:pPr>
              <w:jc w:val="right"/>
              <w:rPr>
                <w:sz w:val="15"/>
                <w:szCs w:val="15"/>
              </w:rPr>
            </w:pPr>
          </w:p>
        </w:tc>
        <w:tc>
          <w:tcPr>
            <w:tcW w:w="1134" w:type="dxa"/>
            <w:vAlign w:val="center"/>
          </w:tcPr>
          <w:p w14:paraId="7F277F3B" w14:textId="77777777" w:rsidR="00577D08" w:rsidRDefault="00577D08">
            <w:pPr>
              <w:jc w:val="right"/>
              <w:rPr>
                <w:sz w:val="15"/>
                <w:szCs w:val="15"/>
              </w:rPr>
            </w:pPr>
          </w:p>
        </w:tc>
        <w:tc>
          <w:tcPr>
            <w:tcW w:w="851" w:type="dxa"/>
            <w:vAlign w:val="center"/>
          </w:tcPr>
          <w:p w14:paraId="2948EE6D" w14:textId="77777777" w:rsidR="00577D08" w:rsidRDefault="00577D08">
            <w:pPr>
              <w:jc w:val="right"/>
              <w:rPr>
                <w:sz w:val="15"/>
                <w:szCs w:val="15"/>
              </w:rPr>
            </w:pPr>
          </w:p>
        </w:tc>
        <w:tc>
          <w:tcPr>
            <w:tcW w:w="1134" w:type="dxa"/>
            <w:vAlign w:val="center"/>
          </w:tcPr>
          <w:p w14:paraId="6DEF945A" w14:textId="77777777" w:rsidR="00577D08" w:rsidRDefault="00577D08">
            <w:pPr>
              <w:jc w:val="right"/>
              <w:rPr>
                <w:sz w:val="15"/>
                <w:szCs w:val="15"/>
              </w:rPr>
            </w:pPr>
          </w:p>
        </w:tc>
        <w:tc>
          <w:tcPr>
            <w:tcW w:w="1276" w:type="dxa"/>
            <w:vAlign w:val="center"/>
          </w:tcPr>
          <w:p w14:paraId="1B1B28D9" w14:textId="77777777" w:rsidR="00577D08" w:rsidRDefault="00577D08">
            <w:pPr>
              <w:jc w:val="right"/>
              <w:rPr>
                <w:sz w:val="15"/>
                <w:szCs w:val="15"/>
              </w:rPr>
            </w:pPr>
          </w:p>
        </w:tc>
        <w:tc>
          <w:tcPr>
            <w:tcW w:w="1275" w:type="dxa"/>
            <w:vAlign w:val="center"/>
          </w:tcPr>
          <w:p w14:paraId="7BFAD2E3" w14:textId="77777777" w:rsidR="00577D08" w:rsidRDefault="00577D08">
            <w:pPr>
              <w:jc w:val="right"/>
              <w:rPr>
                <w:sz w:val="15"/>
                <w:szCs w:val="15"/>
              </w:rPr>
            </w:pPr>
          </w:p>
        </w:tc>
        <w:tc>
          <w:tcPr>
            <w:tcW w:w="1322" w:type="dxa"/>
            <w:vAlign w:val="center"/>
          </w:tcPr>
          <w:p w14:paraId="6079484C" w14:textId="77777777" w:rsidR="00577D08" w:rsidRDefault="00577D08">
            <w:pPr>
              <w:jc w:val="right"/>
              <w:rPr>
                <w:sz w:val="15"/>
                <w:szCs w:val="15"/>
              </w:rPr>
            </w:pPr>
          </w:p>
        </w:tc>
      </w:tr>
      <w:tr w:rsidR="00577D08" w14:paraId="72D61DAE" w14:textId="77777777">
        <w:trPr>
          <w:trHeight w:val="20"/>
        </w:trPr>
        <w:sdt>
          <w:sdtPr>
            <w:rPr>
              <w:sz w:val="15"/>
              <w:szCs w:val="15"/>
            </w:rPr>
            <w:tag w:val="_PLD_ae13695d51ae418dba0671a598b76ffb"/>
            <w:id w:val="-1654367866"/>
          </w:sdtPr>
          <w:sdtContent>
            <w:tc>
              <w:tcPr>
                <w:tcW w:w="2394" w:type="dxa"/>
                <w:vAlign w:val="center"/>
              </w:tcPr>
              <w:p w14:paraId="0F61272C" w14:textId="77777777" w:rsidR="00577D08" w:rsidRDefault="00330FC0">
                <w:pPr>
                  <w:ind w:firstLineChars="200" w:firstLine="300"/>
                  <w:rPr>
                    <w:sz w:val="15"/>
                    <w:szCs w:val="15"/>
                  </w:rPr>
                </w:pPr>
                <w:r>
                  <w:rPr>
                    <w:rFonts w:hint="eastAsia"/>
                    <w:sz w:val="15"/>
                    <w:szCs w:val="15"/>
                  </w:rPr>
                  <w:t>其他</w:t>
                </w:r>
              </w:p>
            </w:tc>
          </w:sdtContent>
        </w:sdt>
        <w:tc>
          <w:tcPr>
            <w:tcW w:w="1258" w:type="dxa"/>
            <w:tcBorders>
              <w:right w:val="single" w:sz="4" w:space="0" w:color="auto"/>
            </w:tcBorders>
            <w:vAlign w:val="center"/>
          </w:tcPr>
          <w:p w14:paraId="1D288F7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815735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9F6D501" w14:textId="77777777" w:rsidR="00577D08" w:rsidRDefault="00577D08">
            <w:pPr>
              <w:jc w:val="right"/>
              <w:rPr>
                <w:sz w:val="15"/>
                <w:szCs w:val="15"/>
              </w:rPr>
            </w:pPr>
          </w:p>
        </w:tc>
        <w:tc>
          <w:tcPr>
            <w:tcW w:w="567" w:type="dxa"/>
            <w:tcBorders>
              <w:left w:val="single" w:sz="4" w:space="0" w:color="auto"/>
              <w:right w:val="single" w:sz="4" w:space="0" w:color="auto"/>
            </w:tcBorders>
            <w:vAlign w:val="center"/>
          </w:tcPr>
          <w:p w14:paraId="7D565FA0" w14:textId="77777777" w:rsidR="00577D08" w:rsidRDefault="00577D08">
            <w:pPr>
              <w:jc w:val="right"/>
              <w:rPr>
                <w:sz w:val="15"/>
                <w:szCs w:val="15"/>
              </w:rPr>
            </w:pPr>
          </w:p>
        </w:tc>
        <w:tc>
          <w:tcPr>
            <w:tcW w:w="1275" w:type="dxa"/>
            <w:tcBorders>
              <w:left w:val="single" w:sz="4" w:space="0" w:color="auto"/>
            </w:tcBorders>
            <w:vAlign w:val="center"/>
          </w:tcPr>
          <w:p w14:paraId="759F7C46" w14:textId="77777777" w:rsidR="00577D08" w:rsidRDefault="00577D08">
            <w:pPr>
              <w:jc w:val="right"/>
              <w:rPr>
                <w:sz w:val="15"/>
                <w:szCs w:val="15"/>
              </w:rPr>
            </w:pPr>
          </w:p>
        </w:tc>
        <w:tc>
          <w:tcPr>
            <w:tcW w:w="1134" w:type="dxa"/>
            <w:vAlign w:val="center"/>
          </w:tcPr>
          <w:p w14:paraId="026F9314" w14:textId="77777777" w:rsidR="00577D08" w:rsidRDefault="00577D08">
            <w:pPr>
              <w:jc w:val="right"/>
              <w:rPr>
                <w:sz w:val="15"/>
                <w:szCs w:val="15"/>
              </w:rPr>
            </w:pPr>
          </w:p>
        </w:tc>
        <w:tc>
          <w:tcPr>
            <w:tcW w:w="851" w:type="dxa"/>
            <w:vAlign w:val="center"/>
          </w:tcPr>
          <w:p w14:paraId="0D6A0D4F" w14:textId="77777777" w:rsidR="00577D08" w:rsidRDefault="00577D08">
            <w:pPr>
              <w:jc w:val="right"/>
              <w:rPr>
                <w:sz w:val="15"/>
                <w:szCs w:val="15"/>
              </w:rPr>
            </w:pPr>
          </w:p>
        </w:tc>
        <w:tc>
          <w:tcPr>
            <w:tcW w:w="1134" w:type="dxa"/>
            <w:vAlign w:val="center"/>
          </w:tcPr>
          <w:p w14:paraId="388D352B" w14:textId="77777777" w:rsidR="00577D08" w:rsidRDefault="00577D08">
            <w:pPr>
              <w:jc w:val="right"/>
              <w:rPr>
                <w:sz w:val="15"/>
                <w:szCs w:val="15"/>
              </w:rPr>
            </w:pPr>
          </w:p>
        </w:tc>
        <w:tc>
          <w:tcPr>
            <w:tcW w:w="1276" w:type="dxa"/>
            <w:vAlign w:val="center"/>
          </w:tcPr>
          <w:p w14:paraId="1C3D7635" w14:textId="77777777" w:rsidR="00577D08" w:rsidRDefault="00577D08">
            <w:pPr>
              <w:jc w:val="right"/>
              <w:rPr>
                <w:sz w:val="15"/>
                <w:szCs w:val="15"/>
              </w:rPr>
            </w:pPr>
          </w:p>
        </w:tc>
        <w:tc>
          <w:tcPr>
            <w:tcW w:w="1275" w:type="dxa"/>
            <w:vAlign w:val="center"/>
          </w:tcPr>
          <w:p w14:paraId="7CECA2F2" w14:textId="77777777" w:rsidR="00577D08" w:rsidRDefault="00577D08">
            <w:pPr>
              <w:jc w:val="right"/>
              <w:rPr>
                <w:sz w:val="15"/>
                <w:szCs w:val="15"/>
              </w:rPr>
            </w:pPr>
          </w:p>
        </w:tc>
        <w:tc>
          <w:tcPr>
            <w:tcW w:w="1322" w:type="dxa"/>
            <w:vAlign w:val="center"/>
          </w:tcPr>
          <w:p w14:paraId="1D3419FF" w14:textId="77777777" w:rsidR="00577D08" w:rsidRDefault="00577D08">
            <w:pPr>
              <w:jc w:val="right"/>
              <w:rPr>
                <w:sz w:val="15"/>
                <w:szCs w:val="15"/>
              </w:rPr>
            </w:pPr>
          </w:p>
        </w:tc>
      </w:tr>
      <w:tr w:rsidR="00577D08" w14:paraId="1433A20B" w14:textId="77777777">
        <w:trPr>
          <w:trHeight w:val="20"/>
        </w:trPr>
        <w:sdt>
          <w:sdtPr>
            <w:rPr>
              <w:sz w:val="15"/>
              <w:szCs w:val="15"/>
            </w:rPr>
            <w:tag w:val="_PLD_4841ceb909a14a2abffb67eeb3435694"/>
            <w:id w:val="-1138800327"/>
          </w:sdtPr>
          <w:sdtContent>
            <w:tc>
              <w:tcPr>
                <w:tcW w:w="2394" w:type="dxa"/>
                <w:vAlign w:val="center"/>
              </w:tcPr>
              <w:p w14:paraId="1B3D9872" w14:textId="77777777" w:rsidR="00577D08" w:rsidRDefault="00330FC0">
                <w:pPr>
                  <w:rPr>
                    <w:sz w:val="15"/>
                    <w:szCs w:val="15"/>
                  </w:rPr>
                </w:pPr>
                <w:r>
                  <w:rPr>
                    <w:sz w:val="15"/>
                    <w:szCs w:val="15"/>
                  </w:rPr>
                  <w:t>二、本年</w:t>
                </w:r>
                <w:r>
                  <w:rPr>
                    <w:rFonts w:hint="eastAsia"/>
                    <w:sz w:val="15"/>
                    <w:szCs w:val="15"/>
                  </w:rPr>
                  <w:t>期</w:t>
                </w:r>
                <w:r>
                  <w:rPr>
                    <w:sz w:val="15"/>
                    <w:szCs w:val="15"/>
                  </w:rPr>
                  <w:t>初余额</w:t>
                </w:r>
              </w:p>
            </w:tc>
          </w:sdtContent>
        </w:sdt>
        <w:tc>
          <w:tcPr>
            <w:tcW w:w="1258" w:type="dxa"/>
            <w:tcBorders>
              <w:right w:val="single" w:sz="4" w:space="0" w:color="auto"/>
            </w:tcBorders>
            <w:vAlign w:val="center"/>
          </w:tcPr>
          <w:p w14:paraId="250E0730" w14:textId="77777777" w:rsidR="00577D08" w:rsidRDefault="00330FC0">
            <w:pPr>
              <w:jc w:val="right"/>
              <w:rPr>
                <w:sz w:val="15"/>
                <w:szCs w:val="15"/>
              </w:rPr>
            </w:pPr>
            <w:r>
              <w:rPr>
                <w:sz w:val="15"/>
                <w:szCs w:val="15"/>
              </w:rPr>
              <w:t>333,167,407.00</w:t>
            </w:r>
          </w:p>
        </w:tc>
        <w:tc>
          <w:tcPr>
            <w:tcW w:w="709" w:type="dxa"/>
            <w:tcBorders>
              <w:left w:val="single" w:sz="4" w:space="0" w:color="auto"/>
              <w:right w:val="single" w:sz="4" w:space="0" w:color="auto"/>
            </w:tcBorders>
            <w:vAlign w:val="center"/>
          </w:tcPr>
          <w:p w14:paraId="263671A3"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1B252B5" w14:textId="77777777" w:rsidR="00577D08" w:rsidRDefault="00577D08">
            <w:pPr>
              <w:jc w:val="right"/>
              <w:rPr>
                <w:sz w:val="15"/>
                <w:szCs w:val="15"/>
              </w:rPr>
            </w:pPr>
          </w:p>
        </w:tc>
        <w:tc>
          <w:tcPr>
            <w:tcW w:w="567" w:type="dxa"/>
            <w:tcBorders>
              <w:left w:val="single" w:sz="4" w:space="0" w:color="auto"/>
              <w:right w:val="single" w:sz="4" w:space="0" w:color="auto"/>
            </w:tcBorders>
            <w:vAlign w:val="center"/>
          </w:tcPr>
          <w:p w14:paraId="011BB117" w14:textId="77777777" w:rsidR="00577D08" w:rsidRDefault="00577D08">
            <w:pPr>
              <w:jc w:val="right"/>
              <w:rPr>
                <w:sz w:val="15"/>
                <w:szCs w:val="15"/>
              </w:rPr>
            </w:pPr>
          </w:p>
        </w:tc>
        <w:tc>
          <w:tcPr>
            <w:tcW w:w="1275" w:type="dxa"/>
            <w:tcBorders>
              <w:left w:val="single" w:sz="4" w:space="0" w:color="auto"/>
            </w:tcBorders>
            <w:vAlign w:val="center"/>
          </w:tcPr>
          <w:p w14:paraId="1E656FD6" w14:textId="77777777" w:rsidR="00577D08" w:rsidRDefault="00330FC0">
            <w:pPr>
              <w:jc w:val="right"/>
              <w:rPr>
                <w:sz w:val="15"/>
                <w:szCs w:val="15"/>
              </w:rPr>
            </w:pPr>
            <w:r>
              <w:rPr>
                <w:sz w:val="15"/>
                <w:szCs w:val="15"/>
              </w:rPr>
              <w:t>984,845,013.70</w:t>
            </w:r>
          </w:p>
        </w:tc>
        <w:tc>
          <w:tcPr>
            <w:tcW w:w="1134" w:type="dxa"/>
            <w:vAlign w:val="center"/>
          </w:tcPr>
          <w:p w14:paraId="34802C3A" w14:textId="77777777" w:rsidR="00577D08" w:rsidRDefault="00330FC0">
            <w:pPr>
              <w:jc w:val="right"/>
              <w:rPr>
                <w:sz w:val="15"/>
                <w:szCs w:val="15"/>
              </w:rPr>
            </w:pPr>
            <w:r>
              <w:rPr>
                <w:sz w:val="15"/>
                <w:szCs w:val="15"/>
              </w:rPr>
              <w:t>50,299,241.28</w:t>
            </w:r>
          </w:p>
        </w:tc>
        <w:tc>
          <w:tcPr>
            <w:tcW w:w="851" w:type="dxa"/>
            <w:vAlign w:val="center"/>
          </w:tcPr>
          <w:p w14:paraId="342D76FD" w14:textId="77777777" w:rsidR="00577D08" w:rsidRDefault="00577D08">
            <w:pPr>
              <w:jc w:val="right"/>
              <w:rPr>
                <w:sz w:val="15"/>
                <w:szCs w:val="15"/>
              </w:rPr>
            </w:pPr>
          </w:p>
        </w:tc>
        <w:tc>
          <w:tcPr>
            <w:tcW w:w="1134" w:type="dxa"/>
            <w:vAlign w:val="center"/>
          </w:tcPr>
          <w:p w14:paraId="4F3A95CC" w14:textId="77777777" w:rsidR="00577D08" w:rsidRDefault="00330FC0">
            <w:pPr>
              <w:jc w:val="right"/>
              <w:rPr>
                <w:sz w:val="15"/>
                <w:szCs w:val="15"/>
              </w:rPr>
            </w:pPr>
            <w:r>
              <w:rPr>
                <w:sz w:val="15"/>
                <w:szCs w:val="15"/>
              </w:rPr>
              <w:t>20,486,861.44</w:t>
            </w:r>
          </w:p>
        </w:tc>
        <w:tc>
          <w:tcPr>
            <w:tcW w:w="1276" w:type="dxa"/>
            <w:vAlign w:val="center"/>
          </w:tcPr>
          <w:p w14:paraId="1591990D" w14:textId="77777777" w:rsidR="00577D08" w:rsidRDefault="00330FC0">
            <w:pPr>
              <w:jc w:val="right"/>
              <w:rPr>
                <w:sz w:val="15"/>
                <w:szCs w:val="15"/>
              </w:rPr>
            </w:pPr>
            <w:r>
              <w:rPr>
                <w:sz w:val="15"/>
                <w:szCs w:val="15"/>
              </w:rPr>
              <w:t>117,387,556.66</w:t>
            </w:r>
          </w:p>
        </w:tc>
        <w:tc>
          <w:tcPr>
            <w:tcW w:w="1275" w:type="dxa"/>
            <w:vAlign w:val="center"/>
          </w:tcPr>
          <w:p w14:paraId="0DA9531B" w14:textId="77777777" w:rsidR="00577D08" w:rsidRDefault="00330FC0">
            <w:pPr>
              <w:jc w:val="right"/>
              <w:rPr>
                <w:sz w:val="15"/>
                <w:szCs w:val="15"/>
              </w:rPr>
            </w:pPr>
            <w:r>
              <w:rPr>
                <w:sz w:val="15"/>
                <w:szCs w:val="15"/>
              </w:rPr>
              <w:t>995,843,075.29</w:t>
            </w:r>
          </w:p>
        </w:tc>
        <w:tc>
          <w:tcPr>
            <w:tcW w:w="1322" w:type="dxa"/>
            <w:vAlign w:val="center"/>
          </w:tcPr>
          <w:p w14:paraId="33E5DBF2" w14:textId="77777777" w:rsidR="00577D08" w:rsidRDefault="00330FC0">
            <w:pPr>
              <w:jc w:val="right"/>
              <w:rPr>
                <w:sz w:val="15"/>
                <w:szCs w:val="15"/>
              </w:rPr>
            </w:pPr>
            <w:r>
              <w:rPr>
                <w:sz w:val="15"/>
                <w:szCs w:val="15"/>
              </w:rPr>
              <w:t>2,401,430,672.81</w:t>
            </w:r>
          </w:p>
        </w:tc>
      </w:tr>
      <w:tr w:rsidR="00577D08" w14:paraId="3C80ACC6" w14:textId="77777777">
        <w:trPr>
          <w:trHeight w:val="20"/>
        </w:trPr>
        <w:sdt>
          <w:sdtPr>
            <w:rPr>
              <w:sz w:val="15"/>
              <w:szCs w:val="15"/>
            </w:rPr>
            <w:tag w:val="_PLD_302909e63784410386a25e7b0c2339c7"/>
            <w:id w:val="1722252653"/>
          </w:sdtPr>
          <w:sdtContent>
            <w:tc>
              <w:tcPr>
                <w:tcW w:w="2394" w:type="dxa"/>
                <w:vAlign w:val="center"/>
              </w:tcPr>
              <w:p w14:paraId="1BDC2C48" w14:textId="77777777" w:rsidR="00577D08" w:rsidRDefault="00330FC0">
                <w:pPr>
                  <w:rPr>
                    <w:sz w:val="15"/>
                    <w:szCs w:val="15"/>
                  </w:rPr>
                </w:pPr>
                <w:r>
                  <w:rPr>
                    <w:sz w:val="15"/>
                    <w:szCs w:val="15"/>
                  </w:rPr>
                  <w:t>三、本</w:t>
                </w:r>
                <w:r>
                  <w:rPr>
                    <w:rFonts w:hint="eastAsia"/>
                    <w:sz w:val="15"/>
                    <w:szCs w:val="15"/>
                  </w:rPr>
                  <w:t>期</w:t>
                </w:r>
                <w:r>
                  <w:rPr>
                    <w:sz w:val="15"/>
                    <w:szCs w:val="15"/>
                  </w:rPr>
                  <w:t>增减变动金额（减少以</w:t>
                </w:r>
                <w:r>
                  <w:rPr>
                    <w:sz w:val="15"/>
                    <w:szCs w:val="15"/>
                  </w:rPr>
                  <w:t>“</w:t>
                </w:r>
                <w:r>
                  <w:rPr>
                    <w:sz w:val="15"/>
                    <w:szCs w:val="15"/>
                  </w:rPr>
                  <w:t>－</w:t>
                </w:r>
                <w:r>
                  <w:rPr>
                    <w:sz w:val="15"/>
                    <w:szCs w:val="15"/>
                  </w:rPr>
                  <w:t>”</w:t>
                </w:r>
                <w:r>
                  <w:rPr>
                    <w:sz w:val="15"/>
                    <w:szCs w:val="15"/>
                  </w:rPr>
                  <w:t>号填列）</w:t>
                </w:r>
              </w:p>
            </w:tc>
          </w:sdtContent>
        </w:sdt>
        <w:tc>
          <w:tcPr>
            <w:tcW w:w="1258" w:type="dxa"/>
            <w:tcBorders>
              <w:right w:val="single" w:sz="4" w:space="0" w:color="auto"/>
            </w:tcBorders>
            <w:vAlign w:val="center"/>
          </w:tcPr>
          <w:p w14:paraId="689B870B"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198966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5CDB17F" w14:textId="77777777" w:rsidR="00577D08" w:rsidRDefault="00577D08">
            <w:pPr>
              <w:jc w:val="right"/>
              <w:rPr>
                <w:sz w:val="15"/>
                <w:szCs w:val="15"/>
              </w:rPr>
            </w:pPr>
          </w:p>
        </w:tc>
        <w:tc>
          <w:tcPr>
            <w:tcW w:w="567" w:type="dxa"/>
            <w:tcBorders>
              <w:left w:val="single" w:sz="4" w:space="0" w:color="auto"/>
            </w:tcBorders>
            <w:vAlign w:val="center"/>
          </w:tcPr>
          <w:p w14:paraId="7F1F400E" w14:textId="77777777" w:rsidR="00577D08" w:rsidRDefault="00577D08">
            <w:pPr>
              <w:jc w:val="right"/>
              <w:rPr>
                <w:sz w:val="15"/>
                <w:szCs w:val="15"/>
              </w:rPr>
            </w:pPr>
          </w:p>
        </w:tc>
        <w:tc>
          <w:tcPr>
            <w:tcW w:w="1275" w:type="dxa"/>
            <w:vAlign w:val="center"/>
          </w:tcPr>
          <w:p w14:paraId="6CE96101" w14:textId="77777777" w:rsidR="00577D08" w:rsidRDefault="00330FC0">
            <w:pPr>
              <w:jc w:val="right"/>
              <w:rPr>
                <w:sz w:val="15"/>
                <w:szCs w:val="15"/>
              </w:rPr>
            </w:pPr>
            <w:r>
              <w:rPr>
                <w:sz w:val="15"/>
                <w:szCs w:val="15"/>
              </w:rPr>
              <w:t>-14,953,199.84</w:t>
            </w:r>
          </w:p>
        </w:tc>
        <w:tc>
          <w:tcPr>
            <w:tcW w:w="1134" w:type="dxa"/>
            <w:vAlign w:val="center"/>
          </w:tcPr>
          <w:p w14:paraId="503B5062" w14:textId="77777777" w:rsidR="00577D08" w:rsidRDefault="00330FC0">
            <w:pPr>
              <w:jc w:val="right"/>
              <w:rPr>
                <w:sz w:val="15"/>
                <w:szCs w:val="15"/>
              </w:rPr>
            </w:pPr>
            <w:r>
              <w:rPr>
                <w:sz w:val="15"/>
                <w:szCs w:val="15"/>
              </w:rPr>
              <w:t>-19,405,500.00</w:t>
            </w:r>
          </w:p>
        </w:tc>
        <w:tc>
          <w:tcPr>
            <w:tcW w:w="851" w:type="dxa"/>
            <w:vAlign w:val="center"/>
          </w:tcPr>
          <w:p w14:paraId="0E87A489" w14:textId="77777777" w:rsidR="00577D08" w:rsidRDefault="00577D08">
            <w:pPr>
              <w:jc w:val="right"/>
              <w:rPr>
                <w:sz w:val="15"/>
                <w:szCs w:val="15"/>
              </w:rPr>
            </w:pPr>
          </w:p>
        </w:tc>
        <w:tc>
          <w:tcPr>
            <w:tcW w:w="1134" w:type="dxa"/>
            <w:vAlign w:val="center"/>
          </w:tcPr>
          <w:p w14:paraId="04BFC296" w14:textId="77777777" w:rsidR="00577D08" w:rsidRDefault="00330FC0">
            <w:pPr>
              <w:jc w:val="right"/>
              <w:rPr>
                <w:sz w:val="15"/>
                <w:szCs w:val="15"/>
              </w:rPr>
            </w:pPr>
            <w:r>
              <w:rPr>
                <w:sz w:val="15"/>
                <w:szCs w:val="15"/>
              </w:rPr>
              <w:t>-1,184,419.60</w:t>
            </w:r>
          </w:p>
        </w:tc>
        <w:tc>
          <w:tcPr>
            <w:tcW w:w="1276" w:type="dxa"/>
            <w:vAlign w:val="center"/>
          </w:tcPr>
          <w:p w14:paraId="4B98AB6A" w14:textId="77777777" w:rsidR="00577D08" w:rsidRDefault="00330FC0">
            <w:pPr>
              <w:jc w:val="right"/>
              <w:rPr>
                <w:sz w:val="15"/>
                <w:szCs w:val="15"/>
              </w:rPr>
            </w:pPr>
            <w:r>
              <w:rPr>
                <w:sz w:val="15"/>
                <w:szCs w:val="15"/>
              </w:rPr>
              <w:t>4,106,781.71</w:t>
            </w:r>
          </w:p>
        </w:tc>
        <w:tc>
          <w:tcPr>
            <w:tcW w:w="1275" w:type="dxa"/>
            <w:vAlign w:val="center"/>
          </w:tcPr>
          <w:p w14:paraId="3AF4E0D1" w14:textId="77777777" w:rsidR="00577D08" w:rsidRDefault="00330FC0">
            <w:pPr>
              <w:jc w:val="right"/>
              <w:rPr>
                <w:sz w:val="15"/>
                <w:szCs w:val="15"/>
              </w:rPr>
            </w:pPr>
            <w:r>
              <w:rPr>
                <w:sz w:val="15"/>
                <w:szCs w:val="15"/>
              </w:rPr>
              <w:t>-12,916,160.49</w:t>
            </w:r>
          </w:p>
        </w:tc>
        <w:tc>
          <w:tcPr>
            <w:tcW w:w="1322" w:type="dxa"/>
            <w:vAlign w:val="center"/>
          </w:tcPr>
          <w:p w14:paraId="5F618D90" w14:textId="77777777" w:rsidR="00577D08" w:rsidRDefault="00330FC0">
            <w:pPr>
              <w:jc w:val="right"/>
              <w:rPr>
                <w:sz w:val="15"/>
                <w:szCs w:val="15"/>
              </w:rPr>
            </w:pPr>
            <w:r>
              <w:rPr>
                <w:sz w:val="15"/>
                <w:szCs w:val="15"/>
              </w:rPr>
              <w:t>-5,541,498.22</w:t>
            </w:r>
          </w:p>
        </w:tc>
      </w:tr>
      <w:tr w:rsidR="00577D08" w14:paraId="5298D27B" w14:textId="77777777">
        <w:trPr>
          <w:trHeight w:val="20"/>
        </w:trPr>
        <w:sdt>
          <w:sdtPr>
            <w:rPr>
              <w:sz w:val="15"/>
              <w:szCs w:val="15"/>
            </w:rPr>
            <w:tag w:val="_PLD_565b6c314fb34fb6b0c677b992754d48"/>
            <w:id w:val="150259208"/>
          </w:sdtPr>
          <w:sdtContent>
            <w:tc>
              <w:tcPr>
                <w:tcW w:w="2394" w:type="dxa"/>
                <w:vAlign w:val="center"/>
              </w:tcPr>
              <w:p w14:paraId="2F70EB24" w14:textId="77777777" w:rsidR="00577D08" w:rsidRDefault="00330FC0">
                <w:pPr>
                  <w:rPr>
                    <w:sz w:val="15"/>
                    <w:szCs w:val="15"/>
                  </w:rPr>
                </w:pPr>
                <w:r>
                  <w:rPr>
                    <w:rFonts w:hint="eastAsia"/>
                    <w:sz w:val="15"/>
                    <w:szCs w:val="15"/>
                  </w:rPr>
                  <w:t>（一）综合收益总额</w:t>
                </w:r>
              </w:p>
            </w:tc>
          </w:sdtContent>
        </w:sdt>
        <w:tc>
          <w:tcPr>
            <w:tcW w:w="1258" w:type="dxa"/>
            <w:tcBorders>
              <w:right w:val="single" w:sz="4" w:space="0" w:color="auto"/>
            </w:tcBorders>
            <w:vAlign w:val="center"/>
          </w:tcPr>
          <w:p w14:paraId="19F99B4C"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7C77692"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A1C8F36" w14:textId="77777777" w:rsidR="00577D08" w:rsidRDefault="00577D08">
            <w:pPr>
              <w:jc w:val="right"/>
              <w:rPr>
                <w:sz w:val="15"/>
                <w:szCs w:val="15"/>
              </w:rPr>
            </w:pPr>
          </w:p>
        </w:tc>
        <w:tc>
          <w:tcPr>
            <w:tcW w:w="567" w:type="dxa"/>
            <w:tcBorders>
              <w:left w:val="single" w:sz="4" w:space="0" w:color="auto"/>
            </w:tcBorders>
            <w:vAlign w:val="center"/>
          </w:tcPr>
          <w:p w14:paraId="14AEF219" w14:textId="77777777" w:rsidR="00577D08" w:rsidRDefault="00577D08">
            <w:pPr>
              <w:jc w:val="right"/>
              <w:rPr>
                <w:sz w:val="15"/>
                <w:szCs w:val="15"/>
              </w:rPr>
            </w:pPr>
          </w:p>
        </w:tc>
        <w:tc>
          <w:tcPr>
            <w:tcW w:w="1275" w:type="dxa"/>
            <w:vAlign w:val="center"/>
          </w:tcPr>
          <w:p w14:paraId="168A56A4" w14:textId="77777777" w:rsidR="00577D08" w:rsidRDefault="00577D08">
            <w:pPr>
              <w:jc w:val="right"/>
              <w:rPr>
                <w:sz w:val="15"/>
                <w:szCs w:val="15"/>
              </w:rPr>
            </w:pPr>
          </w:p>
        </w:tc>
        <w:tc>
          <w:tcPr>
            <w:tcW w:w="1134" w:type="dxa"/>
            <w:vAlign w:val="center"/>
          </w:tcPr>
          <w:p w14:paraId="542A95D6" w14:textId="77777777" w:rsidR="00577D08" w:rsidRDefault="00577D08">
            <w:pPr>
              <w:jc w:val="right"/>
              <w:rPr>
                <w:sz w:val="15"/>
                <w:szCs w:val="15"/>
              </w:rPr>
            </w:pPr>
          </w:p>
        </w:tc>
        <w:tc>
          <w:tcPr>
            <w:tcW w:w="851" w:type="dxa"/>
            <w:vAlign w:val="center"/>
          </w:tcPr>
          <w:p w14:paraId="00C31ECB" w14:textId="77777777" w:rsidR="00577D08" w:rsidRDefault="00577D08">
            <w:pPr>
              <w:jc w:val="right"/>
              <w:rPr>
                <w:sz w:val="15"/>
                <w:szCs w:val="15"/>
              </w:rPr>
            </w:pPr>
          </w:p>
        </w:tc>
        <w:tc>
          <w:tcPr>
            <w:tcW w:w="1134" w:type="dxa"/>
            <w:vAlign w:val="center"/>
          </w:tcPr>
          <w:p w14:paraId="58810260" w14:textId="77777777" w:rsidR="00577D08" w:rsidRDefault="00577D08">
            <w:pPr>
              <w:jc w:val="right"/>
              <w:rPr>
                <w:sz w:val="15"/>
                <w:szCs w:val="15"/>
              </w:rPr>
            </w:pPr>
          </w:p>
        </w:tc>
        <w:tc>
          <w:tcPr>
            <w:tcW w:w="1276" w:type="dxa"/>
            <w:vAlign w:val="center"/>
          </w:tcPr>
          <w:p w14:paraId="6844F24B" w14:textId="77777777" w:rsidR="00577D08" w:rsidRDefault="00577D08">
            <w:pPr>
              <w:jc w:val="right"/>
              <w:rPr>
                <w:sz w:val="15"/>
                <w:szCs w:val="15"/>
              </w:rPr>
            </w:pPr>
          </w:p>
        </w:tc>
        <w:tc>
          <w:tcPr>
            <w:tcW w:w="1275" w:type="dxa"/>
            <w:vAlign w:val="center"/>
          </w:tcPr>
          <w:p w14:paraId="38100F3F" w14:textId="77777777" w:rsidR="00577D08" w:rsidRDefault="00330FC0">
            <w:pPr>
              <w:jc w:val="right"/>
              <w:rPr>
                <w:sz w:val="15"/>
                <w:szCs w:val="15"/>
              </w:rPr>
            </w:pPr>
            <w:r>
              <w:rPr>
                <w:sz w:val="15"/>
                <w:szCs w:val="15"/>
              </w:rPr>
              <w:t>41,067,817.07</w:t>
            </w:r>
          </w:p>
        </w:tc>
        <w:tc>
          <w:tcPr>
            <w:tcW w:w="1322" w:type="dxa"/>
            <w:vAlign w:val="center"/>
          </w:tcPr>
          <w:p w14:paraId="5B25C238" w14:textId="77777777" w:rsidR="00577D08" w:rsidRDefault="00330FC0">
            <w:pPr>
              <w:jc w:val="right"/>
              <w:rPr>
                <w:sz w:val="15"/>
                <w:szCs w:val="15"/>
              </w:rPr>
            </w:pPr>
            <w:r>
              <w:rPr>
                <w:sz w:val="15"/>
                <w:szCs w:val="15"/>
              </w:rPr>
              <w:t>41,067,817.07</w:t>
            </w:r>
          </w:p>
        </w:tc>
      </w:tr>
      <w:tr w:rsidR="00577D08" w14:paraId="4440C2A1" w14:textId="77777777">
        <w:trPr>
          <w:trHeight w:val="20"/>
        </w:trPr>
        <w:sdt>
          <w:sdtPr>
            <w:rPr>
              <w:sz w:val="15"/>
              <w:szCs w:val="15"/>
            </w:rPr>
            <w:tag w:val="_PLD_4f759bcfeb8744e79a2c846685bf5bf7"/>
            <w:id w:val="-2100169063"/>
          </w:sdtPr>
          <w:sdtContent>
            <w:tc>
              <w:tcPr>
                <w:tcW w:w="2394" w:type="dxa"/>
                <w:vAlign w:val="center"/>
              </w:tcPr>
              <w:p w14:paraId="4BCFA75A" w14:textId="77777777" w:rsidR="00577D08" w:rsidRDefault="00330FC0">
                <w:pPr>
                  <w:rPr>
                    <w:sz w:val="15"/>
                    <w:szCs w:val="15"/>
                  </w:rPr>
                </w:pPr>
                <w:r>
                  <w:rPr>
                    <w:sz w:val="15"/>
                    <w:szCs w:val="15"/>
                  </w:rPr>
                  <w:t>（</w:t>
                </w:r>
                <w:r>
                  <w:rPr>
                    <w:rFonts w:hint="eastAsia"/>
                    <w:sz w:val="15"/>
                    <w:szCs w:val="15"/>
                  </w:rPr>
                  <w:t>二</w:t>
                </w:r>
                <w:r>
                  <w:rPr>
                    <w:sz w:val="15"/>
                    <w:szCs w:val="15"/>
                  </w:rPr>
                  <w:t>）所有者投入和减少资本</w:t>
                </w:r>
              </w:p>
            </w:tc>
          </w:sdtContent>
        </w:sdt>
        <w:tc>
          <w:tcPr>
            <w:tcW w:w="1258" w:type="dxa"/>
            <w:tcBorders>
              <w:right w:val="single" w:sz="4" w:space="0" w:color="auto"/>
            </w:tcBorders>
            <w:vAlign w:val="center"/>
          </w:tcPr>
          <w:p w14:paraId="78540C6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B6C83B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D04E0AA" w14:textId="77777777" w:rsidR="00577D08" w:rsidRDefault="00577D08">
            <w:pPr>
              <w:jc w:val="right"/>
              <w:rPr>
                <w:sz w:val="15"/>
                <w:szCs w:val="15"/>
              </w:rPr>
            </w:pPr>
          </w:p>
        </w:tc>
        <w:tc>
          <w:tcPr>
            <w:tcW w:w="567" w:type="dxa"/>
            <w:tcBorders>
              <w:left w:val="single" w:sz="4" w:space="0" w:color="auto"/>
            </w:tcBorders>
            <w:vAlign w:val="center"/>
          </w:tcPr>
          <w:p w14:paraId="5F2B988C" w14:textId="77777777" w:rsidR="00577D08" w:rsidRDefault="00577D08">
            <w:pPr>
              <w:jc w:val="right"/>
              <w:rPr>
                <w:sz w:val="15"/>
                <w:szCs w:val="15"/>
              </w:rPr>
            </w:pPr>
          </w:p>
        </w:tc>
        <w:tc>
          <w:tcPr>
            <w:tcW w:w="1275" w:type="dxa"/>
            <w:vAlign w:val="center"/>
          </w:tcPr>
          <w:p w14:paraId="268814F1" w14:textId="77777777" w:rsidR="00577D08" w:rsidRDefault="00330FC0">
            <w:pPr>
              <w:jc w:val="right"/>
              <w:rPr>
                <w:sz w:val="15"/>
                <w:szCs w:val="15"/>
              </w:rPr>
            </w:pPr>
            <w:r>
              <w:rPr>
                <w:sz w:val="15"/>
                <w:szCs w:val="15"/>
              </w:rPr>
              <w:t>-14,953,199.84</w:t>
            </w:r>
          </w:p>
        </w:tc>
        <w:tc>
          <w:tcPr>
            <w:tcW w:w="1134" w:type="dxa"/>
            <w:vAlign w:val="center"/>
          </w:tcPr>
          <w:p w14:paraId="4D983279" w14:textId="77777777" w:rsidR="00577D08" w:rsidRDefault="00330FC0">
            <w:pPr>
              <w:jc w:val="right"/>
              <w:rPr>
                <w:sz w:val="15"/>
                <w:szCs w:val="15"/>
              </w:rPr>
            </w:pPr>
            <w:r>
              <w:rPr>
                <w:sz w:val="15"/>
                <w:szCs w:val="15"/>
              </w:rPr>
              <w:t>-19,405,500.00</w:t>
            </w:r>
          </w:p>
        </w:tc>
        <w:tc>
          <w:tcPr>
            <w:tcW w:w="851" w:type="dxa"/>
            <w:vAlign w:val="center"/>
          </w:tcPr>
          <w:p w14:paraId="62D52C63" w14:textId="77777777" w:rsidR="00577D08" w:rsidRDefault="00577D08">
            <w:pPr>
              <w:jc w:val="right"/>
              <w:rPr>
                <w:sz w:val="15"/>
                <w:szCs w:val="15"/>
              </w:rPr>
            </w:pPr>
          </w:p>
        </w:tc>
        <w:tc>
          <w:tcPr>
            <w:tcW w:w="1134" w:type="dxa"/>
            <w:vAlign w:val="center"/>
          </w:tcPr>
          <w:p w14:paraId="2714C967" w14:textId="77777777" w:rsidR="00577D08" w:rsidRDefault="00577D08">
            <w:pPr>
              <w:jc w:val="right"/>
              <w:rPr>
                <w:sz w:val="15"/>
                <w:szCs w:val="15"/>
              </w:rPr>
            </w:pPr>
          </w:p>
        </w:tc>
        <w:tc>
          <w:tcPr>
            <w:tcW w:w="1276" w:type="dxa"/>
            <w:vAlign w:val="center"/>
          </w:tcPr>
          <w:p w14:paraId="637F3C6C" w14:textId="77777777" w:rsidR="00577D08" w:rsidRDefault="00577D08">
            <w:pPr>
              <w:jc w:val="right"/>
              <w:rPr>
                <w:sz w:val="15"/>
                <w:szCs w:val="15"/>
              </w:rPr>
            </w:pPr>
          </w:p>
        </w:tc>
        <w:tc>
          <w:tcPr>
            <w:tcW w:w="1275" w:type="dxa"/>
            <w:vAlign w:val="center"/>
          </w:tcPr>
          <w:p w14:paraId="233DEA6E" w14:textId="77777777" w:rsidR="00577D08" w:rsidRDefault="00577D08">
            <w:pPr>
              <w:jc w:val="right"/>
              <w:rPr>
                <w:sz w:val="15"/>
                <w:szCs w:val="15"/>
              </w:rPr>
            </w:pPr>
          </w:p>
        </w:tc>
        <w:tc>
          <w:tcPr>
            <w:tcW w:w="1322" w:type="dxa"/>
            <w:vAlign w:val="center"/>
          </w:tcPr>
          <w:p w14:paraId="195746B8" w14:textId="77777777" w:rsidR="00577D08" w:rsidRDefault="00330FC0">
            <w:pPr>
              <w:jc w:val="right"/>
              <w:rPr>
                <w:sz w:val="15"/>
                <w:szCs w:val="15"/>
              </w:rPr>
            </w:pPr>
            <w:r>
              <w:rPr>
                <w:sz w:val="15"/>
                <w:szCs w:val="15"/>
              </w:rPr>
              <w:t>4,452,300.16</w:t>
            </w:r>
          </w:p>
        </w:tc>
      </w:tr>
      <w:tr w:rsidR="00577D08" w14:paraId="63C4E1AB" w14:textId="77777777">
        <w:trPr>
          <w:trHeight w:val="20"/>
        </w:trPr>
        <w:sdt>
          <w:sdtPr>
            <w:rPr>
              <w:sz w:val="15"/>
              <w:szCs w:val="15"/>
            </w:rPr>
            <w:tag w:val="_PLD_2ca71442ff4441faa275f28e1236357f"/>
            <w:id w:val="-1106959152"/>
          </w:sdtPr>
          <w:sdtContent>
            <w:tc>
              <w:tcPr>
                <w:tcW w:w="2394" w:type="dxa"/>
                <w:vAlign w:val="center"/>
              </w:tcPr>
              <w:p w14:paraId="037786C4" w14:textId="77777777" w:rsidR="00577D08" w:rsidRDefault="00330FC0">
                <w:pPr>
                  <w:rPr>
                    <w:sz w:val="15"/>
                    <w:szCs w:val="15"/>
                  </w:rPr>
                </w:pPr>
                <w:r>
                  <w:rPr>
                    <w:rFonts w:hint="eastAsia"/>
                    <w:sz w:val="15"/>
                    <w:szCs w:val="15"/>
                  </w:rPr>
                  <w:t>1</w:t>
                </w:r>
                <w:r>
                  <w:rPr>
                    <w:rFonts w:hint="eastAsia"/>
                    <w:sz w:val="15"/>
                    <w:szCs w:val="15"/>
                  </w:rPr>
                  <w:t>．所有者投入的普通股</w:t>
                </w:r>
              </w:p>
            </w:tc>
          </w:sdtContent>
        </w:sdt>
        <w:tc>
          <w:tcPr>
            <w:tcW w:w="1258" w:type="dxa"/>
            <w:tcBorders>
              <w:right w:val="single" w:sz="4" w:space="0" w:color="auto"/>
            </w:tcBorders>
            <w:vAlign w:val="center"/>
          </w:tcPr>
          <w:p w14:paraId="1B79AC6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5D6A7EF"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6F5331F" w14:textId="77777777" w:rsidR="00577D08" w:rsidRDefault="00577D08">
            <w:pPr>
              <w:jc w:val="right"/>
              <w:rPr>
                <w:sz w:val="15"/>
                <w:szCs w:val="15"/>
              </w:rPr>
            </w:pPr>
          </w:p>
        </w:tc>
        <w:tc>
          <w:tcPr>
            <w:tcW w:w="567" w:type="dxa"/>
            <w:tcBorders>
              <w:left w:val="single" w:sz="4" w:space="0" w:color="auto"/>
            </w:tcBorders>
            <w:vAlign w:val="center"/>
          </w:tcPr>
          <w:p w14:paraId="77B7080C" w14:textId="77777777" w:rsidR="00577D08" w:rsidRDefault="00577D08">
            <w:pPr>
              <w:jc w:val="right"/>
              <w:rPr>
                <w:sz w:val="15"/>
                <w:szCs w:val="15"/>
              </w:rPr>
            </w:pPr>
          </w:p>
        </w:tc>
        <w:tc>
          <w:tcPr>
            <w:tcW w:w="1275" w:type="dxa"/>
            <w:vAlign w:val="center"/>
          </w:tcPr>
          <w:p w14:paraId="43BCA1C1" w14:textId="77777777" w:rsidR="00577D08" w:rsidRDefault="00577D08">
            <w:pPr>
              <w:jc w:val="right"/>
              <w:rPr>
                <w:sz w:val="15"/>
                <w:szCs w:val="15"/>
              </w:rPr>
            </w:pPr>
          </w:p>
        </w:tc>
        <w:tc>
          <w:tcPr>
            <w:tcW w:w="1134" w:type="dxa"/>
            <w:vAlign w:val="center"/>
          </w:tcPr>
          <w:p w14:paraId="36964A72" w14:textId="77777777" w:rsidR="00577D08" w:rsidRDefault="00577D08">
            <w:pPr>
              <w:jc w:val="right"/>
              <w:rPr>
                <w:sz w:val="15"/>
                <w:szCs w:val="15"/>
              </w:rPr>
            </w:pPr>
          </w:p>
        </w:tc>
        <w:tc>
          <w:tcPr>
            <w:tcW w:w="851" w:type="dxa"/>
            <w:vAlign w:val="center"/>
          </w:tcPr>
          <w:p w14:paraId="3EB2CF61" w14:textId="77777777" w:rsidR="00577D08" w:rsidRDefault="00577D08">
            <w:pPr>
              <w:jc w:val="right"/>
              <w:rPr>
                <w:sz w:val="15"/>
                <w:szCs w:val="15"/>
              </w:rPr>
            </w:pPr>
          </w:p>
        </w:tc>
        <w:tc>
          <w:tcPr>
            <w:tcW w:w="1134" w:type="dxa"/>
            <w:vAlign w:val="center"/>
          </w:tcPr>
          <w:p w14:paraId="6CCA9F84" w14:textId="77777777" w:rsidR="00577D08" w:rsidRDefault="00577D08">
            <w:pPr>
              <w:jc w:val="right"/>
              <w:rPr>
                <w:sz w:val="15"/>
                <w:szCs w:val="15"/>
              </w:rPr>
            </w:pPr>
          </w:p>
        </w:tc>
        <w:tc>
          <w:tcPr>
            <w:tcW w:w="1276" w:type="dxa"/>
            <w:vAlign w:val="center"/>
          </w:tcPr>
          <w:p w14:paraId="34567EA5" w14:textId="77777777" w:rsidR="00577D08" w:rsidRDefault="00577D08">
            <w:pPr>
              <w:jc w:val="right"/>
              <w:rPr>
                <w:sz w:val="15"/>
                <w:szCs w:val="15"/>
              </w:rPr>
            </w:pPr>
          </w:p>
        </w:tc>
        <w:tc>
          <w:tcPr>
            <w:tcW w:w="1275" w:type="dxa"/>
            <w:vAlign w:val="center"/>
          </w:tcPr>
          <w:p w14:paraId="754544CC" w14:textId="77777777" w:rsidR="00577D08" w:rsidRDefault="00577D08">
            <w:pPr>
              <w:jc w:val="right"/>
              <w:rPr>
                <w:sz w:val="15"/>
                <w:szCs w:val="15"/>
              </w:rPr>
            </w:pPr>
          </w:p>
        </w:tc>
        <w:tc>
          <w:tcPr>
            <w:tcW w:w="1322" w:type="dxa"/>
            <w:vAlign w:val="center"/>
          </w:tcPr>
          <w:p w14:paraId="7D6D4389" w14:textId="77777777" w:rsidR="00577D08" w:rsidRDefault="00577D08">
            <w:pPr>
              <w:jc w:val="right"/>
              <w:rPr>
                <w:sz w:val="15"/>
                <w:szCs w:val="15"/>
              </w:rPr>
            </w:pPr>
          </w:p>
        </w:tc>
      </w:tr>
      <w:tr w:rsidR="00577D08" w14:paraId="6BFEE665" w14:textId="77777777">
        <w:trPr>
          <w:trHeight w:val="20"/>
        </w:trPr>
        <w:sdt>
          <w:sdtPr>
            <w:rPr>
              <w:sz w:val="15"/>
              <w:szCs w:val="15"/>
            </w:rPr>
            <w:tag w:val="_PLD_c9217abeeb6e46ac8415ee33ff13a461"/>
            <w:id w:val="-1733146375"/>
          </w:sdtPr>
          <w:sdtContent>
            <w:tc>
              <w:tcPr>
                <w:tcW w:w="2394" w:type="dxa"/>
                <w:vAlign w:val="center"/>
              </w:tcPr>
              <w:p w14:paraId="1312438D" w14:textId="77777777" w:rsidR="00577D08" w:rsidRDefault="00330FC0">
                <w:pPr>
                  <w:rPr>
                    <w:sz w:val="15"/>
                    <w:szCs w:val="15"/>
                  </w:rPr>
                </w:pPr>
                <w:r>
                  <w:rPr>
                    <w:rFonts w:hint="eastAsia"/>
                    <w:sz w:val="15"/>
                    <w:szCs w:val="15"/>
                  </w:rPr>
                  <w:t>2</w:t>
                </w:r>
                <w:r>
                  <w:rPr>
                    <w:rFonts w:hint="eastAsia"/>
                    <w:sz w:val="15"/>
                    <w:szCs w:val="15"/>
                  </w:rPr>
                  <w:t>．其他权益工具持有者投入资本</w:t>
                </w:r>
              </w:p>
            </w:tc>
          </w:sdtContent>
        </w:sdt>
        <w:tc>
          <w:tcPr>
            <w:tcW w:w="1258" w:type="dxa"/>
            <w:tcBorders>
              <w:right w:val="single" w:sz="4" w:space="0" w:color="auto"/>
            </w:tcBorders>
            <w:vAlign w:val="center"/>
          </w:tcPr>
          <w:p w14:paraId="3EB6375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F74CFA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F4F2078" w14:textId="77777777" w:rsidR="00577D08" w:rsidRDefault="00577D08">
            <w:pPr>
              <w:jc w:val="right"/>
              <w:rPr>
                <w:sz w:val="15"/>
                <w:szCs w:val="15"/>
              </w:rPr>
            </w:pPr>
          </w:p>
        </w:tc>
        <w:tc>
          <w:tcPr>
            <w:tcW w:w="567" w:type="dxa"/>
            <w:tcBorders>
              <w:left w:val="single" w:sz="4" w:space="0" w:color="auto"/>
            </w:tcBorders>
            <w:vAlign w:val="center"/>
          </w:tcPr>
          <w:p w14:paraId="499D7D86" w14:textId="77777777" w:rsidR="00577D08" w:rsidRDefault="00577D08">
            <w:pPr>
              <w:jc w:val="right"/>
              <w:rPr>
                <w:sz w:val="15"/>
                <w:szCs w:val="15"/>
              </w:rPr>
            </w:pPr>
          </w:p>
        </w:tc>
        <w:tc>
          <w:tcPr>
            <w:tcW w:w="1275" w:type="dxa"/>
            <w:vAlign w:val="center"/>
          </w:tcPr>
          <w:p w14:paraId="39E5671B" w14:textId="77777777" w:rsidR="00577D08" w:rsidRDefault="00577D08">
            <w:pPr>
              <w:jc w:val="right"/>
              <w:rPr>
                <w:sz w:val="15"/>
                <w:szCs w:val="15"/>
              </w:rPr>
            </w:pPr>
          </w:p>
        </w:tc>
        <w:tc>
          <w:tcPr>
            <w:tcW w:w="1134" w:type="dxa"/>
            <w:vAlign w:val="center"/>
          </w:tcPr>
          <w:p w14:paraId="30B14017" w14:textId="77777777" w:rsidR="00577D08" w:rsidRDefault="00577D08">
            <w:pPr>
              <w:jc w:val="right"/>
              <w:rPr>
                <w:sz w:val="15"/>
                <w:szCs w:val="15"/>
              </w:rPr>
            </w:pPr>
          </w:p>
        </w:tc>
        <w:tc>
          <w:tcPr>
            <w:tcW w:w="851" w:type="dxa"/>
            <w:vAlign w:val="center"/>
          </w:tcPr>
          <w:p w14:paraId="1AF47E8F" w14:textId="77777777" w:rsidR="00577D08" w:rsidRDefault="00577D08">
            <w:pPr>
              <w:jc w:val="right"/>
              <w:rPr>
                <w:sz w:val="15"/>
                <w:szCs w:val="15"/>
              </w:rPr>
            </w:pPr>
          </w:p>
        </w:tc>
        <w:tc>
          <w:tcPr>
            <w:tcW w:w="1134" w:type="dxa"/>
            <w:vAlign w:val="center"/>
          </w:tcPr>
          <w:p w14:paraId="30A80360" w14:textId="77777777" w:rsidR="00577D08" w:rsidRDefault="00577D08">
            <w:pPr>
              <w:jc w:val="right"/>
              <w:rPr>
                <w:sz w:val="15"/>
                <w:szCs w:val="15"/>
              </w:rPr>
            </w:pPr>
          </w:p>
        </w:tc>
        <w:tc>
          <w:tcPr>
            <w:tcW w:w="1276" w:type="dxa"/>
            <w:vAlign w:val="center"/>
          </w:tcPr>
          <w:p w14:paraId="38964208" w14:textId="77777777" w:rsidR="00577D08" w:rsidRDefault="00577D08">
            <w:pPr>
              <w:jc w:val="right"/>
              <w:rPr>
                <w:sz w:val="15"/>
                <w:szCs w:val="15"/>
              </w:rPr>
            </w:pPr>
          </w:p>
        </w:tc>
        <w:tc>
          <w:tcPr>
            <w:tcW w:w="1275" w:type="dxa"/>
            <w:vAlign w:val="center"/>
          </w:tcPr>
          <w:p w14:paraId="777003AC" w14:textId="77777777" w:rsidR="00577D08" w:rsidRDefault="00577D08">
            <w:pPr>
              <w:jc w:val="right"/>
              <w:rPr>
                <w:sz w:val="15"/>
                <w:szCs w:val="15"/>
              </w:rPr>
            </w:pPr>
          </w:p>
        </w:tc>
        <w:tc>
          <w:tcPr>
            <w:tcW w:w="1322" w:type="dxa"/>
            <w:vAlign w:val="center"/>
          </w:tcPr>
          <w:p w14:paraId="1F49C45D" w14:textId="77777777" w:rsidR="00577D08" w:rsidRDefault="00577D08">
            <w:pPr>
              <w:jc w:val="right"/>
              <w:rPr>
                <w:sz w:val="15"/>
                <w:szCs w:val="15"/>
              </w:rPr>
            </w:pPr>
          </w:p>
        </w:tc>
      </w:tr>
      <w:tr w:rsidR="00577D08" w14:paraId="114C2C7A" w14:textId="77777777">
        <w:trPr>
          <w:trHeight w:val="20"/>
        </w:trPr>
        <w:sdt>
          <w:sdtPr>
            <w:rPr>
              <w:sz w:val="15"/>
              <w:szCs w:val="15"/>
            </w:rPr>
            <w:tag w:val="_PLD_5b62e12f39a04fa3a5e1647793ab3e5e"/>
            <w:id w:val="-934735232"/>
          </w:sdtPr>
          <w:sdtContent>
            <w:tc>
              <w:tcPr>
                <w:tcW w:w="2394" w:type="dxa"/>
                <w:vAlign w:val="center"/>
              </w:tcPr>
              <w:p w14:paraId="2CD99CE4" w14:textId="77777777" w:rsidR="00577D08" w:rsidRDefault="00330FC0">
                <w:pPr>
                  <w:rPr>
                    <w:sz w:val="15"/>
                    <w:szCs w:val="15"/>
                  </w:rPr>
                </w:pPr>
                <w:r>
                  <w:rPr>
                    <w:rFonts w:hint="eastAsia"/>
                    <w:sz w:val="15"/>
                    <w:szCs w:val="15"/>
                  </w:rPr>
                  <w:t>3</w:t>
                </w:r>
                <w:r>
                  <w:rPr>
                    <w:sz w:val="15"/>
                    <w:szCs w:val="15"/>
                  </w:rPr>
                  <w:t>．股份支付计入所有者权益的金额</w:t>
                </w:r>
              </w:p>
            </w:tc>
          </w:sdtContent>
        </w:sdt>
        <w:tc>
          <w:tcPr>
            <w:tcW w:w="1258" w:type="dxa"/>
            <w:tcBorders>
              <w:right w:val="single" w:sz="4" w:space="0" w:color="auto"/>
            </w:tcBorders>
            <w:vAlign w:val="center"/>
          </w:tcPr>
          <w:p w14:paraId="3364956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4C410DE"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0C7F1EF" w14:textId="77777777" w:rsidR="00577D08" w:rsidRDefault="00577D08">
            <w:pPr>
              <w:jc w:val="right"/>
              <w:rPr>
                <w:sz w:val="15"/>
                <w:szCs w:val="15"/>
              </w:rPr>
            </w:pPr>
          </w:p>
        </w:tc>
        <w:tc>
          <w:tcPr>
            <w:tcW w:w="567" w:type="dxa"/>
            <w:tcBorders>
              <w:left w:val="single" w:sz="4" w:space="0" w:color="auto"/>
            </w:tcBorders>
            <w:vAlign w:val="center"/>
          </w:tcPr>
          <w:p w14:paraId="71993D21" w14:textId="77777777" w:rsidR="00577D08" w:rsidRDefault="00577D08">
            <w:pPr>
              <w:jc w:val="right"/>
              <w:rPr>
                <w:sz w:val="15"/>
                <w:szCs w:val="15"/>
              </w:rPr>
            </w:pPr>
          </w:p>
        </w:tc>
        <w:tc>
          <w:tcPr>
            <w:tcW w:w="1275" w:type="dxa"/>
            <w:vAlign w:val="center"/>
          </w:tcPr>
          <w:p w14:paraId="1ECB1CFE" w14:textId="77777777" w:rsidR="00577D08" w:rsidRDefault="00330FC0">
            <w:pPr>
              <w:jc w:val="right"/>
              <w:rPr>
                <w:sz w:val="15"/>
                <w:szCs w:val="15"/>
              </w:rPr>
            </w:pPr>
            <w:r>
              <w:rPr>
                <w:sz w:val="15"/>
                <w:szCs w:val="15"/>
              </w:rPr>
              <w:t>-14,953,199.84</w:t>
            </w:r>
          </w:p>
        </w:tc>
        <w:tc>
          <w:tcPr>
            <w:tcW w:w="1134" w:type="dxa"/>
            <w:vAlign w:val="center"/>
          </w:tcPr>
          <w:p w14:paraId="7123F571" w14:textId="77777777" w:rsidR="00577D08" w:rsidRDefault="00330FC0">
            <w:pPr>
              <w:jc w:val="right"/>
              <w:rPr>
                <w:sz w:val="15"/>
                <w:szCs w:val="15"/>
              </w:rPr>
            </w:pPr>
            <w:r>
              <w:rPr>
                <w:sz w:val="15"/>
                <w:szCs w:val="15"/>
              </w:rPr>
              <w:t>-19,405,500.00</w:t>
            </w:r>
          </w:p>
        </w:tc>
        <w:tc>
          <w:tcPr>
            <w:tcW w:w="851" w:type="dxa"/>
            <w:vAlign w:val="center"/>
          </w:tcPr>
          <w:p w14:paraId="0B8BE099" w14:textId="77777777" w:rsidR="00577D08" w:rsidRDefault="00577D08">
            <w:pPr>
              <w:jc w:val="right"/>
              <w:rPr>
                <w:sz w:val="15"/>
                <w:szCs w:val="15"/>
              </w:rPr>
            </w:pPr>
          </w:p>
        </w:tc>
        <w:tc>
          <w:tcPr>
            <w:tcW w:w="1134" w:type="dxa"/>
            <w:vAlign w:val="center"/>
          </w:tcPr>
          <w:p w14:paraId="1033FA78" w14:textId="77777777" w:rsidR="00577D08" w:rsidRDefault="00577D08">
            <w:pPr>
              <w:jc w:val="right"/>
              <w:rPr>
                <w:sz w:val="15"/>
                <w:szCs w:val="15"/>
              </w:rPr>
            </w:pPr>
          </w:p>
        </w:tc>
        <w:tc>
          <w:tcPr>
            <w:tcW w:w="1276" w:type="dxa"/>
            <w:vAlign w:val="center"/>
          </w:tcPr>
          <w:p w14:paraId="351C7981" w14:textId="77777777" w:rsidR="00577D08" w:rsidRDefault="00577D08">
            <w:pPr>
              <w:jc w:val="right"/>
              <w:rPr>
                <w:sz w:val="15"/>
                <w:szCs w:val="15"/>
              </w:rPr>
            </w:pPr>
          </w:p>
        </w:tc>
        <w:tc>
          <w:tcPr>
            <w:tcW w:w="1275" w:type="dxa"/>
            <w:vAlign w:val="center"/>
          </w:tcPr>
          <w:p w14:paraId="206E0E46" w14:textId="77777777" w:rsidR="00577D08" w:rsidRDefault="00577D08">
            <w:pPr>
              <w:jc w:val="right"/>
              <w:rPr>
                <w:sz w:val="15"/>
                <w:szCs w:val="15"/>
              </w:rPr>
            </w:pPr>
          </w:p>
        </w:tc>
        <w:tc>
          <w:tcPr>
            <w:tcW w:w="1322" w:type="dxa"/>
            <w:vAlign w:val="center"/>
          </w:tcPr>
          <w:p w14:paraId="3926670D" w14:textId="77777777" w:rsidR="00577D08" w:rsidRDefault="00330FC0">
            <w:pPr>
              <w:jc w:val="right"/>
              <w:rPr>
                <w:sz w:val="15"/>
                <w:szCs w:val="15"/>
              </w:rPr>
            </w:pPr>
            <w:r>
              <w:rPr>
                <w:sz w:val="15"/>
                <w:szCs w:val="15"/>
              </w:rPr>
              <w:t>4,452,300.16</w:t>
            </w:r>
          </w:p>
        </w:tc>
      </w:tr>
      <w:tr w:rsidR="00577D08" w14:paraId="2788EA26" w14:textId="77777777">
        <w:trPr>
          <w:trHeight w:val="20"/>
        </w:trPr>
        <w:sdt>
          <w:sdtPr>
            <w:rPr>
              <w:sz w:val="15"/>
              <w:szCs w:val="15"/>
            </w:rPr>
            <w:tag w:val="_PLD_09a354c759244b168ea7e28904658be8"/>
            <w:id w:val="40571992"/>
          </w:sdtPr>
          <w:sdtContent>
            <w:tc>
              <w:tcPr>
                <w:tcW w:w="2394" w:type="dxa"/>
                <w:vAlign w:val="center"/>
              </w:tcPr>
              <w:p w14:paraId="3252F420" w14:textId="77777777" w:rsidR="00577D08" w:rsidRDefault="00330FC0">
                <w:pPr>
                  <w:rPr>
                    <w:sz w:val="15"/>
                    <w:szCs w:val="15"/>
                  </w:rPr>
                </w:pPr>
                <w:r>
                  <w:rPr>
                    <w:rFonts w:hint="eastAsia"/>
                    <w:sz w:val="15"/>
                    <w:szCs w:val="15"/>
                  </w:rPr>
                  <w:t>4</w:t>
                </w:r>
                <w:r>
                  <w:rPr>
                    <w:sz w:val="15"/>
                    <w:szCs w:val="15"/>
                  </w:rPr>
                  <w:t>．其他</w:t>
                </w:r>
              </w:p>
            </w:tc>
          </w:sdtContent>
        </w:sdt>
        <w:tc>
          <w:tcPr>
            <w:tcW w:w="1258" w:type="dxa"/>
            <w:tcBorders>
              <w:right w:val="single" w:sz="4" w:space="0" w:color="auto"/>
            </w:tcBorders>
            <w:vAlign w:val="center"/>
          </w:tcPr>
          <w:p w14:paraId="336C451F"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BA47367"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EEC18A6" w14:textId="77777777" w:rsidR="00577D08" w:rsidRDefault="00577D08">
            <w:pPr>
              <w:jc w:val="right"/>
              <w:rPr>
                <w:sz w:val="15"/>
                <w:szCs w:val="15"/>
              </w:rPr>
            </w:pPr>
          </w:p>
        </w:tc>
        <w:tc>
          <w:tcPr>
            <w:tcW w:w="567" w:type="dxa"/>
            <w:tcBorders>
              <w:left w:val="single" w:sz="4" w:space="0" w:color="auto"/>
            </w:tcBorders>
            <w:vAlign w:val="center"/>
          </w:tcPr>
          <w:p w14:paraId="527A772A" w14:textId="77777777" w:rsidR="00577D08" w:rsidRDefault="00577D08">
            <w:pPr>
              <w:jc w:val="right"/>
              <w:rPr>
                <w:sz w:val="15"/>
                <w:szCs w:val="15"/>
              </w:rPr>
            </w:pPr>
          </w:p>
        </w:tc>
        <w:tc>
          <w:tcPr>
            <w:tcW w:w="1275" w:type="dxa"/>
            <w:vAlign w:val="center"/>
          </w:tcPr>
          <w:p w14:paraId="3F3A5E73" w14:textId="77777777" w:rsidR="00577D08" w:rsidRDefault="00577D08">
            <w:pPr>
              <w:jc w:val="right"/>
              <w:rPr>
                <w:sz w:val="15"/>
                <w:szCs w:val="15"/>
              </w:rPr>
            </w:pPr>
          </w:p>
        </w:tc>
        <w:tc>
          <w:tcPr>
            <w:tcW w:w="1134" w:type="dxa"/>
            <w:vAlign w:val="center"/>
          </w:tcPr>
          <w:p w14:paraId="3D463399" w14:textId="77777777" w:rsidR="00577D08" w:rsidRDefault="00577D08">
            <w:pPr>
              <w:jc w:val="right"/>
              <w:rPr>
                <w:sz w:val="15"/>
                <w:szCs w:val="15"/>
              </w:rPr>
            </w:pPr>
          </w:p>
        </w:tc>
        <w:tc>
          <w:tcPr>
            <w:tcW w:w="851" w:type="dxa"/>
            <w:vAlign w:val="center"/>
          </w:tcPr>
          <w:p w14:paraId="49365BE8" w14:textId="77777777" w:rsidR="00577D08" w:rsidRDefault="00577D08">
            <w:pPr>
              <w:jc w:val="right"/>
              <w:rPr>
                <w:sz w:val="15"/>
                <w:szCs w:val="15"/>
              </w:rPr>
            </w:pPr>
          </w:p>
        </w:tc>
        <w:tc>
          <w:tcPr>
            <w:tcW w:w="1134" w:type="dxa"/>
            <w:vAlign w:val="center"/>
          </w:tcPr>
          <w:p w14:paraId="4570BFA1" w14:textId="77777777" w:rsidR="00577D08" w:rsidRDefault="00577D08">
            <w:pPr>
              <w:jc w:val="right"/>
              <w:rPr>
                <w:sz w:val="15"/>
                <w:szCs w:val="15"/>
              </w:rPr>
            </w:pPr>
          </w:p>
        </w:tc>
        <w:tc>
          <w:tcPr>
            <w:tcW w:w="1276" w:type="dxa"/>
            <w:vAlign w:val="center"/>
          </w:tcPr>
          <w:p w14:paraId="11744FFE" w14:textId="77777777" w:rsidR="00577D08" w:rsidRDefault="00577D08">
            <w:pPr>
              <w:jc w:val="right"/>
              <w:rPr>
                <w:sz w:val="15"/>
                <w:szCs w:val="15"/>
              </w:rPr>
            </w:pPr>
          </w:p>
        </w:tc>
        <w:tc>
          <w:tcPr>
            <w:tcW w:w="1275" w:type="dxa"/>
            <w:vAlign w:val="center"/>
          </w:tcPr>
          <w:p w14:paraId="362D8835" w14:textId="77777777" w:rsidR="00577D08" w:rsidRDefault="00577D08">
            <w:pPr>
              <w:jc w:val="right"/>
              <w:rPr>
                <w:sz w:val="15"/>
                <w:szCs w:val="15"/>
              </w:rPr>
            </w:pPr>
          </w:p>
        </w:tc>
        <w:tc>
          <w:tcPr>
            <w:tcW w:w="1322" w:type="dxa"/>
            <w:vAlign w:val="center"/>
          </w:tcPr>
          <w:p w14:paraId="0BCF374B" w14:textId="77777777" w:rsidR="00577D08" w:rsidRDefault="00577D08">
            <w:pPr>
              <w:jc w:val="right"/>
              <w:rPr>
                <w:sz w:val="15"/>
                <w:szCs w:val="15"/>
              </w:rPr>
            </w:pPr>
          </w:p>
        </w:tc>
      </w:tr>
      <w:tr w:rsidR="00577D08" w14:paraId="7353082D" w14:textId="77777777">
        <w:trPr>
          <w:trHeight w:val="20"/>
        </w:trPr>
        <w:sdt>
          <w:sdtPr>
            <w:rPr>
              <w:sz w:val="15"/>
              <w:szCs w:val="15"/>
            </w:rPr>
            <w:tag w:val="_PLD_806901fee79c40f688fa2f02ab1d596d"/>
            <w:id w:val="-1267917277"/>
          </w:sdtPr>
          <w:sdtContent>
            <w:tc>
              <w:tcPr>
                <w:tcW w:w="2394" w:type="dxa"/>
                <w:vAlign w:val="center"/>
              </w:tcPr>
              <w:p w14:paraId="4A8B8C98" w14:textId="77777777" w:rsidR="00577D08" w:rsidRDefault="00330FC0">
                <w:pPr>
                  <w:rPr>
                    <w:sz w:val="15"/>
                    <w:szCs w:val="15"/>
                  </w:rPr>
                </w:pPr>
                <w:r>
                  <w:rPr>
                    <w:sz w:val="15"/>
                    <w:szCs w:val="15"/>
                  </w:rPr>
                  <w:t>（</w:t>
                </w:r>
                <w:r>
                  <w:rPr>
                    <w:rFonts w:hint="eastAsia"/>
                    <w:sz w:val="15"/>
                    <w:szCs w:val="15"/>
                  </w:rPr>
                  <w:t>三</w:t>
                </w:r>
                <w:r>
                  <w:rPr>
                    <w:sz w:val="15"/>
                    <w:szCs w:val="15"/>
                  </w:rPr>
                  <w:t>）利润分配</w:t>
                </w:r>
              </w:p>
            </w:tc>
          </w:sdtContent>
        </w:sdt>
        <w:tc>
          <w:tcPr>
            <w:tcW w:w="1258" w:type="dxa"/>
            <w:tcBorders>
              <w:right w:val="single" w:sz="4" w:space="0" w:color="auto"/>
            </w:tcBorders>
            <w:vAlign w:val="center"/>
          </w:tcPr>
          <w:p w14:paraId="669D866C"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43AC9F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E6284FD" w14:textId="77777777" w:rsidR="00577D08" w:rsidRDefault="00577D08">
            <w:pPr>
              <w:jc w:val="right"/>
              <w:rPr>
                <w:sz w:val="15"/>
                <w:szCs w:val="15"/>
              </w:rPr>
            </w:pPr>
          </w:p>
        </w:tc>
        <w:tc>
          <w:tcPr>
            <w:tcW w:w="567" w:type="dxa"/>
            <w:tcBorders>
              <w:left w:val="single" w:sz="4" w:space="0" w:color="auto"/>
            </w:tcBorders>
            <w:vAlign w:val="center"/>
          </w:tcPr>
          <w:p w14:paraId="44948E3D" w14:textId="77777777" w:rsidR="00577D08" w:rsidRDefault="00577D08">
            <w:pPr>
              <w:jc w:val="right"/>
              <w:rPr>
                <w:sz w:val="15"/>
                <w:szCs w:val="15"/>
              </w:rPr>
            </w:pPr>
          </w:p>
        </w:tc>
        <w:tc>
          <w:tcPr>
            <w:tcW w:w="1275" w:type="dxa"/>
            <w:vAlign w:val="center"/>
          </w:tcPr>
          <w:p w14:paraId="12219A12" w14:textId="77777777" w:rsidR="00577D08" w:rsidRDefault="00577D08">
            <w:pPr>
              <w:jc w:val="right"/>
              <w:rPr>
                <w:sz w:val="15"/>
                <w:szCs w:val="15"/>
              </w:rPr>
            </w:pPr>
          </w:p>
        </w:tc>
        <w:tc>
          <w:tcPr>
            <w:tcW w:w="1134" w:type="dxa"/>
            <w:vAlign w:val="center"/>
          </w:tcPr>
          <w:p w14:paraId="2E206B33" w14:textId="77777777" w:rsidR="00577D08" w:rsidRDefault="00577D08">
            <w:pPr>
              <w:jc w:val="right"/>
              <w:rPr>
                <w:sz w:val="15"/>
                <w:szCs w:val="15"/>
              </w:rPr>
            </w:pPr>
          </w:p>
        </w:tc>
        <w:tc>
          <w:tcPr>
            <w:tcW w:w="851" w:type="dxa"/>
            <w:vAlign w:val="center"/>
          </w:tcPr>
          <w:p w14:paraId="2CBD4205" w14:textId="77777777" w:rsidR="00577D08" w:rsidRDefault="00577D08">
            <w:pPr>
              <w:jc w:val="right"/>
              <w:rPr>
                <w:sz w:val="15"/>
                <w:szCs w:val="15"/>
              </w:rPr>
            </w:pPr>
          </w:p>
        </w:tc>
        <w:tc>
          <w:tcPr>
            <w:tcW w:w="1134" w:type="dxa"/>
            <w:vAlign w:val="center"/>
          </w:tcPr>
          <w:p w14:paraId="739A8005" w14:textId="77777777" w:rsidR="00577D08" w:rsidRDefault="00577D08">
            <w:pPr>
              <w:jc w:val="right"/>
              <w:rPr>
                <w:sz w:val="15"/>
                <w:szCs w:val="15"/>
              </w:rPr>
            </w:pPr>
          </w:p>
        </w:tc>
        <w:tc>
          <w:tcPr>
            <w:tcW w:w="1276" w:type="dxa"/>
            <w:vAlign w:val="center"/>
          </w:tcPr>
          <w:p w14:paraId="092E4797" w14:textId="77777777" w:rsidR="00577D08" w:rsidRDefault="00330FC0">
            <w:pPr>
              <w:jc w:val="right"/>
              <w:rPr>
                <w:sz w:val="15"/>
                <w:szCs w:val="15"/>
              </w:rPr>
            </w:pPr>
            <w:r>
              <w:rPr>
                <w:sz w:val="15"/>
                <w:szCs w:val="15"/>
              </w:rPr>
              <w:t>4,106,781.71</w:t>
            </w:r>
          </w:p>
        </w:tc>
        <w:tc>
          <w:tcPr>
            <w:tcW w:w="1275" w:type="dxa"/>
            <w:vAlign w:val="center"/>
          </w:tcPr>
          <w:p w14:paraId="4F7D246D" w14:textId="77777777" w:rsidR="00577D08" w:rsidRDefault="00330FC0">
            <w:pPr>
              <w:jc w:val="right"/>
              <w:rPr>
                <w:sz w:val="15"/>
                <w:szCs w:val="15"/>
              </w:rPr>
            </w:pPr>
            <w:r>
              <w:rPr>
                <w:sz w:val="15"/>
                <w:szCs w:val="15"/>
              </w:rPr>
              <w:t>-53,983,977.56</w:t>
            </w:r>
          </w:p>
        </w:tc>
        <w:tc>
          <w:tcPr>
            <w:tcW w:w="1322" w:type="dxa"/>
            <w:vAlign w:val="center"/>
          </w:tcPr>
          <w:p w14:paraId="0EEB48C3" w14:textId="77777777" w:rsidR="00577D08" w:rsidRDefault="00330FC0">
            <w:pPr>
              <w:jc w:val="right"/>
              <w:rPr>
                <w:sz w:val="15"/>
                <w:szCs w:val="15"/>
              </w:rPr>
            </w:pPr>
            <w:r>
              <w:rPr>
                <w:sz w:val="15"/>
                <w:szCs w:val="15"/>
              </w:rPr>
              <w:t>-49,877,195.85</w:t>
            </w:r>
          </w:p>
        </w:tc>
      </w:tr>
      <w:tr w:rsidR="00577D08" w14:paraId="1975893B" w14:textId="77777777">
        <w:trPr>
          <w:trHeight w:val="20"/>
        </w:trPr>
        <w:sdt>
          <w:sdtPr>
            <w:rPr>
              <w:sz w:val="15"/>
              <w:szCs w:val="15"/>
            </w:rPr>
            <w:tag w:val="_PLD_5936c2d33e22476597644c98158847c6"/>
            <w:id w:val="1757092549"/>
          </w:sdtPr>
          <w:sdtContent>
            <w:tc>
              <w:tcPr>
                <w:tcW w:w="2394" w:type="dxa"/>
                <w:vAlign w:val="center"/>
              </w:tcPr>
              <w:p w14:paraId="536D8E0C" w14:textId="77777777" w:rsidR="00577D08" w:rsidRDefault="00330FC0">
                <w:pPr>
                  <w:rPr>
                    <w:sz w:val="15"/>
                    <w:szCs w:val="15"/>
                  </w:rPr>
                </w:pPr>
                <w:r>
                  <w:rPr>
                    <w:sz w:val="15"/>
                    <w:szCs w:val="15"/>
                  </w:rPr>
                  <w:t>1</w:t>
                </w:r>
                <w:r>
                  <w:rPr>
                    <w:sz w:val="15"/>
                    <w:szCs w:val="15"/>
                  </w:rPr>
                  <w:t>．提取盈余公积</w:t>
                </w:r>
              </w:p>
            </w:tc>
          </w:sdtContent>
        </w:sdt>
        <w:tc>
          <w:tcPr>
            <w:tcW w:w="1258" w:type="dxa"/>
            <w:tcBorders>
              <w:right w:val="single" w:sz="4" w:space="0" w:color="auto"/>
            </w:tcBorders>
            <w:vAlign w:val="center"/>
          </w:tcPr>
          <w:p w14:paraId="2CEF4B2F"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324285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D2C320D" w14:textId="77777777" w:rsidR="00577D08" w:rsidRDefault="00577D08">
            <w:pPr>
              <w:jc w:val="right"/>
              <w:rPr>
                <w:sz w:val="15"/>
                <w:szCs w:val="15"/>
              </w:rPr>
            </w:pPr>
          </w:p>
        </w:tc>
        <w:tc>
          <w:tcPr>
            <w:tcW w:w="567" w:type="dxa"/>
            <w:tcBorders>
              <w:left w:val="single" w:sz="4" w:space="0" w:color="auto"/>
            </w:tcBorders>
            <w:vAlign w:val="center"/>
          </w:tcPr>
          <w:p w14:paraId="3388E93A" w14:textId="77777777" w:rsidR="00577D08" w:rsidRDefault="00577D08">
            <w:pPr>
              <w:jc w:val="right"/>
              <w:rPr>
                <w:sz w:val="15"/>
                <w:szCs w:val="15"/>
              </w:rPr>
            </w:pPr>
          </w:p>
        </w:tc>
        <w:tc>
          <w:tcPr>
            <w:tcW w:w="1275" w:type="dxa"/>
            <w:vAlign w:val="center"/>
          </w:tcPr>
          <w:p w14:paraId="26681B02" w14:textId="77777777" w:rsidR="00577D08" w:rsidRDefault="00577D08">
            <w:pPr>
              <w:jc w:val="right"/>
              <w:rPr>
                <w:sz w:val="15"/>
                <w:szCs w:val="15"/>
              </w:rPr>
            </w:pPr>
          </w:p>
        </w:tc>
        <w:tc>
          <w:tcPr>
            <w:tcW w:w="1134" w:type="dxa"/>
            <w:vAlign w:val="center"/>
          </w:tcPr>
          <w:p w14:paraId="02E0D367" w14:textId="77777777" w:rsidR="00577D08" w:rsidRDefault="00577D08">
            <w:pPr>
              <w:jc w:val="right"/>
              <w:rPr>
                <w:sz w:val="15"/>
                <w:szCs w:val="15"/>
              </w:rPr>
            </w:pPr>
          </w:p>
        </w:tc>
        <w:tc>
          <w:tcPr>
            <w:tcW w:w="851" w:type="dxa"/>
            <w:vAlign w:val="center"/>
          </w:tcPr>
          <w:p w14:paraId="061AC853" w14:textId="77777777" w:rsidR="00577D08" w:rsidRDefault="00577D08">
            <w:pPr>
              <w:jc w:val="right"/>
              <w:rPr>
                <w:sz w:val="15"/>
                <w:szCs w:val="15"/>
              </w:rPr>
            </w:pPr>
          </w:p>
        </w:tc>
        <w:tc>
          <w:tcPr>
            <w:tcW w:w="1134" w:type="dxa"/>
            <w:vAlign w:val="center"/>
          </w:tcPr>
          <w:p w14:paraId="4C83CA95" w14:textId="77777777" w:rsidR="00577D08" w:rsidRDefault="00577D08">
            <w:pPr>
              <w:jc w:val="right"/>
              <w:rPr>
                <w:sz w:val="15"/>
                <w:szCs w:val="15"/>
              </w:rPr>
            </w:pPr>
          </w:p>
        </w:tc>
        <w:tc>
          <w:tcPr>
            <w:tcW w:w="1276" w:type="dxa"/>
            <w:vAlign w:val="center"/>
          </w:tcPr>
          <w:p w14:paraId="76FF89F6" w14:textId="77777777" w:rsidR="00577D08" w:rsidRDefault="00330FC0">
            <w:pPr>
              <w:jc w:val="right"/>
              <w:rPr>
                <w:sz w:val="15"/>
                <w:szCs w:val="15"/>
              </w:rPr>
            </w:pPr>
            <w:r>
              <w:rPr>
                <w:sz w:val="15"/>
                <w:szCs w:val="15"/>
              </w:rPr>
              <w:t>4,106,781.71</w:t>
            </w:r>
          </w:p>
        </w:tc>
        <w:tc>
          <w:tcPr>
            <w:tcW w:w="1275" w:type="dxa"/>
            <w:vAlign w:val="center"/>
          </w:tcPr>
          <w:p w14:paraId="445C9D1A" w14:textId="77777777" w:rsidR="00577D08" w:rsidRDefault="00330FC0">
            <w:pPr>
              <w:jc w:val="right"/>
              <w:rPr>
                <w:sz w:val="15"/>
                <w:szCs w:val="15"/>
              </w:rPr>
            </w:pPr>
            <w:r>
              <w:rPr>
                <w:sz w:val="15"/>
                <w:szCs w:val="15"/>
              </w:rPr>
              <w:t>-4,106,781.71</w:t>
            </w:r>
          </w:p>
        </w:tc>
        <w:tc>
          <w:tcPr>
            <w:tcW w:w="1322" w:type="dxa"/>
            <w:vAlign w:val="center"/>
          </w:tcPr>
          <w:p w14:paraId="3003B64E" w14:textId="77777777" w:rsidR="00577D08" w:rsidRDefault="00577D08">
            <w:pPr>
              <w:jc w:val="right"/>
              <w:rPr>
                <w:sz w:val="15"/>
                <w:szCs w:val="15"/>
              </w:rPr>
            </w:pPr>
          </w:p>
        </w:tc>
      </w:tr>
      <w:tr w:rsidR="00577D08" w14:paraId="32E76A77" w14:textId="77777777">
        <w:trPr>
          <w:trHeight w:val="20"/>
        </w:trPr>
        <w:sdt>
          <w:sdtPr>
            <w:rPr>
              <w:sz w:val="15"/>
              <w:szCs w:val="15"/>
            </w:rPr>
            <w:tag w:val="_PLD_210044b047ac492dbe47ba7aedd16fad"/>
            <w:id w:val="1060673055"/>
          </w:sdtPr>
          <w:sdtContent>
            <w:tc>
              <w:tcPr>
                <w:tcW w:w="2394" w:type="dxa"/>
                <w:vAlign w:val="center"/>
              </w:tcPr>
              <w:p w14:paraId="4D1E6D6E" w14:textId="77777777" w:rsidR="00577D08" w:rsidRDefault="00330FC0">
                <w:pPr>
                  <w:rPr>
                    <w:sz w:val="15"/>
                    <w:szCs w:val="15"/>
                  </w:rPr>
                </w:pPr>
                <w:r>
                  <w:rPr>
                    <w:rFonts w:hint="eastAsia"/>
                    <w:sz w:val="15"/>
                    <w:szCs w:val="15"/>
                  </w:rPr>
                  <w:t>2</w:t>
                </w:r>
                <w:r>
                  <w:rPr>
                    <w:sz w:val="15"/>
                    <w:szCs w:val="15"/>
                  </w:rPr>
                  <w:t>．对所有者（或股东）的分配</w:t>
                </w:r>
              </w:p>
            </w:tc>
          </w:sdtContent>
        </w:sdt>
        <w:tc>
          <w:tcPr>
            <w:tcW w:w="1258" w:type="dxa"/>
            <w:tcBorders>
              <w:right w:val="single" w:sz="4" w:space="0" w:color="auto"/>
            </w:tcBorders>
            <w:vAlign w:val="center"/>
          </w:tcPr>
          <w:p w14:paraId="2358FC5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7D648B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2B1430A" w14:textId="77777777" w:rsidR="00577D08" w:rsidRDefault="00577D08">
            <w:pPr>
              <w:jc w:val="right"/>
              <w:rPr>
                <w:sz w:val="15"/>
                <w:szCs w:val="15"/>
              </w:rPr>
            </w:pPr>
          </w:p>
        </w:tc>
        <w:tc>
          <w:tcPr>
            <w:tcW w:w="567" w:type="dxa"/>
            <w:tcBorders>
              <w:left w:val="single" w:sz="4" w:space="0" w:color="auto"/>
            </w:tcBorders>
            <w:vAlign w:val="center"/>
          </w:tcPr>
          <w:p w14:paraId="4565C24E" w14:textId="77777777" w:rsidR="00577D08" w:rsidRDefault="00577D08">
            <w:pPr>
              <w:jc w:val="right"/>
              <w:rPr>
                <w:sz w:val="15"/>
                <w:szCs w:val="15"/>
              </w:rPr>
            </w:pPr>
          </w:p>
        </w:tc>
        <w:tc>
          <w:tcPr>
            <w:tcW w:w="1275" w:type="dxa"/>
            <w:vAlign w:val="center"/>
          </w:tcPr>
          <w:p w14:paraId="6BDC04D9" w14:textId="77777777" w:rsidR="00577D08" w:rsidRDefault="00577D08">
            <w:pPr>
              <w:jc w:val="right"/>
              <w:rPr>
                <w:sz w:val="15"/>
                <w:szCs w:val="15"/>
              </w:rPr>
            </w:pPr>
          </w:p>
        </w:tc>
        <w:tc>
          <w:tcPr>
            <w:tcW w:w="1134" w:type="dxa"/>
            <w:vAlign w:val="center"/>
          </w:tcPr>
          <w:p w14:paraId="72B2E2DA" w14:textId="77777777" w:rsidR="00577D08" w:rsidRDefault="00577D08">
            <w:pPr>
              <w:jc w:val="right"/>
              <w:rPr>
                <w:sz w:val="15"/>
                <w:szCs w:val="15"/>
              </w:rPr>
            </w:pPr>
          </w:p>
        </w:tc>
        <w:tc>
          <w:tcPr>
            <w:tcW w:w="851" w:type="dxa"/>
            <w:vAlign w:val="center"/>
          </w:tcPr>
          <w:p w14:paraId="53B5C64C" w14:textId="77777777" w:rsidR="00577D08" w:rsidRDefault="00577D08">
            <w:pPr>
              <w:jc w:val="right"/>
              <w:rPr>
                <w:sz w:val="15"/>
                <w:szCs w:val="15"/>
              </w:rPr>
            </w:pPr>
          </w:p>
        </w:tc>
        <w:tc>
          <w:tcPr>
            <w:tcW w:w="1134" w:type="dxa"/>
            <w:vAlign w:val="center"/>
          </w:tcPr>
          <w:p w14:paraId="7F852A3F" w14:textId="77777777" w:rsidR="00577D08" w:rsidRDefault="00577D08">
            <w:pPr>
              <w:jc w:val="right"/>
              <w:rPr>
                <w:sz w:val="15"/>
                <w:szCs w:val="15"/>
              </w:rPr>
            </w:pPr>
          </w:p>
        </w:tc>
        <w:tc>
          <w:tcPr>
            <w:tcW w:w="1276" w:type="dxa"/>
            <w:vAlign w:val="center"/>
          </w:tcPr>
          <w:p w14:paraId="32B2AE85" w14:textId="77777777" w:rsidR="00577D08" w:rsidRDefault="00577D08">
            <w:pPr>
              <w:jc w:val="right"/>
              <w:rPr>
                <w:sz w:val="15"/>
                <w:szCs w:val="15"/>
              </w:rPr>
            </w:pPr>
          </w:p>
        </w:tc>
        <w:tc>
          <w:tcPr>
            <w:tcW w:w="1275" w:type="dxa"/>
            <w:vAlign w:val="center"/>
          </w:tcPr>
          <w:p w14:paraId="0BDDF312" w14:textId="77777777" w:rsidR="00577D08" w:rsidRDefault="00330FC0">
            <w:pPr>
              <w:jc w:val="right"/>
              <w:rPr>
                <w:sz w:val="15"/>
                <w:szCs w:val="15"/>
              </w:rPr>
            </w:pPr>
            <w:r>
              <w:rPr>
                <w:sz w:val="15"/>
                <w:szCs w:val="15"/>
              </w:rPr>
              <w:t>-49,877,195.85</w:t>
            </w:r>
          </w:p>
        </w:tc>
        <w:tc>
          <w:tcPr>
            <w:tcW w:w="1322" w:type="dxa"/>
            <w:vAlign w:val="center"/>
          </w:tcPr>
          <w:p w14:paraId="5CC2A958" w14:textId="77777777" w:rsidR="00577D08" w:rsidRDefault="00330FC0">
            <w:pPr>
              <w:jc w:val="right"/>
              <w:rPr>
                <w:sz w:val="15"/>
                <w:szCs w:val="15"/>
              </w:rPr>
            </w:pPr>
            <w:r>
              <w:rPr>
                <w:sz w:val="15"/>
                <w:szCs w:val="15"/>
              </w:rPr>
              <w:t>-49,877,195.85</w:t>
            </w:r>
          </w:p>
        </w:tc>
      </w:tr>
      <w:tr w:rsidR="00577D08" w14:paraId="2D05556B" w14:textId="77777777">
        <w:trPr>
          <w:trHeight w:val="20"/>
        </w:trPr>
        <w:sdt>
          <w:sdtPr>
            <w:rPr>
              <w:sz w:val="15"/>
              <w:szCs w:val="15"/>
            </w:rPr>
            <w:tag w:val="_PLD_65affb7384874e8facf889d04ab4dd24"/>
            <w:id w:val="2122568959"/>
          </w:sdtPr>
          <w:sdtContent>
            <w:tc>
              <w:tcPr>
                <w:tcW w:w="2394" w:type="dxa"/>
                <w:vAlign w:val="center"/>
              </w:tcPr>
              <w:p w14:paraId="72EC145F" w14:textId="77777777" w:rsidR="00577D08" w:rsidRDefault="00330FC0">
                <w:pPr>
                  <w:rPr>
                    <w:sz w:val="15"/>
                    <w:szCs w:val="15"/>
                  </w:rPr>
                </w:pPr>
                <w:r>
                  <w:rPr>
                    <w:rFonts w:hint="eastAsia"/>
                    <w:sz w:val="15"/>
                    <w:szCs w:val="15"/>
                  </w:rPr>
                  <w:t>3</w:t>
                </w:r>
                <w:r>
                  <w:rPr>
                    <w:sz w:val="15"/>
                    <w:szCs w:val="15"/>
                  </w:rPr>
                  <w:t>．其他</w:t>
                </w:r>
              </w:p>
            </w:tc>
          </w:sdtContent>
        </w:sdt>
        <w:tc>
          <w:tcPr>
            <w:tcW w:w="1258" w:type="dxa"/>
            <w:tcBorders>
              <w:right w:val="single" w:sz="4" w:space="0" w:color="auto"/>
            </w:tcBorders>
            <w:vAlign w:val="center"/>
          </w:tcPr>
          <w:p w14:paraId="65D662BE"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C96F1F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5CD2329" w14:textId="77777777" w:rsidR="00577D08" w:rsidRDefault="00577D08">
            <w:pPr>
              <w:jc w:val="right"/>
              <w:rPr>
                <w:sz w:val="15"/>
                <w:szCs w:val="15"/>
              </w:rPr>
            </w:pPr>
          </w:p>
        </w:tc>
        <w:tc>
          <w:tcPr>
            <w:tcW w:w="567" w:type="dxa"/>
            <w:tcBorders>
              <w:left w:val="single" w:sz="4" w:space="0" w:color="auto"/>
            </w:tcBorders>
            <w:vAlign w:val="center"/>
          </w:tcPr>
          <w:p w14:paraId="59CAD01B" w14:textId="77777777" w:rsidR="00577D08" w:rsidRDefault="00577D08">
            <w:pPr>
              <w:jc w:val="right"/>
              <w:rPr>
                <w:sz w:val="15"/>
                <w:szCs w:val="15"/>
              </w:rPr>
            </w:pPr>
          </w:p>
        </w:tc>
        <w:tc>
          <w:tcPr>
            <w:tcW w:w="1275" w:type="dxa"/>
            <w:vAlign w:val="center"/>
          </w:tcPr>
          <w:p w14:paraId="549E9185" w14:textId="77777777" w:rsidR="00577D08" w:rsidRDefault="00577D08">
            <w:pPr>
              <w:jc w:val="right"/>
              <w:rPr>
                <w:sz w:val="15"/>
                <w:szCs w:val="15"/>
              </w:rPr>
            </w:pPr>
          </w:p>
        </w:tc>
        <w:tc>
          <w:tcPr>
            <w:tcW w:w="1134" w:type="dxa"/>
            <w:vAlign w:val="center"/>
          </w:tcPr>
          <w:p w14:paraId="624182DE" w14:textId="77777777" w:rsidR="00577D08" w:rsidRDefault="00577D08">
            <w:pPr>
              <w:jc w:val="right"/>
              <w:rPr>
                <w:sz w:val="15"/>
                <w:szCs w:val="15"/>
              </w:rPr>
            </w:pPr>
          </w:p>
        </w:tc>
        <w:tc>
          <w:tcPr>
            <w:tcW w:w="851" w:type="dxa"/>
            <w:vAlign w:val="center"/>
          </w:tcPr>
          <w:p w14:paraId="0646598A" w14:textId="77777777" w:rsidR="00577D08" w:rsidRDefault="00577D08">
            <w:pPr>
              <w:jc w:val="right"/>
              <w:rPr>
                <w:sz w:val="15"/>
                <w:szCs w:val="15"/>
              </w:rPr>
            </w:pPr>
          </w:p>
        </w:tc>
        <w:tc>
          <w:tcPr>
            <w:tcW w:w="1134" w:type="dxa"/>
            <w:vAlign w:val="center"/>
          </w:tcPr>
          <w:p w14:paraId="53E5C345" w14:textId="77777777" w:rsidR="00577D08" w:rsidRDefault="00577D08">
            <w:pPr>
              <w:jc w:val="right"/>
              <w:rPr>
                <w:sz w:val="15"/>
                <w:szCs w:val="15"/>
              </w:rPr>
            </w:pPr>
          </w:p>
        </w:tc>
        <w:tc>
          <w:tcPr>
            <w:tcW w:w="1276" w:type="dxa"/>
            <w:vAlign w:val="center"/>
          </w:tcPr>
          <w:p w14:paraId="30811A7D" w14:textId="77777777" w:rsidR="00577D08" w:rsidRDefault="00577D08">
            <w:pPr>
              <w:jc w:val="right"/>
              <w:rPr>
                <w:sz w:val="15"/>
                <w:szCs w:val="15"/>
              </w:rPr>
            </w:pPr>
          </w:p>
        </w:tc>
        <w:tc>
          <w:tcPr>
            <w:tcW w:w="1275" w:type="dxa"/>
            <w:vAlign w:val="center"/>
          </w:tcPr>
          <w:p w14:paraId="63E200E1" w14:textId="77777777" w:rsidR="00577D08" w:rsidRDefault="00577D08">
            <w:pPr>
              <w:jc w:val="right"/>
              <w:rPr>
                <w:sz w:val="15"/>
                <w:szCs w:val="15"/>
              </w:rPr>
            </w:pPr>
          </w:p>
        </w:tc>
        <w:tc>
          <w:tcPr>
            <w:tcW w:w="1322" w:type="dxa"/>
            <w:vAlign w:val="center"/>
          </w:tcPr>
          <w:p w14:paraId="70489EE9" w14:textId="77777777" w:rsidR="00577D08" w:rsidRDefault="00577D08">
            <w:pPr>
              <w:jc w:val="right"/>
              <w:rPr>
                <w:sz w:val="15"/>
                <w:szCs w:val="15"/>
              </w:rPr>
            </w:pPr>
          </w:p>
        </w:tc>
      </w:tr>
      <w:tr w:rsidR="00577D08" w14:paraId="348346C0" w14:textId="77777777">
        <w:trPr>
          <w:trHeight w:val="20"/>
        </w:trPr>
        <w:sdt>
          <w:sdtPr>
            <w:rPr>
              <w:sz w:val="15"/>
              <w:szCs w:val="15"/>
            </w:rPr>
            <w:tag w:val="_PLD_ed39015638e6485d9ecad98bd3aaac6b"/>
            <w:id w:val="-1263148746"/>
          </w:sdtPr>
          <w:sdtContent>
            <w:tc>
              <w:tcPr>
                <w:tcW w:w="2394" w:type="dxa"/>
                <w:vAlign w:val="center"/>
              </w:tcPr>
              <w:p w14:paraId="40AABE9E" w14:textId="77777777" w:rsidR="00577D08" w:rsidRDefault="00330FC0">
                <w:pPr>
                  <w:rPr>
                    <w:sz w:val="15"/>
                    <w:szCs w:val="15"/>
                  </w:rPr>
                </w:pPr>
                <w:r>
                  <w:rPr>
                    <w:sz w:val="15"/>
                    <w:szCs w:val="15"/>
                  </w:rPr>
                  <w:t>（</w:t>
                </w:r>
                <w:r>
                  <w:rPr>
                    <w:rFonts w:hint="eastAsia"/>
                    <w:sz w:val="15"/>
                    <w:szCs w:val="15"/>
                  </w:rPr>
                  <w:t>四</w:t>
                </w:r>
                <w:r>
                  <w:rPr>
                    <w:sz w:val="15"/>
                    <w:szCs w:val="15"/>
                  </w:rPr>
                  <w:t>）所有者权益内部结转</w:t>
                </w:r>
              </w:p>
            </w:tc>
          </w:sdtContent>
        </w:sdt>
        <w:tc>
          <w:tcPr>
            <w:tcW w:w="1258" w:type="dxa"/>
            <w:tcBorders>
              <w:right w:val="single" w:sz="4" w:space="0" w:color="auto"/>
            </w:tcBorders>
            <w:vAlign w:val="center"/>
          </w:tcPr>
          <w:p w14:paraId="715F7795"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67B743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925F070" w14:textId="77777777" w:rsidR="00577D08" w:rsidRDefault="00577D08">
            <w:pPr>
              <w:jc w:val="right"/>
              <w:rPr>
                <w:sz w:val="15"/>
                <w:szCs w:val="15"/>
              </w:rPr>
            </w:pPr>
          </w:p>
        </w:tc>
        <w:tc>
          <w:tcPr>
            <w:tcW w:w="567" w:type="dxa"/>
            <w:tcBorders>
              <w:left w:val="single" w:sz="4" w:space="0" w:color="auto"/>
            </w:tcBorders>
            <w:vAlign w:val="center"/>
          </w:tcPr>
          <w:p w14:paraId="3F85FB23" w14:textId="77777777" w:rsidR="00577D08" w:rsidRDefault="00577D08">
            <w:pPr>
              <w:jc w:val="right"/>
              <w:rPr>
                <w:sz w:val="15"/>
                <w:szCs w:val="15"/>
              </w:rPr>
            </w:pPr>
          </w:p>
        </w:tc>
        <w:tc>
          <w:tcPr>
            <w:tcW w:w="1275" w:type="dxa"/>
            <w:vAlign w:val="center"/>
          </w:tcPr>
          <w:p w14:paraId="120050B3" w14:textId="77777777" w:rsidR="00577D08" w:rsidRDefault="00577D08">
            <w:pPr>
              <w:jc w:val="right"/>
              <w:rPr>
                <w:sz w:val="15"/>
                <w:szCs w:val="15"/>
              </w:rPr>
            </w:pPr>
          </w:p>
        </w:tc>
        <w:tc>
          <w:tcPr>
            <w:tcW w:w="1134" w:type="dxa"/>
            <w:vAlign w:val="center"/>
          </w:tcPr>
          <w:p w14:paraId="3124947B" w14:textId="77777777" w:rsidR="00577D08" w:rsidRDefault="00577D08">
            <w:pPr>
              <w:jc w:val="right"/>
              <w:rPr>
                <w:sz w:val="15"/>
                <w:szCs w:val="15"/>
              </w:rPr>
            </w:pPr>
          </w:p>
        </w:tc>
        <w:tc>
          <w:tcPr>
            <w:tcW w:w="851" w:type="dxa"/>
            <w:vAlign w:val="center"/>
          </w:tcPr>
          <w:p w14:paraId="63610806" w14:textId="77777777" w:rsidR="00577D08" w:rsidRDefault="00577D08">
            <w:pPr>
              <w:jc w:val="right"/>
              <w:rPr>
                <w:sz w:val="15"/>
                <w:szCs w:val="15"/>
              </w:rPr>
            </w:pPr>
          </w:p>
        </w:tc>
        <w:tc>
          <w:tcPr>
            <w:tcW w:w="1134" w:type="dxa"/>
            <w:vAlign w:val="center"/>
          </w:tcPr>
          <w:p w14:paraId="1C7DCA1D" w14:textId="77777777" w:rsidR="00577D08" w:rsidRDefault="00577D08">
            <w:pPr>
              <w:jc w:val="right"/>
              <w:rPr>
                <w:sz w:val="15"/>
                <w:szCs w:val="15"/>
              </w:rPr>
            </w:pPr>
          </w:p>
        </w:tc>
        <w:tc>
          <w:tcPr>
            <w:tcW w:w="1276" w:type="dxa"/>
            <w:vAlign w:val="center"/>
          </w:tcPr>
          <w:p w14:paraId="20BF7EA6" w14:textId="77777777" w:rsidR="00577D08" w:rsidRDefault="00577D08">
            <w:pPr>
              <w:jc w:val="right"/>
              <w:rPr>
                <w:sz w:val="15"/>
                <w:szCs w:val="15"/>
              </w:rPr>
            </w:pPr>
          </w:p>
        </w:tc>
        <w:tc>
          <w:tcPr>
            <w:tcW w:w="1275" w:type="dxa"/>
            <w:vAlign w:val="center"/>
          </w:tcPr>
          <w:p w14:paraId="6D6A5E0D" w14:textId="77777777" w:rsidR="00577D08" w:rsidRDefault="00577D08">
            <w:pPr>
              <w:jc w:val="right"/>
              <w:rPr>
                <w:sz w:val="15"/>
                <w:szCs w:val="15"/>
              </w:rPr>
            </w:pPr>
          </w:p>
        </w:tc>
        <w:tc>
          <w:tcPr>
            <w:tcW w:w="1322" w:type="dxa"/>
            <w:vAlign w:val="center"/>
          </w:tcPr>
          <w:p w14:paraId="24A6F7F5" w14:textId="77777777" w:rsidR="00577D08" w:rsidRDefault="00577D08">
            <w:pPr>
              <w:jc w:val="right"/>
              <w:rPr>
                <w:sz w:val="15"/>
                <w:szCs w:val="15"/>
              </w:rPr>
            </w:pPr>
          </w:p>
        </w:tc>
      </w:tr>
      <w:tr w:rsidR="00577D08" w14:paraId="58791267" w14:textId="77777777">
        <w:trPr>
          <w:trHeight w:val="20"/>
        </w:trPr>
        <w:sdt>
          <w:sdtPr>
            <w:rPr>
              <w:sz w:val="15"/>
              <w:szCs w:val="15"/>
            </w:rPr>
            <w:tag w:val="_PLD_16ddc46b3a95453788bdcaaebfae99fa"/>
            <w:id w:val="750394600"/>
          </w:sdtPr>
          <w:sdtContent>
            <w:tc>
              <w:tcPr>
                <w:tcW w:w="2394" w:type="dxa"/>
                <w:vAlign w:val="center"/>
              </w:tcPr>
              <w:p w14:paraId="2B3DF7F0" w14:textId="77777777" w:rsidR="00577D08" w:rsidRDefault="00330FC0">
                <w:pPr>
                  <w:rPr>
                    <w:sz w:val="15"/>
                    <w:szCs w:val="15"/>
                  </w:rPr>
                </w:pPr>
                <w:r>
                  <w:rPr>
                    <w:sz w:val="15"/>
                    <w:szCs w:val="15"/>
                  </w:rPr>
                  <w:t>1</w:t>
                </w:r>
                <w:r>
                  <w:rPr>
                    <w:sz w:val="15"/>
                    <w:szCs w:val="15"/>
                  </w:rPr>
                  <w:t>．资本公积转增资本（或股本）</w:t>
                </w:r>
              </w:p>
            </w:tc>
          </w:sdtContent>
        </w:sdt>
        <w:tc>
          <w:tcPr>
            <w:tcW w:w="1258" w:type="dxa"/>
            <w:tcBorders>
              <w:right w:val="single" w:sz="4" w:space="0" w:color="auto"/>
            </w:tcBorders>
            <w:vAlign w:val="center"/>
          </w:tcPr>
          <w:p w14:paraId="035D70E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2C1290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74FECF3" w14:textId="77777777" w:rsidR="00577D08" w:rsidRDefault="00577D08">
            <w:pPr>
              <w:jc w:val="right"/>
              <w:rPr>
                <w:sz w:val="15"/>
                <w:szCs w:val="15"/>
              </w:rPr>
            </w:pPr>
          </w:p>
        </w:tc>
        <w:tc>
          <w:tcPr>
            <w:tcW w:w="567" w:type="dxa"/>
            <w:tcBorders>
              <w:left w:val="single" w:sz="4" w:space="0" w:color="auto"/>
            </w:tcBorders>
            <w:vAlign w:val="center"/>
          </w:tcPr>
          <w:p w14:paraId="10420657" w14:textId="77777777" w:rsidR="00577D08" w:rsidRDefault="00577D08">
            <w:pPr>
              <w:jc w:val="right"/>
              <w:rPr>
                <w:sz w:val="15"/>
                <w:szCs w:val="15"/>
              </w:rPr>
            </w:pPr>
          </w:p>
        </w:tc>
        <w:tc>
          <w:tcPr>
            <w:tcW w:w="1275" w:type="dxa"/>
            <w:vAlign w:val="center"/>
          </w:tcPr>
          <w:p w14:paraId="4FF9E5D6" w14:textId="77777777" w:rsidR="00577D08" w:rsidRDefault="00577D08">
            <w:pPr>
              <w:jc w:val="right"/>
              <w:rPr>
                <w:sz w:val="15"/>
                <w:szCs w:val="15"/>
              </w:rPr>
            </w:pPr>
          </w:p>
        </w:tc>
        <w:tc>
          <w:tcPr>
            <w:tcW w:w="1134" w:type="dxa"/>
            <w:vAlign w:val="center"/>
          </w:tcPr>
          <w:p w14:paraId="40F31F5B" w14:textId="77777777" w:rsidR="00577D08" w:rsidRDefault="00577D08">
            <w:pPr>
              <w:jc w:val="right"/>
              <w:rPr>
                <w:sz w:val="15"/>
                <w:szCs w:val="15"/>
              </w:rPr>
            </w:pPr>
          </w:p>
        </w:tc>
        <w:tc>
          <w:tcPr>
            <w:tcW w:w="851" w:type="dxa"/>
            <w:vAlign w:val="center"/>
          </w:tcPr>
          <w:p w14:paraId="4A06AD04" w14:textId="77777777" w:rsidR="00577D08" w:rsidRDefault="00577D08">
            <w:pPr>
              <w:jc w:val="right"/>
              <w:rPr>
                <w:sz w:val="15"/>
                <w:szCs w:val="15"/>
              </w:rPr>
            </w:pPr>
          </w:p>
        </w:tc>
        <w:tc>
          <w:tcPr>
            <w:tcW w:w="1134" w:type="dxa"/>
            <w:vAlign w:val="center"/>
          </w:tcPr>
          <w:p w14:paraId="7D284CD0" w14:textId="77777777" w:rsidR="00577D08" w:rsidRDefault="00577D08">
            <w:pPr>
              <w:jc w:val="right"/>
              <w:rPr>
                <w:sz w:val="15"/>
                <w:szCs w:val="15"/>
              </w:rPr>
            </w:pPr>
          </w:p>
        </w:tc>
        <w:tc>
          <w:tcPr>
            <w:tcW w:w="1276" w:type="dxa"/>
            <w:vAlign w:val="center"/>
          </w:tcPr>
          <w:p w14:paraId="0E17CA04" w14:textId="77777777" w:rsidR="00577D08" w:rsidRDefault="00577D08">
            <w:pPr>
              <w:jc w:val="right"/>
              <w:rPr>
                <w:sz w:val="15"/>
                <w:szCs w:val="15"/>
              </w:rPr>
            </w:pPr>
          </w:p>
        </w:tc>
        <w:tc>
          <w:tcPr>
            <w:tcW w:w="1275" w:type="dxa"/>
            <w:vAlign w:val="center"/>
          </w:tcPr>
          <w:p w14:paraId="41ADB812" w14:textId="77777777" w:rsidR="00577D08" w:rsidRDefault="00577D08">
            <w:pPr>
              <w:jc w:val="right"/>
              <w:rPr>
                <w:sz w:val="15"/>
                <w:szCs w:val="15"/>
              </w:rPr>
            </w:pPr>
          </w:p>
        </w:tc>
        <w:tc>
          <w:tcPr>
            <w:tcW w:w="1322" w:type="dxa"/>
            <w:vAlign w:val="center"/>
          </w:tcPr>
          <w:p w14:paraId="407B625B" w14:textId="77777777" w:rsidR="00577D08" w:rsidRDefault="00577D08">
            <w:pPr>
              <w:jc w:val="right"/>
              <w:rPr>
                <w:sz w:val="15"/>
                <w:szCs w:val="15"/>
              </w:rPr>
            </w:pPr>
          </w:p>
        </w:tc>
      </w:tr>
      <w:tr w:rsidR="00577D08" w14:paraId="5067AE18" w14:textId="77777777">
        <w:trPr>
          <w:trHeight w:val="20"/>
        </w:trPr>
        <w:sdt>
          <w:sdtPr>
            <w:rPr>
              <w:sz w:val="15"/>
              <w:szCs w:val="15"/>
            </w:rPr>
            <w:tag w:val="_PLD_5f2b4bbca85e4693b990e3e25811eeab"/>
            <w:id w:val="937566581"/>
          </w:sdtPr>
          <w:sdtContent>
            <w:tc>
              <w:tcPr>
                <w:tcW w:w="2394" w:type="dxa"/>
                <w:vAlign w:val="center"/>
              </w:tcPr>
              <w:p w14:paraId="37C3CEFD" w14:textId="77777777" w:rsidR="00577D08" w:rsidRDefault="00330FC0">
                <w:pPr>
                  <w:rPr>
                    <w:sz w:val="15"/>
                    <w:szCs w:val="15"/>
                  </w:rPr>
                </w:pPr>
                <w:r>
                  <w:rPr>
                    <w:sz w:val="15"/>
                    <w:szCs w:val="15"/>
                  </w:rPr>
                  <w:t>2</w:t>
                </w:r>
                <w:r>
                  <w:rPr>
                    <w:sz w:val="15"/>
                    <w:szCs w:val="15"/>
                  </w:rPr>
                  <w:t>．盈余公积转增资本（或股本）</w:t>
                </w:r>
              </w:p>
            </w:tc>
          </w:sdtContent>
        </w:sdt>
        <w:tc>
          <w:tcPr>
            <w:tcW w:w="1258" w:type="dxa"/>
            <w:tcBorders>
              <w:right w:val="single" w:sz="4" w:space="0" w:color="auto"/>
            </w:tcBorders>
            <w:vAlign w:val="center"/>
          </w:tcPr>
          <w:p w14:paraId="6DE8840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C1D91EE"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5741054" w14:textId="77777777" w:rsidR="00577D08" w:rsidRDefault="00577D08">
            <w:pPr>
              <w:jc w:val="right"/>
              <w:rPr>
                <w:sz w:val="15"/>
                <w:szCs w:val="15"/>
              </w:rPr>
            </w:pPr>
          </w:p>
        </w:tc>
        <w:tc>
          <w:tcPr>
            <w:tcW w:w="567" w:type="dxa"/>
            <w:tcBorders>
              <w:left w:val="single" w:sz="4" w:space="0" w:color="auto"/>
            </w:tcBorders>
            <w:vAlign w:val="center"/>
          </w:tcPr>
          <w:p w14:paraId="30A3618D" w14:textId="77777777" w:rsidR="00577D08" w:rsidRDefault="00577D08">
            <w:pPr>
              <w:jc w:val="right"/>
              <w:rPr>
                <w:sz w:val="15"/>
                <w:szCs w:val="15"/>
              </w:rPr>
            </w:pPr>
          </w:p>
        </w:tc>
        <w:tc>
          <w:tcPr>
            <w:tcW w:w="1275" w:type="dxa"/>
            <w:vAlign w:val="center"/>
          </w:tcPr>
          <w:p w14:paraId="06E21B71" w14:textId="77777777" w:rsidR="00577D08" w:rsidRDefault="00577D08">
            <w:pPr>
              <w:jc w:val="right"/>
              <w:rPr>
                <w:sz w:val="15"/>
                <w:szCs w:val="15"/>
              </w:rPr>
            </w:pPr>
          </w:p>
        </w:tc>
        <w:tc>
          <w:tcPr>
            <w:tcW w:w="1134" w:type="dxa"/>
            <w:vAlign w:val="center"/>
          </w:tcPr>
          <w:p w14:paraId="2B4380E3" w14:textId="77777777" w:rsidR="00577D08" w:rsidRDefault="00577D08">
            <w:pPr>
              <w:jc w:val="right"/>
              <w:rPr>
                <w:sz w:val="15"/>
                <w:szCs w:val="15"/>
              </w:rPr>
            </w:pPr>
          </w:p>
        </w:tc>
        <w:tc>
          <w:tcPr>
            <w:tcW w:w="851" w:type="dxa"/>
            <w:vAlign w:val="center"/>
          </w:tcPr>
          <w:p w14:paraId="57B45F34" w14:textId="77777777" w:rsidR="00577D08" w:rsidRDefault="00577D08">
            <w:pPr>
              <w:jc w:val="right"/>
              <w:rPr>
                <w:sz w:val="15"/>
                <w:szCs w:val="15"/>
              </w:rPr>
            </w:pPr>
          </w:p>
        </w:tc>
        <w:tc>
          <w:tcPr>
            <w:tcW w:w="1134" w:type="dxa"/>
            <w:vAlign w:val="center"/>
          </w:tcPr>
          <w:p w14:paraId="3DB52675" w14:textId="77777777" w:rsidR="00577D08" w:rsidRDefault="00577D08">
            <w:pPr>
              <w:jc w:val="right"/>
              <w:rPr>
                <w:sz w:val="15"/>
                <w:szCs w:val="15"/>
              </w:rPr>
            </w:pPr>
          </w:p>
        </w:tc>
        <w:tc>
          <w:tcPr>
            <w:tcW w:w="1276" w:type="dxa"/>
            <w:vAlign w:val="center"/>
          </w:tcPr>
          <w:p w14:paraId="699124CD" w14:textId="77777777" w:rsidR="00577D08" w:rsidRDefault="00577D08">
            <w:pPr>
              <w:jc w:val="right"/>
              <w:rPr>
                <w:sz w:val="15"/>
                <w:szCs w:val="15"/>
              </w:rPr>
            </w:pPr>
          </w:p>
        </w:tc>
        <w:tc>
          <w:tcPr>
            <w:tcW w:w="1275" w:type="dxa"/>
            <w:vAlign w:val="center"/>
          </w:tcPr>
          <w:p w14:paraId="003DC590" w14:textId="77777777" w:rsidR="00577D08" w:rsidRDefault="00577D08">
            <w:pPr>
              <w:jc w:val="right"/>
              <w:rPr>
                <w:sz w:val="15"/>
                <w:szCs w:val="15"/>
              </w:rPr>
            </w:pPr>
          </w:p>
        </w:tc>
        <w:tc>
          <w:tcPr>
            <w:tcW w:w="1322" w:type="dxa"/>
            <w:vAlign w:val="center"/>
          </w:tcPr>
          <w:p w14:paraId="5CD0C6CE" w14:textId="77777777" w:rsidR="00577D08" w:rsidRDefault="00577D08">
            <w:pPr>
              <w:jc w:val="right"/>
              <w:rPr>
                <w:sz w:val="15"/>
                <w:szCs w:val="15"/>
              </w:rPr>
            </w:pPr>
          </w:p>
        </w:tc>
      </w:tr>
      <w:tr w:rsidR="00577D08" w14:paraId="3C408C2C" w14:textId="77777777">
        <w:trPr>
          <w:trHeight w:val="20"/>
        </w:trPr>
        <w:sdt>
          <w:sdtPr>
            <w:rPr>
              <w:sz w:val="15"/>
              <w:szCs w:val="15"/>
            </w:rPr>
            <w:tag w:val="_PLD_15d6c710562e41cc9b0f916bb42a3ecd"/>
            <w:id w:val="-1021701707"/>
          </w:sdtPr>
          <w:sdtContent>
            <w:tc>
              <w:tcPr>
                <w:tcW w:w="2394" w:type="dxa"/>
                <w:vAlign w:val="center"/>
              </w:tcPr>
              <w:p w14:paraId="348EAE1A" w14:textId="77777777" w:rsidR="00577D08" w:rsidRDefault="00330FC0">
                <w:pPr>
                  <w:rPr>
                    <w:sz w:val="15"/>
                    <w:szCs w:val="15"/>
                  </w:rPr>
                </w:pPr>
                <w:r>
                  <w:rPr>
                    <w:sz w:val="15"/>
                    <w:szCs w:val="15"/>
                  </w:rPr>
                  <w:t>3</w:t>
                </w:r>
                <w:r>
                  <w:rPr>
                    <w:sz w:val="15"/>
                    <w:szCs w:val="15"/>
                  </w:rPr>
                  <w:t>．盈余公积弥补亏损</w:t>
                </w:r>
              </w:p>
            </w:tc>
          </w:sdtContent>
        </w:sdt>
        <w:tc>
          <w:tcPr>
            <w:tcW w:w="1258" w:type="dxa"/>
            <w:tcBorders>
              <w:right w:val="single" w:sz="4" w:space="0" w:color="auto"/>
            </w:tcBorders>
            <w:vAlign w:val="center"/>
          </w:tcPr>
          <w:p w14:paraId="60B9FE0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A54140F"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6926D65" w14:textId="77777777" w:rsidR="00577D08" w:rsidRDefault="00577D08">
            <w:pPr>
              <w:jc w:val="right"/>
              <w:rPr>
                <w:sz w:val="15"/>
                <w:szCs w:val="15"/>
              </w:rPr>
            </w:pPr>
          </w:p>
        </w:tc>
        <w:tc>
          <w:tcPr>
            <w:tcW w:w="567" w:type="dxa"/>
            <w:tcBorders>
              <w:left w:val="single" w:sz="4" w:space="0" w:color="auto"/>
            </w:tcBorders>
            <w:vAlign w:val="center"/>
          </w:tcPr>
          <w:p w14:paraId="1A7BB5C1" w14:textId="77777777" w:rsidR="00577D08" w:rsidRDefault="00577D08">
            <w:pPr>
              <w:jc w:val="right"/>
              <w:rPr>
                <w:sz w:val="15"/>
                <w:szCs w:val="15"/>
              </w:rPr>
            </w:pPr>
          </w:p>
        </w:tc>
        <w:tc>
          <w:tcPr>
            <w:tcW w:w="1275" w:type="dxa"/>
            <w:vAlign w:val="center"/>
          </w:tcPr>
          <w:p w14:paraId="16F85C79" w14:textId="77777777" w:rsidR="00577D08" w:rsidRDefault="00577D08">
            <w:pPr>
              <w:jc w:val="right"/>
              <w:rPr>
                <w:sz w:val="15"/>
                <w:szCs w:val="15"/>
              </w:rPr>
            </w:pPr>
          </w:p>
        </w:tc>
        <w:tc>
          <w:tcPr>
            <w:tcW w:w="1134" w:type="dxa"/>
            <w:vAlign w:val="center"/>
          </w:tcPr>
          <w:p w14:paraId="510039A4" w14:textId="77777777" w:rsidR="00577D08" w:rsidRDefault="00577D08">
            <w:pPr>
              <w:jc w:val="right"/>
              <w:rPr>
                <w:sz w:val="15"/>
                <w:szCs w:val="15"/>
              </w:rPr>
            </w:pPr>
          </w:p>
        </w:tc>
        <w:tc>
          <w:tcPr>
            <w:tcW w:w="851" w:type="dxa"/>
            <w:vAlign w:val="center"/>
          </w:tcPr>
          <w:p w14:paraId="10B01E73" w14:textId="77777777" w:rsidR="00577D08" w:rsidRDefault="00577D08">
            <w:pPr>
              <w:jc w:val="right"/>
              <w:rPr>
                <w:sz w:val="15"/>
                <w:szCs w:val="15"/>
              </w:rPr>
            </w:pPr>
          </w:p>
        </w:tc>
        <w:tc>
          <w:tcPr>
            <w:tcW w:w="1134" w:type="dxa"/>
            <w:vAlign w:val="center"/>
          </w:tcPr>
          <w:p w14:paraId="4F8CDB66" w14:textId="77777777" w:rsidR="00577D08" w:rsidRDefault="00577D08">
            <w:pPr>
              <w:jc w:val="right"/>
              <w:rPr>
                <w:sz w:val="15"/>
                <w:szCs w:val="15"/>
              </w:rPr>
            </w:pPr>
          </w:p>
        </w:tc>
        <w:tc>
          <w:tcPr>
            <w:tcW w:w="1276" w:type="dxa"/>
            <w:vAlign w:val="center"/>
          </w:tcPr>
          <w:p w14:paraId="69C9A5AE" w14:textId="77777777" w:rsidR="00577D08" w:rsidRDefault="00577D08">
            <w:pPr>
              <w:jc w:val="right"/>
              <w:rPr>
                <w:sz w:val="15"/>
                <w:szCs w:val="15"/>
              </w:rPr>
            </w:pPr>
          </w:p>
        </w:tc>
        <w:tc>
          <w:tcPr>
            <w:tcW w:w="1275" w:type="dxa"/>
            <w:vAlign w:val="center"/>
          </w:tcPr>
          <w:p w14:paraId="77E5E4F1" w14:textId="77777777" w:rsidR="00577D08" w:rsidRDefault="00577D08">
            <w:pPr>
              <w:jc w:val="right"/>
              <w:rPr>
                <w:sz w:val="15"/>
                <w:szCs w:val="15"/>
              </w:rPr>
            </w:pPr>
          </w:p>
        </w:tc>
        <w:tc>
          <w:tcPr>
            <w:tcW w:w="1322" w:type="dxa"/>
            <w:vAlign w:val="center"/>
          </w:tcPr>
          <w:p w14:paraId="498CDE7F" w14:textId="77777777" w:rsidR="00577D08" w:rsidRDefault="00577D08">
            <w:pPr>
              <w:jc w:val="right"/>
              <w:rPr>
                <w:sz w:val="15"/>
                <w:szCs w:val="15"/>
              </w:rPr>
            </w:pPr>
          </w:p>
        </w:tc>
      </w:tr>
      <w:tr w:rsidR="00577D08" w14:paraId="26F0F008" w14:textId="77777777">
        <w:trPr>
          <w:trHeight w:val="20"/>
        </w:trPr>
        <w:tc>
          <w:tcPr>
            <w:tcW w:w="2394" w:type="dxa"/>
            <w:vAlign w:val="center"/>
          </w:tcPr>
          <w:sdt>
            <w:sdtPr>
              <w:rPr>
                <w:sz w:val="15"/>
                <w:szCs w:val="15"/>
              </w:rPr>
              <w:tag w:val="_PLD_f4cb17050ad540c1b6765bbc5ef1d185"/>
              <w:id w:val="-1849396277"/>
            </w:sdtPr>
            <w:sdtContent>
              <w:p w14:paraId="134E4C41" w14:textId="77777777" w:rsidR="00577D08" w:rsidRDefault="00330FC0">
                <w:pPr>
                  <w:rPr>
                    <w:sz w:val="15"/>
                    <w:szCs w:val="15"/>
                  </w:rPr>
                </w:pPr>
                <w:r>
                  <w:rPr>
                    <w:sz w:val="15"/>
                    <w:szCs w:val="15"/>
                  </w:rPr>
                  <w:t>4</w:t>
                </w:r>
                <w:r>
                  <w:rPr>
                    <w:sz w:val="15"/>
                    <w:szCs w:val="15"/>
                  </w:rPr>
                  <w:t>．设定受益计划变动额结转留存收益</w:t>
                </w:r>
              </w:p>
            </w:sdtContent>
          </w:sdt>
        </w:tc>
        <w:tc>
          <w:tcPr>
            <w:tcW w:w="1258" w:type="dxa"/>
            <w:tcBorders>
              <w:right w:val="single" w:sz="4" w:space="0" w:color="auto"/>
            </w:tcBorders>
            <w:vAlign w:val="center"/>
          </w:tcPr>
          <w:p w14:paraId="3DD00C0A"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16ABED6"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7280477" w14:textId="77777777" w:rsidR="00577D08" w:rsidRDefault="00577D08">
            <w:pPr>
              <w:jc w:val="right"/>
              <w:rPr>
                <w:sz w:val="15"/>
                <w:szCs w:val="15"/>
              </w:rPr>
            </w:pPr>
          </w:p>
        </w:tc>
        <w:tc>
          <w:tcPr>
            <w:tcW w:w="567" w:type="dxa"/>
            <w:tcBorders>
              <w:left w:val="single" w:sz="4" w:space="0" w:color="auto"/>
            </w:tcBorders>
            <w:vAlign w:val="center"/>
          </w:tcPr>
          <w:p w14:paraId="45401249" w14:textId="77777777" w:rsidR="00577D08" w:rsidRDefault="00577D08">
            <w:pPr>
              <w:jc w:val="right"/>
              <w:rPr>
                <w:sz w:val="15"/>
                <w:szCs w:val="15"/>
              </w:rPr>
            </w:pPr>
          </w:p>
        </w:tc>
        <w:tc>
          <w:tcPr>
            <w:tcW w:w="1275" w:type="dxa"/>
            <w:vAlign w:val="center"/>
          </w:tcPr>
          <w:p w14:paraId="460A582E" w14:textId="77777777" w:rsidR="00577D08" w:rsidRDefault="00577D08">
            <w:pPr>
              <w:jc w:val="right"/>
              <w:rPr>
                <w:sz w:val="15"/>
                <w:szCs w:val="15"/>
              </w:rPr>
            </w:pPr>
          </w:p>
        </w:tc>
        <w:tc>
          <w:tcPr>
            <w:tcW w:w="1134" w:type="dxa"/>
            <w:vAlign w:val="center"/>
          </w:tcPr>
          <w:p w14:paraId="15E5B880" w14:textId="77777777" w:rsidR="00577D08" w:rsidRDefault="00577D08">
            <w:pPr>
              <w:jc w:val="right"/>
              <w:rPr>
                <w:sz w:val="15"/>
                <w:szCs w:val="15"/>
              </w:rPr>
            </w:pPr>
          </w:p>
        </w:tc>
        <w:tc>
          <w:tcPr>
            <w:tcW w:w="851" w:type="dxa"/>
            <w:vAlign w:val="center"/>
          </w:tcPr>
          <w:p w14:paraId="28E3CD89" w14:textId="77777777" w:rsidR="00577D08" w:rsidRDefault="00577D08">
            <w:pPr>
              <w:jc w:val="right"/>
              <w:rPr>
                <w:sz w:val="15"/>
                <w:szCs w:val="15"/>
              </w:rPr>
            </w:pPr>
          </w:p>
        </w:tc>
        <w:tc>
          <w:tcPr>
            <w:tcW w:w="1134" w:type="dxa"/>
            <w:vAlign w:val="center"/>
          </w:tcPr>
          <w:p w14:paraId="4650BBBD" w14:textId="77777777" w:rsidR="00577D08" w:rsidRDefault="00577D08">
            <w:pPr>
              <w:jc w:val="right"/>
              <w:rPr>
                <w:sz w:val="15"/>
                <w:szCs w:val="15"/>
              </w:rPr>
            </w:pPr>
          </w:p>
        </w:tc>
        <w:tc>
          <w:tcPr>
            <w:tcW w:w="1276" w:type="dxa"/>
            <w:vAlign w:val="center"/>
          </w:tcPr>
          <w:p w14:paraId="223F19A1" w14:textId="77777777" w:rsidR="00577D08" w:rsidRDefault="00577D08">
            <w:pPr>
              <w:jc w:val="right"/>
              <w:rPr>
                <w:sz w:val="15"/>
                <w:szCs w:val="15"/>
              </w:rPr>
            </w:pPr>
          </w:p>
        </w:tc>
        <w:tc>
          <w:tcPr>
            <w:tcW w:w="1275" w:type="dxa"/>
            <w:vAlign w:val="center"/>
          </w:tcPr>
          <w:p w14:paraId="69C6F267" w14:textId="77777777" w:rsidR="00577D08" w:rsidRDefault="00577D08">
            <w:pPr>
              <w:jc w:val="right"/>
              <w:rPr>
                <w:sz w:val="15"/>
                <w:szCs w:val="15"/>
              </w:rPr>
            </w:pPr>
          </w:p>
        </w:tc>
        <w:tc>
          <w:tcPr>
            <w:tcW w:w="1322" w:type="dxa"/>
            <w:vAlign w:val="center"/>
          </w:tcPr>
          <w:p w14:paraId="104E4D1C" w14:textId="77777777" w:rsidR="00577D08" w:rsidRDefault="00577D08">
            <w:pPr>
              <w:jc w:val="right"/>
              <w:rPr>
                <w:sz w:val="15"/>
                <w:szCs w:val="15"/>
              </w:rPr>
            </w:pPr>
          </w:p>
        </w:tc>
      </w:tr>
      <w:tr w:rsidR="00577D08" w14:paraId="260F4A20" w14:textId="77777777">
        <w:trPr>
          <w:trHeight w:val="20"/>
        </w:trPr>
        <w:tc>
          <w:tcPr>
            <w:tcW w:w="2394" w:type="dxa"/>
            <w:vAlign w:val="center"/>
          </w:tcPr>
          <w:sdt>
            <w:sdtPr>
              <w:rPr>
                <w:sz w:val="15"/>
                <w:szCs w:val="15"/>
              </w:rPr>
              <w:tag w:val="_PLD_d570b02e3d674dc1a938a4710387119c"/>
              <w:id w:val="-1811929550"/>
            </w:sdtPr>
            <w:sdtContent>
              <w:p w14:paraId="043539FA" w14:textId="77777777" w:rsidR="00577D08" w:rsidRDefault="00330FC0">
                <w:pPr>
                  <w:rPr>
                    <w:sz w:val="15"/>
                    <w:szCs w:val="15"/>
                  </w:rPr>
                </w:pPr>
                <w:r>
                  <w:rPr>
                    <w:sz w:val="15"/>
                    <w:szCs w:val="15"/>
                  </w:rPr>
                  <w:t>5</w:t>
                </w:r>
                <w:r>
                  <w:rPr>
                    <w:sz w:val="15"/>
                    <w:szCs w:val="15"/>
                  </w:rPr>
                  <w:t>．其他综合收益结转留存收益</w:t>
                </w:r>
              </w:p>
            </w:sdtContent>
          </w:sdt>
        </w:tc>
        <w:tc>
          <w:tcPr>
            <w:tcW w:w="1258" w:type="dxa"/>
            <w:tcBorders>
              <w:right w:val="single" w:sz="4" w:space="0" w:color="auto"/>
            </w:tcBorders>
            <w:vAlign w:val="center"/>
          </w:tcPr>
          <w:p w14:paraId="08FDE1D9"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ECDF3E3"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0E120BD5" w14:textId="77777777" w:rsidR="00577D08" w:rsidRDefault="00577D08">
            <w:pPr>
              <w:jc w:val="right"/>
              <w:rPr>
                <w:sz w:val="15"/>
                <w:szCs w:val="15"/>
              </w:rPr>
            </w:pPr>
          </w:p>
        </w:tc>
        <w:tc>
          <w:tcPr>
            <w:tcW w:w="567" w:type="dxa"/>
            <w:tcBorders>
              <w:left w:val="single" w:sz="4" w:space="0" w:color="auto"/>
            </w:tcBorders>
            <w:vAlign w:val="center"/>
          </w:tcPr>
          <w:p w14:paraId="655C9EFA" w14:textId="77777777" w:rsidR="00577D08" w:rsidRDefault="00577D08">
            <w:pPr>
              <w:jc w:val="right"/>
              <w:rPr>
                <w:sz w:val="15"/>
                <w:szCs w:val="15"/>
              </w:rPr>
            </w:pPr>
          </w:p>
        </w:tc>
        <w:tc>
          <w:tcPr>
            <w:tcW w:w="1275" w:type="dxa"/>
            <w:vAlign w:val="center"/>
          </w:tcPr>
          <w:p w14:paraId="2D4BCA4B" w14:textId="77777777" w:rsidR="00577D08" w:rsidRDefault="00577D08">
            <w:pPr>
              <w:jc w:val="right"/>
              <w:rPr>
                <w:sz w:val="15"/>
                <w:szCs w:val="15"/>
              </w:rPr>
            </w:pPr>
          </w:p>
        </w:tc>
        <w:tc>
          <w:tcPr>
            <w:tcW w:w="1134" w:type="dxa"/>
            <w:vAlign w:val="center"/>
          </w:tcPr>
          <w:p w14:paraId="4F9C612F" w14:textId="77777777" w:rsidR="00577D08" w:rsidRDefault="00577D08">
            <w:pPr>
              <w:jc w:val="right"/>
              <w:rPr>
                <w:sz w:val="15"/>
                <w:szCs w:val="15"/>
              </w:rPr>
            </w:pPr>
          </w:p>
        </w:tc>
        <w:tc>
          <w:tcPr>
            <w:tcW w:w="851" w:type="dxa"/>
            <w:vAlign w:val="center"/>
          </w:tcPr>
          <w:p w14:paraId="3D491BEB" w14:textId="77777777" w:rsidR="00577D08" w:rsidRDefault="00577D08">
            <w:pPr>
              <w:jc w:val="right"/>
              <w:rPr>
                <w:sz w:val="15"/>
                <w:szCs w:val="15"/>
              </w:rPr>
            </w:pPr>
          </w:p>
        </w:tc>
        <w:tc>
          <w:tcPr>
            <w:tcW w:w="1134" w:type="dxa"/>
            <w:vAlign w:val="center"/>
          </w:tcPr>
          <w:p w14:paraId="38C0EA07" w14:textId="77777777" w:rsidR="00577D08" w:rsidRDefault="00577D08">
            <w:pPr>
              <w:jc w:val="right"/>
              <w:rPr>
                <w:sz w:val="15"/>
                <w:szCs w:val="15"/>
              </w:rPr>
            </w:pPr>
          </w:p>
        </w:tc>
        <w:tc>
          <w:tcPr>
            <w:tcW w:w="1276" w:type="dxa"/>
            <w:vAlign w:val="center"/>
          </w:tcPr>
          <w:p w14:paraId="5BDED859" w14:textId="77777777" w:rsidR="00577D08" w:rsidRDefault="00577D08">
            <w:pPr>
              <w:jc w:val="right"/>
              <w:rPr>
                <w:sz w:val="15"/>
                <w:szCs w:val="15"/>
              </w:rPr>
            </w:pPr>
          </w:p>
        </w:tc>
        <w:tc>
          <w:tcPr>
            <w:tcW w:w="1275" w:type="dxa"/>
            <w:vAlign w:val="center"/>
          </w:tcPr>
          <w:p w14:paraId="0F1EA4F4" w14:textId="77777777" w:rsidR="00577D08" w:rsidRDefault="00577D08">
            <w:pPr>
              <w:jc w:val="right"/>
              <w:rPr>
                <w:sz w:val="15"/>
                <w:szCs w:val="15"/>
              </w:rPr>
            </w:pPr>
          </w:p>
        </w:tc>
        <w:tc>
          <w:tcPr>
            <w:tcW w:w="1322" w:type="dxa"/>
            <w:vAlign w:val="center"/>
          </w:tcPr>
          <w:p w14:paraId="25AAD738" w14:textId="77777777" w:rsidR="00577D08" w:rsidRDefault="00577D08">
            <w:pPr>
              <w:jc w:val="right"/>
              <w:rPr>
                <w:sz w:val="15"/>
                <w:szCs w:val="15"/>
              </w:rPr>
            </w:pPr>
          </w:p>
        </w:tc>
      </w:tr>
      <w:tr w:rsidR="00577D08" w14:paraId="112D608F" w14:textId="77777777">
        <w:trPr>
          <w:trHeight w:val="20"/>
        </w:trPr>
        <w:tc>
          <w:tcPr>
            <w:tcW w:w="2394" w:type="dxa"/>
            <w:vAlign w:val="center"/>
          </w:tcPr>
          <w:sdt>
            <w:sdtPr>
              <w:rPr>
                <w:sz w:val="15"/>
                <w:szCs w:val="15"/>
              </w:rPr>
              <w:tag w:val="_PLD_a5cd874c23c44b928dffd9bc4a74c38d"/>
              <w:id w:val="-1516377212"/>
            </w:sdtPr>
            <w:sdtContent>
              <w:p w14:paraId="339B6BBE" w14:textId="77777777" w:rsidR="00577D08" w:rsidRDefault="00330FC0">
                <w:pPr>
                  <w:rPr>
                    <w:sz w:val="15"/>
                    <w:szCs w:val="15"/>
                  </w:rPr>
                </w:pPr>
                <w:r>
                  <w:rPr>
                    <w:sz w:val="15"/>
                    <w:szCs w:val="15"/>
                  </w:rPr>
                  <w:t>6</w:t>
                </w:r>
                <w:r>
                  <w:rPr>
                    <w:sz w:val="15"/>
                    <w:szCs w:val="15"/>
                  </w:rPr>
                  <w:t>．其他</w:t>
                </w:r>
              </w:p>
            </w:sdtContent>
          </w:sdt>
        </w:tc>
        <w:tc>
          <w:tcPr>
            <w:tcW w:w="1258" w:type="dxa"/>
            <w:tcBorders>
              <w:right w:val="single" w:sz="4" w:space="0" w:color="auto"/>
            </w:tcBorders>
            <w:vAlign w:val="center"/>
          </w:tcPr>
          <w:p w14:paraId="6C8121C0"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30F8B8C3"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0D4EDFA" w14:textId="77777777" w:rsidR="00577D08" w:rsidRDefault="00577D08">
            <w:pPr>
              <w:jc w:val="right"/>
              <w:rPr>
                <w:sz w:val="15"/>
                <w:szCs w:val="15"/>
              </w:rPr>
            </w:pPr>
          </w:p>
        </w:tc>
        <w:tc>
          <w:tcPr>
            <w:tcW w:w="567" w:type="dxa"/>
            <w:tcBorders>
              <w:left w:val="single" w:sz="4" w:space="0" w:color="auto"/>
            </w:tcBorders>
            <w:vAlign w:val="center"/>
          </w:tcPr>
          <w:p w14:paraId="13BA6132" w14:textId="77777777" w:rsidR="00577D08" w:rsidRDefault="00577D08">
            <w:pPr>
              <w:jc w:val="right"/>
              <w:rPr>
                <w:sz w:val="15"/>
                <w:szCs w:val="15"/>
              </w:rPr>
            </w:pPr>
          </w:p>
        </w:tc>
        <w:tc>
          <w:tcPr>
            <w:tcW w:w="1275" w:type="dxa"/>
            <w:vAlign w:val="center"/>
          </w:tcPr>
          <w:p w14:paraId="702F78AD" w14:textId="77777777" w:rsidR="00577D08" w:rsidRDefault="00577D08">
            <w:pPr>
              <w:jc w:val="right"/>
              <w:rPr>
                <w:sz w:val="15"/>
                <w:szCs w:val="15"/>
              </w:rPr>
            </w:pPr>
          </w:p>
        </w:tc>
        <w:tc>
          <w:tcPr>
            <w:tcW w:w="1134" w:type="dxa"/>
            <w:vAlign w:val="center"/>
          </w:tcPr>
          <w:p w14:paraId="683589EB" w14:textId="77777777" w:rsidR="00577D08" w:rsidRDefault="00577D08">
            <w:pPr>
              <w:jc w:val="right"/>
              <w:rPr>
                <w:sz w:val="15"/>
                <w:szCs w:val="15"/>
              </w:rPr>
            </w:pPr>
          </w:p>
        </w:tc>
        <w:tc>
          <w:tcPr>
            <w:tcW w:w="851" w:type="dxa"/>
            <w:vAlign w:val="center"/>
          </w:tcPr>
          <w:p w14:paraId="68F8ECFC" w14:textId="77777777" w:rsidR="00577D08" w:rsidRDefault="00577D08">
            <w:pPr>
              <w:jc w:val="right"/>
              <w:rPr>
                <w:sz w:val="15"/>
                <w:szCs w:val="15"/>
              </w:rPr>
            </w:pPr>
          </w:p>
        </w:tc>
        <w:tc>
          <w:tcPr>
            <w:tcW w:w="1134" w:type="dxa"/>
            <w:vAlign w:val="center"/>
          </w:tcPr>
          <w:p w14:paraId="30A87FFA" w14:textId="77777777" w:rsidR="00577D08" w:rsidRDefault="00577D08">
            <w:pPr>
              <w:jc w:val="right"/>
              <w:rPr>
                <w:sz w:val="15"/>
                <w:szCs w:val="15"/>
              </w:rPr>
            </w:pPr>
          </w:p>
        </w:tc>
        <w:tc>
          <w:tcPr>
            <w:tcW w:w="1276" w:type="dxa"/>
            <w:vAlign w:val="center"/>
          </w:tcPr>
          <w:p w14:paraId="4B425A09" w14:textId="77777777" w:rsidR="00577D08" w:rsidRDefault="00577D08">
            <w:pPr>
              <w:jc w:val="right"/>
              <w:rPr>
                <w:sz w:val="15"/>
                <w:szCs w:val="15"/>
              </w:rPr>
            </w:pPr>
          </w:p>
        </w:tc>
        <w:tc>
          <w:tcPr>
            <w:tcW w:w="1275" w:type="dxa"/>
            <w:vAlign w:val="center"/>
          </w:tcPr>
          <w:p w14:paraId="4B84D84C" w14:textId="77777777" w:rsidR="00577D08" w:rsidRDefault="00577D08">
            <w:pPr>
              <w:jc w:val="right"/>
              <w:rPr>
                <w:sz w:val="15"/>
                <w:szCs w:val="15"/>
              </w:rPr>
            </w:pPr>
          </w:p>
        </w:tc>
        <w:tc>
          <w:tcPr>
            <w:tcW w:w="1322" w:type="dxa"/>
            <w:vAlign w:val="center"/>
          </w:tcPr>
          <w:p w14:paraId="426AAAF5" w14:textId="77777777" w:rsidR="00577D08" w:rsidRDefault="00577D08">
            <w:pPr>
              <w:jc w:val="right"/>
              <w:rPr>
                <w:sz w:val="15"/>
                <w:szCs w:val="15"/>
              </w:rPr>
            </w:pPr>
          </w:p>
        </w:tc>
      </w:tr>
      <w:tr w:rsidR="00577D08" w14:paraId="768A1B30" w14:textId="77777777">
        <w:trPr>
          <w:trHeight w:val="20"/>
        </w:trPr>
        <w:sdt>
          <w:sdtPr>
            <w:rPr>
              <w:sz w:val="15"/>
              <w:szCs w:val="15"/>
            </w:rPr>
            <w:tag w:val="_PLD_b6b13ecec0044452bf1609cb679a8ac5"/>
            <w:id w:val="-1972738665"/>
          </w:sdtPr>
          <w:sdtContent>
            <w:tc>
              <w:tcPr>
                <w:tcW w:w="2394" w:type="dxa"/>
                <w:vAlign w:val="center"/>
              </w:tcPr>
              <w:p w14:paraId="14DE027A" w14:textId="77777777" w:rsidR="00577D08" w:rsidRDefault="00330FC0">
                <w:pPr>
                  <w:rPr>
                    <w:sz w:val="15"/>
                    <w:szCs w:val="15"/>
                  </w:rPr>
                </w:pPr>
                <w:r>
                  <w:rPr>
                    <w:rFonts w:hint="eastAsia"/>
                    <w:sz w:val="15"/>
                    <w:szCs w:val="15"/>
                  </w:rPr>
                  <w:t>（五）专项储备</w:t>
                </w:r>
              </w:p>
            </w:tc>
          </w:sdtContent>
        </w:sdt>
        <w:tc>
          <w:tcPr>
            <w:tcW w:w="1258" w:type="dxa"/>
            <w:tcBorders>
              <w:right w:val="single" w:sz="4" w:space="0" w:color="auto"/>
            </w:tcBorders>
            <w:vAlign w:val="center"/>
          </w:tcPr>
          <w:p w14:paraId="2411C276"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85DEEE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6A3CD92" w14:textId="77777777" w:rsidR="00577D08" w:rsidRDefault="00577D08">
            <w:pPr>
              <w:jc w:val="right"/>
              <w:rPr>
                <w:sz w:val="15"/>
                <w:szCs w:val="15"/>
              </w:rPr>
            </w:pPr>
          </w:p>
        </w:tc>
        <w:tc>
          <w:tcPr>
            <w:tcW w:w="567" w:type="dxa"/>
            <w:tcBorders>
              <w:left w:val="single" w:sz="4" w:space="0" w:color="auto"/>
            </w:tcBorders>
            <w:vAlign w:val="center"/>
          </w:tcPr>
          <w:p w14:paraId="75121AD9" w14:textId="77777777" w:rsidR="00577D08" w:rsidRDefault="00577D08">
            <w:pPr>
              <w:jc w:val="right"/>
              <w:rPr>
                <w:sz w:val="15"/>
                <w:szCs w:val="15"/>
              </w:rPr>
            </w:pPr>
          </w:p>
        </w:tc>
        <w:tc>
          <w:tcPr>
            <w:tcW w:w="1275" w:type="dxa"/>
            <w:vAlign w:val="center"/>
          </w:tcPr>
          <w:p w14:paraId="529CFB9B" w14:textId="77777777" w:rsidR="00577D08" w:rsidRDefault="00577D08">
            <w:pPr>
              <w:jc w:val="right"/>
              <w:rPr>
                <w:sz w:val="15"/>
                <w:szCs w:val="15"/>
              </w:rPr>
            </w:pPr>
          </w:p>
        </w:tc>
        <w:tc>
          <w:tcPr>
            <w:tcW w:w="1134" w:type="dxa"/>
            <w:vAlign w:val="center"/>
          </w:tcPr>
          <w:p w14:paraId="6B6D3E0D" w14:textId="77777777" w:rsidR="00577D08" w:rsidRDefault="00577D08">
            <w:pPr>
              <w:jc w:val="right"/>
              <w:rPr>
                <w:sz w:val="15"/>
                <w:szCs w:val="15"/>
              </w:rPr>
            </w:pPr>
          </w:p>
        </w:tc>
        <w:tc>
          <w:tcPr>
            <w:tcW w:w="851" w:type="dxa"/>
            <w:vAlign w:val="center"/>
          </w:tcPr>
          <w:p w14:paraId="58F26345" w14:textId="77777777" w:rsidR="00577D08" w:rsidRDefault="00577D08">
            <w:pPr>
              <w:jc w:val="right"/>
              <w:rPr>
                <w:sz w:val="15"/>
                <w:szCs w:val="15"/>
              </w:rPr>
            </w:pPr>
          </w:p>
        </w:tc>
        <w:tc>
          <w:tcPr>
            <w:tcW w:w="1134" w:type="dxa"/>
            <w:vAlign w:val="center"/>
          </w:tcPr>
          <w:p w14:paraId="65D7334B" w14:textId="77777777" w:rsidR="00577D08" w:rsidRDefault="00330FC0">
            <w:pPr>
              <w:jc w:val="right"/>
              <w:rPr>
                <w:sz w:val="15"/>
                <w:szCs w:val="15"/>
              </w:rPr>
            </w:pPr>
            <w:r>
              <w:rPr>
                <w:sz w:val="15"/>
                <w:szCs w:val="15"/>
              </w:rPr>
              <w:t>-1,184,419.60</w:t>
            </w:r>
          </w:p>
        </w:tc>
        <w:tc>
          <w:tcPr>
            <w:tcW w:w="1276" w:type="dxa"/>
            <w:vAlign w:val="center"/>
          </w:tcPr>
          <w:p w14:paraId="0BD7AD4D" w14:textId="77777777" w:rsidR="00577D08" w:rsidRDefault="00577D08">
            <w:pPr>
              <w:jc w:val="right"/>
              <w:rPr>
                <w:sz w:val="15"/>
                <w:szCs w:val="15"/>
              </w:rPr>
            </w:pPr>
          </w:p>
        </w:tc>
        <w:tc>
          <w:tcPr>
            <w:tcW w:w="1275" w:type="dxa"/>
            <w:vAlign w:val="center"/>
          </w:tcPr>
          <w:p w14:paraId="6C200969" w14:textId="77777777" w:rsidR="00577D08" w:rsidRDefault="00577D08">
            <w:pPr>
              <w:jc w:val="right"/>
              <w:rPr>
                <w:sz w:val="15"/>
                <w:szCs w:val="15"/>
              </w:rPr>
            </w:pPr>
          </w:p>
        </w:tc>
        <w:tc>
          <w:tcPr>
            <w:tcW w:w="1322" w:type="dxa"/>
            <w:vAlign w:val="center"/>
          </w:tcPr>
          <w:p w14:paraId="2415E1F4" w14:textId="77777777" w:rsidR="00577D08" w:rsidRDefault="00330FC0">
            <w:pPr>
              <w:jc w:val="right"/>
              <w:rPr>
                <w:sz w:val="15"/>
                <w:szCs w:val="15"/>
              </w:rPr>
            </w:pPr>
            <w:r>
              <w:rPr>
                <w:sz w:val="15"/>
                <w:szCs w:val="15"/>
              </w:rPr>
              <w:t>-1,184,419.60</w:t>
            </w:r>
          </w:p>
        </w:tc>
      </w:tr>
      <w:tr w:rsidR="00577D08" w14:paraId="7E084F0C" w14:textId="77777777">
        <w:trPr>
          <w:trHeight w:val="20"/>
        </w:trPr>
        <w:sdt>
          <w:sdtPr>
            <w:rPr>
              <w:sz w:val="15"/>
              <w:szCs w:val="15"/>
            </w:rPr>
            <w:tag w:val="_PLD_cbede54ab9934d5ea45cda3f59593c28"/>
            <w:id w:val="-1509210445"/>
          </w:sdtPr>
          <w:sdtContent>
            <w:tc>
              <w:tcPr>
                <w:tcW w:w="2394" w:type="dxa"/>
                <w:vAlign w:val="center"/>
              </w:tcPr>
              <w:p w14:paraId="2B420091" w14:textId="77777777" w:rsidR="00577D08" w:rsidRDefault="00330FC0">
                <w:pPr>
                  <w:rPr>
                    <w:sz w:val="15"/>
                    <w:szCs w:val="15"/>
                  </w:rPr>
                </w:pPr>
                <w:r>
                  <w:rPr>
                    <w:rFonts w:hint="eastAsia"/>
                    <w:sz w:val="15"/>
                    <w:szCs w:val="15"/>
                  </w:rPr>
                  <w:t>1</w:t>
                </w:r>
                <w:r>
                  <w:rPr>
                    <w:rFonts w:hint="eastAsia"/>
                    <w:sz w:val="15"/>
                    <w:szCs w:val="15"/>
                  </w:rPr>
                  <w:t>．本期提取</w:t>
                </w:r>
              </w:p>
            </w:tc>
          </w:sdtContent>
        </w:sdt>
        <w:tc>
          <w:tcPr>
            <w:tcW w:w="1258" w:type="dxa"/>
            <w:tcBorders>
              <w:right w:val="single" w:sz="4" w:space="0" w:color="auto"/>
            </w:tcBorders>
            <w:vAlign w:val="center"/>
          </w:tcPr>
          <w:p w14:paraId="1E1C8588"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73B777D"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4F63E262" w14:textId="77777777" w:rsidR="00577D08" w:rsidRDefault="00577D08">
            <w:pPr>
              <w:jc w:val="right"/>
              <w:rPr>
                <w:sz w:val="15"/>
                <w:szCs w:val="15"/>
              </w:rPr>
            </w:pPr>
          </w:p>
        </w:tc>
        <w:tc>
          <w:tcPr>
            <w:tcW w:w="567" w:type="dxa"/>
            <w:tcBorders>
              <w:left w:val="single" w:sz="4" w:space="0" w:color="auto"/>
            </w:tcBorders>
            <w:vAlign w:val="center"/>
          </w:tcPr>
          <w:p w14:paraId="45F099A0" w14:textId="77777777" w:rsidR="00577D08" w:rsidRDefault="00577D08">
            <w:pPr>
              <w:jc w:val="right"/>
              <w:rPr>
                <w:sz w:val="15"/>
                <w:szCs w:val="15"/>
              </w:rPr>
            </w:pPr>
          </w:p>
        </w:tc>
        <w:tc>
          <w:tcPr>
            <w:tcW w:w="1275" w:type="dxa"/>
            <w:vAlign w:val="center"/>
          </w:tcPr>
          <w:p w14:paraId="3A4268AA" w14:textId="77777777" w:rsidR="00577D08" w:rsidRDefault="00577D08">
            <w:pPr>
              <w:jc w:val="right"/>
              <w:rPr>
                <w:sz w:val="15"/>
                <w:szCs w:val="15"/>
              </w:rPr>
            </w:pPr>
          </w:p>
        </w:tc>
        <w:tc>
          <w:tcPr>
            <w:tcW w:w="1134" w:type="dxa"/>
            <w:vAlign w:val="center"/>
          </w:tcPr>
          <w:p w14:paraId="20B61DEC" w14:textId="77777777" w:rsidR="00577D08" w:rsidRDefault="00577D08">
            <w:pPr>
              <w:jc w:val="right"/>
              <w:rPr>
                <w:sz w:val="15"/>
                <w:szCs w:val="15"/>
              </w:rPr>
            </w:pPr>
          </w:p>
        </w:tc>
        <w:tc>
          <w:tcPr>
            <w:tcW w:w="851" w:type="dxa"/>
            <w:vAlign w:val="center"/>
          </w:tcPr>
          <w:p w14:paraId="05A6AA40" w14:textId="77777777" w:rsidR="00577D08" w:rsidRDefault="00577D08">
            <w:pPr>
              <w:jc w:val="right"/>
              <w:rPr>
                <w:sz w:val="15"/>
                <w:szCs w:val="15"/>
              </w:rPr>
            </w:pPr>
          </w:p>
        </w:tc>
        <w:tc>
          <w:tcPr>
            <w:tcW w:w="1134" w:type="dxa"/>
            <w:vAlign w:val="center"/>
          </w:tcPr>
          <w:p w14:paraId="65DDFF9C" w14:textId="77777777" w:rsidR="00577D08" w:rsidRDefault="00330FC0">
            <w:pPr>
              <w:jc w:val="right"/>
              <w:rPr>
                <w:sz w:val="15"/>
                <w:szCs w:val="15"/>
              </w:rPr>
            </w:pPr>
            <w:r>
              <w:rPr>
                <w:sz w:val="15"/>
                <w:szCs w:val="15"/>
              </w:rPr>
              <w:t>10,669,196.99</w:t>
            </w:r>
          </w:p>
        </w:tc>
        <w:tc>
          <w:tcPr>
            <w:tcW w:w="1276" w:type="dxa"/>
            <w:vAlign w:val="center"/>
          </w:tcPr>
          <w:p w14:paraId="10A403E1" w14:textId="77777777" w:rsidR="00577D08" w:rsidRDefault="00577D08">
            <w:pPr>
              <w:jc w:val="right"/>
              <w:rPr>
                <w:sz w:val="15"/>
                <w:szCs w:val="15"/>
              </w:rPr>
            </w:pPr>
          </w:p>
        </w:tc>
        <w:tc>
          <w:tcPr>
            <w:tcW w:w="1275" w:type="dxa"/>
            <w:vAlign w:val="center"/>
          </w:tcPr>
          <w:p w14:paraId="7F357A0B" w14:textId="77777777" w:rsidR="00577D08" w:rsidRDefault="00577D08">
            <w:pPr>
              <w:jc w:val="right"/>
              <w:rPr>
                <w:sz w:val="15"/>
                <w:szCs w:val="15"/>
              </w:rPr>
            </w:pPr>
          </w:p>
        </w:tc>
        <w:tc>
          <w:tcPr>
            <w:tcW w:w="1322" w:type="dxa"/>
            <w:vAlign w:val="center"/>
          </w:tcPr>
          <w:p w14:paraId="4197F7C0" w14:textId="77777777" w:rsidR="00577D08" w:rsidRDefault="00330FC0">
            <w:pPr>
              <w:jc w:val="right"/>
              <w:rPr>
                <w:sz w:val="15"/>
                <w:szCs w:val="15"/>
              </w:rPr>
            </w:pPr>
            <w:r>
              <w:rPr>
                <w:sz w:val="15"/>
                <w:szCs w:val="15"/>
              </w:rPr>
              <w:t>10,669,196.99</w:t>
            </w:r>
          </w:p>
        </w:tc>
      </w:tr>
      <w:tr w:rsidR="00577D08" w14:paraId="75B7E699" w14:textId="77777777">
        <w:trPr>
          <w:trHeight w:val="20"/>
        </w:trPr>
        <w:sdt>
          <w:sdtPr>
            <w:rPr>
              <w:sz w:val="15"/>
              <w:szCs w:val="15"/>
            </w:rPr>
            <w:tag w:val="_PLD_7900abe823e94277be091b3f1c7a54a5"/>
            <w:id w:val="-1927569091"/>
          </w:sdtPr>
          <w:sdtContent>
            <w:tc>
              <w:tcPr>
                <w:tcW w:w="2394" w:type="dxa"/>
                <w:vAlign w:val="center"/>
              </w:tcPr>
              <w:p w14:paraId="1FCD7872" w14:textId="77777777" w:rsidR="00577D08" w:rsidRDefault="00330FC0">
                <w:pPr>
                  <w:rPr>
                    <w:sz w:val="15"/>
                    <w:szCs w:val="15"/>
                  </w:rPr>
                </w:pPr>
                <w:r>
                  <w:rPr>
                    <w:rFonts w:hint="eastAsia"/>
                    <w:sz w:val="15"/>
                    <w:szCs w:val="15"/>
                  </w:rPr>
                  <w:t>2</w:t>
                </w:r>
                <w:r>
                  <w:rPr>
                    <w:rFonts w:hint="eastAsia"/>
                    <w:sz w:val="15"/>
                    <w:szCs w:val="15"/>
                  </w:rPr>
                  <w:t>．本期使用</w:t>
                </w:r>
              </w:p>
            </w:tc>
          </w:sdtContent>
        </w:sdt>
        <w:tc>
          <w:tcPr>
            <w:tcW w:w="1258" w:type="dxa"/>
            <w:tcBorders>
              <w:right w:val="single" w:sz="4" w:space="0" w:color="auto"/>
            </w:tcBorders>
            <w:vAlign w:val="center"/>
          </w:tcPr>
          <w:p w14:paraId="28927546"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15A9B95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2B377627" w14:textId="77777777" w:rsidR="00577D08" w:rsidRDefault="00577D08">
            <w:pPr>
              <w:jc w:val="right"/>
              <w:rPr>
                <w:sz w:val="15"/>
                <w:szCs w:val="15"/>
              </w:rPr>
            </w:pPr>
          </w:p>
        </w:tc>
        <w:tc>
          <w:tcPr>
            <w:tcW w:w="567" w:type="dxa"/>
            <w:tcBorders>
              <w:left w:val="single" w:sz="4" w:space="0" w:color="auto"/>
            </w:tcBorders>
            <w:vAlign w:val="center"/>
          </w:tcPr>
          <w:p w14:paraId="09BC7736" w14:textId="77777777" w:rsidR="00577D08" w:rsidRDefault="00577D08">
            <w:pPr>
              <w:jc w:val="right"/>
              <w:rPr>
                <w:sz w:val="15"/>
                <w:szCs w:val="15"/>
              </w:rPr>
            </w:pPr>
          </w:p>
        </w:tc>
        <w:tc>
          <w:tcPr>
            <w:tcW w:w="1275" w:type="dxa"/>
            <w:vAlign w:val="center"/>
          </w:tcPr>
          <w:p w14:paraId="1E35F935" w14:textId="77777777" w:rsidR="00577D08" w:rsidRDefault="00577D08">
            <w:pPr>
              <w:jc w:val="right"/>
              <w:rPr>
                <w:sz w:val="15"/>
                <w:szCs w:val="15"/>
              </w:rPr>
            </w:pPr>
          </w:p>
        </w:tc>
        <w:tc>
          <w:tcPr>
            <w:tcW w:w="1134" w:type="dxa"/>
            <w:vAlign w:val="center"/>
          </w:tcPr>
          <w:p w14:paraId="17A62EA3" w14:textId="77777777" w:rsidR="00577D08" w:rsidRDefault="00577D08">
            <w:pPr>
              <w:jc w:val="right"/>
              <w:rPr>
                <w:sz w:val="15"/>
                <w:szCs w:val="15"/>
              </w:rPr>
            </w:pPr>
          </w:p>
        </w:tc>
        <w:tc>
          <w:tcPr>
            <w:tcW w:w="851" w:type="dxa"/>
            <w:vAlign w:val="center"/>
          </w:tcPr>
          <w:p w14:paraId="5D57E886" w14:textId="77777777" w:rsidR="00577D08" w:rsidRDefault="00577D08">
            <w:pPr>
              <w:jc w:val="right"/>
              <w:rPr>
                <w:sz w:val="15"/>
                <w:szCs w:val="15"/>
              </w:rPr>
            </w:pPr>
          </w:p>
        </w:tc>
        <w:tc>
          <w:tcPr>
            <w:tcW w:w="1134" w:type="dxa"/>
            <w:vAlign w:val="center"/>
          </w:tcPr>
          <w:p w14:paraId="10803732" w14:textId="77777777" w:rsidR="00577D08" w:rsidRDefault="00330FC0">
            <w:pPr>
              <w:jc w:val="right"/>
              <w:rPr>
                <w:sz w:val="15"/>
                <w:szCs w:val="15"/>
              </w:rPr>
            </w:pPr>
            <w:r>
              <w:rPr>
                <w:sz w:val="15"/>
                <w:szCs w:val="15"/>
              </w:rPr>
              <w:t>-11,853,616.59</w:t>
            </w:r>
          </w:p>
        </w:tc>
        <w:tc>
          <w:tcPr>
            <w:tcW w:w="1276" w:type="dxa"/>
            <w:vAlign w:val="center"/>
          </w:tcPr>
          <w:p w14:paraId="21D23CD4" w14:textId="77777777" w:rsidR="00577D08" w:rsidRDefault="00577D08">
            <w:pPr>
              <w:jc w:val="right"/>
              <w:rPr>
                <w:sz w:val="15"/>
                <w:szCs w:val="15"/>
              </w:rPr>
            </w:pPr>
          </w:p>
        </w:tc>
        <w:tc>
          <w:tcPr>
            <w:tcW w:w="1275" w:type="dxa"/>
            <w:vAlign w:val="center"/>
          </w:tcPr>
          <w:p w14:paraId="19744551" w14:textId="77777777" w:rsidR="00577D08" w:rsidRDefault="00577D08">
            <w:pPr>
              <w:jc w:val="right"/>
              <w:rPr>
                <w:sz w:val="15"/>
                <w:szCs w:val="15"/>
              </w:rPr>
            </w:pPr>
          </w:p>
        </w:tc>
        <w:tc>
          <w:tcPr>
            <w:tcW w:w="1322" w:type="dxa"/>
            <w:vAlign w:val="center"/>
          </w:tcPr>
          <w:p w14:paraId="1C940606" w14:textId="77777777" w:rsidR="00577D08" w:rsidRDefault="00330FC0">
            <w:pPr>
              <w:jc w:val="right"/>
              <w:rPr>
                <w:sz w:val="15"/>
                <w:szCs w:val="15"/>
              </w:rPr>
            </w:pPr>
            <w:r>
              <w:rPr>
                <w:sz w:val="15"/>
                <w:szCs w:val="15"/>
              </w:rPr>
              <w:t>-11,853,616.59</w:t>
            </w:r>
          </w:p>
        </w:tc>
      </w:tr>
      <w:tr w:rsidR="00577D08" w14:paraId="1808886A" w14:textId="77777777">
        <w:trPr>
          <w:trHeight w:val="20"/>
        </w:trPr>
        <w:sdt>
          <w:sdtPr>
            <w:rPr>
              <w:sz w:val="15"/>
              <w:szCs w:val="15"/>
            </w:rPr>
            <w:tag w:val="_PLD_7cf659a70268475ea7233d8b82adad5a"/>
            <w:id w:val="-167635553"/>
          </w:sdtPr>
          <w:sdtContent>
            <w:tc>
              <w:tcPr>
                <w:tcW w:w="2394" w:type="dxa"/>
                <w:vAlign w:val="center"/>
              </w:tcPr>
              <w:p w14:paraId="2B16744B" w14:textId="77777777" w:rsidR="00577D08" w:rsidRDefault="00330FC0">
                <w:pPr>
                  <w:rPr>
                    <w:sz w:val="15"/>
                    <w:szCs w:val="15"/>
                  </w:rPr>
                </w:pPr>
                <w:r>
                  <w:rPr>
                    <w:rFonts w:hint="eastAsia"/>
                    <w:sz w:val="15"/>
                    <w:szCs w:val="15"/>
                  </w:rPr>
                  <w:t>（六）其他</w:t>
                </w:r>
              </w:p>
            </w:tc>
          </w:sdtContent>
        </w:sdt>
        <w:tc>
          <w:tcPr>
            <w:tcW w:w="1258" w:type="dxa"/>
            <w:tcBorders>
              <w:right w:val="single" w:sz="4" w:space="0" w:color="auto"/>
            </w:tcBorders>
            <w:vAlign w:val="center"/>
          </w:tcPr>
          <w:p w14:paraId="17782CB4"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7857A57E"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5574C424" w14:textId="77777777" w:rsidR="00577D08" w:rsidRDefault="00577D08">
            <w:pPr>
              <w:jc w:val="right"/>
              <w:rPr>
                <w:sz w:val="15"/>
                <w:szCs w:val="15"/>
              </w:rPr>
            </w:pPr>
          </w:p>
        </w:tc>
        <w:tc>
          <w:tcPr>
            <w:tcW w:w="567" w:type="dxa"/>
            <w:tcBorders>
              <w:left w:val="single" w:sz="4" w:space="0" w:color="auto"/>
            </w:tcBorders>
            <w:vAlign w:val="center"/>
          </w:tcPr>
          <w:p w14:paraId="7B956C2C" w14:textId="77777777" w:rsidR="00577D08" w:rsidRDefault="00577D08">
            <w:pPr>
              <w:jc w:val="right"/>
              <w:rPr>
                <w:sz w:val="15"/>
                <w:szCs w:val="15"/>
              </w:rPr>
            </w:pPr>
          </w:p>
        </w:tc>
        <w:tc>
          <w:tcPr>
            <w:tcW w:w="1275" w:type="dxa"/>
            <w:vAlign w:val="center"/>
          </w:tcPr>
          <w:p w14:paraId="2E63BEAF" w14:textId="77777777" w:rsidR="00577D08" w:rsidRDefault="00577D08">
            <w:pPr>
              <w:jc w:val="right"/>
              <w:rPr>
                <w:sz w:val="15"/>
                <w:szCs w:val="15"/>
              </w:rPr>
            </w:pPr>
          </w:p>
        </w:tc>
        <w:tc>
          <w:tcPr>
            <w:tcW w:w="1134" w:type="dxa"/>
            <w:vAlign w:val="center"/>
          </w:tcPr>
          <w:p w14:paraId="43970C3A" w14:textId="77777777" w:rsidR="00577D08" w:rsidRDefault="00577D08">
            <w:pPr>
              <w:jc w:val="right"/>
              <w:rPr>
                <w:sz w:val="15"/>
                <w:szCs w:val="15"/>
              </w:rPr>
            </w:pPr>
          </w:p>
        </w:tc>
        <w:tc>
          <w:tcPr>
            <w:tcW w:w="851" w:type="dxa"/>
            <w:vAlign w:val="center"/>
          </w:tcPr>
          <w:p w14:paraId="14BCDFF2" w14:textId="77777777" w:rsidR="00577D08" w:rsidRDefault="00577D08">
            <w:pPr>
              <w:jc w:val="right"/>
              <w:rPr>
                <w:sz w:val="15"/>
                <w:szCs w:val="15"/>
              </w:rPr>
            </w:pPr>
          </w:p>
        </w:tc>
        <w:tc>
          <w:tcPr>
            <w:tcW w:w="1134" w:type="dxa"/>
            <w:vAlign w:val="center"/>
          </w:tcPr>
          <w:p w14:paraId="2CE7F658" w14:textId="77777777" w:rsidR="00577D08" w:rsidRDefault="00577D08">
            <w:pPr>
              <w:jc w:val="right"/>
              <w:rPr>
                <w:sz w:val="15"/>
                <w:szCs w:val="15"/>
              </w:rPr>
            </w:pPr>
          </w:p>
        </w:tc>
        <w:tc>
          <w:tcPr>
            <w:tcW w:w="1276" w:type="dxa"/>
            <w:vAlign w:val="center"/>
          </w:tcPr>
          <w:p w14:paraId="59E266FB" w14:textId="77777777" w:rsidR="00577D08" w:rsidRDefault="00577D08">
            <w:pPr>
              <w:jc w:val="right"/>
              <w:rPr>
                <w:sz w:val="15"/>
                <w:szCs w:val="15"/>
              </w:rPr>
            </w:pPr>
          </w:p>
        </w:tc>
        <w:tc>
          <w:tcPr>
            <w:tcW w:w="1275" w:type="dxa"/>
            <w:vAlign w:val="center"/>
          </w:tcPr>
          <w:p w14:paraId="5D95A34B" w14:textId="77777777" w:rsidR="00577D08" w:rsidRDefault="00577D08">
            <w:pPr>
              <w:jc w:val="right"/>
              <w:rPr>
                <w:sz w:val="15"/>
                <w:szCs w:val="15"/>
              </w:rPr>
            </w:pPr>
          </w:p>
        </w:tc>
        <w:tc>
          <w:tcPr>
            <w:tcW w:w="1322" w:type="dxa"/>
            <w:vAlign w:val="center"/>
          </w:tcPr>
          <w:p w14:paraId="50A6549A" w14:textId="77777777" w:rsidR="00577D08" w:rsidRDefault="00577D08">
            <w:pPr>
              <w:jc w:val="right"/>
              <w:rPr>
                <w:sz w:val="15"/>
                <w:szCs w:val="15"/>
              </w:rPr>
            </w:pPr>
          </w:p>
        </w:tc>
      </w:tr>
      <w:tr w:rsidR="00577D08" w14:paraId="45ACB0DC" w14:textId="77777777">
        <w:trPr>
          <w:trHeight w:val="20"/>
        </w:trPr>
        <w:sdt>
          <w:sdtPr>
            <w:rPr>
              <w:sz w:val="15"/>
              <w:szCs w:val="15"/>
            </w:rPr>
            <w:tag w:val="_PLD_56eacf5a90be4746898504dda5c8a2c0"/>
            <w:id w:val="-919096340"/>
          </w:sdtPr>
          <w:sdtContent>
            <w:tc>
              <w:tcPr>
                <w:tcW w:w="2394" w:type="dxa"/>
                <w:vAlign w:val="center"/>
              </w:tcPr>
              <w:p w14:paraId="1A6616A3" w14:textId="77777777" w:rsidR="00577D08" w:rsidRDefault="00330FC0">
                <w:pPr>
                  <w:rPr>
                    <w:sz w:val="15"/>
                    <w:szCs w:val="15"/>
                  </w:rPr>
                </w:pPr>
                <w:r>
                  <w:rPr>
                    <w:sz w:val="15"/>
                    <w:szCs w:val="15"/>
                  </w:rPr>
                  <w:t>四、本期期末余额</w:t>
                </w:r>
              </w:p>
            </w:tc>
          </w:sdtContent>
        </w:sdt>
        <w:tc>
          <w:tcPr>
            <w:tcW w:w="1258" w:type="dxa"/>
            <w:tcBorders>
              <w:right w:val="single" w:sz="4" w:space="0" w:color="auto"/>
            </w:tcBorders>
            <w:vAlign w:val="center"/>
          </w:tcPr>
          <w:p w14:paraId="597F33AB" w14:textId="77777777" w:rsidR="00577D08" w:rsidRDefault="00330FC0">
            <w:pPr>
              <w:jc w:val="right"/>
              <w:rPr>
                <w:sz w:val="15"/>
                <w:szCs w:val="15"/>
              </w:rPr>
            </w:pPr>
            <w:r>
              <w:rPr>
                <w:sz w:val="15"/>
                <w:szCs w:val="15"/>
              </w:rPr>
              <w:t>333,167,407.00</w:t>
            </w:r>
          </w:p>
        </w:tc>
        <w:tc>
          <w:tcPr>
            <w:tcW w:w="709" w:type="dxa"/>
            <w:tcBorders>
              <w:left w:val="single" w:sz="4" w:space="0" w:color="auto"/>
              <w:right w:val="single" w:sz="4" w:space="0" w:color="auto"/>
            </w:tcBorders>
            <w:vAlign w:val="center"/>
          </w:tcPr>
          <w:p w14:paraId="7FEE19C2" w14:textId="77777777" w:rsidR="00577D08" w:rsidRDefault="00577D08">
            <w:pPr>
              <w:jc w:val="right"/>
              <w:rPr>
                <w:sz w:val="15"/>
                <w:szCs w:val="15"/>
              </w:rPr>
            </w:pPr>
          </w:p>
        </w:tc>
        <w:tc>
          <w:tcPr>
            <w:tcW w:w="709" w:type="dxa"/>
            <w:tcBorders>
              <w:left w:val="single" w:sz="4" w:space="0" w:color="auto"/>
              <w:right w:val="single" w:sz="4" w:space="0" w:color="auto"/>
            </w:tcBorders>
            <w:vAlign w:val="center"/>
          </w:tcPr>
          <w:p w14:paraId="6C5F243B" w14:textId="77777777" w:rsidR="00577D08" w:rsidRDefault="00577D08">
            <w:pPr>
              <w:jc w:val="right"/>
              <w:rPr>
                <w:sz w:val="15"/>
                <w:szCs w:val="15"/>
              </w:rPr>
            </w:pPr>
          </w:p>
        </w:tc>
        <w:tc>
          <w:tcPr>
            <w:tcW w:w="567" w:type="dxa"/>
            <w:tcBorders>
              <w:left w:val="single" w:sz="4" w:space="0" w:color="auto"/>
            </w:tcBorders>
            <w:vAlign w:val="center"/>
          </w:tcPr>
          <w:p w14:paraId="18FDD5E9" w14:textId="77777777" w:rsidR="00577D08" w:rsidRDefault="00577D08">
            <w:pPr>
              <w:jc w:val="right"/>
              <w:rPr>
                <w:sz w:val="15"/>
                <w:szCs w:val="15"/>
              </w:rPr>
            </w:pPr>
          </w:p>
        </w:tc>
        <w:tc>
          <w:tcPr>
            <w:tcW w:w="1275" w:type="dxa"/>
            <w:vAlign w:val="center"/>
          </w:tcPr>
          <w:p w14:paraId="5D040377" w14:textId="77777777" w:rsidR="00577D08" w:rsidRDefault="00330FC0">
            <w:pPr>
              <w:jc w:val="right"/>
              <w:rPr>
                <w:sz w:val="15"/>
                <w:szCs w:val="15"/>
              </w:rPr>
            </w:pPr>
            <w:r>
              <w:rPr>
                <w:sz w:val="15"/>
                <w:szCs w:val="15"/>
              </w:rPr>
              <w:t>969,891,813.86</w:t>
            </w:r>
          </w:p>
        </w:tc>
        <w:tc>
          <w:tcPr>
            <w:tcW w:w="1134" w:type="dxa"/>
            <w:vAlign w:val="center"/>
          </w:tcPr>
          <w:p w14:paraId="7E05D26E" w14:textId="77777777" w:rsidR="00577D08" w:rsidRDefault="00330FC0">
            <w:pPr>
              <w:jc w:val="right"/>
              <w:rPr>
                <w:sz w:val="15"/>
                <w:szCs w:val="15"/>
              </w:rPr>
            </w:pPr>
            <w:r>
              <w:rPr>
                <w:sz w:val="15"/>
                <w:szCs w:val="15"/>
              </w:rPr>
              <w:t>30,893,741.28</w:t>
            </w:r>
          </w:p>
        </w:tc>
        <w:tc>
          <w:tcPr>
            <w:tcW w:w="851" w:type="dxa"/>
            <w:vAlign w:val="center"/>
          </w:tcPr>
          <w:p w14:paraId="4066BCDF" w14:textId="77777777" w:rsidR="00577D08" w:rsidRDefault="00577D08">
            <w:pPr>
              <w:jc w:val="right"/>
              <w:rPr>
                <w:sz w:val="15"/>
                <w:szCs w:val="15"/>
              </w:rPr>
            </w:pPr>
          </w:p>
        </w:tc>
        <w:tc>
          <w:tcPr>
            <w:tcW w:w="1134" w:type="dxa"/>
            <w:vAlign w:val="center"/>
          </w:tcPr>
          <w:p w14:paraId="40689B0B" w14:textId="77777777" w:rsidR="00577D08" w:rsidRDefault="00330FC0">
            <w:pPr>
              <w:jc w:val="right"/>
              <w:rPr>
                <w:sz w:val="15"/>
                <w:szCs w:val="15"/>
              </w:rPr>
            </w:pPr>
            <w:r>
              <w:rPr>
                <w:sz w:val="15"/>
                <w:szCs w:val="15"/>
              </w:rPr>
              <w:t>19,302,441.84</w:t>
            </w:r>
          </w:p>
        </w:tc>
        <w:tc>
          <w:tcPr>
            <w:tcW w:w="1276" w:type="dxa"/>
            <w:vAlign w:val="center"/>
          </w:tcPr>
          <w:p w14:paraId="0810BB48" w14:textId="77777777" w:rsidR="00577D08" w:rsidRDefault="00330FC0">
            <w:pPr>
              <w:jc w:val="right"/>
              <w:rPr>
                <w:sz w:val="15"/>
                <w:szCs w:val="15"/>
              </w:rPr>
            </w:pPr>
            <w:r>
              <w:rPr>
                <w:sz w:val="15"/>
                <w:szCs w:val="15"/>
              </w:rPr>
              <w:t>121,494,338.37</w:t>
            </w:r>
          </w:p>
        </w:tc>
        <w:tc>
          <w:tcPr>
            <w:tcW w:w="1275" w:type="dxa"/>
            <w:vAlign w:val="center"/>
          </w:tcPr>
          <w:p w14:paraId="04ED7B2C" w14:textId="77777777" w:rsidR="00577D08" w:rsidRDefault="00330FC0">
            <w:pPr>
              <w:jc w:val="right"/>
              <w:rPr>
                <w:sz w:val="15"/>
                <w:szCs w:val="15"/>
              </w:rPr>
            </w:pPr>
            <w:r>
              <w:rPr>
                <w:sz w:val="15"/>
                <w:szCs w:val="15"/>
              </w:rPr>
              <w:t>982,926,914.80</w:t>
            </w:r>
          </w:p>
        </w:tc>
        <w:tc>
          <w:tcPr>
            <w:tcW w:w="1322" w:type="dxa"/>
            <w:vAlign w:val="center"/>
          </w:tcPr>
          <w:p w14:paraId="259AFB70" w14:textId="77777777" w:rsidR="00577D08" w:rsidRDefault="00330FC0">
            <w:pPr>
              <w:jc w:val="right"/>
              <w:rPr>
                <w:sz w:val="15"/>
                <w:szCs w:val="15"/>
              </w:rPr>
            </w:pPr>
            <w:r>
              <w:rPr>
                <w:sz w:val="15"/>
                <w:szCs w:val="15"/>
              </w:rPr>
              <w:t>2,395,889,174.59</w:t>
            </w:r>
          </w:p>
        </w:tc>
      </w:tr>
    </w:tbl>
    <w:bookmarkEnd w:id="296"/>
    <w:p w14:paraId="0D09B21B" w14:textId="1128B82E" w:rsidR="00577D08" w:rsidRDefault="00330FC0">
      <w:pPr>
        <w:snapToGrid w:val="0"/>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6042a2c12168484781348969a4da3e4c"/>
          <w:id w:val="-992713333"/>
          <w:placeholder>
            <w:docPart w:val="GBC22222222222222222222222222222"/>
          </w:placeholder>
          <w:dataBinding w:prefixMappings="xmlns:clcid-mr='clcid-mr'" w:xpath="/*/clcid-mr:GongSiFuZeRenXingMing[not(@periodRef)]" w:storeItemID="{89EBAB94-44A0-46A2-B712-30D997D04A6D}"/>
          <w:text/>
        </w:sdtPr>
        <w:sdtContent>
          <w:r>
            <w:rPr>
              <w:rFonts w:hint="eastAsia"/>
            </w:rPr>
            <w:t>杨泽民</w:t>
          </w:r>
        </w:sdtContent>
      </w:sdt>
      <w:r>
        <w:rPr>
          <w:rFonts w:hint="eastAsia"/>
        </w:rPr>
        <w:t xml:space="preserve">                         </w:t>
      </w:r>
      <w:r w:rsidR="00AD2C92">
        <w:rPr>
          <w:rFonts w:hint="eastAsia"/>
        </w:rPr>
        <w:t xml:space="preserve">       </w:t>
      </w:r>
      <w:r>
        <w:rPr>
          <w:rFonts w:hint="eastAsia"/>
        </w:rPr>
        <w:t xml:space="preserve">       </w:t>
      </w:r>
      <w:r>
        <w:t>主管会计工作负责人</w:t>
      </w:r>
      <w:r>
        <w:rPr>
          <w:rFonts w:hint="eastAsia"/>
        </w:rPr>
        <w:t>：</w:t>
      </w:r>
      <w:sdt>
        <w:sdtPr>
          <w:rPr>
            <w:rFonts w:hint="eastAsia"/>
          </w:rPr>
          <w:alias w:val="主管会计工作负责人姓名"/>
          <w:tag w:val="_GBC_3008dab61aca43f0a6d82ef192943e79"/>
          <w:id w:val="-293441557"/>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杨万华</w:t>
          </w:r>
        </w:sdtContent>
      </w:sdt>
      <w:r>
        <w:rPr>
          <w:rFonts w:hint="eastAsia"/>
        </w:rPr>
        <w:t xml:space="preserve">      </w:t>
      </w:r>
      <w:r w:rsidR="00AD2C92">
        <w:rPr>
          <w:rFonts w:hint="eastAsia"/>
        </w:rPr>
        <w:t xml:space="preserve">       </w:t>
      </w:r>
      <w:r>
        <w:rPr>
          <w:rFonts w:hint="eastAsia"/>
        </w:rPr>
        <w:t xml:space="preserve"> </w:t>
      </w:r>
      <w:r w:rsidR="00AD2C92">
        <w:rPr>
          <w:rFonts w:hint="eastAsia"/>
        </w:rPr>
        <w:t xml:space="preserve">   </w:t>
      </w:r>
      <w:r>
        <w:rPr>
          <w:rFonts w:hint="eastAsia"/>
        </w:rPr>
        <w:t xml:space="preserve">            </w:t>
      </w:r>
      <w:r>
        <w:t>会计机构负责人</w:t>
      </w:r>
      <w:r>
        <w:rPr>
          <w:rFonts w:hint="eastAsia"/>
        </w:rPr>
        <w:t>：</w:t>
      </w:r>
      <w:sdt>
        <w:sdtPr>
          <w:rPr>
            <w:rFonts w:hint="eastAsia"/>
          </w:rPr>
          <w:alias w:val="会计机构负责人姓名"/>
          <w:tag w:val="_GBC_e6c21b270080402ca8dbdc0cab514bde"/>
          <w:id w:val="-703628831"/>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冯波</w:t>
          </w:r>
        </w:sdtContent>
      </w:sdt>
    </w:p>
    <w:p w14:paraId="4802628A" w14:textId="77777777" w:rsidR="00577D08" w:rsidRDefault="00577D08">
      <w:pPr>
        <w:rPr>
          <w:color w:val="FF0000"/>
        </w:rPr>
      </w:pPr>
    </w:p>
    <w:p w14:paraId="1E8B32D5" w14:textId="77777777" w:rsidR="00577D08" w:rsidRDefault="00577D08">
      <w:pPr>
        <w:snapToGrid w:val="0"/>
        <w:spacing w:line="240" w:lineRule="atLeast"/>
        <w:ind w:rightChars="-73" w:right="-153"/>
        <w:rPr>
          <w:b/>
          <w:bCs/>
          <w:color w:val="FF0000"/>
        </w:rPr>
      </w:pPr>
      <w:bookmarkStart w:id="297" w:name="_Hlk24980162"/>
      <w:bookmarkEnd w:id="292"/>
      <w:bookmarkEnd w:id="297"/>
    </w:p>
    <w:p w14:paraId="5D29E207" w14:textId="77777777" w:rsidR="00577D08" w:rsidRDefault="00577D08">
      <w:pPr>
        <w:snapToGrid w:val="0"/>
        <w:spacing w:line="240" w:lineRule="atLeast"/>
        <w:sectPr w:rsidR="00577D08">
          <w:pgSz w:w="16838" w:h="11906" w:orient="landscape"/>
          <w:pgMar w:top="1276" w:right="1440" w:bottom="1797" w:left="1525" w:header="856" w:footer="992" w:gutter="0"/>
          <w:cols w:space="425"/>
          <w:docGrid w:linePitch="312"/>
        </w:sectPr>
      </w:pPr>
      <w:bookmarkStart w:id="298" w:name="_Hlk533930396"/>
    </w:p>
    <w:bookmarkEnd w:id="298"/>
    <w:p w14:paraId="2AD11FC7" w14:textId="77777777" w:rsidR="00577D08" w:rsidRDefault="00330FC0">
      <w:pPr>
        <w:pStyle w:val="2"/>
        <w:numPr>
          <w:ilvl w:val="0"/>
          <w:numId w:val="52"/>
        </w:numPr>
        <w:rPr>
          <w:rFonts w:ascii="宋体" w:hAnsi="宋体" w:hint="eastAsia"/>
        </w:rPr>
      </w:pPr>
      <w:r>
        <w:rPr>
          <w:rFonts w:ascii="宋体" w:hAnsi="宋体"/>
        </w:rPr>
        <w:lastRenderedPageBreak/>
        <w:t>公司基本情况</w:t>
      </w:r>
    </w:p>
    <w:p w14:paraId="33BCEB16" w14:textId="77777777" w:rsidR="00577D08" w:rsidRDefault="00330FC0">
      <w:pPr>
        <w:pStyle w:val="3"/>
        <w:numPr>
          <w:ilvl w:val="0"/>
          <w:numId w:val="53"/>
        </w:numPr>
      </w:pPr>
      <w:r>
        <w:rPr>
          <w:rFonts w:hint="eastAsia"/>
        </w:rPr>
        <w:t>公司概况</w:t>
      </w:r>
    </w:p>
    <w:sdt>
      <w:sdtPr>
        <w:rPr>
          <w:rFonts w:hint="eastAsia"/>
        </w:rPr>
        <w:alias w:val="是否适用：公司概况[双击切换]"/>
        <w:tag w:val="_GBC_7b613deb8c7f4027b73602e5cd1d4a2e"/>
        <w:id w:val="290410376"/>
        <w:placeholder>
          <w:docPart w:val="GBC22222222222222222222222222222"/>
        </w:placeholder>
      </w:sdtPr>
      <w:sdtContent>
        <w:p w14:paraId="71938401"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公司概况"/>
        <w:tag w:val="_GBC_dfec127af3a7441dade8cb0f67119e66"/>
        <w:id w:val="1769818895"/>
        <w:placeholder>
          <w:docPart w:val="GBC22222222222222222222222222222"/>
        </w:placeholder>
      </w:sdtPr>
      <w:sdtContent>
        <w:p w14:paraId="433C1279" w14:textId="77777777" w:rsidR="00577D08" w:rsidRDefault="00330FC0">
          <w:pPr>
            <w:spacing w:line="360" w:lineRule="exact"/>
            <w:ind w:firstLineChars="200" w:firstLine="420"/>
          </w:pPr>
          <w:r>
            <w:rPr>
              <w:rFonts w:hint="eastAsia"/>
            </w:rPr>
            <w:t>重庆望变电气（集团）股份有限公司（以下简称公司或本公司）成立于</w:t>
          </w:r>
          <w:r>
            <w:rPr>
              <w:rFonts w:hint="eastAsia"/>
            </w:rPr>
            <w:t>1994</w:t>
          </w:r>
          <w:r>
            <w:rPr>
              <w:rFonts w:hint="eastAsia"/>
            </w:rPr>
            <w:t>年</w:t>
          </w:r>
          <w:r>
            <w:rPr>
              <w:rFonts w:hint="eastAsia"/>
            </w:rPr>
            <w:t>8</w:t>
          </w:r>
          <w:r>
            <w:rPr>
              <w:rFonts w:hint="eastAsia"/>
            </w:rPr>
            <w:t>月</w:t>
          </w:r>
          <w:r>
            <w:rPr>
              <w:rFonts w:hint="eastAsia"/>
            </w:rPr>
            <w:t>16</w:t>
          </w:r>
          <w:r>
            <w:rPr>
              <w:rFonts w:hint="eastAsia"/>
            </w:rPr>
            <w:t>日，系由重庆望江变压器厂有限公司整体改制变更设立的股份有限公司，现持有统一社会信用代码为</w:t>
          </w:r>
          <w:r>
            <w:rPr>
              <w:rFonts w:hint="eastAsia"/>
            </w:rPr>
            <w:t>91500115203395479N</w:t>
          </w:r>
          <w:r>
            <w:rPr>
              <w:rFonts w:hint="eastAsia"/>
            </w:rPr>
            <w:t>的营业执照，注册资本</w:t>
          </w:r>
          <w:r>
            <w:rPr>
              <w:rFonts w:hint="eastAsia"/>
            </w:rPr>
            <w:t>332,353,407.00</w:t>
          </w:r>
          <w:r>
            <w:rPr>
              <w:rFonts w:hint="eastAsia"/>
            </w:rPr>
            <w:t>元，股份总数</w:t>
          </w:r>
          <w:r>
            <w:t>332,353,407</w:t>
          </w:r>
          <w:r>
            <w:rPr>
              <w:rFonts w:hint="eastAsia"/>
            </w:rPr>
            <w:t>股（每股面值</w:t>
          </w:r>
          <w:r>
            <w:rPr>
              <w:rFonts w:hint="eastAsia"/>
            </w:rPr>
            <w:t>1</w:t>
          </w:r>
          <w:r>
            <w:rPr>
              <w:rFonts w:hint="eastAsia"/>
            </w:rPr>
            <w:t>元）。公司股票已于</w:t>
          </w:r>
          <w:r>
            <w:rPr>
              <w:rFonts w:hint="eastAsia"/>
            </w:rPr>
            <w:t>2022</w:t>
          </w:r>
          <w:r>
            <w:rPr>
              <w:rFonts w:hint="eastAsia"/>
            </w:rPr>
            <w:t>年</w:t>
          </w:r>
          <w:r>
            <w:rPr>
              <w:rFonts w:hint="eastAsia"/>
            </w:rPr>
            <w:t>4</w:t>
          </w:r>
          <w:r>
            <w:rPr>
              <w:rFonts w:hint="eastAsia"/>
            </w:rPr>
            <w:t>月</w:t>
          </w:r>
          <w:r>
            <w:rPr>
              <w:rFonts w:hint="eastAsia"/>
            </w:rPr>
            <w:t>28</w:t>
          </w:r>
          <w:r>
            <w:rPr>
              <w:rFonts w:hint="eastAsia"/>
            </w:rPr>
            <w:t>日在上海证券交易所挂牌交易。</w:t>
          </w:r>
        </w:p>
        <w:p w14:paraId="729D8C63" w14:textId="77777777" w:rsidR="00577D08" w:rsidRDefault="00330FC0">
          <w:pPr>
            <w:spacing w:line="360" w:lineRule="exact"/>
            <w:ind w:firstLineChars="200" w:firstLine="420"/>
          </w:pPr>
          <w:r>
            <w:rPr>
              <w:rFonts w:hint="eastAsia"/>
            </w:rPr>
            <w:t>本公司主要经营活动为输配电及控制设备和取向硅钢的研发、生产和销售，输配电及控制设备属于输配电及控制设备行业，取向硅钢属于钢压延加工行业。</w:t>
          </w:r>
        </w:p>
        <w:p w14:paraId="211FA967" w14:textId="77777777" w:rsidR="00577D08" w:rsidRDefault="00330FC0">
          <w:pPr>
            <w:spacing w:line="360" w:lineRule="exact"/>
            <w:ind w:firstLineChars="200" w:firstLine="420"/>
          </w:pPr>
          <w:r>
            <w:rPr>
              <w:rFonts w:hint="eastAsia"/>
            </w:rPr>
            <w:t>本财务报表业经公司</w:t>
          </w:r>
          <w:r>
            <w:rPr>
              <w:rFonts w:hint="eastAsia"/>
            </w:rPr>
            <w:t>2026</w:t>
          </w:r>
          <w:r>
            <w:rPr>
              <w:rFonts w:hint="eastAsia"/>
            </w:rPr>
            <w:t>年</w:t>
          </w:r>
          <w:r>
            <w:rPr>
              <w:rFonts w:hint="eastAsia"/>
            </w:rPr>
            <w:t>4</w:t>
          </w:r>
          <w:r>
            <w:rPr>
              <w:rFonts w:hint="eastAsia"/>
            </w:rPr>
            <w:t>月</w:t>
          </w:r>
          <w:r>
            <w:rPr>
              <w:rFonts w:hint="eastAsia"/>
            </w:rPr>
            <w:t>2</w:t>
          </w:r>
          <w:r>
            <w:rPr>
              <w:rFonts w:hint="eastAsia"/>
            </w:rPr>
            <w:t>日第四届董事会第十八次会议批准对外报出。</w:t>
          </w:r>
        </w:p>
      </w:sdtContent>
    </w:sdt>
    <w:p w14:paraId="56B29C93" w14:textId="77777777" w:rsidR="00577D08" w:rsidRDefault="00330FC0">
      <w:pPr>
        <w:pStyle w:val="2"/>
        <w:numPr>
          <w:ilvl w:val="0"/>
          <w:numId w:val="52"/>
        </w:numPr>
        <w:rPr>
          <w:rFonts w:ascii="宋体" w:hAnsi="宋体" w:hint="eastAsia"/>
        </w:rPr>
      </w:pPr>
      <w:r>
        <w:rPr>
          <w:rFonts w:ascii="宋体" w:hAnsi="宋体" w:hint="eastAsia"/>
        </w:rPr>
        <w:t>财务报表的编制基础</w:t>
      </w:r>
    </w:p>
    <w:p w14:paraId="1D2D8A2C" w14:textId="77777777" w:rsidR="00577D08" w:rsidRDefault="00330FC0">
      <w:pPr>
        <w:pStyle w:val="3"/>
        <w:numPr>
          <w:ilvl w:val="0"/>
          <w:numId w:val="54"/>
        </w:numPr>
      </w:pPr>
      <w:r>
        <w:t>编制基础</w:t>
      </w:r>
    </w:p>
    <w:sdt>
      <w:sdtPr>
        <w:rPr>
          <w:rFonts w:hint="eastAsia"/>
        </w:rPr>
        <w:alias w:val="财务报表的编制基础"/>
        <w:tag w:val="_GBC_1dc2375ed7ab49628f5badf2d5006405"/>
        <w:id w:val="-948706142"/>
        <w:placeholder>
          <w:docPart w:val="GBC22222222222222222222222222222"/>
        </w:placeholder>
      </w:sdtPr>
      <w:sdtContent>
        <w:p w14:paraId="771A7A7F" w14:textId="77777777" w:rsidR="00577D08" w:rsidRDefault="00330FC0">
          <w:r>
            <w:t>本公司财务报表以持续经营为编制基础。</w:t>
          </w:r>
        </w:p>
      </w:sdtContent>
    </w:sdt>
    <w:p w14:paraId="4DDA4309" w14:textId="77777777" w:rsidR="00577D08" w:rsidRDefault="00330FC0">
      <w:pPr>
        <w:pStyle w:val="3"/>
        <w:numPr>
          <w:ilvl w:val="0"/>
          <w:numId w:val="54"/>
        </w:numPr>
      </w:pPr>
      <w:r>
        <w:rPr>
          <w:rFonts w:hint="eastAsia"/>
        </w:rPr>
        <w:t>持续经营</w:t>
      </w:r>
    </w:p>
    <w:sdt>
      <w:sdtPr>
        <w:rPr>
          <w:rFonts w:hint="eastAsia"/>
        </w:rPr>
        <w:alias w:val="是否适用：持续经营[双击切换]"/>
        <w:tag w:val="_GBC_fa7177dc4f164e56b4df7bebc60acf50"/>
        <w:id w:val="2047875805"/>
        <w:placeholder>
          <w:docPart w:val="GBC22222222222222222222222222222"/>
        </w:placeholder>
      </w:sdtPr>
      <w:sdtContent>
        <w:p w14:paraId="494A957F"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持续经营"/>
        <w:tag w:val="_GBC_dc876c24006b428987a041949eb554f3"/>
        <w:id w:val="-754671136"/>
        <w:placeholder>
          <w:docPart w:val="GBC22222222222222222222222222222"/>
        </w:placeholder>
      </w:sdtPr>
      <w:sdtContent>
        <w:p w14:paraId="4D561230" w14:textId="77777777" w:rsidR="00577D08" w:rsidRDefault="00330FC0">
          <w:r>
            <w:rPr>
              <w:rFonts w:hint="eastAsia"/>
            </w:rPr>
            <w:t>本公司不存在导致对报告期末起</w:t>
          </w:r>
          <w:r>
            <w:rPr>
              <w:rFonts w:hint="eastAsia"/>
            </w:rPr>
            <w:t>12</w:t>
          </w:r>
          <w:r>
            <w:rPr>
              <w:rFonts w:hint="eastAsia"/>
            </w:rPr>
            <w:t>个月内的持续经营能力产生重大疑虑的事项或情况。</w:t>
          </w:r>
        </w:p>
      </w:sdtContent>
    </w:sdt>
    <w:p w14:paraId="7A04883C" w14:textId="77777777" w:rsidR="00577D08" w:rsidRDefault="00330FC0">
      <w:pPr>
        <w:pStyle w:val="2"/>
        <w:numPr>
          <w:ilvl w:val="0"/>
          <w:numId w:val="52"/>
        </w:numPr>
        <w:rPr>
          <w:rFonts w:ascii="宋体" w:hAnsi="宋体" w:hint="eastAsia"/>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p w14:paraId="1AEB6CF8" w14:textId="77777777" w:rsidR="00577D08" w:rsidRDefault="00330FC0">
      <w:r>
        <w:rPr>
          <w:rFonts w:hint="eastAsia"/>
        </w:rPr>
        <w:t>具体会计政策和会计估计提示：</w:t>
      </w:r>
    </w:p>
    <w:sdt>
      <w:sdtPr>
        <w:alias w:val="是否适用：具体会计政策和会计估计提示[双击切换]"/>
        <w:tag w:val="_GBC_86fd142a599649f8a3574e6ddaba5f71"/>
        <w:id w:val="1717689639"/>
        <w:placeholder>
          <w:docPart w:val="GBC22222222222222222222222222222"/>
        </w:placeholder>
      </w:sdtPr>
      <w:sdtContent>
        <w:p w14:paraId="54C033A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具体会计政策和会计估计提示"/>
        <w:tag w:val="_GBC_caddaeaf0d1a454ab0bede37f0db7782"/>
        <w:id w:val="-1639651393"/>
        <w:placeholder>
          <w:docPart w:val="GBC22222222222222222222222222222"/>
        </w:placeholder>
      </w:sdtPr>
      <w:sdtContent>
        <w:sdt>
          <w:sdtPr>
            <w:rPr>
              <w:color w:val="000000" w:themeColor="text1"/>
            </w:rPr>
            <w:alias w:val="具体会计政策和会计估计提示"/>
            <w:tag w:val="_GBC_caddaeaf0d1a454ab0bede37f0db7782"/>
            <w:id w:val="359711396"/>
            <w:placeholder>
              <w:docPart w:val="45B0E0D0695D45168D60C28CDC58513E"/>
            </w:placeholder>
          </w:sdtPr>
          <w:sdtContent>
            <w:p w14:paraId="6C8A1AB4" w14:textId="77777777" w:rsidR="00577D08" w:rsidRDefault="00330FC0">
              <w:pPr>
                <w:spacing w:line="360" w:lineRule="exact"/>
                <w:ind w:firstLineChars="200" w:firstLine="420"/>
                <w:rPr>
                  <w:color w:val="000000" w:themeColor="text1"/>
                </w:rPr>
              </w:pPr>
              <w:r>
                <w:rPr>
                  <w:rFonts w:hint="eastAsia"/>
                </w:rPr>
                <w:t>本公司根据实际生产经营特点针对金融工具减值、存货、固定资产折旧、在建工程、无形资产、收入确认等交易或事项制定了具体会计政策和会计估计。</w:t>
              </w:r>
            </w:p>
          </w:sdtContent>
        </w:sdt>
      </w:sdtContent>
    </w:sdt>
    <w:p w14:paraId="092F5C76" w14:textId="77777777" w:rsidR="00577D08" w:rsidRDefault="00330FC0">
      <w:pPr>
        <w:pStyle w:val="3"/>
        <w:numPr>
          <w:ilvl w:val="0"/>
          <w:numId w:val="55"/>
        </w:numPr>
      </w:pPr>
      <w:r>
        <w:t>遵循企业会计准则的声明</w:t>
      </w:r>
    </w:p>
    <w:sdt>
      <w:sdtPr>
        <w:rPr>
          <w:rFonts w:hint="eastAsia"/>
        </w:rPr>
        <w:alias w:val="会计准则和会计制度"/>
        <w:tag w:val="_GBC_a350b889163a4ef3bb500c021e6a6b47"/>
        <w:id w:val="91986312"/>
        <w:placeholder>
          <w:docPart w:val="GBC22222222222222222222222222222"/>
        </w:placeholder>
      </w:sdtPr>
      <w:sdtEndPr>
        <w:rPr>
          <w:rFonts w:ascii="宋体" w:hAnsi="宋体" w:cs="宋体"/>
          <w:bCs/>
          <w:color w:val="000000" w:themeColor="text1"/>
        </w:rPr>
      </w:sdtEndPr>
      <w:sdtContent>
        <w:p w14:paraId="78FAD216" w14:textId="77777777" w:rsidR="00577D08" w:rsidRDefault="00330FC0">
          <w:pPr>
            <w:spacing w:line="360" w:lineRule="exact"/>
            <w:ind w:firstLineChars="200" w:firstLine="420"/>
            <w:rPr>
              <w:rFonts w:ascii="宋体" w:hAnsi="宋体" w:cs="宋体" w:hint="eastAsia"/>
              <w:bCs/>
              <w:color w:val="000000" w:themeColor="text1"/>
            </w:rPr>
          </w:pPr>
          <w:r>
            <w:rPr>
              <w:rFonts w:ascii="宋体" w:hAnsi="宋体" w:cs="宋体"/>
              <w:bCs/>
              <w:color w:val="000000" w:themeColor="text1"/>
            </w:rPr>
            <w:t>本公司所编制的财务报表符合企业会计准则的要求，真实、完整地反映了公司的财务状况、经营成果、股东权益变动和现金流量等有关信息。</w:t>
          </w:r>
        </w:p>
      </w:sdtContent>
    </w:sdt>
    <w:p w14:paraId="495A912D" w14:textId="77777777" w:rsidR="00577D08" w:rsidRDefault="00330FC0">
      <w:pPr>
        <w:pStyle w:val="3"/>
        <w:numPr>
          <w:ilvl w:val="0"/>
          <w:numId w:val="55"/>
        </w:numPr>
      </w:pPr>
      <w:r>
        <w:t>会计期间</w:t>
      </w:r>
    </w:p>
    <w:sdt>
      <w:sdtPr>
        <w:rPr>
          <w:rFonts w:hint="eastAsia"/>
        </w:rPr>
        <w:alias w:val="会计年度"/>
        <w:tag w:val="_GBC_fc896fba50b143f8a06984831f5d5600"/>
        <w:id w:val="1608623080"/>
        <w:placeholder>
          <w:docPart w:val="GBC22222222222222222222222222222"/>
        </w:placeholder>
      </w:sdtPr>
      <w:sdtContent>
        <w:p w14:paraId="32803680" w14:textId="77777777" w:rsidR="00577D08" w:rsidRDefault="00330FC0">
          <w:r>
            <w:t>本公司会计年度自公历</w:t>
          </w:r>
          <w:r>
            <w:t>1</w:t>
          </w:r>
          <w:r>
            <w:t>月</w:t>
          </w:r>
          <w:r>
            <w:t>1</w:t>
          </w:r>
          <w:r>
            <w:t>日起至</w:t>
          </w:r>
          <w:r>
            <w:t>12</w:t>
          </w:r>
          <w:r>
            <w:t>月</w:t>
          </w:r>
          <w:r>
            <w:t>31</w:t>
          </w:r>
          <w:r>
            <w:t>日止。</w:t>
          </w:r>
        </w:p>
      </w:sdtContent>
    </w:sdt>
    <w:p w14:paraId="7BB7AD74" w14:textId="77777777" w:rsidR="00577D08" w:rsidRDefault="00330FC0">
      <w:pPr>
        <w:pStyle w:val="3"/>
        <w:numPr>
          <w:ilvl w:val="0"/>
          <w:numId w:val="55"/>
        </w:numPr>
      </w:pPr>
      <w:r>
        <w:rPr>
          <w:rFonts w:hint="eastAsia"/>
        </w:rPr>
        <w:t>营业周期</w:t>
      </w:r>
    </w:p>
    <w:sdt>
      <w:sdtPr>
        <w:rPr>
          <w:rFonts w:hint="eastAsia"/>
        </w:rPr>
        <w:alias w:val="是否适用：营业周期[双击切换]"/>
        <w:tag w:val="_GBC_41bd09d0a4bd429996597e58a613259e"/>
        <w:id w:val="1339194130"/>
        <w:placeholder>
          <w:docPart w:val="GBC22222222222222222222222222222"/>
        </w:placeholder>
      </w:sdtPr>
      <w:sdtContent>
        <w:p w14:paraId="50863CFE"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营业周期"/>
        <w:tag w:val="_GBC_e145e43187d9463889884f48e9e0b234"/>
        <w:id w:val="-1033420684"/>
        <w:placeholder>
          <w:docPart w:val="GBC22222222222222222222222222222"/>
        </w:placeholder>
      </w:sdtPr>
      <w:sdtContent>
        <w:p w14:paraId="48DEADDF" w14:textId="77777777" w:rsidR="00577D08" w:rsidRDefault="00330FC0">
          <w:pPr>
            <w:rPr>
              <w:kern w:val="2"/>
            </w:rPr>
          </w:pPr>
          <w:r>
            <w:rPr>
              <w:rFonts w:hint="eastAsia"/>
            </w:rPr>
            <w:t>公司经营业务的营业周期较短，以</w:t>
          </w:r>
          <w:r>
            <w:rPr>
              <w:rFonts w:hint="eastAsia"/>
            </w:rPr>
            <w:t>12</w:t>
          </w:r>
          <w:r>
            <w:rPr>
              <w:rFonts w:hint="eastAsia"/>
            </w:rPr>
            <w:t>个月作为资产和负债的流动性划分标准。</w:t>
          </w:r>
        </w:p>
      </w:sdtContent>
    </w:sdt>
    <w:p w14:paraId="21C1166F" w14:textId="77777777" w:rsidR="00577D08" w:rsidRDefault="00330FC0">
      <w:pPr>
        <w:pStyle w:val="3"/>
        <w:numPr>
          <w:ilvl w:val="0"/>
          <w:numId w:val="55"/>
        </w:numPr>
      </w:pPr>
      <w:r>
        <w:t>记账本位币</w:t>
      </w:r>
    </w:p>
    <w:sdt>
      <w:sdtPr>
        <w:rPr>
          <w:rFonts w:hint="eastAsia"/>
        </w:rPr>
        <w:alias w:val="记账本位币"/>
        <w:tag w:val="_GBC_3749a2357eba44e8b968cb41cda75ff1"/>
        <w:id w:val="-169413956"/>
        <w:placeholder>
          <w:docPart w:val="GBC22222222222222222222222222222"/>
        </w:placeholder>
      </w:sdtPr>
      <w:sdtContent>
        <w:p w14:paraId="078672AD" w14:textId="77777777" w:rsidR="00577D08" w:rsidRDefault="00330FC0">
          <w:r>
            <w:t>本公司的记账本位币为人民币。</w:t>
          </w:r>
        </w:p>
      </w:sdtContent>
    </w:sdt>
    <w:p w14:paraId="4BE9FBDD" w14:textId="77777777" w:rsidR="00577D08" w:rsidRDefault="00330FC0">
      <w:pPr>
        <w:pStyle w:val="3"/>
        <w:numPr>
          <w:ilvl w:val="0"/>
          <w:numId w:val="55"/>
        </w:numPr>
        <w:ind w:left="450" w:hanging="450"/>
        <w:rPr>
          <w:color w:val="000000" w:themeColor="text1"/>
        </w:rPr>
      </w:pPr>
      <w:bookmarkStart w:id="299" w:name="_Hlk169007161"/>
      <w:bookmarkStart w:id="300" w:name="_Hlk182408346"/>
      <w:bookmarkStart w:id="301" w:name="_Hlk167809539"/>
      <w:r>
        <w:rPr>
          <w:rFonts w:hint="eastAsia"/>
          <w:color w:val="000000" w:themeColor="text1"/>
        </w:rPr>
        <w:t>重要性标准确定方法和选择依据</w:t>
      </w:r>
    </w:p>
    <w:sdt>
      <w:sdtPr>
        <w:rPr>
          <w:color w:val="000000" w:themeColor="text1"/>
        </w:rPr>
        <w:alias w:val="是否适用：重要性标准确定方法和选择依据[双击切换]"/>
        <w:tag w:val="_GBC_f3fe7ba4d0b64357b4a1c06c771e5b1a"/>
        <w:id w:val="-2108182645"/>
        <w:placeholder>
          <w:docPart w:val="GBC22222222222222222222222222222"/>
        </w:placeholder>
      </w:sdtPr>
      <w:sdtContent>
        <w:p w14:paraId="6A701CC8"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tbl>
      <w:tblPr>
        <w:tblStyle w:val="aff2"/>
        <w:tblW w:w="5000" w:type="pct"/>
        <w:tblLook w:val="04A0" w:firstRow="1" w:lastRow="0" w:firstColumn="1" w:lastColumn="0" w:noHBand="0" w:noVBand="1"/>
      </w:tblPr>
      <w:tblGrid>
        <w:gridCol w:w="3976"/>
        <w:gridCol w:w="4847"/>
      </w:tblGrid>
      <w:tr w:rsidR="00577D08" w14:paraId="012BC33F" w14:textId="77777777">
        <w:trPr>
          <w:trHeight w:val="397"/>
        </w:trPr>
        <w:sdt>
          <w:sdtPr>
            <w:tag w:val="_PLD_0dcbeb4305c44211925953c92ffe63a0"/>
            <w:id w:val="-663171947"/>
          </w:sdtPr>
          <w:sdtContent>
            <w:tc>
              <w:tcPr>
                <w:tcW w:w="2253" w:type="pct"/>
                <w:vAlign w:val="center"/>
              </w:tcPr>
              <w:p w14:paraId="6A0D1A24" w14:textId="77777777" w:rsidR="00577D08" w:rsidRDefault="00330FC0">
                <w:pPr>
                  <w:jc w:val="center"/>
                  <w:rPr>
                    <w:color w:val="000000" w:themeColor="text1"/>
                  </w:rPr>
                </w:pPr>
                <w:r>
                  <w:rPr>
                    <w:rFonts w:hint="eastAsia"/>
                    <w:color w:val="000000" w:themeColor="text1"/>
                  </w:rPr>
                  <w:t>项目</w:t>
                </w:r>
              </w:p>
            </w:tc>
          </w:sdtContent>
        </w:sdt>
        <w:sdt>
          <w:sdtPr>
            <w:tag w:val="_PLD_def90d798dba4c27b8c2b37b31086625"/>
            <w:id w:val="-585383847"/>
          </w:sdtPr>
          <w:sdtContent>
            <w:tc>
              <w:tcPr>
                <w:tcW w:w="2747" w:type="pct"/>
                <w:vAlign w:val="center"/>
              </w:tcPr>
              <w:p w14:paraId="13B0D017" w14:textId="77777777" w:rsidR="00577D08" w:rsidRDefault="00330FC0">
                <w:pPr>
                  <w:jc w:val="center"/>
                  <w:rPr>
                    <w:color w:val="000000" w:themeColor="text1"/>
                  </w:rPr>
                </w:pPr>
                <w:r>
                  <w:rPr>
                    <w:color w:val="000000" w:themeColor="text1"/>
                  </w:rPr>
                  <w:t>重要性标准</w:t>
                </w:r>
              </w:p>
            </w:tc>
          </w:sdtContent>
        </w:sdt>
      </w:tr>
      <w:tr w:rsidR="00577D08" w14:paraId="2B01508F" w14:textId="77777777">
        <w:trPr>
          <w:trHeight w:val="397"/>
        </w:trPr>
        <w:tc>
          <w:tcPr>
            <w:tcW w:w="2253" w:type="pct"/>
            <w:vAlign w:val="center"/>
          </w:tcPr>
          <w:p w14:paraId="06EE06E8" w14:textId="77777777" w:rsidR="00577D08" w:rsidRDefault="00330FC0">
            <w:r>
              <w:t>重要的单项计提坏账准备的应收账款</w:t>
            </w:r>
          </w:p>
        </w:tc>
        <w:tc>
          <w:tcPr>
            <w:tcW w:w="2747" w:type="pct"/>
            <w:vAlign w:val="center"/>
          </w:tcPr>
          <w:p w14:paraId="748B9C8A" w14:textId="77777777" w:rsidR="00577D08" w:rsidRDefault="00330FC0">
            <w:r>
              <w:t>单项金额超过资产总额</w:t>
            </w:r>
            <w:r>
              <w:t>0.1%</w:t>
            </w:r>
          </w:p>
        </w:tc>
      </w:tr>
      <w:tr w:rsidR="00577D08" w14:paraId="6FABEBCD" w14:textId="77777777">
        <w:trPr>
          <w:trHeight w:val="397"/>
        </w:trPr>
        <w:tc>
          <w:tcPr>
            <w:tcW w:w="2253" w:type="pct"/>
            <w:vAlign w:val="center"/>
          </w:tcPr>
          <w:p w14:paraId="6C7C47E7" w14:textId="77777777" w:rsidR="00577D08" w:rsidRDefault="00330FC0">
            <w:r>
              <w:t>重要的应收账款坏账准备收回或转回</w:t>
            </w:r>
          </w:p>
        </w:tc>
        <w:tc>
          <w:tcPr>
            <w:tcW w:w="2747" w:type="pct"/>
            <w:vAlign w:val="center"/>
          </w:tcPr>
          <w:p w14:paraId="76DF4D78" w14:textId="77777777" w:rsidR="00577D08" w:rsidRDefault="00330FC0">
            <w:r>
              <w:t>单项金额超过资产总额</w:t>
            </w:r>
            <w:r>
              <w:t>0.1%</w:t>
            </w:r>
          </w:p>
        </w:tc>
      </w:tr>
      <w:tr w:rsidR="00577D08" w14:paraId="12701504" w14:textId="77777777">
        <w:trPr>
          <w:trHeight w:val="397"/>
        </w:trPr>
        <w:tc>
          <w:tcPr>
            <w:tcW w:w="2253" w:type="pct"/>
            <w:vAlign w:val="center"/>
          </w:tcPr>
          <w:p w14:paraId="31821760" w14:textId="77777777" w:rsidR="00577D08" w:rsidRDefault="00330FC0">
            <w:r>
              <w:t>重要的核销应收账款</w:t>
            </w:r>
          </w:p>
        </w:tc>
        <w:tc>
          <w:tcPr>
            <w:tcW w:w="2747" w:type="pct"/>
            <w:vAlign w:val="center"/>
          </w:tcPr>
          <w:p w14:paraId="66C79A1C" w14:textId="77777777" w:rsidR="00577D08" w:rsidRDefault="00330FC0">
            <w:r>
              <w:t>单项金额超过资产总额</w:t>
            </w:r>
            <w:r>
              <w:t>0.1%</w:t>
            </w:r>
          </w:p>
        </w:tc>
      </w:tr>
      <w:tr w:rsidR="00577D08" w14:paraId="25CCB7E9" w14:textId="77777777">
        <w:trPr>
          <w:trHeight w:val="397"/>
        </w:trPr>
        <w:tc>
          <w:tcPr>
            <w:tcW w:w="2253" w:type="pct"/>
            <w:vAlign w:val="center"/>
          </w:tcPr>
          <w:p w14:paraId="70E3030E" w14:textId="77777777" w:rsidR="00577D08" w:rsidRDefault="00330FC0">
            <w:r>
              <w:lastRenderedPageBreak/>
              <w:t>重要的单项计提坏账准备的其他应收款</w:t>
            </w:r>
          </w:p>
        </w:tc>
        <w:tc>
          <w:tcPr>
            <w:tcW w:w="2747" w:type="pct"/>
            <w:vAlign w:val="center"/>
          </w:tcPr>
          <w:p w14:paraId="4FF930AA" w14:textId="77777777" w:rsidR="00577D08" w:rsidRDefault="00330FC0">
            <w:r>
              <w:t>单项金额超过资产总额</w:t>
            </w:r>
            <w:r>
              <w:t>0.1%</w:t>
            </w:r>
          </w:p>
        </w:tc>
      </w:tr>
      <w:tr w:rsidR="00577D08" w14:paraId="6C96B5F4" w14:textId="77777777">
        <w:trPr>
          <w:trHeight w:val="397"/>
        </w:trPr>
        <w:tc>
          <w:tcPr>
            <w:tcW w:w="2253" w:type="pct"/>
            <w:vAlign w:val="center"/>
          </w:tcPr>
          <w:p w14:paraId="39B82A6E" w14:textId="77777777" w:rsidR="00577D08" w:rsidRDefault="00330FC0">
            <w:r>
              <w:t>重要的核销其他应收款</w:t>
            </w:r>
          </w:p>
        </w:tc>
        <w:tc>
          <w:tcPr>
            <w:tcW w:w="2747" w:type="pct"/>
            <w:vAlign w:val="center"/>
          </w:tcPr>
          <w:p w14:paraId="69408E0F" w14:textId="77777777" w:rsidR="00577D08" w:rsidRDefault="00330FC0">
            <w:r>
              <w:t>单项金额超过资产总额</w:t>
            </w:r>
            <w:r>
              <w:t>0.1%</w:t>
            </w:r>
          </w:p>
        </w:tc>
      </w:tr>
      <w:tr w:rsidR="00577D08" w14:paraId="45993A0A" w14:textId="77777777">
        <w:trPr>
          <w:trHeight w:val="397"/>
        </w:trPr>
        <w:tc>
          <w:tcPr>
            <w:tcW w:w="2253" w:type="pct"/>
            <w:vAlign w:val="center"/>
          </w:tcPr>
          <w:p w14:paraId="6CCF500B" w14:textId="77777777" w:rsidR="00577D08" w:rsidRDefault="00330FC0">
            <w:r>
              <w:t>重要的账龄超过</w:t>
            </w:r>
            <w:r>
              <w:t>1</w:t>
            </w:r>
            <w:r>
              <w:t>年的预付款项</w:t>
            </w:r>
          </w:p>
        </w:tc>
        <w:tc>
          <w:tcPr>
            <w:tcW w:w="2747" w:type="pct"/>
            <w:vAlign w:val="center"/>
          </w:tcPr>
          <w:p w14:paraId="683EA051" w14:textId="77777777" w:rsidR="00577D08" w:rsidRDefault="00330FC0">
            <w:r>
              <w:t>单项金额超过资产总额</w:t>
            </w:r>
            <w:r>
              <w:t>0.3%</w:t>
            </w:r>
          </w:p>
        </w:tc>
      </w:tr>
      <w:tr w:rsidR="00577D08" w14:paraId="128C3BCB" w14:textId="77777777">
        <w:trPr>
          <w:trHeight w:val="397"/>
        </w:trPr>
        <w:tc>
          <w:tcPr>
            <w:tcW w:w="2253" w:type="pct"/>
            <w:vAlign w:val="center"/>
          </w:tcPr>
          <w:p w14:paraId="225459B7" w14:textId="77777777" w:rsidR="00577D08" w:rsidRDefault="00330FC0">
            <w:r>
              <w:t>重要的在建工程项目</w:t>
            </w:r>
          </w:p>
        </w:tc>
        <w:tc>
          <w:tcPr>
            <w:tcW w:w="2747" w:type="pct"/>
            <w:vAlign w:val="center"/>
          </w:tcPr>
          <w:p w14:paraId="19029148" w14:textId="77777777" w:rsidR="00577D08" w:rsidRDefault="00330FC0">
            <w:r>
              <w:t>单项工程投资总额超过资产总额</w:t>
            </w:r>
            <w:r>
              <w:t>0.3%</w:t>
            </w:r>
          </w:p>
        </w:tc>
      </w:tr>
      <w:tr w:rsidR="00577D08" w14:paraId="63025F32" w14:textId="77777777">
        <w:trPr>
          <w:trHeight w:val="397"/>
        </w:trPr>
        <w:tc>
          <w:tcPr>
            <w:tcW w:w="2253" w:type="pct"/>
            <w:vAlign w:val="center"/>
          </w:tcPr>
          <w:p w14:paraId="28DE9CE9" w14:textId="77777777" w:rsidR="00577D08" w:rsidRDefault="00330FC0">
            <w:r>
              <w:t>重要的账龄超过</w:t>
            </w:r>
            <w:r>
              <w:t>1</w:t>
            </w:r>
            <w:r>
              <w:t>年的应付账款</w:t>
            </w:r>
          </w:p>
        </w:tc>
        <w:tc>
          <w:tcPr>
            <w:tcW w:w="2747" w:type="pct"/>
            <w:vAlign w:val="center"/>
          </w:tcPr>
          <w:p w14:paraId="7F365907" w14:textId="77777777" w:rsidR="00577D08" w:rsidRDefault="00330FC0">
            <w:r>
              <w:t>单项金额超过资产总额</w:t>
            </w:r>
            <w:r>
              <w:t>0.3%</w:t>
            </w:r>
          </w:p>
        </w:tc>
      </w:tr>
      <w:tr w:rsidR="00577D08" w14:paraId="24271F54" w14:textId="77777777">
        <w:trPr>
          <w:trHeight w:val="397"/>
        </w:trPr>
        <w:tc>
          <w:tcPr>
            <w:tcW w:w="2253" w:type="pct"/>
            <w:vAlign w:val="center"/>
          </w:tcPr>
          <w:p w14:paraId="6D0AF287" w14:textId="77777777" w:rsidR="00577D08" w:rsidRDefault="00330FC0">
            <w:r>
              <w:t>重要的账龄超过</w:t>
            </w:r>
            <w:r>
              <w:t>1</w:t>
            </w:r>
            <w:r>
              <w:t>年的其他应付款</w:t>
            </w:r>
          </w:p>
        </w:tc>
        <w:tc>
          <w:tcPr>
            <w:tcW w:w="2747" w:type="pct"/>
            <w:vAlign w:val="center"/>
          </w:tcPr>
          <w:p w14:paraId="58071E6D" w14:textId="77777777" w:rsidR="00577D08" w:rsidRDefault="00330FC0">
            <w:r>
              <w:t>单项金额超过资产总额</w:t>
            </w:r>
            <w:r>
              <w:t>0.1%</w:t>
            </w:r>
          </w:p>
        </w:tc>
      </w:tr>
      <w:tr w:rsidR="00577D08" w14:paraId="3259818E" w14:textId="77777777">
        <w:trPr>
          <w:trHeight w:val="397"/>
        </w:trPr>
        <w:tc>
          <w:tcPr>
            <w:tcW w:w="2253" w:type="pct"/>
            <w:vAlign w:val="center"/>
          </w:tcPr>
          <w:p w14:paraId="0BE9AA4B" w14:textId="77777777" w:rsidR="00577D08" w:rsidRDefault="00330FC0">
            <w:r>
              <w:t>重要的账龄超过</w:t>
            </w:r>
            <w:r>
              <w:t>1</w:t>
            </w:r>
            <w:r>
              <w:t>年的合同负债</w:t>
            </w:r>
          </w:p>
        </w:tc>
        <w:tc>
          <w:tcPr>
            <w:tcW w:w="2747" w:type="pct"/>
            <w:vAlign w:val="center"/>
          </w:tcPr>
          <w:p w14:paraId="1E36AB62" w14:textId="77777777" w:rsidR="00577D08" w:rsidRDefault="00330FC0">
            <w:r>
              <w:t>单项金额超过资产总额</w:t>
            </w:r>
            <w:r>
              <w:t>0.1%</w:t>
            </w:r>
          </w:p>
        </w:tc>
      </w:tr>
      <w:tr w:rsidR="00577D08" w14:paraId="4EF23492" w14:textId="77777777">
        <w:trPr>
          <w:trHeight w:val="397"/>
        </w:trPr>
        <w:tc>
          <w:tcPr>
            <w:tcW w:w="2253" w:type="pct"/>
            <w:vAlign w:val="center"/>
          </w:tcPr>
          <w:p w14:paraId="2ECBEBD8" w14:textId="77777777" w:rsidR="00577D08" w:rsidRDefault="00330FC0">
            <w:r>
              <w:t>重要的预计负债</w:t>
            </w:r>
          </w:p>
        </w:tc>
        <w:tc>
          <w:tcPr>
            <w:tcW w:w="2747" w:type="pct"/>
            <w:vAlign w:val="center"/>
          </w:tcPr>
          <w:p w14:paraId="60238D57" w14:textId="77777777" w:rsidR="00577D08" w:rsidRDefault="00330FC0">
            <w:r>
              <w:t>单项金额超过资产总额</w:t>
            </w:r>
            <w:r>
              <w:t>0.1%</w:t>
            </w:r>
          </w:p>
        </w:tc>
      </w:tr>
      <w:tr w:rsidR="00577D08" w14:paraId="7713BB1D" w14:textId="77777777">
        <w:trPr>
          <w:trHeight w:val="397"/>
        </w:trPr>
        <w:tc>
          <w:tcPr>
            <w:tcW w:w="2253" w:type="pct"/>
            <w:vAlign w:val="center"/>
          </w:tcPr>
          <w:p w14:paraId="3CD7A972" w14:textId="77777777" w:rsidR="00577D08" w:rsidRDefault="00330FC0">
            <w:r>
              <w:t>重要的投资活动现金流量</w:t>
            </w:r>
          </w:p>
        </w:tc>
        <w:tc>
          <w:tcPr>
            <w:tcW w:w="2747" w:type="pct"/>
            <w:vAlign w:val="center"/>
          </w:tcPr>
          <w:p w14:paraId="388C3D2D" w14:textId="77777777" w:rsidR="00577D08" w:rsidRDefault="00330FC0">
            <w:r>
              <w:t>单项金额超过资产总额</w:t>
            </w:r>
            <w:r>
              <w:t>1%</w:t>
            </w:r>
          </w:p>
        </w:tc>
      </w:tr>
      <w:tr w:rsidR="00577D08" w14:paraId="07EB00FD" w14:textId="77777777">
        <w:trPr>
          <w:trHeight w:val="397"/>
        </w:trPr>
        <w:tc>
          <w:tcPr>
            <w:tcW w:w="2253" w:type="pct"/>
            <w:vAlign w:val="center"/>
          </w:tcPr>
          <w:p w14:paraId="4AFE4A96" w14:textId="77777777" w:rsidR="00577D08" w:rsidRDefault="00330FC0">
            <w:r>
              <w:t>重要的筹资活动现金流量</w:t>
            </w:r>
          </w:p>
        </w:tc>
        <w:tc>
          <w:tcPr>
            <w:tcW w:w="2747" w:type="pct"/>
            <w:vAlign w:val="center"/>
          </w:tcPr>
          <w:p w14:paraId="18802A7F" w14:textId="77777777" w:rsidR="00577D08" w:rsidRDefault="00330FC0">
            <w:r>
              <w:t>单项金额超过资产总额</w:t>
            </w:r>
            <w:r>
              <w:t>1%</w:t>
            </w:r>
          </w:p>
        </w:tc>
      </w:tr>
      <w:tr w:rsidR="00577D08" w14:paraId="0CB7F0CB" w14:textId="77777777">
        <w:trPr>
          <w:trHeight w:val="397"/>
        </w:trPr>
        <w:tc>
          <w:tcPr>
            <w:tcW w:w="2253" w:type="pct"/>
            <w:vAlign w:val="center"/>
          </w:tcPr>
          <w:p w14:paraId="5D919BE3" w14:textId="77777777" w:rsidR="00577D08" w:rsidRDefault="00330FC0">
            <w:r>
              <w:t>重要的子公司</w:t>
            </w:r>
          </w:p>
        </w:tc>
        <w:tc>
          <w:tcPr>
            <w:tcW w:w="2747" w:type="pct"/>
            <w:vAlign w:val="center"/>
          </w:tcPr>
          <w:p w14:paraId="36163339" w14:textId="77777777" w:rsidR="00577D08" w:rsidRDefault="00330FC0">
            <w:r>
              <w:t>子公司利润总额超过集团利润总额的</w:t>
            </w:r>
            <w:r>
              <w:t>15%</w:t>
            </w:r>
          </w:p>
        </w:tc>
      </w:tr>
      <w:tr w:rsidR="00577D08" w14:paraId="610C2387" w14:textId="77777777">
        <w:trPr>
          <w:trHeight w:val="397"/>
        </w:trPr>
        <w:tc>
          <w:tcPr>
            <w:tcW w:w="2253" w:type="pct"/>
            <w:vAlign w:val="center"/>
          </w:tcPr>
          <w:p w14:paraId="079D627B" w14:textId="77777777" w:rsidR="00577D08" w:rsidRDefault="00330FC0">
            <w:r>
              <w:t>重要的联营企业</w:t>
            </w:r>
          </w:p>
        </w:tc>
        <w:tc>
          <w:tcPr>
            <w:tcW w:w="2747" w:type="pct"/>
            <w:vAlign w:val="center"/>
          </w:tcPr>
          <w:p w14:paraId="3BD7CE25" w14:textId="77777777" w:rsidR="00577D08" w:rsidRDefault="00330FC0">
            <w:r>
              <w:t>单项长期股权投资账面价值超过集团净资产的</w:t>
            </w:r>
            <w:r>
              <w:t>15%</w:t>
            </w:r>
          </w:p>
        </w:tc>
      </w:tr>
    </w:tbl>
    <w:bookmarkEnd w:id="299"/>
    <w:bookmarkEnd w:id="300"/>
    <w:bookmarkEnd w:id="301"/>
    <w:p w14:paraId="29BBD3D3" w14:textId="77777777" w:rsidR="00577D08" w:rsidRDefault="00330FC0">
      <w:pPr>
        <w:pStyle w:val="3"/>
        <w:numPr>
          <w:ilvl w:val="0"/>
          <w:numId w:val="55"/>
        </w:numPr>
      </w:pPr>
      <w:r>
        <w:t>同一控制下和非同一控制下企业合并的会计处理方法</w:t>
      </w:r>
    </w:p>
    <w:sdt>
      <w:sdtPr>
        <w:rPr>
          <w:rFonts w:hint="eastAsia"/>
        </w:rPr>
        <w:alias w:val="是否适用：同一控制下和非同一控制下企业合并的会计处理方法[双击切换]"/>
        <w:tag w:val="_GBC_46d00db18b44411d8dd79543c30557e3"/>
        <w:id w:val="-2022005658"/>
        <w:placeholder>
          <w:docPart w:val="GBC22222222222222222222222222222"/>
        </w:placeholder>
      </w:sdtPr>
      <w:sdtContent>
        <w:p w14:paraId="25BA2111"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同一控制下和非同一控制下企业合并的会计处理方法"/>
        <w:tag w:val="_GBC_ef4b9a8d4ac34f45a0f61a23267bcbb8"/>
        <w:id w:val="1346372567"/>
        <w:placeholder>
          <w:docPart w:val="GBC22222222222222222222222222222"/>
        </w:placeholder>
      </w:sdtPr>
      <w:sdtContent>
        <w:p w14:paraId="709353BA" w14:textId="77777777" w:rsidR="00577D08" w:rsidRDefault="00330FC0">
          <w:pPr>
            <w:spacing w:line="360" w:lineRule="exact"/>
            <w:ind w:firstLineChars="200" w:firstLine="420"/>
            <w:rPr>
              <w:color w:val="000000" w:themeColor="text1"/>
            </w:rPr>
          </w:pPr>
          <w:r>
            <w:rPr>
              <w:rFonts w:hint="eastAsia"/>
            </w:rPr>
            <w:t>（</w:t>
          </w:r>
          <w:r>
            <w:rPr>
              <w:rFonts w:hint="eastAsia"/>
            </w:rPr>
            <w:t>1</w:t>
          </w:r>
          <w:r>
            <w:rPr>
              <w:rFonts w:hint="eastAsia"/>
            </w:rPr>
            <w:t>）</w:t>
          </w:r>
          <w:r>
            <w:rPr>
              <w:rFonts w:hint="eastAsia"/>
              <w:color w:val="000000" w:themeColor="text1"/>
            </w:rPr>
            <w:t>同一控制下企业合并的会计处理方法</w:t>
          </w:r>
        </w:p>
        <w:p w14:paraId="5EFFFC82" w14:textId="77777777" w:rsidR="00577D08" w:rsidRDefault="00330FC0">
          <w:pPr>
            <w:spacing w:line="360" w:lineRule="exact"/>
            <w:ind w:firstLineChars="200" w:firstLine="420"/>
            <w:rPr>
              <w:color w:val="000000" w:themeColor="text1"/>
            </w:rPr>
          </w:pPr>
          <w:r>
            <w:rPr>
              <w:rFonts w:hint="eastAsia"/>
              <w:color w:val="000000" w:themeColor="text1"/>
            </w:rPr>
            <w:t>公司在企业合并中取得的资产和负债，按照合并日被合并方在最终控制方合并财务报表中的账面价值计量。公司按照被合并方所有者权益在最终控制方合并财务报表中的账面价值份额与支付的合并对价账面价值或发行股份面值总额的差额，调整资本公积；资本公积不足冲减的，调整留存收益。</w:t>
          </w:r>
        </w:p>
        <w:p w14:paraId="1D86DD79" w14:textId="77777777" w:rsidR="00577D08" w:rsidRDefault="00330FC0">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）非同一控制下企业合并的会计处理方法</w:t>
          </w:r>
        </w:p>
        <w:p w14:paraId="59EB210E" w14:textId="77777777" w:rsidR="00577D08" w:rsidRDefault="00330FC0">
          <w:pPr>
            <w:spacing w:line="360" w:lineRule="exact"/>
            <w:ind w:firstLineChars="200" w:firstLine="420"/>
            <w:rPr>
              <w:color w:val="000000" w:themeColor="text1"/>
            </w:rPr>
          </w:pPr>
          <w:r>
            <w:rPr>
              <w:rFonts w:hint="eastAsia"/>
              <w:color w:val="000000" w:themeColor="text1"/>
            </w:rPr>
            <w:t>公司在购买日对合并成本大于合并中取得的被购买方可辨认净资产公允价值份额的差额，确认为商誉；如果合并成本小于合并中取得的被购买方可辨认净资产公允价值份额，首先对取得的被购买方各项可辨认资产、负债及或有负债的公允价值以及合并成本的计量进行复核，经复核后合并成本仍小于合并中取得的被购买方可辨认净资产公允价值份额的，其差额计入当期损益。</w:t>
          </w:r>
        </w:p>
      </w:sdtContent>
    </w:sdt>
    <w:p w14:paraId="2C5FF579" w14:textId="77777777" w:rsidR="00577D08" w:rsidRDefault="00330FC0">
      <w:pPr>
        <w:pStyle w:val="3"/>
        <w:numPr>
          <w:ilvl w:val="0"/>
          <w:numId w:val="55"/>
        </w:numPr>
      </w:pPr>
      <w:r>
        <w:rPr>
          <w:rFonts w:ascii="宋体" w:hAnsi="宋体" w:cs="宋体" w:hint="eastAsia"/>
          <w:kern w:val="0"/>
          <w:szCs w:val="24"/>
        </w:rPr>
        <w:t>控制的判断标准和</w:t>
      </w:r>
      <w:r>
        <w:t>合并财务报表的编制方法</w:t>
      </w:r>
    </w:p>
    <w:sdt>
      <w:sdtPr>
        <w:rPr>
          <w:rFonts w:hint="eastAsia"/>
        </w:rPr>
        <w:alias w:val="是否适用：控制的判断标准和合并财务报表的编制方法[双击切换]"/>
        <w:tag w:val="_GBC_d8312ea572e647a59b796bf708b54713"/>
        <w:id w:val="-1785107639"/>
        <w:placeholder>
          <w:docPart w:val="GBC22222222222222222222222222222"/>
        </w:placeholder>
      </w:sdtPr>
      <w:sdtContent>
        <w:p w14:paraId="7858DF32"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控制的判断标准和合并财务报表的编制方法"/>
        <w:tag w:val="_GBC_5201beca0c0944939b4a0d8d100d6fcf"/>
        <w:id w:val="874734448"/>
        <w:placeholder>
          <w:docPart w:val="GBC22222222222222222222222222222"/>
        </w:placeholder>
      </w:sdtPr>
      <w:sdtContent>
        <w:p w14:paraId="047782DE" w14:textId="77777777" w:rsidR="00577D08" w:rsidRDefault="00330FC0">
          <w:pPr>
            <w:spacing w:line="360" w:lineRule="exact"/>
            <w:ind w:firstLineChars="200" w:firstLine="420"/>
          </w:pPr>
          <w:r>
            <w:rPr>
              <w:rFonts w:hint="eastAsia"/>
            </w:rPr>
            <w:t>（</w:t>
          </w:r>
          <w:r>
            <w:rPr>
              <w:rFonts w:hint="eastAsia"/>
            </w:rPr>
            <w:t>1</w:t>
          </w:r>
          <w:r>
            <w:rPr>
              <w:rFonts w:hint="eastAsia"/>
            </w:rPr>
            <w:t>）控制的判断</w:t>
          </w:r>
        </w:p>
        <w:p w14:paraId="77E4424E" w14:textId="77777777" w:rsidR="00577D08" w:rsidRDefault="00330FC0">
          <w:pPr>
            <w:spacing w:line="360" w:lineRule="exact"/>
            <w:ind w:firstLineChars="200" w:firstLine="420"/>
          </w:pPr>
          <w:r>
            <w:rPr>
              <w:rFonts w:hint="eastAsia"/>
            </w:rPr>
            <w:t>拥有对被投资方的权力，通过参与被投资方的相关活动而享有可变回报，并且有能力运用对被投资方的权力影响其可变回报金额的，认定为控制。</w:t>
          </w:r>
        </w:p>
        <w:p w14:paraId="0AD0AB5E" w14:textId="77777777" w:rsidR="00577D08" w:rsidRDefault="00330FC0">
          <w:pPr>
            <w:spacing w:line="360" w:lineRule="exact"/>
            <w:ind w:firstLineChars="200" w:firstLine="420"/>
          </w:pPr>
          <w:r>
            <w:rPr>
              <w:rFonts w:hint="eastAsia"/>
            </w:rPr>
            <w:t>（</w:t>
          </w:r>
          <w:r>
            <w:rPr>
              <w:rFonts w:hint="eastAsia"/>
            </w:rPr>
            <w:t>2</w:t>
          </w:r>
          <w:r>
            <w:rPr>
              <w:rFonts w:hint="eastAsia"/>
            </w:rPr>
            <w:t>）合并财务报表的编制方法</w:t>
          </w:r>
        </w:p>
        <w:p w14:paraId="024AE089" w14:textId="77777777" w:rsidR="00577D08" w:rsidRDefault="00330FC0">
          <w:pPr>
            <w:spacing w:line="360" w:lineRule="exact"/>
            <w:ind w:firstLineChars="200" w:firstLine="420"/>
          </w:pPr>
          <w:r>
            <w:rPr>
              <w:rFonts w:hint="eastAsia"/>
            </w:rPr>
            <w:t>母公司将其控制的所有子公司纳入合并财务报表的合并范围。合并财务报表以母公司及其子公司的财务报表为基础，根据其他有关资料，由母公司按照《企业会计准则第</w:t>
          </w:r>
          <w:r>
            <w:rPr>
              <w:rFonts w:hint="eastAsia"/>
            </w:rPr>
            <w:t>33</w:t>
          </w:r>
          <w:r>
            <w:rPr>
              <w:rFonts w:hint="eastAsia"/>
            </w:rPr>
            <w:t>号——合并财务报表》编制。</w:t>
          </w:r>
        </w:p>
      </w:sdtContent>
    </w:sdt>
    <w:p w14:paraId="0D94A1C4" w14:textId="77777777" w:rsidR="00577D08" w:rsidRDefault="00330FC0">
      <w:pPr>
        <w:pStyle w:val="3"/>
        <w:numPr>
          <w:ilvl w:val="0"/>
          <w:numId w:val="55"/>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694660581"/>
        <w:placeholder>
          <w:docPart w:val="GBC22222222222222222222222222222"/>
        </w:placeholder>
      </w:sdtPr>
      <w:sdtContent>
        <w:p w14:paraId="1A0EA650" w14:textId="77777777" w:rsidR="00577D08" w:rsidRDefault="00330FC0">
          <w:pPr>
            <w:rPr>
              <w:b/>
              <w:bCs/>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F0F07D4" w14:textId="77777777" w:rsidR="00577D08" w:rsidRDefault="00577D08"/>
    <w:p w14:paraId="3EAC35C5" w14:textId="77777777" w:rsidR="00577D08" w:rsidRDefault="00330FC0">
      <w:pPr>
        <w:pStyle w:val="3"/>
        <w:numPr>
          <w:ilvl w:val="0"/>
          <w:numId w:val="55"/>
        </w:numPr>
      </w:pPr>
      <w:r>
        <w:lastRenderedPageBreak/>
        <w:t>现金及现金等价物的确定标准</w:t>
      </w:r>
    </w:p>
    <w:sdt>
      <w:sdtPr>
        <w:rPr>
          <w:rFonts w:hint="eastAsia"/>
        </w:rPr>
        <w:alias w:val="现金及现金等价物的确定标准"/>
        <w:tag w:val="_GBC_54f6bc3e44e840bc85cb3872600823b5"/>
        <w:id w:val="-1733235412"/>
        <w:placeholder>
          <w:docPart w:val="GBC22222222222222222222222222222"/>
        </w:placeholder>
      </w:sdtPr>
      <w:sdtContent>
        <w:p w14:paraId="6F9793AA" w14:textId="77777777" w:rsidR="00577D08" w:rsidRDefault="00330FC0">
          <w:pPr>
            <w:spacing w:line="360" w:lineRule="exact"/>
            <w:ind w:firstLineChars="200" w:firstLine="420"/>
          </w:pPr>
          <w:r>
            <w:rPr>
              <w:rFonts w:hint="eastAsia"/>
            </w:rPr>
            <w:t>列示于现金流量表中的现金是指库存现金以及可以随时用于支付的存款。现金等价物是指企业持有的期限短、流动性强、易于转换为已知金额现金、价值变动风险很小的投资。</w:t>
          </w:r>
        </w:p>
      </w:sdtContent>
    </w:sdt>
    <w:p w14:paraId="2508DD71" w14:textId="77777777" w:rsidR="00577D08" w:rsidRDefault="00330FC0">
      <w:pPr>
        <w:pStyle w:val="3"/>
        <w:numPr>
          <w:ilvl w:val="0"/>
          <w:numId w:val="55"/>
        </w:numPr>
      </w:pPr>
      <w:r>
        <w:t>外币业务和外币报表折算</w:t>
      </w:r>
    </w:p>
    <w:sdt>
      <w:sdtPr>
        <w:rPr>
          <w:rFonts w:hint="eastAsia"/>
        </w:rPr>
        <w:alias w:val="是否适用：外币业务和外币报表折算[双击切换]"/>
        <w:tag w:val="_GBC_9c9def5a1d2241b5a3ee696d03433778"/>
        <w:id w:val="417518361"/>
        <w:placeholder>
          <w:docPart w:val="GBC22222222222222222222222222222"/>
        </w:placeholder>
      </w:sdtPr>
      <w:sdtContent>
        <w:p w14:paraId="6023F51E"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外币业务核算方法"/>
        <w:tag w:val="_GBC_1703fe5fc56b42a8972c0906a4ac6d6b"/>
        <w:id w:val="-934751531"/>
        <w:placeholder>
          <w:docPart w:val="GBC22222222222222222222222222222"/>
        </w:placeholder>
      </w:sdtPr>
      <w:sdtContent>
        <w:p w14:paraId="5E7F5B29" w14:textId="77777777" w:rsidR="00577D08" w:rsidRDefault="00330FC0">
          <w:pPr>
            <w:spacing w:line="360" w:lineRule="exact"/>
            <w:ind w:firstLineChars="200" w:firstLine="420"/>
            <w:rPr>
              <w:kern w:val="2"/>
            </w:rPr>
          </w:pPr>
          <w:r>
            <w:rPr>
              <w:rFonts w:hint="eastAsia"/>
            </w:rPr>
            <w:t>外币交易在初始确认时，采用交易发生日的即期汇率折算为人民币金额。资产负债表日，外币货币性项目采用资产负债表日即期汇率折算，因汇率不同而产生的汇兑差额，除与购建符合资本化条件资产有关的外币专门借款本金及利息的汇兑差额外，计入当期损益；以历史成本计量的外币非货币性项目仍采用交易发生日的即期汇率折算，不改变其人民币金额；以公允价值计量的外币非货币性项目，采用公允价值确定日的即期汇率折算，差额计入当期损益或其他综合收益。</w:t>
          </w:r>
        </w:p>
      </w:sdtContent>
    </w:sdt>
    <w:p w14:paraId="56D916E0" w14:textId="77777777" w:rsidR="00577D08" w:rsidRDefault="00330FC0">
      <w:pPr>
        <w:pStyle w:val="3"/>
        <w:numPr>
          <w:ilvl w:val="0"/>
          <w:numId w:val="55"/>
        </w:numPr>
      </w:pPr>
      <w:r>
        <w:t>金融工具</w:t>
      </w:r>
    </w:p>
    <w:sdt>
      <w:sdtPr>
        <w:rPr>
          <w:rFonts w:hint="eastAsia"/>
        </w:rPr>
        <w:alias w:val="是否适用：金融工具_重要会计政策和估计[双击切换]"/>
        <w:tag w:val="_GBC_1537cea503f244c2af870a2a0d5fd7a9"/>
        <w:id w:val="-1816630501"/>
        <w:placeholder>
          <w:docPart w:val="GBC22222222222222222222222222222"/>
        </w:placeholder>
      </w:sdtPr>
      <w:sdtContent>
        <w:p w14:paraId="614F6730"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金融资产和金融负债的核算方法"/>
        <w:tag w:val="_GBC_b358067bbe2a49bf880c383a5db50d8a"/>
        <w:id w:val="1251235145"/>
        <w:placeholder>
          <w:docPart w:val="GBC22222222222222222222222222222"/>
        </w:placeholder>
      </w:sdtPr>
      <w:sdtContent>
        <w:p w14:paraId="3E369825" w14:textId="77777777" w:rsidR="00577D08" w:rsidRDefault="00330FC0">
          <w:pPr>
            <w:spacing w:line="360" w:lineRule="exact"/>
            <w:ind w:firstLineChars="200" w:firstLine="420"/>
            <w:rPr>
              <w:color w:val="000000" w:themeColor="text1"/>
            </w:rPr>
          </w:pPr>
          <w:r>
            <w:rPr>
              <w:rFonts w:hint="eastAsia"/>
            </w:rPr>
            <w:t>（</w:t>
          </w:r>
          <w:r>
            <w:rPr>
              <w:rFonts w:hint="eastAsia"/>
            </w:rPr>
            <w:t>1</w:t>
          </w:r>
          <w:r>
            <w:rPr>
              <w:rFonts w:hint="eastAsia"/>
            </w:rPr>
            <w:t>）</w:t>
          </w:r>
          <w:r>
            <w:rPr>
              <w:rFonts w:hint="eastAsia"/>
              <w:color w:val="000000" w:themeColor="text1"/>
            </w:rPr>
            <w:t>金融资产和金融负债的分类</w:t>
          </w:r>
        </w:p>
        <w:p w14:paraId="4F779902" w14:textId="77777777" w:rsidR="00577D08" w:rsidRDefault="00330FC0">
          <w:pPr>
            <w:spacing w:line="360" w:lineRule="exact"/>
            <w:ind w:firstLineChars="200" w:firstLine="420"/>
            <w:rPr>
              <w:color w:val="000000" w:themeColor="text1"/>
            </w:rPr>
          </w:pPr>
          <w:r>
            <w:rPr>
              <w:rFonts w:hint="eastAsia"/>
              <w:color w:val="000000" w:themeColor="text1"/>
            </w:rPr>
            <w:t>金融资产在初始确认时划分为以下三类：</w:t>
          </w:r>
          <w:r>
            <w:rPr>
              <w:rFonts w:hint="eastAsia"/>
              <w:color w:val="000000" w:themeColor="text1"/>
            </w:rPr>
            <w:t>1</w:t>
          </w:r>
          <w:r>
            <w:rPr>
              <w:rFonts w:hint="eastAsia"/>
              <w:color w:val="000000" w:themeColor="text1"/>
            </w:rPr>
            <w:t>）以摊余成本计量的金融资产；</w:t>
          </w:r>
          <w:r>
            <w:rPr>
              <w:rFonts w:hint="eastAsia"/>
              <w:color w:val="000000" w:themeColor="text1"/>
            </w:rPr>
            <w:t>2</w:t>
          </w:r>
          <w:r>
            <w:rPr>
              <w:rFonts w:hint="eastAsia"/>
              <w:color w:val="000000" w:themeColor="text1"/>
            </w:rPr>
            <w:t>）以公允价值计量且其变动计入其他综合收益的金融资产；</w:t>
          </w:r>
          <w:r>
            <w:rPr>
              <w:rFonts w:hint="eastAsia"/>
              <w:color w:val="000000" w:themeColor="text1"/>
            </w:rPr>
            <w:t>3</w:t>
          </w:r>
          <w:r>
            <w:rPr>
              <w:rFonts w:hint="eastAsia"/>
              <w:color w:val="000000" w:themeColor="text1"/>
            </w:rPr>
            <w:t>）以公允价值计量且其变动计入当期损益的金融资产。</w:t>
          </w:r>
        </w:p>
        <w:p w14:paraId="3A35CC33" w14:textId="77777777" w:rsidR="00577D08" w:rsidRDefault="00330FC0">
          <w:pPr>
            <w:spacing w:line="360" w:lineRule="exact"/>
            <w:ind w:firstLineChars="200" w:firstLine="420"/>
            <w:rPr>
              <w:color w:val="000000" w:themeColor="text1"/>
            </w:rPr>
          </w:pPr>
          <w:r>
            <w:rPr>
              <w:rFonts w:hint="eastAsia"/>
              <w:color w:val="000000" w:themeColor="text1"/>
            </w:rPr>
            <w:t>金融负债在初始确认时划分为以下四类：</w:t>
          </w:r>
          <w:r>
            <w:rPr>
              <w:rFonts w:hint="eastAsia"/>
              <w:color w:val="000000" w:themeColor="text1"/>
            </w:rPr>
            <w:t>1</w:t>
          </w:r>
          <w:r>
            <w:rPr>
              <w:rFonts w:hint="eastAsia"/>
              <w:color w:val="000000" w:themeColor="text1"/>
            </w:rPr>
            <w:t>）以公允价值计量且其变动计入当期损益的金融负债；</w:t>
          </w:r>
          <w:r>
            <w:rPr>
              <w:rFonts w:hint="eastAsia"/>
              <w:color w:val="000000" w:themeColor="text1"/>
            </w:rPr>
            <w:t>2</w:t>
          </w:r>
          <w:r>
            <w:rPr>
              <w:rFonts w:hint="eastAsia"/>
              <w:color w:val="000000" w:themeColor="text1"/>
            </w:rPr>
            <w:t>）金融资产转移不符合终止确认条件或继续涉入被转移金融资产所形成的金融负债；</w:t>
          </w:r>
          <w:r>
            <w:rPr>
              <w:rFonts w:hint="eastAsia"/>
              <w:color w:val="000000" w:themeColor="text1"/>
            </w:rPr>
            <w:t>3</w:t>
          </w:r>
          <w:r>
            <w:rPr>
              <w:rFonts w:hint="eastAsia"/>
              <w:color w:val="000000" w:themeColor="text1"/>
            </w:rPr>
            <w:t>）不属于上述</w:t>
          </w:r>
          <w:r>
            <w:rPr>
              <w:rFonts w:hint="eastAsia"/>
              <w:color w:val="000000" w:themeColor="text1"/>
            </w:rPr>
            <w:t>1</w:t>
          </w:r>
          <w:r>
            <w:rPr>
              <w:rFonts w:hint="eastAsia"/>
              <w:color w:val="000000" w:themeColor="text1"/>
            </w:rPr>
            <w:t>）或</w:t>
          </w:r>
          <w:r>
            <w:rPr>
              <w:rFonts w:hint="eastAsia"/>
              <w:color w:val="000000" w:themeColor="text1"/>
            </w:rPr>
            <w:t>2</w:t>
          </w:r>
          <w:r>
            <w:rPr>
              <w:rFonts w:hint="eastAsia"/>
              <w:color w:val="000000" w:themeColor="text1"/>
            </w:rPr>
            <w:t>）的财务担保合同，以及不属于上述</w:t>
          </w:r>
          <w:r>
            <w:rPr>
              <w:rFonts w:hint="eastAsia"/>
              <w:color w:val="000000" w:themeColor="text1"/>
            </w:rPr>
            <w:t>1</w:t>
          </w:r>
          <w:r>
            <w:rPr>
              <w:rFonts w:hint="eastAsia"/>
              <w:color w:val="000000" w:themeColor="text1"/>
            </w:rPr>
            <w:t>）并以低于市场利率贷款的贷款承诺；</w:t>
          </w:r>
          <w:r>
            <w:rPr>
              <w:rFonts w:hint="eastAsia"/>
              <w:color w:val="000000" w:themeColor="text1"/>
            </w:rPr>
            <w:t>4</w:t>
          </w:r>
          <w:r>
            <w:rPr>
              <w:rFonts w:hint="eastAsia"/>
              <w:color w:val="000000" w:themeColor="text1"/>
            </w:rPr>
            <w:t>）以摊余成本计量的金融负债。</w:t>
          </w:r>
        </w:p>
        <w:p w14:paraId="3CE79EA3" w14:textId="77777777" w:rsidR="00577D08" w:rsidRDefault="00330FC0">
          <w:pPr>
            <w:spacing w:line="360" w:lineRule="exact"/>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）金融资产和金融负债的确认依据、计量方法和终止确认条件</w:t>
          </w:r>
        </w:p>
        <w:p w14:paraId="1CBDB274" w14:textId="77777777" w:rsidR="00577D08" w:rsidRDefault="00330FC0">
          <w:pPr>
            <w:spacing w:line="360" w:lineRule="exact"/>
            <w:ind w:firstLineChars="200" w:firstLine="420"/>
            <w:rPr>
              <w:color w:val="000000" w:themeColor="text1"/>
            </w:rPr>
          </w:pPr>
          <w:r>
            <w:rPr>
              <w:rFonts w:hint="eastAsia"/>
              <w:color w:val="000000" w:themeColor="text1"/>
            </w:rPr>
            <w:t>1</w:t>
          </w:r>
          <w:r>
            <w:rPr>
              <w:rFonts w:hint="eastAsia"/>
              <w:color w:val="000000" w:themeColor="text1"/>
            </w:rPr>
            <w:t>）金融资产和金融负债的确认依据和初始计量方法</w:t>
          </w:r>
        </w:p>
        <w:p w14:paraId="3473BA73" w14:textId="77777777" w:rsidR="00577D08" w:rsidRDefault="00330FC0">
          <w:pPr>
            <w:spacing w:line="360" w:lineRule="exact"/>
            <w:ind w:firstLineChars="200" w:firstLine="420"/>
            <w:rPr>
              <w:color w:val="000000" w:themeColor="text1"/>
            </w:rPr>
          </w:pPr>
          <w:r>
            <w:rPr>
              <w:rFonts w:hint="eastAsia"/>
              <w:color w:val="000000" w:themeColor="text1"/>
            </w:rPr>
            <w:t>公司成为金融工具合同的一方时，确认一项金融资产或金融负债。初始确认金融资产或金融负债时，按照公允价值计量；对于以公允价值计量且其变动计入当期损益的金融资产和金融负债，相关交易费用直接计入当期损益；对于其他类别的金融资产或金融负债，相关交易费用计入初始确认金额。但是，公司初始确认的应收账款未包含重大融资成分或公司不考虑未超过一年的合同中的融资成分的，按照《企业会计准则第</w:t>
          </w:r>
          <w:r>
            <w:rPr>
              <w:rFonts w:hint="eastAsia"/>
              <w:color w:val="000000" w:themeColor="text1"/>
            </w:rPr>
            <w:t>14</w:t>
          </w:r>
          <w:r>
            <w:rPr>
              <w:rFonts w:hint="eastAsia"/>
              <w:color w:val="000000" w:themeColor="text1"/>
            </w:rPr>
            <w:t>号——收入》所定义的交易价格进行初始计量。</w:t>
          </w:r>
        </w:p>
        <w:p w14:paraId="56C48AFE" w14:textId="77777777" w:rsidR="00577D08" w:rsidRDefault="00330FC0">
          <w:pPr>
            <w:spacing w:line="360" w:lineRule="exact"/>
            <w:ind w:firstLineChars="200" w:firstLine="420"/>
            <w:rPr>
              <w:color w:val="000000" w:themeColor="text1"/>
            </w:rPr>
          </w:pPr>
          <w:r>
            <w:rPr>
              <w:rFonts w:hint="eastAsia"/>
              <w:color w:val="000000" w:themeColor="text1"/>
            </w:rPr>
            <w:t>2</w:t>
          </w:r>
          <w:r>
            <w:rPr>
              <w:rFonts w:hint="eastAsia"/>
              <w:color w:val="000000" w:themeColor="text1"/>
            </w:rPr>
            <w:t>）金融资产的后续计量方法</w:t>
          </w:r>
        </w:p>
        <w:p w14:paraId="4D151B79" w14:textId="77777777" w:rsidR="00577D08" w:rsidRDefault="00330FC0">
          <w:pPr>
            <w:spacing w:line="360" w:lineRule="exact"/>
            <w:ind w:firstLineChars="200" w:firstLine="420"/>
            <w:rPr>
              <w:color w:val="000000" w:themeColor="text1"/>
            </w:rPr>
          </w:pPr>
          <w:r>
            <w:rPr>
              <w:rFonts w:hint="eastAsia"/>
              <w:color w:val="000000" w:themeColor="text1"/>
            </w:rPr>
            <w:t>①以摊余成本计量的金融资产</w:t>
          </w:r>
        </w:p>
        <w:p w14:paraId="3DCBCBB2" w14:textId="77777777" w:rsidR="00577D08" w:rsidRDefault="00330FC0">
          <w:pPr>
            <w:spacing w:line="360" w:lineRule="exact"/>
            <w:ind w:firstLineChars="200" w:firstLine="420"/>
            <w:rPr>
              <w:color w:val="000000" w:themeColor="text1"/>
            </w:rPr>
          </w:pPr>
          <w:r>
            <w:rPr>
              <w:rFonts w:hint="eastAsia"/>
              <w:color w:val="000000" w:themeColor="text1"/>
            </w:rPr>
            <w:t>采用实际利率法，按照摊余成本进行后续计量。以摊余成本计量且不属于任何套期关系的一部分的金融资产所产生的利得或损失，在终止确认、重分类、按照实际利率法摊销或确认减值时，计入当期损益。</w:t>
          </w:r>
        </w:p>
        <w:p w14:paraId="4E52443B" w14:textId="77777777" w:rsidR="00577D08" w:rsidRDefault="00330FC0">
          <w:pPr>
            <w:spacing w:line="360" w:lineRule="exact"/>
            <w:ind w:firstLineChars="200" w:firstLine="420"/>
            <w:rPr>
              <w:color w:val="000000" w:themeColor="text1"/>
            </w:rPr>
          </w:pPr>
          <w:r>
            <w:rPr>
              <w:rFonts w:hint="eastAsia"/>
              <w:color w:val="000000" w:themeColor="text1"/>
            </w:rPr>
            <w:t>②以公允价值计量且其变动计入其他综合收益的债务工具投资</w:t>
          </w:r>
        </w:p>
        <w:p w14:paraId="451059BC" w14:textId="77777777" w:rsidR="00577D08" w:rsidRDefault="00330FC0">
          <w:pPr>
            <w:spacing w:line="360" w:lineRule="exact"/>
            <w:ind w:firstLineChars="200" w:firstLine="420"/>
            <w:rPr>
              <w:color w:val="000000" w:themeColor="text1"/>
            </w:rPr>
          </w:pPr>
          <w:r>
            <w:rPr>
              <w:rFonts w:hint="eastAsia"/>
              <w:color w:val="000000" w:themeColor="text1"/>
            </w:rPr>
            <w:t>采用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w:t>
          </w:r>
        </w:p>
        <w:p w14:paraId="1F4F5405" w14:textId="77777777" w:rsidR="00577D08" w:rsidRDefault="00330FC0">
          <w:pPr>
            <w:spacing w:line="360" w:lineRule="exact"/>
            <w:ind w:firstLineChars="200" w:firstLine="420"/>
            <w:rPr>
              <w:color w:val="000000" w:themeColor="text1"/>
            </w:rPr>
          </w:pPr>
          <w:r>
            <w:rPr>
              <w:rFonts w:hint="eastAsia"/>
              <w:color w:val="000000" w:themeColor="text1"/>
            </w:rPr>
            <w:t>③以公允价值计量且其变动计入其他综合收益的权益工具投资</w:t>
          </w:r>
        </w:p>
        <w:p w14:paraId="41570BAC" w14:textId="77777777" w:rsidR="00577D08" w:rsidRDefault="00330FC0">
          <w:pPr>
            <w:spacing w:line="360" w:lineRule="exact"/>
            <w:ind w:firstLineChars="200" w:firstLine="420"/>
            <w:rPr>
              <w:color w:val="000000" w:themeColor="text1"/>
            </w:rPr>
          </w:pPr>
          <w:r>
            <w:rPr>
              <w:rFonts w:hint="eastAsia"/>
              <w:color w:val="000000" w:themeColor="text1"/>
            </w:rPr>
            <w:lastRenderedPageBreak/>
            <w:t>采用公允价值进行后续计量。获得的股利（属于投资成本收回部分的除外）计入当期损益，其他利得或损失计入其他综合收益。终止确认时，将之前计入其他综合收益的累计利得或损失从其他综合收益中转出，计入留存收益。</w:t>
          </w:r>
        </w:p>
        <w:p w14:paraId="4367A6BE" w14:textId="77777777" w:rsidR="00577D08" w:rsidRDefault="00330FC0">
          <w:pPr>
            <w:spacing w:line="360" w:lineRule="exact"/>
            <w:ind w:firstLineChars="200" w:firstLine="420"/>
            <w:rPr>
              <w:color w:val="000000" w:themeColor="text1"/>
            </w:rPr>
          </w:pPr>
          <w:r>
            <w:rPr>
              <w:rFonts w:hint="eastAsia"/>
              <w:color w:val="000000" w:themeColor="text1"/>
            </w:rPr>
            <w:t>④以公允价值计量且其变动计入当期损益的金融资产</w:t>
          </w:r>
        </w:p>
        <w:p w14:paraId="7A749805" w14:textId="77777777" w:rsidR="00577D08" w:rsidRDefault="00330FC0">
          <w:pPr>
            <w:spacing w:line="360" w:lineRule="exact"/>
            <w:ind w:firstLineChars="200" w:firstLine="420"/>
            <w:rPr>
              <w:color w:val="000000" w:themeColor="text1"/>
            </w:rPr>
          </w:pPr>
          <w:r>
            <w:rPr>
              <w:rFonts w:hint="eastAsia"/>
              <w:color w:val="000000" w:themeColor="text1"/>
            </w:rPr>
            <w:t>采用公允价值进行后续计量，产生的利得或损失（包括利息和股利收入）计入当期损益，除非该金融资产属于套期关系的一部分。</w:t>
          </w:r>
        </w:p>
        <w:p w14:paraId="65F8DF37" w14:textId="77777777" w:rsidR="00577D08" w:rsidRDefault="00330FC0">
          <w:pPr>
            <w:spacing w:line="360" w:lineRule="exact"/>
            <w:ind w:firstLineChars="200" w:firstLine="420"/>
            <w:rPr>
              <w:color w:val="000000" w:themeColor="text1"/>
            </w:rPr>
          </w:pPr>
          <w:r>
            <w:rPr>
              <w:rFonts w:hint="eastAsia"/>
              <w:color w:val="000000" w:themeColor="text1"/>
            </w:rPr>
            <w:t>3</w:t>
          </w:r>
          <w:r>
            <w:rPr>
              <w:rFonts w:hint="eastAsia"/>
              <w:color w:val="000000" w:themeColor="text1"/>
            </w:rPr>
            <w:t>）金融负债的后续计量方法</w:t>
          </w:r>
        </w:p>
        <w:p w14:paraId="1798344C" w14:textId="77777777" w:rsidR="00577D08" w:rsidRDefault="00330FC0">
          <w:pPr>
            <w:spacing w:line="360" w:lineRule="exact"/>
            <w:ind w:firstLineChars="200" w:firstLine="420"/>
            <w:rPr>
              <w:color w:val="000000" w:themeColor="text1"/>
            </w:rPr>
          </w:pPr>
          <w:r>
            <w:rPr>
              <w:rFonts w:hint="eastAsia"/>
              <w:color w:val="000000" w:themeColor="text1"/>
            </w:rPr>
            <w:t>①以公允价值计量且其变动计入当期损益的金融负债</w:t>
          </w:r>
        </w:p>
        <w:p w14:paraId="451B0FFD" w14:textId="77777777" w:rsidR="00577D08" w:rsidRDefault="00330FC0">
          <w:pPr>
            <w:spacing w:line="360" w:lineRule="exact"/>
            <w:ind w:firstLineChars="200" w:firstLine="420"/>
            <w:rPr>
              <w:color w:val="000000" w:themeColor="text1"/>
            </w:rPr>
          </w:pPr>
          <w:r>
            <w:rPr>
              <w:rFonts w:hint="eastAsia"/>
              <w:color w:val="000000" w:themeColor="text1"/>
            </w:rPr>
            <w:t>此类金融负债包括交易性金融负债（含属于金融负债的衍生工具）和指定为以公允价值计量且其变动计入当期损益的金融负债。对于此类金融负债以公允价值进行后续计量。因公司自身信用风险变动引起的指定为以公允价值计量且其变动计入当期损益的金融负债的公允价值变动金额计入其他综合收益，除非该处理会造成或扩大损益中的会计错配。此类金融负债产生的其他利得或损失（包括利息费用、除因公司自身信用风险变动引起的公允价值变动）计入当期损益，除非该金融负债属于套期关系的一部分。终止确认时，将之前计入其他综合收益的累计利得或损失从其他综合收益中转出，计入留存收益。</w:t>
          </w:r>
        </w:p>
        <w:p w14:paraId="3A414895" w14:textId="77777777" w:rsidR="00577D08" w:rsidRDefault="00330FC0">
          <w:pPr>
            <w:spacing w:line="360" w:lineRule="exact"/>
            <w:ind w:firstLineChars="200" w:firstLine="420"/>
            <w:rPr>
              <w:color w:val="000000" w:themeColor="text1"/>
            </w:rPr>
          </w:pPr>
          <w:r>
            <w:rPr>
              <w:rFonts w:hint="eastAsia"/>
              <w:color w:val="000000" w:themeColor="text1"/>
            </w:rPr>
            <w:t>②金融资产转移不符合终止确认条件或继续涉入被转移金融资产所形成的金融负债</w:t>
          </w:r>
        </w:p>
        <w:p w14:paraId="758A56A4" w14:textId="77777777" w:rsidR="00577D08" w:rsidRDefault="00330FC0">
          <w:pPr>
            <w:spacing w:line="360" w:lineRule="exact"/>
            <w:ind w:firstLineChars="200" w:firstLine="420"/>
            <w:rPr>
              <w:color w:val="000000" w:themeColor="text1"/>
            </w:rPr>
          </w:pPr>
          <w:r>
            <w:rPr>
              <w:rFonts w:hint="eastAsia"/>
              <w:color w:val="000000" w:themeColor="text1"/>
            </w:rPr>
            <w:t>按照《企业会计准则第</w:t>
          </w:r>
          <w:r>
            <w:rPr>
              <w:rFonts w:hint="eastAsia"/>
              <w:color w:val="000000" w:themeColor="text1"/>
            </w:rPr>
            <w:t>23</w:t>
          </w:r>
          <w:r>
            <w:rPr>
              <w:rFonts w:hint="eastAsia"/>
              <w:color w:val="000000" w:themeColor="text1"/>
            </w:rPr>
            <w:t>号——金融资产转移》相关规定进行计量。</w:t>
          </w:r>
        </w:p>
        <w:p w14:paraId="572ABB9A" w14:textId="77777777" w:rsidR="00577D08" w:rsidRDefault="00330FC0">
          <w:pPr>
            <w:spacing w:line="360" w:lineRule="exact"/>
            <w:ind w:firstLineChars="200" w:firstLine="420"/>
            <w:rPr>
              <w:color w:val="000000" w:themeColor="text1"/>
            </w:rPr>
          </w:pPr>
          <w:r>
            <w:rPr>
              <w:rFonts w:hint="eastAsia"/>
              <w:color w:val="000000" w:themeColor="text1"/>
            </w:rPr>
            <w:t>③不属于上述①或②的财务担保合同，以及不属于上述①并以低于市场利率贷款的贷款承诺</w:t>
          </w:r>
        </w:p>
        <w:p w14:paraId="1D6BDDB0" w14:textId="77777777" w:rsidR="00577D08" w:rsidRDefault="00330FC0">
          <w:pPr>
            <w:spacing w:line="360" w:lineRule="exact"/>
            <w:ind w:firstLineChars="200" w:firstLine="420"/>
            <w:rPr>
              <w:color w:val="000000" w:themeColor="text1"/>
            </w:rPr>
          </w:pPr>
          <w:r>
            <w:rPr>
              <w:rFonts w:hint="eastAsia"/>
              <w:color w:val="000000" w:themeColor="text1"/>
            </w:rPr>
            <w:t>在初始确认后按照下列两项金额之中的较高者进行后续计量：按照金融工具的减值规定确定的损失准备金额；初始确认金额扣除按照《企业会计准则第</w:t>
          </w:r>
          <w:r>
            <w:rPr>
              <w:rFonts w:hint="eastAsia"/>
              <w:color w:val="000000" w:themeColor="text1"/>
            </w:rPr>
            <w:t>14</w:t>
          </w:r>
          <w:r>
            <w:rPr>
              <w:rFonts w:hint="eastAsia"/>
              <w:color w:val="000000" w:themeColor="text1"/>
            </w:rPr>
            <w:t>号——收入》相关规定所确定的累计摊销额后的余额。</w:t>
          </w:r>
        </w:p>
        <w:p w14:paraId="4E245B24" w14:textId="77777777" w:rsidR="00577D08" w:rsidRDefault="00330FC0">
          <w:pPr>
            <w:spacing w:line="360" w:lineRule="exact"/>
            <w:ind w:firstLineChars="200" w:firstLine="420"/>
            <w:rPr>
              <w:color w:val="000000" w:themeColor="text1"/>
            </w:rPr>
          </w:pPr>
          <w:r>
            <w:rPr>
              <w:rFonts w:hint="eastAsia"/>
              <w:color w:val="000000" w:themeColor="text1"/>
            </w:rPr>
            <w:t>④以摊余成本计量的金融负债</w:t>
          </w:r>
        </w:p>
        <w:p w14:paraId="63C94260" w14:textId="77777777" w:rsidR="00577D08" w:rsidRDefault="00330FC0">
          <w:pPr>
            <w:spacing w:line="360" w:lineRule="exact"/>
            <w:ind w:firstLineChars="200" w:firstLine="420"/>
            <w:rPr>
              <w:color w:val="000000" w:themeColor="text1"/>
            </w:rPr>
          </w:pPr>
          <w:r>
            <w:rPr>
              <w:rFonts w:hint="eastAsia"/>
              <w:color w:val="000000" w:themeColor="text1"/>
            </w:rPr>
            <w:t>采用实际利率法以摊余成本计量。以摊余成本计量且不属于任何套期关系的一部分的金融负债所产生的利得或损失，在终止确认、按照实际利率法摊销时计入当期损益。</w:t>
          </w:r>
        </w:p>
        <w:p w14:paraId="3B0455F6" w14:textId="77777777" w:rsidR="00577D08" w:rsidRDefault="00330FC0">
          <w:pPr>
            <w:spacing w:line="360" w:lineRule="exact"/>
            <w:ind w:firstLineChars="200" w:firstLine="420"/>
            <w:rPr>
              <w:color w:val="000000" w:themeColor="text1"/>
            </w:rPr>
          </w:pPr>
          <w:r>
            <w:rPr>
              <w:rFonts w:hint="eastAsia"/>
              <w:color w:val="000000" w:themeColor="text1"/>
            </w:rPr>
            <w:t>4</w:t>
          </w:r>
          <w:r>
            <w:rPr>
              <w:rFonts w:hint="eastAsia"/>
              <w:color w:val="000000" w:themeColor="text1"/>
            </w:rPr>
            <w:t>）金融资产和金融负债的终止确认</w:t>
          </w:r>
        </w:p>
        <w:p w14:paraId="3062863A" w14:textId="77777777" w:rsidR="00577D08" w:rsidRDefault="00330FC0">
          <w:pPr>
            <w:spacing w:line="360" w:lineRule="exact"/>
            <w:ind w:firstLineChars="200" w:firstLine="420"/>
            <w:rPr>
              <w:color w:val="000000" w:themeColor="text1"/>
            </w:rPr>
          </w:pPr>
          <w:r>
            <w:rPr>
              <w:rFonts w:hint="eastAsia"/>
              <w:color w:val="000000" w:themeColor="text1"/>
            </w:rPr>
            <w:t>①当满足下列条件之一时，终止确认金融资产：</w:t>
          </w:r>
        </w:p>
        <w:p w14:paraId="4EC419F7" w14:textId="77777777" w:rsidR="00577D08" w:rsidRDefault="00330FC0">
          <w:pPr>
            <w:spacing w:line="360" w:lineRule="exact"/>
            <w:ind w:firstLineChars="200" w:firstLine="420"/>
            <w:rPr>
              <w:color w:val="000000" w:themeColor="text1"/>
            </w:rPr>
          </w:pPr>
          <w:r>
            <w:rPr>
              <w:rFonts w:hint="eastAsia"/>
              <w:color w:val="000000" w:themeColor="text1"/>
            </w:rPr>
            <w:t>收取金融资产现金流量的合同权利已终止；</w:t>
          </w:r>
        </w:p>
        <w:p w14:paraId="5424E9BA" w14:textId="77777777" w:rsidR="00577D08" w:rsidRDefault="00330FC0">
          <w:pPr>
            <w:spacing w:line="360" w:lineRule="exact"/>
            <w:ind w:firstLineChars="200" w:firstLine="420"/>
            <w:rPr>
              <w:color w:val="000000" w:themeColor="text1"/>
            </w:rPr>
          </w:pPr>
          <w:r>
            <w:rPr>
              <w:rFonts w:hint="eastAsia"/>
              <w:color w:val="000000" w:themeColor="text1"/>
            </w:rPr>
            <w:t>金融资产已转移，且该转移满足《企业会计准则第</w:t>
          </w:r>
          <w:r>
            <w:rPr>
              <w:rFonts w:hint="eastAsia"/>
              <w:color w:val="000000" w:themeColor="text1"/>
            </w:rPr>
            <w:t>23</w:t>
          </w:r>
          <w:r>
            <w:rPr>
              <w:rFonts w:hint="eastAsia"/>
              <w:color w:val="000000" w:themeColor="text1"/>
            </w:rPr>
            <w:t>号——金融资产转移》关于金融资产终止确认的规定。</w:t>
          </w:r>
        </w:p>
        <w:p w14:paraId="27276BF9" w14:textId="77777777" w:rsidR="00577D08" w:rsidRDefault="00330FC0">
          <w:pPr>
            <w:spacing w:line="360" w:lineRule="exact"/>
            <w:ind w:firstLineChars="200" w:firstLine="420"/>
            <w:rPr>
              <w:color w:val="000000" w:themeColor="text1"/>
            </w:rPr>
          </w:pPr>
          <w:r>
            <w:rPr>
              <w:rFonts w:hint="eastAsia"/>
              <w:color w:val="000000" w:themeColor="text1"/>
            </w:rPr>
            <w:t>②当金融负债（或其一部分）的现时义务已经解除时，相应终止确认该金融负债（或该部分金融负债）。</w:t>
          </w:r>
        </w:p>
        <w:p w14:paraId="2E65FC69" w14:textId="77777777" w:rsidR="00577D08" w:rsidRDefault="00330FC0">
          <w:pPr>
            <w:spacing w:line="360" w:lineRule="exact"/>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）金融资产转移的确认依据和计量方法</w:t>
          </w:r>
        </w:p>
        <w:p w14:paraId="19911087" w14:textId="77777777" w:rsidR="00577D08" w:rsidRDefault="00330FC0">
          <w:pPr>
            <w:spacing w:line="360" w:lineRule="exact"/>
            <w:ind w:firstLineChars="200" w:firstLine="420"/>
            <w:rPr>
              <w:color w:val="000000" w:themeColor="text1"/>
            </w:rPr>
          </w:pPr>
          <w:r>
            <w:rPr>
              <w:rFonts w:hint="eastAsia"/>
              <w:color w:val="000000" w:themeColor="text1"/>
            </w:rPr>
            <w:t>公司转移了金融资产所有权上几乎所有的风险和报酬的，终止确认该金融资产，并将转移中产生或保留的权利和义务单独确认为资产或负债；保留了金融资产所有权上几乎所有的风险和报酬的，继续确认所转移的金融资产。公司既没有转移也没有保留金融资产所有权上几乎所有的风险和报酬的，分别下列情况处理：</w:t>
          </w:r>
          <w:r>
            <w:rPr>
              <w:rFonts w:hint="eastAsia"/>
              <w:color w:val="000000" w:themeColor="text1"/>
            </w:rPr>
            <w:t>1</w:t>
          </w:r>
          <w:r>
            <w:rPr>
              <w:rFonts w:hint="eastAsia"/>
              <w:color w:val="000000" w:themeColor="text1"/>
            </w:rPr>
            <w:t>）未保留对该金融资产控制的，终止确认该金融资产，并将转移中产生或保留的权利和义务单独确认为资产或负债；</w:t>
          </w:r>
          <w:r>
            <w:rPr>
              <w:rFonts w:hint="eastAsia"/>
              <w:color w:val="000000" w:themeColor="text1"/>
            </w:rPr>
            <w:t>2</w:t>
          </w:r>
          <w:r>
            <w:rPr>
              <w:rFonts w:hint="eastAsia"/>
              <w:color w:val="000000" w:themeColor="text1"/>
            </w:rPr>
            <w:t>）保留了对该金融资产控制的，按照继续涉入所转移金融资产的程度确认有关金融资产，并相应确认有关负债。</w:t>
          </w:r>
        </w:p>
        <w:p w14:paraId="6D33D059" w14:textId="77777777" w:rsidR="00577D08" w:rsidRDefault="00330FC0">
          <w:pPr>
            <w:spacing w:line="360" w:lineRule="exact"/>
            <w:ind w:firstLineChars="200" w:firstLine="420"/>
            <w:rPr>
              <w:color w:val="000000" w:themeColor="text1"/>
            </w:rPr>
          </w:pPr>
          <w:r>
            <w:rPr>
              <w:rFonts w:hint="eastAsia"/>
              <w:color w:val="000000" w:themeColor="text1"/>
            </w:rPr>
            <w:lastRenderedPageBreak/>
            <w:t>金融资产整体转移满足终止确认条件的，将下列两项金额的差额计入当期损益：</w:t>
          </w:r>
          <w:r>
            <w:rPr>
              <w:rFonts w:hint="eastAsia"/>
              <w:color w:val="000000" w:themeColor="text1"/>
            </w:rPr>
            <w:t>1</w:t>
          </w:r>
          <w:r>
            <w:rPr>
              <w:rFonts w:hint="eastAsia"/>
              <w:color w:val="000000" w:themeColor="text1"/>
            </w:rPr>
            <w:t>）所转移金融资产在终止确认日的账面价值；</w:t>
          </w:r>
          <w:r>
            <w:rPr>
              <w:rFonts w:hint="eastAsia"/>
              <w:color w:val="000000" w:themeColor="text1"/>
            </w:rPr>
            <w:t>2</w:t>
          </w:r>
          <w:r>
            <w:rPr>
              <w:rFonts w:hint="eastAsia"/>
              <w:color w:val="000000" w:themeColor="text1"/>
            </w:rPr>
            <w:t>）因转移金融资产而收到的对价，与原直接计入其他综合收益的公允价值变动累计额中对应终止确认部分的金额（涉及转移的金融资产为以公允价值计量且其变动计入其他综合收益的债务工具投资）之和。转移了金融资产的一部分，且该被转移部分整体满足终止确认条件的，将转移前金融资产整体的账面价值，在终止确认部分和继续确认部分之间，按照转移日各自的相对公允价值进行分摊，并将下列两项金额的差额计入当期损益：</w:t>
          </w:r>
          <w:r>
            <w:rPr>
              <w:rFonts w:hint="eastAsia"/>
              <w:color w:val="000000" w:themeColor="text1"/>
            </w:rPr>
            <w:t>1</w:t>
          </w:r>
          <w:r>
            <w:rPr>
              <w:rFonts w:hint="eastAsia"/>
              <w:color w:val="000000" w:themeColor="text1"/>
            </w:rPr>
            <w:t>）终止确认部分的账面价值；</w:t>
          </w:r>
          <w:r>
            <w:rPr>
              <w:rFonts w:hint="eastAsia"/>
              <w:color w:val="000000" w:themeColor="text1"/>
            </w:rPr>
            <w:t>2</w:t>
          </w:r>
          <w:r>
            <w:rPr>
              <w:rFonts w:hint="eastAsia"/>
              <w:color w:val="000000" w:themeColor="text1"/>
            </w:rPr>
            <w:t>）终止确认部分的对价，与原直接计入其他综合收益的公允价值变动累计额中对应终止确认部分的金额（涉及转移的金融资产为以公允价值计量且其变动计入其他综合收益的债务工具投资）之和。</w:t>
          </w:r>
        </w:p>
        <w:p w14:paraId="77CCE735" w14:textId="77777777" w:rsidR="00577D08" w:rsidRDefault="00330FC0">
          <w:pPr>
            <w:spacing w:line="360" w:lineRule="exact"/>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）金融资产和金融负债的公允价值确定方法</w:t>
          </w:r>
        </w:p>
        <w:p w14:paraId="0ACEC648" w14:textId="77777777" w:rsidR="00577D08" w:rsidRDefault="00330FC0">
          <w:pPr>
            <w:spacing w:line="360" w:lineRule="exact"/>
            <w:ind w:firstLineChars="200" w:firstLine="420"/>
            <w:rPr>
              <w:color w:val="000000" w:themeColor="text1"/>
            </w:rPr>
          </w:pPr>
          <w:r>
            <w:rPr>
              <w:rFonts w:hint="eastAsia"/>
              <w:color w:val="000000" w:themeColor="text1"/>
            </w:rPr>
            <w:t>公司采用在当前情况下适用并且有足够可利用数据和其他信息支持的估值技术确定相关金融资产和金融负债的公允价值。公司将估值技术使用的输入值分以下层级，并依次使用：</w:t>
          </w:r>
        </w:p>
        <w:p w14:paraId="39996C88" w14:textId="77777777" w:rsidR="00577D08" w:rsidRDefault="00330FC0">
          <w:pPr>
            <w:spacing w:line="360" w:lineRule="exact"/>
            <w:ind w:firstLineChars="200" w:firstLine="420"/>
            <w:rPr>
              <w:color w:val="000000" w:themeColor="text1"/>
            </w:rPr>
          </w:pPr>
          <w:r>
            <w:rPr>
              <w:rFonts w:hint="eastAsia"/>
              <w:color w:val="000000" w:themeColor="text1"/>
            </w:rPr>
            <w:t>1</w:t>
          </w:r>
          <w:r>
            <w:rPr>
              <w:rFonts w:hint="eastAsia"/>
              <w:color w:val="000000" w:themeColor="text1"/>
            </w:rPr>
            <w:t>）第一层次输入值是在计量日能够取得的相同资产或负债在活跃市场上未经调整的报价；</w:t>
          </w:r>
        </w:p>
        <w:p w14:paraId="4DE575F9" w14:textId="77777777" w:rsidR="00577D08" w:rsidRDefault="00330FC0">
          <w:pPr>
            <w:spacing w:line="360" w:lineRule="exact"/>
            <w:ind w:firstLineChars="200" w:firstLine="420"/>
            <w:rPr>
              <w:color w:val="000000" w:themeColor="text1"/>
            </w:rPr>
          </w:pPr>
          <w:r>
            <w:rPr>
              <w:rFonts w:hint="eastAsia"/>
              <w:color w:val="000000" w:themeColor="text1"/>
            </w:rPr>
            <w:t>2</w:t>
          </w:r>
          <w:r>
            <w:rPr>
              <w:rFonts w:hint="eastAsia"/>
              <w:color w:val="000000" w:themeColor="text1"/>
            </w:rPr>
            <w:t>）第二层次输入值是除第一层次输入值外相关资产或负债直接或间接可观察的输入值，包括：活跃市场中类似资产或负债的报价；非活跃市场中相同或类似资产或负债的报价；除报价以外的其他可观察输入值，如在正常报价间隔期间可观察的利率和收益率曲线等；市场验证的输入值等；</w:t>
          </w:r>
        </w:p>
        <w:p w14:paraId="76EB9FC1" w14:textId="77777777" w:rsidR="00577D08" w:rsidRDefault="00330FC0">
          <w:pPr>
            <w:spacing w:line="360" w:lineRule="exact"/>
            <w:ind w:firstLineChars="200" w:firstLine="420"/>
            <w:rPr>
              <w:color w:val="000000" w:themeColor="text1"/>
            </w:rPr>
          </w:pPr>
          <w:r>
            <w:rPr>
              <w:rFonts w:hint="eastAsia"/>
              <w:color w:val="000000" w:themeColor="text1"/>
            </w:rPr>
            <w:t>3</w:t>
          </w:r>
          <w:r>
            <w:rPr>
              <w:rFonts w:hint="eastAsia"/>
              <w:color w:val="000000" w:themeColor="text1"/>
            </w:rPr>
            <w:t>）第三层次输入值是相关资产或负债的不可观察输入值，包括不能直接观察或无法由可观察市场数据验证的利率、股票波动率、企业合并中承担的弃置义务的未来现金流量、使用自身数据作出的财务预测等。</w:t>
          </w:r>
        </w:p>
        <w:p w14:paraId="485CA832" w14:textId="77777777" w:rsidR="00577D08" w:rsidRDefault="00330FC0">
          <w:pPr>
            <w:spacing w:line="360" w:lineRule="exact"/>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）金融工具减值</w:t>
          </w:r>
        </w:p>
        <w:p w14:paraId="25AD7463" w14:textId="77777777" w:rsidR="00577D08" w:rsidRDefault="00330FC0">
          <w:pPr>
            <w:spacing w:line="360" w:lineRule="exact"/>
            <w:ind w:firstLineChars="200" w:firstLine="420"/>
            <w:rPr>
              <w:color w:val="000000" w:themeColor="text1"/>
            </w:rPr>
          </w:pPr>
          <w:r>
            <w:rPr>
              <w:rFonts w:hint="eastAsia"/>
              <w:color w:val="000000" w:themeColor="text1"/>
            </w:rPr>
            <w:t>公司以预期信用损失为基础，对以摊余成本计量的金融资产、以公允价值计量且其变动计入其他综合收益的债务工具投资、合同资产、租赁应收款、分类为以公允价值计量且其变动计入当期损益的金融负债以外的贷款承诺、不属于以公允价值计量且其变动计入当期损益的金融负债或不属于金融资产转移不符合终止确认条件或继续涉入被转移金融资产所形成的金融负债的财务担保合同进行减值处理并确认损失准备。</w:t>
          </w:r>
        </w:p>
        <w:p w14:paraId="0A56B4DD" w14:textId="77777777" w:rsidR="00577D08" w:rsidRDefault="00330FC0">
          <w:pPr>
            <w:spacing w:line="360" w:lineRule="exact"/>
            <w:ind w:firstLineChars="200" w:firstLine="420"/>
            <w:rPr>
              <w:color w:val="000000" w:themeColor="text1"/>
            </w:rPr>
          </w:pPr>
          <w:r>
            <w:rPr>
              <w:rFonts w:hint="eastAsia"/>
              <w:color w:val="000000" w:themeColor="text1"/>
            </w:rPr>
            <w:t>预期信用损失，是指以发生违约的风险为权重的金融工具信用损失的加权平均值。信用损失，是指公司按照原实际利率折现的、根据合同应收的所有合同现金流量与预期收取的所有现金流量之间的差额，即全部现金短缺的现值。其中，对于公司购买或源生的已发生信用减值的金融资产，按照该金融资产经信用调整的实际利率折现。</w:t>
          </w:r>
        </w:p>
        <w:p w14:paraId="3B652CEC" w14:textId="77777777" w:rsidR="00577D08" w:rsidRDefault="00330FC0">
          <w:pPr>
            <w:spacing w:line="360" w:lineRule="exact"/>
            <w:ind w:firstLineChars="200" w:firstLine="420"/>
            <w:rPr>
              <w:color w:val="000000" w:themeColor="text1"/>
            </w:rPr>
          </w:pPr>
          <w:r>
            <w:rPr>
              <w:rFonts w:hint="eastAsia"/>
              <w:color w:val="000000" w:themeColor="text1"/>
            </w:rPr>
            <w:t>对于购买或源生的已发生信用减值的金融资产，公司在资产负债表日仅将自初始确认后整个存续期内预期信用损失的累计变动确认为损失准备。</w:t>
          </w:r>
        </w:p>
        <w:p w14:paraId="33791AC6" w14:textId="77777777" w:rsidR="00577D08" w:rsidRDefault="00330FC0">
          <w:pPr>
            <w:spacing w:line="360" w:lineRule="exact"/>
            <w:ind w:firstLineChars="200" w:firstLine="420"/>
            <w:rPr>
              <w:color w:val="000000" w:themeColor="text1"/>
            </w:rPr>
          </w:pPr>
          <w:r>
            <w:rPr>
              <w:rFonts w:hint="eastAsia"/>
              <w:color w:val="000000" w:themeColor="text1"/>
            </w:rPr>
            <w:t>对于由《企业会计准则第</w:t>
          </w:r>
          <w:r>
            <w:rPr>
              <w:rFonts w:hint="eastAsia"/>
              <w:color w:val="000000" w:themeColor="text1"/>
            </w:rPr>
            <w:t>14</w:t>
          </w:r>
          <w:r>
            <w:rPr>
              <w:rFonts w:hint="eastAsia"/>
              <w:color w:val="000000" w:themeColor="text1"/>
            </w:rPr>
            <w:t>号——收入》规范的交易形成，且不含重大融资成分或者公司不考虑不超过一年的合同中的融资成分的应收款项及合同资产，公司运用简化计量方法，按照相当于整个存续期内的预期信用损失金额计量损失准备。</w:t>
          </w:r>
        </w:p>
        <w:p w14:paraId="4804EAE2" w14:textId="77777777" w:rsidR="00577D08" w:rsidRDefault="00330FC0">
          <w:pPr>
            <w:spacing w:line="360" w:lineRule="exact"/>
            <w:ind w:firstLineChars="200" w:firstLine="420"/>
            <w:rPr>
              <w:color w:val="000000" w:themeColor="text1"/>
            </w:rPr>
          </w:pPr>
          <w:r>
            <w:rPr>
              <w:rFonts w:hint="eastAsia"/>
              <w:color w:val="000000" w:themeColor="text1"/>
            </w:rPr>
            <w:t>除上述计量方法以外的金融资产，公司在每个资产负债表日评估其信用风险自初始确认后是否已经显著增加。如果信用风险自初始确认后已显著增加，公司按照整个存续期内预期信用损失</w:t>
          </w:r>
          <w:r>
            <w:rPr>
              <w:rFonts w:hint="eastAsia"/>
              <w:color w:val="000000" w:themeColor="text1"/>
            </w:rPr>
            <w:lastRenderedPageBreak/>
            <w:t>的金额计量损失准备；如果信用风险自初始确认后未显著增加，公司按照该金融工具未来</w:t>
          </w:r>
          <w:r>
            <w:rPr>
              <w:rFonts w:hint="eastAsia"/>
              <w:color w:val="000000" w:themeColor="text1"/>
            </w:rPr>
            <w:t>12</w:t>
          </w:r>
          <w:r>
            <w:rPr>
              <w:rFonts w:hint="eastAsia"/>
              <w:color w:val="000000" w:themeColor="text1"/>
            </w:rPr>
            <w:t>个月内预期信用损失的金额计量损失准备。</w:t>
          </w:r>
        </w:p>
        <w:p w14:paraId="7FB3A87B" w14:textId="77777777" w:rsidR="00577D08" w:rsidRDefault="00330FC0">
          <w:pPr>
            <w:spacing w:line="360" w:lineRule="exact"/>
            <w:ind w:firstLineChars="200" w:firstLine="420"/>
            <w:rPr>
              <w:color w:val="000000" w:themeColor="text1"/>
            </w:rPr>
          </w:pPr>
          <w:r>
            <w:rPr>
              <w:rFonts w:hint="eastAsia"/>
              <w:color w:val="000000" w:themeColor="text1"/>
            </w:rPr>
            <w:t>公司利用可获得的合理且有依据的信息，包括前瞻性信息，通过比较金融工具在资产负债表日发生违约的风险与在初始确认日发生违约的风险，以确定金融工具的信用风险自初始确认后是否已显著增加。</w:t>
          </w:r>
        </w:p>
        <w:p w14:paraId="2A53625B" w14:textId="77777777" w:rsidR="00577D08" w:rsidRDefault="00330FC0">
          <w:pPr>
            <w:spacing w:line="360" w:lineRule="exact"/>
            <w:ind w:firstLineChars="200" w:firstLine="420"/>
            <w:rPr>
              <w:color w:val="000000" w:themeColor="text1"/>
            </w:rPr>
          </w:pPr>
          <w:r>
            <w:rPr>
              <w:rFonts w:hint="eastAsia"/>
              <w:color w:val="000000" w:themeColor="text1"/>
            </w:rPr>
            <w:t>于资产负债表日，若公司判断金融工具只具有较低的信用风险，则假定该金融工具的信用风险自初始确认后并未显著增加。</w:t>
          </w:r>
        </w:p>
        <w:p w14:paraId="5BF117A5" w14:textId="77777777" w:rsidR="00577D08" w:rsidRDefault="00330FC0">
          <w:pPr>
            <w:spacing w:line="360" w:lineRule="exact"/>
            <w:ind w:firstLineChars="200" w:firstLine="420"/>
            <w:rPr>
              <w:color w:val="000000" w:themeColor="text1"/>
            </w:rPr>
          </w:pPr>
          <w:r>
            <w:rPr>
              <w:rFonts w:hint="eastAsia"/>
              <w:color w:val="000000" w:themeColor="text1"/>
            </w:rPr>
            <w:t>公司以单项金融工具或金融工具组合为基础评估预期信用风险和计量预期信用损失。当以金融工具组合为基础时，公司以共同风险特征为依据，将金融工具划分为不同组合。</w:t>
          </w:r>
        </w:p>
        <w:p w14:paraId="4B2505EF" w14:textId="77777777" w:rsidR="00577D08" w:rsidRDefault="00330FC0">
          <w:pPr>
            <w:spacing w:line="360" w:lineRule="exact"/>
            <w:ind w:firstLineChars="200" w:firstLine="420"/>
            <w:rPr>
              <w:color w:val="000000" w:themeColor="text1"/>
            </w:rPr>
          </w:pPr>
          <w:r>
            <w:rPr>
              <w:rFonts w:hint="eastAsia"/>
              <w:color w:val="000000" w:themeColor="text1"/>
            </w:rPr>
            <w:t>公司在每个资产负债表日重新计量预期信用损失，由此形成的损失准备的增加或转回金额，作为减值损失或利得计入当期损益。对于以摊余成本计量的金融资产，损失准备抵减该金融资产在资产负债表中列示的账面价值；对于以公允价值计量且其变动计入其他综合收益的债权投资，公司在其他综合收益中确认其损失准备，不抵减该金融资产的账面价值。</w:t>
          </w:r>
        </w:p>
        <w:p w14:paraId="6661785D" w14:textId="77777777" w:rsidR="00577D08" w:rsidRDefault="00330FC0">
          <w:pPr>
            <w:spacing w:line="360" w:lineRule="exact"/>
            <w:ind w:firstLineChars="200" w:firstLine="420"/>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）金融资产和金融负债的抵销</w:t>
          </w:r>
        </w:p>
        <w:p w14:paraId="4453801F" w14:textId="77777777" w:rsidR="00577D08" w:rsidRDefault="00330FC0">
          <w:pPr>
            <w:spacing w:line="360" w:lineRule="exact"/>
            <w:ind w:firstLineChars="200" w:firstLine="420"/>
            <w:rPr>
              <w:color w:val="000000" w:themeColor="text1"/>
            </w:rPr>
          </w:pPr>
          <w:r>
            <w:rPr>
              <w:rFonts w:hint="eastAsia"/>
              <w:color w:val="000000" w:themeColor="text1"/>
            </w:rPr>
            <w:t>金融资产和金融负债在资产负债表内分别列示，不相互抵销。但同时满足下列条件的，公司以相互抵销后的净额在资产负债表内列示：</w:t>
          </w:r>
          <w:r>
            <w:rPr>
              <w:rFonts w:hint="eastAsia"/>
              <w:color w:val="000000" w:themeColor="text1"/>
            </w:rPr>
            <w:t>1</w:t>
          </w:r>
          <w:r>
            <w:rPr>
              <w:rFonts w:hint="eastAsia"/>
              <w:color w:val="000000" w:themeColor="text1"/>
            </w:rPr>
            <w:t>）公司具有抵销已确认金额的法定权利，且该种法定权利是当前可执行的；</w:t>
          </w:r>
          <w:r>
            <w:rPr>
              <w:rFonts w:hint="eastAsia"/>
              <w:color w:val="000000" w:themeColor="text1"/>
            </w:rPr>
            <w:t>2</w:t>
          </w:r>
          <w:r>
            <w:rPr>
              <w:rFonts w:hint="eastAsia"/>
              <w:color w:val="000000" w:themeColor="text1"/>
            </w:rPr>
            <w:t>）公司计划以净额结算，或同时变现该金融资产和清偿该金融负债。</w:t>
          </w:r>
        </w:p>
        <w:p w14:paraId="5266F429" w14:textId="77777777" w:rsidR="00577D08" w:rsidRDefault="00330FC0">
          <w:pPr>
            <w:spacing w:line="360" w:lineRule="exact"/>
            <w:ind w:firstLineChars="200" w:firstLine="420"/>
            <w:rPr>
              <w:color w:val="000000" w:themeColor="text1"/>
            </w:rPr>
          </w:pPr>
          <w:r>
            <w:rPr>
              <w:rFonts w:hint="eastAsia"/>
              <w:color w:val="000000" w:themeColor="text1"/>
            </w:rPr>
            <w:t>不满足终止确认条件的金融资产转移，公司不对已转移的金融资产和相关负债进行抵销。</w:t>
          </w:r>
        </w:p>
        <w:p w14:paraId="52B1ACFF" w14:textId="77777777" w:rsidR="00577D08" w:rsidRDefault="00330FC0">
          <w:pPr>
            <w:spacing w:line="360" w:lineRule="exact"/>
            <w:ind w:firstLineChars="200" w:firstLine="420"/>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）应收款项预期信用损失的确认标准和计提方法</w:t>
          </w:r>
        </w:p>
        <w:p w14:paraId="0546A641" w14:textId="77777777" w:rsidR="00577D08" w:rsidRDefault="00330FC0">
          <w:pPr>
            <w:spacing w:line="360" w:lineRule="exact"/>
            <w:ind w:firstLineChars="200" w:firstLine="420"/>
            <w:rPr>
              <w:color w:val="000000" w:themeColor="text1"/>
            </w:rPr>
          </w:pPr>
          <w:r>
            <w:rPr>
              <w:rFonts w:hint="eastAsia"/>
              <w:color w:val="000000" w:themeColor="text1"/>
            </w:rPr>
            <w:t>1</w:t>
          </w:r>
          <w:r>
            <w:rPr>
              <w:rFonts w:hint="eastAsia"/>
              <w:color w:val="000000" w:themeColor="text1"/>
            </w:rPr>
            <w:t>）按信用风险特征组合计提预期信用损失的应收款项</w:t>
          </w: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979"/>
            <w:gridCol w:w="2979"/>
          </w:tblGrid>
          <w:tr w:rsidR="00577D08" w14:paraId="75D3924F" w14:textId="77777777">
            <w:trPr>
              <w:trHeight w:val="397"/>
              <w:tblHeader/>
            </w:trPr>
            <w:tc>
              <w:tcPr>
                <w:tcW w:w="1624" w:type="pct"/>
                <w:vAlign w:val="center"/>
              </w:tcPr>
              <w:p w14:paraId="0264C982" w14:textId="77777777" w:rsidR="00577D08" w:rsidRDefault="00330FC0">
                <w:pPr>
                  <w:jc w:val="center"/>
                  <w:rPr>
                    <w:sz w:val="20"/>
                    <w:szCs w:val="20"/>
                  </w:rPr>
                </w:pPr>
                <w:r>
                  <w:rPr>
                    <w:rFonts w:hint="eastAsia"/>
                    <w:sz w:val="20"/>
                    <w:szCs w:val="20"/>
                  </w:rPr>
                  <w:t>组合类别</w:t>
                </w:r>
              </w:p>
            </w:tc>
            <w:tc>
              <w:tcPr>
                <w:tcW w:w="1688" w:type="pct"/>
                <w:vAlign w:val="center"/>
              </w:tcPr>
              <w:p w14:paraId="6F93350C" w14:textId="77777777" w:rsidR="00577D08" w:rsidRDefault="00330FC0">
                <w:pPr>
                  <w:jc w:val="center"/>
                  <w:rPr>
                    <w:sz w:val="20"/>
                    <w:szCs w:val="20"/>
                  </w:rPr>
                </w:pPr>
                <w:r>
                  <w:rPr>
                    <w:rFonts w:hint="eastAsia"/>
                    <w:sz w:val="20"/>
                    <w:szCs w:val="20"/>
                  </w:rPr>
                  <w:t>确定组合的依据</w:t>
                </w:r>
              </w:p>
            </w:tc>
            <w:tc>
              <w:tcPr>
                <w:tcW w:w="1688" w:type="pct"/>
                <w:vAlign w:val="center"/>
              </w:tcPr>
              <w:p w14:paraId="7D670FBC" w14:textId="77777777" w:rsidR="00577D08" w:rsidRDefault="00330FC0">
                <w:pPr>
                  <w:jc w:val="center"/>
                  <w:rPr>
                    <w:sz w:val="20"/>
                    <w:szCs w:val="20"/>
                  </w:rPr>
                </w:pPr>
                <w:r>
                  <w:rPr>
                    <w:rFonts w:hint="eastAsia"/>
                    <w:sz w:val="20"/>
                    <w:szCs w:val="20"/>
                  </w:rPr>
                  <w:t>计量预期信用损失的方法</w:t>
                </w:r>
              </w:p>
            </w:tc>
          </w:tr>
          <w:tr w:rsidR="00577D08" w14:paraId="0A44AF5A" w14:textId="77777777">
            <w:trPr>
              <w:trHeight w:val="397"/>
            </w:trPr>
            <w:tc>
              <w:tcPr>
                <w:tcW w:w="1624" w:type="pct"/>
                <w:vAlign w:val="center"/>
              </w:tcPr>
              <w:p w14:paraId="50A0DA02" w14:textId="77777777" w:rsidR="00577D08" w:rsidRDefault="00330FC0">
                <w:pPr>
                  <w:jc w:val="both"/>
                  <w:rPr>
                    <w:sz w:val="20"/>
                    <w:szCs w:val="20"/>
                  </w:rPr>
                </w:pPr>
                <w:r>
                  <w:rPr>
                    <w:rFonts w:hint="eastAsia"/>
                    <w:sz w:val="20"/>
                    <w:szCs w:val="20"/>
                  </w:rPr>
                  <w:t>应收银行承兑汇票</w:t>
                </w:r>
              </w:p>
            </w:tc>
            <w:tc>
              <w:tcPr>
                <w:tcW w:w="1688" w:type="pct"/>
                <w:vMerge w:val="restart"/>
                <w:vAlign w:val="center"/>
              </w:tcPr>
              <w:p w14:paraId="45D85B90" w14:textId="77777777" w:rsidR="00577D08" w:rsidRDefault="00330FC0">
                <w:pPr>
                  <w:jc w:val="both"/>
                  <w:rPr>
                    <w:sz w:val="20"/>
                    <w:szCs w:val="20"/>
                  </w:rPr>
                </w:pPr>
                <w:r>
                  <w:rPr>
                    <w:rFonts w:hint="eastAsia"/>
                    <w:sz w:val="20"/>
                    <w:szCs w:val="20"/>
                  </w:rPr>
                  <w:t>票据类型</w:t>
                </w:r>
              </w:p>
            </w:tc>
            <w:tc>
              <w:tcPr>
                <w:tcW w:w="1688" w:type="pct"/>
                <w:vMerge w:val="restart"/>
                <w:vAlign w:val="center"/>
              </w:tcPr>
              <w:p w14:paraId="183D7F2D" w14:textId="77777777" w:rsidR="00577D08" w:rsidRDefault="00330FC0">
                <w:pPr>
                  <w:jc w:val="both"/>
                  <w:rPr>
                    <w:sz w:val="20"/>
                    <w:szCs w:val="20"/>
                  </w:rPr>
                </w:pPr>
                <w:r>
                  <w:rPr>
                    <w:rFonts w:hint="eastAsia"/>
                    <w:sz w:val="20"/>
                    <w:szCs w:val="20"/>
                  </w:rPr>
                  <w:t>参考历史信用损失经验，结合当前状况以及对未来经济状况的预测，通过违约风险敞口和整个存续期预期信用损失率，计算预期信用损失</w:t>
                </w:r>
              </w:p>
            </w:tc>
          </w:tr>
          <w:tr w:rsidR="00577D08" w14:paraId="107C8496" w14:textId="77777777">
            <w:trPr>
              <w:trHeight w:val="397"/>
            </w:trPr>
            <w:tc>
              <w:tcPr>
                <w:tcW w:w="1624" w:type="pct"/>
                <w:vAlign w:val="center"/>
              </w:tcPr>
              <w:p w14:paraId="0807C68C" w14:textId="77777777" w:rsidR="00577D08" w:rsidRDefault="00330FC0">
                <w:pPr>
                  <w:jc w:val="both"/>
                  <w:rPr>
                    <w:sz w:val="20"/>
                    <w:szCs w:val="20"/>
                  </w:rPr>
                </w:pPr>
                <w:r>
                  <w:rPr>
                    <w:rFonts w:hint="eastAsia"/>
                    <w:sz w:val="20"/>
                    <w:szCs w:val="20"/>
                  </w:rPr>
                  <w:t>应收商业承兑汇票</w:t>
                </w:r>
              </w:p>
            </w:tc>
            <w:tc>
              <w:tcPr>
                <w:tcW w:w="1688" w:type="pct"/>
                <w:vMerge/>
                <w:vAlign w:val="center"/>
              </w:tcPr>
              <w:p w14:paraId="2D589AD7" w14:textId="77777777" w:rsidR="00577D08" w:rsidRDefault="00577D08">
                <w:pPr>
                  <w:jc w:val="both"/>
                  <w:rPr>
                    <w:sz w:val="20"/>
                    <w:szCs w:val="20"/>
                  </w:rPr>
                </w:pPr>
              </w:p>
            </w:tc>
            <w:tc>
              <w:tcPr>
                <w:tcW w:w="1688" w:type="pct"/>
                <w:vMerge/>
                <w:vAlign w:val="center"/>
              </w:tcPr>
              <w:p w14:paraId="3B38E380" w14:textId="77777777" w:rsidR="00577D08" w:rsidRDefault="00577D08">
                <w:pPr>
                  <w:jc w:val="both"/>
                  <w:rPr>
                    <w:sz w:val="20"/>
                    <w:szCs w:val="20"/>
                  </w:rPr>
                </w:pPr>
              </w:p>
            </w:tc>
          </w:tr>
          <w:tr w:rsidR="00577D08" w14:paraId="3B8F298E" w14:textId="77777777">
            <w:trPr>
              <w:trHeight w:val="397"/>
            </w:trPr>
            <w:tc>
              <w:tcPr>
                <w:tcW w:w="1624" w:type="pct"/>
                <w:vAlign w:val="center"/>
              </w:tcPr>
              <w:p w14:paraId="13F7353A" w14:textId="77777777" w:rsidR="00577D08" w:rsidRDefault="00330FC0">
                <w:pPr>
                  <w:jc w:val="both"/>
                  <w:rPr>
                    <w:sz w:val="20"/>
                    <w:szCs w:val="20"/>
                  </w:rPr>
                </w:pPr>
                <w:r>
                  <w:rPr>
                    <w:rFonts w:hint="eastAsia"/>
                    <w:sz w:val="20"/>
                    <w:szCs w:val="20"/>
                  </w:rPr>
                  <w:t>应收供应链金融电子债权凭证</w:t>
                </w:r>
              </w:p>
            </w:tc>
            <w:tc>
              <w:tcPr>
                <w:tcW w:w="1688" w:type="pct"/>
                <w:vMerge/>
                <w:vAlign w:val="center"/>
              </w:tcPr>
              <w:p w14:paraId="0DC1B788" w14:textId="77777777" w:rsidR="00577D08" w:rsidRDefault="00577D08">
                <w:pPr>
                  <w:jc w:val="both"/>
                  <w:rPr>
                    <w:sz w:val="20"/>
                    <w:szCs w:val="20"/>
                  </w:rPr>
                </w:pPr>
              </w:p>
            </w:tc>
            <w:tc>
              <w:tcPr>
                <w:tcW w:w="1688" w:type="pct"/>
                <w:vMerge/>
                <w:vAlign w:val="center"/>
              </w:tcPr>
              <w:p w14:paraId="5BAA9E7E" w14:textId="77777777" w:rsidR="00577D08" w:rsidRDefault="00577D08">
                <w:pPr>
                  <w:jc w:val="both"/>
                  <w:rPr>
                    <w:sz w:val="20"/>
                    <w:szCs w:val="20"/>
                  </w:rPr>
                </w:pPr>
              </w:p>
            </w:tc>
          </w:tr>
          <w:tr w:rsidR="00577D08" w14:paraId="4F70F7DB" w14:textId="77777777">
            <w:trPr>
              <w:trHeight w:val="397"/>
            </w:trPr>
            <w:tc>
              <w:tcPr>
                <w:tcW w:w="1624" w:type="pct"/>
                <w:vAlign w:val="center"/>
              </w:tcPr>
              <w:p w14:paraId="7E3A07FF" w14:textId="77777777" w:rsidR="00577D08" w:rsidRDefault="00330FC0">
                <w:pPr>
                  <w:jc w:val="both"/>
                  <w:rPr>
                    <w:sz w:val="20"/>
                    <w:szCs w:val="20"/>
                  </w:rPr>
                </w:pPr>
                <w:r>
                  <w:rPr>
                    <w:rFonts w:hint="eastAsia"/>
                    <w:sz w:val="20"/>
                    <w:szCs w:val="20"/>
                  </w:rPr>
                  <w:t>应收账款—账龄组合</w:t>
                </w:r>
              </w:p>
            </w:tc>
            <w:tc>
              <w:tcPr>
                <w:tcW w:w="1688" w:type="pct"/>
                <w:vAlign w:val="center"/>
              </w:tcPr>
              <w:p w14:paraId="1351B28F" w14:textId="77777777" w:rsidR="00577D08" w:rsidRDefault="00330FC0">
                <w:pPr>
                  <w:jc w:val="both"/>
                  <w:rPr>
                    <w:sz w:val="20"/>
                    <w:szCs w:val="20"/>
                  </w:rPr>
                </w:pPr>
                <w:r>
                  <w:rPr>
                    <w:rFonts w:hint="eastAsia"/>
                    <w:sz w:val="20"/>
                    <w:szCs w:val="20"/>
                  </w:rPr>
                  <w:t>账龄</w:t>
                </w:r>
              </w:p>
            </w:tc>
            <w:tc>
              <w:tcPr>
                <w:tcW w:w="1688" w:type="pct"/>
                <w:vAlign w:val="center"/>
              </w:tcPr>
              <w:p w14:paraId="403BC13C" w14:textId="77777777" w:rsidR="00577D08" w:rsidRDefault="00330FC0">
                <w:pPr>
                  <w:jc w:val="both"/>
                  <w:rPr>
                    <w:sz w:val="20"/>
                    <w:szCs w:val="20"/>
                  </w:rPr>
                </w:pPr>
                <w:r>
                  <w:rPr>
                    <w:rFonts w:hint="eastAsia"/>
                    <w:sz w:val="20"/>
                    <w:szCs w:val="20"/>
                  </w:rPr>
                  <w:t>参考历史信用损失经验，结合当前状况以及对未来经济状况的预测，编制应收账款账龄与预期信用损失率对照表，计算预期信用损失</w:t>
                </w:r>
              </w:p>
            </w:tc>
          </w:tr>
          <w:tr w:rsidR="00577D08" w14:paraId="38DDC9A4" w14:textId="77777777">
            <w:trPr>
              <w:trHeight w:val="397"/>
            </w:trPr>
            <w:tc>
              <w:tcPr>
                <w:tcW w:w="1624" w:type="pct"/>
                <w:vAlign w:val="center"/>
              </w:tcPr>
              <w:p w14:paraId="3BE17D54" w14:textId="77777777" w:rsidR="00577D08" w:rsidRDefault="00330FC0">
                <w:pPr>
                  <w:jc w:val="both"/>
                  <w:rPr>
                    <w:sz w:val="20"/>
                    <w:szCs w:val="20"/>
                  </w:rPr>
                </w:pPr>
                <w:r>
                  <w:rPr>
                    <w:rFonts w:hint="eastAsia"/>
                    <w:sz w:val="20"/>
                    <w:szCs w:val="20"/>
                  </w:rPr>
                  <w:t>应收账款—合并范围内关联方组合</w:t>
                </w:r>
              </w:p>
            </w:tc>
            <w:tc>
              <w:tcPr>
                <w:tcW w:w="1688" w:type="pct"/>
                <w:vAlign w:val="center"/>
              </w:tcPr>
              <w:p w14:paraId="5491C127" w14:textId="77777777" w:rsidR="00577D08" w:rsidRDefault="00330FC0">
                <w:pPr>
                  <w:jc w:val="both"/>
                  <w:rPr>
                    <w:sz w:val="20"/>
                    <w:szCs w:val="20"/>
                  </w:rPr>
                </w:pPr>
                <w:r>
                  <w:rPr>
                    <w:rFonts w:hint="eastAsia"/>
                    <w:sz w:val="20"/>
                    <w:szCs w:val="20"/>
                  </w:rPr>
                  <w:t>合并范围内关联方</w:t>
                </w:r>
              </w:p>
            </w:tc>
            <w:tc>
              <w:tcPr>
                <w:tcW w:w="1688" w:type="pct"/>
                <w:vAlign w:val="center"/>
              </w:tcPr>
              <w:p w14:paraId="76ABD380" w14:textId="77777777" w:rsidR="00577D08" w:rsidRDefault="00330FC0">
                <w:pPr>
                  <w:jc w:val="both"/>
                  <w:rPr>
                    <w:sz w:val="20"/>
                    <w:szCs w:val="20"/>
                  </w:rPr>
                </w:pPr>
                <w:r>
                  <w:rPr>
                    <w:rFonts w:hint="eastAsia"/>
                    <w:sz w:val="20"/>
                    <w:szCs w:val="20"/>
                  </w:rPr>
                  <w:t>参考历史信用损失经验，结合当前状况以及对未来经济状况的预测，通过违约风险敞口和整个存续期预期信用损失率，计算预期信用损失</w:t>
                </w:r>
              </w:p>
            </w:tc>
          </w:tr>
          <w:tr w:rsidR="00577D08" w14:paraId="1A5C60A7" w14:textId="77777777">
            <w:trPr>
              <w:trHeight w:val="397"/>
            </w:trPr>
            <w:tc>
              <w:tcPr>
                <w:tcW w:w="1624" w:type="pct"/>
                <w:vAlign w:val="center"/>
              </w:tcPr>
              <w:p w14:paraId="2F8D6109" w14:textId="77777777" w:rsidR="00577D08" w:rsidRDefault="00330FC0">
                <w:pPr>
                  <w:jc w:val="both"/>
                  <w:rPr>
                    <w:sz w:val="20"/>
                    <w:szCs w:val="20"/>
                  </w:rPr>
                </w:pPr>
                <w:r>
                  <w:rPr>
                    <w:rFonts w:hint="eastAsia"/>
                    <w:sz w:val="20"/>
                    <w:szCs w:val="20"/>
                  </w:rPr>
                  <w:t>其他应收款—合并范围内关联方组合</w:t>
                </w:r>
              </w:p>
            </w:tc>
            <w:tc>
              <w:tcPr>
                <w:tcW w:w="1688" w:type="pct"/>
                <w:vAlign w:val="center"/>
              </w:tcPr>
              <w:p w14:paraId="5DD0628C" w14:textId="77777777" w:rsidR="00577D08" w:rsidRDefault="00330FC0">
                <w:pPr>
                  <w:jc w:val="both"/>
                  <w:rPr>
                    <w:sz w:val="20"/>
                    <w:szCs w:val="20"/>
                  </w:rPr>
                </w:pPr>
                <w:r>
                  <w:rPr>
                    <w:rFonts w:hint="eastAsia"/>
                    <w:sz w:val="20"/>
                    <w:szCs w:val="20"/>
                  </w:rPr>
                  <w:t>合并范围内关联方</w:t>
                </w:r>
              </w:p>
            </w:tc>
            <w:tc>
              <w:tcPr>
                <w:tcW w:w="1688" w:type="pct"/>
                <w:vAlign w:val="center"/>
              </w:tcPr>
              <w:p w14:paraId="1E616B41" w14:textId="77777777" w:rsidR="00577D08" w:rsidRDefault="00330FC0">
                <w:pPr>
                  <w:jc w:val="both"/>
                  <w:rPr>
                    <w:sz w:val="20"/>
                    <w:szCs w:val="20"/>
                  </w:rPr>
                </w:pPr>
                <w:r>
                  <w:rPr>
                    <w:rFonts w:hint="eastAsia"/>
                    <w:sz w:val="20"/>
                    <w:szCs w:val="20"/>
                  </w:rPr>
                  <w:t>参考历史信用损失经验，结合当前状况以及对未来经济状况的预测，通过违约风险敞口和未来</w:t>
                </w:r>
                <w:r>
                  <w:rPr>
                    <w:rFonts w:hint="eastAsia"/>
                    <w:sz w:val="20"/>
                    <w:szCs w:val="20"/>
                  </w:rPr>
                  <w:t>12</w:t>
                </w:r>
                <w:r>
                  <w:rPr>
                    <w:rFonts w:hint="eastAsia"/>
                    <w:sz w:val="20"/>
                    <w:szCs w:val="20"/>
                  </w:rPr>
                  <w:t>个月内或整个存续期预期信用损失率，计算预期信用损失</w:t>
                </w:r>
              </w:p>
            </w:tc>
          </w:tr>
          <w:tr w:rsidR="00577D08" w14:paraId="3924DF06" w14:textId="77777777">
            <w:trPr>
              <w:trHeight w:val="397"/>
            </w:trPr>
            <w:tc>
              <w:tcPr>
                <w:tcW w:w="1624" w:type="pct"/>
                <w:vAlign w:val="center"/>
              </w:tcPr>
              <w:p w14:paraId="64F49772" w14:textId="77777777" w:rsidR="00577D08" w:rsidRDefault="00330FC0">
                <w:pPr>
                  <w:jc w:val="both"/>
                  <w:rPr>
                    <w:sz w:val="20"/>
                    <w:szCs w:val="20"/>
                  </w:rPr>
                </w:pPr>
                <w:r>
                  <w:rPr>
                    <w:rFonts w:hint="eastAsia"/>
                    <w:sz w:val="20"/>
                    <w:szCs w:val="20"/>
                  </w:rPr>
                  <w:t>其他应收款—账龄组合</w:t>
                </w:r>
              </w:p>
            </w:tc>
            <w:tc>
              <w:tcPr>
                <w:tcW w:w="1688" w:type="pct"/>
                <w:vAlign w:val="center"/>
              </w:tcPr>
              <w:p w14:paraId="1662D3C6" w14:textId="77777777" w:rsidR="00577D08" w:rsidRDefault="00330FC0">
                <w:pPr>
                  <w:jc w:val="both"/>
                  <w:rPr>
                    <w:sz w:val="20"/>
                    <w:szCs w:val="20"/>
                  </w:rPr>
                </w:pPr>
                <w:r>
                  <w:rPr>
                    <w:rFonts w:hint="eastAsia"/>
                    <w:sz w:val="20"/>
                    <w:szCs w:val="20"/>
                  </w:rPr>
                  <w:t>账龄</w:t>
                </w:r>
              </w:p>
            </w:tc>
            <w:tc>
              <w:tcPr>
                <w:tcW w:w="1688" w:type="pct"/>
                <w:vAlign w:val="center"/>
              </w:tcPr>
              <w:p w14:paraId="686300DC" w14:textId="77777777" w:rsidR="00577D08" w:rsidRDefault="00330FC0">
                <w:pPr>
                  <w:jc w:val="both"/>
                  <w:rPr>
                    <w:sz w:val="20"/>
                    <w:szCs w:val="20"/>
                  </w:rPr>
                </w:pPr>
                <w:r>
                  <w:rPr>
                    <w:rFonts w:hint="eastAsia"/>
                    <w:sz w:val="20"/>
                    <w:szCs w:val="20"/>
                  </w:rPr>
                  <w:t>参考历史信用损失经验，结合当前状况以及对未来经济状况的预测，编制其他应收款账龄与预</w:t>
                </w:r>
                <w:r>
                  <w:rPr>
                    <w:rFonts w:hint="eastAsia"/>
                    <w:sz w:val="20"/>
                    <w:szCs w:val="20"/>
                  </w:rPr>
                  <w:lastRenderedPageBreak/>
                  <w:t>期信用损失率对照表，计算预期信用损失</w:t>
                </w:r>
              </w:p>
            </w:tc>
          </w:tr>
          <w:tr w:rsidR="00577D08" w14:paraId="0EDDEC4A" w14:textId="77777777">
            <w:trPr>
              <w:trHeight w:val="397"/>
            </w:trPr>
            <w:tc>
              <w:tcPr>
                <w:tcW w:w="1624" w:type="pct"/>
                <w:vAlign w:val="center"/>
              </w:tcPr>
              <w:p w14:paraId="568CC09F" w14:textId="77777777" w:rsidR="00577D08" w:rsidRDefault="00330FC0">
                <w:pPr>
                  <w:jc w:val="both"/>
                  <w:rPr>
                    <w:sz w:val="20"/>
                    <w:szCs w:val="20"/>
                  </w:rPr>
                </w:pPr>
                <w:r>
                  <w:rPr>
                    <w:rFonts w:hint="eastAsia"/>
                    <w:sz w:val="20"/>
                    <w:szCs w:val="20"/>
                  </w:rPr>
                  <w:lastRenderedPageBreak/>
                  <w:t>长期应收款—账龄组合</w:t>
                </w:r>
              </w:p>
            </w:tc>
            <w:tc>
              <w:tcPr>
                <w:tcW w:w="1688" w:type="pct"/>
                <w:vAlign w:val="center"/>
              </w:tcPr>
              <w:p w14:paraId="70C66CA0" w14:textId="77777777" w:rsidR="00577D08" w:rsidRDefault="00330FC0">
                <w:pPr>
                  <w:jc w:val="both"/>
                  <w:rPr>
                    <w:sz w:val="20"/>
                    <w:szCs w:val="20"/>
                  </w:rPr>
                </w:pPr>
                <w:r>
                  <w:rPr>
                    <w:rFonts w:hint="eastAsia"/>
                    <w:sz w:val="20"/>
                    <w:szCs w:val="20"/>
                  </w:rPr>
                  <w:t>账龄</w:t>
                </w:r>
              </w:p>
            </w:tc>
            <w:tc>
              <w:tcPr>
                <w:tcW w:w="1688" w:type="pct"/>
              </w:tcPr>
              <w:p w14:paraId="0742204D" w14:textId="77777777" w:rsidR="00577D08" w:rsidRDefault="00330FC0">
                <w:pPr>
                  <w:jc w:val="both"/>
                  <w:rPr>
                    <w:sz w:val="20"/>
                    <w:szCs w:val="20"/>
                  </w:rPr>
                </w:pPr>
                <w:r>
                  <w:rPr>
                    <w:rFonts w:hint="eastAsia"/>
                    <w:sz w:val="20"/>
                    <w:szCs w:val="20"/>
                  </w:rPr>
                  <w:t>参考历史信用损失经验，结合当前状况以及对未来经济状况的预测，编制长期应收款账龄与预期信用损失率对照表，计算预期信用损失</w:t>
                </w:r>
              </w:p>
            </w:tc>
          </w:tr>
        </w:tbl>
        <w:p w14:paraId="72BE7CD7" w14:textId="77777777" w:rsidR="00577D08" w:rsidRDefault="00330FC0">
          <w:pPr>
            <w:spacing w:line="360" w:lineRule="exact"/>
            <w:ind w:firstLineChars="200" w:firstLine="420"/>
            <w:rPr>
              <w:color w:val="000000" w:themeColor="text1"/>
            </w:rPr>
          </w:pPr>
          <w:r>
            <w:rPr>
              <w:rFonts w:hint="eastAsia"/>
              <w:color w:val="000000" w:themeColor="text1"/>
            </w:rPr>
            <w:t>2</w:t>
          </w:r>
          <w:r>
            <w:rPr>
              <w:rFonts w:hint="eastAsia"/>
              <w:color w:val="000000" w:themeColor="text1"/>
            </w:rPr>
            <w:t>）账龄组合的账龄与预期信用损失率对照表</w:t>
          </w:r>
        </w:p>
        <w:tbl>
          <w:tblPr>
            <w:tblStyle w:val="Style5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20"/>
            <w:gridCol w:w="3298"/>
          </w:tblGrid>
          <w:tr w:rsidR="00577D08" w14:paraId="33EA95FC" w14:textId="77777777">
            <w:trPr>
              <w:trHeight w:val="397"/>
              <w:tblHeader/>
            </w:trPr>
            <w:tc>
              <w:tcPr>
                <w:tcW w:w="1363" w:type="pct"/>
                <w:vAlign w:val="center"/>
              </w:tcPr>
              <w:p w14:paraId="10C83985" w14:textId="77777777" w:rsidR="00577D08" w:rsidRDefault="00330FC0">
                <w:pPr>
                  <w:jc w:val="center"/>
                  <w:rPr>
                    <w:sz w:val="20"/>
                    <w:szCs w:val="20"/>
                  </w:rPr>
                </w:pPr>
                <w:r>
                  <w:rPr>
                    <w:rFonts w:hint="eastAsia"/>
                    <w:sz w:val="20"/>
                    <w:szCs w:val="20"/>
                  </w:rPr>
                  <w:t>账龄</w:t>
                </w:r>
              </w:p>
            </w:tc>
            <w:tc>
              <w:tcPr>
                <w:tcW w:w="1768" w:type="pct"/>
                <w:vAlign w:val="center"/>
              </w:tcPr>
              <w:p w14:paraId="6C536F11" w14:textId="77777777" w:rsidR="00577D08" w:rsidRDefault="00330FC0">
                <w:pPr>
                  <w:jc w:val="center"/>
                  <w:rPr>
                    <w:sz w:val="20"/>
                    <w:szCs w:val="20"/>
                  </w:rPr>
                </w:pPr>
                <w:r>
                  <w:rPr>
                    <w:rFonts w:hint="eastAsia"/>
                    <w:sz w:val="20"/>
                    <w:szCs w:val="20"/>
                  </w:rPr>
                  <w:t>应收账款预期信用损失率（</w:t>
                </w:r>
                <w:r>
                  <w:rPr>
                    <w:rFonts w:hint="eastAsia"/>
                    <w:sz w:val="20"/>
                    <w:szCs w:val="20"/>
                  </w:rPr>
                  <w:t>%</w:t>
                </w:r>
                <w:r>
                  <w:rPr>
                    <w:rFonts w:hint="eastAsia"/>
                    <w:sz w:val="20"/>
                    <w:szCs w:val="20"/>
                  </w:rPr>
                  <w:t>）</w:t>
                </w:r>
              </w:p>
            </w:tc>
            <w:tc>
              <w:tcPr>
                <w:tcW w:w="1870" w:type="pct"/>
                <w:vAlign w:val="center"/>
              </w:tcPr>
              <w:p w14:paraId="57D8D184" w14:textId="77777777" w:rsidR="00577D08" w:rsidRDefault="00330FC0">
                <w:pPr>
                  <w:jc w:val="center"/>
                  <w:rPr>
                    <w:sz w:val="20"/>
                    <w:szCs w:val="20"/>
                  </w:rPr>
                </w:pPr>
                <w:r>
                  <w:rPr>
                    <w:rFonts w:hint="eastAsia"/>
                    <w:sz w:val="20"/>
                    <w:szCs w:val="20"/>
                  </w:rPr>
                  <w:t>其他应收款预期信用损失率（</w:t>
                </w:r>
                <w:r>
                  <w:rPr>
                    <w:rFonts w:hint="eastAsia"/>
                    <w:sz w:val="20"/>
                    <w:szCs w:val="20"/>
                  </w:rPr>
                  <w:t>%</w:t>
                </w:r>
                <w:r>
                  <w:rPr>
                    <w:rFonts w:hint="eastAsia"/>
                    <w:sz w:val="20"/>
                    <w:szCs w:val="20"/>
                  </w:rPr>
                  <w:t>）</w:t>
                </w:r>
              </w:p>
            </w:tc>
          </w:tr>
          <w:tr w:rsidR="00577D08" w14:paraId="257752DB" w14:textId="77777777">
            <w:trPr>
              <w:trHeight w:val="397"/>
            </w:trPr>
            <w:tc>
              <w:tcPr>
                <w:tcW w:w="1363" w:type="pct"/>
                <w:vAlign w:val="center"/>
              </w:tcPr>
              <w:p w14:paraId="4988C701" w14:textId="77777777" w:rsidR="00577D08" w:rsidRDefault="00330FC0">
                <w:pPr>
                  <w:jc w:val="both"/>
                  <w:rPr>
                    <w:sz w:val="20"/>
                    <w:szCs w:val="20"/>
                  </w:rPr>
                </w:pPr>
                <w:r>
                  <w:rPr>
                    <w:rFonts w:hint="eastAsia"/>
                    <w:sz w:val="20"/>
                    <w:szCs w:val="20"/>
                  </w:rPr>
                  <w:t>1</w:t>
                </w:r>
                <w:r>
                  <w:rPr>
                    <w:rFonts w:hint="eastAsia"/>
                    <w:sz w:val="20"/>
                    <w:szCs w:val="20"/>
                  </w:rPr>
                  <w:t>年以内（含，下同）</w:t>
                </w:r>
              </w:p>
            </w:tc>
            <w:tc>
              <w:tcPr>
                <w:tcW w:w="1768" w:type="pct"/>
                <w:vAlign w:val="center"/>
              </w:tcPr>
              <w:p w14:paraId="1F473EC4" w14:textId="77777777" w:rsidR="00577D08" w:rsidRDefault="00330FC0">
                <w:pPr>
                  <w:jc w:val="center"/>
                  <w:rPr>
                    <w:sz w:val="20"/>
                    <w:szCs w:val="20"/>
                  </w:rPr>
                </w:pPr>
                <w:r>
                  <w:rPr>
                    <w:rFonts w:hint="eastAsia"/>
                    <w:sz w:val="20"/>
                    <w:szCs w:val="20"/>
                  </w:rPr>
                  <w:t>5.00</w:t>
                </w:r>
              </w:p>
            </w:tc>
            <w:tc>
              <w:tcPr>
                <w:tcW w:w="1870" w:type="pct"/>
                <w:vAlign w:val="center"/>
              </w:tcPr>
              <w:p w14:paraId="0B3FB109" w14:textId="77777777" w:rsidR="00577D08" w:rsidRDefault="00330FC0">
                <w:pPr>
                  <w:jc w:val="center"/>
                  <w:rPr>
                    <w:sz w:val="20"/>
                    <w:szCs w:val="20"/>
                  </w:rPr>
                </w:pPr>
                <w:r>
                  <w:rPr>
                    <w:rFonts w:hint="eastAsia"/>
                    <w:sz w:val="20"/>
                    <w:szCs w:val="20"/>
                  </w:rPr>
                  <w:t>5.00</w:t>
                </w:r>
              </w:p>
            </w:tc>
          </w:tr>
          <w:tr w:rsidR="00577D08" w14:paraId="5975E6A1" w14:textId="77777777">
            <w:trPr>
              <w:trHeight w:val="397"/>
            </w:trPr>
            <w:tc>
              <w:tcPr>
                <w:tcW w:w="1363" w:type="pct"/>
                <w:vAlign w:val="center"/>
              </w:tcPr>
              <w:p w14:paraId="6DB251F4" w14:textId="77777777" w:rsidR="00577D08" w:rsidRDefault="00330FC0">
                <w:pPr>
                  <w:jc w:val="both"/>
                  <w:rPr>
                    <w:sz w:val="20"/>
                    <w:szCs w:val="20"/>
                  </w:rPr>
                </w:pPr>
                <w:r>
                  <w:rPr>
                    <w:rFonts w:hint="eastAsia"/>
                    <w:sz w:val="20"/>
                    <w:szCs w:val="20"/>
                  </w:rPr>
                  <w:t>1-2</w:t>
                </w:r>
                <w:r>
                  <w:rPr>
                    <w:rFonts w:hint="eastAsia"/>
                    <w:sz w:val="20"/>
                    <w:szCs w:val="20"/>
                  </w:rPr>
                  <w:t>年</w:t>
                </w:r>
              </w:p>
            </w:tc>
            <w:tc>
              <w:tcPr>
                <w:tcW w:w="1768" w:type="pct"/>
                <w:vAlign w:val="center"/>
              </w:tcPr>
              <w:p w14:paraId="6CFEF8E5" w14:textId="77777777" w:rsidR="00577D08" w:rsidRDefault="00330FC0">
                <w:pPr>
                  <w:jc w:val="center"/>
                  <w:rPr>
                    <w:sz w:val="20"/>
                    <w:szCs w:val="20"/>
                  </w:rPr>
                </w:pPr>
                <w:r>
                  <w:rPr>
                    <w:rFonts w:hint="eastAsia"/>
                    <w:sz w:val="20"/>
                    <w:szCs w:val="20"/>
                  </w:rPr>
                  <w:t>10.00</w:t>
                </w:r>
              </w:p>
            </w:tc>
            <w:tc>
              <w:tcPr>
                <w:tcW w:w="1870" w:type="pct"/>
                <w:vAlign w:val="center"/>
              </w:tcPr>
              <w:p w14:paraId="0C9F61C1" w14:textId="77777777" w:rsidR="00577D08" w:rsidRDefault="00330FC0">
                <w:pPr>
                  <w:jc w:val="center"/>
                  <w:rPr>
                    <w:sz w:val="20"/>
                    <w:szCs w:val="20"/>
                  </w:rPr>
                </w:pPr>
                <w:r>
                  <w:rPr>
                    <w:rFonts w:hint="eastAsia"/>
                    <w:sz w:val="20"/>
                    <w:szCs w:val="20"/>
                  </w:rPr>
                  <w:t>10.00</w:t>
                </w:r>
              </w:p>
            </w:tc>
          </w:tr>
          <w:tr w:rsidR="00577D08" w14:paraId="13DEE26C" w14:textId="77777777">
            <w:trPr>
              <w:trHeight w:val="397"/>
            </w:trPr>
            <w:tc>
              <w:tcPr>
                <w:tcW w:w="1363" w:type="pct"/>
                <w:vAlign w:val="center"/>
              </w:tcPr>
              <w:p w14:paraId="1B1D8D33" w14:textId="77777777" w:rsidR="00577D08" w:rsidRDefault="00330FC0">
                <w:pPr>
                  <w:jc w:val="both"/>
                  <w:rPr>
                    <w:sz w:val="20"/>
                    <w:szCs w:val="20"/>
                  </w:rPr>
                </w:pPr>
                <w:r>
                  <w:rPr>
                    <w:rFonts w:hint="eastAsia"/>
                    <w:sz w:val="20"/>
                    <w:szCs w:val="20"/>
                  </w:rPr>
                  <w:t>2-3</w:t>
                </w:r>
                <w:r>
                  <w:rPr>
                    <w:rFonts w:hint="eastAsia"/>
                    <w:sz w:val="20"/>
                    <w:szCs w:val="20"/>
                  </w:rPr>
                  <w:t>年</w:t>
                </w:r>
              </w:p>
            </w:tc>
            <w:tc>
              <w:tcPr>
                <w:tcW w:w="1768" w:type="pct"/>
                <w:vAlign w:val="center"/>
              </w:tcPr>
              <w:p w14:paraId="57BEA7C8" w14:textId="77777777" w:rsidR="00577D08" w:rsidRDefault="00330FC0">
                <w:pPr>
                  <w:jc w:val="center"/>
                  <w:rPr>
                    <w:sz w:val="20"/>
                    <w:szCs w:val="20"/>
                  </w:rPr>
                </w:pPr>
                <w:r>
                  <w:rPr>
                    <w:rFonts w:hint="eastAsia"/>
                    <w:sz w:val="20"/>
                    <w:szCs w:val="20"/>
                  </w:rPr>
                  <w:t>20.00</w:t>
                </w:r>
              </w:p>
            </w:tc>
            <w:tc>
              <w:tcPr>
                <w:tcW w:w="1870" w:type="pct"/>
                <w:vAlign w:val="center"/>
              </w:tcPr>
              <w:p w14:paraId="48377DB8" w14:textId="77777777" w:rsidR="00577D08" w:rsidRDefault="00330FC0">
                <w:pPr>
                  <w:jc w:val="center"/>
                  <w:rPr>
                    <w:sz w:val="20"/>
                    <w:szCs w:val="20"/>
                  </w:rPr>
                </w:pPr>
                <w:r>
                  <w:rPr>
                    <w:rFonts w:hint="eastAsia"/>
                    <w:sz w:val="20"/>
                    <w:szCs w:val="20"/>
                  </w:rPr>
                  <w:t>20.00</w:t>
                </w:r>
              </w:p>
            </w:tc>
          </w:tr>
          <w:tr w:rsidR="00577D08" w14:paraId="5D69304C" w14:textId="77777777">
            <w:trPr>
              <w:trHeight w:val="397"/>
            </w:trPr>
            <w:tc>
              <w:tcPr>
                <w:tcW w:w="1363" w:type="pct"/>
                <w:vAlign w:val="center"/>
              </w:tcPr>
              <w:p w14:paraId="68A11642" w14:textId="77777777" w:rsidR="00577D08" w:rsidRDefault="00330FC0">
                <w:pPr>
                  <w:jc w:val="both"/>
                  <w:rPr>
                    <w:sz w:val="20"/>
                    <w:szCs w:val="20"/>
                  </w:rPr>
                </w:pPr>
                <w:r>
                  <w:rPr>
                    <w:rFonts w:hint="eastAsia"/>
                    <w:sz w:val="20"/>
                    <w:szCs w:val="20"/>
                  </w:rPr>
                  <w:t>3-4</w:t>
                </w:r>
                <w:r>
                  <w:rPr>
                    <w:rFonts w:hint="eastAsia"/>
                    <w:sz w:val="20"/>
                    <w:szCs w:val="20"/>
                  </w:rPr>
                  <w:t>年</w:t>
                </w:r>
              </w:p>
            </w:tc>
            <w:tc>
              <w:tcPr>
                <w:tcW w:w="1768" w:type="pct"/>
                <w:vAlign w:val="center"/>
              </w:tcPr>
              <w:p w14:paraId="06DFD7B1" w14:textId="77777777" w:rsidR="00577D08" w:rsidRDefault="00330FC0">
                <w:pPr>
                  <w:jc w:val="center"/>
                  <w:rPr>
                    <w:sz w:val="20"/>
                    <w:szCs w:val="20"/>
                  </w:rPr>
                </w:pPr>
                <w:r>
                  <w:rPr>
                    <w:rFonts w:hint="eastAsia"/>
                    <w:sz w:val="20"/>
                    <w:szCs w:val="20"/>
                  </w:rPr>
                  <w:t>30.00</w:t>
                </w:r>
              </w:p>
            </w:tc>
            <w:tc>
              <w:tcPr>
                <w:tcW w:w="1870" w:type="pct"/>
                <w:vAlign w:val="center"/>
              </w:tcPr>
              <w:p w14:paraId="5462627D" w14:textId="77777777" w:rsidR="00577D08" w:rsidRDefault="00330FC0">
                <w:pPr>
                  <w:jc w:val="center"/>
                  <w:rPr>
                    <w:sz w:val="20"/>
                    <w:szCs w:val="20"/>
                  </w:rPr>
                </w:pPr>
                <w:r>
                  <w:rPr>
                    <w:rFonts w:hint="eastAsia"/>
                    <w:sz w:val="20"/>
                    <w:szCs w:val="20"/>
                  </w:rPr>
                  <w:t>30.00</w:t>
                </w:r>
              </w:p>
            </w:tc>
          </w:tr>
          <w:tr w:rsidR="00577D08" w14:paraId="1A02691E" w14:textId="77777777">
            <w:trPr>
              <w:trHeight w:val="397"/>
            </w:trPr>
            <w:tc>
              <w:tcPr>
                <w:tcW w:w="1363" w:type="pct"/>
                <w:vAlign w:val="center"/>
              </w:tcPr>
              <w:p w14:paraId="276EBA1D" w14:textId="77777777" w:rsidR="00577D08" w:rsidRDefault="00330FC0">
                <w:pPr>
                  <w:jc w:val="both"/>
                  <w:rPr>
                    <w:sz w:val="20"/>
                    <w:szCs w:val="20"/>
                  </w:rPr>
                </w:pPr>
                <w:r>
                  <w:rPr>
                    <w:rFonts w:hint="eastAsia"/>
                    <w:sz w:val="20"/>
                    <w:szCs w:val="20"/>
                  </w:rPr>
                  <w:t>4-5</w:t>
                </w:r>
                <w:r>
                  <w:rPr>
                    <w:rFonts w:hint="eastAsia"/>
                    <w:sz w:val="20"/>
                    <w:szCs w:val="20"/>
                  </w:rPr>
                  <w:t>年</w:t>
                </w:r>
              </w:p>
            </w:tc>
            <w:tc>
              <w:tcPr>
                <w:tcW w:w="1768" w:type="pct"/>
                <w:vAlign w:val="center"/>
              </w:tcPr>
              <w:p w14:paraId="5DE6B097" w14:textId="77777777" w:rsidR="00577D08" w:rsidRDefault="00330FC0">
                <w:pPr>
                  <w:jc w:val="center"/>
                  <w:rPr>
                    <w:sz w:val="20"/>
                    <w:szCs w:val="20"/>
                  </w:rPr>
                </w:pPr>
                <w:r>
                  <w:rPr>
                    <w:rFonts w:hint="eastAsia"/>
                    <w:sz w:val="20"/>
                    <w:szCs w:val="20"/>
                  </w:rPr>
                  <w:t>50.00</w:t>
                </w:r>
              </w:p>
            </w:tc>
            <w:tc>
              <w:tcPr>
                <w:tcW w:w="1870" w:type="pct"/>
                <w:vAlign w:val="center"/>
              </w:tcPr>
              <w:p w14:paraId="76118AB0" w14:textId="77777777" w:rsidR="00577D08" w:rsidRDefault="00330FC0">
                <w:pPr>
                  <w:jc w:val="center"/>
                  <w:rPr>
                    <w:sz w:val="20"/>
                    <w:szCs w:val="20"/>
                  </w:rPr>
                </w:pPr>
                <w:r>
                  <w:rPr>
                    <w:rFonts w:hint="eastAsia"/>
                    <w:sz w:val="20"/>
                    <w:szCs w:val="20"/>
                  </w:rPr>
                  <w:t>50.00</w:t>
                </w:r>
              </w:p>
            </w:tc>
          </w:tr>
          <w:tr w:rsidR="00577D08" w14:paraId="72B05D0B" w14:textId="77777777">
            <w:trPr>
              <w:trHeight w:val="397"/>
            </w:trPr>
            <w:tc>
              <w:tcPr>
                <w:tcW w:w="1363" w:type="pct"/>
                <w:vAlign w:val="center"/>
              </w:tcPr>
              <w:p w14:paraId="69875C04" w14:textId="77777777" w:rsidR="00577D08" w:rsidRDefault="00330FC0">
                <w:pPr>
                  <w:jc w:val="both"/>
                  <w:rPr>
                    <w:sz w:val="20"/>
                    <w:szCs w:val="20"/>
                  </w:rPr>
                </w:pPr>
                <w:r>
                  <w:rPr>
                    <w:rFonts w:hint="eastAsia"/>
                    <w:sz w:val="20"/>
                    <w:szCs w:val="20"/>
                  </w:rPr>
                  <w:t>5</w:t>
                </w:r>
                <w:r>
                  <w:rPr>
                    <w:rFonts w:hint="eastAsia"/>
                    <w:sz w:val="20"/>
                    <w:szCs w:val="20"/>
                  </w:rPr>
                  <w:t>年以上</w:t>
                </w:r>
              </w:p>
            </w:tc>
            <w:tc>
              <w:tcPr>
                <w:tcW w:w="1768" w:type="pct"/>
                <w:vAlign w:val="center"/>
              </w:tcPr>
              <w:p w14:paraId="08E20788" w14:textId="77777777" w:rsidR="00577D08" w:rsidRDefault="00330FC0">
                <w:pPr>
                  <w:jc w:val="center"/>
                  <w:rPr>
                    <w:sz w:val="20"/>
                    <w:szCs w:val="20"/>
                  </w:rPr>
                </w:pPr>
                <w:r>
                  <w:rPr>
                    <w:rFonts w:hint="eastAsia"/>
                    <w:sz w:val="20"/>
                    <w:szCs w:val="20"/>
                  </w:rPr>
                  <w:t>100.00</w:t>
                </w:r>
              </w:p>
            </w:tc>
            <w:tc>
              <w:tcPr>
                <w:tcW w:w="1870" w:type="pct"/>
                <w:vAlign w:val="center"/>
              </w:tcPr>
              <w:p w14:paraId="6247AC78" w14:textId="77777777" w:rsidR="00577D08" w:rsidRDefault="00330FC0">
                <w:pPr>
                  <w:jc w:val="center"/>
                  <w:rPr>
                    <w:sz w:val="20"/>
                    <w:szCs w:val="20"/>
                  </w:rPr>
                </w:pPr>
                <w:r>
                  <w:rPr>
                    <w:rFonts w:hint="eastAsia"/>
                    <w:sz w:val="20"/>
                    <w:szCs w:val="20"/>
                  </w:rPr>
                  <w:t>100.00</w:t>
                </w:r>
              </w:p>
            </w:tc>
          </w:tr>
        </w:tbl>
        <w:p w14:paraId="72EE6CF3" w14:textId="77777777" w:rsidR="00577D08" w:rsidRDefault="00330FC0">
          <w:pPr>
            <w:spacing w:line="360" w:lineRule="exact"/>
            <w:ind w:firstLineChars="200" w:firstLine="420"/>
            <w:rPr>
              <w:color w:val="000000" w:themeColor="text1"/>
            </w:rPr>
          </w:pPr>
          <w:r>
            <w:rPr>
              <w:rFonts w:hint="eastAsia"/>
              <w:color w:val="000000" w:themeColor="text1"/>
            </w:rPr>
            <w:t>应收账款</w:t>
          </w:r>
          <w:r>
            <w:rPr>
              <w:rFonts w:hint="eastAsia"/>
              <w:color w:val="000000" w:themeColor="text1"/>
            </w:rPr>
            <w:t>/</w:t>
          </w:r>
          <w:r>
            <w:rPr>
              <w:rFonts w:hint="eastAsia"/>
              <w:color w:val="000000" w:themeColor="text1"/>
            </w:rPr>
            <w:t>其他应收款</w:t>
          </w:r>
          <w:r>
            <w:rPr>
              <w:rFonts w:hint="eastAsia"/>
              <w:color w:val="000000" w:themeColor="text1"/>
            </w:rPr>
            <w:t>/</w:t>
          </w:r>
          <w:r>
            <w:rPr>
              <w:rFonts w:hint="eastAsia"/>
              <w:color w:val="000000" w:themeColor="text1"/>
            </w:rPr>
            <w:t>长期应收款的账龄自初始确认日起算。</w:t>
          </w:r>
        </w:p>
        <w:p w14:paraId="3FD68D27" w14:textId="77777777" w:rsidR="00577D08" w:rsidRDefault="00330FC0">
          <w:pPr>
            <w:spacing w:line="360" w:lineRule="exact"/>
            <w:ind w:firstLineChars="200" w:firstLine="420"/>
            <w:rPr>
              <w:color w:val="000000" w:themeColor="text1"/>
            </w:rPr>
          </w:pPr>
          <w:r>
            <w:rPr>
              <w:rFonts w:hint="eastAsia"/>
              <w:color w:val="000000" w:themeColor="text1"/>
            </w:rPr>
            <w:t>3</w:t>
          </w:r>
          <w:r>
            <w:rPr>
              <w:rFonts w:hint="eastAsia"/>
              <w:color w:val="000000" w:themeColor="text1"/>
            </w:rPr>
            <w:t>）按单项计提预期信用损失的应收款项和合同资产的认定标准</w:t>
          </w:r>
        </w:p>
        <w:p w14:paraId="24F1FA25" w14:textId="77777777" w:rsidR="00577D08" w:rsidRDefault="00330FC0">
          <w:pPr>
            <w:spacing w:line="360" w:lineRule="exact"/>
            <w:ind w:firstLineChars="200" w:firstLine="420"/>
            <w:rPr>
              <w:color w:val="000000" w:themeColor="text1"/>
            </w:rPr>
          </w:pPr>
          <w:r>
            <w:rPr>
              <w:rFonts w:hint="eastAsia"/>
              <w:color w:val="000000" w:themeColor="text1"/>
            </w:rPr>
            <w:t>对信用风险与组合信用风险显著不同的应收款项和合同资产，公司按单项计提预期信用损失。</w:t>
          </w:r>
        </w:p>
      </w:sdtContent>
    </w:sdt>
    <w:p w14:paraId="72162346" w14:textId="77777777" w:rsidR="00577D08" w:rsidRDefault="00330FC0">
      <w:pPr>
        <w:pStyle w:val="3"/>
        <w:numPr>
          <w:ilvl w:val="0"/>
          <w:numId w:val="55"/>
        </w:numPr>
        <w:rPr>
          <w:rFonts w:ascii="宋体" w:hAnsi="宋体" w:cs="宋体" w:hint="eastAsia"/>
          <w:kern w:val="0"/>
          <w:szCs w:val="21"/>
        </w:rPr>
      </w:pPr>
      <w:bookmarkStart w:id="302" w:name="_Hlk533667757"/>
      <w:r>
        <w:rPr>
          <w:rFonts w:ascii="宋体" w:hAnsi="宋体" w:cs="宋体" w:hint="eastAsia"/>
          <w:kern w:val="0"/>
          <w:szCs w:val="21"/>
        </w:rPr>
        <w:t>应收票据</w:t>
      </w:r>
    </w:p>
    <w:sdt>
      <w:sdtPr>
        <w:alias w:val="是否适用：应收票据_重要会计政策和估计[双击切换]"/>
        <w:tag w:val="_GBC_71282cbeee2f4e2784a0766b8ae627ef"/>
        <w:id w:val="668450926"/>
        <w:placeholder>
          <w:docPart w:val="GBC22222222222222222222222222222"/>
        </w:placeholder>
      </w:sdtPr>
      <w:sdtContent>
        <w:p w14:paraId="5654195B"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2"/>
    <w:p w14:paraId="735DABAC" w14:textId="77777777" w:rsidR="00577D08" w:rsidRDefault="00330FC0" w:rsidP="00E6534C">
      <w:pPr>
        <w:spacing w:line="360" w:lineRule="exact"/>
        <w:rPr>
          <w:b/>
          <w:kern w:val="2"/>
          <w:szCs w:val="28"/>
        </w:rPr>
      </w:pPr>
      <w:r>
        <w:rPr>
          <w:b/>
          <w:kern w:val="2"/>
          <w:szCs w:val="28"/>
        </w:rPr>
        <w:t>按照信用风险特征组合计提坏账准备的组合类别及确定依据</w:t>
      </w:r>
    </w:p>
    <w:sdt>
      <w:sdtPr>
        <w:alias w:val="是否适用：应收票据按照信用风险特征组合计提坏账准备的组合类别及确定依据[双击切换]"/>
        <w:tag w:val="_GBC_bdbc02d09982499a9db8e87f1e92519c"/>
        <w:id w:val="-1447148510"/>
        <w:placeholder>
          <w:docPart w:val="GBC22222222222222222222222222222"/>
        </w:placeholder>
      </w:sdtPr>
      <w:sdtContent>
        <w:p w14:paraId="6B8FC9BC"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票据按照信用风险特征组合计提坏账准备的组合类别及确定依据"/>
        <w:tag w:val="_GBC_753a33a28cdc45e4b5d0420bf9282a36"/>
        <w:id w:val="831799085"/>
        <w:placeholder>
          <w:docPart w:val="GBC22222222222222222222222222222"/>
        </w:placeholder>
      </w:sdtPr>
      <w:sdtContent>
        <w:p w14:paraId="063B3300"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28204AA9" w14:textId="77777777" w:rsidR="00577D08" w:rsidRDefault="00330FC0" w:rsidP="00E6534C">
      <w:pPr>
        <w:spacing w:line="360" w:lineRule="exact"/>
        <w:rPr>
          <w:b/>
          <w:kern w:val="2"/>
          <w:szCs w:val="28"/>
        </w:rPr>
      </w:pPr>
      <w:r>
        <w:rPr>
          <w:b/>
          <w:kern w:val="2"/>
          <w:szCs w:val="28"/>
        </w:rPr>
        <w:t>基于账龄确认信用风险特征组合的账龄计算方法</w:t>
      </w:r>
    </w:p>
    <w:sdt>
      <w:sdtPr>
        <w:alias w:val="是否适用：应收票据基于账龄确认信用风险特征组合的账龄计算方法[双击切换]"/>
        <w:tag w:val="_GBC_4d2b71d4b5534e67ac5cf99b5efc3674"/>
        <w:id w:val="75554178"/>
        <w:placeholder>
          <w:docPart w:val="GBC22222222222222222222222222222"/>
        </w:placeholder>
      </w:sdtPr>
      <w:sdtContent>
        <w:p w14:paraId="79DD100E"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票据基于账龄确认信用风险特征组合的账龄计算方法"/>
        <w:tag w:val="_GBC_e2f290fa319e470688692a083511dae6"/>
        <w:id w:val="935170476"/>
        <w:placeholder>
          <w:docPart w:val="GBC22222222222222222222222222222"/>
        </w:placeholder>
      </w:sdtPr>
      <w:sdtContent>
        <w:p w14:paraId="30BDE10C"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7F6F5BDA" w14:textId="77777777" w:rsidR="00577D08" w:rsidRDefault="00330FC0" w:rsidP="00E6534C">
      <w:pPr>
        <w:spacing w:line="360" w:lineRule="exact"/>
        <w:rPr>
          <w:b/>
          <w:kern w:val="2"/>
          <w:szCs w:val="28"/>
        </w:rPr>
      </w:pPr>
      <w:r>
        <w:rPr>
          <w:b/>
          <w:kern w:val="2"/>
          <w:szCs w:val="28"/>
        </w:rPr>
        <w:t>按照单项计提坏账准备的单项计提判断标准</w:t>
      </w:r>
    </w:p>
    <w:sdt>
      <w:sdtPr>
        <w:alias w:val="是否适用：应收票据按照单项计提坏账准备的单项计提判断标准[双击切换]"/>
        <w:tag w:val="_GBC_acad24dddcfb47cb8bf9995785bdb5ca"/>
        <w:id w:val="-544148265"/>
        <w:placeholder>
          <w:docPart w:val="GBC22222222222222222222222222222"/>
        </w:placeholder>
      </w:sdtPr>
      <w:sdtContent>
        <w:p w14:paraId="6E23B9DF"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票据按照单项计提坏账准备的单项计提判断标准"/>
        <w:tag w:val="_GBC_8b9da58fe2204222b593905e569664c5"/>
        <w:id w:val="1205592005"/>
        <w:placeholder>
          <w:docPart w:val="GBC22222222222222222222222222222"/>
        </w:placeholder>
      </w:sdtPr>
      <w:sdtContent>
        <w:p w14:paraId="6B9E8DA1"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3CAC4FCD" w14:textId="77777777" w:rsidR="00577D08" w:rsidRDefault="00330FC0" w:rsidP="00E6534C">
      <w:pPr>
        <w:pStyle w:val="3"/>
        <w:numPr>
          <w:ilvl w:val="0"/>
          <w:numId w:val="55"/>
        </w:numPr>
        <w:spacing w:line="360" w:lineRule="exact"/>
        <w:rPr>
          <w:rFonts w:ascii="宋体" w:hAnsi="宋体" w:cs="宋体" w:hint="eastAsia"/>
          <w:kern w:val="0"/>
          <w:szCs w:val="21"/>
        </w:rPr>
      </w:pPr>
      <w:bookmarkStart w:id="303" w:name="_Hlk533667783"/>
      <w:bookmarkStart w:id="304" w:name="_Hlk152690378"/>
      <w:r>
        <w:rPr>
          <w:rFonts w:ascii="宋体" w:hAnsi="宋体" w:cs="宋体" w:hint="eastAsia"/>
          <w:kern w:val="0"/>
          <w:szCs w:val="21"/>
        </w:rPr>
        <w:t>应收账款</w:t>
      </w:r>
    </w:p>
    <w:sdt>
      <w:sdtPr>
        <w:rPr>
          <w:rFonts w:hint="eastAsia"/>
        </w:rPr>
        <w:alias w:val="是否适用：应收账款_重要会计政策和估计[双击切换]"/>
        <w:tag w:val="_GBC_d0c8b3edf5e1401fa6e5edeeb4e121b6"/>
        <w:id w:val="73098777"/>
        <w:placeholder>
          <w:docPart w:val="GBC22222222222222222222222222222"/>
        </w:placeholder>
      </w:sdtPr>
      <w:sdtContent>
        <w:p w14:paraId="397E3E1F" w14:textId="77777777" w:rsidR="00577D08" w:rsidRDefault="00330FC0" w:rsidP="00E6534C">
          <w:pPr>
            <w:spacing w:line="360" w:lineRule="exact"/>
          </w:pPr>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3"/>
    <w:bookmarkEnd w:id="304"/>
    <w:p w14:paraId="3B21EC26" w14:textId="77777777" w:rsidR="00577D08" w:rsidRDefault="00330FC0" w:rsidP="00E6534C">
      <w:pPr>
        <w:spacing w:line="360" w:lineRule="exact"/>
        <w:rPr>
          <w:b/>
          <w:kern w:val="2"/>
          <w:szCs w:val="28"/>
        </w:rPr>
      </w:pPr>
      <w:r>
        <w:rPr>
          <w:b/>
          <w:kern w:val="2"/>
          <w:szCs w:val="28"/>
        </w:rPr>
        <w:t>按照信用风险特征组合计提坏账准备的组合类别及确定依据</w:t>
      </w:r>
    </w:p>
    <w:sdt>
      <w:sdtPr>
        <w:alias w:val="是否适用：应收账款按照信用风险特征组合计提坏账准备的组合类别及确定依据[双击切换]"/>
        <w:tag w:val="_GBC_bbe660c8a4484f56bb4d8ca560cf5f0d"/>
        <w:id w:val="438574595"/>
        <w:placeholder>
          <w:docPart w:val="GBC22222222222222222222222222222"/>
        </w:placeholder>
      </w:sdtPr>
      <w:sdtContent>
        <w:p w14:paraId="1F6D532F"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账款按照信用风险特征组合计提坏账准备的组合类别及确定依据"/>
        <w:tag w:val="_GBC_dc9b9edff6424bb9a8c3e45ddef1456d"/>
        <w:id w:val="-1748645989"/>
        <w:placeholder>
          <w:docPart w:val="GBC22222222222222222222222222222"/>
        </w:placeholder>
      </w:sdtPr>
      <w:sdtContent>
        <w:p w14:paraId="401D02B3"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33FD5196" w14:textId="77777777" w:rsidR="00577D08" w:rsidRDefault="00330FC0" w:rsidP="00E6534C">
      <w:pPr>
        <w:spacing w:line="360" w:lineRule="exact"/>
        <w:rPr>
          <w:b/>
          <w:kern w:val="2"/>
          <w:szCs w:val="28"/>
        </w:rPr>
      </w:pPr>
      <w:r>
        <w:rPr>
          <w:b/>
          <w:kern w:val="2"/>
          <w:szCs w:val="28"/>
        </w:rPr>
        <w:t>基于账龄确认信用风险特征组合的账龄计算方法</w:t>
      </w:r>
    </w:p>
    <w:sdt>
      <w:sdtPr>
        <w:alias w:val="是否适用：应收账款基于账龄确认信用风险特征组合的账龄计算方法[双击切换]"/>
        <w:tag w:val="_GBC_a894190385984ab79eb47091bc48cf44"/>
        <w:id w:val="-32124924"/>
        <w:placeholder>
          <w:docPart w:val="GBC22222222222222222222222222222"/>
        </w:placeholder>
      </w:sdtPr>
      <w:sdtContent>
        <w:p w14:paraId="182FC90D"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账款基于账龄确认信用风险特征组合的账龄计算方法"/>
        <w:tag w:val="_GBC_5898846437ea4f198500076e05edd8ab"/>
        <w:id w:val="-1819715726"/>
        <w:placeholder>
          <w:docPart w:val="GBC22222222222222222222222222222"/>
        </w:placeholder>
      </w:sdtPr>
      <w:sdtContent>
        <w:p w14:paraId="7C40BE3A"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5ACEB459" w14:textId="77777777" w:rsidR="00577D08" w:rsidRDefault="00330FC0" w:rsidP="00E6534C">
      <w:pPr>
        <w:spacing w:line="360" w:lineRule="exact"/>
        <w:rPr>
          <w:b/>
          <w:kern w:val="2"/>
          <w:szCs w:val="28"/>
        </w:rPr>
      </w:pPr>
      <w:r>
        <w:rPr>
          <w:b/>
          <w:kern w:val="2"/>
          <w:szCs w:val="28"/>
        </w:rPr>
        <w:t>按照单项计提坏账准备的认定单项计提判断标准</w:t>
      </w:r>
    </w:p>
    <w:sdt>
      <w:sdtPr>
        <w:alias w:val="是否适用：应收账款按照单项计提坏账准备的单项计提判断标准[双击切换]"/>
        <w:tag w:val="_GBC_f7afe786f25942689e4acaa1b3bcb415"/>
        <w:id w:val="300050940"/>
        <w:placeholder>
          <w:docPart w:val="GBC22222222222222222222222222222"/>
        </w:placeholder>
      </w:sdtPr>
      <w:sdtContent>
        <w:p w14:paraId="46E9AF25"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账款按照单项计提坏账准备的单项计提判断标准"/>
        <w:tag w:val="_GBC_599e453280664c169d8cffd0da6e21f5"/>
        <w:id w:val="1087510159"/>
        <w:placeholder>
          <w:docPart w:val="GBC22222222222222222222222222222"/>
        </w:placeholder>
      </w:sdtPr>
      <w:sdtContent>
        <w:p w14:paraId="0DF0FF1A"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7177480F" w14:textId="77777777" w:rsidR="00577D08" w:rsidRDefault="00330FC0" w:rsidP="00E6534C">
      <w:pPr>
        <w:pStyle w:val="3"/>
        <w:numPr>
          <w:ilvl w:val="0"/>
          <w:numId w:val="55"/>
        </w:numPr>
        <w:spacing w:line="360" w:lineRule="exact"/>
      </w:pPr>
      <w:bookmarkStart w:id="305" w:name="_Hlk24102310"/>
      <w:bookmarkStart w:id="306" w:name="_Hlk152690443"/>
      <w:r>
        <w:rPr>
          <w:rFonts w:hint="eastAsia"/>
        </w:rPr>
        <w:t>应收款项融资</w:t>
      </w:r>
    </w:p>
    <w:sdt>
      <w:sdtPr>
        <w:alias w:val="是否适用：应收款项融资_重要会计政策和估计[双击切换]"/>
        <w:tag w:val="_GBC_a2e41ba19b9541d683d17977f5a0e631"/>
        <w:id w:val="-1311399300"/>
        <w:placeholder>
          <w:docPart w:val="GBC22222222222222222222222222222"/>
        </w:placeholder>
      </w:sdtPr>
      <w:sdtContent>
        <w:p w14:paraId="08144976"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5"/>
    <w:bookmarkEnd w:id="306"/>
    <w:p w14:paraId="0D52D776" w14:textId="77777777" w:rsidR="00577D08" w:rsidRDefault="00330FC0" w:rsidP="00E6534C">
      <w:pPr>
        <w:spacing w:line="360" w:lineRule="exact"/>
        <w:rPr>
          <w:b/>
          <w:kern w:val="2"/>
          <w:szCs w:val="28"/>
        </w:rPr>
      </w:pPr>
      <w:r>
        <w:rPr>
          <w:b/>
          <w:kern w:val="2"/>
          <w:szCs w:val="28"/>
        </w:rPr>
        <w:t>按照信用风险特征组合计提坏账准备的组合类别及确定依据</w:t>
      </w:r>
    </w:p>
    <w:sdt>
      <w:sdtPr>
        <w:alias w:val="是否适用：应收款项融资按照信用风险特征组合计提坏账准备的组合类别及确定依据[双击切换]"/>
        <w:tag w:val="_GBC_96c4eeead8b040d79bbd069f3f4f2aec"/>
        <w:id w:val="-645893884"/>
        <w:placeholder>
          <w:docPart w:val="GBC22222222222222222222222222222"/>
        </w:placeholder>
      </w:sdtPr>
      <w:sdtContent>
        <w:p w14:paraId="3E20880F"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款项融资按照信用风险特征组合计提坏账准备的组合类别及确定依据"/>
        <w:tag w:val="_GBC_37ff5d8320ca45f099eeaeeaaf6f1232"/>
        <w:id w:val="12429950"/>
        <w:placeholder>
          <w:docPart w:val="GBC22222222222222222222222222222"/>
        </w:placeholder>
      </w:sdtPr>
      <w:sdtContent>
        <w:p w14:paraId="01107827"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6FDE1554" w14:textId="77777777" w:rsidR="00577D08" w:rsidRDefault="00330FC0" w:rsidP="00E6534C">
      <w:pPr>
        <w:spacing w:line="360" w:lineRule="exact"/>
        <w:rPr>
          <w:b/>
          <w:kern w:val="2"/>
          <w:szCs w:val="28"/>
        </w:rPr>
      </w:pPr>
      <w:r>
        <w:rPr>
          <w:b/>
          <w:kern w:val="2"/>
          <w:szCs w:val="28"/>
        </w:rPr>
        <w:t>基于账龄确认信用风险特征组合的账龄计算方法</w:t>
      </w:r>
    </w:p>
    <w:sdt>
      <w:sdtPr>
        <w:alias w:val="是否适用：应收款项融资基于账龄确认信用风险特征组合的账龄计算方法[双击切换]"/>
        <w:tag w:val="_GBC_6088373057ea4aacb1a49ee381004fee"/>
        <w:id w:val="-116075355"/>
        <w:placeholder>
          <w:docPart w:val="GBC22222222222222222222222222222"/>
        </w:placeholder>
      </w:sdtPr>
      <w:sdtContent>
        <w:p w14:paraId="35E53B51"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款项融资基于账龄确认信用风险特征组合的账龄计算方法"/>
        <w:tag w:val="_GBC_791d9201e6df4c76873947e9954a5b9b"/>
        <w:id w:val="884062253"/>
        <w:placeholder>
          <w:docPart w:val="GBC22222222222222222222222222222"/>
        </w:placeholder>
      </w:sdtPr>
      <w:sdtContent>
        <w:p w14:paraId="362164EC"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3A298B0D" w14:textId="77777777" w:rsidR="00577D08" w:rsidRDefault="00330FC0" w:rsidP="00E6534C">
      <w:pPr>
        <w:spacing w:line="360" w:lineRule="exact"/>
        <w:rPr>
          <w:b/>
          <w:kern w:val="2"/>
          <w:szCs w:val="28"/>
        </w:rPr>
      </w:pPr>
      <w:r>
        <w:rPr>
          <w:b/>
          <w:kern w:val="2"/>
          <w:szCs w:val="28"/>
        </w:rPr>
        <w:t>按照单项计提坏账准备的单项计提判断标准</w:t>
      </w:r>
    </w:p>
    <w:sdt>
      <w:sdtPr>
        <w:alias w:val="是否适用：应收款项融资按照单项计提坏账准备的单项计提判断标准[双击切换]"/>
        <w:tag w:val="_GBC_ee8c0fdee21e477387bf47d167b126ff"/>
        <w:id w:val="-264076808"/>
        <w:placeholder>
          <w:docPart w:val="GBC22222222222222222222222222222"/>
        </w:placeholder>
      </w:sdtPr>
      <w:sdtContent>
        <w:p w14:paraId="66C838FA"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款项融资按照单项计提坏账准备的单项计提判断标准"/>
        <w:tag w:val="_GBC_b3b8295d655949dc97afd6a5c34f9a9a"/>
        <w:id w:val="1677999603"/>
        <w:placeholder>
          <w:docPart w:val="GBC22222222222222222222222222222"/>
        </w:placeholder>
      </w:sdtPr>
      <w:sdtContent>
        <w:p w14:paraId="2A3EC50F"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451A9C0D" w14:textId="77777777" w:rsidR="00577D08" w:rsidRDefault="00330FC0" w:rsidP="00E6534C">
      <w:pPr>
        <w:pStyle w:val="3"/>
        <w:numPr>
          <w:ilvl w:val="0"/>
          <w:numId w:val="55"/>
        </w:numPr>
        <w:spacing w:line="360" w:lineRule="exact"/>
        <w:rPr>
          <w:szCs w:val="21"/>
        </w:rPr>
      </w:pPr>
      <w:bookmarkStart w:id="307" w:name="_Hlk533667836"/>
      <w:r>
        <w:rPr>
          <w:rFonts w:hint="eastAsia"/>
          <w:szCs w:val="21"/>
        </w:rPr>
        <w:t>其他应收款</w:t>
      </w:r>
    </w:p>
    <w:sdt>
      <w:sdtPr>
        <w:rPr>
          <w:rFonts w:hint="eastAsia"/>
        </w:rPr>
        <w:alias w:val="是否适用：其他应收款_重要会计政策和估计[双击切换]"/>
        <w:tag w:val="_GBC_bd9572d7068940d78105aa21662a4f54"/>
        <w:id w:val="-210585056"/>
        <w:placeholder>
          <w:docPart w:val="GBC22222222222222222222222222222"/>
        </w:placeholder>
      </w:sdtPr>
      <w:sdtContent>
        <w:p w14:paraId="28E18321" w14:textId="77777777" w:rsidR="00577D08" w:rsidRDefault="00330FC0" w:rsidP="00E6534C">
          <w:pPr>
            <w:spacing w:line="360" w:lineRule="exact"/>
          </w:pPr>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307"/>
    <w:p w14:paraId="6E704BBF" w14:textId="77777777" w:rsidR="00577D08" w:rsidRDefault="00330FC0" w:rsidP="00E6534C">
      <w:pPr>
        <w:spacing w:line="360" w:lineRule="exact"/>
        <w:rPr>
          <w:b/>
          <w:kern w:val="2"/>
          <w:szCs w:val="28"/>
        </w:rPr>
      </w:pPr>
      <w:r>
        <w:rPr>
          <w:b/>
          <w:kern w:val="2"/>
          <w:szCs w:val="28"/>
        </w:rPr>
        <w:t>按照信用风险特征组合计提坏账准备的组合类别及确定依据</w:t>
      </w:r>
    </w:p>
    <w:sdt>
      <w:sdtPr>
        <w:alias w:val="是否适用：其他应收款按照信用风险特征组合计提坏账准备的组合类别及确定依据[双击切换]"/>
        <w:tag w:val="_GBC_f39444fc293a46c5ae832091674d34c9"/>
        <w:id w:val="-722517370"/>
        <w:placeholder>
          <w:docPart w:val="GBC22222222222222222222222222222"/>
        </w:placeholder>
      </w:sdtPr>
      <w:sdtContent>
        <w:p w14:paraId="6516D885"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应收款按照信用风险特征组合计提坏账准备的组合类别及确定依据"/>
        <w:tag w:val="_GBC_6ff0352272b24125ac1ff7ce3ba2aa3b"/>
        <w:id w:val="1594441861"/>
        <w:placeholder>
          <w:docPart w:val="GBC22222222222222222222222222222"/>
        </w:placeholder>
      </w:sdtPr>
      <w:sdtContent>
        <w:p w14:paraId="387D4327"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38860B08" w14:textId="77777777" w:rsidR="00577D08" w:rsidRDefault="00330FC0" w:rsidP="00E6534C">
      <w:pPr>
        <w:spacing w:line="360" w:lineRule="exact"/>
        <w:rPr>
          <w:b/>
          <w:kern w:val="2"/>
          <w:szCs w:val="28"/>
        </w:rPr>
      </w:pPr>
      <w:r>
        <w:rPr>
          <w:b/>
          <w:kern w:val="2"/>
          <w:szCs w:val="28"/>
        </w:rPr>
        <w:t>基于账龄确认信用风险特征组合的账龄计算方法</w:t>
      </w:r>
    </w:p>
    <w:sdt>
      <w:sdtPr>
        <w:alias w:val="是否适用：其他应收款基于账龄确认信用风险特征组合的账龄计算方法[双击切换]"/>
        <w:tag w:val="_GBC_212b4fcf685f4b098f47723f38f926d2"/>
        <w:id w:val="-1815486459"/>
        <w:placeholder>
          <w:docPart w:val="GBC22222222222222222222222222222"/>
        </w:placeholder>
      </w:sdtPr>
      <w:sdtContent>
        <w:p w14:paraId="0961FFE9"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应收款基于账龄确认信用风险特征组合的账龄计算方法"/>
        <w:tag w:val="_GBC_80958ddf46f043c29fa2147d0266ca2b"/>
        <w:id w:val="-2086760820"/>
        <w:placeholder>
          <w:docPart w:val="GBC22222222222222222222222222222"/>
        </w:placeholder>
      </w:sdtPr>
      <w:sdtContent>
        <w:p w14:paraId="0FA3447F"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05876E1E" w14:textId="77777777" w:rsidR="00577D08" w:rsidRDefault="00330FC0" w:rsidP="00E6534C">
      <w:pPr>
        <w:spacing w:line="360" w:lineRule="exact"/>
        <w:rPr>
          <w:b/>
          <w:kern w:val="2"/>
          <w:szCs w:val="28"/>
        </w:rPr>
      </w:pPr>
      <w:r>
        <w:rPr>
          <w:b/>
          <w:kern w:val="2"/>
          <w:szCs w:val="28"/>
        </w:rPr>
        <w:t>按照单项计提坏账准备的单项计提判断标准</w:t>
      </w:r>
    </w:p>
    <w:sdt>
      <w:sdtPr>
        <w:alias w:val="是否适用：其他应收款按照单项计提坏账准备的单项计提判断标准[双击切换]"/>
        <w:tag w:val="_GBC_ba17d337469a42e78d387da6c2afd4e3"/>
        <w:id w:val="-52704019"/>
        <w:placeholder>
          <w:docPart w:val="GBC22222222222222222222222222222"/>
        </w:placeholder>
      </w:sdtPr>
      <w:sdtContent>
        <w:p w14:paraId="37982E4B" w14:textId="77777777" w:rsidR="00577D08" w:rsidRDefault="00330FC0" w:rsidP="00E6534C">
          <w:pPr>
            <w:spacing w:line="360" w:lineRule="exact"/>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应收款按照单项计提坏账准备的单项计提判断标准"/>
        <w:tag w:val="_GBC_ab193709afff47ac84ee1dbf87f804f7"/>
        <w:id w:val="-159543287"/>
        <w:placeholder>
          <w:docPart w:val="GBC22222222222222222222222222222"/>
        </w:placeholder>
      </w:sdtPr>
      <w:sdtContent>
        <w:p w14:paraId="6434D254" w14:textId="77777777" w:rsidR="00577D08" w:rsidRDefault="00330FC0" w:rsidP="00E6534C">
          <w:pPr>
            <w:spacing w:line="360" w:lineRule="exact"/>
          </w:pPr>
          <w:r>
            <w:rPr>
              <w:rFonts w:hint="eastAsia"/>
            </w:rPr>
            <w:t>详见“第八节</w:t>
          </w:r>
          <w:r>
            <w:rPr>
              <w:rFonts w:hint="eastAsia"/>
            </w:rPr>
            <w:t>.</w:t>
          </w:r>
          <w:r>
            <w:rPr>
              <w:rFonts w:hint="eastAsia"/>
            </w:rPr>
            <w:t>五、重要会计政策及会计估计</w:t>
          </w:r>
          <w:r>
            <w:rPr>
              <w:rFonts w:hint="eastAsia"/>
            </w:rPr>
            <w:t>.11</w:t>
          </w:r>
          <w:r>
            <w:rPr>
              <w:rFonts w:hint="eastAsia"/>
            </w:rPr>
            <w:t>、金融工具”。</w:t>
          </w:r>
        </w:p>
      </w:sdtContent>
    </w:sdt>
    <w:p w14:paraId="5975CD9C" w14:textId="77777777" w:rsidR="00577D08" w:rsidRDefault="00330FC0" w:rsidP="00E6534C">
      <w:pPr>
        <w:pStyle w:val="3"/>
        <w:numPr>
          <w:ilvl w:val="0"/>
          <w:numId w:val="55"/>
        </w:numPr>
        <w:spacing w:line="360" w:lineRule="exact"/>
      </w:pPr>
      <w:r>
        <w:t>存货</w:t>
      </w:r>
    </w:p>
    <w:sdt>
      <w:sdtPr>
        <w:rPr>
          <w:rFonts w:hint="eastAsia"/>
        </w:rPr>
        <w:alias w:val="是否适用：存货_重要会计政策和估计[双击切换]"/>
        <w:tag w:val="_GBC_dcacbe0db27e4ea5b80fa4aefb3bdbac"/>
        <w:id w:val="254099831"/>
        <w:placeholder>
          <w:docPart w:val="GBC22222222222222222222222222222"/>
        </w:placeholder>
      </w:sdtPr>
      <w:sdtContent>
        <w:p w14:paraId="175DC57F" w14:textId="77777777" w:rsidR="00577D08" w:rsidRDefault="00330FC0" w:rsidP="00E6534C">
          <w:pPr>
            <w:spacing w:line="360" w:lineRule="exac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36E5B3A" w14:textId="77777777" w:rsidR="00577D08" w:rsidRDefault="00330FC0" w:rsidP="00E6534C">
      <w:pPr>
        <w:spacing w:line="360" w:lineRule="exact"/>
        <w:rPr>
          <w:b/>
          <w:kern w:val="2"/>
          <w:szCs w:val="28"/>
        </w:rPr>
      </w:pPr>
      <w:bookmarkStart w:id="308" w:name="_Hlk152678121"/>
      <w:r>
        <w:rPr>
          <w:b/>
          <w:kern w:val="2"/>
          <w:szCs w:val="28"/>
        </w:rPr>
        <w:t>存货</w:t>
      </w:r>
      <w:r>
        <w:rPr>
          <w:rFonts w:hint="eastAsia"/>
          <w:b/>
          <w:kern w:val="2"/>
          <w:szCs w:val="28"/>
        </w:rPr>
        <w:t>类别、发出计价方法、盘存制度、低值易耗品和包装物的摊销方法</w:t>
      </w:r>
    </w:p>
    <w:bookmarkEnd w:id="308" w:displacedByCustomXml="next"/>
    <w:sdt>
      <w:sdtPr>
        <w:alias w:val="是否适用：存货类别、发出计价方法、盘存制度、低值易耗品和包装物的摊销方法[双击切换]"/>
        <w:tag w:val="_GBC_7a24117441bd45edbee63ef5c75fa013"/>
        <w:id w:val="-1006439000"/>
        <w:placeholder>
          <w:docPart w:val="GBC22222222222222222222222222222"/>
        </w:placeholder>
      </w:sdtPr>
      <w:sdtContent>
        <w:p w14:paraId="3BAE7B7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存货类别、发出计价方法、盘存制度、低值易耗品和包装物的摊销方法"/>
        <w:tag w:val="_GBC_3fcd1bdad070400f9c9e3e5d4c064f2b"/>
        <w:id w:val="-1828506385"/>
        <w:placeholder>
          <w:docPart w:val="GBC22222222222222222222222222222"/>
        </w:placeholder>
      </w:sdtPr>
      <w:sdtContent>
        <w:p w14:paraId="2FC445D3" w14:textId="77777777" w:rsidR="00577D08" w:rsidRDefault="00330FC0">
          <w:pPr>
            <w:spacing w:line="360" w:lineRule="exact"/>
            <w:ind w:firstLineChars="200" w:firstLine="420"/>
          </w:pPr>
          <w:r>
            <w:rPr>
              <w:rFonts w:hint="eastAsia"/>
            </w:rPr>
            <w:t>（</w:t>
          </w:r>
          <w:r>
            <w:rPr>
              <w:rFonts w:hint="eastAsia"/>
            </w:rPr>
            <w:t>1</w:t>
          </w:r>
          <w:r>
            <w:rPr>
              <w:rFonts w:hint="eastAsia"/>
            </w:rPr>
            <w:t>）存货的分类</w:t>
          </w:r>
        </w:p>
        <w:p w14:paraId="17B77A35" w14:textId="77777777" w:rsidR="00577D08" w:rsidRDefault="00330FC0">
          <w:pPr>
            <w:spacing w:line="360" w:lineRule="exact"/>
            <w:ind w:firstLineChars="200" w:firstLine="420"/>
          </w:pPr>
          <w:r>
            <w:rPr>
              <w:rFonts w:hint="eastAsia"/>
            </w:rPr>
            <w:t>存货包括在日常活动中持有以备出售的产成品或商品、处在生产过程中的在产品、在生产过程或提供劳务过程中耗用的材料和物料等。主要包括原材料、委托加工材料、在产品、产成品（库存商品）、发出商品等。</w:t>
          </w:r>
        </w:p>
        <w:p w14:paraId="74D812D3" w14:textId="77777777" w:rsidR="00577D08" w:rsidRDefault="00330FC0">
          <w:pPr>
            <w:spacing w:line="360" w:lineRule="exact"/>
            <w:ind w:firstLineChars="200" w:firstLine="420"/>
          </w:pPr>
          <w:r>
            <w:rPr>
              <w:rFonts w:hint="eastAsia"/>
            </w:rPr>
            <w:t>（</w:t>
          </w:r>
          <w:r>
            <w:rPr>
              <w:rFonts w:hint="eastAsia"/>
            </w:rPr>
            <w:t>2</w:t>
          </w:r>
          <w:r>
            <w:rPr>
              <w:rFonts w:hint="eastAsia"/>
            </w:rPr>
            <w:t>）发出存货的计价方法</w:t>
          </w:r>
        </w:p>
        <w:p w14:paraId="2057251C" w14:textId="77777777" w:rsidR="00577D08" w:rsidRDefault="00330FC0">
          <w:pPr>
            <w:spacing w:line="360" w:lineRule="exact"/>
            <w:ind w:firstLineChars="200" w:firstLine="420"/>
          </w:pPr>
          <w:r>
            <w:rPr>
              <w:rFonts w:hint="eastAsia"/>
            </w:rPr>
            <w:t>发出存货采用月末一次加权平均法。</w:t>
          </w:r>
        </w:p>
        <w:p w14:paraId="4A3771C5" w14:textId="77777777" w:rsidR="00577D08" w:rsidRDefault="00330FC0">
          <w:pPr>
            <w:spacing w:line="360" w:lineRule="exact"/>
            <w:ind w:firstLineChars="200" w:firstLine="420"/>
          </w:pPr>
          <w:r>
            <w:rPr>
              <w:rFonts w:hint="eastAsia"/>
            </w:rPr>
            <w:t>（</w:t>
          </w:r>
          <w:r>
            <w:rPr>
              <w:rFonts w:hint="eastAsia"/>
            </w:rPr>
            <w:t>3</w:t>
          </w:r>
          <w:r>
            <w:rPr>
              <w:rFonts w:hint="eastAsia"/>
            </w:rPr>
            <w:t>）存货的盘存制度</w:t>
          </w:r>
        </w:p>
        <w:p w14:paraId="4C148129" w14:textId="77777777" w:rsidR="00577D08" w:rsidRDefault="00330FC0">
          <w:pPr>
            <w:spacing w:line="360" w:lineRule="exact"/>
            <w:ind w:firstLineChars="200" w:firstLine="420"/>
          </w:pPr>
          <w:r>
            <w:rPr>
              <w:rFonts w:hint="eastAsia"/>
            </w:rPr>
            <w:t>存货的盘存制度为永续盘存制。</w:t>
          </w:r>
        </w:p>
        <w:p w14:paraId="49ABDFA1" w14:textId="77777777" w:rsidR="00577D08" w:rsidRDefault="00330FC0">
          <w:pPr>
            <w:spacing w:line="360" w:lineRule="exact"/>
            <w:ind w:firstLineChars="200" w:firstLine="420"/>
          </w:pPr>
          <w:r>
            <w:rPr>
              <w:rFonts w:hint="eastAsia"/>
            </w:rPr>
            <w:lastRenderedPageBreak/>
            <w:t>（</w:t>
          </w:r>
          <w:r>
            <w:rPr>
              <w:rFonts w:hint="eastAsia"/>
            </w:rPr>
            <w:t>4</w:t>
          </w:r>
          <w:r>
            <w:rPr>
              <w:rFonts w:hint="eastAsia"/>
            </w:rPr>
            <w:t>）低值易耗品和包装物的摊销方法</w:t>
          </w:r>
        </w:p>
        <w:p w14:paraId="61AF063E" w14:textId="77777777" w:rsidR="00577D08" w:rsidRDefault="00330FC0">
          <w:pPr>
            <w:spacing w:line="360" w:lineRule="exact"/>
            <w:ind w:firstLineChars="200" w:firstLine="420"/>
          </w:pPr>
          <w:r>
            <w:rPr>
              <w:rFonts w:hint="eastAsia"/>
            </w:rPr>
            <w:t>1</w:t>
          </w:r>
          <w:r>
            <w:rPr>
              <w:rFonts w:hint="eastAsia"/>
            </w:rPr>
            <w:t>）低值易耗品</w:t>
          </w:r>
        </w:p>
        <w:p w14:paraId="128F61CD" w14:textId="77777777" w:rsidR="00577D08" w:rsidRDefault="00330FC0">
          <w:pPr>
            <w:spacing w:line="360" w:lineRule="exact"/>
            <w:ind w:firstLineChars="200" w:firstLine="420"/>
          </w:pPr>
          <w:r>
            <w:rPr>
              <w:rFonts w:hint="eastAsia"/>
            </w:rPr>
            <w:t>按照一次转销法进行摊销。</w:t>
          </w:r>
        </w:p>
        <w:p w14:paraId="21A7B0D1" w14:textId="77777777" w:rsidR="00577D08" w:rsidRDefault="00330FC0">
          <w:pPr>
            <w:spacing w:line="360" w:lineRule="exact"/>
            <w:ind w:firstLineChars="200" w:firstLine="420"/>
          </w:pPr>
          <w:r>
            <w:rPr>
              <w:rFonts w:hint="eastAsia"/>
            </w:rPr>
            <w:t>2</w:t>
          </w:r>
          <w:r>
            <w:rPr>
              <w:rFonts w:hint="eastAsia"/>
            </w:rPr>
            <w:t>）包装物</w:t>
          </w:r>
        </w:p>
        <w:p w14:paraId="3937165F" w14:textId="77777777" w:rsidR="00577D08" w:rsidRDefault="00330FC0">
          <w:pPr>
            <w:spacing w:line="360" w:lineRule="exact"/>
            <w:ind w:firstLineChars="200" w:firstLine="420"/>
          </w:pPr>
          <w:r>
            <w:rPr>
              <w:rFonts w:hint="eastAsia"/>
            </w:rPr>
            <w:t>按照一次转销法进行摊销。</w:t>
          </w:r>
        </w:p>
      </w:sdtContent>
    </w:sdt>
    <w:p w14:paraId="11620931" w14:textId="77777777" w:rsidR="00577D08" w:rsidRDefault="00330FC0">
      <w:pPr>
        <w:rPr>
          <w:b/>
          <w:kern w:val="2"/>
          <w:szCs w:val="28"/>
        </w:rPr>
      </w:pPr>
      <w:r>
        <w:rPr>
          <w:b/>
          <w:kern w:val="2"/>
          <w:szCs w:val="28"/>
        </w:rPr>
        <w:t>存货跌价准备的确认标准和计提方法</w:t>
      </w:r>
    </w:p>
    <w:sdt>
      <w:sdtPr>
        <w:alias w:val="是否适用：存货跌价准备的确认标准和计提方法[双击切换]"/>
        <w:tag w:val="_GBC_6e8ebb9994fe404dba2a12ec5c785d83"/>
        <w:id w:val="227819901"/>
        <w:placeholder>
          <w:docPart w:val="GBC22222222222222222222222222222"/>
        </w:placeholder>
      </w:sdtPr>
      <w:sdtContent>
        <w:p w14:paraId="790745A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存货跌价准备的确认标准和计提方法"/>
        <w:tag w:val="_GBC_94e79c0b2c2f4552b5ec962b8df1c2f0"/>
        <w:id w:val="-1567091377"/>
        <w:placeholder>
          <w:docPart w:val="GBC22222222222222222222222222222"/>
        </w:placeholder>
      </w:sdtPr>
      <w:sdtContent>
        <w:p w14:paraId="270757D5" w14:textId="77777777" w:rsidR="00577D08" w:rsidRDefault="00330FC0">
          <w:pPr>
            <w:spacing w:line="360" w:lineRule="exact"/>
            <w:ind w:firstLineChars="200" w:firstLine="420"/>
          </w:pPr>
          <w:r>
            <w:rPr>
              <w:rFonts w:hint="eastAsia"/>
            </w:rPr>
            <w:t>资产负债表日，存货采用成本与可变现净值孰低计量，按照成本高于可变现净值的差额计提存货跌价准备。直接用于出售的存货，在正常生产经营过程中以该存货的估计售价减去估计的销售费用和相关税费后的金额确定其可变现净值；需要经过加工的存货，在正常生产经营过程中以所生产的产成品的估计售价减去至完工时估计将要发生的成本、估计的销售费用和相关税费后的金额确定其可变现净值；资产负债表日，同一项存货中一部分有合同价格约定、其他部分不存在合同价格的，分别确定其可变现净值，并与其对应的成本进行比较，分别确定存货跌价准备的计提或转回的金额。</w:t>
          </w:r>
        </w:p>
      </w:sdtContent>
    </w:sdt>
    <w:p w14:paraId="5FC14325" w14:textId="77777777" w:rsidR="00577D08" w:rsidRDefault="00577D08">
      <w:pPr>
        <w:rPr>
          <w:b/>
          <w:kern w:val="2"/>
          <w:szCs w:val="28"/>
        </w:rPr>
      </w:pPr>
    </w:p>
    <w:p w14:paraId="1439C832" w14:textId="77777777" w:rsidR="00577D08" w:rsidRDefault="00330FC0" w:rsidP="00E6534C">
      <w:pPr>
        <w:spacing w:line="360" w:lineRule="exact"/>
        <w:rPr>
          <w:b/>
          <w:kern w:val="2"/>
          <w:szCs w:val="28"/>
        </w:rPr>
      </w:pPr>
      <w:r>
        <w:rPr>
          <w:b/>
          <w:kern w:val="2"/>
          <w:szCs w:val="28"/>
        </w:rPr>
        <w:t>按照组合计提存货跌价准备的组合类别及确定依据</w:t>
      </w:r>
      <w:r>
        <w:rPr>
          <w:rFonts w:hint="eastAsia"/>
          <w:b/>
          <w:bCs/>
          <w:kern w:val="2"/>
          <w:szCs w:val="28"/>
        </w:rPr>
        <w:t>、</w:t>
      </w:r>
      <w:r>
        <w:rPr>
          <w:rFonts w:hint="eastAsia"/>
          <w:b/>
          <w:bCs/>
        </w:rPr>
        <w:t>不同类别存货可变现净值的确定依据</w:t>
      </w:r>
    </w:p>
    <w:sdt>
      <w:sdtPr>
        <w:alias w:val="是否适用：按照组合计提存货跌价准备的组合类别及确定依据、不同类别存货可变现净值的确定依据[双击切换]"/>
        <w:tag w:val="_GBC_497390f68e764f2baa3b06eda7d6c944"/>
        <w:id w:val="-835378760"/>
        <w:placeholder>
          <w:docPart w:val="GBC22222222222222222222222222222"/>
        </w:placeholder>
      </w:sdtPr>
      <w:sdtContent>
        <w:p w14:paraId="07C1F345" w14:textId="77777777" w:rsidR="00577D08" w:rsidRDefault="00330FC0" w:rsidP="00E6534C">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69E4E05" w14:textId="77777777" w:rsidR="00577D08" w:rsidRDefault="00330FC0" w:rsidP="00E6534C">
      <w:pPr>
        <w:spacing w:line="360" w:lineRule="exact"/>
        <w:rPr>
          <w:b/>
          <w:kern w:val="2"/>
          <w:szCs w:val="28"/>
        </w:rPr>
      </w:pPr>
      <w:r>
        <w:rPr>
          <w:b/>
          <w:kern w:val="2"/>
          <w:szCs w:val="28"/>
        </w:rPr>
        <w:t>基于库龄确认存货可变现净值的各库龄组合可变现净值的计算方法和确定依据</w:t>
      </w:r>
    </w:p>
    <w:sdt>
      <w:sdtPr>
        <w:alias w:val="是否适用：基于库龄确认存货可变现净值的各库龄组合可变现净值的计算方法和确定依据[双击切换]"/>
        <w:tag w:val="_GBC_9d365dfe8a544c55a4c1edb1470b656d"/>
        <w:id w:val="-268709913"/>
        <w:placeholder>
          <w:docPart w:val="GBC22222222222222222222222222222"/>
        </w:placeholder>
      </w:sdtPr>
      <w:sdtContent>
        <w:p w14:paraId="7223F93E" w14:textId="77777777" w:rsidR="00577D08" w:rsidRDefault="00330FC0" w:rsidP="00E6534C">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1DC126" w14:textId="77777777" w:rsidR="00577D08" w:rsidRDefault="00330FC0" w:rsidP="00E6534C">
      <w:pPr>
        <w:pStyle w:val="3"/>
        <w:numPr>
          <w:ilvl w:val="0"/>
          <w:numId w:val="55"/>
        </w:numPr>
        <w:spacing w:line="360" w:lineRule="exact"/>
        <w:rPr>
          <w:szCs w:val="21"/>
        </w:rPr>
      </w:pPr>
      <w:bookmarkStart w:id="309" w:name="_Hlk533667851"/>
      <w:r>
        <w:rPr>
          <w:rFonts w:hint="eastAsia"/>
          <w:szCs w:val="21"/>
        </w:rPr>
        <w:t>合同资产</w:t>
      </w:r>
    </w:p>
    <w:sdt>
      <w:sdtPr>
        <w:rPr>
          <w:rFonts w:hint="eastAsia"/>
        </w:rPr>
        <w:alias w:val="是否适用：合同资产_重要会计政策和估计[双击切换]"/>
        <w:tag w:val="_GBC_5a88c6aff74e4eb184d0541279c7f45e"/>
        <w:id w:val="1711304661"/>
        <w:placeholder>
          <w:docPart w:val="GBC22222222222222222222222222222"/>
        </w:placeholder>
      </w:sdtPr>
      <w:sdtContent>
        <w:p w14:paraId="3587B1F0" w14:textId="77777777" w:rsidR="00577D08" w:rsidRDefault="00330FC0" w:rsidP="00E6534C">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09"/>
    <w:p w14:paraId="31C20394" w14:textId="77777777" w:rsidR="00577D08" w:rsidRDefault="00330FC0" w:rsidP="00E6534C">
      <w:pPr>
        <w:pStyle w:val="3"/>
        <w:numPr>
          <w:ilvl w:val="0"/>
          <w:numId w:val="55"/>
        </w:numPr>
        <w:spacing w:line="360" w:lineRule="exact"/>
        <w:ind w:left="450" w:hanging="450"/>
        <w:rPr>
          <w:szCs w:val="21"/>
        </w:rPr>
      </w:pPr>
      <w:r>
        <w:rPr>
          <w:rFonts w:hint="eastAsia"/>
        </w:rPr>
        <w:t>持有</w:t>
      </w:r>
      <w:r>
        <w:rPr>
          <w:rFonts w:ascii="宋体" w:hAnsi="宋体" w:hint="eastAsia"/>
          <w:szCs w:val="21"/>
        </w:rPr>
        <w:t>待</w:t>
      </w:r>
      <w:r>
        <w:rPr>
          <w:rFonts w:ascii="宋体" w:hAnsi="宋体"/>
          <w:szCs w:val="21"/>
        </w:rPr>
        <w:t>售的非流动资产或处置组</w:t>
      </w:r>
    </w:p>
    <w:bookmarkStart w:id="310" w:name="_Hlk533151067" w:displacedByCustomXml="next"/>
    <w:sdt>
      <w:sdtPr>
        <w:alias w:val="是否适用：持有待售的非流动资产或处置组[双击切换]"/>
        <w:tag w:val="_GBC_e7f5369a15ba4034bd2498c40687a411"/>
        <w:id w:val="-778414188"/>
        <w:placeholder>
          <w:docPart w:val="GBC22222222222222222222222222222"/>
        </w:placeholder>
      </w:sdtPr>
      <w:sdtContent>
        <w:p w14:paraId="7B1011DD" w14:textId="77777777" w:rsidR="00577D08" w:rsidRDefault="00330FC0" w:rsidP="00E6534C">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10"/>
    <w:p w14:paraId="328A47F8" w14:textId="77777777" w:rsidR="00577D08" w:rsidRDefault="00330FC0" w:rsidP="00E6534C">
      <w:pPr>
        <w:spacing w:line="360" w:lineRule="exact"/>
        <w:rPr>
          <w:b/>
          <w:kern w:val="2"/>
        </w:rPr>
      </w:pPr>
      <w:r>
        <w:rPr>
          <w:rFonts w:hint="eastAsia"/>
          <w:b/>
          <w:kern w:val="2"/>
        </w:rPr>
        <w:t>划分为持有待售的非流动资产或处置组的确认标准和会计处理方法</w:t>
      </w:r>
    </w:p>
    <w:sdt>
      <w:sdtPr>
        <w:alias w:val="是否适用：划分为持有待售的非流动资产或处置组的确认标准和会计处理方法[双击切换]"/>
        <w:tag w:val="_GBC_cf8b05c4ada54b2aac5743b74b5fdb45"/>
        <w:id w:val="1874720090"/>
        <w:placeholder>
          <w:docPart w:val="GBC22222222222222222222222222222"/>
        </w:placeholder>
      </w:sdtPr>
      <w:sdtContent>
        <w:p w14:paraId="7DF7B228" w14:textId="77777777" w:rsidR="00577D08" w:rsidRDefault="00330FC0" w:rsidP="00E6534C">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27AAA29" w14:textId="77777777" w:rsidR="00577D08" w:rsidRDefault="00330FC0" w:rsidP="00E6534C">
      <w:pPr>
        <w:spacing w:line="360" w:lineRule="exact"/>
        <w:rPr>
          <w:b/>
          <w:kern w:val="2"/>
        </w:rPr>
      </w:pPr>
      <w:r>
        <w:rPr>
          <w:b/>
          <w:kern w:val="2"/>
        </w:rPr>
        <w:t>终止经营的认定标准和列报方法</w:t>
      </w:r>
    </w:p>
    <w:sdt>
      <w:sdtPr>
        <w:alias w:val="是否适用：终止经营的认定标准和列报方法[双击切换]"/>
        <w:tag w:val="_GBC_a323dd7cc84c4bd1bc42320036ce854b"/>
        <w:id w:val="-1526782254"/>
        <w:placeholder>
          <w:docPart w:val="GBC22222222222222222222222222222"/>
        </w:placeholder>
      </w:sdtPr>
      <w:sdtContent>
        <w:p w14:paraId="56DEA3A9" w14:textId="77777777" w:rsidR="00577D08" w:rsidRDefault="00330FC0" w:rsidP="00E6534C">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6397026" w14:textId="77777777" w:rsidR="00577D08" w:rsidRDefault="00330FC0" w:rsidP="00E6534C">
      <w:pPr>
        <w:pStyle w:val="3"/>
        <w:numPr>
          <w:ilvl w:val="0"/>
          <w:numId w:val="55"/>
        </w:numPr>
        <w:spacing w:line="360" w:lineRule="exact"/>
      </w:pPr>
      <w:r>
        <w:t>长期股权投资</w:t>
      </w:r>
    </w:p>
    <w:sdt>
      <w:sdtPr>
        <w:rPr>
          <w:rFonts w:hint="eastAsia"/>
        </w:rPr>
        <w:alias w:val="是否适用：长期股权投资_重要会计政策和估计[双击切换]"/>
        <w:tag w:val="_GBC_990faa4da4e64a5389a573293ba4981b"/>
        <w:id w:val="600535265"/>
        <w:placeholder>
          <w:docPart w:val="GBC22222222222222222222222222222"/>
        </w:placeholder>
      </w:sdtPr>
      <w:sdtContent>
        <w:p w14:paraId="54902EE8" w14:textId="77777777" w:rsidR="00577D08" w:rsidRDefault="00330FC0" w:rsidP="00E6534C">
          <w:pPr>
            <w:spacing w:line="360" w:lineRule="exac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长期股权投资的核算方法"/>
        <w:tag w:val="_GBC_3e77074cd50946b1bccdff9bc1c9556f"/>
        <w:id w:val="-872235396"/>
        <w:placeholder>
          <w:docPart w:val="GBC22222222222222222222222222222"/>
        </w:placeholder>
      </w:sdtPr>
      <w:sdtContent>
        <w:p w14:paraId="3A645099" w14:textId="77777777" w:rsidR="00577D08" w:rsidRDefault="00330FC0">
          <w:pPr>
            <w:spacing w:line="360" w:lineRule="exact"/>
            <w:ind w:firstLineChars="200" w:firstLine="420"/>
          </w:pPr>
          <w:r>
            <w:rPr>
              <w:rFonts w:hint="eastAsia"/>
            </w:rPr>
            <w:t>（</w:t>
          </w:r>
          <w:r>
            <w:rPr>
              <w:rFonts w:hint="eastAsia"/>
            </w:rPr>
            <w:t>1</w:t>
          </w:r>
          <w:r>
            <w:rPr>
              <w:rFonts w:hint="eastAsia"/>
            </w:rPr>
            <w:t>）共同控制、重大影响的判断</w:t>
          </w:r>
        </w:p>
        <w:p w14:paraId="3574E103" w14:textId="77777777" w:rsidR="00577D08" w:rsidRDefault="00330FC0">
          <w:pPr>
            <w:spacing w:line="360" w:lineRule="exact"/>
            <w:ind w:firstLineChars="200" w:firstLine="420"/>
          </w:pPr>
          <w:r>
            <w:rPr>
              <w:rFonts w:hint="eastAsia"/>
            </w:rPr>
            <w:t>按照相关约定对某项安排存在共有的控制，并且该安排的相关活动必须经过共享控制权的参与方一致同意后才能决策，认定为共同控制。对被投资单位的财务和经营政策有参与决策的权力，但并不能够控制或者与其他方一起共同控制这些政策的制定，认定为重大影响。</w:t>
          </w:r>
        </w:p>
        <w:p w14:paraId="5FE90B5A" w14:textId="77777777" w:rsidR="00577D08" w:rsidRDefault="00330FC0">
          <w:pPr>
            <w:spacing w:line="360" w:lineRule="exact"/>
            <w:ind w:firstLineChars="200" w:firstLine="420"/>
          </w:pPr>
          <w:r>
            <w:rPr>
              <w:rFonts w:hint="eastAsia"/>
            </w:rPr>
            <w:t>（</w:t>
          </w:r>
          <w:r>
            <w:rPr>
              <w:rFonts w:hint="eastAsia"/>
            </w:rPr>
            <w:t>2</w:t>
          </w:r>
          <w:r>
            <w:rPr>
              <w:rFonts w:hint="eastAsia"/>
            </w:rPr>
            <w:t>）投资成本的确定</w:t>
          </w:r>
        </w:p>
        <w:p w14:paraId="0A655EAE" w14:textId="77777777" w:rsidR="00577D08" w:rsidRDefault="00330FC0">
          <w:pPr>
            <w:spacing w:line="360" w:lineRule="exact"/>
            <w:ind w:firstLineChars="200" w:firstLine="420"/>
          </w:pPr>
          <w:r>
            <w:rPr>
              <w:rFonts w:hint="eastAsia"/>
            </w:rPr>
            <w:t>1</w:t>
          </w:r>
          <w:r>
            <w:rPr>
              <w:rFonts w:hint="eastAsia"/>
            </w:rPr>
            <w:t>）同一控制下的企业合并形成的，合并方以支付现金、转让非现金资产、承担债务或发行权益性证券作为合并对价的，在合并日按照取得被合并方所有者权益在最终控制方合并财务报表中的账面价值的份额作为其初始投资成本。长期股权投资初始投资成本与支付的合并对价的账面价值或发行股份的面值总额之间的差额调整资本公积；资本公积不足冲减的，调整留存收益。</w:t>
          </w:r>
        </w:p>
        <w:p w14:paraId="6DEDEAA9" w14:textId="77777777" w:rsidR="00577D08" w:rsidRDefault="00330FC0">
          <w:pPr>
            <w:spacing w:line="360" w:lineRule="exact"/>
            <w:ind w:firstLineChars="200" w:firstLine="420"/>
          </w:pPr>
          <w:r>
            <w:rPr>
              <w:rFonts w:hint="eastAsia"/>
            </w:rPr>
            <w:lastRenderedPageBreak/>
            <w:t>公司通过多次交易分步实现同一控制下企业合并形成的长期股权投资，判断是否属于“一揽子交易”。属于“一揽子交易”的，把各项交易作为一项取得控制权的交易进行会计处理。不属于“一揽子交易”的，在合并日，根据合并后应享有被合并方净资产在最终控制方合并财务报表中的账面价值的份额确定初始投资成本。合并日长期股权投资的初始投资成本，与达到合并前的长期股权投资账面价值加上合并日进一步取得股份新支付对价的账面价值之和的差额，调整资本公积；资本公积不足冲减的，调整留存收益。</w:t>
          </w:r>
        </w:p>
        <w:p w14:paraId="5B50511A" w14:textId="77777777" w:rsidR="00577D08" w:rsidRDefault="00330FC0">
          <w:pPr>
            <w:spacing w:line="360" w:lineRule="exact"/>
            <w:ind w:firstLineChars="200" w:firstLine="420"/>
          </w:pPr>
          <w:r>
            <w:rPr>
              <w:rFonts w:hint="eastAsia"/>
            </w:rPr>
            <w:t>2</w:t>
          </w:r>
          <w:r>
            <w:rPr>
              <w:rFonts w:hint="eastAsia"/>
            </w:rPr>
            <w:t>）非同一控制下的企业合并形成的，在购买日按照支付的合并对价的公允价值作为其初始投资成本。</w:t>
          </w:r>
        </w:p>
        <w:p w14:paraId="33442817" w14:textId="77777777" w:rsidR="00577D08" w:rsidRDefault="00330FC0">
          <w:pPr>
            <w:spacing w:line="360" w:lineRule="exact"/>
            <w:ind w:firstLineChars="200" w:firstLine="420"/>
          </w:pPr>
          <w:r>
            <w:rPr>
              <w:rFonts w:hint="eastAsia"/>
            </w:rPr>
            <w:t>公司通过多次交易分步实现非同一控制下企业合并形成的长期股权投资，区分个别财务报表和合并财务报表进行相关会计处理：</w:t>
          </w:r>
        </w:p>
        <w:p w14:paraId="58C2C56F" w14:textId="77777777" w:rsidR="00577D08" w:rsidRDefault="00330FC0">
          <w:pPr>
            <w:spacing w:line="360" w:lineRule="exact"/>
            <w:ind w:firstLineChars="200" w:firstLine="420"/>
          </w:pPr>
          <w:r>
            <w:rPr>
              <w:rFonts w:hint="eastAsia"/>
            </w:rPr>
            <w:t>①在个别财务报表中，按照原持有的股权投资的账面价值加上新增投资成本之和，作为改按成本法核算的初始投资成本。</w:t>
          </w:r>
        </w:p>
        <w:p w14:paraId="431D0D50" w14:textId="77777777" w:rsidR="00577D08" w:rsidRDefault="00330FC0">
          <w:pPr>
            <w:spacing w:line="360" w:lineRule="exact"/>
            <w:ind w:firstLineChars="200" w:firstLine="420"/>
          </w:pPr>
          <w:r>
            <w:rPr>
              <w:rFonts w:hint="eastAsia"/>
            </w:rPr>
            <w:t>②在合并财务报表中，判断是否属于“一揽子交易”。属于“一揽子交易”的，把各项交易作为一项取得控制权的交易进行会计处理。不属于“一揽子交易”的，对于购买日之前持有的被购买方的股权，按照该股权在购买日的公允价值进行重新计量，公允价值与其账面价值的差额计入当期投资收益；购买日之前持有的被购买方的股权涉及权益法核算下的其他综合收益等的，与其相关的其他综合收益等转为购买日所属当期收益。但由于被投资方重新计量设定受益计划净负债或净资产变动而产生的其他综合收益除外。</w:t>
          </w:r>
        </w:p>
        <w:p w14:paraId="4C9495AC" w14:textId="77777777" w:rsidR="00577D08" w:rsidRDefault="00330FC0">
          <w:pPr>
            <w:spacing w:line="360" w:lineRule="exact"/>
            <w:ind w:firstLineChars="200" w:firstLine="420"/>
          </w:pPr>
          <w:r>
            <w:rPr>
              <w:rFonts w:hint="eastAsia"/>
            </w:rPr>
            <w:t>3</w:t>
          </w:r>
          <w:r>
            <w:rPr>
              <w:rFonts w:hint="eastAsia"/>
            </w:rPr>
            <w:t>）除企业合并形成以外的：以支付现金取得的，按照实际支付的购买价款作为其初始投资成本；以发行权益性证券取得的，按照发行权益性证券的公允价值作为其初始投资成本；以债务重组方式取得的，按《企业会计准则第</w:t>
          </w:r>
          <w:r>
            <w:rPr>
              <w:rFonts w:hint="eastAsia"/>
            </w:rPr>
            <w:t>12</w:t>
          </w:r>
          <w:r>
            <w:rPr>
              <w:rFonts w:hint="eastAsia"/>
            </w:rPr>
            <w:t>号——债务重组》确定其初始投资成本；以非货币性资产交换取得的，按《企业会计准则第</w:t>
          </w:r>
          <w:r>
            <w:rPr>
              <w:rFonts w:hint="eastAsia"/>
            </w:rPr>
            <w:t>7</w:t>
          </w:r>
          <w:r>
            <w:rPr>
              <w:rFonts w:hint="eastAsia"/>
            </w:rPr>
            <w:t>号——非货币性资产交换》确定其初始投资成本。</w:t>
          </w:r>
        </w:p>
        <w:p w14:paraId="7B3EB8A1" w14:textId="77777777" w:rsidR="00577D08" w:rsidRDefault="00330FC0">
          <w:pPr>
            <w:spacing w:line="360" w:lineRule="exact"/>
            <w:ind w:firstLineChars="200" w:firstLine="420"/>
          </w:pPr>
          <w:r>
            <w:rPr>
              <w:rFonts w:hint="eastAsia"/>
            </w:rPr>
            <w:t>（</w:t>
          </w:r>
          <w:r>
            <w:rPr>
              <w:rFonts w:hint="eastAsia"/>
            </w:rPr>
            <w:t>3</w:t>
          </w:r>
          <w:r>
            <w:rPr>
              <w:rFonts w:hint="eastAsia"/>
            </w:rPr>
            <w:t>）后续计量及损益确认方法</w:t>
          </w:r>
        </w:p>
        <w:p w14:paraId="303DEDD4" w14:textId="77777777" w:rsidR="00577D08" w:rsidRDefault="00330FC0">
          <w:pPr>
            <w:spacing w:line="360" w:lineRule="exact"/>
            <w:ind w:firstLineChars="200" w:firstLine="420"/>
          </w:pPr>
          <w:r>
            <w:rPr>
              <w:rFonts w:hint="eastAsia"/>
            </w:rPr>
            <w:t>对被投资单位实施控制的长期股权投资采用成本法核算；对联营企业和合营企业的长期股权投资，采用权益法核算。</w:t>
          </w:r>
        </w:p>
        <w:p w14:paraId="52D9A2E0" w14:textId="77777777" w:rsidR="00577D08" w:rsidRDefault="00330FC0">
          <w:pPr>
            <w:spacing w:line="360" w:lineRule="exact"/>
            <w:ind w:firstLineChars="200" w:firstLine="420"/>
          </w:pPr>
          <w:r>
            <w:rPr>
              <w:rFonts w:hint="eastAsia"/>
            </w:rPr>
            <w:t>（</w:t>
          </w:r>
          <w:r>
            <w:rPr>
              <w:rFonts w:hint="eastAsia"/>
            </w:rPr>
            <w:t>4</w:t>
          </w:r>
          <w:r>
            <w:rPr>
              <w:rFonts w:hint="eastAsia"/>
            </w:rPr>
            <w:t>）通过多次交易分步处置对子公司投资至丧失控制权的处理方法</w:t>
          </w:r>
        </w:p>
        <w:p w14:paraId="024A4272" w14:textId="77777777" w:rsidR="00577D08" w:rsidRDefault="00330FC0">
          <w:pPr>
            <w:spacing w:line="360" w:lineRule="exact"/>
            <w:ind w:firstLineChars="200" w:firstLine="420"/>
          </w:pPr>
          <w:r>
            <w:rPr>
              <w:rFonts w:hint="eastAsia"/>
            </w:rPr>
            <w:t>1</w:t>
          </w:r>
          <w:r>
            <w:rPr>
              <w:rFonts w:hint="eastAsia"/>
            </w:rPr>
            <w:t>）是否属于“一揽子交易”的判断原则</w:t>
          </w:r>
        </w:p>
        <w:p w14:paraId="75E3C56F" w14:textId="77777777" w:rsidR="00577D08" w:rsidRDefault="00330FC0">
          <w:pPr>
            <w:spacing w:line="360" w:lineRule="exact"/>
            <w:ind w:firstLineChars="200" w:firstLine="420"/>
          </w:pPr>
          <w:r>
            <w:rPr>
              <w:rFonts w:hint="eastAsia"/>
            </w:rPr>
            <w:t>通过多次交易分步处置对子公司股权投资直至丧失控制权的，公司结合分步交易的各个步骤的交易协议条款、分别取得的处置对价、出售股权的对象、处置方式、处置时点等信息来判断分步交易是否属于“一揽子交易”。各项交易的条款、条件以及经济影响符合以下一种或多种情况，通常表明多次交易事项属于“一揽子交易”：</w:t>
          </w:r>
        </w:p>
        <w:p w14:paraId="3E1A321B" w14:textId="77777777" w:rsidR="00577D08" w:rsidRDefault="00330FC0">
          <w:pPr>
            <w:spacing w:line="360" w:lineRule="exact"/>
            <w:ind w:firstLineChars="200" w:firstLine="420"/>
          </w:pPr>
          <w:r>
            <w:rPr>
              <w:rFonts w:hint="eastAsia"/>
            </w:rPr>
            <w:t>①这些交易是同时或者在考虑了彼此影响的情况下订立的；</w:t>
          </w:r>
        </w:p>
        <w:p w14:paraId="0E010D41" w14:textId="77777777" w:rsidR="00577D08" w:rsidRDefault="00330FC0">
          <w:pPr>
            <w:spacing w:line="360" w:lineRule="exact"/>
            <w:ind w:firstLineChars="200" w:firstLine="420"/>
          </w:pPr>
          <w:r>
            <w:rPr>
              <w:rFonts w:hint="eastAsia"/>
            </w:rPr>
            <w:t>②这些交易整体才能达成一项完整的商业结果；</w:t>
          </w:r>
        </w:p>
        <w:p w14:paraId="5966291D" w14:textId="77777777" w:rsidR="00577D08" w:rsidRDefault="00330FC0">
          <w:pPr>
            <w:spacing w:line="360" w:lineRule="exact"/>
            <w:ind w:firstLineChars="200" w:firstLine="420"/>
          </w:pPr>
          <w:r>
            <w:rPr>
              <w:rFonts w:hint="eastAsia"/>
            </w:rPr>
            <w:t>③一项交易的发生取决于其他至少一项交易的发生；</w:t>
          </w:r>
        </w:p>
        <w:p w14:paraId="3F4427B5" w14:textId="77777777" w:rsidR="00577D08" w:rsidRDefault="00330FC0">
          <w:pPr>
            <w:spacing w:line="360" w:lineRule="exact"/>
            <w:ind w:firstLineChars="200" w:firstLine="420"/>
          </w:pPr>
          <w:r>
            <w:rPr>
              <w:rFonts w:hint="eastAsia"/>
            </w:rPr>
            <w:t>④一项交易单独看是不经济的，但是和其他交易一并考虑时是经济的。</w:t>
          </w:r>
        </w:p>
        <w:p w14:paraId="34B4335B" w14:textId="77777777" w:rsidR="00577D08" w:rsidRDefault="00330FC0">
          <w:pPr>
            <w:spacing w:line="360" w:lineRule="exact"/>
            <w:ind w:firstLineChars="200" w:firstLine="420"/>
          </w:pPr>
          <w:r>
            <w:rPr>
              <w:rFonts w:hint="eastAsia"/>
            </w:rPr>
            <w:t>2</w:t>
          </w:r>
          <w:r>
            <w:rPr>
              <w:rFonts w:hint="eastAsia"/>
            </w:rPr>
            <w:t>）不属于“一揽子交易”的会计处理</w:t>
          </w:r>
        </w:p>
        <w:p w14:paraId="0022F36B" w14:textId="77777777" w:rsidR="00577D08" w:rsidRDefault="00330FC0">
          <w:pPr>
            <w:spacing w:line="360" w:lineRule="exact"/>
            <w:ind w:firstLineChars="200" w:firstLine="420"/>
          </w:pPr>
          <w:r>
            <w:rPr>
              <w:rFonts w:hint="eastAsia"/>
            </w:rPr>
            <w:t>①个别财务报表</w:t>
          </w:r>
        </w:p>
        <w:p w14:paraId="57E0FCAD" w14:textId="77777777" w:rsidR="00577D08" w:rsidRDefault="00330FC0">
          <w:pPr>
            <w:spacing w:line="360" w:lineRule="exact"/>
            <w:ind w:firstLineChars="200" w:firstLine="420"/>
          </w:pPr>
          <w:r>
            <w:rPr>
              <w:rFonts w:hint="eastAsia"/>
            </w:rPr>
            <w:lastRenderedPageBreak/>
            <w:t>对处置的股权，其账面价值与实际取得价款之间的差额，计入当期损益。对于剩余股权，对被投资单位仍具有重大影响或者与其他方一起实施共同控制的，转为权益法核算；不能再对被投资单位实施控制、共同控制或重大影响的，按照《企业会计准则第</w:t>
          </w:r>
          <w:r>
            <w:rPr>
              <w:rFonts w:hint="eastAsia"/>
            </w:rPr>
            <w:t>22</w:t>
          </w:r>
          <w:r>
            <w:rPr>
              <w:rFonts w:hint="eastAsia"/>
            </w:rPr>
            <w:t>号——金融工具确认和计量》的相关规定进行核算。</w:t>
          </w:r>
        </w:p>
        <w:p w14:paraId="6D4A6A83" w14:textId="77777777" w:rsidR="00577D08" w:rsidRDefault="00330FC0">
          <w:pPr>
            <w:spacing w:line="360" w:lineRule="exact"/>
            <w:ind w:firstLineChars="200" w:firstLine="420"/>
          </w:pPr>
          <w:r>
            <w:rPr>
              <w:rFonts w:hint="eastAsia"/>
            </w:rPr>
            <w:t>②合并财务报表</w:t>
          </w:r>
        </w:p>
        <w:p w14:paraId="5AE520DE" w14:textId="77777777" w:rsidR="00577D08" w:rsidRDefault="00330FC0">
          <w:pPr>
            <w:spacing w:line="360" w:lineRule="exact"/>
            <w:ind w:firstLineChars="200" w:firstLine="420"/>
          </w:pPr>
          <w:r>
            <w:rPr>
              <w:rFonts w:hint="eastAsia"/>
            </w:rPr>
            <w:t>在丧失控制权之前，处置价款与处置长期股权投资相对应享有子公司自购买日或合并日开始持续计算的净资产份额之间的差额，调整资本公积（资本溢价），资本溢价不足冲减的，冲减留存收益。</w:t>
          </w:r>
        </w:p>
        <w:p w14:paraId="232AD977" w14:textId="77777777" w:rsidR="00577D08" w:rsidRDefault="00330FC0">
          <w:pPr>
            <w:spacing w:line="360" w:lineRule="exact"/>
            <w:ind w:firstLineChars="200" w:firstLine="420"/>
          </w:pPr>
          <w:r>
            <w:rPr>
              <w:rFonts w:hint="eastAsia"/>
            </w:rPr>
            <w:t>丧失对原子公司控制权时，对于剩余股权，按照其在丧失控制权日的公允价值进行重新计量。处置股权取得的对价与剩余股权公允价值之和，减去按原持股比例计算应享有原有子公司自购买日或合并日开始持续计算的净资产的份额之间的差额，计入丧失控制权当期的投资收益，同时冲减商誉。与原有子公司股权投资相关的其他综合收益等，应当在丧失控制权时转为当期投资收益。</w:t>
          </w:r>
        </w:p>
        <w:p w14:paraId="3DE56486" w14:textId="77777777" w:rsidR="00577D08" w:rsidRDefault="00330FC0">
          <w:pPr>
            <w:spacing w:line="360" w:lineRule="exact"/>
            <w:ind w:firstLineChars="200" w:firstLine="420"/>
          </w:pPr>
          <w:r>
            <w:rPr>
              <w:rFonts w:hint="eastAsia"/>
            </w:rPr>
            <w:t>3</w:t>
          </w:r>
          <w:r>
            <w:rPr>
              <w:rFonts w:hint="eastAsia"/>
            </w:rPr>
            <w:t>）属于“一揽子交易”的会计处理</w:t>
          </w:r>
        </w:p>
        <w:p w14:paraId="244E4EA9" w14:textId="77777777" w:rsidR="00577D08" w:rsidRDefault="00330FC0">
          <w:pPr>
            <w:spacing w:line="360" w:lineRule="exact"/>
            <w:ind w:firstLineChars="200" w:firstLine="420"/>
          </w:pPr>
          <w:r>
            <w:rPr>
              <w:rFonts w:hint="eastAsia"/>
            </w:rPr>
            <w:t>①个别财务报表</w:t>
          </w:r>
        </w:p>
        <w:p w14:paraId="6B2C6509" w14:textId="77777777" w:rsidR="00577D08" w:rsidRDefault="00330FC0">
          <w:pPr>
            <w:spacing w:line="360" w:lineRule="exact"/>
            <w:ind w:firstLineChars="200" w:firstLine="420"/>
          </w:pPr>
          <w:r>
            <w:rPr>
              <w:rFonts w:hint="eastAsia"/>
            </w:rPr>
            <w:t>将各项交易作为一项处置子公司并丧失控制权的交易进行会计处理。但是，在丧失控制权之前每一次处置价款与处置投资对应的长期股权投资账面价值之间的差额，在个别财务报表中确认为其他综合收益，在丧失控制权时一并转入丧失控制权当期的损益。</w:t>
          </w:r>
        </w:p>
        <w:p w14:paraId="212CFA97" w14:textId="77777777" w:rsidR="00577D08" w:rsidRDefault="00330FC0">
          <w:pPr>
            <w:spacing w:line="360" w:lineRule="exact"/>
            <w:ind w:firstLineChars="200" w:firstLine="420"/>
          </w:pPr>
          <w:r>
            <w:rPr>
              <w:rFonts w:hint="eastAsia"/>
            </w:rPr>
            <w:t>②合并财务报表</w:t>
          </w:r>
        </w:p>
        <w:p w14:paraId="5596311F" w14:textId="77777777" w:rsidR="00577D08" w:rsidRDefault="00330FC0">
          <w:pPr>
            <w:spacing w:line="360" w:lineRule="exact"/>
            <w:ind w:firstLineChars="200" w:firstLine="420"/>
          </w:pPr>
          <w:r>
            <w:rPr>
              <w:rFonts w:hint="eastAsia"/>
            </w:rPr>
            <w:t>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sdtContent>
    </w:sdt>
    <w:p w14:paraId="7DE749ED" w14:textId="77777777" w:rsidR="00577D08" w:rsidRDefault="00330FC0">
      <w:pPr>
        <w:pStyle w:val="3"/>
        <w:numPr>
          <w:ilvl w:val="0"/>
          <w:numId w:val="55"/>
        </w:numPr>
      </w:pPr>
      <w:r>
        <w:t>投资性房地产</w:t>
      </w:r>
    </w:p>
    <w:p w14:paraId="2D0BF6DE" w14:textId="77777777" w:rsidR="00577D08" w:rsidRDefault="00330FC0">
      <w:r>
        <w:rPr>
          <w:rFonts w:hint="eastAsia"/>
        </w:rPr>
        <w:t>不</w:t>
      </w:r>
      <w:sdt>
        <w:sdtPr>
          <w:tag w:val="_PLD_1e7ac09bf64649b39185b6a5275d44b6"/>
          <w:id w:val="187501656"/>
          <w:placeholder>
            <w:docPart w:val="GBC22222222222222222222222222222"/>
          </w:placeholder>
        </w:sdtPr>
        <w:sdtContent>
          <w:r>
            <w:rPr>
              <w:rFonts w:hint="eastAsia"/>
            </w:rPr>
            <w:t>适用</w:t>
          </w:r>
        </w:sdtContent>
      </w:sdt>
    </w:p>
    <w:p w14:paraId="3F0A8089" w14:textId="77777777" w:rsidR="00577D08" w:rsidRDefault="00330FC0">
      <w:pPr>
        <w:pStyle w:val="3"/>
        <w:numPr>
          <w:ilvl w:val="0"/>
          <w:numId w:val="55"/>
        </w:numPr>
      </w:pPr>
      <w:r>
        <w:t>固定资产</w:t>
      </w:r>
    </w:p>
    <w:p w14:paraId="10F1D21A" w14:textId="77777777" w:rsidR="00577D08" w:rsidRDefault="00330FC0">
      <w:pPr>
        <w:pStyle w:val="4"/>
        <w:numPr>
          <w:ilvl w:val="0"/>
          <w:numId w:val="56"/>
        </w:numPr>
        <w:rPr>
          <w:rFonts w:hint="eastAsia"/>
        </w:rPr>
      </w:pPr>
      <w:r>
        <w:rPr>
          <w:rFonts w:hint="eastAsia"/>
        </w:rPr>
        <w:t>确认条件</w:t>
      </w:r>
    </w:p>
    <w:sdt>
      <w:sdtPr>
        <w:alias w:val="是否适用：固定资产确认条件[双击切换]"/>
        <w:tag w:val="_GBC_4c768c6eca804bab9e4fc027185bcda6"/>
        <w:id w:val="-913320952"/>
        <w:placeholder>
          <w:docPart w:val="GBC22222222222222222222222222222"/>
        </w:placeholder>
      </w:sdtPr>
      <w:sdtContent>
        <w:p w14:paraId="2815EA1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bCs/>
        </w:rPr>
        <w:alias w:val="固定资产确认条件"/>
        <w:tag w:val="_GBC_3044d53470b143fa9477fa34b85d4ec5"/>
        <w:id w:val="-1302063844"/>
        <w:placeholder>
          <w:docPart w:val="GBC22222222222222222222222222222"/>
        </w:placeholder>
      </w:sdtPr>
      <w:sdtEndPr>
        <w:rPr>
          <w:b/>
        </w:rPr>
      </w:sdtEndPr>
      <w:sdtContent>
        <w:p w14:paraId="6BC33CFD" w14:textId="77777777" w:rsidR="00577D08" w:rsidRDefault="00330FC0">
          <w:pPr>
            <w:spacing w:line="360" w:lineRule="exact"/>
            <w:ind w:firstLineChars="200" w:firstLine="420"/>
            <w:rPr>
              <w:b/>
              <w:bCs/>
            </w:rPr>
          </w:pPr>
          <w:r>
            <w:rPr>
              <w:rFonts w:hint="eastAsia"/>
              <w:bCs/>
            </w:rPr>
            <w:t>固定资产是指为生产商品、提供劳务、出租或经营管理而持有的，使用年限超过一个会计年度的有形资产。固定资产在同时满足经济利益很可能流入、成本能够可靠计量时予以确认。</w:t>
          </w:r>
        </w:p>
      </w:sdtContent>
    </w:sdt>
    <w:p w14:paraId="3C07A9AD" w14:textId="77777777" w:rsidR="00577D08" w:rsidRDefault="00330FC0">
      <w:pPr>
        <w:pStyle w:val="4"/>
        <w:numPr>
          <w:ilvl w:val="0"/>
          <w:numId w:val="56"/>
        </w:numPr>
        <w:rPr>
          <w:rFonts w:hint="eastAsia"/>
        </w:rPr>
      </w:pPr>
      <w:r>
        <w:t>折旧方法</w:t>
      </w:r>
    </w:p>
    <w:sdt>
      <w:sdtPr>
        <w:alias w:val="是否适用：固定资产折旧方法[双击切换]"/>
        <w:tag w:val="_GBC_f89f129fe73045168ebdc30031da9fdd"/>
        <w:id w:val="346677630"/>
        <w:placeholder>
          <w:docPart w:val="GBC22222222222222222222222222222"/>
        </w:placeholder>
      </w:sdtPr>
      <w:sdtContent>
        <w:p w14:paraId="0D051DC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831"/>
        <w:gridCol w:w="1833"/>
        <w:gridCol w:w="1833"/>
        <w:gridCol w:w="1833"/>
      </w:tblGrid>
      <w:tr w:rsidR="00577D08" w14:paraId="2A328F94" w14:textId="77777777">
        <w:trPr>
          <w:trHeight w:val="397"/>
        </w:trPr>
        <w:sdt>
          <w:sdtPr>
            <w:tag w:val="_PLD_b93b748ee97a4a8bae6f8263364d91d5"/>
            <w:id w:val="1209380116"/>
          </w:sdtPr>
          <w:sdtContent>
            <w:tc>
              <w:tcPr>
                <w:tcW w:w="1717" w:type="dxa"/>
                <w:vAlign w:val="center"/>
              </w:tcPr>
              <w:p w14:paraId="185328AB" w14:textId="77777777" w:rsidR="00577D08" w:rsidRDefault="00330FC0">
                <w:pPr>
                  <w:jc w:val="center"/>
                </w:pPr>
                <w:r>
                  <w:t>类别</w:t>
                </w:r>
              </w:p>
            </w:tc>
          </w:sdtContent>
        </w:sdt>
        <w:sdt>
          <w:sdtPr>
            <w:tag w:val="_PLD_8eb75a8ba4fb45a3be1c35e2609526fb"/>
            <w:id w:val="864329153"/>
          </w:sdtPr>
          <w:sdtContent>
            <w:tc>
              <w:tcPr>
                <w:tcW w:w="1831" w:type="dxa"/>
                <w:vAlign w:val="center"/>
              </w:tcPr>
              <w:p w14:paraId="494BDA66" w14:textId="77777777" w:rsidR="00577D08" w:rsidRDefault="00330FC0">
                <w:pPr>
                  <w:jc w:val="center"/>
                </w:pPr>
                <w:r>
                  <w:rPr>
                    <w:rFonts w:hint="eastAsia"/>
                  </w:rPr>
                  <w:t>折旧方法</w:t>
                </w:r>
              </w:p>
            </w:tc>
          </w:sdtContent>
        </w:sdt>
        <w:sdt>
          <w:sdtPr>
            <w:tag w:val="_PLD_288e4cb255e44ed98e0c53f336ac01e0"/>
            <w:id w:val="1303581597"/>
          </w:sdtPr>
          <w:sdtContent>
            <w:tc>
              <w:tcPr>
                <w:tcW w:w="1833" w:type="dxa"/>
                <w:vAlign w:val="center"/>
              </w:tcPr>
              <w:p w14:paraId="7E065052" w14:textId="77777777" w:rsidR="00577D08" w:rsidRDefault="00330FC0">
                <w:pPr>
                  <w:jc w:val="center"/>
                </w:pPr>
                <w:r>
                  <w:t>折旧年限（年）</w:t>
                </w:r>
              </w:p>
            </w:tc>
          </w:sdtContent>
        </w:sdt>
        <w:sdt>
          <w:sdtPr>
            <w:tag w:val="_PLD_b978331f5a784568b426597e450ebc7a"/>
            <w:id w:val="-992642584"/>
          </w:sdtPr>
          <w:sdtContent>
            <w:tc>
              <w:tcPr>
                <w:tcW w:w="1833" w:type="dxa"/>
                <w:vAlign w:val="center"/>
              </w:tcPr>
              <w:p w14:paraId="53444EC0" w14:textId="77777777" w:rsidR="00577D08" w:rsidRDefault="00330FC0">
                <w:pPr>
                  <w:jc w:val="center"/>
                </w:pPr>
                <w:r>
                  <w:t>残值率</w:t>
                </w:r>
              </w:p>
            </w:tc>
          </w:sdtContent>
        </w:sdt>
        <w:sdt>
          <w:sdtPr>
            <w:tag w:val="_PLD_02921e2cbb3b427bb4fe2aba2949e56a"/>
            <w:id w:val="368658308"/>
          </w:sdtPr>
          <w:sdtContent>
            <w:tc>
              <w:tcPr>
                <w:tcW w:w="1833" w:type="dxa"/>
                <w:vAlign w:val="center"/>
              </w:tcPr>
              <w:p w14:paraId="7E8E0A6A" w14:textId="77777777" w:rsidR="00577D08" w:rsidRDefault="00330FC0">
                <w:pPr>
                  <w:jc w:val="center"/>
                </w:pPr>
                <w:r>
                  <w:t>年折旧率</w:t>
                </w:r>
              </w:p>
            </w:tc>
          </w:sdtContent>
        </w:sdt>
      </w:tr>
      <w:tr w:rsidR="00577D08" w14:paraId="0E7D54D3" w14:textId="77777777">
        <w:trPr>
          <w:trHeight w:val="397"/>
        </w:trPr>
        <w:tc>
          <w:tcPr>
            <w:tcW w:w="1717" w:type="dxa"/>
            <w:vAlign w:val="center"/>
          </w:tcPr>
          <w:p w14:paraId="70BAD909" w14:textId="77777777" w:rsidR="00577D08" w:rsidRDefault="00330FC0">
            <w:pPr>
              <w:jc w:val="center"/>
            </w:pPr>
            <w:r>
              <w:t>房屋及建筑物</w:t>
            </w:r>
          </w:p>
        </w:tc>
        <w:tc>
          <w:tcPr>
            <w:tcW w:w="1831" w:type="dxa"/>
            <w:vAlign w:val="center"/>
          </w:tcPr>
          <w:p w14:paraId="4B2517EB" w14:textId="77777777" w:rsidR="00577D08" w:rsidRDefault="00330FC0">
            <w:pPr>
              <w:jc w:val="center"/>
            </w:pPr>
            <w:r>
              <w:t>年限平均法</w:t>
            </w:r>
          </w:p>
        </w:tc>
        <w:tc>
          <w:tcPr>
            <w:tcW w:w="1833" w:type="dxa"/>
            <w:vAlign w:val="center"/>
          </w:tcPr>
          <w:p w14:paraId="691370B4" w14:textId="77777777" w:rsidR="00577D08" w:rsidRDefault="00330FC0">
            <w:pPr>
              <w:jc w:val="center"/>
            </w:pPr>
            <w:r>
              <w:t>10-20</w:t>
            </w:r>
          </w:p>
        </w:tc>
        <w:tc>
          <w:tcPr>
            <w:tcW w:w="1833" w:type="dxa"/>
            <w:vAlign w:val="center"/>
          </w:tcPr>
          <w:p w14:paraId="29D79D88" w14:textId="77777777" w:rsidR="00577D08" w:rsidRDefault="00330FC0">
            <w:pPr>
              <w:jc w:val="center"/>
            </w:pPr>
            <w:r>
              <w:t>5.00</w:t>
            </w:r>
          </w:p>
        </w:tc>
        <w:tc>
          <w:tcPr>
            <w:tcW w:w="1833" w:type="dxa"/>
            <w:vAlign w:val="center"/>
          </w:tcPr>
          <w:p w14:paraId="4FC332B6" w14:textId="77777777" w:rsidR="00577D08" w:rsidRDefault="00330FC0">
            <w:pPr>
              <w:jc w:val="center"/>
            </w:pPr>
            <w:r>
              <w:t>4.95-9.50</w:t>
            </w:r>
          </w:p>
        </w:tc>
      </w:tr>
      <w:tr w:rsidR="00577D08" w14:paraId="47C8C7F9" w14:textId="77777777">
        <w:trPr>
          <w:trHeight w:val="397"/>
        </w:trPr>
        <w:tc>
          <w:tcPr>
            <w:tcW w:w="1717" w:type="dxa"/>
            <w:vAlign w:val="center"/>
          </w:tcPr>
          <w:p w14:paraId="792BDAEC" w14:textId="77777777" w:rsidR="00577D08" w:rsidRDefault="00330FC0">
            <w:pPr>
              <w:jc w:val="center"/>
            </w:pPr>
            <w:r>
              <w:t>机器设备</w:t>
            </w:r>
          </w:p>
        </w:tc>
        <w:tc>
          <w:tcPr>
            <w:tcW w:w="1831" w:type="dxa"/>
            <w:vAlign w:val="center"/>
          </w:tcPr>
          <w:p w14:paraId="227A7963" w14:textId="77777777" w:rsidR="00577D08" w:rsidRDefault="00330FC0">
            <w:pPr>
              <w:jc w:val="center"/>
            </w:pPr>
            <w:r>
              <w:t>年限平均法</w:t>
            </w:r>
          </w:p>
        </w:tc>
        <w:tc>
          <w:tcPr>
            <w:tcW w:w="1833" w:type="dxa"/>
            <w:vAlign w:val="center"/>
          </w:tcPr>
          <w:p w14:paraId="4F8F82F0" w14:textId="77777777" w:rsidR="00577D08" w:rsidRDefault="00330FC0">
            <w:pPr>
              <w:jc w:val="center"/>
            </w:pPr>
            <w:r>
              <w:t>5-10</w:t>
            </w:r>
          </w:p>
        </w:tc>
        <w:tc>
          <w:tcPr>
            <w:tcW w:w="1833" w:type="dxa"/>
            <w:vAlign w:val="center"/>
          </w:tcPr>
          <w:p w14:paraId="4F9EFEF6" w14:textId="77777777" w:rsidR="00577D08" w:rsidRDefault="00330FC0">
            <w:pPr>
              <w:jc w:val="center"/>
            </w:pPr>
            <w:r>
              <w:t>5.00</w:t>
            </w:r>
          </w:p>
        </w:tc>
        <w:tc>
          <w:tcPr>
            <w:tcW w:w="1833" w:type="dxa"/>
            <w:vAlign w:val="center"/>
          </w:tcPr>
          <w:p w14:paraId="21A8120A" w14:textId="77777777" w:rsidR="00577D08" w:rsidRDefault="00330FC0">
            <w:pPr>
              <w:jc w:val="center"/>
            </w:pPr>
            <w:r>
              <w:t>9.50-19.00</w:t>
            </w:r>
          </w:p>
        </w:tc>
      </w:tr>
      <w:tr w:rsidR="00577D08" w14:paraId="034020AD" w14:textId="77777777">
        <w:trPr>
          <w:trHeight w:val="397"/>
        </w:trPr>
        <w:tc>
          <w:tcPr>
            <w:tcW w:w="1717" w:type="dxa"/>
            <w:vAlign w:val="center"/>
          </w:tcPr>
          <w:p w14:paraId="7CAC7A17" w14:textId="77777777" w:rsidR="00577D08" w:rsidRDefault="00330FC0">
            <w:pPr>
              <w:jc w:val="center"/>
            </w:pPr>
            <w:r>
              <w:t>电子设备及办公设备</w:t>
            </w:r>
          </w:p>
        </w:tc>
        <w:tc>
          <w:tcPr>
            <w:tcW w:w="1831" w:type="dxa"/>
            <w:vAlign w:val="center"/>
          </w:tcPr>
          <w:p w14:paraId="7FD4AE00" w14:textId="77777777" w:rsidR="00577D08" w:rsidRDefault="00330FC0">
            <w:pPr>
              <w:jc w:val="center"/>
            </w:pPr>
            <w:r>
              <w:t>年限平均法</w:t>
            </w:r>
          </w:p>
        </w:tc>
        <w:tc>
          <w:tcPr>
            <w:tcW w:w="1833" w:type="dxa"/>
            <w:vAlign w:val="center"/>
          </w:tcPr>
          <w:p w14:paraId="1D243AB3" w14:textId="77777777" w:rsidR="00577D08" w:rsidRDefault="00330FC0">
            <w:pPr>
              <w:jc w:val="center"/>
            </w:pPr>
            <w:r>
              <w:t>3-10</w:t>
            </w:r>
          </w:p>
        </w:tc>
        <w:tc>
          <w:tcPr>
            <w:tcW w:w="1833" w:type="dxa"/>
            <w:vAlign w:val="center"/>
          </w:tcPr>
          <w:p w14:paraId="11ECB2E2" w14:textId="77777777" w:rsidR="00577D08" w:rsidRDefault="00330FC0">
            <w:pPr>
              <w:jc w:val="center"/>
            </w:pPr>
            <w:r>
              <w:t>5.00</w:t>
            </w:r>
          </w:p>
        </w:tc>
        <w:tc>
          <w:tcPr>
            <w:tcW w:w="1833" w:type="dxa"/>
            <w:vAlign w:val="center"/>
          </w:tcPr>
          <w:p w14:paraId="40973103" w14:textId="77777777" w:rsidR="00577D08" w:rsidRDefault="00330FC0">
            <w:pPr>
              <w:jc w:val="center"/>
            </w:pPr>
            <w:r>
              <w:t>9.50-31.67</w:t>
            </w:r>
          </w:p>
        </w:tc>
      </w:tr>
      <w:tr w:rsidR="00577D08" w14:paraId="5AE31687" w14:textId="77777777">
        <w:trPr>
          <w:trHeight w:val="397"/>
        </w:trPr>
        <w:tc>
          <w:tcPr>
            <w:tcW w:w="1717" w:type="dxa"/>
            <w:vAlign w:val="center"/>
          </w:tcPr>
          <w:p w14:paraId="4E32457E" w14:textId="77777777" w:rsidR="00577D08" w:rsidRDefault="00330FC0">
            <w:pPr>
              <w:jc w:val="center"/>
            </w:pPr>
            <w:r>
              <w:t>运输工具</w:t>
            </w:r>
          </w:p>
        </w:tc>
        <w:tc>
          <w:tcPr>
            <w:tcW w:w="1831" w:type="dxa"/>
            <w:vAlign w:val="center"/>
          </w:tcPr>
          <w:p w14:paraId="79A0D8E6" w14:textId="77777777" w:rsidR="00577D08" w:rsidRDefault="00330FC0">
            <w:pPr>
              <w:jc w:val="center"/>
            </w:pPr>
            <w:r>
              <w:t>年限平均法</w:t>
            </w:r>
          </w:p>
        </w:tc>
        <w:tc>
          <w:tcPr>
            <w:tcW w:w="1833" w:type="dxa"/>
            <w:vAlign w:val="center"/>
          </w:tcPr>
          <w:p w14:paraId="2AADF681" w14:textId="77777777" w:rsidR="00577D08" w:rsidRDefault="00330FC0">
            <w:pPr>
              <w:jc w:val="center"/>
            </w:pPr>
            <w:r>
              <w:t>4-10</w:t>
            </w:r>
          </w:p>
        </w:tc>
        <w:tc>
          <w:tcPr>
            <w:tcW w:w="1833" w:type="dxa"/>
            <w:vAlign w:val="center"/>
          </w:tcPr>
          <w:p w14:paraId="6ED66B95" w14:textId="77777777" w:rsidR="00577D08" w:rsidRDefault="00330FC0">
            <w:pPr>
              <w:jc w:val="center"/>
            </w:pPr>
            <w:r>
              <w:t>5.00</w:t>
            </w:r>
          </w:p>
        </w:tc>
        <w:tc>
          <w:tcPr>
            <w:tcW w:w="1833" w:type="dxa"/>
            <w:vAlign w:val="center"/>
          </w:tcPr>
          <w:p w14:paraId="32EA203A" w14:textId="77777777" w:rsidR="00577D08" w:rsidRDefault="00330FC0">
            <w:pPr>
              <w:jc w:val="center"/>
            </w:pPr>
            <w:r>
              <w:t>9.50-23.75</w:t>
            </w:r>
          </w:p>
        </w:tc>
      </w:tr>
    </w:tbl>
    <w:p w14:paraId="54E4217E" w14:textId="77777777" w:rsidR="00577D08" w:rsidRDefault="00330FC0">
      <w:pPr>
        <w:pStyle w:val="3"/>
        <w:numPr>
          <w:ilvl w:val="0"/>
          <w:numId w:val="55"/>
        </w:numPr>
      </w:pPr>
      <w:r>
        <w:lastRenderedPageBreak/>
        <w:t>在建工程</w:t>
      </w:r>
    </w:p>
    <w:sdt>
      <w:sdtPr>
        <w:rPr>
          <w:rFonts w:hint="eastAsia"/>
        </w:rPr>
        <w:alias w:val="是否适用：在建工程_重要会计政策和估计[双击切换]"/>
        <w:tag w:val="_GBC_00730441e5ea4f57b3cd3ff1ecc5c1bd"/>
        <w:id w:val="663666977"/>
        <w:placeholder>
          <w:docPart w:val="GBC22222222222222222222222222222"/>
        </w:placeholder>
      </w:sdtPr>
      <w:sdtContent>
        <w:p w14:paraId="4EE5C08E"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在建工程核算方法"/>
        <w:tag w:val="_GBC_ed79f983df814c58add61776fe84c76e"/>
        <w:id w:val="-2141025212"/>
        <w:placeholder>
          <w:docPart w:val="GBC22222222222222222222222222222"/>
        </w:placeholder>
      </w:sdtPr>
      <w:sdtContent>
        <w:p w14:paraId="5F18E2FF" w14:textId="77777777" w:rsidR="00577D08" w:rsidRDefault="00330FC0">
          <w:pPr>
            <w:spacing w:line="360" w:lineRule="exact"/>
            <w:ind w:firstLineChars="200" w:firstLine="420"/>
            <w:rPr>
              <w:rFonts w:asciiTheme="minorEastAsia" w:eastAsiaTheme="minorEastAsia" w:hAnsiTheme="minorEastAsia" w:hint="eastAsia"/>
              <w:color w:val="000000" w:themeColor="text1"/>
            </w:rPr>
          </w:pPr>
          <w:r>
            <w:rPr>
              <w:rFonts w:asciiTheme="minorEastAsia" w:eastAsiaTheme="minorEastAsia" w:hAnsiTheme="minorEastAsia" w:hint="eastAsia"/>
            </w:rPr>
            <w:t>（1）</w:t>
          </w:r>
          <w:r>
            <w:rPr>
              <w:rFonts w:asciiTheme="minorEastAsia" w:eastAsiaTheme="minorEastAsia" w:hAnsiTheme="minorEastAsia" w:hint="eastAsia"/>
              <w:color w:val="000000" w:themeColor="text1"/>
            </w:rPr>
            <w:t>在建工程同时满足经济利益很可能流入、成本能够可靠计量则予以确认。在建工程按建造该项资产达到预定可使用状态前所发生的实际成本计量。</w:t>
          </w:r>
        </w:p>
        <w:p w14:paraId="58C9418D" w14:textId="77777777" w:rsidR="00577D08" w:rsidRDefault="00330FC0">
          <w:pPr>
            <w:spacing w:line="360" w:lineRule="exact"/>
            <w:ind w:firstLineChars="200" w:firstLine="42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2）在建工程达到预定可使用状态时，按工程实际成本转入固定资产。已达到预定可使用状态但尚未办理竣工决算的，先按估计价值转入固定资产，待办理竣工决算后再按实际成本调整原暂估价值，但不再调整原已计提的折旧。</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4553"/>
          </w:tblGrid>
          <w:tr w:rsidR="00577D08" w14:paraId="6DA8DE6F" w14:textId="77777777">
            <w:trPr>
              <w:trHeight w:val="397"/>
            </w:trPr>
            <w:tc>
              <w:tcPr>
                <w:tcW w:w="2420" w:type="pct"/>
                <w:vAlign w:val="center"/>
              </w:tcPr>
              <w:p w14:paraId="3BE4B429" w14:textId="77777777" w:rsidR="00577D08" w:rsidRDefault="00330FC0">
                <w:pPr>
                  <w:jc w:val="center"/>
                </w:pPr>
                <w:r>
                  <w:t>类别</w:t>
                </w:r>
              </w:p>
            </w:tc>
            <w:tc>
              <w:tcPr>
                <w:tcW w:w="2580" w:type="pct"/>
                <w:vAlign w:val="center"/>
              </w:tcPr>
              <w:p w14:paraId="4FE05EFD" w14:textId="77777777" w:rsidR="00577D08" w:rsidRDefault="00330FC0">
                <w:pPr>
                  <w:jc w:val="center"/>
                </w:pPr>
                <w:r>
                  <w:rPr>
                    <w:rFonts w:hint="eastAsia"/>
                  </w:rPr>
                  <w:t>在建工程结转为固定资产的标准和时点</w:t>
                </w:r>
              </w:p>
            </w:tc>
          </w:tr>
          <w:tr w:rsidR="00577D08" w14:paraId="28575D9B" w14:textId="77777777">
            <w:trPr>
              <w:trHeight w:val="397"/>
            </w:trPr>
            <w:tc>
              <w:tcPr>
                <w:tcW w:w="2420" w:type="pct"/>
                <w:vAlign w:val="center"/>
              </w:tcPr>
              <w:p w14:paraId="026A2FF4" w14:textId="77777777" w:rsidR="00577D08" w:rsidRDefault="00330FC0">
                <w:pPr>
                  <w:jc w:val="both"/>
                </w:pPr>
                <w:r>
                  <w:rPr>
                    <w:rFonts w:hint="eastAsia"/>
                  </w:rPr>
                  <w:t>房屋及建筑物</w:t>
                </w:r>
              </w:p>
            </w:tc>
            <w:tc>
              <w:tcPr>
                <w:tcW w:w="2580" w:type="pct"/>
                <w:vAlign w:val="center"/>
              </w:tcPr>
              <w:p w14:paraId="3EBE5F36" w14:textId="77777777" w:rsidR="00577D08" w:rsidRDefault="00330FC0">
                <w:pPr>
                  <w:jc w:val="both"/>
                </w:pPr>
                <w:r>
                  <w:rPr>
                    <w:rFonts w:hint="eastAsia"/>
                  </w:rPr>
                  <w:t>主体建设工程及配套工程已实质完工、达到预定设计要求并经验收</w:t>
                </w:r>
              </w:p>
            </w:tc>
          </w:tr>
          <w:tr w:rsidR="00577D08" w14:paraId="3BD2587A" w14:textId="77777777">
            <w:trPr>
              <w:trHeight w:val="397"/>
            </w:trPr>
            <w:tc>
              <w:tcPr>
                <w:tcW w:w="2420" w:type="pct"/>
                <w:vAlign w:val="center"/>
              </w:tcPr>
              <w:p w14:paraId="3AAEDCA0" w14:textId="77777777" w:rsidR="00577D08" w:rsidRDefault="00330FC0">
                <w:pPr>
                  <w:jc w:val="both"/>
                </w:pPr>
                <w:r>
                  <w:rPr>
                    <w:rFonts w:hint="eastAsia"/>
                  </w:rPr>
                  <w:t>机器设备</w:t>
                </w:r>
              </w:p>
            </w:tc>
            <w:tc>
              <w:tcPr>
                <w:tcW w:w="2580" w:type="pct"/>
                <w:vAlign w:val="center"/>
              </w:tcPr>
              <w:p w14:paraId="6152AD61" w14:textId="77777777" w:rsidR="00577D08" w:rsidRDefault="00330FC0">
                <w:pPr>
                  <w:jc w:val="both"/>
                </w:pPr>
                <w:r>
                  <w:rPr>
                    <w:rFonts w:hint="eastAsia"/>
                  </w:rPr>
                  <w:t>安装调试后达到设计要求或合同规定的标准</w:t>
                </w:r>
              </w:p>
            </w:tc>
          </w:tr>
          <w:tr w:rsidR="00577D08" w14:paraId="16AEC4D8" w14:textId="77777777">
            <w:trPr>
              <w:trHeight w:val="397"/>
            </w:trPr>
            <w:tc>
              <w:tcPr>
                <w:tcW w:w="2420" w:type="pct"/>
                <w:vAlign w:val="center"/>
              </w:tcPr>
              <w:p w14:paraId="0F990BED" w14:textId="77777777" w:rsidR="00577D08" w:rsidRDefault="00330FC0">
                <w:pPr>
                  <w:jc w:val="both"/>
                </w:pPr>
                <w:r>
                  <w:rPr>
                    <w:rFonts w:hint="eastAsia"/>
                  </w:rPr>
                  <w:t>电子设备及办公设备</w:t>
                </w:r>
              </w:p>
            </w:tc>
            <w:tc>
              <w:tcPr>
                <w:tcW w:w="2580" w:type="pct"/>
                <w:vAlign w:val="center"/>
              </w:tcPr>
              <w:p w14:paraId="7D6B4123" w14:textId="77777777" w:rsidR="00577D08" w:rsidRDefault="00330FC0">
                <w:pPr>
                  <w:jc w:val="both"/>
                </w:pPr>
                <w:r>
                  <w:rPr>
                    <w:rFonts w:hint="eastAsia"/>
                  </w:rPr>
                  <w:t>安装调试后达到设计要求或合同规定的标准</w:t>
                </w:r>
              </w:p>
            </w:tc>
          </w:tr>
        </w:tbl>
        <w:p w14:paraId="49C23FF3" w14:textId="77777777" w:rsidR="00577D08" w:rsidRDefault="00000000"/>
      </w:sdtContent>
    </w:sdt>
    <w:p w14:paraId="3C1C30EF" w14:textId="77777777" w:rsidR="00577D08" w:rsidRDefault="00330FC0">
      <w:pPr>
        <w:pStyle w:val="3"/>
        <w:numPr>
          <w:ilvl w:val="0"/>
          <w:numId w:val="55"/>
        </w:numPr>
      </w:pPr>
      <w:r>
        <w:t>借款费用</w:t>
      </w:r>
    </w:p>
    <w:sdt>
      <w:sdtPr>
        <w:rPr>
          <w:rFonts w:hint="eastAsia"/>
        </w:rPr>
        <w:alias w:val="是否适用：借款费用_重要会计政策和估计[双击切换]"/>
        <w:tag w:val="_GBC_84ea3b60fd54474487b81f25f176d989"/>
        <w:id w:val="1672838051"/>
        <w:placeholder>
          <w:docPart w:val="GBC22222222222222222222222222222"/>
        </w:placeholder>
      </w:sdtPr>
      <w:sdtContent>
        <w:p w14:paraId="208E0AA1"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借款费用的会计处理方法"/>
        <w:tag w:val="_GBC_2101c32d32c64f39a8b8fcd2b72dbb0a"/>
        <w:id w:val="1903869295"/>
        <w:placeholder>
          <w:docPart w:val="GBC22222222222222222222222222222"/>
        </w:placeholder>
      </w:sdtPr>
      <w:sdtContent>
        <w:p w14:paraId="043A991C" w14:textId="77777777" w:rsidR="00577D08" w:rsidRDefault="00330FC0">
          <w:pPr>
            <w:spacing w:line="360" w:lineRule="exact"/>
            <w:ind w:firstLineChars="200" w:firstLine="420"/>
          </w:pPr>
          <w:r>
            <w:rPr>
              <w:rFonts w:hint="eastAsia"/>
            </w:rPr>
            <w:t>（</w:t>
          </w:r>
          <w:r>
            <w:rPr>
              <w:rFonts w:hint="eastAsia"/>
            </w:rPr>
            <w:t>1</w:t>
          </w:r>
          <w:r>
            <w:rPr>
              <w:rFonts w:hint="eastAsia"/>
            </w:rPr>
            <w:t>）借款费用资本化的确认原则</w:t>
          </w:r>
        </w:p>
        <w:p w14:paraId="571079BF" w14:textId="77777777" w:rsidR="00577D08" w:rsidRDefault="00330FC0">
          <w:pPr>
            <w:spacing w:line="360" w:lineRule="exact"/>
            <w:ind w:firstLineChars="200" w:firstLine="420"/>
          </w:pPr>
          <w:r>
            <w:rPr>
              <w:rFonts w:hint="eastAsia"/>
            </w:rPr>
            <w:t>公司发生的借款费用，可直接归属于符合资本化条件的资产的购建或者生产的，予以资本化，计入相关资产成本；其他借款费用，在发生时确认为费用，计入当期损益。</w:t>
          </w:r>
        </w:p>
        <w:p w14:paraId="2E1B8588" w14:textId="77777777" w:rsidR="00577D08" w:rsidRDefault="00330FC0">
          <w:pPr>
            <w:spacing w:line="360" w:lineRule="exact"/>
            <w:ind w:firstLineChars="200" w:firstLine="420"/>
          </w:pPr>
          <w:r>
            <w:rPr>
              <w:rFonts w:hint="eastAsia"/>
            </w:rPr>
            <w:t>（</w:t>
          </w:r>
          <w:r>
            <w:rPr>
              <w:rFonts w:hint="eastAsia"/>
            </w:rPr>
            <w:t>2</w:t>
          </w:r>
          <w:r>
            <w:rPr>
              <w:rFonts w:hint="eastAsia"/>
            </w:rPr>
            <w:t>）借款费用资本化期间</w:t>
          </w:r>
        </w:p>
        <w:p w14:paraId="70DE7085" w14:textId="77777777" w:rsidR="00577D08" w:rsidRDefault="00330FC0">
          <w:pPr>
            <w:spacing w:line="360" w:lineRule="exact"/>
            <w:ind w:firstLineChars="200" w:firstLine="420"/>
          </w:pPr>
          <w:r>
            <w:rPr>
              <w:rFonts w:hint="eastAsia"/>
            </w:rPr>
            <w:t>1</w:t>
          </w:r>
          <w:r>
            <w:rPr>
              <w:rFonts w:hint="eastAsia"/>
            </w:rPr>
            <w:t>）当借款费用同时满足下列条件时，开始资本化：资产支出已经发生；借款费用已经发生；为使资产达到预定可使用或可销售状态所必要的购建或者生产活动已经开始。</w:t>
          </w:r>
        </w:p>
        <w:p w14:paraId="208F8E69" w14:textId="77777777" w:rsidR="00577D08" w:rsidRDefault="00330FC0">
          <w:pPr>
            <w:spacing w:line="360" w:lineRule="exact"/>
            <w:ind w:firstLineChars="200" w:firstLine="420"/>
          </w:pPr>
          <w:r>
            <w:rPr>
              <w:rFonts w:hint="eastAsia"/>
            </w:rPr>
            <w:t>2</w:t>
          </w:r>
          <w:r>
            <w:rPr>
              <w:rFonts w:hint="eastAsia"/>
            </w:rPr>
            <w:t>）若符合资本化条件的资产在购建或者生产过程中发生非正常中断，并且中断时间连续超过</w:t>
          </w:r>
          <w:r>
            <w:rPr>
              <w:rFonts w:hint="eastAsia"/>
            </w:rPr>
            <w:t>3</w:t>
          </w:r>
          <w:r>
            <w:rPr>
              <w:rFonts w:hint="eastAsia"/>
            </w:rPr>
            <w:t>个月，暂停借款费用的资本化；中断期间发生的借款费用确认为当期费用，直至资产的购建或者生产活动重新开始。</w:t>
          </w:r>
        </w:p>
        <w:p w14:paraId="3E5721CB" w14:textId="77777777" w:rsidR="00577D08" w:rsidRDefault="00330FC0">
          <w:pPr>
            <w:spacing w:line="360" w:lineRule="exact"/>
            <w:ind w:firstLineChars="200" w:firstLine="420"/>
          </w:pPr>
          <w:r>
            <w:rPr>
              <w:rFonts w:hint="eastAsia"/>
            </w:rPr>
            <w:t>3</w:t>
          </w:r>
          <w:r>
            <w:rPr>
              <w:rFonts w:hint="eastAsia"/>
            </w:rPr>
            <w:t>）当所购建或者生产符合资本化条件的资产达到预定可使用或可销售状态时，借款费用停止资本化。</w:t>
          </w:r>
        </w:p>
        <w:p w14:paraId="2FB845CF" w14:textId="77777777" w:rsidR="00577D08" w:rsidRDefault="00330FC0">
          <w:pPr>
            <w:spacing w:line="360" w:lineRule="exact"/>
            <w:ind w:firstLineChars="200" w:firstLine="420"/>
          </w:pPr>
          <w:r>
            <w:rPr>
              <w:rFonts w:hint="eastAsia"/>
            </w:rPr>
            <w:t>（</w:t>
          </w:r>
          <w:r>
            <w:rPr>
              <w:rFonts w:hint="eastAsia"/>
            </w:rPr>
            <w:t>3</w:t>
          </w:r>
          <w:r>
            <w:rPr>
              <w:rFonts w:hint="eastAsia"/>
            </w:rPr>
            <w:t>）借款费用资本化率以及资本化金额</w:t>
          </w:r>
        </w:p>
        <w:p w14:paraId="4B5AE09A" w14:textId="77777777" w:rsidR="00577D08" w:rsidRDefault="00330FC0">
          <w:pPr>
            <w:spacing w:line="360" w:lineRule="exact"/>
            <w:ind w:firstLineChars="200" w:firstLine="420"/>
            <w:rPr>
              <w:kern w:val="2"/>
            </w:rPr>
          </w:pPr>
          <w:r>
            <w:rPr>
              <w:rFonts w:hint="eastAsia"/>
            </w:rPr>
            <w:t>为购建或者生产符合资本化条件的资产而借入专门借款的，以专门借款当期实际发生的利息费用（包括按照实际利率法确定的折价或溢价的摊销），减去将尚未动用的借款资金存入银行取得的利息收入或进行暂时性投资取得的投资收益后的金额，确定应予资本化的利息金额；为购建或者生产符合资本化条件的资产占用了一般借款的，根据累计资产支出超过专门借款的资产支出加权平均数乘以占用一般借款的资本化率，计算确定一般借款应予资本化的利息金额。</w:t>
          </w:r>
        </w:p>
      </w:sdtContent>
    </w:sdt>
    <w:p w14:paraId="78675BF1" w14:textId="77777777" w:rsidR="00577D08" w:rsidRDefault="00330FC0">
      <w:pPr>
        <w:pStyle w:val="3"/>
        <w:numPr>
          <w:ilvl w:val="0"/>
          <w:numId w:val="55"/>
        </w:numPr>
      </w:pPr>
      <w:r>
        <w:t>生物资产</w:t>
      </w:r>
    </w:p>
    <w:sdt>
      <w:sdtPr>
        <w:rPr>
          <w:rFonts w:hint="eastAsia"/>
        </w:rPr>
        <w:alias w:val="是否适用：生物资产_重要会计政策和估计[双击切换]"/>
        <w:tag w:val="_GBC_f511e8d0a6dc417eb1d10eeecb5b05a5"/>
        <w:id w:val="-1505124172"/>
        <w:placeholder>
          <w:docPart w:val="GBC22222222222222222222222222222"/>
        </w:placeholder>
      </w:sdtPr>
      <w:sdtContent>
        <w:p w14:paraId="303F3140" w14:textId="77777777" w:rsidR="00577D08" w:rsidRDefault="00330FC0">
          <w:pPr>
            <w:rPr>
              <w:kern w:val="2"/>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351321B" w14:textId="77777777" w:rsidR="00577D08" w:rsidRDefault="00330FC0">
      <w:pPr>
        <w:pStyle w:val="3"/>
        <w:numPr>
          <w:ilvl w:val="0"/>
          <w:numId w:val="55"/>
        </w:numPr>
      </w:pPr>
      <w:r>
        <w:t>油气资产</w:t>
      </w:r>
    </w:p>
    <w:sdt>
      <w:sdtPr>
        <w:rPr>
          <w:rFonts w:hint="eastAsia"/>
        </w:rPr>
        <w:alias w:val="是否适用：油气资产_重要会计政策和估计[双击切换]"/>
        <w:tag w:val="_GBC_fb60dd1d8d2346fb9b2e461875c070c9"/>
        <w:id w:val="1160036860"/>
        <w:placeholder>
          <w:docPart w:val="GBC22222222222222222222222222222"/>
        </w:placeholder>
      </w:sdtPr>
      <w:sdtContent>
        <w:p w14:paraId="5CFBDEB8" w14:textId="77777777" w:rsidR="00577D08" w:rsidRDefault="00330FC0">
          <w:pPr>
            <w:rPr>
              <w:kern w:val="2"/>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59C196E" w14:textId="77777777" w:rsidR="00577D08" w:rsidRDefault="00330FC0">
      <w:pPr>
        <w:pStyle w:val="3"/>
        <w:numPr>
          <w:ilvl w:val="0"/>
          <w:numId w:val="55"/>
        </w:numPr>
      </w:pPr>
      <w:r>
        <w:lastRenderedPageBreak/>
        <w:t>无形资产</w:t>
      </w:r>
    </w:p>
    <w:p w14:paraId="1088609D" w14:textId="77777777" w:rsidR="00577D08" w:rsidRDefault="00330FC0">
      <w:pPr>
        <w:pStyle w:val="4"/>
        <w:numPr>
          <w:ilvl w:val="3"/>
          <w:numId w:val="57"/>
        </w:numPr>
        <w:ind w:left="426" w:hanging="426"/>
        <w:rPr>
          <w:rStyle w:val="aff7"/>
          <w:rFonts w:hint="eastAsia"/>
          <w:szCs w:val="28"/>
        </w:rPr>
      </w:pPr>
      <w:r>
        <w:rPr>
          <w:rFonts w:hint="eastAsia"/>
        </w:rPr>
        <w:t>使用寿命及其确定依据、估计情况、摊销方法</w:t>
      </w:r>
      <w:r>
        <w:rPr>
          <w:rStyle w:val="aff7"/>
          <w:rFonts w:hint="eastAsia"/>
        </w:rPr>
        <w:t>或复核程序</w:t>
      </w:r>
    </w:p>
    <w:sdt>
      <w:sdtPr>
        <w:alias w:val="是否适用：无形资产计价方法、使用寿命、减值测试[双击切换]"/>
        <w:tag w:val="_GBC_40df8c87b47d48bbbf73a71cc533a892"/>
        <w:id w:val="981576992"/>
        <w:placeholder>
          <w:docPart w:val="GBC22222222222222222222222222222"/>
        </w:placeholder>
      </w:sdtPr>
      <w:sdtContent>
        <w:p w14:paraId="5AEF1DB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无形资产计价方法、使用寿命、减值测试"/>
        <w:tag w:val="_GBC_a9e64b18f452482eb6674ec605618dcc"/>
        <w:id w:val="313911807"/>
        <w:placeholder>
          <w:docPart w:val="GBC22222222222222222222222222222"/>
        </w:placeholder>
      </w:sdtPr>
      <w:sdtContent>
        <w:p w14:paraId="22547FB4" w14:textId="77777777" w:rsidR="00577D08" w:rsidRDefault="00330FC0">
          <w:pPr>
            <w:spacing w:line="360" w:lineRule="exact"/>
            <w:ind w:firstLineChars="200" w:firstLine="420"/>
          </w:pPr>
          <w:r>
            <w:rPr>
              <w:rFonts w:hint="eastAsia"/>
            </w:rPr>
            <w:t>无形资产包括土地使用权、软件、专利权及非专利技术等，按成本进行初始计量。</w:t>
          </w:r>
        </w:p>
        <w:p w14:paraId="1EB3DE08" w14:textId="77777777" w:rsidR="00577D08" w:rsidRDefault="00330FC0">
          <w:pPr>
            <w:spacing w:line="360" w:lineRule="exact"/>
            <w:ind w:firstLineChars="200" w:firstLine="420"/>
          </w:pPr>
          <w:r>
            <w:rPr>
              <w:rFonts w:hint="eastAsia"/>
            </w:rPr>
            <w:t>使用寿命有限的无形资产，在使用寿命内按照与该项无形资产有关的经济利益的预期实现方式系统合理地摊销，无法可靠确定预期实现方式的，采用直线法摊销。具体如下：</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678"/>
            <w:gridCol w:w="2165"/>
          </w:tblGrid>
          <w:tr w:rsidR="00577D08" w14:paraId="2948156C" w14:textId="77777777">
            <w:trPr>
              <w:trHeight w:val="397"/>
            </w:trPr>
            <w:tc>
              <w:tcPr>
                <w:tcW w:w="1122" w:type="pct"/>
                <w:vAlign w:val="center"/>
              </w:tcPr>
              <w:p w14:paraId="755990E0" w14:textId="77777777" w:rsidR="00577D08" w:rsidRDefault="00330FC0">
                <w:pPr>
                  <w:jc w:val="center"/>
                  <w:rPr>
                    <w:rFonts w:ascii="宋体" w:hAnsi="宋体" w:hint="eastAsia"/>
                  </w:rPr>
                </w:pPr>
                <w:r>
                  <w:rPr>
                    <w:rFonts w:ascii="宋体" w:hAnsi="宋体" w:hint="eastAsia"/>
                  </w:rPr>
                  <w:t>项目</w:t>
                </w:r>
              </w:p>
            </w:tc>
            <w:tc>
              <w:tcPr>
                <w:tcW w:w="2651" w:type="pct"/>
                <w:vAlign w:val="center"/>
              </w:tcPr>
              <w:p w14:paraId="0817D585" w14:textId="77777777" w:rsidR="00577D08" w:rsidRDefault="00330FC0">
                <w:pPr>
                  <w:jc w:val="center"/>
                  <w:rPr>
                    <w:rFonts w:ascii="宋体" w:hAnsi="宋体" w:hint="eastAsia"/>
                  </w:rPr>
                </w:pPr>
                <w:r>
                  <w:rPr>
                    <w:rFonts w:ascii="宋体" w:hAnsi="宋体" w:hint="eastAsia"/>
                  </w:rPr>
                  <w:t>使用寿命及其确定依据</w:t>
                </w:r>
              </w:p>
            </w:tc>
            <w:tc>
              <w:tcPr>
                <w:tcW w:w="1227" w:type="pct"/>
                <w:vAlign w:val="center"/>
              </w:tcPr>
              <w:p w14:paraId="1566F169" w14:textId="77777777" w:rsidR="00577D08" w:rsidRDefault="00330FC0">
                <w:pPr>
                  <w:jc w:val="center"/>
                  <w:rPr>
                    <w:rFonts w:ascii="宋体" w:hAnsi="宋体" w:hint="eastAsia"/>
                  </w:rPr>
                </w:pPr>
                <w:r>
                  <w:rPr>
                    <w:rFonts w:ascii="宋体" w:hAnsi="宋体" w:hint="eastAsia"/>
                  </w:rPr>
                  <w:t>摊销方法</w:t>
                </w:r>
              </w:p>
            </w:tc>
          </w:tr>
          <w:tr w:rsidR="00577D08" w14:paraId="2813FCA5" w14:textId="77777777">
            <w:trPr>
              <w:trHeight w:val="397"/>
            </w:trPr>
            <w:tc>
              <w:tcPr>
                <w:tcW w:w="1122" w:type="pct"/>
                <w:vAlign w:val="center"/>
              </w:tcPr>
              <w:p w14:paraId="4D6AA6A0" w14:textId="77777777" w:rsidR="00577D08" w:rsidRDefault="00330FC0">
                <w:pPr>
                  <w:jc w:val="both"/>
                  <w:rPr>
                    <w:rFonts w:ascii="宋体" w:hAnsi="宋体" w:hint="eastAsia"/>
                  </w:rPr>
                </w:pPr>
                <w:r>
                  <w:rPr>
                    <w:rFonts w:ascii="宋体" w:hAnsi="宋体" w:hint="eastAsia"/>
                  </w:rPr>
                  <w:t>土地使用权</w:t>
                </w:r>
              </w:p>
            </w:tc>
            <w:tc>
              <w:tcPr>
                <w:tcW w:w="2651" w:type="pct"/>
                <w:vAlign w:val="center"/>
              </w:tcPr>
              <w:p w14:paraId="0F873287" w14:textId="77777777" w:rsidR="00577D08" w:rsidRDefault="00330FC0">
                <w:pPr>
                  <w:jc w:val="both"/>
                  <w:rPr>
                    <w:rFonts w:ascii="宋体" w:hAnsi="宋体" w:hint="eastAsia"/>
                  </w:rPr>
                </w:pPr>
                <w:r>
                  <w:rPr>
                    <w:rFonts w:ascii="宋体" w:hAnsi="宋体" w:hint="eastAsia"/>
                  </w:rPr>
                  <w:t>按产权登记期限确定使用寿命为50年</w:t>
                </w:r>
              </w:p>
            </w:tc>
            <w:tc>
              <w:tcPr>
                <w:tcW w:w="1227" w:type="pct"/>
                <w:vAlign w:val="center"/>
              </w:tcPr>
              <w:p w14:paraId="50AA15D2" w14:textId="77777777" w:rsidR="00577D08" w:rsidRDefault="00330FC0">
                <w:pPr>
                  <w:jc w:val="center"/>
                  <w:rPr>
                    <w:rFonts w:ascii="宋体" w:hAnsi="宋体" w:hint="eastAsia"/>
                  </w:rPr>
                </w:pPr>
                <w:r>
                  <w:rPr>
                    <w:rFonts w:ascii="宋体" w:hAnsi="宋体" w:hint="eastAsia"/>
                  </w:rPr>
                  <w:t>直线法</w:t>
                </w:r>
              </w:p>
            </w:tc>
          </w:tr>
          <w:tr w:rsidR="00577D08" w14:paraId="35DAEB81" w14:textId="77777777">
            <w:trPr>
              <w:trHeight w:val="397"/>
            </w:trPr>
            <w:tc>
              <w:tcPr>
                <w:tcW w:w="1122" w:type="pct"/>
                <w:vAlign w:val="center"/>
              </w:tcPr>
              <w:p w14:paraId="21D01A3D" w14:textId="77777777" w:rsidR="00577D08" w:rsidRDefault="00330FC0">
                <w:pPr>
                  <w:jc w:val="both"/>
                  <w:rPr>
                    <w:rFonts w:ascii="宋体" w:hAnsi="宋体" w:hint="eastAsia"/>
                  </w:rPr>
                </w:pPr>
                <w:r>
                  <w:rPr>
                    <w:rFonts w:ascii="宋体" w:hAnsi="宋体" w:hint="eastAsia"/>
                  </w:rPr>
                  <w:t>软件</w:t>
                </w:r>
              </w:p>
            </w:tc>
            <w:tc>
              <w:tcPr>
                <w:tcW w:w="2651" w:type="pct"/>
                <w:vAlign w:val="center"/>
              </w:tcPr>
              <w:p w14:paraId="478B56E6" w14:textId="77777777" w:rsidR="00577D08" w:rsidRDefault="00330FC0">
                <w:pPr>
                  <w:jc w:val="both"/>
                  <w:rPr>
                    <w:rFonts w:ascii="宋体" w:hAnsi="宋体" w:hint="eastAsia"/>
                  </w:rPr>
                </w:pPr>
                <w:r>
                  <w:rPr>
                    <w:rFonts w:ascii="宋体" w:hAnsi="宋体" w:hint="eastAsia"/>
                  </w:rPr>
                  <w:t>按预期受益期限确定使用寿命为3-10年</w:t>
                </w:r>
              </w:p>
            </w:tc>
            <w:tc>
              <w:tcPr>
                <w:tcW w:w="1227" w:type="pct"/>
                <w:vAlign w:val="center"/>
              </w:tcPr>
              <w:p w14:paraId="47918CFF" w14:textId="77777777" w:rsidR="00577D08" w:rsidRDefault="00330FC0">
                <w:pPr>
                  <w:jc w:val="center"/>
                  <w:rPr>
                    <w:rFonts w:ascii="宋体" w:hAnsi="宋体" w:hint="eastAsia"/>
                  </w:rPr>
                </w:pPr>
                <w:r>
                  <w:rPr>
                    <w:rFonts w:ascii="宋体" w:hAnsi="宋体" w:hint="eastAsia"/>
                  </w:rPr>
                  <w:t>直线法</w:t>
                </w:r>
              </w:p>
            </w:tc>
          </w:tr>
          <w:tr w:rsidR="00577D08" w14:paraId="13498495" w14:textId="77777777">
            <w:trPr>
              <w:trHeight w:val="397"/>
            </w:trPr>
            <w:tc>
              <w:tcPr>
                <w:tcW w:w="1122" w:type="pct"/>
                <w:vAlign w:val="center"/>
              </w:tcPr>
              <w:p w14:paraId="2A8977AD" w14:textId="77777777" w:rsidR="00577D08" w:rsidRDefault="00330FC0">
                <w:pPr>
                  <w:jc w:val="both"/>
                  <w:rPr>
                    <w:rFonts w:ascii="宋体" w:hAnsi="宋体" w:hint="eastAsia"/>
                  </w:rPr>
                </w:pPr>
                <w:r>
                  <w:rPr>
                    <w:rFonts w:ascii="宋体" w:hAnsi="宋体" w:hint="eastAsia"/>
                  </w:rPr>
                  <w:t>专利权</w:t>
                </w:r>
              </w:p>
            </w:tc>
            <w:tc>
              <w:tcPr>
                <w:tcW w:w="2651" w:type="pct"/>
                <w:vAlign w:val="center"/>
              </w:tcPr>
              <w:p w14:paraId="76C0EA15" w14:textId="77777777" w:rsidR="00577D08" w:rsidRDefault="00330FC0">
                <w:pPr>
                  <w:jc w:val="both"/>
                  <w:rPr>
                    <w:rFonts w:ascii="宋体" w:hAnsi="宋体" w:hint="eastAsia"/>
                  </w:rPr>
                </w:pPr>
                <w:r>
                  <w:rPr>
                    <w:rFonts w:ascii="宋体" w:hAnsi="宋体" w:hint="eastAsia"/>
                  </w:rPr>
                  <w:t>按预期受益期限确定使用寿命为3-10年</w:t>
                </w:r>
              </w:p>
            </w:tc>
            <w:tc>
              <w:tcPr>
                <w:tcW w:w="1227" w:type="pct"/>
                <w:vAlign w:val="center"/>
              </w:tcPr>
              <w:p w14:paraId="61E11758" w14:textId="77777777" w:rsidR="00577D08" w:rsidRDefault="00330FC0">
                <w:pPr>
                  <w:jc w:val="center"/>
                  <w:rPr>
                    <w:rFonts w:ascii="宋体" w:hAnsi="宋体" w:hint="eastAsia"/>
                  </w:rPr>
                </w:pPr>
                <w:r>
                  <w:rPr>
                    <w:rFonts w:ascii="宋体" w:hAnsi="宋体" w:hint="eastAsia"/>
                  </w:rPr>
                  <w:t>直线法</w:t>
                </w:r>
              </w:p>
            </w:tc>
          </w:tr>
        </w:tbl>
        <w:p w14:paraId="066FF40A" w14:textId="77777777" w:rsidR="00577D08" w:rsidRDefault="00000000"/>
      </w:sdtContent>
    </w:sdt>
    <w:p w14:paraId="0FF1E80C" w14:textId="77777777" w:rsidR="00577D08" w:rsidRDefault="00330FC0">
      <w:pPr>
        <w:pStyle w:val="4"/>
        <w:numPr>
          <w:ilvl w:val="3"/>
          <w:numId w:val="57"/>
        </w:numPr>
        <w:ind w:left="426" w:hanging="426"/>
        <w:rPr>
          <w:rFonts w:hint="eastAsia"/>
        </w:rPr>
      </w:pPr>
      <w:r>
        <w:rPr>
          <w:rFonts w:hint="eastAsia"/>
        </w:rPr>
        <w:t>研发支出的归集范围及相关会计处理方法</w:t>
      </w:r>
    </w:p>
    <w:sdt>
      <w:sdtPr>
        <w:alias w:val="是否适用：无形资产内部研究开发支出会计政策[双击切换]"/>
        <w:tag w:val="_GBC_8f6b939ea36a42808f60b7c024994f2b"/>
        <w:id w:val="1443492491"/>
        <w:placeholder>
          <w:docPart w:val="GBC22222222222222222222222222222"/>
        </w:placeholder>
      </w:sdtPr>
      <w:sdtContent>
        <w:p w14:paraId="4E5FC19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无形资产内部研究、开发支出会计政策"/>
        <w:tag w:val="_GBC_af7b1338d88344dfb8cd34ed66bfe672"/>
        <w:id w:val="452995236"/>
        <w:placeholder>
          <w:docPart w:val="GBC22222222222222222222222222222"/>
        </w:placeholder>
      </w:sdtPr>
      <w:sdtContent>
        <w:p w14:paraId="4A939926" w14:textId="77777777" w:rsidR="00577D08" w:rsidRDefault="00330FC0">
          <w:pPr>
            <w:spacing w:line="360" w:lineRule="exact"/>
            <w:ind w:firstLineChars="200" w:firstLine="420"/>
          </w:pPr>
          <w:r>
            <w:rPr>
              <w:rFonts w:hint="eastAsia"/>
            </w:rPr>
            <w:t>1</w:t>
          </w:r>
          <w:r>
            <w:rPr>
              <w:rFonts w:hint="eastAsia"/>
            </w:rPr>
            <w:t>）职工薪酬</w:t>
          </w:r>
        </w:p>
        <w:p w14:paraId="1B671CFA" w14:textId="77777777" w:rsidR="00577D08" w:rsidRDefault="00330FC0">
          <w:pPr>
            <w:spacing w:line="360" w:lineRule="exact"/>
            <w:ind w:firstLineChars="200" w:firstLine="420"/>
          </w:pPr>
          <w:r>
            <w:rPr>
              <w:rFonts w:hint="eastAsia"/>
            </w:rPr>
            <w:t>职工薪酬包括公司研发人员的工资薪金、基本养老保险费、基本医疗保险费、失业保险费、工伤保险费、生育保险费和住房公积金。</w:t>
          </w:r>
        </w:p>
        <w:p w14:paraId="5DCF51F3" w14:textId="77777777" w:rsidR="00577D08" w:rsidRDefault="00330FC0">
          <w:pPr>
            <w:spacing w:line="360" w:lineRule="exact"/>
            <w:ind w:firstLineChars="200" w:firstLine="420"/>
          </w:pPr>
          <w:r>
            <w:rPr>
              <w:rFonts w:hint="eastAsia"/>
            </w:rPr>
            <w:t>研发人员同时服务于多个研究开发项目的，人工费用的确认依据公司管理部门提供的各研究开发项目研发人员的工时记录，在不同研究开发项目间按比例分配。</w:t>
          </w:r>
        </w:p>
        <w:p w14:paraId="7587BAC7" w14:textId="77777777" w:rsidR="00577D08" w:rsidRDefault="00330FC0">
          <w:pPr>
            <w:spacing w:line="360" w:lineRule="exact"/>
            <w:ind w:firstLineChars="200" w:firstLine="420"/>
          </w:pPr>
          <w:r>
            <w:rPr>
              <w:rFonts w:hint="eastAsia"/>
            </w:rPr>
            <w:t>直接从事研发活动的人员同时从事非研发活动的，公司根据研发人员在不同岗位的工时记录，将其实际发生的人员人工费用，按实际工时占比等合理方法在研发费用和生产经营费用间分配。</w:t>
          </w:r>
        </w:p>
        <w:p w14:paraId="73156CE2" w14:textId="77777777" w:rsidR="00577D08" w:rsidRDefault="00330FC0">
          <w:pPr>
            <w:spacing w:line="360" w:lineRule="exact"/>
            <w:ind w:firstLineChars="200" w:firstLine="420"/>
          </w:pPr>
          <w:r>
            <w:rPr>
              <w:rFonts w:hint="eastAsia"/>
            </w:rPr>
            <w:t>2</w:t>
          </w:r>
          <w:r>
            <w:rPr>
              <w:rFonts w:hint="eastAsia"/>
            </w:rPr>
            <w:t>）直接投入费用</w:t>
          </w:r>
        </w:p>
        <w:p w14:paraId="17FF1F67" w14:textId="77777777" w:rsidR="00577D08" w:rsidRDefault="00330FC0">
          <w:pPr>
            <w:spacing w:line="360" w:lineRule="exact"/>
            <w:ind w:firstLineChars="200" w:firstLine="420"/>
          </w:pPr>
          <w:r>
            <w:rPr>
              <w:rFonts w:hint="eastAsia"/>
            </w:rPr>
            <w:t>直接投入费用是指公司为实施研究开发活动而实际发生的相关支出。包括：直接消耗的材料、燃料和动力费用；用于产品试制的模具、样机购置费、试制产品的检验费；用于研究开发活动的仪器、设备的运行维护、调整、检验、检测、维修等费用。</w:t>
          </w:r>
        </w:p>
        <w:p w14:paraId="31646B4A" w14:textId="77777777" w:rsidR="00577D08" w:rsidRDefault="00330FC0">
          <w:pPr>
            <w:spacing w:line="360" w:lineRule="exact"/>
            <w:ind w:firstLineChars="200" w:firstLine="420"/>
          </w:pPr>
          <w:r>
            <w:rPr>
              <w:rFonts w:hint="eastAsia"/>
            </w:rPr>
            <w:t>3</w:t>
          </w:r>
          <w:r>
            <w:rPr>
              <w:rFonts w:hint="eastAsia"/>
            </w:rPr>
            <w:t>）折旧费用</w:t>
          </w:r>
        </w:p>
        <w:p w14:paraId="7474CA8D" w14:textId="77777777" w:rsidR="00577D08" w:rsidRDefault="00330FC0">
          <w:pPr>
            <w:spacing w:line="360" w:lineRule="exact"/>
            <w:ind w:firstLineChars="200" w:firstLine="420"/>
          </w:pPr>
          <w:r>
            <w:rPr>
              <w:rFonts w:hint="eastAsia"/>
            </w:rPr>
            <w:t>折旧费用是指用于研究开发活动的仪器、设备和在用建筑物的折旧费。</w:t>
          </w:r>
        </w:p>
        <w:p w14:paraId="3F8B66CD" w14:textId="77777777" w:rsidR="00577D08" w:rsidRDefault="00330FC0">
          <w:pPr>
            <w:spacing w:line="360" w:lineRule="exact"/>
            <w:ind w:firstLineChars="200" w:firstLine="420"/>
          </w:pPr>
          <w:r>
            <w:rPr>
              <w:rFonts w:hint="eastAsia"/>
            </w:rPr>
            <w:t>用于研发活动的仪器、设备及在用建筑物，同时又用于非研发活动的，对该类仪器、设备、在用建筑物使用情况做必要记录，并将其实际发生的折旧费，采用合理方法在研发费用和生产经营费用间分配。</w:t>
          </w:r>
        </w:p>
        <w:p w14:paraId="61F3AFBF" w14:textId="77777777" w:rsidR="00577D08" w:rsidRDefault="00330FC0">
          <w:pPr>
            <w:spacing w:line="360" w:lineRule="exact"/>
            <w:ind w:firstLineChars="200" w:firstLine="420"/>
          </w:pPr>
          <w:r>
            <w:rPr>
              <w:rFonts w:hint="eastAsia"/>
            </w:rPr>
            <w:t>4</w:t>
          </w:r>
          <w:r>
            <w:rPr>
              <w:rFonts w:hint="eastAsia"/>
            </w:rPr>
            <w:t>）委托外部研究开发费用</w:t>
          </w:r>
        </w:p>
        <w:p w14:paraId="5CAA1417" w14:textId="77777777" w:rsidR="00577D08" w:rsidRDefault="00330FC0">
          <w:pPr>
            <w:spacing w:line="360" w:lineRule="exact"/>
            <w:ind w:firstLineChars="200" w:firstLine="420"/>
          </w:pPr>
          <w:r>
            <w:rPr>
              <w:rFonts w:hint="eastAsia"/>
            </w:rPr>
            <w:t>委托外部研究开发费用是指公司委托其他机构或个人进行研究开发活动所发生的费用。</w:t>
          </w:r>
        </w:p>
        <w:p w14:paraId="03D1B12B" w14:textId="77777777" w:rsidR="00577D08" w:rsidRDefault="00330FC0">
          <w:pPr>
            <w:spacing w:line="360" w:lineRule="exact"/>
            <w:ind w:firstLineChars="200" w:firstLine="420"/>
          </w:pPr>
          <w:r>
            <w:rPr>
              <w:rFonts w:hint="eastAsia"/>
            </w:rPr>
            <w:t>5</w:t>
          </w:r>
          <w:r>
            <w:rPr>
              <w:rFonts w:hint="eastAsia"/>
            </w:rPr>
            <w:t>）其他费用</w:t>
          </w:r>
        </w:p>
        <w:p w14:paraId="1E8666EF" w14:textId="77777777" w:rsidR="00577D08" w:rsidRDefault="00330FC0">
          <w:pPr>
            <w:spacing w:line="360" w:lineRule="exact"/>
            <w:ind w:firstLineChars="200" w:firstLine="420"/>
          </w:pPr>
          <w:r>
            <w:rPr>
              <w:rFonts w:hint="eastAsia"/>
            </w:rPr>
            <w:t>其他费用是指上述费用之外与研究开发活动直接相关的其他费用，包括技术专家咨询费、知识产权的申请费、注册费、会议费、差旅费、通讯费等。</w:t>
          </w:r>
        </w:p>
        <w:p w14:paraId="2527AE06" w14:textId="77777777" w:rsidR="00577D08" w:rsidRDefault="00330FC0">
          <w:pPr>
            <w:spacing w:line="360" w:lineRule="exact"/>
            <w:ind w:firstLineChars="200" w:firstLine="420"/>
          </w:pPr>
          <w:r>
            <w:rPr>
              <w:rFonts w:hint="eastAsia"/>
            </w:rPr>
            <w:t>内部研究开发项目研究阶段的支出，于发生时计入当期损益。内部研究开发项目开发阶段的支出，同时满足下列条件的，确认为无形资产：</w:t>
          </w:r>
        </w:p>
        <w:p w14:paraId="7E4BF5CA" w14:textId="77777777" w:rsidR="00577D08" w:rsidRDefault="00330FC0">
          <w:pPr>
            <w:spacing w:line="360" w:lineRule="exact"/>
            <w:ind w:firstLineChars="200" w:firstLine="420"/>
          </w:pPr>
          <w:r>
            <w:rPr>
              <w:rFonts w:hint="eastAsia"/>
            </w:rPr>
            <w:t>1</w:t>
          </w:r>
          <w:r>
            <w:rPr>
              <w:rFonts w:hint="eastAsia"/>
            </w:rPr>
            <w:t>）完成该无形资产以使其能够使用或出售在技术上具有可行性；</w:t>
          </w:r>
        </w:p>
        <w:p w14:paraId="43214FE0" w14:textId="77777777" w:rsidR="00577D08" w:rsidRDefault="00330FC0">
          <w:pPr>
            <w:spacing w:line="360" w:lineRule="exact"/>
            <w:ind w:firstLineChars="200" w:firstLine="420"/>
          </w:pPr>
          <w:r>
            <w:rPr>
              <w:rFonts w:hint="eastAsia"/>
            </w:rPr>
            <w:lastRenderedPageBreak/>
            <w:t>2</w:t>
          </w:r>
          <w:r>
            <w:rPr>
              <w:rFonts w:hint="eastAsia"/>
            </w:rPr>
            <w:t>）具有完成该无形资产并使用或出售的意图；</w:t>
          </w:r>
        </w:p>
        <w:p w14:paraId="70022A33" w14:textId="77777777" w:rsidR="00577D08" w:rsidRDefault="00330FC0">
          <w:pPr>
            <w:spacing w:line="360" w:lineRule="exact"/>
            <w:ind w:firstLineChars="200" w:firstLine="420"/>
          </w:pPr>
          <w:r>
            <w:rPr>
              <w:rFonts w:hint="eastAsia"/>
            </w:rPr>
            <w:t>3</w:t>
          </w:r>
          <w:r>
            <w:rPr>
              <w:rFonts w:hint="eastAsia"/>
            </w:rPr>
            <w:t>）无形资产产生经济利益的方式，包括能够证明运用该无形资产生产的产品存在市场或无形资产自身存在市场，无形资产将在内部使用的，能证明其有用性；</w:t>
          </w:r>
        </w:p>
        <w:p w14:paraId="1E19E0F6" w14:textId="77777777" w:rsidR="00577D08" w:rsidRDefault="00330FC0">
          <w:pPr>
            <w:spacing w:line="360" w:lineRule="exact"/>
            <w:ind w:firstLineChars="200" w:firstLine="420"/>
          </w:pPr>
          <w:r>
            <w:rPr>
              <w:rFonts w:hint="eastAsia"/>
            </w:rPr>
            <w:t>4</w:t>
          </w:r>
          <w:r>
            <w:rPr>
              <w:rFonts w:hint="eastAsia"/>
            </w:rPr>
            <w:t>）有足够的技术、财务资源和其他资源支持，以完成该无形资产的开发，并有能力使用或出售该无形资产；</w:t>
          </w:r>
        </w:p>
        <w:p w14:paraId="61D80FB6" w14:textId="77777777" w:rsidR="00577D08" w:rsidRDefault="00330FC0">
          <w:pPr>
            <w:spacing w:line="360" w:lineRule="exact"/>
            <w:ind w:firstLineChars="200" w:firstLine="420"/>
          </w:pPr>
          <w:r>
            <w:rPr>
              <w:rFonts w:hint="eastAsia"/>
            </w:rPr>
            <w:t>5</w:t>
          </w:r>
          <w:r>
            <w:rPr>
              <w:rFonts w:hint="eastAsia"/>
            </w:rPr>
            <w:t>）归属于该无形资产开发阶段的支出能够可靠地计量。</w:t>
          </w:r>
        </w:p>
      </w:sdtContent>
    </w:sdt>
    <w:p w14:paraId="38DFAADC" w14:textId="77777777" w:rsidR="00577D08" w:rsidRDefault="00330FC0">
      <w:pPr>
        <w:pStyle w:val="3"/>
        <w:numPr>
          <w:ilvl w:val="0"/>
          <w:numId w:val="55"/>
        </w:numPr>
        <w:rPr>
          <w:szCs w:val="21"/>
        </w:rPr>
      </w:pPr>
      <w:r>
        <w:rPr>
          <w:rFonts w:hint="eastAsia"/>
          <w:szCs w:val="21"/>
        </w:rPr>
        <w:t>长期资产减值</w:t>
      </w:r>
    </w:p>
    <w:sdt>
      <w:sdtPr>
        <w:rPr>
          <w:rFonts w:hint="eastAsia"/>
        </w:rPr>
        <w:alias w:val="是否适用：长期资产减值_重要会计政策和估计[双击切换]"/>
        <w:tag w:val="_GBC_e9110d6af45c4c0d808e2f284fadf642"/>
        <w:id w:val="1768043297"/>
        <w:placeholder>
          <w:docPart w:val="GBC22222222222222222222222222222"/>
        </w:placeholder>
      </w:sdtPr>
      <w:sdtContent>
        <w:p w14:paraId="77AA896B"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非金融长期资产减值测试方法及会计处理方法"/>
        <w:tag w:val="_GBC_0a065c1269a846f6923598a2c1fc4269"/>
        <w:id w:val="-1153216476"/>
        <w:placeholder>
          <w:docPart w:val="GBC22222222222222222222222222222"/>
        </w:placeholder>
      </w:sdtPr>
      <w:sdtContent>
        <w:p w14:paraId="6466C35B" w14:textId="77777777" w:rsidR="00577D08" w:rsidRDefault="00330FC0">
          <w:pPr>
            <w:spacing w:line="360" w:lineRule="exact"/>
            <w:ind w:firstLineChars="200" w:firstLine="420"/>
          </w:pPr>
          <w:r>
            <w:rPr>
              <w:rFonts w:hint="eastAsia"/>
            </w:rPr>
            <w:t>对长期股权投资、固定资产、在建工程、使用权资产、使用寿命有限的无形资产等长期资产，在资产负债表日有迹象表明发生减值的，估计其可收回金额。对因企业合并所形成的商誉和使用寿命不确定的无形资产，无论是否存在减值迹象，每年都进行减值测试。商誉结合与其相关的资产组或者资产组组合进行减值测试。</w:t>
          </w:r>
        </w:p>
        <w:p w14:paraId="55617311" w14:textId="77777777" w:rsidR="00577D08" w:rsidRDefault="00330FC0">
          <w:pPr>
            <w:spacing w:line="360" w:lineRule="exact"/>
            <w:ind w:firstLineChars="200" w:firstLine="420"/>
          </w:pPr>
          <w:r>
            <w:rPr>
              <w:rFonts w:hint="eastAsia"/>
            </w:rPr>
            <w:t>若上述长期资产的可收回金额低于其账面价值的，按其差额确认资产减值准备并计入当期损益。</w:t>
          </w:r>
        </w:p>
      </w:sdtContent>
    </w:sdt>
    <w:p w14:paraId="16883A6E" w14:textId="77777777" w:rsidR="00577D08" w:rsidRDefault="00330FC0">
      <w:pPr>
        <w:pStyle w:val="3"/>
        <w:numPr>
          <w:ilvl w:val="0"/>
          <w:numId w:val="55"/>
        </w:numPr>
      </w:pPr>
      <w:r>
        <w:t>长期待摊费用</w:t>
      </w:r>
    </w:p>
    <w:sdt>
      <w:sdtPr>
        <w:rPr>
          <w:rFonts w:hint="eastAsia"/>
        </w:rPr>
        <w:alias w:val="是否适用：长期待摊费用_重要会计政策和估计[双击切换]"/>
        <w:tag w:val="_GBC_5f2bbee5e66644d489f8d74ae8f96539"/>
        <w:id w:val="-584457201"/>
        <w:placeholder>
          <w:docPart w:val="GBC22222222222222222222222222222"/>
        </w:placeholder>
      </w:sdtPr>
      <w:sdtContent>
        <w:p w14:paraId="03364CFB"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开办费、长期待摊费用摊销方法"/>
        <w:tag w:val="_GBC_a0e2b7a5a9454eaea97ca201421d7dde"/>
        <w:id w:val="-2106340296"/>
        <w:placeholder>
          <w:docPart w:val="GBC22222222222222222222222222222"/>
        </w:placeholder>
      </w:sdtPr>
      <w:sdtContent>
        <w:p w14:paraId="5533E371" w14:textId="77777777" w:rsidR="00577D08" w:rsidRDefault="00330FC0">
          <w:pPr>
            <w:spacing w:line="360" w:lineRule="exact"/>
            <w:ind w:firstLineChars="200" w:firstLine="420"/>
            <w:rPr>
              <w:kern w:val="2"/>
            </w:rPr>
          </w:pPr>
          <w:r>
            <w:rPr>
              <w:rFonts w:hint="eastAsia"/>
            </w:rPr>
            <w:t>长期待摊费用核算已经支出，摊销期限在</w:t>
          </w:r>
          <w:r>
            <w:rPr>
              <w:rFonts w:hint="eastAsia"/>
            </w:rPr>
            <w:t>1</w:t>
          </w:r>
          <w:r>
            <w:rPr>
              <w:rFonts w:hint="eastAsia"/>
            </w:rPr>
            <w:t>年以上（不含</w:t>
          </w:r>
          <w:r>
            <w:rPr>
              <w:rFonts w:hint="eastAsia"/>
            </w:rPr>
            <w:t>1</w:t>
          </w:r>
          <w:r>
            <w:rPr>
              <w:rFonts w:hint="eastAsia"/>
            </w:rPr>
            <w:t>年）的各项费用。长期待摊费用按实际发生额入账，在受益期或规定的期限内分期平均摊销。如果长期待摊的费用项目不能使以后会计期间受益则将尚未摊销的该项目的摊余价值全部转入当期损益。</w:t>
          </w:r>
        </w:p>
      </w:sdtContent>
    </w:sdt>
    <w:p w14:paraId="42A950FA" w14:textId="77777777" w:rsidR="00577D08" w:rsidRDefault="00577D08"/>
    <w:p w14:paraId="74945904" w14:textId="77777777" w:rsidR="00577D08" w:rsidRDefault="00330FC0">
      <w:pPr>
        <w:pStyle w:val="3"/>
        <w:numPr>
          <w:ilvl w:val="0"/>
          <w:numId w:val="55"/>
        </w:numPr>
        <w:rPr>
          <w:szCs w:val="21"/>
        </w:rPr>
      </w:pPr>
      <w:bookmarkStart w:id="311" w:name="_Hlk533668008"/>
      <w:r>
        <w:rPr>
          <w:rFonts w:hint="eastAsia"/>
          <w:szCs w:val="21"/>
        </w:rPr>
        <w:t>合同负债</w:t>
      </w:r>
    </w:p>
    <w:sdt>
      <w:sdtPr>
        <w:alias w:val="是否适用：合同负债的确定方法、摊销方法和减值测试方法[双击切换]"/>
        <w:tag w:val="_GBC_1d0f6a0a7f304d3f94158c9d73a7239a"/>
        <w:id w:val="-318031775"/>
        <w:placeholder>
          <w:docPart w:val="GBC22222222222222222222222222222"/>
        </w:placeholder>
      </w:sdtPr>
      <w:sdtContent>
        <w:p w14:paraId="7A27D24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4BA05B7" w14:textId="77777777" w:rsidR="00577D08" w:rsidRDefault="00000000">
      <w:sdt>
        <w:sdtPr>
          <w:alias w:val="合同负债的确定方法、摊销方法和减值测试方法"/>
          <w:tag w:val="_GBC_0555b9144f6c494282d03f175d2fa19d"/>
          <w:id w:val="849911435"/>
          <w:placeholder>
            <w:docPart w:val="GBC22222222222222222222222222222"/>
          </w:placeholder>
        </w:sdtPr>
        <w:sdtContent>
          <w:r w:rsidR="00330FC0">
            <w:rPr>
              <w:rFonts w:hint="eastAsia"/>
            </w:rPr>
            <w:t>公司将已收或应收客户对价而应向客户转让商品的义务作为合同负债列示。</w:t>
          </w:r>
        </w:sdtContent>
      </w:sdt>
    </w:p>
    <w:bookmarkEnd w:id="311"/>
    <w:p w14:paraId="4F7A324B" w14:textId="77777777" w:rsidR="00577D08" w:rsidRDefault="00330FC0">
      <w:pPr>
        <w:pStyle w:val="3"/>
        <w:numPr>
          <w:ilvl w:val="0"/>
          <w:numId w:val="55"/>
        </w:numPr>
      </w:pPr>
      <w:r>
        <w:rPr>
          <w:rFonts w:hint="eastAsia"/>
        </w:rPr>
        <w:t>职工薪酬</w:t>
      </w:r>
    </w:p>
    <w:p w14:paraId="1DE847E8" w14:textId="77777777" w:rsidR="00577D08" w:rsidRDefault="00330FC0">
      <w:pPr>
        <w:pStyle w:val="4"/>
        <w:numPr>
          <w:ilvl w:val="3"/>
          <w:numId w:val="58"/>
        </w:numPr>
        <w:ind w:left="426" w:hanging="426"/>
        <w:rPr>
          <w:rFonts w:hint="eastAsia"/>
        </w:rPr>
      </w:pPr>
      <w:r>
        <w:rPr>
          <w:rFonts w:hint="eastAsia"/>
        </w:rPr>
        <w:t>短期薪酬的会计处理方法</w:t>
      </w:r>
    </w:p>
    <w:sdt>
      <w:sdtPr>
        <w:rPr>
          <w:rFonts w:hint="eastAsia"/>
        </w:rPr>
        <w:alias w:val="是否适用：短期薪酬的会计处理方法[双击切换]"/>
        <w:tag w:val="_GBC_efadddc5ff4a48fb9432574c3528c6b3"/>
        <w:id w:val="-1403827798"/>
        <w:placeholder>
          <w:docPart w:val="GBC22222222222222222222222222222"/>
        </w:placeholder>
      </w:sdtPr>
      <w:sdtContent>
        <w:p w14:paraId="731B4EE5"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短期薪酬的会计处理方法"/>
        <w:tag w:val="_GBC_8fdf44b194ac45fb945d36b9896df796"/>
        <w:id w:val="1198504298"/>
        <w:placeholder>
          <w:docPart w:val="GBC22222222222222222222222222222"/>
        </w:placeholder>
      </w:sdtPr>
      <w:sdtContent>
        <w:p w14:paraId="79AE8932" w14:textId="77777777" w:rsidR="00577D08" w:rsidRDefault="00330FC0">
          <w:pPr>
            <w:spacing w:line="360" w:lineRule="exact"/>
            <w:ind w:firstLineChars="200" w:firstLine="420"/>
          </w:pPr>
          <w:r>
            <w:rPr>
              <w:rFonts w:hint="eastAsia"/>
            </w:rPr>
            <w:t>在职工为公司提供服务的会计期间，将实际发生的短期薪酬确认为负债，并计入当期损益或相关资产成本。</w:t>
          </w:r>
        </w:p>
      </w:sdtContent>
    </w:sdt>
    <w:p w14:paraId="37D2337B" w14:textId="77777777" w:rsidR="00577D08" w:rsidRDefault="00330FC0">
      <w:pPr>
        <w:pStyle w:val="4"/>
        <w:numPr>
          <w:ilvl w:val="3"/>
          <w:numId w:val="58"/>
        </w:numPr>
        <w:ind w:left="426" w:hanging="426"/>
        <w:rPr>
          <w:rFonts w:hint="eastAsia"/>
        </w:rPr>
      </w:pPr>
      <w:r>
        <w:rPr>
          <w:rFonts w:hint="eastAsia"/>
        </w:rPr>
        <w:t>离职后福利的会计处理方法</w:t>
      </w:r>
    </w:p>
    <w:sdt>
      <w:sdtPr>
        <w:rPr>
          <w:rFonts w:hint="eastAsia"/>
        </w:rPr>
        <w:alias w:val="是否适用：离职后福利的会计处理方法[双击切换]"/>
        <w:tag w:val="_GBC_64248844b1544474ae8d85d08e7479af"/>
        <w:id w:val="2028441229"/>
        <w:placeholder>
          <w:docPart w:val="GBC22222222222222222222222222222"/>
        </w:placeholder>
      </w:sdtPr>
      <w:sdtContent>
        <w:p w14:paraId="160DDA51"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离职后福利的会计处理方法"/>
        <w:tag w:val="_GBC_3b0bafa6ef784ba99c829e2f60cf828e"/>
        <w:id w:val="308370663"/>
        <w:placeholder>
          <w:docPart w:val="GBC22222222222222222222222222222"/>
        </w:placeholder>
      </w:sdtPr>
      <w:sdtContent>
        <w:p w14:paraId="2C7D06BB" w14:textId="77777777" w:rsidR="00577D08" w:rsidRDefault="00330FC0">
          <w:pPr>
            <w:spacing w:line="360" w:lineRule="exact"/>
            <w:ind w:firstLineChars="200" w:firstLine="420"/>
          </w:pPr>
          <w:r>
            <w:rPr>
              <w:rFonts w:hint="eastAsia"/>
            </w:rPr>
            <w:t>离职后福利分为设定提存计划和设定受益计划。</w:t>
          </w:r>
        </w:p>
        <w:p w14:paraId="5377FB57" w14:textId="77777777" w:rsidR="00577D08" w:rsidRDefault="00330FC0">
          <w:pPr>
            <w:spacing w:line="360" w:lineRule="exact"/>
            <w:ind w:firstLineChars="200" w:firstLine="420"/>
          </w:pPr>
          <w:r>
            <w:rPr>
              <w:rFonts w:hint="eastAsia"/>
            </w:rPr>
            <w:t>1</w:t>
          </w:r>
          <w:r>
            <w:rPr>
              <w:rFonts w:hint="eastAsia"/>
            </w:rPr>
            <w:t>）在职工为公司提供服务的会计期间，根据设定提存计划计算的应缴存金额确认为负债，并计入当期损益或相关资产成本。</w:t>
          </w:r>
        </w:p>
        <w:p w14:paraId="3CF2166B" w14:textId="77777777" w:rsidR="00577D08" w:rsidRDefault="00330FC0">
          <w:pPr>
            <w:spacing w:line="360" w:lineRule="exact"/>
            <w:ind w:firstLineChars="200" w:firstLine="420"/>
          </w:pPr>
          <w:r>
            <w:rPr>
              <w:rFonts w:hint="eastAsia"/>
            </w:rPr>
            <w:t>2</w:t>
          </w:r>
          <w:r>
            <w:rPr>
              <w:rFonts w:hint="eastAsia"/>
            </w:rPr>
            <w:t>）对设定受益计划的会计处理通常包括下列步骤：</w:t>
          </w:r>
        </w:p>
        <w:p w14:paraId="2E52CA3C" w14:textId="77777777" w:rsidR="00577D08" w:rsidRDefault="00330FC0">
          <w:pPr>
            <w:spacing w:line="360" w:lineRule="exact"/>
            <w:ind w:firstLineChars="200" w:firstLine="420"/>
          </w:pPr>
          <w:r>
            <w:rPr>
              <w:rFonts w:hint="eastAsia"/>
            </w:rPr>
            <w:t>①根据预期累计福利单位法，采用无偏且相互一致的精算假设对有关人口统计变量和财务变量等作出估计，计量设定受益计划所产生的义务，并确定相关义务的所属期间。同时，对设定受益计划所产生的义务予以折现，以确定设定受益计划义务的现值和当期服务成本；</w:t>
          </w:r>
        </w:p>
        <w:p w14:paraId="39251E96" w14:textId="77777777" w:rsidR="00577D08" w:rsidRDefault="00330FC0">
          <w:pPr>
            <w:spacing w:line="360" w:lineRule="exact"/>
            <w:ind w:firstLineChars="200" w:firstLine="420"/>
          </w:pPr>
          <w:r>
            <w:rPr>
              <w:rFonts w:hint="eastAsia"/>
            </w:rPr>
            <w:lastRenderedPageBreak/>
            <w:t>②设定受益计划存在资产的，将设定受益计划义务现值减去设定受益计划资产公允价值所形成的赤字或盈余确认为一项设定受益计划净负债或净资产。设定受益计划存在盈余的，以设定受益计划的盈余和资产上限两项的孰低者计量设定受益计划净资产；</w:t>
          </w:r>
        </w:p>
        <w:p w14:paraId="60134292" w14:textId="77777777" w:rsidR="00577D08" w:rsidRDefault="00330FC0">
          <w:pPr>
            <w:spacing w:line="360" w:lineRule="exact"/>
            <w:ind w:firstLineChars="200" w:firstLine="420"/>
          </w:pPr>
          <w:r>
            <w:rPr>
              <w:rFonts w:hint="eastAsia"/>
            </w:rPr>
            <w:t>③期末，将设定受益计划产生的职工薪酬成本确认为服务成本、设定受益计划净负债或净资产的利息净额以及重新计量设定受益计划净负债或净资产所产生的变动等三部分，其中服务成本和设定受益计划净负债或净资产的利息净额计入当期损益或相关资产成本，重新计量设定受益计划净负债或净资产所产生的变动计入其他综合收益，并且在后续会计期间不允许转回至损益，但可以在权益范围内转移这些在其他综合收益确认的金额。</w:t>
          </w:r>
        </w:p>
      </w:sdtContent>
    </w:sdt>
    <w:p w14:paraId="5DEDD253" w14:textId="77777777" w:rsidR="00577D08" w:rsidRDefault="00330FC0">
      <w:pPr>
        <w:pStyle w:val="4"/>
        <w:numPr>
          <w:ilvl w:val="3"/>
          <w:numId w:val="58"/>
        </w:numPr>
        <w:ind w:left="426" w:hanging="426"/>
        <w:rPr>
          <w:rFonts w:hint="eastAsia"/>
        </w:rPr>
      </w:pPr>
      <w:r>
        <w:rPr>
          <w:rFonts w:hint="eastAsia"/>
        </w:rPr>
        <w:t>辞退福利的会计处理方法</w:t>
      </w:r>
    </w:p>
    <w:sdt>
      <w:sdtPr>
        <w:rPr>
          <w:rFonts w:hint="eastAsia"/>
        </w:rPr>
        <w:alias w:val="是否适用：辞退福利的会计处理方法[双击切换]"/>
        <w:tag w:val="_GBC_7a3bf6905df64c658fb0148a81f2964d"/>
        <w:id w:val="1430620765"/>
        <w:placeholder>
          <w:docPart w:val="GBC22222222222222222222222222222"/>
        </w:placeholder>
      </w:sdtPr>
      <w:sdtContent>
        <w:p w14:paraId="07AA9A97"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辞退福利的会计处理方法"/>
        <w:tag w:val="_GBC_a93705fb60b24bceb25c88a68ed87432"/>
        <w:id w:val="1877042427"/>
        <w:placeholder>
          <w:docPart w:val="GBC22222222222222222222222222222"/>
        </w:placeholder>
      </w:sdtPr>
      <w:sdtContent>
        <w:p w14:paraId="36F93D91" w14:textId="77777777" w:rsidR="00577D08" w:rsidRDefault="00330FC0">
          <w:pPr>
            <w:spacing w:line="360" w:lineRule="exact"/>
            <w:ind w:firstLineChars="200" w:firstLine="420"/>
          </w:pPr>
          <w:r>
            <w:rPr>
              <w:rFonts w:hint="eastAsia"/>
            </w:rPr>
            <w:t>向职工提供的辞退福利，在下列两者孰早日确认辞退福利产生的职工薪酬负债，并计入当期损益：</w:t>
          </w:r>
        </w:p>
        <w:p w14:paraId="12BBABAF" w14:textId="77777777" w:rsidR="00577D08" w:rsidRDefault="00330FC0">
          <w:pPr>
            <w:spacing w:line="360" w:lineRule="exact"/>
            <w:ind w:firstLineChars="200" w:firstLine="420"/>
          </w:pPr>
          <w:r>
            <w:rPr>
              <w:rFonts w:hint="eastAsia"/>
            </w:rPr>
            <w:t>1</w:t>
          </w:r>
          <w:r>
            <w:rPr>
              <w:rFonts w:hint="eastAsia"/>
            </w:rPr>
            <w:t>）公司不能单方面撤回因解除劳动关系计划或裁减建议所提供的辞退福利时；</w:t>
          </w:r>
        </w:p>
        <w:p w14:paraId="44B62168" w14:textId="77777777" w:rsidR="00577D08" w:rsidRDefault="00330FC0">
          <w:pPr>
            <w:spacing w:line="360" w:lineRule="exact"/>
            <w:ind w:firstLineChars="200" w:firstLine="420"/>
          </w:pPr>
          <w:r>
            <w:rPr>
              <w:rFonts w:hint="eastAsia"/>
            </w:rPr>
            <w:t>2</w:t>
          </w:r>
          <w:r>
            <w:rPr>
              <w:rFonts w:hint="eastAsia"/>
            </w:rPr>
            <w:t>）公司确认与涉及支付辞退福利的重组相关的成本或费用时。</w:t>
          </w:r>
        </w:p>
      </w:sdtContent>
    </w:sdt>
    <w:p w14:paraId="1A2C5B8A" w14:textId="77777777" w:rsidR="00577D08" w:rsidRDefault="00330FC0">
      <w:pPr>
        <w:pStyle w:val="4"/>
        <w:numPr>
          <w:ilvl w:val="3"/>
          <w:numId w:val="58"/>
        </w:numPr>
        <w:ind w:left="426" w:hanging="426"/>
        <w:rPr>
          <w:rFonts w:hint="eastAsia"/>
        </w:rPr>
      </w:pPr>
      <w:r>
        <w:rPr>
          <w:rFonts w:hint="eastAsia"/>
        </w:rPr>
        <w:t>其他长期职工福利的会计处理方法</w:t>
      </w:r>
    </w:p>
    <w:sdt>
      <w:sdtPr>
        <w:rPr>
          <w:rFonts w:hint="eastAsia"/>
        </w:rPr>
        <w:alias w:val="是否适用：其他长期职工福利的会计处理方法[双击切换]"/>
        <w:tag w:val="_GBC_94d434167e154a30ad2071a069525a71"/>
        <w:id w:val="1212312484"/>
        <w:placeholder>
          <w:docPart w:val="GBC22222222222222222222222222222"/>
        </w:placeholder>
      </w:sdtPr>
      <w:sdtContent>
        <w:p w14:paraId="32C07EEC"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长期职工福利的会计处理方法"/>
        <w:tag w:val="_GBC_0e549e9400284de7b64ddf6ecc255dea"/>
        <w:id w:val="-995648513"/>
        <w:placeholder>
          <w:docPart w:val="GBC22222222222222222222222222222"/>
        </w:placeholder>
      </w:sdtPr>
      <w:sdtContent>
        <w:p w14:paraId="1DD1E9A5" w14:textId="77777777" w:rsidR="00577D08" w:rsidRDefault="00330FC0">
          <w:pPr>
            <w:spacing w:line="360" w:lineRule="exact"/>
            <w:ind w:firstLineChars="200" w:firstLine="420"/>
          </w:pPr>
          <w:r>
            <w:rPr>
              <w:rFonts w:hint="eastAsia"/>
            </w:rPr>
            <w:t>向职工提供的其他长期福利，符合设定提存计划条件的，按照设定提存计划的有关规定进行会计处理；除此之外的其他长期福利，按照设定受益计划的有关规定进行会计处理，为简化相关会计处理，将其产生的职工薪酬成本确认为服务成本、其他长期职工福利净负债或净资产的利息净额以及重新计量其他长期职工福利净负债或净资产所产生的变动等组成项目的总净额计入当期损益或相关资产成本。</w:t>
          </w:r>
        </w:p>
      </w:sdtContent>
    </w:sdt>
    <w:p w14:paraId="18FD247A" w14:textId="77777777" w:rsidR="00577D08" w:rsidRDefault="00330FC0">
      <w:pPr>
        <w:pStyle w:val="3"/>
        <w:numPr>
          <w:ilvl w:val="0"/>
          <w:numId w:val="55"/>
        </w:numPr>
      </w:pPr>
      <w:r>
        <w:t>预计负债</w:t>
      </w:r>
    </w:p>
    <w:sdt>
      <w:sdtPr>
        <w:rPr>
          <w:rFonts w:hint="eastAsia"/>
        </w:rPr>
        <w:alias w:val="是否适用：预计负债_重要会计政策和估计[双击切换]"/>
        <w:tag w:val="_GBC_546a7423773c46d2b57f08fc5fdbc638"/>
        <w:id w:val="-225999073"/>
        <w:placeholder>
          <w:docPart w:val="GBC22222222222222222222222222222"/>
        </w:placeholder>
      </w:sdtPr>
      <w:sdtContent>
        <w:p w14:paraId="426D2560"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预计负债的核算方法"/>
        <w:tag w:val="_GBC_d6934772e41e485d9e00e349486f9d7e"/>
        <w:id w:val="172844556"/>
        <w:placeholder>
          <w:docPart w:val="GBC22222222222222222222222222222"/>
        </w:placeholder>
      </w:sdtPr>
      <w:sdtContent>
        <w:p w14:paraId="703FB188" w14:textId="77777777" w:rsidR="00577D08" w:rsidRDefault="00330FC0">
          <w:pPr>
            <w:spacing w:line="360" w:lineRule="exact"/>
            <w:ind w:firstLineChars="200" w:firstLine="420"/>
          </w:pPr>
          <w:r>
            <w:rPr>
              <w:rFonts w:hint="eastAsia"/>
            </w:rPr>
            <w:t>（</w:t>
          </w:r>
          <w:r>
            <w:rPr>
              <w:rFonts w:hint="eastAsia"/>
            </w:rPr>
            <w:t>1</w:t>
          </w:r>
          <w:r>
            <w:rPr>
              <w:rFonts w:hint="eastAsia"/>
            </w:rPr>
            <w:t>）因对外提供担保、诉讼事项、产品质量保证、亏损合同等或有事项形成的义务成为公司承担的现时义务，履行该义务很可能导致经济利益流出公司，且该义务的金额能够可靠的计量时，公司将该项义务确认为预计负债。</w:t>
          </w:r>
        </w:p>
        <w:p w14:paraId="568AB08E" w14:textId="77777777" w:rsidR="00577D08" w:rsidRDefault="00330FC0">
          <w:pPr>
            <w:spacing w:line="360" w:lineRule="exact"/>
            <w:ind w:firstLineChars="200" w:firstLine="420"/>
          </w:pPr>
          <w:r>
            <w:rPr>
              <w:rFonts w:hint="eastAsia"/>
            </w:rPr>
            <w:t>（</w:t>
          </w:r>
          <w:r>
            <w:rPr>
              <w:rFonts w:hint="eastAsia"/>
            </w:rPr>
            <w:t>2</w:t>
          </w:r>
          <w:r>
            <w:rPr>
              <w:rFonts w:hint="eastAsia"/>
            </w:rPr>
            <w:t>）公司按照履行相关现时义务所需支出的最佳估计数对预计负债进行初始计量，并在资产负债表日对预计负债的账面价值进行复核。</w:t>
          </w:r>
        </w:p>
      </w:sdtContent>
    </w:sdt>
    <w:p w14:paraId="21A4250F" w14:textId="77777777" w:rsidR="00577D08" w:rsidRDefault="00330FC0">
      <w:pPr>
        <w:pStyle w:val="3"/>
        <w:numPr>
          <w:ilvl w:val="0"/>
          <w:numId w:val="55"/>
        </w:numPr>
      </w:pPr>
      <w:r>
        <w:rPr>
          <w:rFonts w:hint="eastAsia"/>
        </w:rPr>
        <w:t>股份支付</w:t>
      </w:r>
    </w:p>
    <w:sdt>
      <w:sdtPr>
        <w:rPr>
          <w:rFonts w:hint="eastAsia"/>
        </w:rPr>
        <w:alias w:val="是否适用：股份支付_重要会计政策和估计[双击切换]"/>
        <w:tag w:val="_GBC_7741eb89da65434190830ba1cd87e4dc"/>
        <w:id w:val="848988967"/>
        <w:placeholder>
          <w:docPart w:val="GBC22222222222222222222222222222"/>
        </w:placeholder>
      </w:sdtPr>
      <w:sdtContent>
        <w:p w14:paraId="312E7263"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股份支付的核算方法"/>
        <w:tag w:val="_GBC_99e197c555ed4cf8aa00bbd5da2fe98b"/>
        <w:id w:val="-967891250"/>
        <w:placeholder>
          <w:docPart w:val="GBC22222222222222222222222222222"/>
        </w:placeholder>
      </w:sdtPr>
      <w:sdtContent>
        <w:p w14:paraId="5DE713CF" w14:textId="77777777" w:rsidR="00577D08" w:rsidRDefault="00330FC0">
          <w:pPr>
            <w:spacing w:line="360" w:lineRule="exact"/>
            <w:ind w:firstLineChars="200" w:firstLine="420"/>
          </w:pPr>
          <w:r>
            <w:rPr>
              <w:rFonts w:hint="eastAsia"/>
            </w:rPr>
            <w:t>（</w:t>
          </w:r>
          <w:r>
            <w:rPr>
              <w:rFonts w:hint="eastAsia"/>
            </w:rPr>
            <w:t>1</w:t>
          </w:r>
          <w:r>
            <w:rPr>
              <w:rFonts w:hint="eastAsia"/>
            </w:rPr>
            <w:t>）股份支付的种类</w:t>
          </w:r>
        </w:p>
        <w:p w14:paraId="04EFCFDC" w14:textId="77777777" w:rsidR="00577D08" w:rsidRDefault="00330FC0">
          <w:pPr>
            <w:spacing w:line="360" w:lineRule="exact"/>
            <w:ind w:firstLineChars="200" w:firstLine="420"/>
          </w:pPr>
          <w:r>
            <w:rPr>
              <w:rFonts w:hint="eastAsia"/>
            </w:rPr>
            <w:t>包括以权益结算的股份支付和以现金结算的股份支付。</w:t>
          </w:r>
        </w:p>
        <w:p w14:paraId="7F05CE5C" w14:textId="77777777" w:rsidR="00577D08" w:rsidRDefault="00330FC0">
          <w:pPr>
            <w:spacing w:line="360" w:lineRule="exact"/>
            <w:ind w:firstLineChars="200" w:firstLine="420"/>
          </w:pPr>
          <w:r>
            <w:rPr>
              <w:rFonts w:hint="eastAsia"/>
            </w:rPr>
            <w:t>（</w:t>
          </w:r>
          <w:r>
            <w:rPr>
              <w:rFonts w:hint="eastAsia"/>
            </w:rPr>
            <w:t>2</w:t>
          </w:r>
          <w:r>
            <w:rPr>
              <w:rFonts w:hint="eastAsia"/>
            </w:rPr>
            <w:t>）实施、修改、终止股份支付计划的相关会计处理</w:t>
          </w:r>
        </w:p>
        <w:p w14:paraId="1CCA9C68" w14:textId="77777777" w:rsidR="00577D08" w:rsidRDefault="00330FC0">
          <w:pPr>
            <w:spacing w:line="360" w:lineRule="exact"/>
            <w:ind w:firstLineChars="200" w:firstLine="420"/>
          </w:pPr>
          <w:r>
            <w:rPr>
              <w:rFonts w:hint="eastAsia"/>
            </w:rPr>
            <w:t>1</w:t>
          </w:r>
          <w:r>
            <w:rPr>
              <w:rFonts w:hint="eastAsia"/>
            </w:rPr>
            <w:t>）以权益结算的股份支付</w:t>
          </w:r>
        </w:p>
        <w:p w14:paraId="23DEF45C" w14:textId="77777777" w:rsidR="00577D08" w:rsidRDefault="00330FC0">
          <w:pPr>
            <w:spacing w:line="360" w:lineRule="exact"/>
            <w:ind w:firstLineChars="200" w:firstLine="420"/>
          </w:pPr>
          <w:r>
            <w:rPr>
              <w:rFonts w:hint="eastAsia"/>
            </w:rPr>
            <w:t>授予后立即可行权的换取职工服务的以权益结算的股份支付，在授予日按照权益工具的公允价值计入相关成本或费用，相应调整资本公积。完成等待期内的服务或达到规定业绩条件才可行权的换取职工服务的以权益结算的股份支付，在等待期内的每个资产负债表日，以对可行权权益</w:t>
          </w:r>
          <w:r>
            <w:rPr>
              <w:rFonts w:hint="eastAsia"/>
            </w:rPr>
            <w:lastRenderedPageBreak/>
            <w:t>工具数量的最佳估计为基础，按权益工具授予日的公允价值，将当期取得的服务计入相关成本或费用，相应调整资本公积。</w:t>
          </w:r>
        </w:p>
        <w:p w14:paraId="3B513833" w14:textId="77777777" w:rsidR="00577D08" w:rsidRDefault="00330FC0">
          <w:pPr>
            <w:spacing w:line="360" w:lineRule="exact"/>
            <w:ind w:firstLineChars="200" w:firstLine="420"/>
          </w:pPr>
          <w:r>
            <w:rPr>
              <w:rFonts w:hint="eastAsia"/>
            </w:rPr>
            <w:t>换取其他方服务的权益结算的股份支付，如果其他方服务的公允价值能够可靠计量的，按照其他方服务在取得日的公允价值计量；如果其他方服务的公允价值不能可靠计量，但权益工具的公允价值能够可靠计量的，按照权益工具在服务取得日的公允价值计量，计入相关成本或费用，相应增加所有者权益。</w:t>
          </w:r>
        </w:p>
        <w:p w14:paraId="35E5E102" w14:textId="77777777" w:rsidR="00577D08" w:rsidRDefault="00330FC0">
          <w:pPr>
            <w:spacing w:line="360" w:lineRule="exact"/>
            <w:ind w:firstLineChars="200" w:firstLine="420"/>
          </w:pPr>
          <w:r>
            <w:rPr>
              <w:rFonts w:hint="eastAsia"/>
            </w:rPr>
            <w:t>2</w:t>
          </w:r>
          <w:r>
            <w:rPr>
              <w:rFonts w:hint="eastAsia"/>
            </w:rPr>
            <w:t>）以现金结算的股份支付</w:t>
          </w:r>
        </w:p>
        <w:p w14:paraId="4EF5D375" w14:textId="77777777" w:rsidR="00577D08" w:rsidRDefault="00330FC0">
          <w:pPr>
            <w:spacing w:line="360" w:lineRule="exact"/>
            <w:ind w:firstLineChars="200" w:firstLine="420"/>
          </w:pPr>
          <w:r>
            <w:rPr>
              <w:rFonts w:hint="eastAsia"/>
            </w:rPr>
            <w:t>授予后立即可行权的换取职工服务的以现金结算的股份支付，在授予日按公司承担负债的公允价值计入相关成本或费用，相应增加负债。完成等待期内的服务或达到规定业绩条件才可行权的换取职工服务的以现金结算的股份支付，在等待期内的每个资产负债表日，以对可行权情况的最佳估计为基础，按公司承担负债的公允价值，将当期取得的服务计入相关成本或费用和相应的负债。</w:t>
          </w:r>
        </w:p>
        <w:p w14:paraId="47BDFF27" w14:textId="77777777" w:rsidR="00577D08" w:rsidRDefault="00330FC0">
          <w:pPr>
            <w:spacing w:line="360" w:lineRule="exact"/>
            <w:ind w:firstLineChars="200" w:firstLine="420"/>
          </w:pPr>
          <w:r>
            <w:rPr>
              <w:rFonts w:hint="eastAsia"/>
            </w:rPr>
            <w:t>3</w:t>
          </w:r>
          <w:r>
            <w:rPr>
              <w:rFonts w:hint="eastAsia"/>
            </w:rPr>
            <w:t>）修改、终止股份支付计划</w:t>
          </w:r>
        </w:p>
        <w:p w14:paraId="5EF2583A" w14:textId="77777777" w:rsidR="00577D08" w:rsidRDefault="00330FC0">
          <w:pPr>
            <w:spacing w:line="360" w:lineRule="exact"/>
            <w:ind w:firstLineChars="200" w:firstLine="420"/>
          </w:pPr>
          <w:r>
            <w:rPr>
              <w:rFonts w:hint="eastAsia"/>
            </w:rPr>
            <w:t>如果修改增加了所授予的权益工具的公允价值，公司按照权益工具公允价值的增加相应地确认取得服务的增加；如果修改增加了所授予的权益工具的数量，公司将增加的权益工具的公允价值相应地确认为取得服务的增加；如果公司按照有利于职工的方式修改可行权条件，公司在处理可行权条件时，考虑修改后的可行权条件。</w:t>
          </w:r>
        </w:p>
        <w:p w14:paraId="122F99D7" w14:textId="77777777" w:rsidR="00577D08" w:rsidRDefault="00330FC0">
          <w:pPr>
            <w:spacing w:line="360" w:lineRule="exact"/>
            <w:ind w:firstLineChars="200" w:firstLine="420"/>
          </w:pPr>
          <w:r>
            <w:rPr>
              <w:rFonts w:hint="eastAsia"/>
            </w:rPr>
            <w:t>如果修改减少了授予的权益工具的公允价值，公司继续以权益工具在授予日的公允价值为基础，确认取得服务的金额，而不考虑权益工具公允价值的减少；如果修改减少了授予的权益工具的数量，公司将减少部分作为已授予的权益工具的取消来进行处理；如果以不利于职工的方式修改了可行权条件，在处理可行权条件时，不考虑修改后的可行权条件。</w:t>
          </w:r>
        </w:p>
        <w:p w14:paraId="472D8EBE" w14:textId="77777777" w:rsidR="00577D08" w:rsidRDefault="00330FC0">
          <w:pPr>
            <w:spacing w:line="360" w:lineRule="exact"/>
            <w:ind w:firstLineChars="200" w:firstLine="420"/>
          </w:pPr>
          <w:r>
            <w:rPr>
              <w:rFonts w:hint="eastAsia"/>
            </w:rPr>
            <w:t>如果公司在等待期内取消了所授予的权益工具或结算了所授予的权益工具（因未满足可行权条件而被取消的除外），则将取消或结算作为加速可行权处理，立即确认原本在剩余等待期内确认的金额。</w:t>
          </w:r>
        </w:p>
      </w:sdtContent>
    </w:sdt>
    <w:p w14:paraId="39C9ED5C" w14:textId="77777777" w:rsidR="00577D08" w:rsidRDefault="00330FC0">
      <w:pPr>
        <w:pStyle w:val="3"/>
        <w:numPr>
          <w:ilvl w:val="0"/>
          <w:numId w:val="55"/>
        </w:numPr>
      </w:pPr>
      <w:r>
        <w:rPr>
          <w:rFonts w:hint="eastAsia"/>
        </w:rPr>
        <w:t>优先股、永续债等其他金融工具</w:t>
      </w:r>
    </w:p>
    <w:sdt>
      <w:sdtPr>
        <w:rPr>
          <w:rFonts w:hint="eastAsia"/>
        </w:rPr>
        <w:alias w:val="是否适用：优先股、永续债等其他金融工具[双击切换]"/>
        <w:tag w:val="_GBC_00e1aed4ff2c40d6bda73971e87d6eb8"/>
        <w:id w:val="-318805657"/>
        <w:placeholder>
          <w:docPart w:val="GBC22222222222222222222222222222"/>
        </w:placeholder>
      </w:sdtPr>
      <w:sdtContent>
        <w:p w14:paraId="12A3B03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CAB5CD6" w14:textId="77777777" w:rsidR="00577D08" w:rsidRDefault="00330FC0">
      <w:pPr>
        <w:pStyle w:val="3"/>
        <w:numPr>
          <w:ilvl w:val="0"/>
          <w:numId w:val="55"/>
        </w:numPr>
        <w:rPr>
          <w:szCs w:val="21"/>
        </w:rPr>
      </w:pPr>
      <w:bookmarkStart w:id="312" w:name="_Hlk533668053"/>
      <w:r>
        <w:rPr>
          <w:rFonts w:hint="eastAsia"/>
          <w:szCs w:val="21"/>
        </w:rPr>
        <w:t>收入</w:t>
      </w:r>
    </w:p>
    <w:p w14:paraId="45153C15" w14:textId="77777777" w:rsidR="00577D08" w:rsidRDefault="00330FC0">
      <w:pPr>
        <w:pStyle w:val="4"/>
        <w:numPr>
          <w:ilvl w:val="3"/>
          <w:numId w:val="59"/>
        </w:numPr>
        <w:rPr>
          <w:rFonts w:hint="eastAsia"/>
          <w:szCs w:val="21"/>
        </w:rPr>
      </w:pPr>
      <w:r>
        <w:rPr>
          <w:rFonts w:hint="eastAsia"/>
          <w:szCs w:val="21"/>
        </w:rPr>
        <w:t>按照业务类型披露收入确认和计量所采用的会计政策</w:t>
      </w:r>
    </w:p>
    <w:sdt>
      <w:sdtPr>
        <w:alias w:val="是否适用：收入确认和计量所采用的会计政策[双击切换]"/>
        <w:tag w:val="_GBC_58b9f76eca7b4d9d8e5c5dfd0fba5c09"/>
        <w:id w:val="233896462"/>
        <w:placeholder>
          <w:docPart w:val="GBC22222222222222222222222222222"/>
        </w:placeholder>
      </w:sdtPr>
      <w:sdtContent>
        <w:p w14:paraId="5AAED043"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收入确认和计量所采用的会计政策"/>
        <w:tag w:val="_GBC_9ba2713a8f0a44ef9a4ee890aa13e0fb"/>
        <w:id w:val="-755370581"/>
        <w:placeholder>
          <w:docPart w:val="GBC22222222222222222222222222222"/>
        </w:placeholder>
      </w:sdtPr>
      <w:sdtContent>
        <w:p w14:paraId="7F7883FC" w14:textId="77777777" w:rsidR="00577D08" w:rsidRDefault="00330FC0">
          <w:pPr>
            <w:spacing w:line="360" w:lineRule="exact"/>
            <w:ind w:firstLineChars="200" w:firstLine="420"/>
          </w:pPr>
          <w:r>
            <w:rPr>
              <w:rFonts w:hint="eastAsia"/>
            </w:rPr>
            <w:t>本公司的收入主要来源于：销售输配电及控制设备，销售取向硅钢。</w:t>
          </w:r>
        </w:p>
        <w:p w14:paraId="4D6C5F18" w14:textId="77777777" w:rsidR="00577D08" w:rsidRDefault="00330FC0">
          <w:pPr>
            <w:spacing w:line="360" w:lineRule="exact"/>
            <w:ind w:firstLineChars="200" w:firstLine="420"/>
          </w:pPr>
          <w:r>
            <w:rPr>
              <w:rFonts w:hint="eastAsia"/>
            </w:rPr>
            <w:t>（</w:t>
          </w:r>
          <w:r>
            <w:rPr>
              <w:rFonts w:hint="eastAsia"/>
            </w:rPr>
            <w:t>1</w:t>
          </w:r>
          <w:r>
            <w:rPr>
              <w:rFonts w:hint="eastAsia"/>
            </w:rPr>
            <w:t>）收入确认原则</w:t>
          </w:r>
        </w:p>
        <w:p w14:paraId="518901FF" w14:textId="77777777" w:rsidR="00577D08" w:rsidRDefault="00330FC0">
          <w:pPr>
            <w:spacing w:line="360" w:lineRule="exact"/>
            <w:ind w:firstLineChars="200" w:firstLine="420"/>
          </w:pPr>
          <w:r>
            <w:rPr>
              <w:rFonts w:hint="eastAsia"/>
            </w:rPr>
            <w:t>于合同开始日，公司对合同进行评估，识别合同所包含的各单项履约义务，并确定各单项履约义务是在某一时段内履行，还是在某一时点履行。</w:t>
          </w:r>
        </w:p>
        <w:p w14:paraId="101E6B28" w14:textId="77777777" w:rsidR="00577D08" w:rsidRDefault="00330FC0">
          <w:pPr>
            <w:spacing w:line="360" w:lineRule="exact"/>
            <w:ind w:firstLineChars="200" w:firstLine="420"/>
          </w:pPr>
          <w:r>
            <w:rPr>
              <w:rFonts w:hint="eastAsia"/>
            </w:rPr>
            <w:t>满足下列条件之一时，属于在某一时段内履行履约义务，否则，属于在某一时点履行履约义务：</w:t>
          </w:r>
        </w:p>
        <w:p w14:paraId="7A0196FF" w14:textId="77777777" w:rsidR="00577D08" w:rsidRDefault="00330FC0">
          <w:pPr>
            <w:spacing w:line="360" w:lineRule="exact"/>
            <w:ind w:firstLineChars="200" w:firstLine="420"/>
          </w:pPr>
          <w:r>
            <w:rPr>
              <w:rFonts w:hint="eastAsia"/>
            </w:rPr>
            <w:t>1</w:t>
          </w:r>
          <w:r>
            <w:rPr>
              <w:rFonts w:hint="eastAsia"/>
            </w:rPr>
            <w:t>）客户在公司履约的同时即取得并消耗公司履约所带来的经济利益；</w:t>
          </w:r>
        </w:p>
        <w:p w14:paraId="2A0AC10E" w14:textId="77777777" w:rsidR="00577D08" w:rsidRDefault="00330FC0">
          <w:pPr>
            <w:spacing w:line="360" w:lineRule="exact"/>
            <w:ind w:firstLineChars="200" w:firstLine="420"/>
          </w:pPr>
          <w:r>
            <w:rPr>
              <w:rFonts w:hint="eastAsia"/>
            </w:rPr>
            <w:t>2</w:t>
          </w:r>
          <w:r>
            <w:rPr>
              <w:rFonts w:hint="eastAsia"/>
            </w:rPr>
            <w:t>）客户能够控制公司履约过程中在建商品；</w:t>
          </w:r>
        </w:p>
        <w:p w14:paraId="799CF8D8" w14:textId="77777777" w:rsidR="00577D08" w:rsidRDefault="00330FC0">
          <w:pPr>
            <w:spacing w:line="360" w:lineRule="exact"/>
            <w:ind w:firstLineChars="200" w:firstLine="420"/>
          </w:pPr>
          <w:r>
            <w:rPr>
              <w:rFonts w:hint="eastAsia"/>
            </w:rPr>
            <w:lastRenderedPageBreak/>
            <w:t>3</w:t>
          </w:r>
          <w:r>
            <w:rPr>
              <w:rFonts w:hint="eastAsia"/>
            </w:rPr>
            <w:t>）公司履约过程中所产出的商品具有不可替代用途，且公司在整个合同期间内有权就累计至今已完成的履约部分收取款项。</w:t>
          </w:r>
        </w:p>
        <w:p w14:paraId="1603709B" w14:textId="77777777" w:rsidR="00577D08" w:rsidRDefault="00330FC0">
          <w:pPr>
            <w:spacing w:line="360" w:lineRule="exact"/>
            <w:ind w:firstLineChars="200" w:firstLine="420"/>
          </w:pPr>
          <w:r>
            <w:rPr>
              <w:rFonts w:hint="eastAsia"/>
            </w:rPr>
            <w:t>对于在某一时段内履行的履约义务，公司在该段时间内按照履约进度确认收入。履约进度不能合理确定时，已经发生的成本预计能够得到补偿的，按照已经发生的成本金额确认收入，直到履约进度能够合理确定为止。</w:t>
          </w:r>
        </w:p>
        <w:p w14:paraId="1D03A0C9" w14:textId="77777777" w:rsidR="00577D08" w:rsidRDefault="00330FC0">
          <w:pPr>
            <w:spacing w:line="360" w:lineRule="exact"/>
            <w:ind w:firstLineChars="200" w:firstLine="420"/>
          </w:pPr>
          <w:r>
            <w:rPr>
              <w:rFonts w:hint="eastAsia"/>
            </w:rPr>
            <w:t>对于在某一时点履行的履约义务，在客户取得相关商品或服务控制权时点确认收入。在判断客户是否已取得商品控制权时，公司考虑下列迹象：</w:t>
          </w:r>
        </w:p>
        <w:p w14:paraId="2F3BF485" w14:textId="77777777" w:rsidR="00577D08" w:rsidRDefault="00330FC0">
          <w:pPr>
            <w:spacing w:line="360" w:lineRule="exact"/>
            <w:ind w:firstLineChars="200" w:firstLine="420"/>
          </w:pPr>
          <w:r>
            <w:rPr>
              <w:rFonts w:hint="eastAsia"/>
            </w:rPr>
            <w:t>1</w:t>
          </w:r>
          <w:r>
            <w:rPr>
              <w:rFonts w:hint="eastAsia"/>
            </w:rPr>
            <w:t>）公司就该商品享有现时收款权利，即客户就该商品负有现时付款义务；</w:t>
          </w:r>
        </w:p>
        <w:p w14:paraId="2A206052" w14:textId="77777777" w:rsidR="00577D08" w:rsidRDefault="00330FC0">
          <w:pPr>
            <w:spacing w:line="360" w:lineRule="exact"/>
            <w:ind w:firstLineChars="200" w:firstLine="420"/>
          </w:pPr>
          <w:r>
            <w:rPr>
              <w:rFonts w:hint="eastAsia"/>
            </w:rPr>
            <w:t>2</w:t>
          </w:r>
          <w:r>
            <w:rPr>
              <w:rFonts w:hint="eastAsia"/>
            </w:rPr>
            <w:t>）公司已将该商品的法定所有权转移给客户，即客户已拥有该商品的法定所有权；</w:t>
          </w:r>
        </w:p>
        <w:p w14:paraId="371BE0A3" w14:textId="77777777" w:rsidR="00577D08" w:rsidRDefault="00330FC0">
          <w:pPr>
            <w:spacing w:line="360" w:lineRule="exact"/>
            <w:ind w:firstLineChars="200" w:firstLine="420"/>
          </w:pPr>
          <w:r>
            <w:rPr>
              <w:rFonts w:hint="eastAsia"/>
            </w:rPr>
            <w:t>3</w:t>
          </w:r>
          <w:r>
            <w:rPr>
              <w:rFonts w:hint="eastAsia"/>
            </w:rPr>
            <w:t>）公司已将该商品实物转移给客户，即客户已实物占有该商品；</w:t>
          </w:r>
        </w:p>
        <w:p w14:paraId="4385A58E" w14:textId="77777777" w:rsidR="00577D08" w:rsidRDefault="00330FC0">
          <w:pPr>
            <w:spacing w:line="360" w:lineRule="exact"/>
            <w:ind w:firstLineChars="200" w:firstLine="420"/>
          </w:pPr>
          <w:r>
            <w:rPr>
              <w:rFonts w:hint="eastAsia"/>
            </w:rPr>
            <w:t>4</w:t>
          </w:r>
          <w:r>
            <w:rPr>
              <w:rFonts w:hint="eastAsia"/>
            </w:rPr>
            <w:t>）公司已将该商品所有权上的主要风险和报酬转移给客户，即客户已取得该商品所有权上的主要风险和报酬；</w:t>
          </w:r>
        </w:p>
        <w:p w14:paraId="792D1857" w14:textId="77777777" w:rsidR="00577D08" w:rsidRDefault="00330FC0">
          <w:pPr>
            <w:spacing w:line="360" w:lineRule="exact"/>
            <w:ind w:firstLineChars="200" w:firstLine="420"/>
          </w:pPr>
          <w:r>
            <w:rPr>
              <w:rFonts w:hint="eastAsia"/>
            </w:rPr>
            <w:t>5</w:t>
          </w:r>
          <w:r>
            <w:rPr>
              <w:rFonts w:hint="eastAsia"/>
            </w:rPr>
            <w:t>）客户已接受该商品；</w:t>
          </w:r>
        </w:p>
        <w:p w14:paraId="520BC70D" w14:textId="77777777" w:rsidR="00577D08" w:rsidRDefault="00330FC0">
          <w:pPr>
            <w:spacing w:line="360" w:lineRule="exact"/>
            <w:ind w:firstLineChars="200" w:firstLine="420"/>
          </w:pPr>
          <w:r>
            <w:rPr>
              <w:rFonts w:hint="eastAsia"/>
            </w:rPr>
            <w:t>6</w:t>
          </w:r>
          <w:r>
            <w:rPr>
              <w:rFonts w:hint="eastAsia"/>
            </w:rPr>
            <w:t>）其他表明客户已取得商品控制权的迹象。</w:t>
          </w:r>
        </w:p>
        <w:p w14:paraId="28E02AE5" w14:textId="77777777" w:rsidR="00577D08" w:rsidRDefault="00330FC0">
          <w:pPr>
            <w:spacing w:line="360" w:lineRule="exact"/>
            <w:ind w:firstLineChars="200" w:firstLine="420"/>
          </w:pPr>
          <w:r>
            <w:rPr>
              <w:rFonts w:hint="eastAsia"/>
            </w:rPr>
            <w:t>（</w:t>
          </w:r>
          <w:r>
            <w:rPr>
              <w:rFonts w:hint="eastAsia"/>
            </w:rPr>
            <w:t>2</w:t>
          </w:r>
          <w:r>
            <w:rPr>
              <w:rFonts w:hint="eastAsia"/>
            </w:rPr>
            <w:t>）收入计量原则</w:t>
          </w:r>
        </w:p>
        <w:p w14:paraId="3ADA5F9E" w14:textId="77777777" w:rsidR="00577D08" w:rsidRDefault="00330FC0">
          <w:pPr>
            <w:spacing w:line="360" w:lineRule="exact"/>
            <w:ind w:firstLineChars="200" w:firstLine="420"/>
          </w:pPr>
          <w:r>
            <w:rPr>
              <w:rFonts w:hint="eastAsia"/>
            </w:rPr>
            <w:t>1</w:t>
          </w:r>
          <w:r>
            <w:rPr>
              <w:rFonts w:hint="eastAsia"/>
            </w:rPr>
            <w:t>）公司按照分摊至各单项履约义务的交易价格计量收入。交易价格是公司因向客户转让商品或服务而预期有权收取的对价金额，不包括代第三方收取的款项以及预期将退还给客户的款项。</w:t>
          </w:r>
        </w:p>
        <w:p w14:paraId="669314BA" w14:textId="77777777" w:rsidR="00577D08" w:rsidRDefault="00330FC0">
          <w:pPr>
            <w:spacing w:line="360" w:lineRule="exact"/>
            <w:ind w:firstLineChars="200" w:firstLine="420"/>
          </w:pPr>
          <w:r>
            <w:rPr>
              <w:rFonts w:hint="eastAsia"/>
            </w:rPr>
            <w:t>2</w:t>
          </w:r>
          <w:r>
            <w:rPr>
              <w:rFonts w:hint="eastAsia"/>
            </w:rPr>
            <w:t>）合同中存在可变对价的，公司按照期望值或最可能发生金额确定可变对价的最佳估计数，但包含可变对价的交易价格，不超过在相关不确定性消除时累计已确认收入极可能不会发生重大转回的金额。</w:t>
          </w:r>
        </w:p>
        <w:p w14:paraId="338F05BA" w14:textId="77777777" w:rsidR="00577D08" w:rsidRDefault="00330FC0">
          <w:pPr>
            <w:spacing w:line="360" w:lineRule="exact"/>
            <w:ind w:firstLineChars="200" w:firstLine="420"/>
          </w:pPr>
          <w:r>
            <w:rPr>
              <w:rFonts w:hint="eastAsia"/>
            </w:rPr>
            <w:t>3</w:t>
          </w:r>
          <w:r>
            <w:rPr>
              <w:rFonts w:hint="eastAsia"/>
            </w:rPr>
            <w:t>）合同中存在重大融资成分的，公司按照假定客户在取得商品或服务控制权时即以现金支付的应付金额确定交易价格。该交易价格与合同对价之间的差额，在合同期间内采用实际利率法摊销。</w:t>
          </w:r>
        </w:p>
        <w:p w14:paraId="10DB8877" w14:textId="77777777" w:rsidR="00577D08" w:rsidRDefault="00330FC0">
          <w:pPr>
            <w:spacing w:line="360" w:lineRule="exact"/>
            <w:ind w:firstLineChars="200" w:firstLine="420"/>
          </w:pPr>
          <w:r>
            <w:rPr>
              <w:rFonts w:hint="eastAsia"/>
            </w:rPr>
            <w:t>4</w:t>
          </w:r>
          <w:r>
            <w:rPr>
              <w:rFonts w:hint="eastAsia"/>
            </w:rPr>
            <w:t>）合同中包含两项或多项履约义务的，公司于合同开始日，按照各单项履约义务所承诺商品的单独售价的相对比例，将交易价格分摊至各单项履约义务。</w:t>
          </w:r>
        </w:p>
        <w:p w14:paraId="510EF32E" w14:textId="77777777" w:rsidR="00577D08" w:rsidRDefault="00330FC0">
          <w:pPr>
            <w:spacing w:line="360" w:lineRule="exact"/>
            <w:ind w:firstLineChars="200" w:firstLine="420"/>
          </w:pPr>
          <w:r>
            <w:rPr>
              <w:rFonts w:hint="eastAsia"/>
            </w:rPr>
            <w:t>（</w:t>
          </w:r>
          <w:r>
            <w:rPr>
              <w:rFonts w:hint="eastAsia"/>
            </w:rPr>
            <w:t>3</w:t>
          </w:r>
          <w:r>
            <w:rPr>
              <w:rFonts w:hint="eastAsia"/>
            </w:rPr>
            <w:t>）收入确认的具体方法</w:t>
          </w:r>
        </w:p>
        <w:p w14:paraId="4593FD28" w14:textId="77777777" w:rsidR="00577D08" w:rsidRDefault="00330FC0">
          <w:pPr>
            <w:spacing w:line="360" w:lineRule="exact"/>
            <w:ind w:firstLineChars="200" w:firstLine="420"/>
          </w:pPr>
          <w:r>
            <w:rPr>
              <w:rFonts w:hint="eastAsia"/>
            </w:rPr>
            <w:t>本公司主要销售输配电及控制设备和取向硅钢，属于在某一时点履约合同，产品销售收入具体确认方法如下：</w:t>
          </w:r>
        </w:p>
        <w:p w14:paraId="5963D261" w14:textId="77777777" w:rsidR="00577D08" w:rsidRDefault="00330FC0">
          <w:pPr>
            <w:spacing w:line="360" w:lineRule="exact"/>
            <w:ind w:firstLineChars="200" w:firstLine="420"/>
          </w:pPr>
          <w:r>
            <w:rPr>
              <w:rFonts w:hint="eastAsia"/>
            </w:rPr>
            <w:t>1</w:t>
          </w:r>
          <w:r>
            <w:rPr>
              <w:rFonts w:hint="eastAsia"/>
            </w:rPr>
            <w:t>）境内商品销售收入</w:t>
          </w:r>
        </w:p>
        <w:p w14:paraId="658AADD3" w14:textId="77777777" w:rsidR="00577D08" w:rsidRDefault="00330FC0">
          <w:pPr>
            <w:spacing w:line="360" w:lineRule="exact"/>
            <w:ind w:firstLineChars="200" w:firstLine="420"/>
          </w:pPr>
          <w:r>
            <w:rPr>
              <w:rFonts w:hint="eastAsia"/>
            </w:rPr>
            <w:t>公司根据合同约定或订单要求将产品交付给购货方，并获得购货方验收确认后，已将商品的控制权转移给购货方时确认收入。</w:t>
          </w:r>
        </w:p>
        <w:p w14:paraId="143B68A6" w14:textId="77777777" w:rsidR="00577D08" w:rsidRDefault="00330FC0">
          <w:pPr>
            <w:spacing w:line="360" w:lineRule="exact"/>
            <w:ind w:firstLineChars="200" w:firstLine="420"/>
          </w:pPr>
          <w:r>
            <w:rPr>
              <w:rFonts w:hint="eastAsia"/>
            </w:rPr>
            <w:t>2</w:t>
          </w:r>
          <w:r>
            <w:rPr>
              <w:rFonts w:hint="eastAsia"/>
            </w:rPr>
            <w:t>）境外商品销售收入</w:t>
          </w:r>
        </w:p>
        <w:p w14:paraId="462A587C" w14:textId="77777777" w:rsidR="00577D08" w:rsidRDefault="00330FC0">
          <w:pPr>
            <w:spacing w:line="360" w:lineRule="exact"/>
            <w:ind w:firstLineChars="200" w:firstLine="420"/>
          </w:pPr>
          <w:r>
            <w:rPr>
              <w:rFonts w:hint="eastAsia"/>
            </w:rPr>
            <w:t>公司在将货物交付承运方并完成报关出口时，按照出口报关单出口日期作为控制权转移的时点，确认销售收入。</w:t>
          </w:r>
        </w:p>
      </w:sdtContent>
    </w:sdt>
    <w:p w14:paraId="61915F04" w14:textId="77777777" w:rsidR="00577D08" w:rsidRDefault="00330FC0">
      <w:pPr>
        <w:pStyle w:val="4"/>
        <w:numPr>
          <w:ilvl w:val="3"/>
          <w:numId w:val="59"/>
        </w:numPr>
        <w:ind w:left="426" w:hanging="426"/>
        <w:rPr>
          <w:rFonts w:hint="eastAsia"/>
          <w:szCs w:val="21"/>
        </w:rPr>
      </w:pPr>
      <w:bookmarkStart w:id="313" w:name="_Hlk533668087"/>
      <w:bookmarkEnd w:id="312"/>
      <w:r>
        <w:rPr>
          <w:rFonts w:ascii="宋体" w:eastAsia="宋体" w:hAnsi="宋体" w:cs="宋体" w:hint="eastAsia"/>
          <w:bCs w:val="0"/>
          <w:kern w:val="0"/>
          <w:szCs w:val="21"/>
        </w:rPr>
        <w:t>同类业务采用不同经营模式涉及</w:t>
      </w:r>
      <w:r>
        <w:rPr>
          <w:rFonts w:cs="宋体"/>
          <w:kern w:val="0"/>
          <w:szCs w:val="21"/>
        </w:rPr>
        <w:t>不同收入确认方式及计量方法</w:t>
      </w:r>
    </w:p>
    <w:sdt>
      <w:sdtPr>
        <w:alias w:val="是否适用：同类业务采用不同经营模式导致收入确认会计政策存在差异的情况[双击切换]"/>
        <w:tag w:val="_GBC_778cfed951bb4cf4997e2d67e4b1e3a9"/>
        <w:id w:val="53974590"/>
        <w:placeholder>
          <w:docPart w:val="GBC22222222222222222222222222222"/>
        </w:placeholder>
      </w:sdtPr>
      <w:sdtContent>
        <w:p w14:paraId="20F711B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16F7D96" w14:textId="77777777" w:rsidR="00577D08" w:rsidRDefault="00330FC0">
      <w:pPr>
        <w:pStyle w:val="3"/>
        <w:numPr>
          <w:ilvl w:val="0"/>
          <w:numId w:val="55"/>
        </w:numPr>
        <w:rPr>
          <w:szCs w:val="21"/>
        </w:rPr>
      </w:pPr>
      <w:bookmarkStart w:id="314" w:name="_Hlk533668133"/>
      <w:bookmarkEnd w:id="313"/>
      <w:r>
        <w:rPr>
          <w:rFonts w:hint="eastAsia"/>
          <w:szCs w:val="21"/>
        </w:rPr>
        <w:lastRenderedPageBreak/>
        <w:t>合同成本</w:t>
      </w:r>
    </w:p>
    <w:sdt>
      <w:sdtPr>
        <w:alias w:val="是否适用：合同成本_重要会计政策和估计[双击切换]"/>
        <w:tag w:val="_GBC_c5b4accd569d48e8a81ed05eb0bf64fb"/>
        <w:id w:val="-1404747444"/>
        <w:placeholder>
          <w:docPart w:val="GBC22222222222222222222222222222"/>
        </w:placeholder>
      </w:sdtPr>
      <w:sdtContent>
        <w:p w14:paraId="6D31B0B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6564D48" w14:textId="77777777" w:rsidR="00577D08" w:rsidRDefault="00330FC0">
      <w:pPr>
        <w:pStyle w:val="3"/>
        <w:numPr>
          <w:ilvl w:val="0"/>
          <w:numId w:val="55"/>
        </w:numPr>
      </w:pPr>
      <w:bookmarkStart w:id="315" w:name="_Hlk533668149"/>
      <w:bookmarkEnd w:id="314"/>
      <w:r>
        <w:t>政府补助</w:t>
      </w:r>
    </w:p>
    <w:sdt>
      <w:sdtPr>
        <w:alias w:val="是否适用：政府补助_重要会计政策和估计[双击切换]"/>
        <w:tag w:val="_GBC_d8ac76c6a68c49fb952fadc0e46c9ef4"/>
        <w:id w:val="-1491783464"/>
        <w:placeholder>
          <w:docPart w:val="GBC22222222222222222222222222222"/>
        </w:placeholder>
      </w:sdtPr>
      <w:sdtContent>
        <w:p w14:paraId="57DF782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政府补助_重要会计政策和估计"/>
        <w:tag w:val="_GBC_cbcbe4da2edd4cf1b6108f1c89e035f7"/>
        <w:id w:val="215098185"/>
        <w:placeholder>
          <w:docPart w:val="GBC22222222222222222222222222222"/>
        </w:placeholder>
      </w:sdtPr>
      <w:sdtContent>
        <w:p w14:paraId="331073F0" w14:textId="77777777" w:rsidR="00577D08" w:rsidRDefault="00330FC0">
          <w:pPr>
            <w:spacing w:line="360" w:lineRule="exact"/>
            <w:ind w:firstLineChars="200" w:firstLine="420"/>
          </w:pPr>
          <w:r>
            <w:rPr>
              <w:rFonts w:hint="eastAsia"/>
            </w:rPr>
            <w:t>（</w:t>
          </w:r>
          <w:r>
            <w:rPr>
              <w:rFonts w:hint="eastAsia"/>
            </w:rPr>
            <w:t>1</w:t>
          </w:r>
          <w:r>
            <w:rPr>
              <w:rFonts w:hint="eastAsia"/>
            </w:rPr>
            <w:t>）政府补助在同时满足下列条件时予以确认：</w:t>
          </w:r>
        </w:p>
        <w:p w14:paraId="193C91E3" w14:textId="77777777" w:rsidR="00577D08" w:rsidRDefault="00330FC0">
          <w:pPr>
            <w:spacing w:line="360" w:lineRule="exact"/>
            <w:ind w:firstLineChars="200" w:firstLine="420"/>
          </w:pPr>
          <w:r>
            <w:rPr>
              <w:rFonts w:hint="eastAsia"/>
            </w:rPr>
            <w:t>1</w:t>
          </w:r>
          <w:r>
            <w:rPr>
              <w:rFonts w:hint="eastAsia"/>
            </w:rPr>
            <w:t>）公司能够满足政府补助所附的条件；</w:t>
          </w:r>
        </w:p>
        <w:p w14:paraId="43B560D2" w14:textId="77777777" w:rsidR="00577D08" w:rsidRDefault="00330FC0">
          <w:pPr>
            <w:spacing w:line="360" w:lineRule="exact"/>
            <w:ind w:firstLineChars="200" w:firstLine="420"/>
          </w:pPr>
          <w:r>
            <w:rPr>
              <w:rFonts w:hint="eastAsia"/>
            </w:rPr>
            <w:t>2</w:t>
          </w:r>
          <w:r>
            <w:rPr>
              <w:rFonts w:hint="eastAsia"/>
            </w:rPr>
            <w:t>）公司能够收到政府补助。</w:t>
          </w:r>
        </w:p>
        <w:p w14:paraId="20502A56" w14:textId="77777777" w:rsidR="00577D08" w:rsidRDefault="00330FC0">
          <w:pPr>
            <w:spacing w:line="360" w:lineRule="exact"/>
            <w:ind w:firstLineChars="200" w:firstLine="420"/>
          </w:pPr>
          <w:r>
            <w:rPr>
              <w:rFonts w:hint="eastAsia"/>
            </w:rPr>
            <w:t>政府补助为货币性资产的，按照收到或应收的金额计量。政府补助为非货币性资产的，按照公允价值计量；公允价值不能可靠取得的，按照名义金额计量。</w:t>
          </w:r>
        </w:p>
        <w:p w14:paraId="3E74FB1C" w14:textId="77777777" w:rsidR="00577D08" w:rsidRDefault="00330FC0">
          <w:pPr>
            <w:spacing w:line="360" w:lineRule="exact"/>
            <w:ind w:firstLineChars="200" w:firstLine="420"/>
          </w:pPr>
          <w:r>
            <w:rPr>
              <w:rFonts w:hint="eastAsia"/>
            </w:rPr>
            <w:t>（</w:t>
          </w:r>
          <w:r>
            <w:rPr>
              <w:rFonts w:hint="eastAsia"/>
            </w:rPr>
            <w:t>2</w:t>
          </w:r>
          <w:r>
            <w:rPr>
              <w:rFonts w:hint="eastAsia"/>
            </w:rPr>
            <w:t>）与资产相关的政府补助判断依据及会计处理方法</w:t>
          </w:r>
        </w:p>
        <w:p w14:paraId="28D24128" w14:textId="77777777" w:rsidR="00577D08" w:rsidRDefault="00330FC0">
          <w:pPr>
            <w:spacing w:line="360" w:lineRule="exact"/>
            <w:ind w:firstLineChars="200" w:firstLine="420"/>
          </w:pPr>
          <w:r>
            <w:rPr>
              <w:rFonts w:hint="eastAsia"/>
            </w:rPr>
            <w:t>政府文件规定用于购建或以其他方式形成长期资产的政府补助划分为与资产相关的政府补助。政府文件不明确的，以取得该补助必须具备的基本条件为基础进行判断，以购建或其他方式形成长期资产为基本条件的作为与资产相关的政府补助。与资产相关的政府补助，冲减相关资产的账面价值或确认为递延收益。与资产相关的政府补助确认为递延收益的，在相关资产使用寿命内按照合理、系统的方法分期计入损益。按照名义金额计量的政府补助，直接计入当期损益。相关资产在使用寿命结束前被出售、转让、报废或发生毁损的，将尚未分配的相关递延收益余额转入资产处置当期的损益。</w:t>
          </w:r>
        </w:p>
        <w:p w14:paraId="251A6929" w14:textId="77777777" w:rsidR="00577D08" w:rsidRDefault="00330FC0">
          <w:pPr>
            <w:spacing w:line="360" w:lineRule="exact"/>
            <w:ind w:firstLineChars="200" w:firstLine="420"/>
          </w:pPr>
          <w:r>
            <w:rPr>
              <w:rFonts w:hint="eastAsia"/>
            </w:rPr>
            <w:t>（</w:t>
          </w:r>
          <w:r>
            <w:rPr>
              <w:rFonts w:hint="eastAsia"/>
            </w:rPr>
            <w:t>3</w:t>
          </w:r>
          <w:r>
            <w:rPr>
              <w:rFonts w:hint="eastAsia"/>
            </w:rPr>
            <w:t>）与收益相关的政府补助判断依据及会计处理方法</w:t>
          </w:r>
        </w:p>
        <w:p w14:paraId="01410445" w14:textId="77777777" w:rsidR="00577D08" w:rsidRDefault="00330FC0">
          <w:pPr>
            <w:spacing w:line="360" w:lineRule="exact"/>
            <w:ind w:firstLineChars="200" w:firstLine="420"/>
          </w:pPr>
          <w:r>
            <w:rPr>
              <w:rFonts w:hint="eastAsia"/>
            </w:rPr>
            <w:t>除与资产相关的政府补助之外的政府补助划分为与收益相关的政府补助。对于同时包含与资产相关部分和与收益相关部分的政府补助，难以区分与资产相关或与收益相关的，整体归类为与收益相关的政府补助。与收益相关的政府补助，用于补偿以后期间的相关成本费用或损失的，确认为递延收益，在确认相关成本费用或损失的期间，计入当期损益或冲减相关成本；用于补偿已发生的相关成本费用或损失的，直接计入当期损益或冲减相关成本。</w:t>
          </w:r>
        </w:p>
        <w:p w14:paraId="364D6B49" w14:textId="77777777" w:rsidR="00577D08" w:rsidRDefault="00330FC0">
          <w:pPr>
            <w:spacing w:line="360" w:lineRule="exact"/>
            <w:ind w:firstLineChars="200" w:firstLine="420"/>
          </w:pPr>
          <w:r>
            <w:rPr>
              <w:rFonts w:hint="eastAsia"/>
            </w:rPr>
            <w:t>（</w:t>
          </w:r>
          <w:r>
            <w:rPr>
              <w:rFonts w:hint="eastAsia"/>
            </w:rPr>
            <w:t>4</w:t>
          </w:r>
          <w:r>
            <w:rPr>
              <w:rFonts w:hint="eastAsia"/>
            </w:rPr>
            <w:t>）与公司日常经营活动相关的政府补助，按照经济业务实质，计入其他收益或冲减相关成本费用。与公司日常活动无关的政府补助，计入营业外收支。</w:t>
          </w:r>
        </w:p>
        <w:p w14:paraId="5319AD68" w14:textId="77777777" w:rsidR="00577D08" w:rsidRDefault="00330FC0">
          <w:pPr>
            <w:spacing w:line="360" w:lineRule="exact"/>
            <w:ind w:firstLineChars="200" w:firstLine="420"/>
          </w:pPr>
          <w:r>
            <w:rPr>
              <w:rFonts w:hint="eastAsia"/>
            </w:rPr>
            <w:t>（</w:t>
          </w:r>
          <w:r>
            <w:rPr>
              <w:rFonts w:hint="eastAsia"/>
            </w:rPr>
            <w:t>5</w:t>
          </w:r>
          <w:r>
            <w:rPr>
              <w:rFonts w:hint="eastAsia"/>
            </w:rPr>
            <w:t>）政策性优惠贷款贴息的会计处理方法</w:t>
          </w:r>
        </w:p>
        <w:p w14:paraId="1B1E4494" w14:textId="77777777" w:rsidR="00577D08" w:rsidRDefault="00330FC0">
          <w:pPr>
            <w:spacing w:line="360" w:lineRule="exact"/>
            <w:ind w:firstLineChars="200" w:firstLine="420"/>
          </w:pPr>
          <w:r>
            <w:rPr>
              <w:rFonts w:hint="eastAsia"/>
            </w:rPr>
            <w:t>1</w:t>
          </w:r>
          <w:r>
            <w:rPr>
              <w:rFonts w:hint="eastAsia"/>
            </w:rPr>
            <w:t>）财政将贴息资金拨付给贷款银行，由贷款银行以政策性优惠利率向公司提供贷款的，以实际收到的借款金额作为借款的入账价值，按照借款本金和该政策性优惠利率计算相关借款费用。</w:t>
          </w:r>
        </w:p>
        <w:p w14:paraId="7339946A" w14:textId="77777777" w:rsidR="00577D08" w:rsidRDefault="00330FC0">
          <w:pPr>
            <w:spacing w:line="360" w:lineRule="exact"/>
            <w:ind w:firstLineChars="200" w:firstLine="420"/>
          </w:pPr>
          <w:r>
            <w:rPr>
              <w:rFonts w:hint="eastAsia"/>
            </w:rPr>
            <w:t>2</w:t>
          </w:r>
          <w:r>
            <w:rPr>
              <w:rFonts w:hint="eastAsia"/>
            </w:rPr>
            <w:t>）财政将贴息资金直接拨付给公司的，将对应的贴息冲减相关借款费用。</w:t>
          </w:r>
        </w:p>
      </w:sdtContent>
    </w:sdt>
    <w:bookmarkEnd w:id="315"/>
    <w:p w14:paraId="02FF9E9F" w14:textId="77777777" w:rsidR="00577D08" w:rsidRDefault="00330FC0">
      <w:pPr>
        <w:pStyle w:val="3"/>
        <w:numPr>
          <w:ilvl w:val="0"/>
          <w:numId w:val="55"/>
        </w:numPr>
      </w:pPr>
      <w:r>
        <w:t>递延所得税资产</w:t>
      </w:r>
      <w:r>
        <w:t>/</w:t>
      </w:r>
      <w:r>
        <w:t>递延所得税负债</w:t>
      </w:r>
    </w:p>
    <w:sdt>
      <w:sdtPr>
        <w:rPr>
          <w:rFonts w:hint="eastAsia"/>
        </w:rPr>
        <w:alias w:val="是否适用：所得税的会计处理方法[双击切换]"/>
        <w:tag w:val="_GBC_7e8295f4559b44568e5d37a6a605588c"/>
        <w:id w:val="-59644975"/>
        <w:placeholder>
          <w:docPart w:val="GBC22222222222222222222222222222"/>
        </w:placeholder>
      </w:sdtPr>
      <w:sdtContent>
        <w:p w14:paraId="2374F3D5"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所得税的会计处理方法"/>
        <w:tag w:val="_GBC_545dd84ed2b9458fa5e2b87aa1e1cc1c"/>
        <w:id w:val="848139376"/>
        <w:placeholder>
          <w:docPart w:val="GBC22222222222222222222222222222"/>
        </w:placeholder>
      </w:sdtPr>
      <w:sdtContent>
        <w:p w14:paraId="58BB0374" w14:textId="77777777" w:rsidR="00577D08" w:rsidRDefault="00330FC0">
          <w:pPr>
            <w:spacing w:line="360" w:lineRule="exact"/>
            <w:ind w:firstLineChars="200" w:firstLine="420"/>
          </w:pPr>
          <w:r>
            <w:rPr>
              <w:rFonts w:hint="eastAsia"/>
            </w:rPr>
            <w:t>（</w:t>
          </w:r>
          <w:r>
            <w:rPr>
              <w:rFonts w:hint="eastAsia"/>
            </w:rPr>
            <w:t>1</w:t>
          </w:r>
          <w:r>
            <w:rPr>
              <w:rFonts w:hint="eastAsia"/>
            </w:rPr>
            <w:t>）根据资产、负债的账面价值与其计税基础之间的差额（未作为资产和负债确认的项目按照税法规定可以确定其计税基础的，该计税基础与其账面数之间的差额），按照预期收回该资产或清偿该负债期间的适用税率计算确认递延所得税资产或递延所得税负债。</w:t>
          </w:r>
        </w:p>
        <w:p w14:paraId="19805827" w14:textId="77777777" w:rsidR="00577D08" w:rsidRDefault="00330FC0">
          <w:pPr>
            <w:spacing w:line="360" w:lineRule="exact"/>
            <w:ind w:firstLineChars="200" w:firstLine="420"/>
          </w:pPr>
          <w:r>
            <w:rPr>
              <w:rFonts w:hint="eastAsia"/>
            </w:rPr>
            <w:t>（</w:t>
          </w:r>
          <w:r>
            <w:rPr>
              <w:rFonts w:hint="eastAsia"/>
            </w:rPr>
            <w:t>2</w:t>
          </w:r>
          <w:r>
            <w:rPr>
              <w:rFonts w:hint="eastAsia"/>
            </w:rPr>
            <w:t>）确认递延所得税资产以很可能取得用来抵扣可抵扣暂时性差异的应纳税所得额为限。资产负债表日，有确凿证据表明未来期间很可能获得足够的应纳税所得额用来抵扣可抵扣暂时性差异的，确认以前会计期间未确认的递延所得税资产。</w:t>
          </w:r>
        </w:p>
        <w:p w14:paraId="6BC28FEE" w14:textId="77777777" w:rsidR="00577D08" w:rsidRDefault="00330FC0">
          <w:pPr>
            <w:spacing w:line="360" w:lineRule="exact"/>
            <w:ind w:firstLineChars="200" w:firstLine="420"/>
          </w:pPr>
          <w:r>
            <w:rPr>
              <w:rFonts w:hint="eastAsia"/>
            </w:rPr>
            <w:lastRenderedPageBreak/>
            <w:t>（</w:t>
          </w:r>
          <w:r>
            <w:rPr>
              <w:rFonts w:hint="eastAsia"/>
            </w:rPr>
            <w:t>3</w:t>
          </w:r>
          <w:r>
            <w:rPr>
              <w:rFonts w:hint="eastAsia"/>
            </w:rPr>
            <w:t>）资产负债表日，对递延所得税资产的账面价值进行复核，如果未来期间很可能无法获得足够的应纳税所得额用以抵扣递延所得税资产的利益，则减记递延所得税资产的账面价值。在很可能获得足够的应纳税所得额时，转回减记的金额。</w:t>
          </w:r>
        </w:p>
        <w:p w14:paraId="22188D68" w14:textId="77777777" w:rsidR="00577D08" w:rsidRDefault="00330FC0">
          <w:pPr>
            <w:spacing w:line="360" w:lineRule="exact"/>
            <w:ind w:firstLineChars="200" w:firstLine="420"/>
          </w:pPr>
          <w:r>
            <w:rPr>
              <w:rFonts w:hint="eastAsia"/>
            </w:rPr>
            <w:t>（</w:t>
          </w:r>
          <w:r>
            <w:rPr>
              <w:rFonts w:hint="eastAsia"/>
            </w:rPr>
            <w:t>4</w:t>
          </w:r>
          <w:r>
            <w:rPr>
              <w:rFonts w:hint="eastAsia"/>
            </w:rPr>
            <w:t>）公司当期所得税和递延所得税作为所得税费用或收益计入当期损益，但不包括下列情况产生的所得税：企业合并；直接在所有者权益中确认的交易或者事项。</w:t>
          </w:r>
        </w:p>
        <w:p w14:paraId="22F590A5" w14:textId="77777777" w:rsidR="00577D08" w:rsidRDefault="00330FC0">
          <w:pPr>
            <w:spacing w:line="360" w:lineRule="exact"/>
            <w:ind w:firstLineChars="200" w:firstLine="420"/>
          </w:pPr>
          <w:r>
            <w:rPr>
              <w:rFonts w:hint="eastAsia"/>
            </w:rPr>
            <w:t>（</w:t>
          </w:r>
          <w:r>
            <w:rPr>
              <w:rFonts w:hint="eastAsia"/>
            </w:rPr>
            <w:t>5</w:t>
          </w:r>
          <w:r>
            <w:rPr>
              <w:rFonts w:hint="eastAsia"/>
            </w:rPr>
            <w:t>）同时满足下列条件时，公司将递延所得税资产及递延所得税负债以抵销后的净额列示：</w:t>
          </w:r>
        </w:p>
        <w:p w14:paraId="41BAD6D1" w14:textId="77777777" w:rsidR="00577D08" w:rsidRDefault="00330FC0">
          <w:pPr>
            <w:spacing w:line="360" w:lineRule="exact"/>
            <w:ind w:firstLineChars="200" w:firstLine="420"/>
          </w:pPr>
          <w:r>
            <w:rPr>
              <w:rFonts w:hint="eastAsia"/>
            </w:rPr>
            <w:t>1</w:t>
          </w:r>
          <w:r>
            <w:rPr>
              <w:rFonts w:hint="eastAsia"/>
            </w:rPr>
            <w:t>）拥有以净额结算当期所得税资产及当期所得税负债的法定权利；</w:t>
          </w:r>
        </w:p>
        <w:p w14:paraId="37CFF7B4" w14:textId="77777777" w:rsidR="00577D08" w:rsidRDefault="00330FC0">
          <w:pPr>
            <w:spacing w:line="360" w:lineRule="exact"/>
            <w:ind w:firstLineChars="200" w:firstLine="420"/>
          </w:pPr>
          <w:r>
            <w:rPr>
              <w:rFonts w:hint="eastAsia"/>
            </w:rPr>
            <w:t>2</w:t>
          </w:r>
          <w:r>
            <w:rPr>
              <w:rFonts w:hint="eastAsia"/>
            </w:rPr>
            <w:t>）递延所得税资产和递延所得税负债是与同一税收征管部门对同一纳税主体征收的所得税相关或者对不同的纳税主体相关，但在未来每一具有重要性的递延所得税资产和递延所得税负债转回的期间内，涉及的纳税主体意图以净额结算当期所得税资产及当期所得税负债或是同时取得资产、清偿债务。</w:t>
          </w:r>
        </w:p>
      </w:sdtContent>
    </w:sdt>
    <w:p w14:paraId="405E7DD2" w14:textId="77777777" w:rsidR="00577D08" w:rsidRDefault="00330FC0">
      <w:pPr>
        <w:pStyle w:val="3"/>
        <w:numPr>
          <w:ilvl w:val="0"/>
          <w:numId w:val="55"/>
        </w:numPr>
      </w:pPr>
      <w:r>
        <w:t>租赁</w:t>
      </w:r>
    </w:p>
    <w:sdt>
      <w:sdtPr>
        <w:alias w:val="是否适用：租赁_重要会计政策和估计[双击切换]"/>
        <w:tag w:val="_GBC_6915a792f5f54d76bb3c5c2090ce337f"/>
        <w:id w:val="-69280252"/>
        <w:placeholder>
          <w:docPart w:val="GBC22222222222222222222222222222"/>
        </w:placeholder>
      </w:sdtPr>
      <w:sdtContent>
        <w:p w14:paraId="040DBB6F"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DC3225" w14:textId="77777777" w:rsidR="00577D08" w:rsidRDefault="00330FC0">
      <w:pPr>
        <w:rPr>
          <w:rFonts w:ascii="Calibri" w:hAnsi="Calibri"/>
          <w:b/>
          <w:kern w:val="2"/>
          <w:szCs w:val="32"/>
        </w:rPr>
      </w:pPr>
      <w:r>
        <w:rPr>
          <w:rFonts w:ascii="Calibri" w:hAnsi="Calibri"/>
          <w:b/>
          <w:kern w:val="2"/>
          <w:szCs w:val="32"/>
        </w:rPr>
        <w:t>作为承租方对短期租赁和低价值资产租赁进行简化处理的判断依据和会计处理方法</w:t>
      </w:r>
    </w:p>
    <w:sdt>
      <w:sdtPr>
        <w:alias w:val="是否适用：作为承租方对短期租赁和低价值资产租赁进行简化处理的判断依据和会计处理方法[双击切换]"/>
        <w:tag w:val="_GBC_96c8873101a04b4ab58dc379b95e7de7"/>
        <w:id w:val="-1756036283"/>
        <w:placeholder>
          <w:docPart w:val="GBC22222222222222222222222222222"/>
        </w:placeholder>
      </w:sdtPr>
      <w:sdtContent>
        <w:p w14:paraId="237C7E59"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作为承租方对短期租赁和低价值资产租赁进行简化处理的判断依据和会计处理方法"/>
        <w:tag w:val="_GBC_608ebcbb99ad40879d4235963013eef6"/>
        <w:id w:val="-1124151551"/>
        <w:placeholder>
          <w:docPart w:val="GBC22222222222222222222222222222"/>
        </w:placeholder>
      </w:sdtPr>
      <w:sdtContent>
        <w:p w14:paraId="7A07EC0D" w14:textId="77777777" w:rsidR="00577D08" w:rsidRDefault="00330FC0">
          <w:pPr>
            <w:spacing w:line="360" w:lineRule="exact"/>
            <w:ind w:firstLineChars="200" w:firstLine="420"/>
          </w:pPr>
          <w:r>
            <w:rPr>
              <w:rFonts w:hint="eastAsia"/>
            </w:rPr>
            <w:t>在租赁期开始日，公司将租赁期不超过</w:t>
          </w:r>
          <w:r>
            <w:rPr>
              <w:rFonts w:hint="eastAsia"/>
            </w:rPr>
            <w:t>12</w:t>
          </w:r>
          <w:r>
            <w:rPr>
              <w:rFonts w:hint="eastAsia"/>
            </w:rPr>
            <w:t>个月，且不包含购买选择权的租赁认定为短期租赁；将单项租赁资产为全新资产时价值较低的租赁认定为低价值资产租赁。公司转租或预期转租租赁资产的，原租赁不认定为低价值资产租赁。</w:t>
          </w:r>
        </w:p>
        <w:p w14:paraId="1CF7B91E" w14:textId="77777777" w:rsidR="00577D08" w:rsidRDefault="00330FC0">
          <w:pPr>
            <w:spacing w:line="360" w:lineRule="exact"/>
            <w:ind w:firstLineChars="200" w:firstLine="420"/>
          </w:pPr>
          <w:r>
            <w:rPr>
              <w:rFonts w:hint="eastAsia"/>
            </w:rPr>
            <w:t>对于所有短期租赁和低价值资产租赁，公司在租赁期内各个期间按照直线法将租赁付款额计入相关资产成本或当期损益。</w:t>
          </w:r>
        </w:p>
        <w:p w14:paraId="66857A41" w14:textId="77777777" w:rsidR="00577D08" w:rsidRDefault="00330FC0">
          <w:pPr>
            <w:spacing w:line="360" w:lineRule="exact"/>
            <w:ind w:firstLineChars="200" w:firstLine="420"/>
          </w:pPr>
          <w:r>
            <w:rPr>
              <w:rFonts w:hint="eastAsia"/>
            </w:rPr>
            <w:t>除上述采用简化处理的短期租赁和低价值资产租赁外，在租赁期开始日，公司对租赁确认使用权资产和租赁负债。</w:t>
          </w:r>
        </w:p>
        <w:p w14:paraId="29AFFEF5" w14:textId="77777777" w:rsidR="00577D08" w:rsidRDefault="00330FC0">
          <w:pPr>
            <w:spacing w:line="360" w:lineRule="exact"/>
            <w:ind w:firstLineChars="200" w:firstLine="420"/>
          </w:pPr>
          <w:r>
            <w:rPr>
              <w:rFonts w:hint="eastAsia"/>
            </w:rPr>
            <w:t>（</w:t>
          </w:r>
          <w:r>
            <w:rPr>
              <w:rFonts w:hint="eastAsia"/>
            </w:rPr>
            <w:t>1</w:t>
          </w:r>
          <w:r>
            <w:rPr>
              <w:rFonts w:hint="eastAsia"/>
            </w:rPr>
            <w:t>）使用权资产</w:t>
          </w:r>
        </w:p>
        <w:p w14:paraId="5FD4D3B2" w14:textId="77777777" w:rsidR="00577D08" w:rsidRDefault="00330FC0">
          <w:pPr>
            <w:spacing w:line="360" w:lineRule="exact"/>
            <w:ind w:firstLineChars="200" w:firstLine="420"/>
          </w:pPr>
          <w:r>
            <w:rPr>
              <w:rFonts w:hint="eastAsia"/>
            </w:rPr>
            <w:t>使用权资产按照成本进行初始计量，该成本包括：</w:t>
          </w:r>
          <w:r>
            <w:rPr>
              <w:rFonts w:hint="eastAsia"/>
            </w:rPr>
            <w:t>1</w:t>
          </w:r>
          <w:r>
            <w:rPr>
              <w:rFonts w:hint="eastAsia"/>
            </w:rPr>
            <w:t>）租赁负债的初始计量金额；</w:t>
          </w:r>
          <w:r>
            <w:rPr>
              <w:rFonts w:hint="eastAsia"/>
            </w:rPr>
            <w:t>2</w:t>
          </w:r>
          <w:r>
            <w:rPr>
              <w:rFonts w:hint="eastAsia"/>
            </w:rPr>
            <w:t>）在租赁期开始日或之前支付的租赁付款额，存在租赁激励的，扣除已享受的租赁激励相关金额；</w:t>
          </w:r>
          <w:r>
            <w:rPr>
              <w:rFonts w:hint="eastAsia"/>
            </w:rPr>
            <w:t>3</w:t>
          </w:r>
          <w:r>
            <w:rPr>
              <w:rFonts w:hint="eastAsia"/>
            </w:rPr>
            <w:t>）承租人发生的初始直接费用；</w:t>
          </w:r>
          <w:r>
            <w:rPr>
              <w:rFonts w:hint="eastAsia"/>
            </w:rPr>
            <w:t>4</w:t>
          </w:r>
          <w:r>
            <w:rPr>
              <w:rFonts w:hint="eastAsia"/>
            </w:rPr>
            <w:t>）承租人为拆卸及移除租赁资产、复原租赁资产所在场地或将租赁资产恢复至租赁条款约定状态预计将发生的成本。</w:t>
          </w:r>
        </w:p>
        <w:p w14:paraId="02CA3394" w14:textId="77777777" w:rsidR="00577D08" w:rsidRDefault="00330FC0">
          <w:pPr>
            <w:spacing w:line="360" w:lineRule="exact"/>
            <w:ind w:firstLineChars="200" w:firstLine="420"/>
          </w:pPr>
          <w:r>
            <w:rPr>
              <w:rFonts w:hint="eastAsia"/>
            </w:rPr>
            <w:t>公司按照直线法对使用权资产计提折旧。能够合理确定租赁期届满时取得租赁资产所有权的，公司在租赁资产剩余使用寿命内计提折旧。无法合理确定租赁期届满时能够取得租赁资产所有权的，公司在租赁期与租赁资产剩余使用寿命两者孰短的期间内计提折旧。</w:t>
          </w:r>
        </w:p>
        <w:p w14:paraId="22295510" w14:textId="77777777" w:rsidR="00577D08" w:rsidRDefault="00330FC0">
          <w:pPr>
            <w:spacing w:line="360" w:lineRule="exact"/>
            <w:ind w:firstLineChars="200" w:firstLine="420"/>
          </w:pPr>
          <w:r>
            <w:rPr>
              <w:rFonts w:hint="eastAsia"/>
            </w:rPr>
            <w:t>（</w:t>
          </w:r>
          <w:r>
            <w:rPr>
              <w:rFonts w:hint="eastAsia"/>
            </w:rPr>
            <w:t>2</w:t>
          </w:r>
          <w:r>
            <w:rPr>
              <w:rFonts w:hint="eastAsia"/>
            </w:rPr>
            <w:t>）租赁负债</w:t>
          </w:r>
        </w:p>
        <w:p w14:paraId="26B1054F" w14:textId="77777777" w:rsidR="00577D08" w:rsidRDefault="00330FC0">
          <w:pPr>
            <w:spacing w:line="360" w:lineRule="exact"/>
            <w:ind w:firstLineChars="200" w:firstLine="420"/>
          </w:pPr>
          <w:r>
            <w:rPr>
              <w:rFonts w:hint="eastAsia"/>
            </w:rPr>
            <w:t>在租赁期开始日，公司将尚未支付的租赁付款额的现值确认为租赁负债。计算租赁付款额现值时采用租赁内含利率作为折现率，无法确定租赁内含利率的，采用公司增量借款利率作为折现率。租赁付款额与其现值之间的差额作为未确认融资费用，在租赁期各个期间内按照确认租赁付款额现值的折现率确认利息费用，并计入当期损益。未纳入租赁负债计量的可变租赁付款额于实际发生时计入当期损益。</w:t>
          </w:r>
        </w:p>
        <w:p w14:paraId="70255E8B" w14:textId="77777777" w:rsidR="00577D08" w:rsidRDefault="00330FC0">
          <w:pPr>
            <w:spacing w:line="360" w:lineRule="exact"/>
            <w:ind w:firstLineChars="200" w:firstLine="420"/>
          </w:pPr>
          <w:r>
            <w:rPr>
              <w:rFonts w:hint="eastAsia"/>
            </w:rPr>
            <w:lastRenderedPageBreak/>
            <w:t>租赁期开始日后，当实质固定付款额发生变动、担保余值预计的应付金额发生变化、用于确定租赁付款额的指数或比率发生变动、购买选择权、续租选择权或终止选择权的评估结果或实际行权情况发生变化时，公司按照变动后的租赁付款额的现值重新计量租赁负债，并相应调整使用权资产的账面价值，如使用权资产账面价值已调减至零，但租赁负债仍需进一步调减的，将剩余金额计入当期损益。</w:t>
          </w:r>
        </w:p>
        <w:p w14:paraId="64A8F933" w14:textId="77777777" w:rsidR="00577D08" w:rsidRDefault="00330FC0">
          <w:pPr>
            <w:spacing w:line="360" w:lineRule="exact"/>
            <w:ind w:firstLineChars="200" w:firstLine="420"/>
          </w:pPr>
          <w:r>
            <w:rPr>
              <w:rFonts w:hint="eastAsia"/>
            </w:rPr>
            <w:t>（</w:t>
          </w:r>
          <w:r>
            <w:rPr>
              <w:rFonts w:hint="eastAsia"/>
            </w:rPr>
            <w:t>3</w:t>
          </w:r>
          <w:r>
            <w:rPr>
              <w:rFonts w:hint="eastAsia"/>
            </w:rPr>
            <w:t>）售后回租</w:t>
          </w:r>
        </w:p>
        <w:p w14:paraId="416CF95C" w14:textId="77777777" w:rsidR="00577D08" w:rsidRDefault="00330FC0">
          <w:pPr>
            <w:spacing w:line="360" w:lineRule="exact"/>
            <w:ind w:firstLineChars="200" w:firstLine="420"/>
          </w:pPr>
          <w:r>
            <w:rPr>
              <w:rFonts w:hint="eastAsia"/>
            </w:rPr>
            <w:t>公司按照《企业会计准则第</w:t>
          </w:r>
          <w:r>
            <w:rPr>
              <w:rFonts w:hint="eastAsia"/>
            </w:rPr>
            <w:t>14</w:t>
          </w:r>
          <w:r>
            <w:rPr>
              <w:rFonts w:hint="eastAsia"/>
            </w:rPr>
            <w:t>号——收入》的规定，评估确定售后租回交易中的资产转让是否属于销售。</w:t>
          </w:r>
        </w:p>
        <w:p w14:paraId="0CA7247A" w14:textId="77777777" w:rsidR="00577D08" w:rsidRDefault="00330FC0">
          <w:pPr>
            <w:spacing w:line="360" w:lineRule="exact"/>
            <w:ind w:firstLineChars="200" w:firstLine="420"/>
          </w:pPr>
          <w:r>
            <w:rPr>
              <w:rFonts w:hint="eastAsia"/>
            </w:rPr>
            <w:t>售后租回交易中的资产转让属于销售的，公司按原资产账面价值中与租回获得的使用权有关的部分，计量售后租回所形成的使用权资产，并仅就转让至出租人的权利确认相关利得或损失。</w:t>
          </w:r>
        </w:p>
        <w:p w14:paraId="032F1EF0" w14:textId="77777777" w:rsidR="00577D08" w:rsidRDefault="00330FC0">
          <w:pPr>
            <w:spacing w:line="360" w:lineRule="exact"/>
            <w:ind w:firstLineChars="200" w:firstLine="420"/>
          </w:pPr>
          <w:r>
            <w:rPr>
              <w:rFonts w:hint="eastAsia"/>
            </w:rPr>
            <w:t>售后租回交易中的资产转让不属于销售的，公司继续确认被转让资产，同时确认一项与转让收入等额的金融负债，并按照《企业会计准则第</w:t>
          </w:r>
          <w:r>
            <w:rPr>
              <w:rFonts w:hint="eastAsia"/>
            </w:rPr>
            <w:t>22</w:t>
          </w:r>
          <w:r>
            <w:rPr>
              <w:rFonts w:hint="eastAsia"/>
            </w:rPr>
            <w:t>号——金融工具确认和计量》对该金融负债进行会计处理。</w:t>
          </w:r>
        </w:p>
      </w:sdtContent>
    </w:sdt>
    <w:p w14:paraId="41C27CA8" w14:textId="77777777" w:rsidR="00577D08" w:rsidRDefault="00330FC0">
      <w:pPr>
        <w:rPr>
          <w:rFonts w:ascii="Calibri" w:hAnsi="Calibri"/>
          <w:b/>
          <w:kern w:val="2"/>
          <w:szCs w:val="32"/>
        </w:rPr>
      </w:pPr>
      <w:r>
        <w:rPr>
          <w:rFonts w:ascii="Calibri" w:hAnsi="Calibri"/>
          <w:b/>
          <w:kern w:val="2"/>
          <w:szCs w:val="32"/>
        </w:rPr>
        <w:t>作为出租方的租赁分类标准和会计处理方法</w:t>
      </w:r>
    </w:p>
    <w:sdt>
      <w:sdtPr>
        <w:alias w:val="是否适用：作为出租方的租赁分类标准和会计处理方法[双击切换]"/>
        <w:tag w:val="_GBC_4ce66446786b4db69563b4f1b2b86d89"/>
        <w:id w:val="-892037748"/>
        <w:placeholder>
          <w:docPart w:val="GBC22222222222222222222222222222"/>
        </w:placeholder>
      </w:sdtPr>
      <w:sdtContent>
        <w:p w14:paraId="5D351DF6"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作为出租方的租赁分类标准和会计处理方法"/>
        <w:tag w:val="_GBC_ca849938b2044c5a8ca6cd68a06181a3"/>
        <w:id w:val="1848818832"/>
        <w:placeholder>
          <w:docPart w:val="GBC22222222222222222222222222222"/>
        </w:placeholder>
      </w:sdtPr>
      <w:sdtContent>
        <w:p w14:paraId="59CB4A8C" w14:textId="77777777" w:rsidR="00577D08" w:rsidRDefault="00330FC0">
          <w:pPr>
            <w:spacing w:line="360" w:lineRule="exact"/>
            <w:ind w:firstLineChars="200" w:firstLine="420"/>
          </w:pPr>
          <w:r>
            <w:rPr>
              <w:rFonts w:hint="eastAsia"/>
            </w:rPr>
            <w:t>在租赁开始日，公司将实质上转移了与租赁资产所有权有关的几乎全部风险和报酬的租赁划分为融资租赁，除此之外的均为经营租赁。</w:t>
          </w:r>
        </w:p>
        <w:p w14:paraId="66F7B114" w14:textId="77777777" w:rsidR="00577D08" w:rsidRDefault="00330FC0">
          <w:pPr>
            <w:spacing w:line="360" w:lineRule="exact"/>
            <w:ind w:firstLineChars="200" w:firstLine="420"/>
          </w:pPr>
          <w:r>
            <w:rPr>
              <w:rFonts w:hint="eastAsia"/>
            </w:rPr>
            <w:t>（</w:t>
          </w:r>
          <w:r>
            <w:rPr>
              <w:rFonts w:hint="eastAsia"/>
            </w:rPr>
            <w:t>1</w:t>
          </w:r>
          <w:r>
            <w:rPr>
              <w:rFonts w:hint="eastAsia"/>
            </w:rPr>
            <w:t>）经营租赁</w:t>
          </w:r>
        </w:p>
        <w:p w14:paraId="47512C66" w14:textId="77777777" w:rsidR="00577D08" w:rsidRDefault="00330FC0">
          <w:pPr>
            <w:spacing w:line="360" w:lineRule="exact"/>
            <w:ind w:firstLineChars="200" w:firstLine="420"/>
          </w:pPr>
          <w:r>
            <w:rPr>
              <w:rFonts w:hint="eastAsia"/>
            </w:rPr>
            <w:t>公司在租赁期内各个期间按照直线法将租赁收款额确认为租金收入，发生的初始直接费用予以资本化并按照与租金收入确认相同的基础进行分摊，分期计入当期损益。公司取得的与经营租赁有关的未计入租赁收款额的可变租赁付款额在实际发生时计入当期损益。</w:t>
          </w:r>
        </w:p>
        <w:p w14:paraId="1021209F" w14:textId="77777777" w:rsidR="00577D08" w:rsidRDefault="00330FC0">
          <w:pPr>
            <w:spacing w:line="360" w:lineRule="exact"/>
            <w:ind w:firstLineChars="200" w:firstLine="420"/>
          </w:pPr>
          <w:r>
            <w:rPr>
              <w:rFonts w:hint="eastAsia"/>
            </w:rPr>
            <w:t>（</w:t>
          </w:r>
          <w:r>
            <w:rPr>
              <w:rFonts w:hint="eastAsia"/>
            </w:rPr>
            <w:t>2</w:t>
          </w:r>
          <w:r>
            <w:rPr>
              <w:rFonts w:hint="eastAsia"/>
            </w:rPr>
            <w:t>）融资租赁</w:t>
          </w:r>
        </w:p>
        <w:p w14:paraId="61ED25E3" w14:textId="77777777" w:rsidR="00577D08" w:rsidRDefault="00330FC0">
          <w:pPr>
            <w:spacing w:line="360" w:lineRule="exact"/>
            <w:ind w:firstLineChars="200" w:firstLine="420"/>
          </w:pPr>
          <w:r>
            <w:rPr>
              <w:rFonts w:hint="eastAsia"/>
            </w:rPr>
            <w:t>在租赁期开始日，公司按照租赁投资净额（未担保余值和租赁期开始日尚未收到的租赁收款额按照租赁内含利率折现的现值之和）确认应收融资租赁款，并终止确认融资租赁资产。在租赁期的各个期间，公司按照租赁内含利率计算并确认利息收入。</w:t>
          </w:r>
        </w:p>
        <w:p w14:paraId="61D36328" w14:textId="77777777" w:rsidR="00577D08" w:rsidRDefault="00330FC0">
          <w:pPr>
            <w:spacing w:line="360" w:lineRule="exact"/>
            <w:ind w:firstLineChars="200" w:firstLine="420"/>
          </w:pPr>
          <w:r>
            <w:rPr>
              <w:rFonts w:hint="eastAsia"/>
            </w:rPr>
            <w:t>公司取得的未纳入租赁投资净额计量的可变租赁付款额在实际发生时计入当期损益。</w:t>
          </w:r>
        </w:p>
        <w:p w14:paraId="058FF2BE" w14:textId="77777777" w:rsidR="00577D08" w:rsidRDefault="00330FC0">
          <w:pPr>
            <w:spacing w:line="360" w:lineRule="exact"/>
            <w:ind w:firstLineChars="200" w:firstLine="420"/>
          </w:pPr>
          <w:r>
            <w:rPr>
              <w:rFonts w:hint="eastAsia"/>
            </w:rPr>
            <w:t>（</w:t>
          </w:r>
          <w:r>
            <w:rPr>
              <w:rFonts w:hint="eastAsia"/>
            </w:rPr>
            <w:t>3</w:t>
          </w:r>
          <w:r>
            <w:rPr>
              <w:rFonts w:hint="eastAsia"/>
            </w:rPr>
            <w:t>）售后回租</w:t>
          </w:r>
        </w:p>
        <w:p w14:paraId="7E600423" w14:textId="77777777" w:rsidR="00577D08" w:rsidRDefault="00330FC0">
          <w:pPr>
            <w:spacing w:line="360" w:lineRule="exact"/>
            <w:ind w:firstLineChars="200" w:firstLine="420"/>
          </w:pPr>
          <w:r>
            <w:rPr>
              <w:rFonts w:hint="eastAsia"/>
            </w:rPr>
            <w:t>公司按照《企业会计准则第</w:t>
          </w:r>
          <w:r>
            <w:rPr>
              <w:rFonts w:hint="eastAsia"/>
            </w:rPr>
            <w:t>14</w:t>
          </w:r>
          <w:r>
            <w:rPr>
              <w:rFonts w:hint="eastAsia"/>
            </w:rPr>
            <w:t>号——收入》的规定，评估确定售后租回交易中的资产转让是否属于销售。</w:t>
          </w:r>
        </w:p>
        <w:p w14:paraId="448BBDDB" w14:textId="77777777" w:rsidR="00577D08" w:rsidRDefault="00330FC0">
          <w:pPr>
            <w:spacing w:line="360" w:lineRule="exact"/>
            <w:ind w:firstLineChars="200" w:firstLine="420"/>
          </w:pPr>
          <w:r>
            <w:rPr>
              <w:rFonts w:hint="eastAsia"/>
            </w:rPr>
            <w:t>售后租回交易中的资产转让属于销售的，公司根据其他适用的企业会计准则对资产购买进行会计处理，并根据《企业会计准则第</w:t>
          </w:r>
          <w:r>
            <w:rPr>
              <w:rFonts w:hint="eastAsia"/>
            </w:rPr>
            <w:t>21</w:t>
          </w:r>
          <w:r>
            <w:rPr>
              <w:rFonts w:hint="eastAsia"/>
            </w:rPr>
            <w:t>号——租赁》对资产出租进行会计处理。</w:t>
          </w:r>
        </w:p>
        <w:p w14:paraId="3FFF603D" w14:textId="77777777" w:rsidR="00577D08" w:rsidRDefault="00330FC0">
          <w:pPr>
            <w:spacing w:line="360" w:lineRule="exact"/>
            <w:ind w:firstLineChars="200" w:firstLine="420"/>
          </w:pPr>
          <w:r>
            <w:rPr>
              <w:rFonts w:hint="eastAsia"/>
            </w:rPr>
            <w:t>售后租回交易中的资产转让不属于销售的，公司不确认被转让资产，但确认一项与转让收入等额的金融资产，并按照《企业会计准则第</w:t>
          </w:r>
          <w:r>
            <w:rPr>
              <w:rFonts w:hint="eastAsia"/>
            </w:rPr>
            <w:t>22</w:t>
          </w:r>
          <w:r>
            <w:rPr>
              <w:rFonts w:hint="eastAsia"/>
            </w:rPr>
            <w:t>号——金融工具确认和计量》对该金融资产进行会计处理。</w:t>
          </w:r>
        </w:p>
      </w:sdtContent>
    </w:sdt>
    <w:p w14:paraId="431BCA4B" w14:textId="77777777" w:rsidR="00577D08" w:rsidRDefault="00330FC0">
      <w:pPr>
        <w:pStyle w:val="3"/>
        <w:numPr>
          <w:ilvl w:val="0"/>
          <w:numId w:val="55"/>
        </w:numPr>
      </w:pPr>
      <w:r>
        <w:rPr>
          <w:rFonts w:hint="eastAsia"/>
        </w:rPr>
        <w:t>其他重要的会计政策和会计估计</w:t>
      </w:r>
    </w:p>
    <w:sdt>
      <w:sdtPr>
        <w:rPr>
          <w:rFonts w:hint="eastAsia"/>
        </w:rPr>
        <w:alias w:val="是否适用：其他重要的会计政策和会计估计[双击切换]"/>
        <w:tag w:val="_GBC_b463c26b00e64f799c5b85b2c1c805fb"/>
        <w:id w:val="1282382372"/>
        <w:placeholder>
          <w:docPart w:val="GBC22222222222222222222222222222"/>
        </w:placeholder>
      </w:sdtPr>
      <w:sdtContent>
        <w:p w14:paraId="1C2C79B0"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其他主要会计政策会计估计和会计报表的编制方法"/>
        <w:tag w:val="_GBC_5cf318d9d3d148c4af010cce77bc955d"/>
        <w:id w:val="-1450321990"/>
        <w:placeholder>
          <w:docPart w:val="GBC22222222222222222222222222222"/>
        </w:placeholder>
      </w:sdtPr>
      <w:sdtContent>
        <w:p w14:paraId="714511A0" w14:textId="77777777" w:rsidR="00577D08" w:rsidRDefault="00330FC0">
          <w:pPr>
            <w:spacing w:line="360" w:lineRule="exact"/>
            <w:ind w:firstLineChars="200" w:firstLine="420"/>
          </w:pPr>
          <w:r>
            <w:rPr>
              <w:rFonts w:hint="eastAsia"/>
            </w:rPr>
            <w:t>（</w:t>
          </w:r>
          <w:r>
            <w:rPr>
              <w:rFonts w:hint="eastAsia"/>
            </w:rPr>
            <w:t>1</w:t>
          </w:r>
          <w:r>
            <w:rPr>
              <w:rFonts w:hint="eastAsia"/>
            </w:rPr>
            <w:t>）安全生产费</w:t>
          </w:r>
        </w:p>
        <w:p w14:paraId="01C22C47" w14:textId="77777777" w:rsidR="00577D08" w:rsidRDefault="00330FC0">
          <w:pPr>
            <w:spacing w:line="360" w:lineRule="exact"/>
            <w:ind w:firstLineChars="200" w:firstLine="420"/>
          </w:pPr>
          <w:r>
            <w:rPr>
              <w:rFonts w:hint="eastAsia"/>
            </w:rPr>
            <w:lastRenderedPageBreak/>
            <w:t>公司按照财政部、应急部发布的《企业安全生产费用提取和使用管理办法》（财资〔</w:t>
          </w:r>
          <w:r>
            <w:rPr>
              <w:rFonts w:hint="eastAsia"/>
            </w:rPr>
            <w:t>2022</w:t>
          </w:r>
          <w:r>
            <w:rPr>
              <w:rFonts w:hint="eastAsia"/>
            </w:rPr>
            <w:t>〕</w:t>
          </w:r>
          <w:r>
            <w:rPr>
              <w:rFonts w:hint="eastAsia"/>
            </w:rPr>
            <w:t>136</w:t>
          </w:r>
          <w:r>
            <w:rPr>
              <w:rFonts w:hint="eastAsia"/>
            </w:rPr>
            <w:t>号）的规定提取的安全生产费，计入相关产品的成本或当期损益，同时记入“专项储备”科目。使用提取的安全生产费时，属于费用性支出的，直接冲减专项储备。形成固定资产的，通过“在建工程”科目归集所发生的支出，待安全项目完工达到预定可使用状态时确认为固定资产；同时，按照形成固定资产的成本冲减专项储备，并确认相同金额的累计折旧，该固定资产在以后期间不再计提折旧。</w:t>
          </w:r>
        </w:p>
      </w:sdtContent>
    </w:sdt>
    <w:p w14:paraId="11294ABB" w14:textId="77777777" w:rsidR="00577D08" w:rsidRDefault="00330FC0">
      <w:pPr>
        <w:pStyle w:val="3"/>
        <w:numPr>
          <w:ilvl w:val="0"/>
          <w:numId w:val="55"/>
        </w:numPr>
      </w:pPr>
      <w:r>
        <w:rPr>
          <w:rFonts w:hint="eastAsia"/>
        </w:rPr>
        <w:t>重要</w:t>
      </w:r>
      <w:r>
        <w:t>会计政策</w:t>
      </w:r>
      <w:r>
        <w:rPr>
          <w:rFonts w:hint="eastAsia"/>
        </w:rPr>
        <w:t>和</w:t>
      </w:r>
      <w:r>
        <w:t>会计估计的变更</w:t>
      </w:r>
    </w:p>
    <w:p w14:paraId="78249E7B" w14:textId="77777777" w:rsidR="00577D08" w:rsidRDefault="00330FC0">
      <w:bookmarkStart w:id="316" w:name="_Hlk190174246"/>
      <w:r>
        <w:rPr>
          <w:rFonts w:hint="eastAsia"/>
        </w:rPr>
        <w:t>详见“重要事项”的“公司对会计政策、会计估计变更或重大会计差错更正原因和影响的分析说明”</w:t>
      </w:r>
    </w:p>
    <w:p w14:paraId="2FE0CE85" w14:textId="77777777" w:rsidR="00577D08" w:rsidRDefault="00330FC0">
      <w:pPr>
        <w:pStyle w:val="3"/>
        <w:numPr>
          <w:ilvl w:val="0"/>
          <w:numId w:val="55"/>
        </w:numPr>
      </w:pPr>
      <w:bookmarkStart w:id="317" w:name="_Hlk10465969"/>
      <w:bookmarkStart w:id="318" w:name="_Hlk24100246"/>
      <w:bookmarkEnd w:id="316"/>
      <w:bookmarkEnd w:id="317"/>
      <w:r>
        <w:rPr>
          <w:rFonts w:asciiTheme="majorEastAsia" w:eastAsiaTheme="majorEastAsia" w:hAnsiTheme="majorEastAsia"/>
        </w:rPr>
        <w:t>2025</w:t>
      </w:r>
      <w:r>
        <w:t>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e1701479a1654e0d9f4b2ffb99c13db0"/>
        <w:id w:val="1839041266"/>
        <w:placeholder>
          <w:docPart w:val="GBC22222222222222222222222222222"/>
        </w:placeholder>
      </w:sdtPr>
      <w:sdtContent>
        <w:p w14:paraId="5E5F854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188E124" w14:textId="77777777" w:rsidR="00577D08" w:rsidRDefault="00330FC0">
      <w:pPr>
        <w:pStyle w:val="3"/>
        <w:numPr>
          <w:ilvl w:val="0"/>
          <w:numId w:val="55"/>
        </w:numPr>
      </w:pPr>
      <w:bookmarkStart w:id="319" w:name="_Hlk24100423"/>
      <w:bookmarkEnd w:id="318"/>
      <w:bookmarkEnd w:id="319"/>
      <w:r>
        <w:rPr>
          <w:rFonts w:hint="eastAsia"/>
        </w:rPr>
        <w:t>其他</w:t>
      </w:r>
    </w:p>
    <w:sdt>
      <w:sdtPr>
        <w:rPr>
          <w:rFonts w:hint="eastAsia"/>
        </w:rPr>
        <w:alias w:val="是否适用：公司主要会计政策、会计估计和前期差错的其他说明[双击切换]"/>
        <w:tag w:val="_GBC_bcb348c2b015461e9de30ce69ad888ae"/>
        <w:id w:val="1561360291"/>
        <w:placeholder>
          <w:docPart w:val="GBC22222222222222222222222222222"/>
        </w:placeholder>
      </w:sdtPr>
      <w:sdtContent>
        <w:p w14:paraId="4B31EE9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9A8F10" w14:textId="77777777" w:rsidR="00577D08" w:rsidRDefault="00330FC0">
      <w:pPr>
        <w:pStyle w:val="2"/>
        <w:numPr>
          <w:ilvl w:val="0"/>
          <w:numId w:val="52"/>
        </w:numPr>
        <w:rPr>
          <w:rFonts w:ascii="宋体" w:hAnsi="宋体" w:hint="eastAsia"/>
        </w:rPr>
      </w:pPr>
      <w:r>
        <w:rPr>
          <w:rFonts w:ascii="宋体" w:hAnsi="宋体" w:hint="eastAsia"/>
        </w:rPr>
        <w:t>税项</w:t>
      </w:r>
    </w:p>
    <w:p w14:paraId="256F36D9" w14:textId="77777777" w:rsidR="00577D08" w:rsidRDefault="00330FC0">
      <w:pPr>
        <w:pStyle w:val="3"/>
        <w:numPr>
          <w:ilvl w:val="0"/>
          <w:numId w:val="60"/>
        </w:numPr>
        <w:tabs>
          <w:tab w:val="left" w:pos="546"/>
        </w:tabs>
      </w:pPr>
      <w:r>
        <w:t>主要税种及税率</w:t>
      </w:r>
    </w:p>
    <w:p w14:paraId="3697FB19" w14:textId="77777777" w:rsidR="00577D08" w:rsidRDefault="00330FC0">
      <w:r>
        <w:t>主要税种及税率</w:t>
      </w:r>
      <w:r>
        <w:rPr>
          <w:rFonts w:hint="eastAsia"/>
        </w:rPr>
        <w:t>情况</w:t>
      </w:r>
    </w:p>
    <w:sdt>
      <w:sdtPr>
        <w:alias w:val="是否适用：主要税种及税率情况 [双击切换]"/>
        <w:tag w:val="_GBC_f900f926144b41b9ba020b5a24aff3c0"/>
        <w:id w:val="-765462043"/>
        <w:placeholder>
          <w:docPart w:val="GBC22222222222222222222222222222"/>
        </w:placeholder>
      </w:sdtPr>
      <w:sdtContent>
        <w:p w14:paraId="7F88C6D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103"/>
        <w:gridCol w:w="1993"/>
      </w:tblGrid>
      <w:tr w:rsidR="00577D08" w14:paraId="7E23B333" w14:textId="77777777">
        <w:trPr>
          <w:trHeight w:val="397"/>
        </w:trPr>
        <w:sdt>
          <w:sdtPr>
            <w:tag w:val="_PLD_b5758c089ae1414f99b1cc36321c29a1"/>
            <w:id w:val="1093902317"/>
          </w:sdtPr>
          <w:sdtContent>
            <w:tc>
              <w:tcPr>
                <w:tcW w:w="1951" w:type="dxa"/>
                <w:vAlign w:val="center"/>
              </w:tcPr>
              <w:p w14:paraId="3D423C38" w14:textId="77777777" w:rsidR="00577D08" w:rsidRDefault="00330FC0">
                <w:pPr>
                  <w:jc w:val="center"/>
                </w:pPr>
                <w:r>
                  <w:t>税种</w:t>
                </w:r>
              </w:p>
            </w:tc>
          </w:sdtContent>
        </w:sdt>
        <w:sdt>
          <w:sdtPr>
            <w:tag w:val="_PLD_0e1599c84a4d47cc8f6f9b3d3069a1bd"/>
            <w:id w:val="-1482385136"/>
          </w:sdtPr>
          <w:sdtContent>
            <w:tc>
              <w:tcPr>
                <w:tcW w:w="5103" w:type="dxa"/>
                <w:vAlign w:val="center"/>
              </w:tcPr>
              <w:p w14:paraId="310CF6B4" w14:textId="77777777" w:rsidR="00577D08" w:rsidRDefault="00330FC0">
                <w:pPr>
                  <w:jc w:val="center"/>
                </w:pPr>
                <w:r>
                  <w:t>计税依据</w:t>
                </w:r>
              </w:p>
            </w:tc>
          </w:sdtContent>
        </w:sdt>
        <w:sdt>
          <w:sdtPr>
            <w:tag w:val="_PLD_74e07bcec6714b078c64caa53447462a"/>
            <w:id w:val="1399635043"/>
          </w:sdtPr>
          <w:sdtContent>
            <w:tc>
              <w:tcPr>
                <w:tcW w:w="1993" w:type="dxa"/>
                <w:vAlign w:val="center"/>
              </w:tcPr>
              <w:p w14:paraId="5961205F" w14:textId="77777777" w:rsidR="00577D08" w:rsidRDefault="00330FC0">
                <w:pPr>
                  <w:jc w:val="center"/>
                </w:pPr>
                <w:r>
                  <w:t>税率</w:t>
                </w:r>
              </w:p>
            </w:tc>
          </w:sdtContent>
        </w:sdt>
      </w:tr>
      <w:tr w:rsidR="00577D08" w14:paraId="4BB70ED3" w14:textId="77777777">
        <w:trPr>
          <w:trHeight w:val="397"/>
        </w:trPr>
        <w:tc>
          <w:tcPr>
            <w:tcW w:w="1951" w:type="dxa"/>
            <w:vAlign w:val="center"/>
          </w:tcPr>
          <w:p w14:paraId="3A9EB1CD" w14:textId="77777777" w:rsidR="00577D08" w:rsidRDefault="00330FC0">
            <w:pPr>
              <w:jc w:val="both"/>
            </w:pPr>
            <w:r>
              <w:rPr>
                <w:rFonts w:hint="eastAsia"/>
              </w:rPr>
              <w:t>增值税</w:t>
            </w:r>
          </w:p>
        </w:tc>
        <w:tc>
          <w:tcPr>
            <w:tcW w:w="5103" w:type="dxa"/>
            <w:vAlign w:val="center"/>
          </w:tcPr>
          <w:p w14:paraId="7517CC21" w14:textId="77777777" w:rsidR="00577D08" w:rsidRDefault="00330FC0">
            <w:pPr>
              <w:jc w:val="both"/>
            </w:pPr>
            <w:r>
              <w:rPr>
                <w:rFonts w:hint="eastAsia"/>
              </w:rPr>
              <w:t>以按税法规定计算的销售货物和应税劳务收入为基础计算销项税额，扣除当期允许抵扣的进项税额后，差额部分为应交增值税</w:t>
            </w:r>
          </w:p>
        </w:tc>
        <w:tc>
          <w:tcPr>
            <w:tcW w:w="1993" w:type="dxa"/>
            <w:vAlign w:val="center"/>
          </w:tcPr>
          <w:p w14:paraId="2CFEF2D8" w14:textId="77777777" w:rsidR="00577D08" w:rsidRDefault="00330FC0">
            <w:pPr>
              <w:jc w:val="both"/>
            </w:pPr>
            <w:r>
              <w:rPr>
                <w:rFonts w:hint="eastAsia"/>
              </w:rPr>
              <w:t>13%</w:t>
            </w:r>
            <w:r>
              <w:rPr>
                <w:rFonts w:hint="eastAsia"/>
              </w:rPr>
              <w:t>、</w:t>
            </w:r>
            <w:r>
              <w:rPr>
                <w:rFonts w:hint="eastAsia"/>
              </w:rPr>
              <w:t>9%</w:t>
            </w:r>
            <w:r>
              <w:rPr>
                <w:rFonts w:hint="eastAsia"/>
              </w:rPr>
              <w:t>、</w:t>
            </w:r>
            <w:r>
              <w:rPr>
                <w:rFonts w:hint="eastAsia"/>
              </w:rPr>
              <w:t>6%</w:t>
            </w:r>
          </w:p>
        </w:tc>
      </w:tr>
      <w:tr w:rsidR="00577D08" w14:paraId="3DAA5E41" w14:textId="77777777">
        <w:trPr>
          <w:trHeight w:val="397"/>
        </w:trPr>
        <w:tc>
          <w:tcPr>
            <w:tcW w:w="1951" w:type="dxa"/>
            <w:vAlign w:val="center"/>
          </w:tcPr>
          <w:p w14:paraId="48C0A3FF" w14:textId="77777777" w:rsidR="00577D08" w:rsidRDefault="00330FC0">
            <w:pPr>
              <w:jc w:val="both"/>
            </w:pPr>
            <w:r>
              <w:rPr>
                <w:rFonts w:hint="eastAsia"/>
              </w:rPr>
              <w:t>城市维护建设税</w:t>
            </w:r>
          </w:p>
        </w:tc>
        <w:tc>
          <w:tcPr>
            <w:tcW w:w="5103" w:type="dxa"/>
            <w:vAlign w:val="center"/>
          </w:tcPr>
          <w:p w14:paraId="21604455" w14:textId="77777777" w:rsidR="00577D08" w:rsidRDefault="00330FC0">
            <w:pPr>
              <w:jc w:val="both"/>
            </w:pPr>
            <w:r>
              <w:rPr>
                <w:rFonts w:hint="eastAsia"/>
              </w:rPr>
              <w:t>实际缴纳的流转税税额</w:t>
            </w:r>
          </w:p>
        </w:tc>
        <w:tc>
          <w:tcPr>
            <w:tcW w:w="1993" w:type="dxa"/>
            <w:vAlign w:val="center"/>
          </w:tcPr>
          <w:p w14:paraId="052A2A6E" w14:textId="77777777" w:rsidR="00577D08" w:rsidRDefault="00330FC0">
            <w:pPr>
              <w:jc w:val="both"/>
            </w:pPr>
            <w:r>
              <w:rPr>
                <w:rFonts w:hint="eastAsia"/>
              </w:rPr>
              <w:t>7%</w:t>
            </w:r>
          </w:p>
        </w:tc>
      </w:tr>
      <w:tr w:rsidR="00577D08" w14:paraId="51479CAC" w14:textId="77777777">
        <w:trPr>
          <w:trHeight w:val="397"/>
        </w:trPr>
        <w:tc>
          <w:tcPr>
            <w:tcW w:w="1951" w:type="dxa"/>
            <w:vAlign w:val="center"/>
          </w:tcPr>
          <w:p w14:paraId="4BEEC877" w14:textId="77777777" w:rsidR="00577D08" w:rsidRDefault="00330FC0">
            <w:pPr>
              <w:jc w:val="both"/>
            </w:pPr>
            <w:r>
              <w:rPr>
                <w:rFonts w:hint="eastAsia"/>
              </w:rPr>
              <w:t>教育费附加</w:t>
            </w:r>
          </w:p>
        </w:tc>
        <w:tc>
          <w:tcPr>
            <w:tcW w:w="5103" w:type="dxa"/>
            <w:vAlign w:val="center"/>
          </w:tcPr>
          <w:p w14:paraId="228D69CE" w14:textId="77777777" w:rsidR="00577D08" w:rsidRDefault="00330FC0">
            <w:pPr>
              <w:jc w:val="both"/>
            </w:pPr>
            <w:r>
              <w:rPr>
                <w:rFonts w:hint="eastAsia"/>
              </w:rPr>
              <w:t>实际缴纳的流转税税额</w:t>
            </w:r>
          </w:p>
        </w:tc>
        <w:tc>
          <w:tcPr>
            <w:tcW w:w="1993" w:type="dxa"/>
            <w:vAlign w:val="center"/>
          </w:tcPr>
          <w:p w14:paraId="2620BEE2" w14:textId="77777777" w:rsidR="00577D08" w:rsidRDefault="00330FC0">
            <w:pPr>
              <w:jc w:val="both"/>
            </w:pPr>
            <w:r>
              <w:rPr>
                <w:rFonts w:hint="eastAsia"/>
              </w:rPr>
              <w:t>3%</w:t>
            </w:r>
          </w:p>
        </w:tc>
      </w:tr>
      <w:tr w:rsidR="00577D08" w14:paraId="28FCCF9F" w14:textId="77777777">
        <w:trPr>
          <w:trHeight w:val="397"/>
        </w:trPr>
        <w:tc>
          <w:tcPr>
            <w:tcW w:w="1951" w:type="dxa"/>
            <w:vAlign w:val="center"/>
          </w:tcPr>
          <w:p w14:paraId="435251A5" w14:textId="77777777" w:rsidR="00577D08" w:rsidRDefault="00330FC0">
            <w:pPr>
              <w:jc w:val="both"/>
            </w:pPr>
            <w:r>
              <w:rPr>
                <w:rFonts w:hint="eastAsia"/>
              </w:rPr>
              <w:t>地方教育附加</w:t>
            </w:r>
          </w:p>
        </w:tc>
        <w:tc>
          <w:tcPr>
            <w:tcW w:w="5103" w:type="dxa"/>
            <w:vAlign w:val="center"/>
          </w:tcPr>
          <w:p w14:paraId="4812F4A4" w14:textId="77777777" w:rsidR="00577D08" w:rsidRDefault="00330FC0">
            <w:pPr>
              <w:jc w:val="both"/>
            </w:pPr>
            <w:r>
              <w:rPr>
                <w:rFonts w:hint="eastAsia"/>
              </w:rPr>
              <w:t>实际缴纳的流转税税额</w:t>
            </w:r>
          </w:p>
        </w:tc>
        <w:tc>
          <w:tcPr>
            <w:tcW w:w="1993" w:type="dxa"/>
            <w:vAlign w:val="center"/>
          </w:tcPr>
          <w:p w14:paraId="1A401F48" w14:textId="77777777" w:rsidR="00577D08" w:rsidRDefault="00330FC0">
            <w:pPr>
              <w:jc w:val="both"/>
            </w:pPr>
            <w:r>
              <w:rPr>
                <w:rFonts w:hint="eastAsia"/>
              </w:rPr>
              <w:t>2%</w:t>
            </w:r>
          </w:p>
        </w:tc>
      </w:tr>
      <w:tr w:rsidR="00577D08" w14:paraId="0B1702C2" w14:textId="77777777">
        <w:trPr>
          <w:trHeight w:val="397"/>
        </w:trPr>
        <w:tc>
          <w:tcPr>
            <w:tcW w:w="1951" w:type="dxa"/>
            <w:vAlign w:val="center"/>
          </w:tcPr>
          <w:p w14:paraId="05B5BEAA" w14:textId="77777777" w:rsidR="00577D08" w:rsidRDefault="00330FC0">
            <w:pPr>
              <w:jc w:val="both"/>
            </w:pPr>
            <w:r>
              <w:rPr>
                <w:rFonts w:hint="eastAsia"/>
              </w:rPr>
              <w:t>企业所得税</w:t>
            </w:r>
          </w:p>
        </w:tc>
        <w:tc>
          <w:tcPr>
            <w:tcW w:w="5103" w:type="dxa"/>
            <w:vAlign w:val="center"/>
          </w:tcPr>
          <w:p w14:paraId="28602034" w14:textId="77777777" w:rsidR="00577D08" w:rsidRDefault="00330FC0">
            <w:pPr>
              <w:jc w:val="both"/>
            </w:pPr>
            <w:r>
              <w:rPr>
                <w:rFonts w:hint="eastAsia"/>
              </w:rPr>
              <w:t>应纳税所得额</w:t>
            </w:r>
          </w:p>
        </w:tc>
        <w:tc>
          <w:tcPr>
            <w:tcW w:w="1993" w:type="dxa"/>
            <w:vAlign w:val="center"/>
          </w:tcPr>
          <w:p w14:paraId="0AC03752" w14:textId="77777777" w:rsidR="00577D08" w:rsidRDefault="00330FC0">
            <w:pPr>
              <w:jc w:val="both"/>
            </w:pPr>
            <w:r>
              <w:rPr>
                <w:rFonts w:hint="eastAsia"/>
              </w:rPr>
              <w:t>8.25%</w:t>
            </w:r>
            <w:r>
              <w:rPr>
                <w:rFonts w:hint="eastAsia"/>
              </w:rPr>
              <w:t>、</w:t>
            </w:r>
            <w:r>
              <w:rPr>
                <w:rFonts w:hint="eastAsia"/>
              </w:rPr>
              <w:t>15%</w:t>
            </w:r>
            <w:r>
              <w:rPr>
                <w:rFonts w:hint="eastAsia"/>
              </w:rPr>
              <w:t>、</w:t>
            </w:r>
            <w:r>
              <w:rPr>
                <w:rFonts w:hint="eastAsia"/>
              </w:rPr>
              <w:t>20%</w:t>
            </w:r>
            <w:r>
              <w:rPr>
                <w:rFonts w:hint="eastAsia"/>
              </w:rPr>
              <w:t>、</w:t>
            </w:r>
            <w:r>
              <w:rPr>
                <w:rFonts w:hint="eastAsia"/>
              </w:rPr>
              <w:t>25%</w:t>
            </w:r>
          </w:p>
        </w:tc>
      </w:tr>
      <w:tr w:rsidR="00577D08" w14:paraId="166E21E0" w14:textId="77777777">
        <w:trPr>
          <w:trHeight w:val="397"/>
        </w:trPr>
        <w:tc>
          <w:tcPr>
            <w:tcW w:w="1951" w:type="dxa"/>
            <w:vAlign w:val="center"/>
          </w:tcPr>
          <w:p w14:paraId="0CD18846" w14:textId="77777777" w:rsidR="00577D08" w:rsidRDefault="00330FC0">
            <w:pPr>
              <w:jc w:val="both"/>
            </w:pPr>
            <w:r>
              <w:rPr>
                <w:rFonts w:hint="eastAsia"/>
              </w:rPr>
              <w:t>房产税</w:t>
            </w:r>
          </w:p>
        </w:tc>
        <w:tc>
          <w:tcPr>
            <w:tcW w:w="5103" w:type="dxa"/>
            <w:vAlign w:val="center"/>
          </w:tcPr>
          <w:p w14:paraId="5D6596F5" w14:textId="77777777" w:rsidR="00577D08" w:rsidRDefault="00330FC0">
            <w:pPr>
              <w:jc w:val="both"/>
            </w:pPr>
            <w:r>
              <w:rPr>
                <w:rFonts w:hint="eastAsia"/>
              </w:rPr>
              <w:t>从价计征的，按房产原值一次减除</w:t>
            </w:r>
            <w:r>
              <w:rPr>
                <w:rFonts w:hint="eastAsia"/>
              </w:rPr>
              <w:t>30%</w:t>
            </w:r>
            <w:r>
              <w:rPr>
                <w:rFonts w:hint="eastAsia"/>
              </w:rPr>
              <w:t>后余值的</w:t>
            </w:r>
            <w:r>
              <w:rPr>
                <w:rFonts w:hint="eastAsia"/>
              </w:rPr>
              <w:t>1.2%</w:t>
            </w:r>
            <w:r>
              <w:rPr>
                <w:rFonts w:hint="eastAsia"/>
              </w:rPr>
              <w:t>计缴；从租计征的，按租金收入的</w:t>
            </w:r>
            <w:r>
              <w:rPr>
                <w:rFonts w:hint="eastAsia"/>
              </w:rPr>
              <w:t>12%</w:t>
            </w:r>
            <w:r>
              <w:rPr>
                <w:rFonts w:hint="eastAsia"/>
              </w:rPr>
              <w:t>计缴</w:t>
            </w:r>
          </w:p>
        </w:tc>
        <w:tc>
          <w:tcPr>
            <w:tcW w:w="1993" w:type="dxa"/>
            <w:vAlign w:val="center"/>
          </w:tcPr>
          <w:p w14:paraId="1D5D1151" w14:textId="77777777" w:rsidR="00577D08" w:rsidRDefault="00330FC0">
            <w:pPr>
              <w:jc w:val="both"/>
            </w:pPr>
            <w:r>
              <w:rPr>
                <w:rFonts w:hint="eastAsia"/>
              </w:rPr>
              <w:t>1.2%</w:t>
            </w:r>
            <w:r>
              <w:rPr>
                <w:rFonts w:hint="eastAsia"/>
              </w:rPr>
              <w:t>、</w:t>
            </w:r>
            <w:r>
              <w:rPr>
                <w:rFonts w:hint="eastAsia"/>
              </w:rPr>
              <w:t>12%</w:t>
            </w:r>
          </w:p>
        </w:tc>
      </w:tr>
    </w:tbl>
    <w:p w14:paraId="1A1652DD" w14:textId="77777777" w:rsidR="00577D08" w:rsidRDefault="00330FC0">
      <w:r>
        <w:rPr>
          <w:rFonts w:hint="eastAsia"/>
        </w:rPr>
        <w:t>存在不同企业所得税税率纳税主体的，披露情况说明</w:t>
      </w:r>
    </w:p>
    <w:sdt>
      <w:sdtPr>
        <w:alias w:val="是否适用：存在不同企业所得税税率纳税主体的，披露情况说明[双击切换]"/>
        <w:tag w:val="_GBC_f117cb1e9d6f4e82900861637cf6a799"/>
        <w:id w:val="-1935041830"/>
        <w:placeholder>
          <w:docPart w:val="GBC22222222222222222222222222222"/>
        </w:placeholder>
      </w:sdtPr>
      <w:sdtContent>
        <w:p w14:paraId="65759C8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2"/>
        <w:gridCol w:w="4446"/>
      </w:tblGrid>
      <w:tr w:rsidR="00577D08" w14:paraId="59DDC083" w14:textId="77777777">
        <w:trPr>
          <w:trHeight w:val="397"/>
        </w:trPr>
        <w:sdt>
          <w:sdtPr>
            <w:tag w:val="_PLD_45211f01b9764dbc9a13b86554731418"/>
            <w:id w:val="70086260"/>
          </w:sdtPr>
          <w:sdtContent>
            <w:tc>
              <w:tcPr>
                <w:tcW w:w="4602" w:type="dxa"/>
                <w:vAlign w:val="center"/>
              </w:tcPr>
              <w:p w14:paraId="6C021837" w14:textId="77777777" w:rsidR="00577D08" w:rsidRDefault="00330FC0">
                <w:pPr>
                  <w:jc w:val="center"/>
                </w:pPr>
                <w:r>
                  <w:rPr>
                    <w:rFonts w:hint="eastAsia"/>
                  </w:rPr>
                  <w:t>纳税主体名称</w:t>
                </w:r>
              </w:p>
            </w:tc>
          </w:sdtContent>
        </w:sdt>
        <w:sdt>
          <w:sdtPr>
            <w:tag w:val="_PLD_f364076e1daa46149b120da21925a155"/>
            <w:id w:val="-1055084854"/>
          </w:sdtPr>
          <w:sdtContent>
            <w:tc>
              <w:tcPr>
                <w:tcW w:w="4446" w:type="dxa"/>
                <w:vAlign w:val="center"/>
              </w:tcPr>
              <w:p w14:paraId="2767F2E3" w14:textId="77777777" w:rsidR="00577D08" w:rsidRDefault="00330FC0">
                <w:pPr>
                  <w:jc w:val="center"/>
                </w:pPr>
                <w:r>
                  <w:rPr>
                    <w:rFonts w:hint="eastAsia"/>
                  </w:rPr>
                  <w:t>所得税税率（</w:t>
                </w:r>
                <w:r>
                  <w:rPr>
                    <w:rFonts w:hint="eastAsia"/>
                  </w:rPr>
                  <w:t>%</w:t>
                </w:r>
                <w:r>
                  <w:rPr>
                    <w:rFonts w:hint="eastAsia"/>
                  </w:rPr>
                  <w:t>）</w:t>
                </w:r>
              </w:p>
            </w:tc>
          </w:sdtContent>
        </w:sdt>
      </w:tr>
      <w:tr w:rsidR="00577D08" w14:paraId="45488009" w14:textId="77777777">
        <w:trPr>
          <w:trHeight w:val="397"/>
        </w:trPr>
        <w:tc>
          <w:tcPr>
            <w:tcW w:w="4602" w:type="dxa"/>
            <w:vAlign w:val="center"/>
          </w:tcPr>
          <w:p w14:paraId="2B2F3776" w14:textId="77777777" w:rsidR="00577D08" w:rsidRDefault="00330FC0">
            <w:pPr>
              <w:jc w:val="both"/>
            </w:pPr>
            <w:r>
              <w:rPr>
                <w:rFonts w:hint="eastAsia"/>
              </w:rPr>
              <w:t>重庆望变电气（集团）股份有限公司</w:t>
            </w:r>
          </w:p>
        </w:tc>
        <w:tc>
          <w:tcPr>
            <w:tcW w:w="4446" w:type="dxa"/>
            <w:vAlign w:val="center"/>
          </w:tcPr>
          <w:p w14:paraId="4D6F637D" w14:textId="77777777" w:rsidR="00577D08" w:rsidRDefault="00330FC0">
            <w:pPr>
              <w:jc w:val="right"/>
            </w:pPr>
            <w:r>
              <w:rPr>
                <w:rFonts w:hint="eastAsia"/>
              </w:rPr>
              <w:t>15</w:t>
            </w:r>
          </w:p>
        </w:tc>
      </w:tr>
      <w:tr w:rsidR="00577D08" w14:paraId="5D52E7CC" w14:textId="77777777">
        <w:trPr>
          <w:trHeight w:val="397"/>
        </w:trPr>
        <w:tc>
          <w:tcPr>
            <w:tcW w:w="4602" w:type="dxa"/>
            <w:vAlign w:val="center"/>
          </w:tcPr>
          <w:p w14:paraId="0964BA01" w14:textId="77777777" w:rsidR="00577D08" w:rsidRDefault="00330FC0">
            <w:pPr>
              <w:jc w:val="both"/>
            </w:pPr>
            <w:r>
              <w:rPr>
                <w:rFonts w:hint="eastAsia"/>
              </w:rPr>
              <w:t>重庆惠泽电器有限公司</w:t>
            </w:r>
          </w:p>
        </w:tc>
        <w:tc>
          <w:tcPr>
            <w:tcW w:w="4446" w:type="dxa"/>
            <w:vAlign w:val="center"/>
          </w:tcPr>
          <w:p w14:paraId="78407EF1" w14:textId="77777777" w:rsidR="00577D08" w:rsidRDefault="00330FC0">
            <w:pPr>
              <w:jc w:val="right"/>
            </w:pPr>
            <w:r>
              <w:rPr>
                <w:rFonts w:hint="eastAsia"/>
              </w:rPr>
              <w:t>25</w:t>
            </w:r>
          </w:p>
        </w:tc>
      </w:tr>
      <w:tr w:rsidR="00577D08" w14:paraId="4F2CCB36" w14:textId="77777777">
        <w:trPr>
          <w:trHeight w:val="397"/>
        </w:trPr>
        <w:tc>
          <w:tcPr>
            <w:tcW w:w="4602" w:type="dxa"/>
            <w:vAlign w:val="center"/>
          </w:tcPr>
          <w:p w14:paraId="50936DE0" w14:textId="77777777" w:rsidR="00577D08" w:rsidRDefault="00330FC0">
            <w:pPr>
              <w:jc w:val="both"/>
            </w:pPr>
            <w:r>
              <w:rPr>
                <w:rFonts w:hint="eastAsia"/>
              </w:rPr>
              <w:t>黔南望江变压器有限公司</w:t>
            </w:r>
          </w:p>
        </w:tc>
        <w:tc>
          <w:tcPr>
            <w:tcW w:w="4446" w:type="dxa"/>
            <w:vAlign w:val="center"/>
          </w:tcPr>
          <w:p w14:paraId="42EB1260" w14:textId="77777777" w:rsidR="00577D08" w:rsidRDefault="00330FC0">
            <w:pPr>
              <w:jc w:val="right"/>
            </w:pPr>
            <w:r>
              <w:rPr>
                <w:rFonts w:hint="eastAsia"/>
              </w:rPr>
              <w:t>15</w:t>
            </w:r>
          </w:p>
        </w:tc>
      </w:tr>
      <w:tr w:rsidR="00577D08" w14:paraId="0003E158" w14:textId="77777777">
        <w:trPr>
          <w:trHeight w:val="397"/>
        </w:trPr>
        <w:tc>
          <w:tcPr>
            <w:tcW w:w="4602" w:type="dxa"/>
            <w:vAlign w:val="center"/>
          </w:tcPr>
          <w:p w14:paraId="047CA466" w14:textId="77777777" w:rsidR="00577D08" w:rsidRDefault="00330FC0">
            <w:pPr>
              <w:jc w:val="both"/>
            </w:pPr>
            <w:r>
              <w:rPr>
                <w:rFonts w:hint="eastAsia"/>
              </w:rPr>
              <w:t>云南变压器电气股份有限公司</w:t>
            </w:r>
          </w:p>
        </w:tc>
        <w:tc>
          <w:tcPr>
            <w:tcW w:w="4446" w:type="dxa"/>
            <w:vAlign w:val="center"/>
          </w:tcPr>
          <w:p w14:paraId="3CBB7EFF" w14:textId="77777777" w:rsidR="00577D08" w:rsidRDefault="00330FC0">
            <w:pPr>
              <w:jc w:val="right"/>
            </w:pPr>
            <w:r>
              <w:rPr>
                <w:rFonts w:hint="eastAsia"/>
              </w:rPr>
              <w:t>15</w:t>
            </w:r>
          </w:p>
        </w:tc>
      </w:tr>
      <w:tr w:rsidR="00577D08" w14:paraId="32973736" w14:textId="77777777">
        <w:trPr>
          <w:trHeight w:val="397"/>
        </w:trPr>
        <w:tc>
          <w:tcPr>
            <w:tcW w:w="4602" w:type="dxa"/>
            <w:vAlign w:val="center"/>
          </w:tcPr>
          <w:p w14:paraId="2FE8A53E" w14:textId="77777777" w:rsidR="00577D08" w:rsidRDefault="00330FC0">
            <w:pPr>
              <w:jc w:val="both"/>
            </w:pPr>
            <w:r>
              <w:rPr>
                <w:rFonts w:hint="eastAsia"/>
              </w:rPr>
              <w:t>沈阳望泽电气有限公司</w:t>
            </w:r>
          </w:p>
        </w:tc>
        <w:tc>
          <w:tcPr>
            <w:tcW w:w="4446" w:type="dxa"/>
            <w:vAlign w:val="center"/>
          </w:tcPr>
          <w:p w14:paraId="0B17FED0" w14:textId="77777777" w:rsidR="00577D08" w:rsidRDefault="00330FC0">
            <w:pPr>
              <w:jc w:val="right"/>
            </w:pPr>
            <w:r>
              <w:rPr>
                <w:rFonts w:hint="eastAsia"/>
              </w:rPr>
              <w:t>20</w:t>
            </w:r>
          </w:p>
        </w:tc>
      </w:tr>
      <w:tr w:rsidR="00577D08" w14:paraId="4718BE01" w14:textId="77777777">
        <w:trPr>
          <w:trHeight w:val="397"/>
        </w:trPr>
        <w:tc>
          <w:tcPr>
            <w:tcW w:w="4602" w:type="dxa"/>
            <w:vAlign w:val="center"/>
          </w:tcPr>
          <w:p w14:paraId="6E2DD2F1" w14:textId="77777777" w:rsidR="00577D08" w:rsidRDefault="00330FC0">
            <w:pPr>
              <w:jc w:val="both"/>
            </w:pPr>
            <w:r>
              <w:rPr>
                <w:rFonts w:hint="eastAsia"/>
              </w:rPr>
              <w:t>上海渝申望变新能源科技有限公司</w:t>
            </w:r>
          </w:p>
        </w:tc>
        <w:tc>
          <w:tcPr>
            <w:tcW w:w="4446" w:type="dxa"/>
            <w:vAlign w:val="center"/>
          </w:tcPr>
          <w:p w14:paraId="6F025235" w14:textId="77777777" w:rsidR="00577D08" w:rsidRDefault="00330FC0">
            <w:pPr>
              <w:jc w:val="right"/>
            </w:pPr>
            <w:r>
              <w:rPr>
                <w:rFonts w:hint="eastAsia"/>
              </w:rPr>
              <w:t>20</w:t>
            </w:r>
          </w:p>
        </w:tc>
      </w:tr>
      <w:tr w:rsidR="00577D08" w14:paraId="67F45DAB" w14:textId="77777777">
        <w:trPr>
          <w:trHeight w:val="397"/>
        </w:trPr>
        <w:tc>
          <w:tcPr>
            <w:tcW w:w="4602" w:type="dxa"/>
            <w:vAlign w:val="center"/>
          </w:tcPr>
          <w:p w14:paraId="1B3E04DB" w14:textId="77777777" w:rsidR="00577D08" w:rsidRDefault="00330FC0">
            <w:pPr>
              <w:jc w:val="both"/>
            </w:pPr>
            <w:r>
              <w:rPr>
                <w:rFonts w:hint="eastAsia"/>
              </w:rPr>
              <w:t>望来充（重庆）科技有限责任公司</w:t>
            </w:r>
          </w:p>
        </w:tc>
        <w:tc>
          <w:tcPr>
            <w:tcW w:w="4446" w:type="dxa"/>
            <w:vAlign w:val="center"/>
          </w:tcPr>
          <w:p w14:paraId="354D0CE4" w14:textId="77777777" w:rsidR="00577D08" w:rsidRDefault="00330FC0">
            <w:pPr>
              <w:jc w:val="right"/>
            </w:pPr>
            <w:r>
              <w:rPr>
                <w:rFonts w:hint="eastAsia"/>
              </w:rPr>
              <w:t>20</w:t>
            </w:r>
          </w:p>
        </w:tc>
      </w:tr>
      <w:tr w:rsidR="00577D08" w14:paraId="767D2ED4" w14:textId="77777777">
        <w:trPr>
          <w:trHeight w:val="397"/>
        </w:trPr>
        <w:tc>
          <w:tcPr>
            <w:tcW w:w="4602" w:type="dxa"/>
            <w:vAlign w:val="center"/>
          </w:tcPr>
          <w:p w14:paraId="24BA56F8" w14:textId="77777777" w:rsidR="00577D08" w:rsidRDefault="00330FC0">
            <w:pPr>
              <w:jc w:val="both"/>
            </w:pPr>
            <w:r>
              <w:rPr>
                <w:rFonts w:hint="eastAsia"/>
              </w:rPr>
              <w:lastRenderedPageBreak/>
              <w:t>望来充（云南）科技有限公司</w:t>
            </w:r>
          </w:p>
        </w:tc>
        <w:tc>
          <w:tcPr>
            <w:tcW w:w="4446" w:type="dxa"/>
            <w:vAlign w:val="center"/>
          </w:tcPr>
          <w:p w14:paraId="1BA72683" w14:textId="77777777" w:rsidR="00577D08" w:rsidRDefault="00330FC0">
            <w:pPr>
              <w:jc w:val="right"/>
            </w:pPr>
            <w:r>
              <w:rPr>
                <w:rFonts w:hint="eastAsia"/>
              </w:rPr>
              <w:t>20</w:t>
            </w:r>
          </w:p>
        </w:tc>
      </w:tr>
      <w:tr w:rsidR="00577D08" w14:paraId="22D742A4" w14:textId="77777777">
        <w:trPr>
          <w:trHeight w:val="397"/>
        </w:trPr>
        <w:tc>
          <w:tcPr>
            <w:tcW w:w="4602" w:type="dxa"/>
            <w:vAlign w:val="center"/>
          </w:tcPr>
          <w:p w14:paraId="3B7A608B" w14:textId="77777777" w:rsidR="00577D08" w:rsidRDefault="00330FC0">
            <w:pPr>
              <w:jc w:val="both"/>
            </w:pPr>
            <w:r>
              <w:rPr>
                <w:rFonts w:hint="eastAsia"/>
              </w:rPr>
              <w:t>重庆长寿望来充新能源有限公司</w:t>
            </w:r>
          </w:p>
        </w:tc>
        <w:tc>
          <w:tcPr>
            <w:tcW w:w="4446" w:type="dxa"/>
            <w:vAlign w:val="center"/>
          </w:tcPr>
          <w:p w14:paraId="60D69321" w14:textId="77777777" w:rsidR="00577D08" w:rsidRDefault="00330FC0">
            <w:pPr>
              <w:jc w:val="right"/>
            </w:pPr>
            <w:r>
              <w:rPr>
                <w:rFonts w:hint="eastAsia"/>
              </w:rPr>
              <w:t>20</w:t>
            </w:r>
          </w:p>
        </w:tc>
      </w:tr>
      <w:tr w:rsidR="00577D08" w14:paraId="30B8F487" w14:textId="77777777">
        <w:trPr>
          <w:trHeight w:val="397"/>
        </w:trPr>
        <w:tc>
          <w:tcPr>
            <w:tcW w:w="4602" w:type="dxa"/>
            <w:vAlign w:val="center"/>
          </w:tcPr>
          <w:p w14:paraId="37244567" w14:textId="77777777" w:rsidR="00577D08" w:rsidRDefault="00330FC0">
            <w:pPr>
              <w:jc w:val="both"/>
            </w:pPr>
            <w:r>
              <w:rPr>
                <w:rFonts w:hint="eastAsia"/>
              </w:rPr>
              <w:t>望来充（河南）新能源有限公司</w:t>
            </w:r>
          </w:p>
        </w:tc>
        <w:tc>
          <w:tcPr>
            <w:tcW w:w="4446" w:type="dxa"/>
            <w:vAlign w:val="center"/>
          </w:tcPr>
          <w:p w14:paraId="05874043" w14:textId="77777777" w:rsidR="00577D08" w:rsidRDefault="00330FC0">
            <w:pPr>
              <w:jc w:val="right"/>
            </w:pPr>
            <w:r>
              <w:rPr>
                <w:rFonts w:hint="eastAsia"/>
              </w:rPr>
              <w:t>20</w:t>
            </w:r>
          </w:p>
        </w:tc>
      </w:tr>
      <w:tr w:rsidR="00577D08" w14:paraId="36619F8A" w14:textId="77777777">
        <w:trPr>
          <w:trHeight w:val="397"/>
        </w:trPr>
        <w:tc>
          <w:tcPr>
            <w:tcW w:w="4602" w:type="dxa"/>
            <w:vAlign w:val="center"/>
          </w:tcPr>
          <w:p w14:paraId="42899CA2" w14:textId="77777777" w:rsidR="00577D08" w:rsidRDefault="00330FC0">
            <w:pPr>
              <w:jc w:val="both"/>
            </w:pPr>
            <w:r>
              <w:rPr>
                <w:rFonts w:hint="eastAsia"/>
              </w:rPr>
              <w:t>香港望变国际有限公司</w:t>
            </w:r>
            <w:r>
              <w:rPr>
                <w:rFonts w:hint="eastAsia"/>
              </w:rPr>
              <w:t>[</w:t>
            </w:r>
            <w:r>
              <w:rPr>
                <w:rFonts w:hint="eastAsia"/>
              </w:rPr>
              <w:t>注</w:t>
            </w:r>
            <w:r>
              <w:rPr>
                <w:rFonts w:hint="eastAsia"/>
              </w:rPr>
              <w:t>]</w:t>
            </w:r>
          </w:p>
        </w:tc>
        <w:tc>
          <w:tcPr>
            <w:tcW w:w="4446" w:type="dxa"/>
            <w:vAlign w:val="center"/>
          </w:tcPr>
          <w:p w14:paraId="344AD888" w14:textId="77777777" w:rsidR="00577D08" w:rsidRDefault="00330FC0">
            <w:pPr>
              <w:jc w:val="right"/>
            </w:pPr>
            <w:r>
              <w:rPr>
                <w:rFonts w:hint="eastAsia"/>
              </w:rPr>
              <w:t>8.25</w:t>
            </w:r>
          </w:p>
        </w:tc>
      </w:tr>
    </w:tbl>
    <w:p w14:paraId="5A324B92" w14:textId="77777777" w:rsidR="00577D08" w:rsidRDefault="00330FC0">
      <w:pPr>
        <w:spacing w:line="360" w:lineRule="exact"/>
      </w:pPr>
      <w:r>
        <w:rPr>
          <w:rFonts w:hint="eastAsia"/>
        </w:rPr>
        <w:t>注：香港望变国际有限公司注册地为香港，根据香港</w:t>
      </w:r>
      <w:r>
        <w:rPr>
          <w:rFonts w:hint="eastAsia"/>
        </w:rPr>
        <w:t>2018</w:t>
      </w:r>
      <w:r>
        <w:rPr>
          <w:rFonts w:hint="eastAsia"/>
        </w:rPr>
        <w:t>年</w:t>
      </w:r>
      <w:r>
        <w:rPr>
          <w:rFonts w:hint="eastAsia"/>
        </w:rPr>
        <w:t>4</w:t>
      </w:r>
      <w:r>
        <w:rPr>
          <w:rFonts w:hint="eastAsia"/>
        </w:rPr>
        <w:t>月开始施行的利得税两级制，企业首个</w:t>
      </w:r>
      <w:r>
        <w:rPr>
          <w:rFonts w:hint="eastAsia"/>
        </w:rPr>
        <w:t>200</w:t>
      </w:r>
      <w:r>
        <w:rPr>
          <w:rFonts w:hint="eastAsia"/>
        </w:rPr>
        <w:t>万港币利得税税率为</w:t>
      </w:r>
      <w:r>
        <w:rPr>
          <w:rFonts w:hint="eastAsia"/>
        </w:rPr>
        <w:t>8.25%</w:t>
      </w:r>
      <w:r>
        <w:rPr>
          <w:rFonts w:hint="eastAsia"/>
        </w:rPr>
        <w:t>，超过部分税率为</w:t>
      </w:r>
      <w:r>
        <w:rPr>
          <w:rFonts w:hint="eastAsia"/>
        </w:rPr>
        <w:t>16.50%</w:t>
      </w:r>
    </w:p>
    <w:p w14:paraId="568A0318" w14:textId="77777777" w:rsidR="00577D08" w:rsidRDefault="00330FC0">
      <w:pPr>
        <w:pStyle w:val="3"/>
        <w:numPr>
          <w:ilvl w:val="0"/>
          <w:numId w:val="60"/>
        </w:numPr>
        <w:tabs>
          <w:tab w:val="left" w:pos="546"/>
        </w:tabs>
      </w:pPr>
      <w:r>
        <w:t>税收优惠</w:t>
      </w:r>
    </w:p>
    <w:sdt>
      <w:sdtPr>
        <w:rPr>
          <w:rFonts w:hint="eastAsia"/>
        </w:rPr>
        <w:alias w:val="是否适用：税收优惠[双击切换]"/>
        <w:tag w:val="_GBC_7b649dcf8ab54475bffc51edb3c33588"/>
        <w:id w:val="-753195597"/>
        <w:placeholder>
          <w:docPart w:val="GBC22222222222222222222222222222"/>
        </w:placeholder>
      </w:sdtPr>
      <w:sdtContent>
        <w:p w14:paraId="07A58E82"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优惠税赋及批文"/>
        <w:tag w:val="_GBC_3bbdacdaa3ba421fb8a81b9bda047bb4"/>
        <w:id w:val="-1699545636"/>
        <w:placeholder>
          <w:docPart w:val="GBC22222222222222222222222222222"/>
        </w:placeholder>
      </w:sdtPr>
      <w:sdtContent>
        <w:p w14:paraId="7558BC15" w14:textId="77777777" w:rsidR="00577D08" w:rsidRDefault="00330FC0">
          <w:pPr>
            <w:spacing w:line="360" w:lineRule="exact"/>
            <w:ind w:firstLineChars="200" w:firstLine="420"/>
          </w:pPr>
          <w:r>
            <w:rPr>
              <w:rFonts w:hint="eastAsia"/>
            </w:rPr>
            <w:t>（</w:t>
          </w:r>
          <w:r>
            <w:rPr>
              <w:rFonts w:hint="eastAsia"/>
            </w:rPr>
            <w:t>1</w:t>
          </w:r>
          <w:r>
            <w:rPr>
              <w:rFonts w:hint="eastAsia"/>
            </w:rPr>
            <w:t>）根据《财政部国家税务总局国家发展改革委关于延续西部大开发企业所得税政策的公告》（</w:t>
          </w:r>
          <w:r>
            <w:rPr>
              <w:rFonts w:hint="eastAsia"/>
            </w:rPr>
            <w:t>2020</w:t>
          </w:r>
          <w:r>
            <w:rPr>
              <w:rFonts w:hint="eastAsia"/>
            </w:rPr>
            <w:t>年第</w:t>
          </w:r>
          <w:r>
            <w:rPr>
              <w:rFonts w:hint="eastAsia"/>
            </w:rPr>
            <w:t>23</w:t>
          </w:r>
          <w:r>
            <w:rPr>
              <w:rFonts w:hint="eastAsia"/>
            </w:rPr>
            <w:t>号），自</w:t>
          </w:r>
          <w:r>
            <w:rPr>
              <w:rFonts w:hint="eastAsia"/>
            </w:rPr>
            <w:t>2021</w:t>
          </w:r>
          <w:r>
            <w:rPr>
              <w:rFonts w:hint="eastAsia"/>
            </w:rPr>
            <w:t>年</w:t>
          </w:r>
          <w:r>
            <w:rPr>
              <w:rFonts w:hint="eastAsia"/>
            </w:rPr>
            <w:t>1</w:t>
          </w:r>
          <w:r>
            <w:rPr>
              <w:rFonts w:hint="eastAsia"/>
            </w:rPr>
            <w:t>月</w:t>
          </w:r>
          <w:r>
            <w:rPr>
              <w:rFonts w:hint="eastAsia"/>
            </w:rPr>
            <w:t>1</w:t>
          </w:r>
          <w:r>
            <w:rPr>
              <w:rFonts w:hint="eastAsia"/>
            </w:rPr>
            <w:t>日至</w:t>
          </w:r>
          <w:r>
            <w:rPr>
              <w:rFonts w:hint="eastAsia"/>
            </w:rPr>
            <w:t>2030</w:t>
          </w:r>
          <w:r>
            <w:rPr>
              <w:rFonts w:hint="eastAsia"/>
            </w:rPr>
            <w:t>年</w:t>
          </w:r>
          <w:r>
            <w:rPr>
              <w:rFonts w:hint="eastAsia"/>
            </w:rPr>
            <w:t>12</w:t>
          </w:r>
          <w:r>
            <w:rPr>
              <w:rFonts w:hint="eastAsia"/>
            </w:rPr>
            <w:t>月</w:t>
          </w:r>
          <w:r>
            <w:rPr>
              <w:rFonts w:hint="eastAsia"/>
            </w:rPr>
            <w:t>31</w:t>
          </w:r>
          <w:r>
            <w:rPr>
              <w:rFonts w:hint="eastAsia"/>
            </w:rPr>
            <w:t>日，设立在西部地区的鼓励类产业企业可享受减按</w:t>
          </w:r>
          <w:r>
            <w:rPr>
              <w:rFonts w:hint="eastAsia"/>
            </w:rPr>
            <w:t>15%</w:t>
          </w:r>
          <w:r>
            <w:rPr>
              <w:rFonts w:hint="eastAsia"/>
            </w:rPr>
            <w:t>的税率缴纳企业所得税。重庆望变电气（集团）股份有限公司、黔南望江变压器有限公司、云南变压器电气股份有限公司</w:t>
          </w:r>
          <w:r>
            <w:rPr>
              <w:rFonts w:hint="eastAsia"/>
            </w:rPr>
            <w:t>2025</w:t>
          </w:r>
          <w:r>
            <w:rPr>
              <w:rFonts w:hint="eastAsia"/>
            </w:rPr>
            <w:t>年度享受西部大开发所得税优惠政策，所得税税率为</w:t>
          </w:r>
          <w:r>
            <w:rPr>
              <w:rFonts w:hint="eastAsia"/>
            </w:rPr>
            <w:t>15%</w:t>
          </w:r>
          <w:r>
            <w:rPr>
              <w:rFonts w:hint="eastAsia"/>
            </w:rPr>
            <w:t>。</w:t>
          </w:r>
        </w:p>
        <w:p w14:paraId="68346DEF" w14:textId="77777777" w:rsidR="00577D08" w:rsidRDefault="00330FC0">
          <w:pPr>
            <w:spacing w:line="360" w:lineRule="exact"/>
            <w:ind w:firstLineChars="200" w:firstLine="420"/>
          </w:pPr>
          <w:r>
            <w:rPr>
              <w:rFonts w:hint="eastAsia"/>
            </w:rPr>
            <w:t>（</w:t>
          </w:r>
          <w:r>
            <w:rPr>
              <w:rFonts w:hint="eastAsia"/>
            </w:rPr>
            <w:t>2</w:t>
          </w:r>
          <w:r>
            <w:rPr>
              <w:rFonts w:hint="eastAsia"/>
            </w:rPr>
            <w:t>）根据《财政部税务总局关于进一步支持小微企业和个体工商户发展有关税费政策的公告》（财政部税务总局公告</w:t>
          </w:r>
          <w:r>
            <w:rPr>
              <w:rFonts w:hint="eastAsia"/>
            </w:rPr>
            <w:t>2023</w:t>
          </w:r>
          <w:r>
            <w:rPr>
              <w:rFonts w:hint="eastAsia"/>
            </w:rPr>
            <w:t>年第</w:t>
          </w:r>
          <w:r>
            <w:rPr>
              <w:rFonts w:hint="eastAsia"/>
            </w:rPr>
            <w:t>12</w:t>
          </w:r>
          <w:r>
            <w:rPr>
              <w:rFonts w:hint="eastAsia"/>
            </w:rPr>
            <w:t>号），对小型微利企业减按</w:t>
          </w:r>
          <w:r>
            <w:rPr>
              <w:rFonts w:hint="eastAsia"/>
            </w:rPr>
            <w:t>25%</w:t>
          </w:r>
          <w:r>
            <w:rPr>
              <w:rFonts w:hint="eastAsia"/>
            </w:rPr>
            <w:t>计算应纳税所得额，按</w:t>
          </w:r>
          <w:r>
            <w:rPr>
              <w:rFonts w:hint="eastAsia"/>
            </w:rPr>
            <w:t>20%</w:t>
          </w:r>
          <w:r>
            <w:rPr>
              <w:rFonts w:hint="eastAsia"/>
            </w:rPr>
            <w:t>的税率缴纳企业所得税政策，延续执行至</w:t>
          </w:r>
          <w:r>
            <w:rPr>
              <w:rFonts w:hint="eastAsia"/>
            </w:rPr>
            <w:t>2027</w:t>
          </w:r>
          <w:r>
            <w:rPr>
              <w:rFonts w:hint="eastAsia"/>
            </w:rPr>
            <w:t>年</w:t>
          </w:r>
          <w:r>
            <w:rPr>
              <w:rFonts w:hint="eastAsia"/>
            </w:rPr>
            <w:t>12</w:t>
          </w:r>
          <w:r>
            <w:rPr>
              <w:rFonts w:hint="eastAsia"/>
            </w:rPr>
            <w:t>月</w:t>
          </w:r>
          <w:r>
            <w:rPr>
              <w:rFonts w:hint="eastAsia"/>
            </w:rPr>
            <w:t>31</w:t>
          </w:r>
          <w:r>
            <w:rPr>
              <w:rFonts w:hint="eastAsia"/>
            </w:rPr>
            <w:t>日。子公司上海渝申望变新能源科技有限公司、沈阳望泽电气有限公司、望来充（重庆）科技有限责任公司、望来充（云南）科技有限公司、重庆长寿望来充新能源有限公司和望来充（河南）新能源有限公司可享受小微企业所得税优惠，按</w:t>
          </w:r>
          <w:r>
            <w:rPr>
              <w:rFonts w:hint="eastAsia"/>
            </w:rPr>
            <w:t>20%</w:t>
          </w:r>
          <w:r>
            <w:rPr>
              <w:rFonts w:hint="eastAsia"/>
            </w:rPr>
            <w:t>的税率计缴企业所得税。</w:t>
          </w:r>
        </w:p>
        <w:p w14:paraId="3E6A50DA" w14:textId="77777777" w:rsidR="00577D08" w:rsidRDefault="00330FC0">
          <w:pPr>
            <w:spacing w:line="360" w:lineRule="exact"/>
            <w:ind w:firstLineChars="200" w:firstLine="420"/>
          </w:pPr>
          <w:r>
            <w:rPr>
              <w:rFonts w:hint="eastAsia"/>
            </w:rPr>
            <w:t>（</w:t>
          </w:r>
          <w:r>
            <w:rPr>
              <w:rFonts w:hint="eastAsia"/>
            </w:rPr>
            <w:t>3</w:t>
          </w:r>
          <w:r>
            <w:rPr>
              <w:rFonts w:hint="eastAsia"/>
            </w:rPr>
            <w:t>）根据《财政部税务总局关于进一步完善税前加计扣除政策的公告》（</w:t>
          </w:r>
          <w:r>
            <w:rPr>
              <w:rFonts w:hint="eastAsia"/>
            </w:rPr>
            <w:t>2021</w:t>
          </w:r>
          <w:r>
            <w:rPr>
              <w:rFonts w:hint="eastAsia"/>
            </w:rPr>
            <w:t>年第</w:t>
          </w:r>
          <w:r>
            <w:rPr>
              <w:rFonts w:hint="eastAsia"/>
            </w:rPr>
            <w:t>13</w:t>
          </w:r>
          <w:r>
            <w:rPr>
              <w:rFonts w:hint="eastAsia"/>
            </w:rPr>
            <w:t>号）规定，自</w:t>
          </w:r>
          <w:r>
            <w:rPr>
              <w:rFonts w:hint="eastAsia"/>
            </w:rPr>
            <w:t>2021</w:t>
          </w:r>
          <w:r>
            <w:rPr>
              <w:rFonts w:hint="eastAsia"/>
            </w:rPr>
            <w:t>年</w:t>
          </w:r>
          <w:r>
            <w:rPr>
              <w:rFonts w:hint="eastAsia"/>
            </w:rPr>
            <w:t>1</w:t>
          </w:r>
          <w:r>
            <w:rPr>
              <w:rFonts w:hint="eastAsia"/>
            </w:rPr>
            <w:t>月</w:t>
          </w:r>
          <w:r>
            <w:rPr>
              <w:rFonts w:hint="eastAsia"/>
            </w:rPr>
            <w:t>1</w:t>
          </w:r>
          <w:r>
            <w:rPr>
              <w:rFonts w:hint="eastAsia"/>
            </w:rPr>
            <w:t>日起，公司开展研发活动中实际发生的研发费用，未形成无形资产计入当期损益的，在按规定据实扣除的基础上，再按照实际发生额的</w:t>
          </w:r>
          <w:r>
            <w:rPr>
              <w:rFonts w:hint="eastAsia"/>
            </w:rPr>
            <w:t>100%</w:t>
          </w:r>
          <w:r>
            <w:rPr>
              <w:rFonts w:hint="eastAsia"/>
            </w:rPr>
            <w:t>在税前加计扣除；形成无形资产的，自</w:t>
          </w:r>
          <w:r>
            <w:rPr>
              <w:rFonts w:hint="eastAsia"/>
            </w:rPr>
            <w:t>2021</w:t>
          </w:r>
          <w:r>
            <w:rPr>
              <w:rFonts w:hint="eastAsia"/>
            </w:rPr>
            <w:t>年</w:t>
          </w:r>
          <w:r>
            <w:rPr>
              <w:rFonts w:hint="eastAsia"/>
            </w:rPr>
            <w:t>1</w:t>
          </w:r>
          <w:r>
            <w:rPr>
              <w:rFonts w:hint="eastAsia"/>
            </w:rPr>
            <w:t>月</w:t>
          </w:r>
          <w:r>
            <w:rPr>
              <w:rFonts w:hint="eastAsia"/>
            </w:rPr>
            <w:t>1</w:t>
          </w:r>
          <w:r>
            <w:rPr>
              <w:rFonts w:hint="eastAsia"/>
            </w:rPr>
            <w:t>日起，按照无形资产成本的</w:t>
          </w:r>
          <w:r>
            <w:rPr>
              <w:rFonts w:hint="eastAsia"/>
            </w:rPr>
            <w:t>200%</w:t>
          </w:r>
          <w:r>
            <w:rPr>
              <w:rFonts w:hint="eastAsia"/>
            </w:rPr>
            <w:t>在税前摊销。</w:t>
          </w:r>
        </w:p>
        <w:p w14:paraId="0FAC8BAC" w14:textId="77777777" w:rsidR="00577D08" w:rsidRDefault="00330FC0">
          <w:pPr>
            <w:spacing w:line="360" w:lineRule="exact"/>
            <w:ind w:firstLineChars="200" w:firstLine="420"/>
          </w:pPr>
          <w:r>
            <w:rPr>
              <w:rFonts w:hint="eastAsia"/>
            </w:rPr>
            <w:t>（</w:t>
          </w:r>
          <w:r>
            <w:rPr>
              <w:rFonts w:hint="eastAsia"/>
            </w:rPr>
            <w:t>4</w:t>
          </w:r>
          <w:r>
            <w:rPr>
              <w:rFonts w:hint="eastAsia"/>
            </w:rPr>
            <w:t>）根据《财政部税务总局关于设备、器具扣除有关企业所得税政策的公告》（财政部税务总局公告</w:t>
          </w:r>
          <w:r>
            <w:rPr>
              <w:rFonts w:hint="eastAsia"/>
            </w:rPr>
            <w:t>2023</w:t>
          </w:r>
          <w:r>
            <w:rPr>
              <w:rFonts w:hint="eastAsia"/>
            </w:rPr>
            <w:t>年第</w:t>
          </w:r>
          <w:r>
            <w:rPr>
              <w:rFonts w:hint="eastAsia"/>
            </w:rPr>
            <w:t>37</w:t>
          </w:r>
          <w:r>
            <w:rPr>
              <w:rFonts w:hint="eastAsia"/>
            </w:rPr>
            <w:t>号），企业在</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2027</w:t>
          </w:r>
          <w:r>
            <w:rPr>
              <w:rFonts w:hint="eastAsia"/>
            </w:rPr>
            <w:t>年</w:t>
          </w:r>
          <w:r>
            <w:rPr>
              <w:rFonts w:hint="eastAsia"/>
            </w:rPr>
            <w:t>12</w:t>
          </w:r>
          <w:r>
            <w:rPr>
              <w:rFonts w:hint="eastAsia"/>
            </w:rPr>
            <w:t>月</w:t>
          </w:r>
          <w:r>
            <w:rPr>
              <w:rFonts w:hint="eastAsia"/>
            </w:rPr>
            <w:t>31</w:t>
          </w:r>
          <w:r>
            <w:rPr>
              <w:rFonts w:hint="eastAsia"/>
            </w:rPr>
            <w:t>日期间新购进的设备、器具，单位价值不超过</w:t>
          </w:r>
          <w:r>
            <w:rPr>
              <w:rFonts w:hint="eastAsia"/>
            </w:rPr>
            <w:t>500</w:t>
          </w:r>
          <w:r>
            <w:rPr>
              <w:rFonts w:hint="eastAsia"/>
            </w:rPr>
            <w:t>万元的，允许一次性计入当期成本费用在计算应纳税所得额时扣除。</w:t>
          </w:r>
        </w:p>
        <w:p w14:paraId="6976FC1B" w14:textId="77777777" w:rsidR="00577D08" w:rsidRDefault="00330FC0">
          <w:pPr>
            <w:spacing w:line="360" w:lineRule="exact"/>
            <w:ind w:firstLineChars="200" w:firstLine="420"/>
          </w:pPr>
          <w:r>
            <w:rPr>
              <w:rFonts w:hint="eastAsia"/>
            </w:rPr>
            <w:t>（</w:t>
          </w:r>
          <w:r>
            <w:rPr>
              <w:rFonts w:hint="eastAsia"/>
            </w:rPr>
            <w:t>5</w:t>
          </w:r>
          <w:r>
            <w:rPr>
              <w:rFonts w:hint="eastAsia"/>
            </w:rPr>
            <w:t>）根据《财政部税务总局关于先进制造企业增值税加计抵减政策的公告》（公告</w:t>
          </w:r>
          <w:r>
            <w:rPr>
              <w:rFonts w:hint="eastAsia"/>
            </w:rPr>
            <w:t>2023</w:t>
          </w:r>
          <w:r>
            <w:rPr>
              <w:rFonts w:hint="eastAsia"/>
            </w:rPr>
            <w:t>年第</w:t>
          </w:r>
          <w:r>
            <w:rPr>
              <w:rFonts w:hint="eastAsia"/>
            </w:rPr>
            <w:t>43</w:t>
          </w:r>
          <w:r>
            <w:rPr>
              <w:rFonts w:hint="eastAsia"/>
            </w:rPr>
            <w:t>号）规定，自</w:t>
          </w:r>
          <w:r>
            <w:rPr>
              <w:rFonts w:hint="eastAsia"/>
            </w:rPr>
            <w:t>2023</w:t>
          </w:r>
          <w:r>
            <w:rPr>
              <w:rFonts w:hint="eastAsia"/>
            </w:rPr>
            <w:t>年</w:t>
          </w:r>
          <w:r>
            <w:rPr>
              <w:rFonts w:hint="eastAsia"/>
            </w:rPr>
            <w:t>1</w:t>
          </w:r>
          <w:r>
            <w:rPr>
              <w:rFonts w:hint="eastAsia"/>
            </w:rPr>
            <w:t>月</w:t>
          </w:r>
          <w:r>
            <w:rPr>
              <w:rFonts w:hint="eastAsia"/>
            </w:rPr>
            <w:t>1</w:t>
          </w:r>
          <w:r>
            <w:rPr>
              <w:rFonts w:hint="eastAsia"/>
            </w:rPr>
            <w:t>日至</w:t>
          </w:r>
          <w:r>
            <w:rPr>
              <w:rFonts w:hint="eastAsia"/>
            </w:rPr>
            <w:t>2027</w:t>
          </w:r>
          <w:r>
            <w:rPr>
              <w:rFonts w:hint="eastAsia"/>
            </w:rPr>
            <w:t>年</w:t>
          </w:r>
          <w:r>
            <w:rPr>
              <w:rFonts w:hint="eastAsia"/>
            </w:rPr>
            <w:t>12</w:t>
          </w:r>
          <w:r>
            <w:rPr>
              <w:rFonts w:hint="eastAsia"/>
            </w:rPr>
            <w:t>月</w:t>
          </w:r>
          <w:r>
            <w:rPr>
              <w:rFonts w:hint="eastAsia"/>
            </w:rPr>
            <w:t>31</w:t>
          </w:r>
          <w:r>
            <w:rPr>
              <w:rFonts w:hint="eastAsia"/>
            </w:rPr>
            <w:t>日，允许先进制造企业按照当期可抵扣进项税额加计</w:t>
          </w:r>
          <w:r>
            <w:rPr>
              <w:rFonts w:hint="eastAsia"/>
            </w:rPr>
            <w:t>5%</w:t>
          </w:r>
          <w:r>
            <w:rPr>
              <w:rFonts w:hint="eastAsia"/>
            </w:rPr>
            <w:t>抵减应纳增值税税额。上述先进制造企业是指高新技术企业中的制造业一般纳税人，高新技术企业是指按照《科技部、财政部、国家税务总局关于修订印发〈高新技术企业认定管理办法〉的通知》（国科发火〔</w:t>
          </w:r>
          <w:r>
            <w:rPr>
              <w:rFonts w:hint="eastAsia"/>
            </w:rPr>
            <w:t>2016</w:t>
          </w:r>
          <w:r>
            <w:rPr>
              <w:rFonts w:hint="eastAsia"/>
            </w:rPr>
            <w:t>〕</w:t>
          </w:r>
          <w:r>
            <w:rPr>
              <w:rFonts w:hint="eastAsia"/>
            </w:rPr>
            <w:t>32</w:t>
          </w:r>
          <w:r>
            <w:rPr>
              <w:rFonts w:hint="eastAsia"/>
            </w:rPr>
            <w:t>号）规定认定的高新技术企业。先进制造业企业具体名单，由各省、自治区、直辖市、计划单列市工业和信息化部门会同同级科技、财政、税务部门确定。根据相关规定，重庆望变电气（集团）股份有限公司、云南变压器电气股份有限公司按照当期可抵扣进项税额加计</w:t>
          </w:r>
          <w:r>
            <w:rPr>
              <w:rFonts w:hint="eastAsia"/>
            </w:rPr>
            <w:t>5%</w:t>
          </w:r>
          <w:r>
            <w:rPr>
              <w:rFonts w:hint="eastAsia"/>
            </w:rPr>
            <w:t>抵减应纳增值税税额。</w:t>
          </w:r>
        </w:p>
      </w:sdtContent>
    </w:sdt>
    <w:p w14:paraId="14B2819C" w14:textId="77777777" w:rsidR="00577D08" w:rsidRDefault="00330FC0">
      <w:pPr>
        <w:pStyle w:val="3"/>
        <w:numPr>
          <w:ilvl w:val="0"/>
          <w:numId w:val="60"/>
        </w:numPr>
        <w:tabs>
          <w:tab w:val="left" w:pos="546"/>
        </w:tabs>
        <w:rPr>
          <w:rFonts w:asciiTheme="minorEastAsia" w:eastAsiaTheme="minorEastAsia" w:hAnsiTheme="minorEastAsia" w:hint="eastAsia"/>
        </w:rPr>
      </w:pPr>
      <w:r>
        <w:t>其他</w:t>
      </w:r>
    </w:p>
    <w:sdt>
      <w:sdtPr>
        <w:rPr>
          <w:rFonts w:hint="eastAsia"/>
        </w:rPr>
        <w:alias w:val="是否适用：税项说明[双击切换]"/>
        <w:tag w:val="_GBC_cb15d487e8d84ad7877bd8820156d381"/>
        <w:id w:val="1193259889"/>
        <w:placeholder>
          <w:docPart w:val="GBC22222222222222222222222222222"/>
        </w:placeholder>
      </w:sdtPr>
      <w:sdtContent>
        <w:p w14:paraId="1F23036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D4770EC" w14:textId="77777777" w:rsidR="00577D08" w:rsidRDefault="00330FC0">
      <w:pPr>
        <w:pStyle w:val="2"/>
        <w:numPr>
          <w:ilvl w:val="0"/>
          <w:numId w:val="52"/>
        </w:numPr>
      </w:pPr>
      <w:r>
        <w:rPr>
          <w:rFonts w:hint="eastAsia"/>
        </w:rPr>
        <w:lastRenderedPageBreak/>
        <w:t>合并财务报表项目注释</w:t>
      </w:r>
    </w:p>
    <w:p w14:paraId="58C3DF08" w14:textId="77777777" w:rsidR="00577D08" w:rsidRDefault="00330FC0">
      <w:pPr>
        <w:pStyle w:val="3"/>
        <w:numPr>
          <w:ilvl w:val="0"/>
          <w:numId w:val="61"/>
        </w:numPr>
        <w:rPr>
          <w:szCs w:val="21"/>
        </w:rPr>
      </w:pPr>
      <w:r>
        <w:rPr>
          <w:szCs w:val="21"/>
        </w:rPr>
        <w:t>货币资金</w:t>
      </w:r>
    </w:p>
    <w:sdt>
      <w:sdtPr>
        <w:rPr>
          <w:rFonts w:hint="eastAsia"/>
        </w:rPr>
        <w:alias w:val="是否适用：货币资金[双击切换]"/>
        <w:tag w:val="_GBC_7583a9a918ef405ba2d26448cc628ff5"/>
        <w:id w:val="-353882366"/>
        <w:placeholder>
          <w:docPart w:val="GBC22222222222222222222222222222"/>
        </w:placeholder>
      </w:sdtPr>
      <w:sdtContent>
        <w:p w14:paraId="6D5012D1" w14:textId="77777777" w:rsidR="00577D08" w:rsidRDefault="00330FC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3EEBEC2" w14:textId="77777777" w:rsidR="00577D08" w:rsidRDefault="00330FC0">
      <w:pPr>
        <w:snapToGrid w:val="0"/>
        <w:spacing w:line="240" w:lineRule="atLeast"/>
        <w:jc w:val="right"/>
      </w:pPr>
      <w:r>
        <w:rPr>
          <w:rFonts w:hint="eastAsia"/>
        </w:rPr>
        <w:t>单位：</w:t>
      </w:r>
      <w:sdt>
        <w:sdtPr>
          <w:rPr>
            <w:rFonts w:hint="eastAsia"/>
          </w:rPr>
          <w:alias w:val="单位：财务附注：货币资金"/>
          <w:tag w:val="_GBC_837f4fb04cac4b8aa6bed7dc457a1486"/>
          <w:id w:val="-15972511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货币资金"/>
          <w:tag w:val="_GBC_6a1d907ad1af44b1a90a92ac03d51b34"/>
          <w:id w:val="-12587466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275"/>
        <w:gridCol w:w="3379"/>
        <w:gridCol w:w="3404"/>
      </w:tblGrid>
      <w:tr w:rsidR="00577D08" w14:paraId="2A89D446" w14:textId="77777777">
        <w:trPr>
          <w:cantSplit/>
        </w:trPr>
        <w:sdt>
          <w:sdtPr>
            <w:tag w:val="_PLD_640e7daf451b4f14ba49162bfbbd1e72"/>
            <w:id w:val="-1796829203"/>
          </w:sdtPr>
          <w:sdtContent>
            <w:tc>
              <w:tcPr>
                <w:tcW w:w="2275" w:type="dxa"/>
                <w:vAlign w:val="center"/>
              </w:tcPr>
              <w:p w14:paraId="6918E26E" w14:textId="77777777" w:rsidR="00577D08" w:rsidRDefault="00330FC0">
                <w:pPr>
                  <w:autoSpaceDE w:val="0"/>
                  <w:autoSpaceDN w:val="0"/>
                  <w:adjustRightInd w:val="0"/>
                  <w:snapToGrid w:val="0"/>
                  <w:spacing w:line="240" w:lineRule="atLeast"/>
                  <w:jc w:val="center"/>
                </w:pPr>
                <w:r>
                  <w:rPr>
                    <w:rFonts w:hint="eastAsia"/>
                  </w:rPr>
                  <w:t>项目</w:t>
                </w:r>
              </w:p>
            </w:tc>
          </w:sdtContent>
        </w:sdt>
        <w:sdt>
          <w:sdtPr>
            <w:tag w:val="_PLD_79d1e78073b542bda1ea85bf8925b2cd"/>
            <w:id w:val="-570657729"/>
          </w:sdtPr>
          <w:sdtContent>
            <w:tc>
              <w:tcPr>
                <w:tcW w:w="3379" w:type="dxa"/>
                <w:vAlign w:val="center"/>
              </w:tcPr>
              <w:p w14:paraId="7AB37A83"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725adef951424bb094850d632de69fd0"/>
            <w:id w:val="-60094966"/>
          </w:sdtPr>
          <w:sdtContent>
            <w:tc>
              <w:tcPr>
                <w:tcW w:w="3404" w:type="dxa"/>
                <w:vAlign w:val="center"/>
              </w:tcPr>
              <w:p w14:paraId="526FEAA6"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2AE8B0B9" w14:textId="77777777">
        <w:trPr>
          <w:cantSplit/>
        </w:trPr>
        <w:tc>
          <w:tcPr>
            <w:tcW w:w="2275" w:type="dxa"/>
            <w:vAlign w:val="center"/>
          </w:tcPr>
          <w:p w14:paraId="04A13F79" w14:textId="77777777" w:rsidR="00577D08" w:rsidRDefault="00330FC0">
            <w:pPr>
              <w:autoSpaceDE w:val="0"/>
              <w:autoSpaceDN w:val="0"/>
              <w:adjustRightInd w:val="0"/>
              <w:snapToGrid w:val="0"/>
              <w:spacing w:line="240" w:lineRule="atLeast"/>
            </w:pPr>
            <w:r>
              <w:rPr>
                <w:rFonts w:hint="eastAsia"/>
              </w:rPr>
              <w:t>库存现金</w:t>
            </w:r>
          </w:p>
        </w:tc>
        <w:tc>
          <w:tcPr>
            <w:tcW w:w="3379" w:type="dxa"/>
          </w:tcPr>
          <w:p w14:paraId="390CC7B8" w14:textId="77777777" w:rsidR="00577D08" w:rsidRDefault="00330FC0">
            <w:pPr>
              <w:autoSpaceDE w:val="0"/>
              <w:autoSpaceDN w:val="0"/>
              <w:adjustRightInd w:val="0"/>
              <w:snapToGrid w:val="0"/>
              <w:spacing w:line="240" w:lineRule="atLeast"/>
              <w:jc w:val="right"/>
            </w:pPr>
            <w:r>
              <w:t>57,564.84</w:t>
            </w:r>
          </w:p>
        </w:tc>
        <w:tc>
          <w:tcPr>
            <w:tcW w:w="3404" w:type="dxa"/>
          </w:tcPr>
          <w:p w14:paraId="3A56B19D" w14:textId="77777777" w:rsidR="00577D08" w:rsidRDefault="00330FC0">
            <w:pPr>
              <w:autoSpaceDE w:val="0"/>
              <w:autoSpaceDN w:val="0"/>
              <w:adjustRightInd w:val="0"/>
              <w:snapToGrid w:val="0"/>
              <w:spacing w:line="240" w:lineRule="atLeast"/>
              <w:jc w:val="right"/>
            </w:pPr>
            <w:r>
              <w:t>33,414.30</w:t>
            </w:r>
          </w:p>
        </w:tc>
      </w:tr>
      <w:tr w:rsidR="00577D08" w14:paraId="6E1F5A98" w14:textId="77777777">
        <w:trPr>
          <w:cantSplit/>
        </w:trPr>
        <w:tc>
          <w:tcPr>
            <w:tcW w:w="2275" w:type="dxa"/>
            <w:vAlign w:val="center"/>
          </w:tcPr>
          <w:p w14:paraId="3BD07722" w14:textId="77777777" w:rsidR="00577D08" w:rsidRDefault="00330FC0">
            <w:pPr>
              <w:autoSpaceDE w:val="0"/>
              <w:autoSpaceDN w:val="0"/>
              <w:adjustRightInd w:val="0"/>
              <w:snapToGrid w:val="0"/>
              <w:spacing w:line="240" w:lineRule="atLeast"/>
            </w:pPr>
            <w:r>
              <w:rPr>
                <w:rFonts w:hint="eastAsia"/>
              </w:rPr>
              <w:t>银行存款</w:t>
            </w:r>
          </w:p>
        </w:tc>
        <w:tc>
          <w:tcPr>
            <w:tcW w:w="3379" w:type="dxa"/>
          </w:tcPr>
          <w:p w14:paraId="47772998" w14:textId="77777777" w:rsidR="00577D08" w:rsidRDefault="00330FC0">
            <w:pPr>
              <w:autoSpaceDE w:val="0"/>
              <w:autoSpaceDN w:val="0"/>
              <w:adjustRightInd w:val="0"/>
              <w:snapToGrid w:val="0"/>
              <w:spacing w:line="240" w:lineRule="atLeast"/>
              <w:jc w:val="right"/>
            </w:pPr>
            <w:r>
              <w:t>1,209,291,962.48</w:t>
            </w:r>
          </w:p>
        </w:tc>
        <w:tc>
          <w:tcPr>
            <w:tcW w:w="3404" w:type="dxa"/>
          </w:tcPr>
          <w:p w14:paraId="418388AE" w14:textId="77777777" w:rsidR="00577D08" w:rsidRDefault="00330FC0">
            <w:pPr>
              <w:autoSpaceDE w:val="0"/>
              <w:autoSpaceDN w:val="0"/>
              <w:adjustRightInd w:val="0"/>
              <w:snapToGrid w:val="0"/>
              <w:spacing w:line="240" w:lineRule="atLeast"/>
              <w:jc w:val="right"/>
            </w:pPr>
            <w:r>
              <w:t>1,000,304,848.39</w:t>
            </w:r>
          </w:p>
        </w:tc>
      </w:tr>
      <w:tr w:rsidR="00577D08" w14:paraId="6DBF3A9D" w14:textId="77777777">
        <w:trPr>
          <w:cantSplit/>
        </w:trPr>
        <w:tc>
          <w:tcPr>
            <w:tcW w:w="2275" w:type="dxa"/>
            <w:vAlign w:val="center"/>
          </w:tcPr>
          <w:p w14:paraId="43E35BD3" w14:textId="77777777" w:rsidR="00577D08" w:rsidRDefault="00330FC0">
            <w:pPr>
              <w:autoSpaceDE w:val="0"/>
              <w:autoSpaceDN w:val="0"/>
              <w:adjustRightInd w:val="0"/>
              <w:snapToGrid w:val="0"/>
              <w:spacing w:line="240" w:lineRule="atLeast"/>
            </w:pPr>
            <w:r>
              <w:rPr>
                <w:rFonts w:hint="eastAsia"/>
              </w:rPr>
              <w:t>其他货币资金</w:t>
            </w:r>
          </w:p>
        </w:tc>
        <w:tc>
          <w:tcPr>
            <w:tcW w:w="3379" w:type="dxa"/>
          </w:tcPr>
          <w:p w14:paraId="044688FE" w14:textId="77777777" w:rsidR="00577D08" w:rsidRDefault="00330FC0">
            <w:pPr>
              <w:autoSpaceDE w:val="0"/>
              <w:autoSpaceDN w:val="0"/>
              <w:adjustRightInd w:val="0"/>
              <w:snapToGrid w:val="0"/>
              <w:spacing w:line="240" w:lineRule="atLeast"/>
              <w:jc w:val="right"/>
            </w:pPr>
            <w:r>
              <w:t>175,855,143.95</w:t>
            </w:r>
          </w:p>
        </w:tc>
        <w:tc>
          <w:tcPr>
            <w:tcW w:w="3404" w:type="dxa"/>
          </w:tcPr>
          <w:p w14:paraId="21023BDC" w14:textId="77777777" w:rsidR="00577D08" w:rsidRDefault="00330FC0">
            <w:pPr>
              <w:autoSpaceDE w:val="0"/>
              <w:autoSpaceDN w:val="0"/>
              <w:adjustRightInd w:val="0"/>
              <w:snapToGrid w:val="0"/>
              <w:spacing w:line="240" w:lineRule="atLeast"/>
              <w:jc w:val="right"/>
            </w:pPr>
            <w:r>
              <w:t>154,935,789.74</w:t>
            </w:r>
          </w:p>
        </w:tc>
      </w:tr>
      <w:tr w:rsidR="00577D08" w14:paraId="4EE1A6A4" w14:textId="77777777">
        <w:trPr>
          <w:cantSplit/>
        </w:trPr>
        <w:tc>
          <w:tcPr>
            <w:tcW w:w="2275" w:type="dxa"/>
            <w:vAlign w:val="center"/>
          </w:tcPr>
          <w:p w14:paraId="5C38951D" w14:textId="77777777" w:rsidR="00577D08" w:rsidRDefault="00330FC0">
            <w:pPr>
              <w:autoSpaceDE w:val="0"/>
              <w:autoSpaceDN w:val="0"/>
              <w:adjustRightInd w:val="0"/>
              <w:snapToGrid w:val="0"/>
              <w:spacing w:line="240" w:lineRule="atLeast"/>
            </w:pPr>
            <w:r>
              <w:rPr>
                <w:rFonts w:hint="eastAsia"/>
              </w:rPr>
              <w:t>合计</w:t>
            </w:r>
          </w:p>
        </w:tc>
        <w:tc>
          <w:tcPr>
            <w:tcW w:w="3379" w:type="dxa"/>
          </w:tcPr>
          <w:p w14:paraId="01BD71F3" w14:textId="77777777" w:rsidR="00577D08" w:rsidRDefault="00330FC0">
            <w:pPr>
              <w:autoSpaceDE w:val="0"/>
              <w:autoSpaceDN w:val="0"/>
              <w:adjustRightInd w:val="0"/>
              <w:snapToGrid w:val="0"/>
              <w:spacing w:line="240" w:lineRule="atLeast"/>
              <w:jc w:val="right"/>
            </w:pPr>
            <w:r>
              <w:t>1,385,204,671.27</w:t>
            </w:r>
          </w:p>
        </w:tc>
        <w:tc>
          <w:tcPr>
            <w:tcW w:w="3404" w:type="dxa"/>
          </w:tcPr>
          <w:p w14:paraId="5BC926C8" w14:textId="77777777" w:rsidR="00577D08" w:rsidRDefault="00330FC0">
            <w:pPr>
              <w:autoSpaceDE w:val="0"/>
              <w:autoSpaceDN w:val="0"/>
              <w:adjustRightInd w:val="0"/>
              <w:snapToGrid w:val="0"/>
              <w:spacing w:line="240" w:lineRule="atLeast"/>
              <w:jc w:val="right"/>
            </w:pPr>
            <w:r>
              <w:t>1,155,274,052.43</w:t>
            </w:r>
          </w:p>
        </w:tc>
      </w:tr>
    </w:tbl>
    <w:p w14:paraId="41C2C635" w14:textId="77777777" w:rsidR="00577D08" w:rsidRDefault="00330FC0">
      <w:r>
        <w:rPr>
          <w:rFonts w:hint="eastAsia"/>
        </w:rPr>
        <w:t>其他说明：</w:t>
      </w:r>
    </w:p>
    <w:p w14:paraId="683AB6EB" w14:textId="77777777" w:rsidR="00577D08" w:rsidRDefault="00000000">
      <w:sdt>
        <w:sdtPr>
          <w:alias w:val="货币资金的说明"/>
          <w:tag w:val="_GBC_672a863055084dfabbc1ba40f04a68b4"/>
          <w:id w:val="-266073555"/>
          <w:placeholder>
            <w:docPart w:val="GBC22222222222222222222222222222"/>
          </w:placeholder>
        </w:sdtPr>
        <w:sdtContent>
          <w:r w:rsidR="00330FC0">
            <w:rPr>
              <w:rFonts w:hint="eastAsia"/>
            </w:rPr>
            <w:t>无</w:t>
          </w:r>
        </w:sdtContent>
      </w:sdt>
    </w:p>
    <w:p w14:paraId="2F884324" w14:textId="77777777" w:rsidR="00577D08" w:rsidRDefault="00330FC0">
      <w:pPr>
        <w:pStyle w:val="3"/>
        <w:numPr>
          <w:ilvl w:val="0"/>
          <w:numId w:val="61"/>
        </w:numPr>
        <w:rPr>
          <w:szCs w:val="21"/>
        </w:rPr>
      </w:pPr>
      <w:r>
        <w:rPr>
          <w:rFonts w:hint="eastAsia"/>
          <w:szCs w:val="21"/>
        </w:rPr>
        <w:t>交易性金融资产</w:t>
      </w:r>
    </w:p>
    <w:sdt>
      <w:sdtPr>
        <w:alias w:val="是否适用：交易性金融资产[双击切换]"/>
        <w:tag w:val="_GBC_c852c730c6fa4a3e8930f5cbbab9909f"/>
        <w:id w:val="-1365205624"/>
        <w:placeholder>
          <w:docPart w:val="GBC22222222222222222222222222222"/>
        </w:placeholder>
      </w:sdtPr>
      <w:sdtContent>
        <w:p w14:paraId="198499E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F108331" w14:textId="77777777" w:rsidR="00577D08" w:rsidRDefault="00330FC0">
      <w:pPr>
        <w:ind w:left="420" w:right="44"/>
        <w:jc w:val="right"/>
      </w:pPr>
      <w:r>
        <w:rPr>
          <w:rFonts w:hint="eastAsia"/>
        </w:rPr>
        <w:t>单位：</w:t>
      </w:r>
      <w:sdt>
        <w:sdtPr>
          <w:rPr>
            <w:rFonts w:hint="eastAsia"/>
          </w:rPr>
          <w:alias w:val="单位：财务附注：交易性金融资产"/>
          <w:tag w:val="_GBC_cba5007820a8401a8539607d9d055f75"/>
          <w:id w:val="-9248005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交易性金融资产"/>
          <w:tag w:val="_GBC_e8e3367ec5e14f73842c7a3ca8b264a2"/>
          <w:id w:val="19574495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2068"/>
        <w:gridCol w:w="2086"/>
        <w:gridCol w:w="2087"/>
      </w:tblGrid>
      <w:tr w:rsidR="00577D08" w14:paraId="05F76463" w14:textId="77777777">
        <w:sdt>
          <w:sdtPr>
            <w:tag w:val="_PLD_3b99f59eccaa43478dfbfc184cd2ce48"/>
            <w:id w:val="1422755967"/>
          </w:sdtPr>
          <w:sdtContent>
            <w:tc>
              <w:tcPr>
                <w:tcW w:w="2808" w:type="dxa"/>
                <w:vAlign w:val="center"/>
              </w:tcPr>
              <w:p w14:paraId="0785AD98" w14:textId="77777777" w:rsidR="00577D08" w:rsidRDefault="00330FC0">
                <w:pPr>
                  <w:jc w:val="center"/>
                </w:pPr>
                <w:r>
                  <w:rPr>
                    <w:rFonts w:hint="eastAsia"/>
                  </w:rPr>
                  <w:t>项目</w:t>
                </w:r>
              </w:p>
            </w:tc>
          </w:sdtContent>
        </w:sdt>
        <w:sdt>
          <w:sdtPr>
            <w:tag w:val="_PLD_caf9d9000b3e44c1817249ef4121d5db"/>
            <w:id w:val="-1146896029"/>
          </w:sdtPr>
          <w:sdtContent>
            <w:tc>
              <w:tcPr>
                <w:tcW w:w="2068" w:type="dxa"/>
                <w:vAlign w:val="center"/>
              </w:tcPr>
              <w:p w14:paraId="2E615BF0"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fd58d8f4bb044aef9b5735371503f591"/>
            <w:id w:val="1722249125"/>
          </w:sdtPr>
          <w:sdtContent>
            <w:tc>
              <w:tcPr>
                <w:tcW w:w="2086" w:type="dxa"/>
                <w:vAlign w:val="center"/>
              </w:tcPr>
              <w:p w14:paraId="6810D71C" w14:textId="77777777" w:rsidR="00577D08" w:rsidRDefault="00330FC0">
                <w:pPr>
                  <w:autoSpaceDE w:val="0"/>
                  <w:autoSpaceDN w:val="0"/>
                  <w:adjustRightInd w:val="0"/>
                  <w:snapToGrid w:val="0"/>
                  <w:spacing w:line="240" w:lineRule="atLeast"/>
                  <w:jc w:val="center"/>
                </w:pPr>
                <w:r>
                  <w:rPr>
                    <w:rFonts w:hint="eastAsia"/>
                  </w:rPr>
                  <w:t>期初余额</w:t>
                </w:r>
              </w:p>
            </w:tc>
          </w:sdtContent>
        </w:sdt>
        <w:tc>
          <w:tcPr>
            <w:tcW w:w="2087" w:type="dxa"/>
            <w:vAlign w:val="center"/>
          </w:tcPr>
          <w:sdt>
            <w:sdtPr>
              <w:tag w:val="_PLD_e55b7f6937ab489e93d6d5561f99f11e"/>
              <w:id w:val="1462313743"/>
            </w:sdtPr>
            <w:sdtContent>
              <w:p w14:paraId="69192D9A" w14:textId="77777777" w:rsidR="00577D08" w:rsidRDefault="00330FC0">
                <w:pPr>
                  <w:autoSpaceDE w:val="0"/>
                  <w:autoSpaceDN w:val="0"/>
                  <w:adjustRightInd w:val="0"/>
                  <w:snapToGrid w:val="0"/>
                  <w:spacing w:line="240" w:lineRule="atLeast"/>
                  <w:jc w:val="center"/>
                </w:pPr>
                <w:r>
                  <w:rPr>
                    <w:rFonts w:hint="eastAsia"/>
                  </w:rPr>
                  <w:t>指定理由和依据</w:t>
                </w:r>
              </w:p>
            </w:sdtContent>
          </w:sdt>
        </w:tc>
      </w:tr>
      <w:tr w:rsidR="00577D08" w14:paraId="56AE3513" w14:textId="77777777">
        <w:tc>
          <w:tcPr>
            <w:tcW w:w="2808" w:type="dxa"/>
            <w:vAlign w:val="center"/>
          </w:tcPr>
          <w:p w14:paraId="7ED2CB9B" w14:textId="77777777" w:rsidR="00577D08" w:rsidRDefault="00330FC0">
            <w:pPr>
              <w:autoSpaceDE w:val="0"/>
              <w:autoSpaceDN w:val="0"/>
              <w:adjustRightInd w:val="0"/>
            </w:pPr>
            <w:r>
              <w:rPr>
                <w:rFonts w:hint="eastAsia"/>
              </w:rPr>
              <w:t>以公允价值计量且其变动计入当期损益的金融资产</w:t>
            </w:r>
          </w:p>
        </w:tc>
        <w:tc>
          <w:tcPr>
            <w:tcW w:w="2068" w:type="dxa"/>
            <w:vAlign w:val="center"/>
          </w:tcPr>
          <w:p w14:paraId="77D9E880" w14:textId="77777777" w:rsidR="00577D08" w:rsidRDefault="00577D08">
            <w:pPr>
              <w:jc w:val="right"/>
            </w:pPr>
          </w:p>
        </w:tc>
        <w:tc>
          <w:tcPr>
            <w:tcW w:w="2086" w:type="dxa"/>
            <w:vAlign w:val="center"/>
          </w:tcPr>
          <w:p w14:paraId="7DB9659D" w14:textId="77777777" w:rsidR="00577D08" w:rsidRDefault="00330FC0">
            <w:pPr>
              <w:jc w:val="right"/>
            </w:pPr>
            <w:r>
              <w:t>25,058,819.44</w:t>
            </w:r>
          </w:p>
        </w:tc>
        <w:tc>
          <w:tcPr>
            <w:tcW w:w="2087" w:type="dxa"/>
            <w:vAlign w:val="center"/>
          </w:tcPr>
          <w:p w14:paraId="4C7C46A0" w14:textId="77777777" w:rsidR="00577D08" w:rsidRDefault="00330FC0">
            <w:pPr>
              <w:jc w:val="right"/>
            </w:pPr>
            <w:r>
              <w:rPr>
                <w:rFonts w:hint="eastAsia"/>
              </w:rPr>
              <w:t>/</w:t>
            </w:r>
          </w:p>
        </w:tc>
      </w:tr>
      <w:tr w:rsidR="00577D08" w14:paraId="7E538D9C" w14:textId="77777777">
        <w:sdt>
          <w:sdtPr>
            <w:tag w:val="_PLD_147bedd0b80c463ab365e4b926d8c081"/>
            <w:id w:val="1276748641"/>
          </w:sdtPr>
          <w:sdtContent>
            <w:tc>
              <w:tcPr>
                <w:tcW w:w="9049" w:type="dxa"/>
                <w:gridSpan w:val="4"/>
                <w:vAlign w:val="center"/>
              </w:tcPr>
              <w:p w14:paraId="743708A5" w14:textId="77777777" w:rsidR="00577D08" w:rsidRDefault="00330FC0">
                <w:r>
                  <w:rPr>
                    <w:rFonts w:hint="eastAsia"/>
                  </w:rPr>
                  <w:t>其中：</w:t>
                </w:r>
              </w:p>
            </w:tc>
          </w:sdtContent>
        </w:sdt>
      </w:tr>
      <w:tr w:rsidR="00577D08" w14:paraId="627BC88A" w14:textId="77777777">
        <w:tc>
          <w:tcPr>
            <w:tcW w:w="2808" w:type="dxa"/>
            <w:vAlign w:val="center"/>
          </w:tcPr>
          <w:p w14:paraId="666C9A9F" w14:textId="77777777" w:rsidR="00577D08" w:rsidRDefault="00330FC0">
            <w:pPr>
              <w:autoSpaceDE w:val="0"/>
              <w:autoSpaceDN w:val="0"/>
              <w:adjustRightInd w:val="0"/>
              <w:ind w:firstLineChars="270" w:firstLine="567"/>
            </w:pPr>
            <w:r>
              <w:rPr>
                <w:rFonts w:hint="eastAsia"/>
              </w:rPr>
              <w:t>结构性存款</w:t>
            </w:r>
          </w:p>
        </w:tc>
        <w:tc>
          <w:tcPr>
            <w:tcW w:w="2068" w:type="dxa"/>
            <w:vAlign w:val="center"/>
          </w:tcPr>
          <w:p w14:paraId="6F74B6D3" w14:textId="77777777" w:rsidR="00577D08" w:rsidRDefault="00577D08">
            <w:pPr>
              <w:jc w:val="right"/>
            </w:pPr>
          </w:p>
        </w:tc>
        <w:tc>
          <w:tcPr>
            <w:tcW w:w="2086" w:type="dxa"/>
            <w:vAlign w:val="center"/>
          </w:tcPr>
          <w:p w14:paraId="6B96C086" w14:textId="77777777" w:rsidR="00577D08" w:rsidRDefault="00330FC0">
            <w:pPr>
              <w:jc w:val="right"/>
            </w:pPr>
            <w:r>
              <w:t>25,058,819.44</w:t>
            </w:r>
          </w:p>
        </w:tc>
        <w:tc>
          <w:tcPr>
            <w:tcW w:w="2087" w:type="dxa"/>
            <w:vAlign w:val="center"/>
          </w:tcPr>
          <w:p w14:paraId="1164C8E6" w14:textId="77777777" w:rsidR="00577D08" w:rsidRDefault="00330FC0">
            <w:pPr>
              <w:jc w:val="right"/>
            </w:pPr>
            <w:r>
              <w:rPr>
                <w:rFonts w:hint="eastAsia"/>
              </w:rPr>
              <w:t>/</w:t>
            </w:r>
          </w:p>
        </w:tc>
      </w:tr>
      <w:tr w:rsidR="00577D08" w14:paraId="587B9C82" w14:textId="77777777">
        <w:tc>
          <w:tcPr>
            <w:tcW w:w="2808" w:type="dxa"/>
            <w:vAlign w:val="center"/>
          </w:tcPr>
          <w:p w14:paraId="41C93DAF" w14:textId="77777777" w:rsidR="00577D08" w:rsidRDefault="00330FC0">
            <w:pPr>
              <w:autoSpaceDE w:val="0"/>
              <w:autoSpaceDN w:val="0"/>
              <w:adjustRightInd w:val="0"/>
            </w:pPr>
            <w:r>
              <w:rPr>
                <w:rFonts w:hint="eastAsia"/>
              </w:rPr>
              <w:t>指定以公允价值计量且其变动计入当期损益的金融资产</w:t>
            </w:r>
          </w:p>
        </w:tc>
        <w:tc>
          <w:tcPr>
            <w:tcW w:w="2068" w:type="dxa"/>
            <w:vAlign w:val="center"/>
          </w:tcPr>
          <w:p w14:paraId="60503D76" w14:textId="77777777" w:rsidR="00577D08" w:rsidRDefault="00577D08">
            <w:pPr>
              <w:jc w:val="right"/>
            </w:pPr>
          </w:p>
        </w:tc>
        <w:tc>
          <w:tcPr>
            <w:tcW w:w="2086" w:type="dxa"/>
            <w:vAlign w:val="center"/>
          </w:tcPr>
          <w:p w14:paraId="0152BE60" w14:textId="77777777" w:rsidR="00577D08" w:rsidRDefault="00577D08">
            <w:pPr>
              <w:jc w:val="right"/>
            </w:pPr>
          </w:p>
        </w:tc>
        <w:tc>
          <w:tcPr>
            <w:tcW w:w="2087" w:type="dxa"/>
            <w:vAlign w:val="center"/>
          </w:tcPr>
          <w:p w14:paraId="5E5E0891" w14:textId="77777777" w:rsidR="00577D08" w:rsidRDefault="00577D08"/>
        </w:tc>
      </w:tr>
      <w:tr w:rsidR="00577D08" w14:paraId="655D300A" w14:textId="77777777">
        <w:sdt>
          <w:sdtPr>
            <w:tag w:val="_PLD_f1663a7b621f4b3eb912bf6125dd9966"/>
            <w:id w:val="654568241"/>
          </w:sdtPr>
          <w:sdtContent>
            <w:tc>
              <w:tcPr>
                <w:tcW w:w="9049" w:type="dxa"/>
                <w:gridSpan w:val="4"/>
                <w:vAlign w:val="center"/>
              </w:tcPr>
              <w:p w14:paraId="193019DF" w14:textId="77777777" w:rsidR="00577D08" w:rsidRDefault="00330FC0">
                <w:r>
                  <w:rPr>
                    <w:rFonts w:hint="eastAsia"/>
                  </w:rPr>
                  <w:t>其中：</w:t>
                </w:r>
              </w:p>
            </w:tc>
          </w:sdtContent>
        </w:sdt>
      </w:tr>
      <w:tr w:rsidR="00577D08" w14:paraId="600A6608" w14:textId="77777777">
        <w:tc>
          <w:tcPr>
            <w:tcW w:w="2808" w:type="dxa"/>
            <w:vAlign w:val="center"/>
          </w:tcPr>
          <w:p w14:paraId="4308DA08" w14:textId="77777777" w:rsidR="00577D08" w:rsidRDefault="00330FC0">
            <w:pPr>
              <w:jc w:val="center"/>
            </w:pPr>
            <w:r>
              <w:rPr>
                <w:rFonts w:hint="eastAsia"/>
              </w:rPr>
              <w:t>合计</w:t>
            </w:r>
          </w:p>
        </w:tc>
        <w:tc>
          <w:tcPr>
            <w:tcW w:w="2068" w:type="dxa"/>
            <w:vAlign w:val="center"/>
          </w:tcPr>
          <w:p w14:paraId="45A13C0C" w14:textId="77777777" w:rsidR="00577D08" w:rsidRDefault="00577D08">
            <w:pPr>
              <w:jc w:val="right"/>
            </w:pPr>
          </w:p>
        </w:tc>
        <w:tc>
          <w:tcPr>
            <w:tcW w:w="2086" w:type="dxa"/>
            <w:vAlign w:val="center"/>
          </w:tcPr>
          <w:p w14:paraId="55897BB7" w14:textId="77777777" w:rsidR="00577D08" w:rsidRDefault="00330FC0">
            <w:pPr>
              <w:jc w:val="right"/>
            </w:pPr>
            <w:r>
              <w:t>25,058,819.44</w:t>
            </w:r>
          </w:p>
        </w:tc>
        <w:tc>
          <w:tcPr>
            <w:tcW w:w="2087" w:type="dxa"/>
            <w:vAlign w:val="center"/>
          </w:tcPr>
          <w:p w14:paraId="165BEFC7" w14:textId="77777777" w:rsidR="00577D08" w:rsidRDefault="00330FC0">
            <w:pPr>
              <w:jc w:val="right"/>
            </w:pPr>
            <w:r>
              <w:rPr>
                <w:rFonts w:hint="eastAsia"/>
              </w:rPr>
              <w:t>/</w:t>
            </w:r>
          </w:p>
        </w:tc>
      </w:tr>
    </w:tbl>
    <w:p w14:paraId="09F9185A" w14:textId="77777777" w:rsidR="00577D08" w:rsidRDefault="00330FC0">
      <w:r>
        <w:rPr>
          <w:rFonts w:hint="eastAsia"/>
        </w:rPr>
        <w:t>其他</w:t>
      </w:r>
      <w:r>
        <w:t>说明：</w:t>
      </w:r>
    </w:p>
    <w:sdt>
      <w:sdtPr>
        <w:alias w:val="是否适用：交易性金融资产的说明[双击切换]"/>
        <w:tag w:val="_GBC_9bed9315a85147e7ac11c2b4bac78358"/>
        <w:id w:val="831099800"/>
        <w:placeholder>
          <w:docPart w:val="GBC22222222222222222222222222222"/>
        </w:placeholder>
      </w:sdtPr>
      <w:sdtContent>
        <w:p w14:paraId="3427E73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9DD5356" w14:textId="77777777" w:rsidR="00577D08" w:rsidRDefault="00330FC0">
      <w:pPr>
        <w:pStyle w:val="3"/>
        <w:numPr>
          <w:ilvl w:val="0"/>
          <w:numId w:val="61"/>
        </w:numPr>
        <w:rPr>
          <w:szCs w:val="21"/>
        </w:rPr>
      </w:pPr>
      <w:r>
        <w:rPr>
          <w:rFonts w:hint="eastAsia"/>
          <w:szCs w:val="21"/>
        </w:rPr>
        <w:t>衍生金融资产</w:t>
      </w:r>
    </w:p>
    <w:sdt>
      <w:sdtPr>
        <w:alias w:val="是否适用：衍生金融资产[双击切换]"/>
        <w:tag w:val="_GBC_d17bfaab262c4a499d0afca62045c5e0"/>
        <w:id w:val="1597979905"/>
        <w:placeholder>
          <w:docPart w:val="GBC22222222222222222222222222222"/>
        </w:placeholder>
      </w:sdtPr>
      <w:sdtContent>
        <w:p w14:paraId="3AD2F2D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9BB11D3" w14:textId="77777777" w:rsidR="00577D08" w:rsidRDefault="00577D08">
      <w:pPr>
        <w:snapToGrid w:val="0"/>
        <w:spacing w:line="240" w:lineRule="atLeast"/>
        <w:ind w:left="1470" w:rightChars="12" w:right="25" w:hangingChars="700" w:hanging="1470"/>
      </w:pPr>
    </w:p>
    <w:p w14:paraId="28A79ED3" w14:textId="77777777" w:rsidR="00577D08" w:rsidRDefault="00577D08">
      <w:pPr>
        <w:snapToGrid w:val="0"/>
        <w:spacing w:line="240" w:lineRule="atLeast"/>
        <w:ind w:left="1470" w:rightChars="12" w:right="25" w:hangingChars="700" w:hanging="1470"/>
        <w:sectPr w:rsidR="00577D08">
          <w:pgSz w:w="11906" w:h="16838"/>
          <w:pgMar w:top="1440" w:right="1797" w:bottom="1525" w:left="1276" w:header="856" w:footer="992" w:gutter="0"/>
          <w:cols w:space="425"/>
          <w:docGrid w:linePitch="312"/>
        </w:sectPr>
      </w:pPr>
    </w:p>
    <w:p w14:paraId="4184CFF5" w14:textId="77777777" w:rsidR="00577D08" w:rsidRDefault="00330FC0">
      <w:pPr>
        <w:pStyle w:val="3"/>
        <w:numPr>
          <w:ilvl w:val="0"/>
          <w:numId w:val="61"/>
        </w:numPr>
        <w:rPr>
          <w:rFonts w:ascii="宋体" w:hAnsi="宋体" w:cs="宋体" w:hint="eastAsia"/>
          <w:kern w:val="0"/>
          <w:szCs w:val="21"/>
        </w:rPr>
      </w:pPr>
      <w:r>
        <w:rPr>
          <w:rFonts w:ascii="宋体" w:hAnsi="宋体" w:cs="宋体" w:hint="eastAsia"/>
          <w:kern w:val="0"/>
          <w:szCs w:val="21"/>
        </w:rPr>
        <w:lastRenderedPageBreak/>
        <w:t>应收票据</w:t>
      </w:r>
    </w:p>
    <w:p w14:paraId="1F2AB289" w14:textId="77777777" w:rsidR="00577D08" w:rsidRDefault="00330FC0">
      <w:pPr>
        <w:pStyle w:val="4"/>
        <w:numPr>
          <w:ilvl w:val="3"/>
          <w:numId w:val="62"/>
        </w:numPr>
        <w:ind w:left="426" w:hanging="426"/>
        <w:rPr>
          <w:rFonts w:hint="eastAsia"/>
        </w:rPr>
      </w:pPr>
      <w:r>
        <w:rPr>
          <w:rFonts w:hint="eastAsia"/>
        </w:rPr>
        <w:t>应收票据分类列示</w:t>
      </w:r>
    </w:p>
    <w:sdt>
      <w:sdtPr>
        <w:alias w:val="是否适用：应收票据分类列示[双击切换]"/>
        <w:tag w:val="_GBC_bdf010020d484a01ae60c52d7465a06a"/>
        <w:id w:val="1410579284"/>
        <w:placeholder>
          <w:docPart w:val="GBC22222222222222222222222222222"/>
        </w:placeholder>
      </w:sdtPr>
      <w:sdtContent>
        <w:p w14:paraId="4410050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59D3CBA" w14:textId="77777777" w:rsidR="00577D08" w:rsidRDefault="00330FC0">
      <w:pPr>
        <w:snapToGrid w:val="0"/>
        <w:spacing w:line="240" w:lineRule="atLeast"/>
        <w:jc w:val="right"/>
      </w:pPr>
      <w:r>
        <w:rPr>
          <w:rFonts w:hint="eastAsia"/>
        </w:rPr>
        <w:t>单位：</w:t>
      </w:r>
      <w:sdt>
        <w:sdtPr>
          <w:rPr>
            <w:rFonts w:hint="eastAsia"/>
          </w:rPr>
          <w:alias w:val="单位：财务附注：应收票据分类"/>
          <w:tag w:val="_GBC_4fa3399364a4449485326bfdb1de5245"/>
          <w:id w:val="-4578753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应收票据分类"/>
          <w:tag w:val="_GBC_0daf818486924555b786788616dee3e7"/>
          <w:id w:val="18431233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4581"/>
        <w:gridCol w:w="4788"/>
        <w:gridCol w:w="4494"/>
      </w:tblGrid>
      <w:tr w:rsidR="00577D08" w14:paraId="459E44BC" w14:textId="77777777">
        <w:trPr>
          <w:cantSplit/>
        </w:trPr>
        <w:sdt>
          <w:sdtPr>
            <w:tag w:val="_PLD_bd44f6beac5e4b8688c30e166c6780c8"/>
            <w:id w:val="43651753"/>
          </w:sdtPr>
          <w:sdtContent>
            <w:tc>
              <w:tcPr>
                <w:tcW w:w="1652" w:type="pct"/>
                <w:vAlign w:val="center"/>
              </w:tcPr>
              <w:p w14:paraId="6C2F6FFA" w14:textId="77777777" w:rsidR="00577D08" w:rsidRDefault="00330FC0">
                <w:pPr>
                  <w:autoSpaceDE w:val="0"/>
                  <w:autoSpaceDN w:val="0"/>
                  <w:adjustRightInd w:val="0"/>
                  <w:snapToGrid w:val="0"/>
                  <w:spacing w:line="240" w:lineRule="atLeast"/>
                  <w:jc w:val="center"/>
                </w:pPr>
                <w:r>
                  <w:rPr>
                    <w:rFonts w:hint="eastAsia"/>
                  </w:rPr>
                  <w:t>项目</w:t>
                </w:r>
              </w:p>
            </w:tc>
          </w:sdtContent>
        </w:sdt>
        <w:sdt>
          <w:sdtPr>
            <w:tag w:val="_PLD_dea2f5c6a1cb487287096a3435e5e8de"/>
            <w:id w:val="493146561"/>
          </w:sdtPr>
          <w:sdtContent>
            <w:tc>
              <w:tcPr>
                <w:tcW w:w="1727" w:type="pct"/>
                <w:vAlign w:val="center"/>
              </w:tcPr>
              <w:p w14:paraId="72E7C3CD"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5d16922842b04d10836d1bc80b3b3b4e"/>
            <w:id w:val="1133751975"/>
          </w:sdtPr>
          <w:sdtContent>
            <w:tc>
              <w:tcPr>
                <w:tcW w:w="1621" w:type="pct"/>
                <w:vAlign w:val="center"/>
              </w:tcPr>
              <w:p w14:paraId="404F8496"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149F2D62" w14:textId="77777777">
        <w:trPr>
          <w:cantSplit/>
        </w:trPr>
        <w:tc>
          <w:tcPr>
            <w:tcW w:w="1652" w:type="pct"/>
            <w:vAlign w:val="center"/>
          </w:tcPr>
          <w:p w14:paraId="63BFBCC2" w14:textId="77777777" w:rsidR="00577D08" w:rsidRDefault="00330FC0">
            <w:pPr>
              <w:autoSpaceDE w:val="0"/>
              <w:autoSpaceDN w:val="0"/>
              <w:adjustRightInd w:val="0"/>
              <w:snapToGrid w:val="0"/>
              <w:spacing w:line="240" w:lineRule="atLeast"/>
            </w:pPr>
            <w:r>
              <w:rPr>
                <w:rFonts w:hint="eastAsia"/>
              </w:rPr>
              <w:t>银行承兑票据</w:t>
            </w:r>
          </w:p>
        </w:tc>
        <w:tc>
          <w:tcPr>
            <w:tcW w:w="1727" w:type="pct"/>
            <w:vAlign w:val="center"/>
          </w:tcPr>
          <w:p w14:paraId="4DB93DDC" w14:textId="77777777" w:rsidR="00577D08" w:rsidRDefault="00330FC0">
            <w:pPr>
              <w:ind w:right="13"/>
              <w:jc w:val="right"/>
            </w:pPr>
            <w:r>
              <w:t>255,572,691.49</w:t>
            </w:r>
          </w:p>
        </w:tc>
        <w:tc>
          <w:tcPr>
            <w:tcW w:w="1621" w:type="pct"/>
            <w:vAlign w:val="center"/>
          </w:tcPr>
          <w:p w14:paraId="56870387" w14:textId="77777777" w:rsidR="00577D08" w:rsidRDefault="00330FC0">
            <w:pPr>
              <w:ind w:right="13"/>
              <w:jc w:val="right"/>
            </w:pPr>
            <w:r>
              <w:t>201,855,536.64</w:t>
            </w:r>
          </w:p>
        </w:tc>
      </w:tr>
      <w:tr w:rsidR="00577D08" w14:paraId="22BFE396" w14:textId="77777777">
        <w:trPr>
          <w:cantSplit/>
        </w:trPr>
        <w:tc>
          <w:tcPr>
            <w:tcW w:w="1652" w:type="pct"/>
            <w:vAlign w:val="center"/>
          </w:tcPr>
          <w:p w14:paraId="399CCC30" w14:textId="77777777" w:rsidR="00577D08" w:rsidRDefault="00330FC0">
            <w:pPr>
              <w:autoSpaceDE w:val="0"/>
              <w:autoSpaceDN w:val="0"/>
              <w:adjustRightInd w:val="0"/>
              <w:snapToGrid w:val="0"/>
              <w:spacing w:line="240" w:lineRule="atLeast"/>
            </w:pPr>
            <w:r>
              <w:rPr>
                <w:rFonts w:hint="eastAsia"/>
              </w:rPr>
              <w:t>商业承兑票据</w:t>
            </w:r>
          </w:p>
        </w:tc>
        <w:tc>
          <w:tcPr>
            <w:tcW w:w="1727" w:type="pct"/>
            <w:vAlign w:val="center"/>
          </w:tcPr>
          <w:p w14:paraId="4F522122" w14:textId="77777777" w:rsidR="00577D08" w:rsidRDefault="00330FC0">
            <w:pPr>
              <w:ind w:right="13"/>
              <w:jc w:val="right"/>
            </w:pPr>
            <w:r>
              <w:t>31,120,036.54</w:t>
            </w:r>
          </w:p>
        </w:tc>
        <w:tc>
          <w:tcPr>
            <w:tcW w:w="1621" w:type="pct"/>
            <w:vAlign w:val="center"/>
          </w:tcPr>
          <w:p w14:paraId="1CCDEB12" w14:textId="77777777" w:rsidR="00577D08" w:rsidRDefault="00330FC0">
            <w:pPr>
              <w:ind w:right="13"/>
              <w:jc w:val="right"/>
            </w:pPr>
            <w:r>
              <w:t>22,907,364.22</w:t>
            </w:r>
          </w:p>
        </w:tc>
      </w:tr>
      <w:tr w:rsidR="00577D08" w14:paraId="3A000184" w14:textId="77777777">
        <w:trPr>
          <w:cantSplit/>
        </w:trPr>
        <w:tc>
          <w:tcPr>
            <w:tcW w:w="1652" w:type="pct"/>
            <w:vAlign w:val="center"/>
          </w:tcPr>
          <w:p w14:paraId="368AC75C" w14:textId="77777777" w:rsidR="00577D08" w:rsidRDefault="00330FC0">
            <w:pPr>
              <w:autoSpaceDE w:val="0"/>
              <w:autoSpaceDN w:val="0"/>
              <w:adjustRightInd w:val="0"/>
              <w:snapToGrid w:val="0"/>
              <w:spacing w:line="240" w:lineRule="atLeast"/>
              <w:jc w:val="center"/>
            </w:pPr>
            <w:r>
              <w:rPr>
                <w:rFonts w:hint="eastAsia"/>
              </w:rPr>
              <w:t>合计</w:t>
            </w:r>
          </w:p>
        </w:tc>
        <w:tc>
          <w:tcPr>
            <w:tcW w:w="1727" w:type="pct"/>
            <w:vAlign w:val="center"/>
          </w:tcPr>
          <w:p w14:paraId="050EF469" w14:textId="77777777" w:rsidR="00577D08" w:rsidRDefault="00330FC0">
            <w:pPr>
              <w:jc w:val="right"/>
            </w:pPr>
            <w:r>
              <w:t>286,692,728.03</w:t>
            </w:r>
          </w:p>
        </w:tc>
        <w:tc>
          <w:tcPr>
            <w:tcW w:w="1621" w:type="pct"/>
            <w:vAlign w:val="center"/>
          </w:tcPr>
          <w:p w14:paraId="29C30769" w14:textId="77777777" w:rsidR="00577D08" w:rsidRDefault="00330FC0">
            <w:pPr>
              <w:autoSpaceDE w:val="0"/>
              <w:autoSpaceDN w:val="0"/>
              <w:adjustRightInd w:val="0"/>
              <w:jc w:val="right"/>
            </w:pPr>
            <w:r>
              <w:t>224,762,900.86</w:t>
            </w:r>
          </w:p>
        </w:tc>
      </w:tr>
    </w:tbl>
    <w:p w14:paraId="2D46EB89" w14:textId="77777777" w:rsidR="00577D08" w:rsidRDefault="00330FC0">
      <w:pPr>
        <w:pStyle w:val="4"/>
        <w:numPr>
          <w:ilvl w:val="3"/>
          <w:numId w:val="62"/>
        </w:numPr>
        <w:ind w:left="426" w:hanging="426"/>
        <w:rPr>
          <w:rFonts w:hint="eastAsia"/>
        </w:rPr>
      </w:pPr>
      <w:r>
        <w:t>期末公司已</w:t>
      </w:r>
      <w:r>
        <w:rPr>
          <w:rFonts w:hint="eastAsia"/>
        </w:rPr>
        <w:t>质押</w:t>
      </w:r>
      <w:r>
        <w:t>的应收票据</w:t>
      </w:r>
    </w:p>
    <w:sdt>
      <w:sdtPr>
        <w:alias w:val="是否适用：期末公司已质押的应收票据[双击切换]"/>
        <w:tag w:val="_GBC_5281ffb2b9304a49a6db0c913bbaac53"/>
        <w:id w:val="-1447073762"/>
        <w:placeholder>
          <w:docPart w:val="GBC22222222222222222222222222222"/>
        </w:placeholder>
      </w:sdtPr>
      <w:sdtContent>
        <w:p w14:paraId="14C6C4A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8732B5D" w14:textId="77777777" w:rsidR="00577D08" w:rsidRDefault="00330FC0">
      <w:pPr>
        <w:pStyle w:val="4"/>
        <w:numPr>
          <w:ilvl w:val="3"/>
          <w:numId w:val="62"/>
        </w:numPr>
        <w:ind w:left="426" w:hanging="426"/>
        <w:rPr>
          <w:rFonts w:hint="eastAsia"/>
        </w:rPr>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636994196"/>
        <w:placeholder>
          <w:docPart w:val="GBC22222222222222222222222222222"/>
        </w:placeholder>
      </w:sdtPr>
      <w:sdtContent>
        <w:p w14:paraId="6553497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735C999" w14:textId="6DCDF0C0" w:rsidR="00577D08" w:rsidRDefault="00330FC0">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2046032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期末公司已背书或贴现且在资产负债表日尚未到期的应收票据"/>
          <w:tag w:val="_GBC_79202e45cde04e34a385187ee9a018f7"/>
          <w:id w:val="20443314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672"/>
        <w:gridCol w:w="4783"/>
      </w:tblGrid>
      <w:tr w:rsidR="00577D08" w14:paraId="02FC980E" w14:textId="77777777">
        <w:sdt>
          <w:sdtPr>
            <w:tag w:val="_PLD_76a87ff67e5b45fd8796a3a35ba8193e"/>
            <w:id w:val="1740671163"/>
          </w:sdtPr>
          <w:sdtContent>
            <w:tc>
              <w:tcPr>
                <w:tcW w:w="1590" w:type="pct"/>
                <w:vAlign w:val="center"/>
              </w:tcPr>
              <w:p w14:paraId="7583BFFB" w14:textId="77777777" w:rsidR="00577D08" w:rsidRDefault="00330FC0">
                <w:pPr>
                  <w:jc w:val="center"/>
                </w:pPr>
                <w:r>
                  <w:rPr>
                    <w:rFonts w:hint="eastAsia"/>
                  </w:rPr>
                  <w:t>项目</w:t>
                </w:r>
              </w:p>
            </w:tc>
          </w:sdtContent>
        </w:sdt>
        <w:sdt>
          <w:sdtPr>
            <w:tag w:val="_PLD_f9150e3257574b5dab33b7c7a9c74bd0"/>
            <w:id w:val="-1116749098"/>
          </w:sdtPr>
          <w:sdtContent>
            <w:tc>
              <w:tcPr>
                <w:tcW w:w="1685" w:type="pct"/>
                <w:vAlign w:val="center"/>
              </w:tcPr>
              <w:p w14:paraId="5A68F25F" w14:textId="77777777" w:rsidR="00577D08" w:rsidRDefault="00330FC0">
                <w:pPr>
                  <w:jc w:val="center"/>
                </w:pPr>
                <w:r>
                  <w:rPr>
                    <w:rFonts w:hint="eastAsia"/>
                  </w:rPr>
                  <w:t>期末终止确认金额</w:t>
                </w:r>
              </w:p>
            </w:tc>
          </w:sdtContent>
        </w:sdt>
        <w:sdt>
          <w:sdtPr>
            <w:tag w:val="_PLD_4f99e6fe1d4c4c57bab686890f8d0f57"/>
            <w:id w:val="-166792301"/>
          </w:sdtPr>
          <w:sdtContent>
            <w:tc>
              <w:tcPr>
                <w:tcW w:w="1725" w:type="pct"/>
                <w:vAlign w:val="center"/>
              </w:tcPr>
              <w:p w14:paraId="07271FD3" w14:textId="77777777" w:rsidR="00577D08" w:rsidRDefault="00330FC0">
                <w:pPr>
                  <w:jc w:val="center"/>
                </w:pPr>
                <w:r>
                  <w:rPr>
                    <w:rFonts w:hint="eastAsia"/>
                  </w:rPr>
                  <w:t>期末未终止确认金额</w:t>
                </w:r>
              </w:p>
            </w:tc>
          </w:sdtContent>
        </w:sdt>
      </w:tr>
      <w:tr w:rsidR="00577D08" w14:paraId="031D9D55" w14:textId="77777777">
        <w:tc>
          <w:tcPr>
            <w:tcW w:w="1590" w:type="pct"/>
            <w:vAlign w:val="center"/>
          </w:tcPr>
          <w:p w14:paraId="2F61FF9E" w14:textId="77777777" w:rsidR="00577D08" w:rsidRDefault="00330FC0">
            <w:r>
              <w:rPr>
                <w:rFonts w:hint="eastAsia"/>
              </w:rPr>
              <w:t>银行承兑票据</w:t>
            </w:r>
          </w:p>
        </w:tc>
        <w:tc>
          <w:tcPr>
            <w:tcW w:w="1685" w:type="pct"/>
            <w:vAlign w:val="center"/>
          </w:tcPr>
          <w:p w14:paraId="5D982285" w14:textId="77777777" w:rsidR="00577D08" w:rsidRDefault="00577D08">
            <w:pPr>
              <w:jc w:val="right"/>
            </w:pPr>
          </w:p>
        </w:tc>
        <w:tc>
          <w:tcPr>
            <w:tcW w:w="1725" w:type="pct"/>
          </w:tcPr>
          <w:p w14:paraId="30713C28" w14:textId="77777777" w:rsidR="00577D08" w:rsidRDefault="00330FC0">
            <w:pPr>
              <w:jc w:val="right"/>
            </w:pPr>
            <w:r>
              <w:t>260,837,133.47</w:t>
            </w:r>
          </w:p>
        </w:tc>
      </w:tr>
      <w:tr w:rsidR="00577D08" w14:paraId="506D1CDE" w14:textId="77777777">
        <w:tc>
          <w:tcPr>
            <w:tcW w:w="1590" w:type="pct"/>
            <w:vAlign w:val="center"/>
          </w:tcPr>
          <w:p w14:paraId="22296E58" w14:textId="77777777" w:rsidR="00577D08" w:rsidRDefault="00330FC0">
            <w:r>
              <w:rPr>
                <w:rFonts w:hint="eastAsia"/>
              </w:rPr>
              <w:t>商业承兑票据</w:t>
            </w:r>
          </w:p>
        </w:tc>
        <w:tc>
          <w:tcPr>
            <w:tcW w:w="1685" w:type="pct"/>
            <w:vAlign w:val="center"/>
          </w:tcPr>
          <w:p w14:paraId="2A7ADCBF" w14:textId="77777777" w:rsidR="00577D08" w:rsidRDefault="00577D08">
            <w:pPr>
              <w:jc w:val="right"/>
            </w:pPr>
          </w:p>
        </w:tc>
        <w:tc>
          <w:tcPr>
            <w:tcW w:w="1725" w:type="pct"/>
          </w:tcPr>
          <w:p w14:paraId="46734D66" w14:textId="77777777" w:rsidR="00577D08" w:rsidRDefault="00330FC0">
            <w:pPr>
              <w:jc w:val="right"/>
            </w:pPr>
            <w:r>
              <w:t>33,363,095.47</w:t>
            </w:r>
          </w:p>
        </w:tc>
      </w:tr>
      <w:tr w:rsidR="00577D08" w14:paraId="6CEC2786" w14:textId="77777777">
        <w:tc>
          <w:tcPr>
            <w:tcW w:w="1590" w:type="pct"/>
            <w:vAlign w:val="center"/>
          </w:tcPr>
          <w:p w14:paraId="04F95030" w14:textId="77777777" w:rsidR="00577D08" w:rsidRDefault="00330FC0">
            <w:pPr>
              <w:jc w:val="center"/>
            </w:pPr>
            <w:r>
              <w:rPr>
                <w:rFonts w:hint="eastAsia"/>
              </w:rPr>
              <w:t>合计</w:t>
            </w:r>
          </w:p>
        </w:tc>
        <w:tc>
          <w:tcPr>
            <w:tcW w:w="1685" w:type="pct"/>
            <w:vAlign w:val="center"/>
          </w:tcPr>
          <w:p w14:paraId="6B85E540" w14:textId="77777777" w:rsidR="00577D08" w:rsidRDefault="00577D08">
            <w:pPr>
              <w:jc w:val="right"/>
            </w:pPr>
          </w:p>
        </w:tc>
        <w:tc>
          <w:tcPr>
            <w:tcW w:w="1725" w:type="pct"/>
          </w:tcPr>
          <w:p w14:paraId="0AB8C1B6" w14:textId="77777777" w:rsidR="00577D08" w:rsidRDefault="00330FC0">
            <w:pPr>
              <w:jc w:val="right"/>
            </w:pPr>
            <w:r>
              <w:t>294,200,228.94</w:t>
            </w:r>
          </w:p>
        </w:tc>
      </w:tr>
    </w:tbl>
    <w:p w14:paraId="3AB539AA" w14:textId="77777777" w:rsidR="00577D08" w:rsidRDefault="00330FC0">
      <w:pPr>
        <w:pStyle w:val="4"/>
        <w:numPr>
          <w:ilvl w:val="3"/>
          <w:numId w:val="62"/>
        </w:numPr>
        <w:ind w:left="426" w:hanging="426"/>
        <w:rPr>
          <w:rFonts w:hint="eastAsia"/>
        </w:rPr>
      </w:pPr>
      <w:bookmarkStart w:id="320" w:name="_Hlk533596246"/>
      <w:r>
        <w:t>按坏账计提方法分类披露</w:t>
      </w:r>
    </w:p>
    <w:sdt>
      <w:sdtPr>
        <w:alias w:val="是否适用：应收票据按坏账计提方法分类披露[双击切换]"/>
        <w:tag w:val="_GBC_806abc31b942462ba4b46f92c99312a5"/>
        <w:id w:val="-1167401453"/>
        <w:placeholder>
          <w:docPart w:val="GBC22222222222222222222222222222"/>
        </w:placeholder>
      </w:sdtPr>
      <w:sdtContent>
        <w:p w14:paraId="5571FD8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1173A66" w14:textId="799765A1" w:rsidR="00577D08" w:rsidRDefault="00330FC0">
      <w:pPr>
        <w:pStyle w:val="aff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be165eaa47f341218b4ab4aaaa9f9b65"/>
          <w:id w:val="-3255085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r w:rsidR="00CC5C32">
            <w:rPr>
              <w:szCs w:val="21"/>
            </w:rPr>
            <w:t xml:space="preserve"> </w:t>
          </w:r>
        </w:sdtContent>
      </w:sdt>
      <w:r>
        <w:rPr>
          <w:rFonts w:hint="eastAsia"/>
          <w:szCs w:val="21"/>
        </w:rPr>
        <w:t>币种：</w:t>
      </w:r>
      <w:sdt>
        <w:sdtPr>
          <w:rPr>
            <w:rFonts w:hint="eastAsia"/>
            <w:szCs w:val="21"/>
          </w:rPr>
          <w:alias w:val="币种：应收票据按坏账计提方法分类披露"/>
          <w:tag w:val="_GBC_601e6cb0999d4fd599cfcacf79d2aa28"/>
          <w:id w:val="15884952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529"/>
        <w:gridCol w:w="794"/>
        <w:gridCol w:w="1424"/>
        <w:gridCol w:w="780"/>
        <w:gridCol w:w="1529"/>
        <w:gridCol w:w="1529"/>
        <w:gridCol w:w="794"/>
        <w:gridCol w:w="1424"/>
        <w:gridCol w:w="782"/>
        <w:gridCol w:w="1529"/>
      </w:tblGrid>
      <w:tr w:rsidR="00577D08" w14:paraId="0C1D9893" w14:textId="77777777">
        <w:trPr>
          <w:cantSplit/>
          <w:trHeight w:val="259"/>
        </w:trPr>
        <w:bookmarkStart w:id="321" w:name="_Hlk533511527" w:displacedByCustomXml="next"/>
        <w:sdt>
          <w:sdtPr>
            <w:tag w:val="_PLD_694877484ae448bcbdceead91da15b38"/>
            <w:id w:val="1051496331"/>
          </w:sdtPr>
          <w:sdtContent>
            <w:tc>
              <w:tcPr>
                <w:tcW w:w="645" w:type="pct"/>
                <w:vMerge w:val="restart"/>
                <w:tcBorders>
                  <w:top w:val="single" w:sz="4" w:space="0" w:color="auto"/>
                  <w:left w:val="single" w:sz="4" w:space="0" w:color="auto"/>
                  <w:right w:val="single" w:sz="4" w:space="0" w:color="auto"/>
                </w:tcBorders>
                <w:vAlign w:val="center"/>
              </w:tcPr>
              <w:p w14:paraId="43280A2F" w14:textId="77777777" w:rsidR="00577D08" w:rsidRDefault="00330FC0">
                <w:pPr>
                  <w:jc w:val="center"/>
                </w:pPr>
                <w:r>
                  <w:rPr>
                    <w:rFonts w:hint="eastAsia"/>
                  </w:rPr>
                  <w:t>类别</w:t>
                </w:r>
              </w:p>
            </w:tc>
          </w:sdtContent>
        </w:sdt>
        <w:sdt>
          <w:sdtPr>
            <w:tag w:val="_PLD_fafb5208264e4d4bb8e6b267fb648c20"/>
            <w:id w:val="933246048"/>
          </w:sdtPr>
          <w:sdtContent>
            <w:tc>
              <w:tcPr>
                <w:tcW w:w="2168" w:type="pct"/>
                <w:gridSpan w:val="5"/>
                <w:tcBorders>
                  <w:top w:val="single" w:sz="4" w:space="0" w:color="auto"/>
                  <w:left w:val="single" w:sz="4" w:space="0" w:color="auto"/>
                  <w:right w:val="single" w:sz="4" w:space="0" w:color="auto"/>
                </w:tcBorders>
                <w:vAlign w:val="center"/>
              </w:tcPr>
              <w:p w14:paraId="721B9094"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8205b68975c546be850548a72e9a6054"/>
            <w:id w:val="-1477220102"/>
          </w:sdtPr>
          <w:sdtContent>
            <w:tc>
              <w:tcPr>
                <w:tcW w:w="2187" w:type="pct"/>
                <w:gridSpan w:val="5"/>
                <w:tcBorders>
                  <w:top w:val="single" w:sz="4" w:space="0" w:color="auto"/>
                  <w:left w:val="single" w:sz="4" w:space="0" w:color="auto"/>
                  <w:right w:val="single" w:sz="4" w:space="0" w:color="auto"/>
                </w:tcBorders>
                <w:vAlign w:val="center"/>
              </w:tcPr>
              <w:p w14:paraId="26866000"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17D53A4C" w14:textId="77777777">
        <w:trPr>
          <w:cantSplit/>
          <w:trHeight w:val="227"/>
        </w:trPr>
        <w:tc>
          <w:tcPr>
            <w:tcW w:w="645" w:type="pct"/>
            <w:vMerge/>
            <w:tcBorders>
              <w:left w:val="single" w:sz="4" w:space="0" w:color="auto"/>
              <w:right w:val="single" w:sz="4" w:space="0" w:color="auto"/>
            </w:tcBorders>
            <w:vAlign w:val="center"/>
          </w:tcPr>
          <w:p w14:paraId="6672F832" w14:textId="77777777" w:rsidR="00577D08" w:rsidRDefault="00577D08"/>
        </w:tc>
        <w:sdt>
          <w:sdtPr>
            <w:tag w:val="_PLD_7056cf81ea5945de8de7b1a9d0e25fd7"/>
            <w:id w:val="-1473132579"/>
          </w:sdtPr>
          <w:sdtContent>
            <w:tc>
              <w:tcPr>
                <w:tcW w:w="826" w:type="pct"/>
                <w:gridSpan w:val="2"/>
                <w:tcBorders>
                  <w:top w:val="single" w:sz="4" w:space="0" w:color="auto"/>
                  <w:left w:val="single" w:sz="4" w:space="0" w:color="auto"/>
                  <w:bottom w:val="single" w:sz="4" w:space="0" w:color="auto"/>
                  <w:right w:val="single" w:sz="4" w:space="0" w:color="auto"/>
                </w:tcBorders>
                <w:vAlign w:val="center"/>
              </w:tcPr>
              <w:p w14:paraId="63A88A3A" w14:textId="77777777" w:rsidR="00577D08" w:rsidRDefault="00330FC0">
                <w:pPr>
                  <w:jc w:val="center"/>
                </w:pPr>
                <w:r>
                  <w:rPr>
                    <w:rFonts w:hint="eastAsia"/>
                  </w:rPr>
                  <w:t>账面余额</w:t>
                </w:r>
              </w:p>
            </w:tc>
          </w:sdtContent>
        </w:sdt>
        <w:sdt>
          <w:sdtPr>
            <w:tag w:val="_PLD_34f16de3fbfe4d57907bcde799e70cf5"/>
            <w:id w:val="-1112898475"/>
          </w:sdtPr>
          <w:sdtContent>
            <w:tc>
              <w:tcPr>
                <w:tcW w:w="800" w:type="pct"/>
                <w:gridSpan w:val="2"/>
                <w:tcBorders>
                  <w:top w:val="single" w:sz="4" w:space="0" w:color="auto"/>
                  <w:left w:val="single" w:sz="4" w:space="0" w:color="auto"/>
                  <w:bottom w:val="single" w:sz="4" w:space="0" w:color="auto"/>
                  <w:right w:val="single" w:sz="4" w:space="0" w:color="auto"/>
                </w:tcBorders>
                <w:vAlign w:val="center"/>
              </w:tcPr>
              <w:p w14:paraId="53CBBAC5" w14:textId="77777777" w:rsidR="00577D08" w:rsidRDefault="00330FC0">
                <w:pPr>
                  <w:jc w:val="center"/>
                </w:pPr>
                <w:r>
                  <w:rPr>
                    <w:rFonts w:hint="eastAsia"/>
                  </w:rPr>
                  <w:t>坏账准备</w:t>
                </w:r>
              </w:p>
            </w:tc>
          </w:sdtContent>
        </w:sdt>
        <w:sdt>
          <w:sdtPr>
            <w:tag w:val="_PLD_cd77106f5f004386a9ab2d4ac038ed51"/>
            <w:id w:val="275376379"/>
          </w:sdtPr>
          <w:sdtContent>
            <w:tc>
              <w:tcPr>
                <w:tcW w:w="543" w:type="pct"/>
                <w:vMerge w:val="restart"/>
                <w:tcBorders>
                  <w:top w:val="single" w:sz="4" w:space="0" w:color="auto"/>
                  <w:left w:val="single" w:sz="4" w:space="0" w:color="auto"/>
                  <w:right w:val="single" w:sz="4" w:space="0" w:color="auto"/>
                </w:tcBorders>
                <w:vAlign w:val="center"/>
              </w:tcPr>
              <w:p w14:paraId="49C90064" w14:textId="77777777" w:rsidR="00577D08" w:rsidRDefault="00330FC0">
                <w:pPr>
                  <w:jc w:val="center"/>
                </w:pPr>
                <w:r>
                  <w:rPr>
                    <w:rFonts w:hint="eastAsia"/>
                  </w:rPr>
                  <w:t>账面</w:t>
                </w:r>
              </w:p>
              <w:p w14:paraId="3F20DA97" w14:textId="77777777" w:rsidR="00577D08" w:rsidRDefault="00330FC0">
                <w:pPr>
                  <w:jc w:val="center"/>
                </w:pPr>
                <w:r>
                  <w:rPr>
                    <w:rFonts w:hint="eastAsia"/>
                  </w:rPr>
                  <w:t>价值</w:t>
                </w:r>
              </w:p>
            </w:tc>
          </w:sdtContent>
        </w:sdt>
        <w:sdt>
          <w:sdtPr>
            <w:tag w:val="_PLD_f426e0de2bf0466d9f5f3a3cac025942"/>
            <w:id w:val="1150642757"/>
          </w:sdtPr>
          <w:sdtContent>
            <w:tc>
              <w:tcPr>
                <w:tcW w:w="837" w:type="pct"/>
                <w:gridSpan w:val="2"/>
                <w:tcBorders>
                  <w:top w:val="single" w:sz="4" w:space="0" w:color="auto"/>
                  <w:left w:val="single" w:sz="4" w:space="0" w:color="auto"/>
                  <w:right w:val="single" w:sz="4" w:space="0" w:color="auto"/>
                </w:tcBorders>
                <w:vAlign w:val="center"/>
              </w:tcPr>
              <w:p w14:paraId="6A6E99A9" w14:textId="77777777" w:rsidR="00577D08" w:rsidRDefault="00330FC0">
                <w:pPr>
                  <w:jc w:val="center"/>
                </w:pPr>
                <w:r>
                  <w:rPr>
                    <w:rFonts w:hint="eastAsia"/>
                  </w:rPr>
                  <w:t>账面余额</w:t>
                </w:r>
              </w:p>
            </w:tc>
          </w:sdtContent>
        </w:sdt>
        <w:sdt>
          <w:sdtPr>
            <w:tag w:val="_PLD_42ed37b6856f4ff3b7f03ee8855d758a"/>
            <w:id w:val="912507058"/>
          </w:sdtPr>
          <w:sdtContent>
            <w:tc>
              <w:tcPr>
                <w:tcW w:w="807" w:type="pct"/>
                <w:gridSpan w:val="2"/>
                <w:tcBorders>
                  <w:top w:val="single" w:sz="4" w:space="0" w:color="auto"/>
                  <w:left w:val="single" w:sz="4" w:space="0" w:color="auto"/>
                  <w:right w:val="single" w:sz="4" w:space="0" w:color="auto"/>
                </w:tcBorders>
                <w:vAlign w:val="center"/>
              </w:tcPr>
              <w:p w14:paraId="3009DB30" w14:textId="77777777" w:rsidR="00577D08" w:rsidRDefault="00330FC0">
                <w:pPr>
                  <w:jc w:val="center"/>
                </w:pPr>
                <w:r>
                  <w:rPr>
                    <w:rFonts w:hint="eastAsia"/>
                  </w:rPr>
                  <w:t>坏账准备</w:t>
                </w:r>
              </w:p>
            </w:tc>
          </w:sdtContent>
        </w:sdt>
        <w:sdt>
          <w:sdtPr>
            <w:tag w:val="_PLD_f82bf84717ad44b1847dfdc19cbcf7f8"/>
            <w:id w:val="-621691015"/>
          </w:sdtPr>
          <w:sdtContent>
            <w:tc>
              <w:tcPr>
                <w:tcW w:w="543" w:type="pct"/>
                <w:vMerge w:val="restart"/>
                <w:tcBorders>
                  <w:top w:val="single" w:sz="4" w:space="0" w:color="auto"/>
                  <w:left w:val="single" w:sz="4" w:space="0" w:color="auto"/>
                  <w:right w:val="single" w:sz="4" w:space="0" w:color="auto"/>
                </w:tcBorders>
                <w:vAlign w:val="center"/>
              </w:tcPr>
              <w:p w14:paraId="052A7E68" w14:textId="77777777" w:rsidR="00577D08" w:rsidRDefault="00330FC0">
                <w:pPr>
                  <w:jc w:val="center"/>
                </w:pPr>
                <w:r>
                  <w:rPr>
                    <w:rFonts w:hint="eastAsia"/>
                  </w:rPr>
                  <w:t>账面</w:t>
                </w:r>
              </w:p>
              <w:p w14:paraId="4A401793" w14:textId="77777777" w:rsidR="00577D08" w:rsidRDefault="00330FC0">
                <w:pPr>
                  <w:jc w:val="center"/>
                </w:pPr>
                <w:r>
                  <w:rPr>
                    <w:rFonts w:hint="eastAsia"/>
                  </w:rPr>
                  <w:t>价值</w:t>
                </w:r>
              </w:p>
            </w:tc>
          </w:sdtContent>
        </w:sdt>
      </w:tr>
      <w:tr w:rsidR="00577D08" w14:paraId="54A66C77" w14:textId="77777777">
        <w:trPr>
          <w:cantSplit/>
          <w:trHeight w:val="375"/>
        </w:trPr>
        <w:tc>
          <w:tcPr>
            <w:tcW w:w="645" w:type="pct"/>
            <w:vMerge/>
            <w:tcBorders>
              <w:left w:val="single" w:sz="4" w:space="0" w:color="auto"/>
              <w:bottom w:val="single" w:sz="4" w:space="0" w:color="auto"/>
              <w:right w:val="single" w:sz="4" w:space="0" w:color="auto"/>
            </w:tcBorders>
            <w:vAlign w:val="center"/>
          </w:tcPr>
          <w:p w14:paraId="6A2A2B8E" w14:textId="77777777" w:rsidR="00577D08" w:rsidRDefault="00577D08"/>
        </w:tc>
        <w:sdt>
          <w:sdtPr>
            <w:tag w:val="_PLD_aa10a65b20404088a51399b13bc1f8a5"/>
            <w:id w:val="-618908491"/>
          </w:sdtPr>
          <w:sdtContent>
            <w:tc>
              <w:tcPr>
                <w:tcW w:w="543" w:type="pct"/>
                <w:tcBorders>
                  <w:left w:val="single" w:sz="4" w:space="0" w:color="auto"/>
                  <w:bottom w:val="single" w:sz="4" w:space="0" w:color="auto"/>
                  <w:right w:val="single" w:sz="4" w:space="0" w:color="auto"/>
                </w:tcBorders>
                <w:vAlign w:val="center"/>
              </w:tcPr>
              <w:p w14:paraId="6ED5DE65" w14:textId="77777777" w:rsidR="00577D08" w:rsidRDefault="00330FC0">
                <w:pPr>
                  <w:jc w:val="center"/>
                </w:pPr>
                <w:r>
                  <w:rPr>
                    <w:rFonts w:hint="eastAsia"/>
                  </w:rPr>
                  <w:t>金额</w:t>
                </w:r>
              </w:p>
            </w:tc>
          </w:sdtContent>
        </w:sdt>
        <w:sdt>
          <w:sdtPr>
            <w:tag w:val="_PLD_5ca29603eb73434e9c2b6a938262bcf4"/>
            <w:id w:val="1401948191"/>
          </w:sdtPr>
          <w:sdtContent>
            <w:tc>
              <w:tcPr>
                <w:tcW w:w="284" w:type="pct"/>
                <w:tcBorders>
                  <w:left w:val="single" w:sz="4" w:space="0" w:color="auto"/>
                  <w:bottom w:val="single" w:sz="4" w:space="0" w:color="auto"/>
                  <w:right w:val="single" w:sz="4" w:space="0" w:color="auto"/>
                </w:tcBorders>
                <w:vAlign w:val="center"/>
              </w:tcPr>
              <w:p w14:paraId="1DC1B38B" w14:textId="77777777" w:rsidR="00577D08" w:rsidRDefault="00330FC0">
                <w:pPr>
                  <w:jc w:val="center"/>
                </w:pPr>
                <w:r>
                  <w:rPr>
                    <w:rFonts w:hint="eastAsia"/>
                  </w:rPr>
                  <w:t>比例</w:t>
                </w:r>
                <w:r>
                  <w:t>(%)</w:t>
                </w:r>
              </w:p>
            </w:tc>
          </w:sdtContent>
        </w:sdt>
        <w:sdt>
          <w:sdtPr>
            <w:tag w:val="_PLD_6964d79d10954e17b7bb61b577242def"/>
            <w:id w:val="-741326041"/>
          </w:sdtPr>
          <w:sdtContent>
            <w:tc>
              <w:tcPr>
                <w:tcW w:w="505" w:type="pct"/>
                <w:tcBorders>
                  <w:left w:val="single" w:sz="4" w:space="0" w:color="auto"/>
                  <w:bottom w:val="single" w:sz="4" w:space="0" w:color="auto"/>
                  <w:right w:val="single" w:sz="4" w:space="0" w:color="auto"/>
                </w:tcBorders>
                <w:vAlign w:val="center"/>
              </w:tcPr>
              <w:p w14:paraId="2B118FDF" w14:textId="77777777" w:rsidR="00577D08" w:rsidRDefault="00330FC0">
                <w:pPr>
                  <w:jc w:val="center"/>
                </w:pPr>
                <w:r>
                  <w:rPr>
                    <w:rFonts w:hint="eastAsia"/>
                  </w:rPr>
                  <w:t>金额</w:t>
                </w:r>
              </w:p>
            </w:tc>
          </w:sdtContent>
        </w:sdt>
        <w:sdt>
          <w:sdtPr>
            <w:tag w:val="_PLD_3b8eaa1922a244bea17eec1b5b1e71f7"/>
            <w:id w:val="-1998723962"/>
          </w:sdtPr>
          <w:sdtContent>
            <w:tc>
              <w:tcPr>
                <w:tcW w:w="294" w:type="pct"/>
                <w:tcBorders>
                  <w:left w:val="single" w:sz="4" w:space="0" w:color="auto"/>
                  <w:bottom w:val="single" w:sz="4" w:space="0" w:color="auto"/>
                  <w:right w:val="single" w:sz="4" w:space="0" w:color="auto"/>
                </w:tcBorders>
                <w:vAlign w:val="center"/>
              </w:tcPr>
              <w:p w14:paraId="5BC93693" w14:textId="77777777" w:rsidR="00577D08" w:rsidRDefault="00330FC0">
                <w:pPr>
                  <w:jc w:val="center"/>
                </w:pPr>
                <w:r>
                  <w:rPr>
                    <w:rFonts w:hint="eastAsia"/>
                  </w:rPr>
                  <w:t>计提比例</w:t>
                </w:r>
                <w:r>
                  <w:t>(%)</w:t>
                </w:r>
              </w:p>
            </w:tc>
          </w:sdtContent>
        </w:sdt>
        <w:tc>
          <w:tcPr>
            <w:tcW w:w="543" w:type="pct"/>
            <w:vMerge/>
            <w:tcBorders>
              <w:left w:val="single" w:sz="4" w:space="0" w:color="auto"/>
              <w:bottom w:val="single" w:sz="4" w:space="0" w:color="auto"/>
              <w:right w:val="single" w:sz="4" w:space="0" w:color="auto"/>
            </w:tcBorders>
            <w:vAlign w:val="center"/>
          </w:tcPr>
          <w:p w14:paraId="513F9A11" w14:textId="77777777" w:rsidR="00577D08" w:rsidRDefault="00577D08">
            <w:pPr>
              <w:jc w:val="center"/>
            </w:pPr>
          </w:p>
        </w:tc>
        <w:sdt>
          <w:sdtPr>
            <w:tag w:val="_PLD_2643b99ff0364343807a178f0f8dd5da"/>
            <w:id w:val="1256868654"/>
          </w:sdtPr>
          <w:sdtContent>
            <w:tc>
              <w:tcPr>
                <w:tcW w:w="543" w:type="pct"/>
                <w:tcBorders>
                  <w:left w:val="single" w:sz="4" w:space="0" w:color="auto"/>
                  <w:bottom w:val="single" w:sz="4" w:space="0" w:color="auto"/>
                  <w:right w:val="single" w:sz="4" w:space="0" w:color="auto"/>
                </w:tcBorders>
                <w:vAlign w:val="center"/>
              </w:tcPr>
              <w:p w14:paraId="100650E6" w14:textId="77777777" w:rsidR="00577D08" w:rsidRDefault="00330FC0">
                <w:pPr>
                  <w:jc w:val="center"/>
                </w:pPr>
                <w:r>
                  <w:rPr>
                    <w:rFonts w:hint="eastAsia"/>
                  </w:rPr>
                  <w:t>金额</w:t>
                </w:r>
              </w:p>
            </w:tc>
          </w:sdtContent>
        </w:sdt>
        <w:sdt>
          <w:sdtPr>
            <w:tag w:val="_PLD_889230571c2941e88f231f43b4b8a99e"/>
            <w:id w:val="2084946233"/>
          </w:sdtPr>
          <w:sdtContent>
            <w:tc>
              <w:tcPr>
                <w:tcW w:w="294" w:type="pct"/>
                <w:tcBorders>
                  <w:left w:val="single" w:sz="4" w:space="0" w:color="auto"/>
                  <w:bottom w:val="single" w:sz="4" w:space="0" w:color="auto"/>
                  <w:right w:val="single" w:sz="4" w:space="0" w:color="auto"/>
                </w:tcBorders>
                <w:vAlign w:val="center"/>
              </w:tcPr>
              <w:p w14:paraId="5D5A4F69" w14:textId="77777777" w:rsidR="00577D08" w:rsidRDefault="00330FC0">
                <w:pPr>
                  <w:jc w:val="center"/>
                </w:pPr>
                <w:r>
                  <w:rPr>
                    <w:rFonts w:hint="eastAsia"/>
                  </w:rPr>
                  <w:t>比例</w:t>
                </w:r>
                <w:r>
                  <w:t>(%)</w:t>
                </w:r>
              </w:p>
            </w:tc>
          </w:sdtContent>
        </w:sdt>
        <w:sdt>
          <w:sdtPr>
            <w:tag w:val="_PLD_e1c946a6d26548c493697d23050b8325"/>
            <w:id w:val="178631358"/>
          </w:sdtPr>
          <w:sdtContent>
            <w:tc>
              <w:tcPr>
                <w:tcW w:w="505" w:type="pct"/>
                <w:tcBorders>
                  <w:left w:val="single" w:sz="4" w:space="0" w:color="auto"/>
                  <w:bottom w:val="single" w:sz="4" w:space="0" w:color="auto"/>
                  <w:right w:val="single" w:sz="4" w:space="0" w:color="auto"/>
                </w:tcBorders>
                <w:vAlign w:val="center"/>
              </w:tcPr>
              <w:p w14:paraId="6CA55066" w14:textId="77777777" w:rsidR="00577D08" w:rsidRDefault="00330FC0">
                <w:pPr>
                  <w:jc w:val="center"/>
                </w:pPr>
                <w:r>
                  <w:rPr>
                    <w:rFonts w:hint="eastAsia"/>
                  </w:rPr>
                  <w:t>金额</w:t>
                </w:r>
              </w:p>
            </w:tc>
          </w:sdtContent>
        </w:sdt>
        <w:sdt>
          <w:sdtPr>
            <w:tag w:val="_PLD_8bfda0f6261147ccb519211fb86f82f6"/>
            <w:id w:val="-2136635232"/>
          </w:sdtPr>
          <w:sdtContent>
            <w:tc>
              <w:tcPr>
                <w:tcW w:w="302" w:type="pct"/>
                <w:tcBorders>
                  <w:left w:val="single" w:sz="4" w:space="0" w:color="auto"/>
                  <w:bottom w:val="single" w:sz="4" w:space="0" w:color="auto"/>
                  <w:right w:val="single" w:sz="4" w:space="0" w:color="auto"/>
                </w:tcBorders>
                <w:vAlign w:val="center"/>
              </w:tcPr>
              <w:p w14:paraId="1D0A506B" w14:textId="77777777" w:rsidR="00577D08" w:rsidRDefault="00330FC0">
                <w:pPr>
                  <w:jc w:val="center"/>
                </w:pPr>
                <w:r>
                  <w:rPr>
                    <w:rFonts w:hint="eastAsia"/>
                  </w:rPr>
                  <w:t>计提比例</w:t>
                </w:r>
                <w:r>
                  <w:t>(%)</w:t>
                </w:r>
              </w:p>
            </w:tc>
          </w:sdtContent>
        </w:sdt>
        <w:tc>
          <w:tcPr>
            <w:tcW w:w="543" w:type="pct"/>
            <w:vMerge/>
            <w:tcBorders>
              <w:left w:val="single" w:sz="4" w:space="0" w:color="auto"/>
              <w:bottom w:val="single" w:sz="4" w:space="0" w:color="auto"/>
              <w:right w:val="single" w:sz="4" w:space="0" w:color="auto"/>
            </w:tcBorders>
            <w:vAlign w:val="center"/>
          </w:tcPr>
          <w:p w14:paraId="2FBBD9FC" w14:textId="77777777" w:rsidR="00577D08" w:rsidRDefault="00577D08">
            <w:pPr>
              <w:jc w:val="center"/>
            </w:pPr>
          </w:p>
        </w:tc>
      </w:tr>
      <w:tr w:rsidR="00577D08" w14:paraId="5078EAC0" w14:textId="77777777">
        <w:trPr>
          <w:cantSplit/>
        </w:trPr>
        <w:tc>
          <w:tcPr>
            <w:tcW w:w="645" w:type="pct"/>
            <w:tcBorders>
              <w:top w:val="single" w:sz="4" w:space="0" w:color="auto"/>
              <w:left w:val="single" w:sz="4" w:space="0" w:color="auto"/>
              <w:bottom w:val="single" w:sz="4" w:space="0" w:color="auto"/>
              <w:right w:val="single" w:sz="4" w:space="0" w:color="auto"/>
            </w:tcBorders>
            <w:vAlign w:val="center"/>
          </w:tcPr>
          <w:p w14:paraId="0F9BFBDB" w14:textId="77777777" w:rsidR="00577D08" w:rsidRDefault="00330FC0">
            <w:r>
              <w:rPr>
                <w:rFonts w:hint="eastAsia"/>
              </w:rPr>
              <w:t>按单项计提坏账准备</w:t>
            </w:r>
          </w:p>
        </w:tc>
        <w:tc>
          <w:tcPr>
            <w:tcW w:w="543" w:type="pct"/>
            <w:tcBorders>
              <w:top w:val="single" w:sz="4" w:space="0" w:color="auto"/>
              <w:left w:val="single" w:sz="4" w:space="0" w:color="auto"/>
              <w:bottom w:val="single" w:sz="4" w:space="0" w:color="auto"/>
              <w:right w:val="single" w:sz="4" w:space="0" w:color="auto"/>
            </w:tcBorders>
            <w:vAlign w:val="center"/>
          </w:tcPr>
          <w:p w14:paraId="6E19C63D" w14:textId="77777777" w:rsidR="00577D08" w:rsidRDefault="00577D08">
            <w:pPr>
              <w:jc w:val="right"/>
            </w:pPr>
          </w:p>
        </w:tc>
        <w:tc>
          <w:tcPr>
            <w:tcW w:w="284" w:type="pct"/>
            <w:tcBorders>
              <w:top w:val="single" w:sz="4" w:space="0" w:color="auto"/>
              <w:left w:val="single" w:sz="4" w:space="0" w:color="auto"/>
              <w:bottom w:val="single" w:sz="4" w:space="0" w:color="auto"/>
              <w:right w:val="single" w:sz="4" w:space="0" w:color="auto"/>
            </w:tcBorders>
            <w:vAlign w:val="center"/>
          </w:tcPr>
          <w:p w14:paraId="6DD70F83"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6E7B1072" w14:textId="77777777" w:rsidR="00577D08" w:rsidRDefault="00577D08">
            <w:pPr>
              <w:jc w:val="right"/>
            </w:pPr>
          </w:p>
        </w:tc>
        <w:tc>
          <w:tcPr>
            <w:tcW w:w="294" w:type="pct"/>
            <w:tcBorders>
              <w:top w:val="single" w:sz="4" w:space="0" w:color="auto"/>
              <w:left w:val="single" w:sz="4" w:space="0" w:color="auto"/>
              <w:bottom w:val="single" w:sz="4" w:space="0" w:color="auto"/>
              <w:right w:val="single" w:sz="4" w:space="0" w:color="auto"/>
            </w:tcBorders>
            <w:vAlign w:val="center"/>
          </w:tcPr>
          <w:p w14:paraId="0232C8FF" w14:textId="77777777" w:rsidR="00577D08" w:rsidRDefault="00577D08">
            <w:pPr>
              <w:jc w:val="right"/>
            </w:pPr>
          </w:p>
        </w:tc>
        <w:tc>
          <w:tcPr>
            <w:tcW w:w="543" w:type="pct"/>
            <w:tcBorders>
              <w:top w:val="single" w:sz="4" w:space="0" w:color="auto"/>
              <w:left w:val="single" w:sz="4" w:space="0" w:color="auto"/>
              <w:bottom w:val="single" w:sz="4" w:space="0" w:color="auto"/>
              <w:right w:val="single" w:sz="4" w:space="0" w:color="auto"/>
            </w:tcBorders>
            <w:vAlign w:val="center"/>
          </w:tcPr>
          <w:p w14:paraId="7155A18C" w14:textId="77777777" w:rsidR="00577D08" w:rsidRDefault="00577D08">
            <w:pPr>
              <w:jc w:val="right"/>
            </w:pPr>
          </w:p>
        </w:tc>
        <w:tc>
          <w:tcPr>
            <w:tcW w:w="543" w:type="pct"/>
            <w:tcBorders>
              <w:top w:val="single" w:sz="4" w:space="0" w:color="auto"/>
              <w:left w:val="single" w:sz="4" w:space="0" w:color="auto"/>
              <w:bottom w:val="single" w:sz="4" w:space="0" w:color="auto"/>
              <w:right w:val="single" w:sz="4" w:space="0" w:color="auto"/>
            </w:tcBorders>
            <w:vAlign w:val="center"/>
          </w:tcPr>
          <w:p w14:paraId="7D235991" w14:textId="77777777" w:rsidR="00577D08" w:rsidRDefault="00577D08">
            <w:pPr>
              <w:jc w:val="right"/>
            </w:pPr>
          </w:p>
        </w:tc>
        <w:tc>
          <w:tcPr>
            <w:tcW w:w="294" w:type="pct"/>
            <w:tcBorders>
              <w:top w:val="single" w:sz="4" w:space="0" w:color="auto"/>
              <w:left w:val="single" w:sz="4" w:space="0" w:color="auto"/>
              <w:bottom w:val="single" w:sz="4" w:space="0" w:color="auto"/>
              <w:right w:val="single" w:sz="4" w:space="0" w:color="auto"/>
            </w:tcBorders>
            <w:vAlign w:val="center"/>
          </w:tcPr>
          <w:p w14:paraId="502FFB32"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5BC4A02D" w14:textId="77777777" w:rsidR="00577D08" w:rsidRDefault="00577D08">
            <w:pPr>
              <w:jc w:val="right"/>
            </w:pPr>
          </w:p>
        </w:tc>
        <w:tc>
          <w:tcPr>
            <w:tcW w:w="302" w:type="pct"/>
            <w:tcBorders>
              <w:top w:val="single" w:sz="4" w:space="0" w:color="auto"/>
              <w:left w:val="single" w:sz="4" w:space="0" w:color="auto"/>
              <w:bottom w:val="single" w:sz="4" w:space="0" w:color="auto"/>
              <w:right w:val="single" w:sz="4" w:space="0" w:color="auto"/>
            </w:tcBorders>
            <w:vAlign w:val="center"/>
          </w:tcPr>
          <w:p w14:paraId="2141D795" w14:textId="77777777" w:rsidR="00577D08" w:rsidRDefault="00577D08">
            <w:pPr>
              <w:jc w:val="right"/>
            </w:pPr>
          </w:p>
        </w:tc>
        <w:tc>
          <w:tcPr>
            <w:tcW w:w="543" w:type="pct"/>
            <w:tcBorders>
              <w:top w:val="single" w:sz="4" w:space="0" w:color="auto"/>
              <w:left w:val="single" w:sz="4" w:space="0" w:color="auto"/>
              <w:bottom w:val="single" w:sz="4" w:space="0" w:color="auto"/>
              <w:right w:val="single" w:sz="4" w:space="0" w:color="auto"/>
            </w:tcBorders>
            <w:vAlign w:val="center"/>
          </w:tcPr>
          <w:p w14:paraId="75F844EB" w14:textId="77777777" w:rsidR="00577D08" w:rsidRDefault="00577D08">
            <w:pPr>
              <w:jc w:val="right"/>
            </w:pPr>
          </w:p>
        </w:tc>
      </w:tr>
      <w:tr w:rsidR="00577D08" w14:paraId="2F577D7F" w14:textId="77777777">
        <w:trPr>
          <w:cantSplit/>
        </w:trPr>
        <w:sdt>
          <w:sdtPr>
            <w:tag w:val="_PLD_13ffa512f1e549f7a3da978eb4046a04"/>
            <w:id w:val="-1113513891"/>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49D2997F" w14:textId="77777777" w:rsidR="00577D08" w:rsidRDefault="00330FC0">
                <w:r>
                  <w:rPr>
                    <w:rFonts w:hint="eastAsia"/>
                  </w:rPr>
                  <w:t>其中：</w:t>
                </w:r>
              </w:p>
            </w:tc>
          </w:sdtContent>
        </w:sdt>
      </w:tr>
      <w:tr w:rsidR="00577D08" w14:paraId="39F00677" w14:textId="77777777">
        <w:trPr>
          <w:cantSplit/>
        </w:trPr>
        <w:tc>
          <w:tcPr>
            <w:tcW w:w="645" w:type="pct"/>
            <w:tcBorders>
              <w:top w:val="single" w:sz="4" w:space="0" w:color="auto"/>
              <w:left w:val="single" w:sz="4" w:space="0" w:color="auto"/>
              <w:bottom w:val="single" w:sz="4" w:space="0" w:color="auto"/>
              <w:right w:val="single" w:sz="4" w:space="0" w:color="auto"/>
            </w:tcBorders>
            <w:vAlign w:val="center"/>
          </w:tcPr>
          <w:p w14:paraId="4A763B3E" w14:textId="77777777" w:rsidR="00577D08" w:rsidRDefault="00330FC0">
            <w:r>
              <w:rPr>
                <w:rFonts w:hint="eastAsia"/>
              </w:rPr>
              <w:lastRenderedPageBreak/>
              <w:t>按组合计提坏账准备</w:t>
            </w:r>
          </w:p>
        </w:tc>
        <w:tc>
          <w:tcPr>
            <w:tcW w:w="543" w:type="pct"/>
            <w:tcBorders>
              <w:top w:val="single" w:sz="4" w:space="0" w:color="auto"/>
              <w:left w:val="single" w:sz="4" w:space="0" w:color="auto"/>
              <w:bottom w:val="single" w:sz="4" w:space="0" w:color="auto"/>
              <w:right w:val="single" w:sz="4" w:space="0" w:color="auto"/>
            </w:tcBorders>
            <w:vAlign w:val="center"/>
          </w:tcPr>
          <w:p w14:paraId="34CB85A7" w14:textId="77777777" w:rsidR="00577D08" w:rsidRDefault="00330FC0">
            <w:pPr>
              <w:jc w:val="right"/>
            </w:pPr>
            <w:r>
              <w:t>302,619,669.28</w:t>
            </w:r>
          </w:p>
        </w:tc>
        <w:tc>
          <w:tcPr>
            <w:tcW w:w="284" w:type="pct"/>
            <w:tcBorders>
              <w:top w:val="single" w:sz="4" w:space="0" w:color="auto"/>
              <w:left w:val="single" w:sz="4" w:space="0" w:color="auto"/>
              <w:bottom w:val="single" w:sz="4" w:space="0" w:color="auto"/>
              <w:right w:val="single" w:sz="4" w:space="0" w:color="auto"/>
            </w:tcBorders>
            <w:vAlign w:val="center"/>
          </w:tcPr>
          <w:p w14:paraId="7ED3201F" w14:textId="77777777" w:rsidR="00577D08" w:rsidRDefault="00330FC0">
            <w:pPr>
              <w:jc w:val="right"/>
            </w:pPr>
            <w:r>
              <w:t>100.00</w:t>
            </w:r>
          </w:p>
        </w:tc>
        <w:tc>
          <w:tcPr>
            <w:tcW w:w="505" w:type="pct"/>
            <w:tcBorders>
              <w:top w:val="single" w:sz="4" w:space="0" w:color="auto"/>
              <w:left w:val="single" w:sz="4" w:space="0" w:color="auto"/>
              <w:bottom w:val="single" w:sz="4" w:space="0" w:color="auto"/>
              <w:right w:val="single" w:sz="4" w:space="0" w:color="auto"/>
            </w:tcBorders>
            <w:vAlign w:val="center"/>
          </w:tcPr>
          <w:p w14:paraId="048437E8" w14:textId="77777777" w:rsidR="00577D08" w:rsidRDefault="00330FC0">
            <w:pPr>
              <w:jc w:val="right"/>
            </w:pPr>
            <w:r>
              <w:t>15,926,941.25</w:t>
            </w:r>
          </w:p>
        </w:tc>
        <w:tc>
          <w:tcPr>
            <w:tcW w:w="294" w:type="pct"/>
            <w:tcBorders>
              <w:top w:val="single" w:sz="4" w:space="0" w:color="auto"/>
              <w:left w:val="single" w:sz="4" w:space="0" w:color="auto"/>
              <w:bottom w:val="single" w:sz="4" w:space="0" w:color="auto"/>
              <w:right w:val="single" w:sz="4" w:space="0" w:color="auto"/>
            </w:tcBorders>
            <w:vAlign w:val="center"/>
          </w:tcPr>
          <w:p w14:paraId="5F616F75" w14:textId="77777777" w:rsidR="00577D08" w:rsidRDefault="00330FC0">
            <w:pPr>
              <w:jc w:val="right"/>
            </w:pPr>
            <w:r>
              <w:t>5.26</w:t>
            </w:r>
          </w:p>
        </w:tc>
        <w:tc>
          <w:tcPr>
            <w:tcW w:w="543" w:type="pct"/>
            <w:tcBorders>
              <w:top w:val="single" w:sz="4" w:space="0" w:color="auto"/>
              <w:left w:val="single" w:sz="4" w:space="0" w:color="auto"/>
              <w:bottom w:val="single" w:sz="4" w:space="0" w:color="auto"/>
              <w:right w:val="single" w:sz="4" w:space="0" w:color="auto"/>
            </w:tcBorders>
            <w:vAlign w:val="center"/>
          </w:tcPr>
          <w:p w14:paraId="37FDD3D7" w14:textId="77777777" w:rsidR="00577D08" w:rsidRDefault="00330FC0">
            <w:pPr>
              <w:jc w:val="right"/>
            </w:pPr>
            <w:r>
              <w:t>286,692,728.03</w:t>
            </w:r>
          </w:p>
        </w:tc>
        <w:tc>
          <w:tcPr>
            <w:tcW w:w="543" w:type="pct"/>
            <w:tcBorders>
              <w:top w:val="single" w:sz="4" w:space="0" w:color="auto"/>
              <w:left w:val="single" w:sz="4" w:space="0" w:color="auto"/>
              <w:bottom w:val="single" w:sz="4" w:space="0" w:color="auto"/>
              <w:right w:val="single" w:sz="4" w:space="0" w:color="auto"/>
            </w:tcBorders>
            <w:vAlign w:val="center"/>
          </w:tcPr>
          <w:p w14:paraId="1FB4AE02" w14:textId="77777777" w:rsidR="00577D08" w:rsidRDefault="00330FC0">
            <w:pPr>
              <w:jc w:val="right"/>
            </w:pPr>
            <w:r>
              <w:t>240,601,884.15</w:t>
            </w:r>
          </w:p>
        </w:tc>
        <w:tc>
          <w:tcPr>
            <w:tcW w:w="294" w:type="pct"/>
            <w:tcBorders>
              <w:top w:val="single" w:sz="4" w:space="0" w:color="auto"/>
              <w:left w:val="single" w:sz="4" w:space="0" w:color="auto"/>
              <w:bottom w:val="single" w:sz="4" w:space="0" w:color="auto"/>
              <w:right w:val="single" w:sz="4" w:space="0" w:color="auto"/>
            </w:tcBorders>
            <w:vAlign w:val="center"/>
          </w:tcPr>
          <w:p w14:paraId="71844077" w14:textId="77777777" w:rsidR="00577D08" w:rsidRDefault="00330FC0">
            <w:pPr>
              <w:jc w:val="right"/>
            </w:pPr>
            <w:r>
              <w:t>100.00</w:t>
            </w:r>
          </w:p>
        </w:tc>
        <w:tc>
          <w:tcPr>
            <w:tcW w:w="505" w:type="pct"/>
            <w:tcBorders>
              <w:top w:val="single" w:sz="4" w:space="0" w:color="auto"/>
              <w:left w:val="single" w:sz="4" w:space="0" w:color="auto"/>
              <w:bottom w:val="single" w:sz="4" w:space="0" w:color="auto"/>
              <w:right w:val="single" w:sz="4" w:space="0" w:color="auto"/>
            </w:tcBorders>
            <w:vAlign w:val="center"/>
          </w:tcPr>
          <w:p w14:paraId="79AA08D7" w14:textId="77777777" w:rsidR="00577D08" w:rsidRDefault="00330FC0">
            <w:pPr>
              <w:jc w:val="right"/>
            </w:pPr>
            <w:r>
              <w:t>15,838,983.29</w:t>
            </w:r>
          </w:p>
        </w:tc>
        <w:tc>
          <w:tcPr>
            <w:tcW w:w="302" w:type="pct"/>
            <w:tcBorders>
              <w:top w:val="single" w:sz="4" w:space="0" w:color="auto"/>
              <w:left w:val="single" w:sz="4" w:space="0" w:color="auto"/>
              <w:bottom w:val="single" w:sz="4" w:space="0" w:color="auto"/>
              <w:right w:val="single" w:sz="4" w:space="0" w:color="auto"/>
            </w:tcBorders>
            <w:vAlign w:val="center"/>
          </w:tcPr>
          <w:p w14:paraId="0B222ACD" w14:textId="77777777" w:rsidR="00577D08" w:rsidRDefault="00330FC0">
            <w:pPr>
              <w:jc w:val="right"/>
            </w:pPr>
            <w:r>
              <w:t>6.58</w:t>
            </w:r>
          </w:p>
        </w:tc>
        <w:tc>
          <w:tcPr>
            <w:tcW w:w="543" w:type="pct"/>
            <w:tcBorders>
              <w:top w:val="single" w:sz="4" w:space="0" w:color="auto"/>
              <w:left w:val="single" w:sz="4" w:space="0" w:color="auto"/>
              <w:bottom w:val="single" w:sz="4" w:space="0" w:color="auto"/>
              <w:right w:val="single" w:sz="4" w:space="0" w:color="auto"/>
            </w:tcBorders>
            <w:vAlign w:val="center"/>
          </w:tcPr>
          <w:p w14:paraId="38D0B657" w14:textId="77777777" w:rsidR="00577D08" w:rsidRDefault="00330FC0">
            <w:pPr>
              <w:jc w:val="right"/>
            </w:pPr>
            <w:r>
              <w:t>224,762,900.86</w:t>
            </w:r>
          </w:p>
        </w:tc>
      </w:tr>
      <w:tr w:rsidR="00577D08" w14:paraId="2ED2900F" w14:textId="77777777">
        <w:trPr>
          <w:cantSplit/>
        </w:trPr>
        <w:sdt>
          <w:sdtPr>
            <w:tag w:val="_PLD_1b5e68cf63514e05be52ed5144827551"/>
            <w:id w:val="778142247"/>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4834DB6C" w14:textId="77777777" w:rsidR="00577D08" w:rsidRDefault="00330FC0">
                <w:r>
                  <w:rPr>
                    <w:rFonts w:hint="eastAsia"/>
                  </w:rPr>
                  <w:t>其中：</w:t>
                </w:r>
              </w:p>
            </w:tc>
          </w:sdtContent>
        </w:sdt>
      </w:tr>
      <w:tr w:rsidR="00577D08" w14:paraId="422273CA" w14:textId="77777777">
        <w:trPr>
          <w:cantSplit/>
        </w:trPr>
        <w:tc>
          <w:tcPr>
            <w:tcW w:w="645" w:type="pct"/>
            <w:tcBorders>
              <w:top w:val="single" w:sz="4" w:space="0" w:color="auto"/>
              <w:left w:val="single" w:sz="4" w:space="0" w:color="auto"/>
              <w:bottom w:val="single" w:sz="4" w:space="0" w:color="auto"/>
              <w:right w:val="single" w:sz="4" w:space="0" w:color="auto"/>
            </w:tcBorders>
          </w:tcPr>
          <w:p w14:paraId="5EED5069" w14:textId="77777777" w:rsidR="00577D08" w:rsidRDefault="00330FC0">
            <w:pPr>
              <w:jc w:val="both"/>
            </w:pPr>
            <w:r>
              <w:rPr>
                <w:rFonts w:hint="eastAsia"/>
              </w:rPr>
              <w:t>账龄组合</w:t>
            </w:r>
            <w:r>
              <w:rPr>
                <w:rFonts w:hint="eastAsia"/>
              </w:rPr>
              <w:t>-</w:t>
            </w:r>
            <w:r>
              <w:rPr>
                <w:rFonts w:hint="eastAsia"/>
              </w:rPr>
              <w:t>银行承兑汇票</w:t>
            </w:r>
          </w:p>
        </w:tc>
        <w:tc>
          <w:tcPr>
            <w:tcW w:w="543" w:type="pct"/>
            <w:tcBorders>
              <w:top w:val="single" w:sz="4" w:space="0" w:color="auto"/>
              <w:left w:val="single" w:sz="4" w:space="0" w:color="auto"/>
              <w:bottom w:val="single" w:sz="4" w:space="0" w:color="auto"/>
              <w:right w:val="single" w:sz="4" w:space="0" w:color="auto"/>
            </w:tcBorders>
            <w:vAlign w:val="center"/>
          </w:tcPr>
          <w:p w14:paraId="5132B87D" w14:textId="77777777" w:rsidR="00577D08" w:rsidRDefault="00330FC0">
            <w:pPr>
              <w:jc w:val="right"/>
            </w:pPr>
            <w:r>
              <w:t>268,911,329.61</w:t>
            </w:r>
          </w:p>
        </w:tc>
        <w:tc>
          <w:tcPr>
            <w:tcW w:w="284" w:type="pct"/>
            <w:tcBorders>
              <w:top w:val="single" w:sz="4" w:space="0" w:color="auto"/>
              <w:left w:val="single" w:sz="4" w:space="0" w:color="auto"/>
              <w:bottom w:val="single" w:sz="4" w:space="0" w:color="auto"/>
              <w:right w:val="single" w:sz="4" w:space="0" w:color="auto"/>
            </w:tcBorders>
            <w:vAlign w:val="center"/>
          </w:tcPr>
          <w:p w14:paraId="21DC8647" w14:textId="77777777" w:rsidR="00577D08" w:rsidRDefault="00330FC0">
            <w:pPr>
              <w:jc w:val="right"/>
            </w:pPr>
            <w:r>
              <w:t>88.86</w:t>
            </w:r>
          </w:p>
        </w:tc>
        <w:tc>
          <w:tcPr>
            <w:tcW w:w="505" w:type="pct"/>
            <w:tcBorders>
              <w:top w:val="single" w:sz="4" w:space="0" w:color="auto"/>
              <w:left w:val="single" w:sz="4" w:space="0" w:color="auto"/>
              <w:bottom w:val="single" w:sz="4" w:space="0" w:color="auto"/>
              <w:right w:val="single" w:sz="4" w:space="0" w:color="auto"/>
            </w:tcBorders>
            <w:vAlign w:val="center"/>
          </w:tcPr>
          <w:p w14:paraId="241816BB" w14:textId="77777777" w:rsidR="00577D08" w:rsidRDefault="00330FC0">
            <w:pPr>
              <w:jc w:val="right"/>
            </w:pPr>
            <w:r>
              <w:t>13,338,638.12</w:t>
            </w:r>
          </w:p>
        </w:tc>
        <w:tc>
          <w:tcPr>
            <w:tcW w:w="294" w:type="pct"/>
            <w:tcBorders>
              <w:top w:val="single" w:sz="4" w:space="0" w:color="auto"/>
              <w:left w:val="single" w:sz="4" w:space="0" w:color="auto"/>
              <w:bottom w:val="single" w:sz="4" w:space="0" w:color="auto"/>
              <w:right w:val="single" w:sz="4" w:space="0" w:color="auto"/>
            </w:tcBorders>
            <w:vAlign w:val="center"/>
          </w:tcPr>
          <w:p w14:paraId="4B2CBB9B" w14:textId="77777777" w:rsidR="00577D08" w:rsidRDefault="00330FC0">
            <w:pPr>
              <w:jc w:val="right"/>
            </w:pPr>
            <w:r>
              <w:t>4.96</w:t>
            </w:r>
          </w:p>
        </w:tc>
        <w:tc>
          <w:tcPr>
            <w:tcW w:w="543" w:type="pct"/>
            <w:tcBorders>
              <w:top w:val="single" w:sz="4" w:space="0" w:color="auto"/>
              <w:left w:val="single" w:sz="4" w:space="0" w:color="auto"/>
              <w:bottom w:val="single" w:sz="4" w:space="0" w:color="auto"/>
              <w:right w:val="single" w:sz="4" w:space="0" w:color="auto"/>
            </w:tcBorders>
            <w:vAlign w:val="center"/>
          </w:tcPr>
          <w:p w14:paraId="0E260194" w14:textId="77777777" w:rsidR="00577D08" w:rsidRDefault="00330FC0">
            <w:pPr>
              <w:jc w:val="right"/>
            </w:pPr>
            <w:r>
              <w:t>255,572,691.49</w:t>
            </w:r>
          </w:p>
        </w:tc>
        <w:tc>
          <w:tcPr>
            <w:tcW w:w="543" w:type="pct"/>
            <w:tcBorders>
              <w:top w:val="single" w:sz="4" w:space="0" w:color="auto"/>
              <w:left w:val="single" w:sz="4" w:space="0" w:color="auto"/>
              <w:bottom w:val="single" w:sz="4" w:space="0" w:color="auto"/>
              <w:right w:val="single" w:sz="4" w:space="0" w:color="auto"/>
            </w:tcBorders>
            <w:vAlign w:val="center"/>
          </w:tcPr>
          <w:p w14:paraId="63173D31" w14:textId="77777777" w:rsidR="00577D08" w:rsidRDefault="00330FC0">
            <w:pPr>
              <w:jc w:val="right"/>
            </w:pPr>
            <w:r>
              <w:t>213,108,598.85</w:t>
            </w:r>
          </w:p>
        </w:tc>
        <w:tc>
          <w:tcPr>
            <w:tcW w:w="294" w:type="pct"/>
            <w:tcBorders>
              <w:top w:val="single" w:sz="4" w:space="0" w:color="auto"/>
              <w:left w:val="single" w:sz="4" w:space="0" w:color="auto"/>
              <w:bottom w:val="single" w:sz="4" w:space="0" w:color="auto"/>
              <w:right w:val="single" w:sz="4" w:space="0" w:color="auto"/>
            </w:tcBorders>
            <w:vAlign w:val="center"/>
          </w:tcPr>
          <w:p w14:paraId="0D936402" w14:textId="77777777" w:rsidR="00577D08" w:rsidRDefault="00330FC0">
            <w:pPr>
              <w:jc w:val="right"/>
            </w:pPr>
            <w:r>
              <w:t>88.57</w:t>
            </w:r>
          </w:p>
        </w:tc>
        <w:tc>
          <w:tcPr>
            <w:tcW w:w="505" w:type="pct"/>
            <w:tcBorders>
              <w:top w:val="single" w:sz="4" w:space="0" w:color="auto"/>
              <w:left w:val="single" w:sz="4" w:space="0" w:color="auto"/>
              <w:bottom w:val="single" w:sz="4" w:space="0" w:color="auto"/>
              <w:right w:val="single" w:sz="4" w:space="0" w:color="auto"/>
            </w:tcBorders>
            <w:vAlign w:val="center"/>
          </w:tcPr>
          <w:p w14:paraId="6A706715" w14:textId="77777777" w:rsidR="00577D08" w:rsidRDefault="00330FC0">
            <w:pPr>
              <w:jc w:val="right"/>
            </w:pPr>
            <w:r>
              <w:t>11,253,062.21</w:t>
            </w:r>
          </w:p>
        </w:tc>
        <w:tc>
          <w:tcPr>
            <w:tcW w:w="302" w:type="pct"/>
            <w:tcBorders>
              <w:top w:val="single" w:sz="4" w:space="0" w:color="auto"/>
              <w:left w:val="single" w:sz="4" w:space="0" w:color="auto"/>
              <w:bottom w:val="single" w:sz="4" w:space="0" w:color="auto"/>
              <w:right w:val="single" w:sz="4" w:space="0" w:color="auto"/>
            </w:tcBorders>
            <w:vAlign w:val="center"/>
          </w:tcPr>
          <w:p w14:paraId="752F7FF8" w14:textId="77777777" w:rsidR="00577D08" w:rsidRDefault="00330FC0">
            <w:pPr>
              <w:jc w:val="right"/>
            </w:pPr>
            <w:r>
              <w:t>5.28</w:t>
            </w:r>
          </w:p>
        </w:tc>
        <w:tc>
          <w:tcPr>
            <w:tcW w:w="543" w:type="pct"/>
            <w:tcBorders>
              <w:top w:val="single" w:sz="4" w:space="0" w:color="auto"/>
              <w:left w:val="single" w:sz="4" w:space="0" w:color="auto"/>
              <w:bottom w:val="single" w:sz="4" w:space="0" w:color="auto"/>
              <w:right w:val="single" w:sz="4" w:space="0" w:color="auto"/>
            </w:tcBorders>
            <w:vAlign w:val="center"/>
          </w:tcPr>
          <w:p w14:paraId="3A4D4A26" w14:textId="77777777" w:rsidR="00577D08" w:rsidRDefault="00330FC0">
            <w:pPr>
              <w:jc w:val="right"/>
            </w:pPr>
            <w:r>
              <w:t>201,855,536.64</w:t>
            </w:r>
          </w:p>
        </w:tc>
      </w:tr>
      <w:tr w:rsidR="00577D08" w14:paraId="28312BEF" w14:textId="77777777">
        <w:trPr>
          <w:cantSplit/>
        </w:trPr>
        <w:tc>
          <w:tcPr>
            <w:tcW w:w="645" w:type="pct"/>
            <w:tcBorders>
              <w:top w:val="single" w:sz="4" w:space="0" w:color="auto"/>
              <w:left w:val="single" w:sz="4" w:space="0" w:color="auto"/>
              <w:bottom w:val="single" w:sz="4" w:space="0" w:color="auto"/>
              <w:right w:val="single" w:sz="4" w:space="0" w:color="auto"/>
            </w:tcBorders>
          </w:tcPr>
          <w:p w14:paraId="3EC0DA02" w14:textId="77777777" w:rsidR="00577D08" w:rsidRDefault="00330FC0">
            <w:pPr>
              <w:jc w:val="both"/>
            </w:pPr>
            <w:r>
              <w:rPr>
                <w:rFonts w:hint="eastAsia"/>
              </w:rPr>
              <w:t>账龄组合</w:t>
            </w:r>
            <w:r>
              <w:rPr>
                <w:rFonts w:hint="eastAsia"/>
              </w:rPr>
              <w:t>-</w:t>
            </w:r>
            <w:r>
              <w:rPr>
                <w:rFonts w:hint="eastAsia"/>
              </w:rPr>
              <w:t>商业承兑汇票</w:t>
            </w:r>
          </w:p>
        </w:tc>
        <w:tc>
          <w:tcPr>
            <w:tcW w:w="543" w:type="pct"/>
            <w:tcBorders>
              <w:top w:val="single" w:sz="4" w:space="0" w:color="auto"/>
              <w:left w:val="single" w:sz="4" w:space="0" w:color="auto"/>
              <w:bottom w:val="single" w:sz="4" w:space="0" w:color="auto"/>
              <w:right w:val="single" w:sz="4" w:space="0" w:color="auto"/>
            </w:tcBorders>
            <w:vAlign w:val="center"/>
          </w:tcPr>
          <w:p w14:paraId="07785F76" w14:textId="77777777" w:rsidR="00577D08" w:rsidRDefault="00330FC0">
            <w:pPr>
              <w:jc w:val="right"/>
            </w:pPr>
            <w:r>
              <w:t>33,708,339.67</w:t>
            </w:r>
          </w:p>
        </w:tc>
        <w:tc>
          <w:tcPr>
            <w:tcW w:w="284" w:type="pct"/>
            <w:tcBorders>
              <w:top w:val="single" w:sz="4" w:space="0" w:color="auto"/>
              <w:left w:val="single" w:sz="4" w:space="0" w:color="auto"/>
              <w:bottom w:val="single" w:sz="4" w:space="0" w:color="auto"/>
              <w:right w:val="single" w:sz="4" w:space="0" w:color="auto"/>
            </w:tcBorders>
            <w:vAlign w:val="center"/>
          </w:tcPr>
          <w:p w14:paraId="2FF2F873" w14:textId="77777777" w:rsidR="00577D08" w:rsidRDefault="00330FC0">
            <w:pPr>
              <w:jc w:val="right"/>
            </w:pPr>
            <w:r>
              <w:t>11.14</w:t>
            </w:r>
          </w:p>
        </w:tc>
        <w:tc>
          <w:tcPr>
            <w:tcW w:w="505" w:type="pct"/>
            <w:tcBorders>
              <w:top w:val="single" w:sz="4" w:space="0" w:color="auto"/>
              <w:left w:val="single" w:sz="4" w:space="0" w:color="auto"/>
              <w:bottom w:val="single" w:sz="4" w:space="0" w:color="auto"/>
              <w:right w:val="single" w:sz="4" w:space="0" w:color="auto"/>
            </w:tcBorders>
            <w:vAlign w:val="center"/>
          </w:tcPr>
          <w:p w14:paraId="173231AA" w14:textId="77777777" w:rsidR="00577D08" w:rsidRDefault="00330FC0">
            <w:pPr>
              <w:jc w:val="right"/>
            </w:pPr>
            <w:r>
              <w:t>2,588,303.13</w:t>
            </w:r>
          </w:p>
        </w:tc>
        <w:tc>
          <w:tcPr>
            <w:tcW w:w="294" w:type="pct"/>
            <w:tcBorders>
              <w:top w:val="single" w:sz="4" w:space="0" w:color="auto"/>
              <w:left w:val="single" w:sz="4" w:space="0" w:color="auto"/>
              <w:bottom w:val="single" w:sz="4" w:space="0" w:color="auto"/>
              <w:right w:val="single" w:sz="4" w:space="0" w:color="auto"/>
            </w:tcBorders>
            <w:vAlign w:val="center"/>
          </w:tcPr>
          <w:p w14:paraId="7BA81115" w14:textId="77777777" w:rsidR="00577D08" w:rsidRDefault="00330FC0">
            <w:pPr>
              <w:jc w:val="right"/>
            </w:pPr>
            <w:r>
              <w:t>7.68</w:t>
            </w:r>
          </w:p>
        </w:tc>
        <w:tc>
          <w:tcPr>
            <w:tcW w:w="543" w:type="pct"/>
            <w:tcBorders>
              <w:top w:val="single" w:sz="4" w:space="0" w:color="auto"/>
              <w:left w:val="single" w:sz="4" w:space="0" w:color="auto"/>
              <w:bottom w:val="single" w:sz="4" w:space="0" w:color="auto"/>
              <w:right w:val="single" w:sz="4" w:space="0" w:color="auto"/>
            </w:tcBorders>
            <w:vAlign w:val="center"/>
          </w:tcPr>
          <w:p w14:paraId="79A45A05" w14:textId="77777777" w:rsidR="00577D08" w:rsidRDefault="00330FC0">
            <w:pPr>
              <w:jc w:val="right"/>
            </w:pPr>
            <w:r>
              <w:t>31,120,036.54</w:t>
            </w:r>
          </w:p>
        </w:tc>
        <w:tc>
          <w:tcPr>
            <w:tcW w:w="543" w:type="pct"/>
            <w:tcBorders>
              <w:top w:val="single" w:sz="4" w:space="0" w:color="auto"/>
              <w:left w:val="single" w:sz="4" w:space="0" w:color="auto"/>
              <w:bottom w:val="single" w:sz="4" w:space="0" w:color="auto"/>
              <w:right w:val="single" w:sz="4" w:space="0" w:color="auto"/>
            </w:tcBorders>
            <w:vAlign w:val="center"/>
          </w:tcPr>
          <w:p w14:paraId="311E7AB6" w14:textId="77777777" w:rsidR="00577D08" w:rsidRDefault="00330FC0">
            <w:pPr>
              <w:jc w:val="right"/>
            </w:pPr>
            <w:r>
              <w:t>27,493,285.30</w:t>
            </w:r>
          </w:p>
        </w:tc>
        <w:tc>
          <w:tcPr>
            <w:tcW w:w="294" w:type="pct"/>
            <w:tcBorders>
              <w:top w:val="single" w:sz="4" w:space="0" w:color="auto"/>
              <w:left w:val="single" w:sz="4" w:space="0" w:color="auto"/>
              <w:bottom w:val="single" w:sz="4" w:space="0" w:color="auto"/>
              <w:right w:val="single" w:sz="4" w:space="0" w:color="auto"/>
            </w:tcBorders>
            <w:vAlign w:val="center"/>
          </w:tcPr>
          <w:p w14:paraId="79566C8F" w14:textId="77777777" w:rsidR="00577D08" w:rsidRDefault="00330FC0">
            <w:pPr>
              <w:jc w:val="right"/>
            </w:pPr>
            <w:r>
              <w:t>11.43</w:t>
            </w:r>
          </w:p>
        </w:tc>
        <w:tc>
          <w:tcPr>
            <w:tcW w:w="505" w:type="pct"/>
            <w:tcBorders>
              <w:top w:val="single" w:sz="4" w:space="0" w:color="auto"/>
              <w:left w:val="single" w:sz="4" w:space="0" w:color="auto"/>
              <w:bottom w:val="single" w:sz="4" w:space="0" w:color="auto"/>
              <w:right w:val="single" w:sz="4" w:space="0" w:color="auto"/>
            </w:tcBorders>
            <w:vAlign w:val="center"/>
          </w:tcPr>
          <w:p w14:paraId="038F9EFE" w14:textId="77777777" w:rsidR="00577D08" w:rsidRDefault="00330FC0">
            <w:pPr>
              <w:jc w:val="right"/>
            </w:pPr>
            <w:r>
              <w:t>4,585,921.08</w:t>
            </w:r>
          </w:p>
        </w:tc>
        <w:tc>
          <w:tcPr>
            <w:tcW w:w="302" w:type="pct"/>
            <w:tcBorders>
              <w:top w:val="single" w:sz="4" w:space="0" w:color="auto"/>
              <w:left w:val="single" w:sz="4" w:space="0" w:color="auto"/>
              <w:bottom w:val="single" w:sz="4" w:space="0" w:color="auto"/>
              <w:right w:val="single" w:sz="4" w:space="0" w:color="auto"/>
            </w:tcBorders>
            <w:vAlign w:val="center"/>
          </w:tcPr>
          <w:p w14:paraId="37D31F43" w14:textId="77777777" w:rsidR="00577D08" w:rsidRDefault="00330FC0">
            <w:pPr>
              <w:jc w:val="right"/>
            </w:pPr>
            <w:r>
              <w:t>16.68</w:t>
            </w:r>
          </w:p>
        </w:tc>
        <w:tc>
          <w:tcPr>
            <w:tcW w:w="543" w:type="pct"/>
            <w:tcBorders>
              <w:top w:val="single" w:sz="4" w:space="0" w:color="auto"/>
              <w:left w:val="single" w:sz="4" w:space="0" w:color="auto"/>
              <w:bottom w:val="single" w:sz="4" w:space="0" w:color="auto"/>
              <w:right w:val="single" w:sz="4" w:space="0" w:color="auto"/>
            </w:tcBorders>
            <w:vAlign w:val="center"/>
          </w:tcPr>
          <w:p w14:paraId="39630E87" w14:textId="77777777" w:rsidR="00577D08" w:rsidRDefault="00330FC0">
            <w:pPr>
              <w:jc w:val="right"/>
            </w:pPr>
            <w:r>
              <w:t>22,907,364.22</w:t>
            </w:r>
          </w:p>
        </w:tc>
      </w:tr>
      <w:tr w:rsidR="00577D08" w14:paraId="22272162" w14:textId="77777777">
        <w:trPr>
          <w:cantSplit/>
        </w:trPr>
        <w:tc>
          <w:tcPr>
            <w:tcW w:w="645" w:type="pct"/>
            <w:tcBorders>
              <w:top w:val="single" w:sz="4" w:space="0" w:color="auto"/>
              <w:left w:val="single" w:sz="4" w:space="0" w:color="auto"/>
              <w:bottom w:val="single" w:sz="4" w:space="0" w:color="auto"/>
              <w:right w:val="single" w:sz="4" w:space="0" w:color="auto"/>
            </w:tcBorders>
            <w:vAlign w:val="center"/>
          </w:tcPr>
          <w:p w14:paraId="016F2FF8" w14:textId="77777777" w:rsidR="00577D08" w:rsidRDefault="00330FC0">
            <w:pPr>
              <w:autoSpaceDE w:val="0"/>
              <w:autoSpaceDN w:val="0"/>
              <w:adjustRightInd w:val="0"/>
              <w:jc w:val="center"/>
            </w:pPr>
            <w:r>
              <w:rPr>
                <w:rFonts w:hint="eastAsia"/>
              </w:rPr>
              <w:t>合计</w:t>
            </w:r>
          </w:p>
        </w:tc>
        <w:tc>
          <w:tcPr>
            <w:tcW w:w="543" w:type="pct"/>
            <w:tcBorders>
              <w:top w:val="single" w:sz="4" w:space="0" w:color="auto"/>
              <w:left w:val="single" w:sz="4" w:space="0" w:color="auto"/>
              <w:bottom w:val="single" w:sz="4" w:space="0" w:color="auto"/>
              <w:right w:val="single" w:sz="4" w:space="0" w:color="auto"/>
            </w:tcBorders>
            <w:vAlign w:val="center"/>
          </w:tcPr>
          <w:p w14:paraId="218FDCCA" w14:textId="77777777" w:rsidR="00577D08" w:rsidRDefault="00330FC0">
            <w:pPr>
              <w:jc w:val="right"/>
            </w:pPr>
            <w:r>
              <w:t>302,619,669.28</w:t>
            </w:r>
          </w:p>
        </w:tc>
        <w:tc>
          <w:tcPr>
            <w:tcW w:w="284" w:type="pct"/>
            <w:tcBorders>
              <w:top w:val="single" w:sz="4" w:space="0" w:color="auto"/>
              <w:left w:val="single" w:sz="4" w:space="0" w:color="auto"/>
              <w:bottom w:val="single" w:sz="4" w:space="0" w:color="auto"/>
              <w:right w:val="single" w:sz="4" w:space="0" w:color="auto"/>
            </w:tcBorders>
            <w:vAlign w:val="center"/>
          </w:tcPr>
          <w:p w14:paraId="271604DB" w14:textId="77777777" w:rsidR="00577D08" w:rsidRDefault="00330FC0">
            <w:pPr>
              <w:jc w:val="right"/>
            </w:pPr>
            <w:r>
              <w:t>100.00</w:t>
            </w:r>
          </w:p>
        </w:tc>
        <w:tc>
          <w:tcPr>
            <w:tcW w:w="505" w:type="pct"/>
            <w:tcBorders>
              <w:top w:val="single" w:sz="4" w:space="0" w:color="auto"/>
              <w:left w:val="single" w:sz="4" w:space="0" w:color="auto"/>
              <w:bottom w:val="single" w:sz="4" w:space="0" w:color="auto"/>
              <w:right w:val="single" w:sz="4" w:space="0" w:color="auto"/>
            </w:tcBorders>
            <w:vAlign w:val="center"/>
          </w:tcPr>
          <w:p w14:paraId="12C511E0" w14:textId="77777777" w:rsidR="00577D08" w:rsidRDefault="00330FC0">
            <w:pPr>
              <w:jc w:val="right"/>
            </w:pPr>
            <w:r>
              <w:t>15,926,941.25</w:t>
            </w:r>
          </w:p>
        </w:tc>
        <w:tc>
          <w:tcPr>
            <w:tcW w:w="294" w:type="pct"/>
            <w:tcBorders>
              <w:top w:val="single" w:sz="4" w:space="0" w:color="auto"/>
              <w:left w:val="single" w:sz="4" w:space="0" w:color="auto"/>
              <w:bottom w:val="single" w:sz="4" w:space="0" w:color="auto"/>
              <w:right w:val="single" w:sz="4" w:space="0" w:color="auto"/>
            </w:tcBorders>
            <w:vAlign w:val="center"/>
          </w:tcPr>
          <w:p w14:paraId="2D4B8512" w14:textId="77777777" w:rsidR="00577D08" w:rsidRDefault="00330FC0">
            <w:pPr>
              <w:jc w:val="right"/>
            </w:pPr>
            <w:r>
              <w:t>5.26</w:t>
            </w:r>
          </w:p>
        </w:tc>
        <w:tc>
          <w:tcPr>
            <w:tcW w:w="543" w:type="pct"/>
            <w:tcBorders>
              <w:top w:val="single" w:sz="4" w:space="0" w:color="auto"/>
              <w:left w:val="single" w:sz="4" w:space="0" w:color="auto"/>
              <w:bottom w:val="single" w:sz="4" w:space="0" w:color="auto"/>
              <w:right w:val="single" w:sz="4" w:space="0" w:color="auto"/>
            </w:tcBorders>
            <w:vAlign w:val="center"/>
          </w:tcPr>
          <w:p w14:paraId="453CD8B2" w14:textId="77777777" w:rsidR="00577D08" w:rsidRDefault="00330FC0">
            <w:pPr>
              <w:jc w:val="right"/>
            </w:pPr>
            <w:r>
              <w:t>286,692,728.03</w:t>
            </w:r>
          </w:p>
        </w:tc>
        <w:tc>
          <w:tcPr>
            <w:tcW w:w="543" w:type="pct"/>
            <w:tcBorders>
              <w:top w:val="single" w:sz="4" w:space="0" w:color="auto"/>
              <w:left w:val="single" w:sz="4" w:space="0" w:color="auto"/>
              <w:bottom w:val="single" w:sz="4" w:space="0" w:color="auto"/>
              <w:right w:val="single" w:sz="4" w:space="0" w:color="auto"/>
            </w:tcBorders>
            <w:vAlign w:val="center"/>
          </w:tcPr>
          <w:p w14:paraId="4A51FBFE" w14:textId="77777777" w:rsidR="00577D08" w:rsidRDefault="00330FC0">
            <w:pPr>
              <w:jc w:val="right"/>
            </w:pPr>
            <w:r>
              <w:t>240,601,884.15</w:t>
            </w:r>
          </w:p>
        </w:tc>
        <w:tc>
          <w:tcPr>
            <w:tcW w:w="294" w:type="pct"/>
            <w:tcBorders>
              <w:top w:val="single" w:sz="4" w:space="0" w:color="auto"/>
              <w:left w:val="single" w:sz="4" w:space="0" w:color="auto"/>
              <w:bottom w:val="single" w:sz="4" w:space="0" w:color="auto"/>
              <w:right w:val="single" w:sz="4" w:space="0" w:color="auto"/>
            </w:tcBorders>
            <w:vAlign w:val="center"/>
          </w:tcPr>
          <w:p w14:paraId="463D20D4" w14:textId="77777777" w:rsidR="00577D08" w:rsidRDefault="00330FC0">
            <w:pPr>
              <w:jc w:val="right"/>
            </w:pPr>
            <w:r>
              <w:t>100.00</w:t>
            </w:r>
          </w:p>
        </w:tc>
        <w:tc>
          <w:tcPr>
            <w:tcW w:w="505" w:type="pct"/>
            <w:tcBorders>
              <w:top w:val="single" w:sz="4" w:space="0" w:color="auto"/>
              <w:left w:val="single" w:sz="4" w:space="0" w:color="auto"/>
              <w:bottom w:val="single" w:sz="4" w:space="0" w:color="auto"/>
              <w:right w:val="single" w:sz="4" w:space="0" w:color="auto"/>
            </w:tcBorders>
            <w:vAlign w:val="center"/>
          </w:tcPr>
          <w:p w14:paraId="322151E3" w14:textId="77777777" w:rsidR="00577D08" w:rsidRDefault="00330FC0">
            <w:pPr>
              <w:jc w:val="right"/>
            </w:pPr>
            <w:r>
              <w:t>15,838,983.29</w:t>
            </w:r>
          </w:p>
        </w:tc>
        <w:tc>
          <w:tcPr>
            <w:tcW w:w="302" w:type="pct"/>
            <w:tcBorders>
              <w:top w:val="single" w:sz="4" w:space="0" w:color="auto"/>
              <w:left w:val="single" w:sz="4" w:space="0" w:color="auto"/>
              <w:bottom w:val="single" w:sz="4" w:space="0" w:color="auto"/>
              <w:right w:val="single" w:sz="4" w:space="0" w:color="auto"/>
            </w:tcBorders>
            <w:vAlign w:val="center"/>
          </w:tcPr>
          <w:p w14:paraId="434F4862" w14:textId="77777777" w:rsidR="00577D08" w:rsidRDefault="00330FC0">
            <w:pPr>
              <w:jc w:val="right"/>
            </w:pPr>
            <w:r>
              <w:t>6.58</w:t>
            </w:r>
          </w:p>
        </w:tc>
        <w:tc>
          <w:tcPr>
            <w:tcW w:w="543" w:type="pct"/>
            <w:tcBorders>
              <w:top w:val="single" w:sz="4" w:space="0" w:color="auto"/>
              <w:left w:val="single" w:sz="4" w:space="0" w:color="auto"/>
              <w:bottom w:val="single" w:sz="4" w:space="0" w:color="auto"/>
              <w:right w:val="single" w:sz="4" w:space="0" w:color="auto"/>
            </w:tcBorders>
            <w:vAlign w:val="center"/>
          </w:tcPr>
          <w:p w14:paraId="5398A60D" w14:textId="77777777" w:rsidR="00577D08" w:rsidRDefault="00330FC0">
            <w:pPr>
              <w:jc w:val="right"/>
            </w:pPr>
            <w:r>
              <w:t>224,762,900.86</w:t>
            </w:r>
          </w:p>
        </w:tc>
      </w:tr>
    </w:tbl>
    <w:bookmarkEnd w:id="320"/>
    <w:bookmarkEnd w:id="321"/>
    <w:p w14:paraId="52386C37" w14:textId="77777777" w:rsidR="00577D08" w:rsidRDefault="00330FC0">
      <w:r>
        <w:rPr>
          <w:rFonts w:hint="eastAsia"/>
        </w:rPr>
        <w:t>按单项计提坏账准备：</w:t>
      </w:r>
    </w:p>
    <w:sdt>
      <w:sdtPr>
        <w:rPr>
          <w:rFonts w:hint="eastAsia"/>
        </w:rPr>
        <w:alias w:val="是否适用：按单项计提坏账准备的应收票据详细情况[双击切换]"/>
        <w:tag w:val="_GBC_9f41f638de8f4c42b9d00ca6755931fb"/>
        <w:id w:val="-11226536"/>
        <w:placeholder>
          <w:docPart w:val="GBC22222222222222222222222222222"/>
        </w:placeholder>
      </w:sdtPr>
      <w:sdtContent>
        <w:p w14:paraId="599C5BF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Start w:id="322" w:name="_Hlk533597423" w:displacedByCustomXml="next"/>
    <w:bookmarkEnd w:id="322" w:displacedByCustomXml="next"/>
    <w:sdt>
      <w:sdtPr>
        <w:tag w:val="_PLD_c5822df72e094b5083c45a32639c6995"/>
        <w:id w:val="-1482383306"/>
      </w:sdtPr>
      <w:sdtContent>
        <w:p w14:paraId="5E81C2DD" w14:textId="77777777" w:rsidR="00577D08" w:rsidRDefault="00330FC0">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1543746471"/>
        <w:lock w:val="contentLocked"/>
        <w:placeholder>
          <w:docPart w:val="GBC22222222222222222222222222222"/>
        </w:placeholder>
      </w:sdtPr>
      <w:sdtContent>
        <w:p w14:paraId="331D7CD7" w14:textId="77777777" w:rsidR="00577D08" w:rsidRDefault="00330FC0">
          <w:pPr>
            <w:rPr>
              <w:rFonts w:asciiTheme="minorHAnsi" w:hAnsiTheme="minorHAnsi" w:cstheme="minorBidi"/>
              <w:bCs/>
              <w:szCs w:val="22"/>
            </w:rPr>
          </w:pPr>
          <w:r>
            <w:rPr>
              <w:rFonts w:ascii="宋体" w:hAnsi="宋体" w:cstheme="minorBidi"/>
              <w:bCs/>
              <w:szCs w:val="22"/>
            </w:rPr>
            <w:fldChar w:fldCharType="begin"/>
          </w:r>
          <w:r>
            <w:rPr>
              <w:rFonts w:ascii="宋体" w:hAnsi="宋体" w:cstheme="minorBidi"/>
              <w:bCs/>
              <w:szCs w:val="22"/>
            </w:rPr>
            <w:instrText xml:space="preserve"> </w:instrText>
          </w:r>
          <w:r>
            <w:rPr>
              <w:rFonts w:ascii="宋体" w:hAnsi="宋体" w:cstheme="minorBidi" w:hint="eastAsia"/>
              <w:bCs/>
              <w:szCs w:val="22"/>
            </w:rPr>
            <w:instrText>MACROBUTTON  SnrToggleCheckbox √适用</w:instrText>
          </w:r>
          <w:r>
            <w:rPr>
              <w:rFonts w:ascii="宋体" w:hAnsi="宋体" w:cstheme="minorBidi"/>
              <w:bCs/>
              <w:szCs w:val="22"/>
            </w:rPr>
            <w:instrText xml:space="preserve">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bCs/>
              <w:szCs w:val="22"/>
            </w:rPr>
            <w:instrText xml:space="preserve"> MACROBUTTON  SnrToggleCheckbox □不适用 </w:instrText>
          </w:r>
          <w:r>
            <w:rPr>
              <w:rFonts w:ascii="宋体" w:hAnsi="宋体" w:cstheme="minorBidi"/>
              <w:bCs/>
              <w:szCs w:val="22"/>
            </w:rPr>
            <w:fldChar w:fldCharType="end"/>
          </w:r>
        </w:p>
      </w:sdtContent>
    </w:sdt>
    <w:p w14:paraId="0D4B14CF" w14:textId="77777777" w:rsidR="00577D08" w:rsidRDefault="00330FC0">
      <w:pPr>
        <w:rPr>
          <w:rFonts w:asciiTheme="minorHAnsi" w:hAnsiTheme="minorHAnsi" w:cstheme="minorBidi"/>
          <w:bCs/>
          <w:szCs w:val="22"/>
        </w:rPr>
      </w:pPr>
      <w:bookmarkStart w:id="323" w:name="_Hlk533601037"/>
      <w:r>
        <w:rPr>
          <w:rFonts w:hint="eastAsia"/>
        </w:rPr>
        <w:t>组合计提项目</w:t>
      </w:r>
      <w:r>
        <w:rPr>
          <w:rFonts w:asciiTheme="minorHAnsi" w:hAnsiTheme="minorHAnsi" w:cstheme="minorBidi" w:hint="eastAsia"/>
          <w:bCs/>
          <w:szCs w:val="22"/>
        </w:rPr>
        <w:t>：</w:t>
      </w:r>
      <w:sdt>
        <w:sdtPr>
          <w:rPr>
            <w:rFonts w:asciiTheme="minorHAnsi" w:hAnsiTheme="minorHAnsi" w:cstheme="minorBidi" w:hint="eastAsia"/>
            <w:bCs/>
            <w:szCs w:val="22"/>
          </w:rPr>
          <w:alias w:val="按组合计提坏账准备的应收票据明细-类别"/>
          <w:tag w:val="_GBC_d433aaa229cd452c9e29c0f4c5efd15b"/>
          <w:id w:val="1452215532"/>
          <w:placeholder>
            <w:docPart w:val="GBC22222222222222222222222222222"/>
          </w:placeholder>
          <w:comboBox/>
        </w:sdtPr>
        <w:sdtContent>
          <w:r>
            <w:rPr>
              <w:rFonts w:asciiTheme="minorHAnsi" w:hAnsiTheme="minorHAnsi" w:cstheme="minorBidi" w:hint="eastAsia"/>
              <w:bCs/>
              <w:szCs w:val="22"/>
            </w:rPr>
            <w:t>银行承兑汇票组合、商业承兑汇票组合</w:t>
          </w:r>
        </w:sdtContent>
      </w:sdt>
    </w:p>
    <w:p w14:paraId="1469EE5E" w14:textId="0C538296" w:rsidR="00577D08" w:rsidRDefault="00330FC0">
      <w:pPr>
        <w:autoSpaceDE w:val="0"/>
        <w:autoSpaceDN w:val="0"/>
        <w:adjustRightInd w:val="0"/>
        <w:ind w:left="5880" w:right="105"/>
        <w:jc w:val="right"/>
      </w:pPr>
      <w:r>
        <w:rPr>
          <w:rFonts w:hint="eastAsia"/>
        </w:rPr>
        <w:t>单位：</w:t>
      </w:r>
      <w:sdt>
        <w:sdtPr>
          <w:rPr>
            <w:rFonts w:hint="eastAsia"/>
          </w:rPr>
          <w:alias w:val="单位：按组合计提坏账准备的应收票据详细情况"/>
          <w:tag w:val="_GBC_dd22ce6fdcd5426dbe2948860a8cd0a2"/>
          <w:id w:val="3686522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按组合计提坏账准备的应收票据详细情况"/>
          <w:tag w:val="_GBC_6593230bd891417499c638314f150d60"/>
          <w:id w:val="-5632540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577D08" w14:paraId="724D7C3F" w14:textId="77777777">
        <w:sdt>
          <w:sdtPr>
            <w:tag w:val="_PLD_74ad584541ec46019bc0ec583b56e6dc"/>
            <w:id w:val="-1378311303"/>
          </w:sdtPr>
          <w:sdtContent>
            <w:tc>
              <w:tcPr>
                <w:tcW w:w="1158" w:type="pct"/>
                <w:vMerge w:val="restart"/>
                <w:vAlign w:val="center"/>
              </w:tcPr>
              <w:p w14:paraId="3EEA4339" w14:textId="77777777" w:rsidR="00577D08" w:rsidRDefault="00330FC0">
                <w:pPr>
                  <w:jc w:val="center"/>
                </w:pPr>
                <w:r>
                  <w:rPr>
                    <w:rFonts w:hint="eastAsia"/>
                  </w:rPr>
                  <w:t>名称</w:t>
                </w:r>
              </w:p>
            </w:tc>
          </w:sdtContent>
        </w:sdt>
        <w:sdt>
          <w:sdtPr>
            <w:tag w:val="_PLD_4cf87ed9c9624586a738a40c94ad8178"/>
            <w:id w:val="-1088001614"/>
          </w:sdtPr>
          <w:sdtContent>
            <w:tc>
              <w:tcPr>
                <w:tcW w:w="3842" w:type="pct"/>
                <w:gridSpan w:val="3"/>
                <w:vAlign w:val="center"/>
              </w:tcPr>
              <w:p w14:paraId="3C21A897" w14:textId="77777777" w:rsidR="00577D08" w:rsidRDefault="00330FC0">
                <w:pPr>
                  <w:jc w:val="center"/>
                </w:pPr>
                <w:r>
                  <w:rPr>
                    <w:rFonts w:hint="eastAsia"/>
                  </w:rPr>
                  <w:t>期末余额</w:t>
                </w:r>
              </w:p>
            </w:tc>
          </w:sdtContent>
        </w:sdt>
      </w:tr>
      <w:tr w:rsidR="00577D08" w14:paraId="4FBA31D7" w14:textId="77777777">
        <w:tc>
          <w:tcPr>
            <w:tcW w:w="1158" w:type="pct"/>
            <w:vMerge/>
            <w:vAlign w:val="center"/>
          </w:tcPr>
          <w:p w14:paraId="21A48376" w14:textId="77777777" w:rsidR="00577D08" w:rsidRDefault="00577D08">
            <w:pPr>
              <w:jc w:val="center"/>
            </w:pPr>
          </w:p>
        </w:tc>
        <w:sdt>
          <w:sdtPr>
            <w:tag w:val="_PLD_c7947e62ac1341a0ab9934cdaf575521"/>
            <w:id w:val="846053304"/>
          </w:sdtPr>
          <w:sdtContent>
            <w:tc>
              <w:tcPr>
                <w:tcW w:w="1276" w:type="pct"/>
                <w:vAlign w:val="center"/>
              </w:tcPr>
              <w:p w14:paraId="3F540209" w14:textId="77777777" w:rsidR="00577D08" w:rsidRDefault="00330FC0">
                <w:pPr>
                  <w:jc w:val="center"/>
                </w:pPr>
                <w:r>
                  <w:rPr>
                    <w:rFonts w:hint="eastAsia"/>
                  </w:rPr>
                  <w:t>账面余额</w:t>
                </w:r>
              </w:p>
            </w:tc>
          </w:sdtContent>
        </w:sdt>
        <w:sdt>
          <w:sdtPr>
            <w:tag w:val="_PLD_b0f88303dbd14344a84ee332cb6d53f9"/>
            <w:id w:val="1818454663"/>
          </w:sdtPr>
          <w:sdtContent>
            <w:tc>
              <w:tcPr>
                <w:tcW w:w="1299" w:type="pct"/>
                <w:vAlign w:val="center"/>
              </w:tcPr>
              <w:p w14:paraId="14DEE7A4" w14:textId="77777777" w:rsidR="00577D08" w:rsidRDefault="00330FC0">
                <w:pPr>
                  <w:jc w:val="center"/>
                </w:pPr>
                <w:r>
                  <w:rPr>
                    <w:rFonts w:hint="eastAsia"/>
                  </w:rPr>
                  <w:t>坏账准备</w:t>
                </w:r>
              </w:p>
            </w:tc>
          </w:sdtContent>
        </w:sdt>
        <w:sdt>
          <w:sdtPr>
            <w:tag w:val="_PLD_2ac8d6b7fbbb4250ab600dfdbe0fcb56"/>
            <w:id w:val="383218058"/>
          </w:sdtPr>
          <w:sdtContent>
            <w:tc>
              <w:tcPr>
                <w:tcW w:w="1267" w:type="pct"/>
                <w:vAlign w:val="center"/>
              </w:tcPr>
              <w:p w14:paraId="46694649" w14:textId="77777777" w:rsidR="00577D08" w:rsidRDefault="00330FC0">
                <w:pPr>
                  <w:jc w:val="center"/>
                </w:pPr>
                <w:r>
                  <w:t>计提比例</w:t>
                </w:r>
                <w:r>
                  <w:rPr>
                    <w:rFonts w:hint="eastAsia"/>
                  </w:rPr>
                  <w:t>（</w:t>
                </w:r>
                <w:r>
                  <w:rPr>
                    <w:rFonts w:hint="eastAsia"/>
                  </w:rPr>
                  <w:t>%</w:t>
                </w:r>
                <w:r>
                  <w:rPr>
                    <w:rFonts w:hint="eastAsia"/>
                  </w:rPr>
                  <w:t>）</w:t>
                </w:r>
              </w:p>
            </w:tc>
          </w:sdtContent>
        </w:sdt>
      </w:tr>
      <w:tr w:rsidR="00577D08" w14:paraId="7DECF550" w14:textId="77777777">
        <w:tc>
          <w:tcPr>
            <w:tcW w:w="1158" w:type="pct"/>
          </w:tcPr>
          <w:p w14:paraId="3516DE59" w14:textId="77777777" w:rsidR="00577D08" w:rsidRDefault="00330FC0">
            <w:r>
              <w:rPr>
                <w:rFonts w:hint="eastAsia"/>
              </w:rPr>
              <w:t>银行承兑汇票组合</w:t>
            </w:r>
          </w:p>
        </w:tc>
        <w:tc>
          <w:tcPr>
            <w:tcW w:w="1276" w:type="pct"/>
          </w:tcPr>
          <w:p w14:paraId="495CBC9F" w14:textId="77777777" w:rsidR="00577D08" w:rsidRDefault="00330FC0">
            <w:pPr>
              <w:jc w:val="right"/>
            </w:pPr>
            <w:r>
              <w:t>268,911,329.61</w:t>
            </w:r>
          </w:p>
        </w:tc>
        <w:tc>
          <w:tcPr>
            <w:tcW w:w="1299" w:type="pct"/>
          </w:tcPr>
          <w:p w14:paraId="05BCF3C3" w14:textId="77777777" w:rsidR="00577D08" w:rsidRDefault="00330FC0">
            <w:pPr>
              <w:jc w:val="right"/>
            </w:pPr>
            <w:r>
              <w:t>13,338,638.12</w:t>
            </w:r>
          </w:p>
        </w:tc>
        <w:tc>
          <w:tcPr>
            <w:tcW w:w="1267" w:type="pct"/>
          </w:tcPr>
          <w:p w14:paraId="3CE024B5" w14:textId="77777777" w:rsidR="00577D08" w:rsidRDefault="00330FC0">
            <w:pPr>
              <w:jc w:val="right"/>
            </w:pPr>
            <w:r>
              <w:t>4.96</w:t>
            </w:r>
          </w:p>
        </w:tc>
      </w:tr>
      <w:tr w:rsidR="00577D08" w14:paraId="42491D71" w14:textId="77777777">
        <w:tc>
          <w:tcPr>
            <w:tcW w:w="1158" w:type="pct"/>
          </w:tcPr>
          <w:p w14:paraId="068BFBCC" w14:textId="77777777" w:rsidR="00577D08" w:rsidRDefault="00330FC0">
            <w:r>
              <w:rPr>
                <w:rFonts w:hint="eastAsia"/>
              </w:rPr>
              <w:t>商业承兑汇票组合</w:t>
            </w:r>
          </w:p>
        </w:tc>
        <w:tc>
          <w:tcPr>
            <w:tcW w:w="1276" w:type="pct"/>
          </w:tcPr>
          <w:p w14:paraId="43476CCB" w14:textId="77777777" w:rsidR="00577D08" w:rsidRDefault="00330FC0">
            <w:pPr>
              <w:jc w:val="right"/>
            </w:pPr>
            <w:r>
              <w:t>33,708,339.67</w:t>
            </w:r>
          </w:p>
        </w:tc>
        <w:tc>
          <w:tcPr>
            <w:tcW w:w="1299" w:type="pct"/>
          </w:tcPr>
          <w:p w14:paraId="26257D9E" w14:textId="77777777" w:rsidR="00577D08" w:rsidRDefault="00330FC0">
            <w:pPr>
              <w:jc w:val="right"/>
            </w:pPr>
            <w:r>
              <w:t>2,588,303.13</w:t>
            </w:r>
          </w:p>
        </w:tc>
        <w:tc>
          <w:tcPr>
            <w:tcW w:w="1267" w:type="pct"/>
          </w:tcPr>
          <w:p w14:paraId="0750D006" w14:textId="77777777" w:rsidR="00577D08" w:rsidRDefault="00330FC0">
            <w:pPr>
              <w:jc w:val="right"/>
            </w:pPr>
            <w:r>
              <w:t>7.68</w:t>
            </w:r>
          </w:p>
        </w:tc>
      </w:tr>
      <w:tr w:rsidR="00577D08" w14:paraId="54C24BC9" w14:textId="77777777">
        <w:tc>
          <w:tcPr>
            <w:tcW w:w="1158" w:type="pct"/>
            <w:vAlign w:val="center"/>
          </w:tcPr>
          <w:p w14:paraId="09FB58C9" w14:textId="77777777" w:rsidR="00577D08" w:rsidRDefault="00330FC0">
            <w:pPr>
              <w:jc w:val="center"/>
            </w:pPr>
            <w:r>
              <w:rPr>
                <w:rFonts w:hint="eastAsia"/>
              </w:rPr>
              <w:t>合计</w:t>
            </w:r>
          </w:p>
        </w:tc>
        <w:tc>
          <w:tcPr>
            <w:tcW w:w="1276" w:type="pct"/>
          </w:tcPr>
          <w:p w14:paraId="0A89DD9B" w14:textId="77777777" w:rsidR="00577D08" w:rsidRDefault="00330FC0">
            <w:pPr>
              <w:jc w:val="right"/>
            </w:pPr>
            <w:r>
              <w:t>302,619,669.28</w:t>
            </w:r>
          </w:p>
        </w:tc>
        <w:tc>
          <w:tcPr>
            <w:tcW w:w="1299" w:type="pct"/>
          </w:tcPr>
          <w:p w14:paraId="66073AD4" w14:textId="77777777" w:rsidR="00577D08" w:rsidRDefault="00330FC0">
            <w:pPr>
              <w:jc w:val="right"/>
            </w:pPr>
            <w:r>
              <w:t>15,926,941.25</w:t>
            </w:r>
          </w:p>
        </w:tc>
        <w:tc>
          <w:tcPr>
            <w:tcW w:w="1267" w:type="pct"/>
          </w:tcPr>
          <w:p w14:paraId="3E68C7B5" w14:textId="77777777" w:rsidR="00577D08" w:rsidRDefault="00330FC0">
            <w:pPr>
              <w:jc w:val="right"/>
            </w:pPr>
            <w:r>
              <w:t>5.26</w:t>
            </w:r>
          </w:p>
        </w:tc>
      </w:tr>
    </w:tbl>
    <w:p w14:paraId="3CE2407A" w14:textId="77777777" w:rsidR="00577D08" w:rsidRDefault="00330FC0">
      <w:r>
        <w:rPr>
          <w:rFonts w:hint="eastAsia"/>
        </w:rPr>
        <w:t>按组合计提坏账准备的说明</w:t>
      </w:r>
    </w:p>
    <w:sdt>
      <w:sdtPr>
        <w:alias w:val="是否适用：按组合计提坏账准备的应收票据确认标准[双击切换]"/>
        <w:tag w:val="_GBC_8da9c261e1b645a580319dc9ae336a84"/>
        <w:id w:val="615026985"/>
        <w:placeholder>
          <w:docPart w:val="GBC22222222222222222222222222222"/>
        </w:placeholder>
      </w:sdtPr>
      <w:sdtContent>
        <w:p w14:paraId="4ED055B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9756609" w14:textId="77777777" w:rsidR="00577D08" w:rsidRDefault="00330FC0">
      <w:pPr>
        <w:rPr>
          <w:rFonts w:cstheme="minorBidi"/>
          <w:bCs/>
          <w:szCs w:val="22"/>
        </w:rPr>
      </w:pPr>
      <w:bookmarkStart w:id="324" w:name="_Hlk153356892"/>
      <w:bookmarkEnd w:id="32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365966006504a25b2c8db13d573e88d"/>
        <w:id w:val="-1877232018"/>
        <w:placeholder>
          <w:docPart w:val="GBC22222222222222222222222222222"/>
        </w:placeholder>
      </w:sdtPr>
      <w:sdtContent>
        <w:p w14:paraId="17D83A38" w14:textId="77777777" w:rsidR="00577D08" w:rsidRDefault="00330FC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5D3E2CBE"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64b745b874a741e0959d6b23dbf1c56a"/>
        <w:id w:val="1683010919"/>
        <w:placeholder>
          <w:docPart w:val="GBC22222222222222222222222222222"/>
        </w:placeholder>
      </w:sdtPr>
      <w:sdtContent>
        <w:p w14:paraId="354749EB" w14:textId="77777777" w:rsidR="00577D08" w:rsidRDefault="00330FC0">
          <w:pPr>
            <w:rPr>
              <w:bCs/>
              <w:szCs w:val="22"/>
            </w:rPr>
          </w:pPr>
          <w:r>
            <w:rPr>
              <w:rFonts w:hint="eastAsia"/>
              <w:bCs/>
              <w:szCs w:val="22"/>
            </w:rPr>
            <w:t>无</w:t>
          </w:r>
        </w:p>
      </w:sdtContent>
    </w:sdt>
    <w:p w14:paraId="0AEB8E7F" w14:textId="77777777" w:rsidR="00577D08" w:rsidRDefault="00330FC0">
      <w:pPr>
        <w:pStyle w:val="affc"/>
      </w:pPr>
      <w:r>
        <w:rPr>
          <w:rFonts w:hint="eastAsia"/>
        </w:rPr>
        <w:t>对本期发生损失准备变动的应收票据账面余额显著变动的情况说明：</w:t>
      </w:r>
    </w:p>
    <w:sdt>
      <w:sdtPr>
        <w:alias w:val="是否适用：对本期发生损失准备变动的账面余额显著变动的情况说明[双击切换]"/>
        <w:tag w:val="_GBC_2f34fd35c9654c8fa0b6583125cc946c"/>
        <w:id w:val="-1487855737"/>
        <w:placeholder>
          <w:docPart w:val="GBC22222222222222222222222222222"/>
        </w:placeholder>
      </w:sdtPr>
      <w:sdtContent>
        <w:p w14:paraId="09C6549D"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8A8C089" w14:textId="77777777" w:rsidR="00577D08" w:rsidRDefault="00330FC0">
      <w:pPr>
        <w:pStyle w:val="4"/>
        <w:numPr>
          <w:ilvl w:val="3"/>
          <w:numId w:val="62"/>
        </w:numPr>
        <w:ind w:left="426" w:hanging="426"/>
        <w:rPr>
          <w:rFonts w:hint="eastAsia"/>
        </w:rPr>
      </w:pPr>
      <w:bookmarkStart w:id="325" w:name="_Hlk532980547"/>
      <w:bookmarkStart w:id="326" w:name="_Hlk154148795"/>
      <w:bookmarkEnd w:id="324"/>
      <w:r>
        <w:rPr>
          <w:rFonts w:hint="eastAsia"/>
        </w:rPr>
        <w:t>坏账准备的情况</w:t>
      </w:r>
    </w:p>
    <w:sdt>
      <w:sdtPr>
        <w:alias w:val="是否适用：应收票据坏账准备情况[双击切换]"/>
        <w:tag w:val="_GBC_3c7b44ae9e3b4aa6a67012163093206f"/>
        <w:id w:val="-352810592"/>
        <w:placeholder>
          <w:docPart w:val="GBC22222222222222222222222222222"/>
        </w:placeholder>
      </w:sdtPr>
      <w:sdtContent>
        <w:p w14:paraId="1CEF15C6"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B2303C8" w14:textId="77777777" w:rsidR="00577D08" w:rsidRDefault="00577D08">
      <w:pPr>
        <w:pStyle w:val="aff9"/>
        <w:snapToGrid w:val="0"/>
        <w:spacing w:line="240" w:lineRule="atLeast"/>
        <w:ind w:left="425" w:firstLineChars="0" w:firstLine="0"/>
        <w:jc w:val="right"/>
        <w:rPr>
          <w:szCs w:val="21"/>
        </w:rPr>
      </w:pPr>
    </w:p>
    <w:p w14:paraId="2954C1A3" w14:textId="77777777" w:rsidR="00577D08" w:rsidRDefault="00577D08">
      <w:pPr>
        <w:pStyle w:val="aff9"/>
        <w:snapToGrid w:val="0"/>
        <w:spacing w:line="240" w:lineRule="atLeast"/>
        <w:ind w:left="425" w:firstLineChars="0" w:firstLine="0"/>
        <w:jc w:val="right"/>
        <w:rPr>
          <w:szCs w:val="21"/>
        </w:rPr>
      </w:pPr>
    </w:p>
    <w:p w14:paraId="3395439C" w14:textId="64267EFC" w:rsidR="00577D08" w:rsidRDefault="00330FC0">
      <w:pPr>
        <w:pStyle w:val="aff9"/>
        <w:snapToGrid w:val="0"/>
        <w:spacing w:line="240" w:lineRule="atLeast"/>
        <w:ind w:left="425" w:firstLineChars="0" w:firstLine="0"/>
        <w:jc w:val="right"/>
        <w:rPr>
          <w:szCs w:val="21"/>
        </w:rPr>
      </w:pPr>
      <w:r>
        <w:rPr>
          <w:rFonts w:hint="eastAsia"/>
          <w:szCs w:val="21"/>
        </w:rPr>
        <w:lastRenderedPageBreak/>
        <w:t>单位：</w:t>
      </w:r>
      <w:sdt>
        <w:sdtPr>
          <w:rPr>
            <w:rFonts w:hint="eastAsia"/>
            <w:szCs w:val="21"/>
          </w:rPr>
          <w:alias w:val="单位：应收票据坏账准备情况"/>
          <w:tag w:val="_GBC_369a6567da6f4681886799eccc7ce30e"/>
          <w:id w:val="3748263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r w:rsidR="00CC5C32">
            <w:rPr>
              <w:szCs w:val="21"/>
            </w:rPr>
            <w:t xml:space="preserve"> </w:t>
          </w:r>
        </w:sdtContent>
      </w:sdt>
      <w:r>
        <w:rPr>
          <w:rFonts w:hint="eastAsia"/>
          <w:szCs w:val="21"/>
        </w:rPr>
        <w:t>币种：</w:t>
      </w:r>
      <w:sdt>
        <w:sdtPr>
          <w:rPr>
            <w:rFonts w:hint="eastAsia"/>
            <w:szCs w:val="21"/>
          </w:rPr>
          <w:alias w:val="币种：应收票据坏账准备情况"/>
          <w:tag w:val="_GBC_2ca7f0c4216640399e139055a5b3f6df"/>
          <w:id w:val="-15834422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4343"/>
        <w:gridCol w:w="1863"/>
        <w:gridCol w:w="1417"/>
        <w:gridCol w:w="1544"/>
        <w:gridCol w:w="1544"/>
        <w:gridCol w:w="1292"/>
        <w:gridCol w:w="1860"/>
      </w:tblGrid>
      <w:tr w:rsidR="00577D08" w14:paraId="70D83EAB" w14:textId="77777777">
        <w:sdt>
          <w:sdtPr>
            <w:tag w:val="_PLD_5c2e077065ea4069947c5dad1aefe7c9"/>
            <w:id w:val="-889267226"/>
          </w:sdtPr>
          <w:sdtContent>
            <w:tc>
              <w:tcPr>
                <w:tcW w:w="1566" w:type="pct"/>
                <w:vMerge w:val="restart"/>
                <w:shd w:val="clear" w:color="auto" w:fill="FFFFFF"/>
                <w:vAlign w:val="center"/>
              </w:tcPr>
              <w:p w14:paraId="004F96C3" w14:textId="77777777" w:rsidR="00577D08" w:rsidRDefault="00330FC0">
                <w:pPr>
                  <w:widowControl w:val="0"/>
                  <w:jc w:val="center"/>
                </w:pPr>
                <w:r>
                  <w:t>类别</w:t>
                </w:r>
              </w:p>
            </w:tc>
          </w:sdtContent>
        </w:sdt>
        <w:sdt>
          <w:sdtPr>
            <w:tag w:val="_PLD_be42aed4ff82447ca43a862394d9d8b0"/>
            <w:id w:val="2089266198"/>
          </w:sdtPr>
          <w:sdtContent>
            <w:tc>
              <w:tcPr>
                <w:tcW w:w="672" w:type="pct"/>
                <w:vMerge w:val="restart"/>
                <w:shd w:val="clear" w:color="auto" w:fill="FFFFFF"/>
                <w:vAlign w:val="center"/>
              </w:tcPr>
              <w:p w14:paraId="08575736" w14:textId="77777777" w:rsidR="00577D08" w:rsidRDefault="00330FC0">
                <w:pPr>
                  <w:widowControl w:val="0"/>
                  <w:jc w:val="center"/>
                </w:pPr>
                <w:r>
                  <w:t>期初余额</w:t>
                </w:r>
              </w:p>
            </w:tc>
          </w:sdtContent>
        </w:sdt>
        <w:sdt>
          <w:sdtPr>
            <w:tag w:val="_PLD_6aa2190a976944ebbcbd0551027474a9"/>
            <w:id w:val="846443084"/>
          </w:sdtPr>
          <w:sdtContent>
            <w:tc>
              <w:tcPr>
                <w:tcW w:w="2091" w:type="pct"/>
                <w:gridSpan w:val="4"/>
                <w:shd w:val="clear" w:color="auto" w:fill="FFFFFF"/>
                <w:vAlign w:val="center"/>
              </w:tcPr>
              <w:p w14:paraId="19B97814" w14:textId="77777777" w:rsidR="00577D08" w:rsidRDefault="00330FC0">
                <w:pPr>
                  <w:widowControl w:val="0"/>
                  <w:jc w:val="center"/>
                </w:pPr>
                <w:r>
                  <w:rPr>
                    <w:rFonts w:hint="eastAsia"/>
                  </w:rPr>
                  <w:t>本期变动</w:t>
                </w:r>
                <w:r>
                  <w:t>金额</w:t>
                </w:r>
              </w:p>
            </w:tc>
          </w:sdtContent>
        </w:sdt>
        <w:sdt>
          <w:sdtPr>
            <w:tag w:val="_PLD_b9edf7d7d59c4a92b06644af7a055d81"/>
            <w:id w:val="1748606890"/>
          </w:sdtPr>
          <w:sdtContent>
            <w:tc>
              <w:tcPr>
                <w:tcW w:w="672" w:type="pct"/>
                <w:vMerge w:val="restart"/>
                <w:shd w:val="clear" w:color="auto" w:fill="FFFFFF"/>
                <w:vAlign w:val="center"/>
              </w:tcPr>
              <w:p w14:paraId="7B4067BA" w14:textId="77777777" w:rsidR="00577D08" w:rsidRDefault="00330FC0">
                <w:pPr>
                  <w:widowControl w:val="0"/>
                  <w:jc w:val="center"/>
                </w:pPr>
                <w:r>
                  <w:t>期末余额</w:t>
                </w:r>
              </w:p>
            </w:tc>
          </w:sdtContent>
        </w:sdt>
      </w:tr>
      <w:tr w:rsidR="00577D08" w14:paraId="60007936" w14:textId="77777777">
        <w:tc>
          <w:tcPr>
            <w:tcW w:w="1566" w:type="pct"/>
            <w:vMerge/>
            <w:shd w:val="clear" w:color="auto" w:fill="FFFFFF"/>
            <w:vAlign w:val="center"/>
          </w:tcPr>
          <w:p w14:paraId="32E92487" w14:textId="77777777" w:rsidR="00577D08" w:rsidRDefault="00577D08">
            <w:pPr>
              <w:widowControl w:val="0"/>
              <w:jc w:val="center"/>
            </w:pPr>
          </w:p>
        </w:tc>
        <w:tc>
          <w:tcPr>
            <w:tcW w:w="672" w:type="pct"/>
            <w:vMerge/>
            <w:shd w:val="clear" w:color="auto" w:fill="FFFFFF"/>
            <w:vAlign w:val="center"/>
          </w:tcPr>
          <w:p w14:paraId="352B1301" w14:textId="77777777" w:rsidR="00577D08" w:rsidRDefault="00577D08">
            <w:pPr>
              <w:widowControl w:val="0"/>
              <w:jc w:val="right"/>
            </w:pPr>
          </w:p>
        </w:tc>
        <w:sdt>
          <w:sdtPr>
            <w:tag w:val="_PLD_36062efa6f854d3c8eee6ca1e0b72bca"/>
            <w:id w:val="-1679948176"/>
          </w:sdtPr>
          <w:sdtContent>
            <w:tc>
              <w:tcPr>
                <w:tcW w:w="511" w:type="pct"/>
                <w:shd w:val="clear" w:color="auto" w:fill="FFFFFF"/>
                <w:vAlign w:val="center"/>
              </w:tcPr>
              <w:p w14:paraId="5084DD89" w14:textId="77777777" w:rsidR="00577D08" w:rsidRDefault="00330FC0">
                <w:pPr>
                  <w:widowControl w:val="0"/>
                  <w:jc w:val="center"/>
                </w:pPr>
                <w:r>
                  <w:t>计提</w:t>
                </w:r>
              </w:p>
            </w:tc>
          </w:sdtContent>
        </w:sdt>
        <w:sdt>
          <w:sdtPr>
            <w:tag w:val="_PLD_0b4224d18fad47e08fa90eb4f8c7e612"/>
            <w:id w:val="910118420"/>
          </w:sdtPr>
          <w:sdtContent>
            <w:tc>
              <w:tcPr>
                <w:tcW w:w="557" w:type="pct"/>
                <w:shd w:val="clear" w:color="auto" w:fill="FFFFFF"/>
                <w:vAlign w:val="center"/>
              </w:tcPr>
              <w:p w14:paraId="1433B840" w14:textId="77777777" w:rsidR="00577D08" w:rsidRDefault="00330FC0">
                <w:pPr>
                  <w:widowControl w:val="0"/>
                  <w:jc w:val="center"/>
                </w:pPr>
                <w:r>
                  <w:rPr>
                    <w:rFonts w:hint="eastAsia"/>
                  </w:rPr>
                  <w:t>收回或转回</w:t>
                </w:r>
              </w:p>
            </w:tc>
          </w:sdtContent>
        </w:sdt>
        <w:tc>
          <w:tcPr>
            <w:tcW w:w="557" w:type="pct"/>
            <w:shd w:val="clear" w:color="auto" w:fill="FFFFFF"/>
            <w:vAlign w:val="center"/>
          </w:tcPr>
          <w:sdt>
            <w:sdtPr>
              <w:tag w:val="_PLD_dff8ef418de94a2b8e2615f6e297e890"/>
              <w:id w:val="-1356956179"/>
            </w:sdtPr>
            <w:sdtContent>
              <w:p w14:paraId="1F301CCF" w14:textId="77777777" w:rsidR="00577D08" w:rsidRDefault="00330FC0">
                <w:pPr>
                  <w:widowControl w:val="0"/>
                  <w:jc w:val="center"/>
                </w:pPr>
                <w:r>
                  <w:rPr>
                    <w:rFonts w:hint="eastAsia"/>
                  </w:rPr>
                  <w:t>转销或核销</w:t>
                </w:r>
              </w:p>
            </w:sdtContent>
          </w:sdt>
        </w:tc>
        <w:tc>
          <w:tcPr>
            <w:tcW w:w="465" w:type="pct"/>
            <w:shd w:val="clear" w:color="auto" w:fill="FFFFFF"/>
            <w:vAlign w:val="center"/>
          </w:tcPr>
          <w:sdt>
            <w:sdtPr>
              <w:tag w:val="_PLD_529e6104ed0640fcab7db5615e37639f"/>
              <w:id w:val="1227886364"/>
            </w:sdtPr>
            <w:sdtContent>
              <w:p w14:paraId="13CDF576" w14:textId="77777777" w:rsidR="00577D08" w:rsidRDefault="00330FC0">
                <w:pPr>
                  <w:widowControl w:val="0"/>
                  <w:jc w:val="center"/>
                </w:pPr>
                <w:r>
                  <w:rPr>
                    <w:rFonts w:hint="eastAsia"/>
                  </w:rPr>
                  <w:t>其他变动</w:t>
                </w:r>
              </w:p>
            </w:sdtContent>
          </w:sdt>
        </w:tc>
        <w:tc>
          <w:tcPr>
            <w:tcW w:w="672" w:type="pct"/>
            <w:vMerge/>
            <w:shd w:val="clear" w:color="auto" w:fill="FFFFFF"/>
            <w:vAlign w:val="center"/>
          </w:tcPr>
          <w:p w14:paraId="5F4E758D" w14:textId="77777777" w:rsidR="00577D08" w:rsidRDefault="00577D08">
            <w:pPr>
              <w:widowControl w:val="0"/>
              <w:jc w:val="right"/>
            </w:pPr>
          </w:p>
        </w:tc>
      </w:tr>
      <w:tr w:rsidR="00577D08" w14:paraId="2ACC2E2C" w14:textId="77777777">
        <w:tc>
          <w:tcPr>
            <w:tcW w:w="1566" w:type="pct"/>
          </w:tcPr>
          <w:p w14:paraId="0D370867" w14:textId="77777777" w:rsidR="00577D08" w:rsidRDefault="00330FC0">
            <w:pPr>
              <w:widowControl w:val="0"/>
            </w:pPr>
            <w:r>
              <w:rPr>
                <w:rFonts w:hint="eastAsia"/>
              </w:rPr>
              <w:t>单项计提预期信用损失的应收票据</w:t>
            </w:r>
          </w:p>
        </w:tc>
        <w:tc>
          <w:tcPr>
            <w:tcW w:w="672" w:type="pct"/>
          </w:tcPr>
          <w:p w14:paraId="134A0D98" w14:textId="77777777" w:rsidR="00577D08" w:rsidRDefault="00577D08">
            <w:pPr>
              <w:widowControl w:val="0"/>
              <w:jc w:val="right"/>
            </w:pPr>
          </w:p>
        </w:tc>
        <w:tc>
          <w:tcPr>
            <w:tcW w:w="511" w:type="pct"/>
          </w:tcPr>
          <w:p w14:paraId="1AF84036" w14:textId="77777777" w:rsidR="00577D08" w:rsidRDefault="00577D08">
            <w:pPr>
              <w:widowControl w:val="0"/>
              <w:jc w:val="right"/>
            </w:pPr>
          </w:p>
        </w:tc>
        <w:tc>
          <w:tcPr>
            <w:tcW w:w="557" w:type="pct"/>
          </w:tcPr>
          <w:p w14:paraId="40C40FBD" w14:textId="77777777" w:rsidR="00577D08" w:rsidRDefault="00577D08">
            <w:pPr>
              <w:widowControl w:val="0"/>
              <w:jc w:val="right"/>
            </w:pPr>
          </w:p>
        </w:tc>
        <w:tc>
          <w:tcPr>
            <w:tcW w:w="557" w:type="pct"/>
          </w:tcPr>
          <w:p w14:paraId="3C9CA15F" w14:textId="77777777" w:rsidR="00577D08" w:rsidRDefault="00577D08">
            <w:pPr>
              <w:widowControl w:val="0"/>
              <w:jc w:val="right"/>
            </w:pPr>
          </w:p>
        </w:tc>
        <w:tc>
          <w:tcPr>
            <w:tcW w:w="465" w:type="pct"/>
          </w:tcPr>
          <w:p w14:paraId="5FE79FF0" w14:textId="77777777" w:rsidR="00577D08" w:rsidRDefault="00577D08">
            <w:pPr>
              <w:widowControl w:val="0"/>
              <w:jc w:val="right"/>
            </w:pPr>
          </w:p>
        </w:tc>
        <w:tc>
          <w:tcPr>
            <w:tcW w:w="672" w:type="pct"/>
          </w:tcPr>
          <w:p w14:paraId="53EF9FA4" w14:textId="77777777" w:rsidR="00577D08" w:rsidRDefault="00577D08">
            <w:pPr>
              <w:widowControl w:val="0"/>
              <w:jc w:val="right"/>
            </w:pPr>
          </w:p>
        </w:tc>
      </w:tr>
      <w:tr w:rsidR="00577D08" w14:paraId="5FA98BED" w14:textId="77777777">
        <w:tc>
          <w:tcPr>
            <w:tcW w:w="1566" w:type="pct"/>
          </w:tcPr>
          <w:p w14:paraId="76140E6B" w14:textId="77777777" w:rsidR="00577D08" w:rsidRDefault="00330FC0">
            <w:pPr>
              <w:widowControl w:val="0"/>
            </w:pPr>
            <w:r>
              <w:rPr>
                <w:rFonts w:hint="eastAsia"/>
              </w:rPr>
              <w:t>按组合计提预期信用损失的应收票据</w:t>
            </w:r>
          </w:p>
        </w:tc>
        <w:tc>
          <w:tcPr>
            <w:tcW w:w="672" w:type="pct"/>
            <w:vAlign w:val="center"/>
          </w:tcPr>
          <w:p w14:paraId="7A7A272A" w14:textId="77777777" w:rsidR="00577D08" w:rsidRDefault="00330FC0">
            <w:pPr>
              <w:widowControl w:val="0"/>
              <w:jc w:val="right"/>
            </w:pPr>
            <w:r>
              <w:t>15,838,983.29</w:t>
            </w:r>
          </w:p>
        </w:tc>
        <w:tc>
          <w:tcPr>
            <w:tcW w:w="511" w:type="pct"/>
            <w:vAlign w:val="center"/>
          </w:tcPr>
          <w:p w14:paraId="3B3D5FAF" w14:textId="77777777" w:rsidR="00577D08" w:rsidRDefault="00330FC0">
            <w:pPr>
              <w:widowControl w:val="0"/>
              <w:jc w:val="right"/>
            </w:pPr>
            <w:r>
              <w:t>87,957.96</w:t>
            </w:r>
          </w:p>
        </w:tc>
        <w:tc>
          <w:tcPr>
            <w:tcW w:w="557" w:type="pct"/>
          </w:tcPr>
          <w:p w14:paraId="3C8C85EE" w14:textId="77777777" w:rsidR="00577D08" w:rsidRDefault="00577D08">
            <w:pPr>
              <w:widowControl w:val="0"/>
              <w:jc w:val="right"/>
            </w:pPr>
          </w:p>
        </w:tc>
        <w:tc>
          <w:tcPr>
            <w:tcW w:w="557" w:type="pct"/>
          </w:tcPr>
          <w:p w14:paraId="75FACEA1" w14:textId="77777777" w:rsidR="00577D08" w:rsidRDefault="00577D08">
            <w:pPr>
              <w:widowControl w:val="0"/>
              <w:jc w:val="right"/>
            </w:pPr>
          </w:p>
        </w:tc>
        <w:tc>
          <w:tcPr>
            <w:tcW w:w="465" w:type="pct"/>
          </w:tcPr>
          <w:p w14:paraId="31D5E828" w14:textId="77777777" w:rsidR="00577D08" w:rsidRDefault="00577D08">
            <w:pPr>
              <w:widowControl w:val="0"/>
              <w:jc w:val="right"/>
            </w:pPr>
          </w:p>
        </w:tc>
        <w:tc>
          <w:tcPr>
            <w:tcW w:w="672" w:type="pct"/>
            <w:vAlign w:val="center"/>
          </w:tcPr>
          <w:p w14:paraId="76380F22" w14:textId="77777777" w:rsidR="00577D08" w:rsidRDefault="00330FC0">
            <w:pPr>
              <w:widowControl w:val="0"/>
              <w:jc w:val="right"/>
            </w:pPr>
            <w:r>
              <w:t>15,926,941.25</w:t>
            </w:r>
          </w:p>
        </w:tc>
      </w:tr>
      <w:tr w:rsidR="00577D08" w14:paraId="5599D5B8" w14:textId="77777777">
        <w:tc>
          <w:tcPr>
            <w:tcW w:w="1566" w:type="pct"/>
            <w:vAlign w:val="center"/>
          </w:tcPr>
          <w:p w14:paraId="0669F79D" w14:textId="77777777" w:rsidR="00577D08" w:rsidRDefault="00330FC0">
            <w:pPr>
              <w:widowControl w:val="0"/>
              <w:jc w:val="center"/>
            </w:pPr>
            <w:r>
              <w:rPr>
                <w:rFonts w:hint="eastAsia"/>
              </w:rPr>
              <w:t>合计</w:t>
            </w:r>
          </w:p>
        </w:tc>
        <w:tc>
          <w:tcPr>
            <w:tcW w:w="672" w:type="pct"/>
            <w:vAlign w:val="center"/>
          </w:tcPr>
          <w:p w14:paraId="2A4D06D2" w14:textId="77777777" w:rsidR="00577D08" w:rsidRDefault="00330FC0">
            <w:pPr>
              <w:widowControl w:val="0"/>
              <w:jc w:val="right"/>
            </w:pPr>
            <w:r>
              <w:t>15,838,983.29</w:t>
            </w:r>
          </w:p>
        </w:tc>
        <w:tc>
          <w:tcPr>
            <w:tcW w:w="511" w:type="pct"/>
            <w:vAlign w:val="center"/>
          </w:tcPr>
          <w:p w14:paraId="680B7663" w14:textId="77777777" w:rsidR="00577D08" w:rsidRDefault="00330FC0">
            <w:pPr>
              <w:widowControl w:val="0"/>
              <w:jc w:val="right"/>
            </w:pPr>
            <w:r>
              <w:t>87,957.96</w:t>
            </w:r>
          </w:p>
        </w:tc>
        <w:tc>
          <w:tcPr>
            <w:tcW w:w="557" w:type="pct"/>
          </w:tcPr>
          <w:p w14:paraId="1AC9947A" w14:textId="77777777" w:rsidR="00577D08" w:rsidRDefault="00577D08">
            <w:pPr>
              <w:widowControl w:val="0"/>
              <w:jc w:val="right"/>
            </w:pPr>
          </w:p>
        </w:tc>
        <w:tc>
          <w:tcPr>
            <w:tcW w:w="557" w:type="pct"/>
          </w:tcPr>
          <w:p w14:paraId="4251BDFF" w14:textId="77777777" w:rsidR="00577D08" w:rsidRDefault="00577D08">
            <w:pPr>
              <w:widowControl w:val="0"/>
              <w:jc w:val="right"/>
            </w:pPr>
          </w:p>
        </w:tc>
        <w:tc>
          <w:tcPr>
            <w:tcW w:w="465" w:type="pct"/>
          </w:tcPr>
          <w:p w14:paraId="54F2C9E2" w14:textId="77777777" w:rsidR="00577D08" w:rsidRDefault="00577D08">
            <w:pPr>
              <w:widowControl w:val="0"/>
              <w:jc w:val="right"/>
            </w:pPr>
          </w:p>
        </w:tc>
        <w:tc>
          <w:tcPr>
            <w:tcW w:w="672" w:type="pct"/>
            <w:vAlign w:val="center"/>
          </w:tcPr>
          <w:p w14:paraId="0137D2AD" w14:textId="77777777" w:rsidR="00577D08" w:rsidRDefault="00330FC0">
            <w:pPr>
              <w:widowControl w:val="0"/>
              <w:jc w:val="right"/>
            </w:pPr>
            <w:r>
              <w:t>15,926,941.25</w:t>
            </w:r>
          </w:p>
        </w:tc>
      </w:tr>
    </w:tbl>
    <w:p w14:paraId="09A8C765" w14:textId="77777777" w:rsidR="00577D08" w:rsidRDefault="00330FC0">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380710928"/>
        <w:placeholder>
          <w:docPart w:val="GBC22222222222222222222222222222"/>
        </w:placeholder>
      </w:sdtPr>
      <w:sdtContent>
        <w:p w14:paraId="2AF61A9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E664BAD" w14:textId="77777777" w:rsidR="00577D08" w:rsidRDefault="00330FC0">
      <w:r>
        <w:rPr>
          <w:rFonts w:hint="eastAsia"/>
        </w:rPr>
        <w:t>其他说明：</w:t>
      </w:r>
    </w:p>
    <w:sdt>
      <w:sdtPr>
        <w:rPr>
          <w:rFonts w:cstheme="minorBidi"/>
          <w:bCs/>
          <w:szCs w:val="22"/>
        </w:rPr>
        <w:alias w:val="应收票据坏账准备的其他说明"/>
        <w:tag w:val="_GBC_861db5fd771c449390c4ea436bc9ad1e"/>
        <w:id w:val="-1249346580"/>
        <w:placeholder>
          <w:docPart w:val="GBC22222222222222222222222222222"/>
        </w:placeholder>
      </w:sdtPr>
      <w:sdtEndPr>
        <w:rPr>
          <w:rFonts w:asciiTheme="minorHAnsi" w:hAnsiTheme="minorHAnsi"/>
          <w:b/>
        </w:rPr>
      </w:sdtEndPr>
      <w:sdtContent>
        <w:p w14:paraId="7571F041" w14:textId="77777777" w:rsidR="00577D08" w:rsidRDefault="00330FC0">
          <w:pPr>
            <w:rPr>
              <w:rFonts w:asciiTheme="minorHAnsi" w:hAnsiTheme="minorHAnsi" w:cstheme="minorBidi"/>
              <w:b/>
              <w:bCs/>
              <w:szCs w:val="22"/>
            </w:rPr>
          </w:pPr>
          <w:r>
            <w:rPr>
              <w:rFonts w:cstheme="minorBidi" w:hint="eastAsia"/>
              <w:bCs/>
              <w:szCs w:val="22"/>
            </w:rPr>
            <w:t>无</w:t>
          </w:r>
        </w:p>
      </w:sdtContent>
    </w:sdt>
    <w:p w14:paraId="2F1AE799" w14:textId="77777777" w:rsidR="00577D08" w:rsidRDefault="00330FC0">
      <w:pPr>
        <w:pStyle w:val="4"/>
        <w:numPr>
          <w:ilvl w:val="3"/>
          <w:numId w:val="62"/>
        </w:numPr>
        <w:ind w:left="426" w:hanging="426"/>
        <w:rPr>
          <w:rFonts w:hint="eastAsia"/>
        </w:rPr>
      </w:pPr>
      <w:bookmarkStart w:id="327" w:name="_Hlk152837614"/>
      <w:bookmarkStart w:id="328" w:name="_Hlk532982011"/>
      <w:bookmarkEnd w:id="325"/>
      <w:bookmarkEnd w:id="326"/>
      <w:r>
        <w:rPr>
          <w:rFonts w:hint="eastAsia"/>
        </w:rPr>
        <w:t>本期实际核销的应收票据情况</w:t>
      </w:r>
    </w:p>
    <w:sdt>
      <w:sdtPr>
        <w:alias w:val="是否适用：实际核销的应收票据[双击切换]"/>
        <w:tag w:val="_GBC_a0d8af67abfc4a1698fd198064d3b108"/>
        <w:id w:val="1637599473"/>
        <w:placeholder>
          <w:docPart w:val="GBC22222222222222222222222222222"/>
        </w:placeholder>
      </w:sdtPr>
      <w:sdtContent>
        <w:p w14:paraId="3633A75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6A73E0B" w14:textId="77777777" w:rsidR="00577D08" w:rsidRDefault="00330FC0">
      <w:bookmarkStart w:id="329" w:name="_Hlk152837635"/>
      <w:bookmarkEnd w:id="327"/>
      <w:r>
        <w:rPr>
          <w:rFonts w:hint="eastAsia"/>
        </w:rPr>
        <w:t>其中重要的应收票据核销情况：</w:t>
      </w:r>
    </w:p>
    <w:sdt>
      <w:sdtPr>
        <w:alias w:val="是否适用：重要的应收票据核销[双击切换]"/>
        <w:tag w:val="_GBC_8a4eb0fe2cd044db955869f172508ff4"/>
        <w:id w:val="459774045"/>
        <w:placeholder>
          <w:docPart w:val="GBC22222222222222222222222222222"/>
        </w:placeholder>
      </w:sdtPr>
      <w:sdtContent>
        <w:p w14:paraId="090427D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F79B9C5" w14:textId="77777777" w:rsidR="00577D08" w:rsidRDefault="00330FC0">
      <w:pPr>
        <w:snapToGrid w:val="0"/>
        <w:spacing w:line="240" w:lineRule="atLeast"/>
      </w:pPr>
      <w:bookmarkStart w:id="330" w:name="_Hlk152837641"/>
      <w:bookmarkEnd w:id="329"/>
      <w:r>
        <w:rPr>
          <w:rFonts w:hint="eastAsia"/>
        </w:rPr>
        <w:t>应收票据核销说明：</w:t>
      </w:r>
    </w:p>
    <w:sdt>
      <w:sdtPr>
        <w:rPr>
          <w:rFonts w:asciiTheme="minorHAnsi" w:hAnsiTheme="minorHAnsi" w:cstheme="minorBidi"/>
          <w:bCs/>
          <w:szCs w:val="22"/>
        </w:rPr>
        <w:alias w:val="是否适用：应收票据核销说明[双击切换]"/>
        <w:tag w:val="_GBC_8e9a6863f024409f96d0d85cebbd362b"/>
        <w:id w:val="1241523340"/>
        <w:placeholder>
          <w:docPart w:val="GBC22222222222222222222222222222"/>
        </w:placeholder>
      </w:sdtPr>
      <w:sdtContent>
        <w:p w14:paraId="7BD8CA20" w14:textId="77777777" w:rsidR="00577D08" w:rsidRDefault="00330FC0">
          <w:pPr>
            <w:rPr>
              <w:rFonts w:asciiTheme="minorHAnsi" w:hAnsiTheme="minorHAnsi"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bookmarkEnd w:id="328"/>
    <w:bookmarkEnd w:id="330"/>
    <w:p w14:paraId="46CF2EBA" w14:textId="77777777" w:rsidR="00577D08" w:rsidRDefault="00330FC0">
      <w:r>
        <w:rPr>
          <w:rFonts w:hint="eastAsia"/>
        </w:rPr>
        <w:t>其他说明：</w:t>
      </w:r>
    </w:p>
    <w:sdt>
      <w:sdtPr>
        <w:alias w:val="是否适用：应收票据的说明[双击切换]"/>
        <w:tag w:val="_GBC_dc21e09520924a5db7020ba029631550"/>
        <w:id w:val="-527019378"/>
        <w:placeholder>
          <w:docPart w:val="GBC22222222222222222222222222222"/>
        </w:placeholder>
      </w:sdtPr>
      <w:sdtContent>
        <w:p w14:paraId="15406E3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3D0E2E2" w14:textId="77777777" w:rsidR="00577D08" w:rsidRDefault="00330FC0">
      <w:pPr>
        <w:pStyle w:val="3"/>
        <w:numPr>
          <w:ilvl w:val="0"/>
          <w:numId w:val="61"/>
        </w:numPr>
        <w:rPr>
          <w:rFonts w:ascii="宋体" w:hAnsi="宋体" w:cs="宋体" w:hint="eastAsia"/>
          <w:kern w:val="0"/>
          <w:szCs w:val="21"/>
        </w:rPr>
      </w:pPr>
      <w:r>
        <w:rPr>
          <w:rFonts w:ascii="宋体" w:hAnsi="宋体" w:cs="宋体" w:hint="eastAsia"/>
          <w:kern w:val="0"/>
          <w:szCs w:val="21"/>
        </w:rPr>
        <w:t>应收账款</w:t>
      </w:r>
    </w:p>
    <w:p w14:paraId="5F9CED10" w14:textId="77777777" w:rsidR="00577D08" w:rsidRDefault="00330FC0">
      <w:pPr>
        <w:pStyle w:val="4"/>
        <w:numPr>
          <w:ilvl w:val="3"/>
          <w:numId w:val="63"/>
        </w:numPr>
        <w:ind w:left="426" w:hanging="426"/>
        <w:rPr>
          <w:rFonts w:hint="eastAsia"/>
        </w:rPr>
      </w:pPr>
      <w:r>
        <w:rPr>
          <w:rFonts w:hint="eastAsia"/>
        </w:rPr>
        <w:t>按账龄披露</w:t>
      </w:r>
    </w:p>
    <w:sdt>
      <w:sdtPr>
        <w:rPr>
          <w:rFonts w:hint="eastAsia"/>
        </w:rPr>
        <w:alias w:val="是否适用：组合中，按账龄分析法计提坏账准备的应收账款[双击切换]"/>
        <w:tag w:val="_GBC_f6086903419d448ab27bc2735b69674a"/>
        <w:id w:val="-1176262001"/>
        <w:placeholder>
          <w:docPart w:val="GBC22222222222222222222222222222"/>
        </w:placeholder>
      </w:sdtPr>
      <w:sdtContent>
        <w:p w14:paraId="223F6D6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6550C83" w14:textId="25508157" w:rsidR="00577D08" w:rsidRDefault="00330FC0">
      <w:pPr>
        <w:jc w:val="right"/>
      </w:pPr>
      <w:r>
        <w:rPr>
          <w:rFonts w:hint="eastAsia"/>
        </w:rPr>
        <w:t>单位：</w:t>
      </w:r>
      <w:sdt>
        <w:sdtPr>
          <w:rPr>
            <w:rFonts w:hint="eastAsia"/>
          </w:rPr>
          <w:alias w:val="单位：财务附注：单项金额不重大但按信用风险特征组合后该组合的风险较大的应收账款"/>
          <w:tag w:val="_GBC_eeeef14b591e4a8d839681ee71744810"/>
          <w:id w:val="-19346614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单项金额不重大但按信用风险特征组合后该组合的风险较大的应收账款"/>
          <w:tag w:val="_GBC_380b2c118777445781c47a562212f944"/>
          <w:id w:val="19091082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675"/>
        <w:gridCol w:w="4675"/>
      </w:tblGrid>
      <w:tr w:rsidR="00577D08" w14:paraId="72D0E49F" w14:textId="77777777">
        <w:trPr>
          <w:cantSplit/>
        </w:trPr>
        <w:sdt>
          <w:sdtPr>
            <w:tag w:val="_PLD_987827fb8f754c15801979884cb78127"/>
            <w:id w:val="-772781799"/>
          </w:sdtPr>
          <w:sdtContent>
            <w:tc>
              <w:tcPr>
                <w:tcW w:w="1628" w:type="pct"/>
                <w:tcBorders>
                  <w:top w:val="single" w:sz="4" w:space="0" w:color="auto"/>
                  <w:left w:val="single" w:sz="4" w:space="0" w:color="auto"/>
                  <w:bottom w:val="single" w:sz="4" w:space="0" w:color="auto"/>
                  <w:right w:val="single" w:sz="4" w:space="0" w:color="auto"/>
                </w:tcBorders>
                <w:vAlign w:val="center"/>
              </w:tcPr>
              <w:p w14:paraId="37CE06B6" w14:textId="77777777" w:rsidR="00577D08" w:rsidRDefault="00330FC0">
                <w:pPr>
                  <w:jc w:val="center"/>
                </w:pPr>
                <w:r>
                  <w:rPr>
                    <w:rFonts w:hint="eastAsia"/>
                  </w:rPr>
                  <w:t>账龄</w:t>
                </w:r>
              </w:p>
            </w:tc>
          </w:sdtContent>
        </w:sdt>
        <w:sdt>
          <w:sdtPr>
            <w:tag w:val="_PLD_53a2def126e844eabd4ea223442a8a87"/>
            <w:id w:val="-2032717447"/>
          </w:sdtPr>
          <w:sdtContent>
            <w:tc>
              <w:tcPr>
                <w:tcW w:w="1686" w:type="pct"/>
                <w:tcBorders>
                  <w:top w:val="single" w:sz="4" w:space="0" w:color="auto"/>
                  <w:left w:val="single" w:sz="4" w:space="0" w:color="auto"/>
                  <w:bottom w:val="single" w:sz="4" w:space="0" w:color="auto"/>
                  <w:right w:val="single" w:sz="4" w:space="0" w:color="auto"/>
                </w:tcBorders>
                <w:vAlign w:val="center"/>
              </w:tcPr>
              <w:p w14:paraId="75E4372D" w14:textId="77777777" w:rsidR="00577D08" w:rsidRDefault="00330FC0">
                <w:pPr>
                  <w:jc w:val="center"/>
                </w:pPr>
                <w:r>
                  <w:rPr>
                    <w:rFonts w:hint="eastAsia"/>
                  </w:rPr>
                  <w:t>期末账面余额</w:t>
                </w:r>
              </w:p>
            </w:tc>
          </w:sdtContent>
        </w:sdt>
        <w:sdt>
          <w:sdtPr>
            <w:tag w:val="_PLD_a827d93406c24ad3bf1a17438f1117c1"/>
            <w:id w:val="1132826625"/>
          </w:sdtPr>
          <w:sdtContent>
            <w:tc>
              <w:tcPr>
                <w:tcW w:w="1686" w:type="pct"/>
                <w:tcBorders>
                  <w:top w:val="single" w:sz="4" w:space="0" w:color="auto"/>
                  <w:left w:val="single" w:sz="4" w:space="0" w:color="auto"/>
                  <w:bottom w:val="single" w:sz="4" w:space="0" w:color="auto"/>
                  <w:right w:val="single" w:sz="4" w:space="0" w:color="auto"/>
                </w:tcBorders>
                <w:vAlign w:val="center"/>
              </w:tcPr>
              <w:p w14:paraId="4F25A8FD" w14:textId="77777777" w:rsidR="00577D08" w:rsidRDefault="00330FC0">
                <w:pPr>
                  <w:jc w:val="center"/>
                </w:pPr>
                <w:r>
                  <w:rPr>
                    <w:rFonts w:hint="eastAsia"/>
                  </w:rPr>
                  <w:t>期初账面余额</w:t>
                </w:r>
              </w:p>
            </w:tc>
          </w:sdtContent>
        </w:sdt>
      </w:tr>
      <w:tr w:rsidR="00577D08" w14:paraId="2BE908BD"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52DFAB7C" w14:textId="77777777" w:rsidR="00577D08" w:rsidRDefault="00330FC0">
            <w:bookmarkStart w:id="331" w:name="_Hlk223507714"/>
            <w:r>
              <w:rPr>
                <w:rFonts w:hint="eastAsia"/>
              </w:rPr>
              <w:t>1</w:t>
            </w:r>
            <w:r>
              <w:rPr>
                <w:rFonts w:hint="eastAsia"/>
              </w:rPr>
              <w:t>年以内（含</w:t>
            </w:r>
            <w:r>
              <w:rPr>
                <w:rFonts w:hint="eastAsia"/>
              </w:rPr>
              <w:t>1</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69C29A79" w14:textId="77777777" w:rsidR="00577D08" w:rsidRDefault="00330FC0">
            <w:pPr>
              <w:jc w:val="right"/>
            </w:pPr>
            <w:r>
              <w:t>1,619,436,209.32</w:t>
            </w:r>
          </w:p>
        </w:tc>
        <w:tc>
          <w:tcPr>
            <w:tcW w:w="1686" w:type="pct"/>
            <w:tcBorders>
              <w:top w:val="single" w:sz="4" w:space="0" w:color="auto"/>
              <w:left w:val="single" w:sz="4" w:space="0" w:color="auto"/>
              <w:bottom w:val="single" w:sz="4" w:space="0" w:color="auto"/>
              <w:right w:val="single" w:sz="4" w:space="0" w:color="auto"/>
            </w:tcBorders>
          </w:tcPr>
          <w:p w14:paraId="69ACF968" w14:textId="77777777" w:rsidR="00577D08" w:rsidRDefault="00330FC0">
            <w:pPr>
              <w:jc w:val="right"/>
            </w:pPr>
            <w:r>
              <w:t>1,228,516,599.32</w:t>
            </w:r>
          </w:p>
        </w:tc>
      </w:tr>
      <w:tr w:rsidR="00577D08" w14:paraId="73A86D5C"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2600FB1A" w14:textId="77777777" w:rsidR="00577D08" w:rsidRDefault="00330FC0">
            <w:r>
              <w:rPr>
                <w:rFonts w:hint="eastAsia"/>
              </w:rPr>
              <w:t>1</w:t>
            </w:r>
            <w:r>
              <w:rPr>
                <w:rFonts w:hint="eastAsia"/>
              </w:rPr>
              <w:t>至</w:t>
            </w:r>
            <w:r>
              <w:rPr>
                <w:rFonts w:hint="eastAsia"/>
              </w:rPr>
              <w:t>2</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0EADD004" w14:textId="77777777" w:rsidR="00577D08" w:rsidRDefault="00330FC0">
            <w:pPr>
              <w:jc w:val="right"/>
            </w:pPr>
            <w:r>
              <w:t>314,144,025.52</w:t>
            </w:r>
          </w:p>
        </w:tc>
        <w:tc>
          <w:tcPr>
            <w:tcW w:w="1686" w:type="pct"/>
            <w:tcBorders>
              <w:top w:val="single" w:sz="4" w:space="0" w:color="auto"/>
              <w:left w:val="single" w:sz="4" w:space="0" w:color="auto"/>
              <w:bottom w:val="single" w:sz="4" w:space="0" w:color="auto"/>
              <w:right w:val="single" w:sz="4" w:space="0" w:color="auto"/>
            </w:tcBorders>
          </w:tcPr>
          <w:p w14:paraId="3D11EC71" w14:textId="77777777" w:rsidR="00577D08" w:rsidRDefault="00330FC0">
            <w:pPr>
              <w:jc w:val="right"/>
            </w:pPr>
            <w:r>
              <w:t>417,650,362.85</w:t>
            </w:r>
          </w:p>
        </w:tc>
      </w:tr>
      <w:tr w:rsidR="00577D08" w14:paraId="27985EFA"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1F78591C" w14:textId="77777777" w:rsidR="00577D08" w:rsidRDefault="00330FC0">
            <w:r>
              <w:rPr>
                <w:rFonts w:hint="eastAsia"/>
              </w:rPr>
              <w:t>2</w:t>
            </w:r>
            <w:r>
              <w:rPr>
                <w:rFonts w:hint="eastAsia"/>
              </w:rPr>
              <w:t>至</w:t>
            </w:r>
            <w:r>
              <w:rPr>
                <w:rFonts w:hint="eastAsia"/>
              </w:rPr>
              <w:t>3</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66FF5638" w14:textId="77777777" w:rsidR="00577D08" w:rsidRDefault="00330FC0">
            <w:pPr>
              <w:jc w:val="right"/>
            </w:pPr>
            <w:r>
              <w:t>143,872,214.88</w:t>
            </w:r>
          </w:p>
        </w:tc>
        <w:tc>
          <w:tcPr>
            <w:tcW w:w="1686" w:type="pct"/>
            <w:tcBorders>
              <w:top w:val="single" w:sz="4" w:space="0" w:color="auto"/>
              <w:left w:val="single" w:sz="4" w:space="0" w:color="auto"/>
              <w:bottom w:val="single" w:sz="4" w:space="0" w:color="auto"/>
              <w:right w:val="single" w:sz="4" w:space="0" w:color="auto"/>
            </w:tcBorders>
          </w:tcPr>
          <w:p w14:paraId="6C9B9462" w14:textId="77777777" w:rsidR="00577D08" w:rsidRDefault="00330FC0">
            <w:pPr>
              <w:jc w:val="right"/>
            </w:pPr>
            <w:r>
              <w:t>86,557,273.43</w:t>
            </w:r>
          </w:p>
        </w:tc>
      </w:tr>
      <w:tr w:rsidR="00577D08" w14:paraId="4BC52B80"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1B805B8A" w14:textId="77777777" w:rsidR="00577D08" w:rsidRDefault="00330FC0">
            <w:r>
              <w:rPr>
                <w:rFonts w:hint="eastAsia"/>
              </w:rPr>
              <w:t>3</w:t>
            </w:r>
            <w:r>
              <w:rPr>
                <w:rFonts w:hint="eastAsia"/>
              </w:rPr>
              <w:t>至</w:t>
            </w:r>
            <w:r>
              <w:rPr>
                <w:rFonts w:hint="eastAsia"/>
              </w:rPr>
              <w:t>4</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264471E2" w14:textId="77777777" w:rsidR="00577D08" w:rsidRDefault="00330FC0">
            <w:pPr>
              <w:jc w:val="right"/>
            </w:pPr>
            <w:r>
              <w:t>39,567,983.55</w:t>
            </w:r>
          </w:p>
        </w:tc>
        <w:tc>
          <w:tcPr>
            <w:tcW w:w="1686" w:type="pct"/>
            <w:tcBorders>
              <w:top w:val="single" w:sz="4" w:space="0" w:color="auto"/>
              <w:left w:val="single" w:sz="4" w:space="0" w:color="auto"/>
              <w:bottom w:val="single" w:sz="4" w:space="0" w:color="auto"/>
              <w:right w:val="single" w:sz="4" w:space="0" w:color="auto"/>
            </w:tcBorders>
          </w:tcPr>
          <w:p w14:paraId="2AD1C026" w14:textId="77777777" w:rsidR="00577D08" w:rsidRDefault="00330FC0">
            <w:pPr>
              <w:jc w:val="right"/>
            </w:pPr>
            <w:r>
              <w:t>34,224,261.76</w:t>
            </w:r>
          </w:p>
        </w:tc>
      </w:tr>
      <w:tr w:rsidR="00577D08" w14:paraId="016D8A1C"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6622A218" w14:textId="77777777" w:rsidR="00577D08" w:rsidRDefault="00330FC0">
            <w:r>
              <w:rPr>
                <w:rFonts w:hint="eastAsia"/>
              </w:rPr>
              <w:t>4</w:t>
            </w:r>
            <w:r>
              <w:rPr>
                <w:rFonts w:hint="eastAsia"/>
              </w:rPr>
              <w:t>至</w:t>
            </w:r>
            <w:r>
              <w:rPr>
                <w:rFonts w:hint="eastAsia"/>
              </w:rPr>
              <w:t>5</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59B14F54" w14:textId="77777777" w:rsidR="00577D08" w:rsidRDefault="00330FC0">
            <w:pPr>
              <w:jc w:val="right"/>
            </w:pPr>
            <w:r>
              <w:t>21,244,917.01</w:t>
            </w:r>
          </w:p>
        </w:tc>
        <w:tc>
          <w:tcPr>
            <w:tcW w:w="1686" w:type="pct"/>
            <w:tcBorders>
              <w:top w:val="single" w:sz="4" w:space="0" w:color="auto"/>
              <w:left w:val="single" w:sz="4" w:space="0" w:color="auto"/>
              <w:bottom w:val="single" w:sz="4" w:space="0" w:color="auto"/>
              <w:right w:val="single" w:sz="4" w:space="0" w:color="auto"/>
            </w:tcBorders>
          </w:tcPr>
          <w:p w14:paraId="023D36D7" w14:textId="77777777" w:rsidR="00577D08" w:rsidRDefault="00330FC0">
            <w:pPr>
              <w:jc w:val="right"/>
            </w:pPr>
            <w:r>
              <w:t>24,730,525.72</w:t>
            </w:r>
          </w:p>
        </w:tc>
      </w:tr>
      <w:tr w:rsidR="00577D08" w14:paraId="3676B78E"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625809E5" w14:textId="77777777" w:rsidR="00577D08" w:rsidRDefault="00330FC0">
            <w:r>
              <w:rPr>
                <w:rFonts w:hint="eastAsia"/>
              </w:rPr>
              <w:t>5</w:t>
            </w:r>
            <w:r>
              <w:rPr>
                <w:rFonts w:hint="eastAsia"/>
              </w:rPr>
              <w:t>年以上</w:t>
            </w:r>
          </w:p>
        </w:tc>
        <w:tc>
          <w:tcPr>
            <w:tcW w:w="1686" w:type="pct"/>
            <w:tcBorders>
              <w:top w:val="single" w:sz="4" w:space="0" w:color="auto"/>
              <w:left w:val="single" w:sz="4" w:space="0" w:color="auto"/>
              <w:bottom w:val="single" w:sz="4" w:space="0" w:color="auto"/>
              <w:right w:val="single" w:sz="4" w:space="0" w:color="auto"/>
            </w:tcBorders>
          </w:tcPr>
          <w:p w14:paraId="66809018" w14:textId="77777777" w:rsidR="00577D08" w:rsidRDefault="00330FC0">
            <w:pPr>
              <w:jc w:val="right"/>
            </w:pPr>
            <w:r>
              <w:t>45,757,977.71</w:t>
            </w:r>
          </w:p>
        </w:tc>
        <w:tc>
          <w:tcPr>
            <w:tcW w:w="1686" w:type="pct"/>
            <w:tcBorders>
              <w:top w:val="single" w:sz="4" w:space="0" w:color="auto"/>
              <w:left w:val="single" w:sz="4" w:space="0" w:color="auto"/>
              <w:bottom w:val="single" w:sz="4" w:space="0" w:color="auto"/>
              <w:right w:val="single" w:sz="4" w:space="0" w:color="auto"/>
            </w:tcBorders>
          </w:tcPr>
          <w:p w14:paraId="6D24C3C1" w14:textId="77777777" w:rsidR="00577D08" w:rsidRDefault="00330FC0">
            <w:pPr>
              <w:jc w:val="right"/>
            </w:pPr>
            <w:r>
              <w:t>33,955,885.29</w:t>
            </w:r>
          </w:p>
        </w:tc>
      </w:tr>
      <w:bookmarkEnd w:id="331"/>
      <w:tr w:rsidR="00577D08" w14:paraId="0073E661"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036C808E" w14:textId="77777777" w:rsidR="00577D08" w:rsidRDefault="00330FC0">
            <w:pPr>
              <w:jc w:val="center"/>
            </w:pPr>
            <w:r>
              <w:rPr>
                <w:rFonts w:hint="eastAsia"/>
              </w:rPr>
              <w:lastRenderedPageBreak/>
              <w:t>合计</w:t>
            </w:r>
          </w:p>
        </w:tc>
        <w:tc>
          <w:tcPr>
            <w:tcW w:w="1686" w:type="pct"/>
            <w:tcBorders>
              <w:top w:val="single" w:sz="4" w:space="0" w:color="auto"/>
              <w:left w:val="single" w:sz="4" w:space="0" w:color="auto"/>
              <w:bottom w:val="single" w:sz="4" w:space="0" w:color="auto"/>
              <w:right w:val="single" w:sz="4" w:space="0" w:color="auto"/>
            </w:tcBorders>
          </w:tcPr>
          <w:p w14:paraId="748C8360" w14:textId="77777777" w:rsidR="00577D08" w:rsidRDefault="00330FC0">
            <w:pPr>
              <w:jc w:val="right"/>
            </w:pPr>
            <w:r>
              <w:t>2,184,023,327.99</w:t>
            </w:r>
          </w:p>
        </w:tc>
        <w:tc>
          <w:tcPr>
            <w:tcW w:w="1686" w:type="pct"/>
            <w:tcBorders>
              <w:top w:val="single" w:sz="4" w:space="0" w:color="auto"/>
              <w:left w:val="single" w:sz="4" w:space="0" w:color="auto"/>
              <w:bottom w:val="single" w:sz="4" w:space="0" w:color="auto"/>
              <w:right w:val="single" w:sz="4" w:space="0" w:color="auto"/>
            </w:tcBorders>
          </w:tcPr>
          <w:p w14:paraId="4D98F821" w14:textId="77777777" w:rsidR="00577D08" w:rsidRDefault="00330FC0">
            <w:pPr>
              <w:jc w:val="right"/>
            </w:pPr>
            <w:r>
              <w:t>1,825,634,908.37</w:t>
            </w:r>
          </w:p>
        </w:tc>
      </w:tr>
    </w:tbl>
    <w:p w14:paraId="7959C94A" w14:textId="77777777" w:rsidR="00577D08" w:rsidRDefault="00330FC0">
      <w:pPr>
        <w:pStyle w:val="4"/>
        <w:numPr>
          <w:ilvl w:val="3"/>
          <w:numId w:val="63"/>
        </w:numPr>
        <w:ind w:left="426" w:hanging="426"/>
        <w:rPr>
          <w:rFonts w:hint="eastAsia"/>
        </w:rPr>
      </w:pPr>
      <w:bookmarkStart w:id="332" w:name="_Hlk533601584"/>
      <w:r>
        <w:rPr>
          <w:rFonts w:hint="eastAsia"/>
        </w:rPr>
        <w:t>按坏账计提方法分类披露</w:t>
      </w:r>
    </w:p>
    <w:sdt>
      <w:sdtPr>
        <w:alias w:val="是否适用：应收账款分类披露[双击切换]"/>
        <w:tag w:val="_GBC_5532cbb0484a40fcb185be4bb8709d46"/>
        <w:id w:val="-604803963"/>
        <w:placeholder>
          <w:docPart w:val="GBC22222222222222222222222222222"/>
        </w:placeholder>
      </w:sdtPr>
      <w:sdtContent>
        <w:p w14:paraId="048C029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A4D0141" w14:textId="66661AFA" w:rsidR="00577D08" w:rsidRDefault="00330FC0">
      <w:pPr>
        <w:pStyle w:val="aff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20171454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r w:rsidR="00CC5C32">
            <w:rPr>
              <w:szCs w:val="21"/>
            </w:rPr>
            <w:t xml:space="preserve"> </w:t>
          </w:r>
        </w:sdtContent>
      </w:sdt>
      <w:r>
        <w:rPr>
          <w:rFonts w:hint="eastAsia"/>
          <w:szCs w:val="21"/>
        </w:rPr>
        <w:t>币种：</w:t>
      </w:r>
      <w:sdt>
        <w:sdtPr>
          <w:rPr>
            <w:rFonts w:hint="eastAsia"/>
            <w:szCs w:val="21"/>
          </w:rPr>
          <w:alias w:val="币种：财务附注：应收账款按种类披露"/>
          <w:tag w:val="_GBC_45ed90b2e73740bfa8c1f5d7d12ff35e"/>
          <w:id w:val="-19183217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686"/>
        <w:gridCol w:w="794"/>
        <w:gridCol w:w="1529"/>
        <w:gridCol w:w="689"/>
        <w:gridCol w:w="1686"/>
        <w:gridCol w:w="1686"/>
        <w:gridCol w:w="794"/>
        <w:gridCol w:w="1529"/>
        <w:gridCol w:w="689"/>
        <w:gridCol w:w="1686"/>
      </w:tblGrid>
      <w:tr w:rsidR="00577D08" w14:paraId="0037A788" w14:textId="77777777">
        <w:trPr>
          <w:cantSplit/>
          <w:trHeight w:val="259"/>
        </w:trPr>
        <w:sdt>
          <w:sdtPr>
            <w:tag w:val="_PLD_f8d5a19b9b724da98e30475a6df20be9"/>
            <w:id w:val="515509347"/>
          </w:sdtPr>
          <w:sdtContent>
            <w:tc>
              <w:tcPr>
                <w:tcW w:w="543" w:type="pct"/>
                <w:vMerge w:val="restart"/>
                <w:tcBorders>
                  <w:top w:val="single" w:sz="4" w:space="0" w:color="auto"/>
                  <w:left w:val="single" w:sz="4" w:space="0" w:color="auto"/>
                  <w:right w:val="single" w:sz="4" w:space="0" w:color="auto"/>
                </w:tcBorders>
                <w:vAlign w:val="center"/>
              </w:tcPr>
              <w:p w14:paraId="4735C147" w14:textId="77777777" w:rsidR="00577D08" w:rsidRDefault="00330FC0">
                <w:pPr>
                  <w:jc w:val="center"/>
                </w:pPr>
                <w:r>
                  <w:rPr>
                    <w:rFonts w:hint="eastAsia"/>
                  </w:rPr>
                  <w:t>类别</w:t>
                </w:r>
              </w:p>
            </w:tc>
          </w:sdtContent>
        </w:sdt>
        <w:sdt>
          <w:sdtPr>
            <w:tag w:val="_PLD_8e6cd64a5cc84d259bab748be3f49169"/>
            <w:id w:val="1910649955"/>
          </w:sdtPr>
          <w:sdtContent>
            <w:tc>
              <w:tcPr>
                <w:tcW w:w="2228" w:type="pct"/>
                <w:gridSpan w:val="5"/>
                <w:tcBorders>
                  <w:top w:val="single" w:sz="4" w:space="0" w:color="auto"/>
                  <w:left w:val="single" w:sz="4" w:space="0" w:color="auto"/>
                  <w:right w:val="single" w:sz="4" w:space="0" w:color="auto"/>
                </w:tcBorders>
                <w:vAlign w:val="center"/>
              </w:tcPr>
              <w:p w14:paraId="74449024"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f3718624b866493ab3b8d8edadf10560"/>
            <w:id w:val="13514217"/>
          </w:sdtPr>
          <w:sdtContent>
            <w:tc>
              <w:tcPr>
                <w:tcW w:w="2229" w:type="pct"/>
                <w:gridSpan w:val="5"/>
                <w:tcBorders>
                  <w:top w:val="single" w:sz="4" w:space="0" w:color="auto"/>
                  <w:left w:val="single" w:sz="4" w:space="0" w:color="auto"/>
                  <w:right w:val="single" w:sz="4" w:space="0" w:color="auto"/>
                </w:tcBorders>
                <w:vAlign w:val="center"/>
              </w:tcPr>
              <w:p w14:paraId="055A9CA2"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1672BF03" w14:textId="77777777">
        <w:trPr>
          <w:cantSplit/>
          <w:trHeight w:val="227"/>
        </w:trPr>
        <w:tc>
          <w:tcPr>
            <w:tcW w:w="543" w:type="pct"/>
            <w:vMerge/>
            <w:tcBorders>
              <w:left w:val="single" w:sz="4" w:space="0" w:color="auto"/>
              <w:right w:val="single" w:sz="4" w:space="0" w:color="auto"/>
            </w:tcBorders>
            <w:vAlign w:val="center"/>
          </w:tcPr>
          <w:p w14:paraId="7222B41E" w14:textId="77777777" w:rsidR="00577D08" w:rsidRDefault="00577D08"/>
        </w:tc>
        <w:sdt>
          <w:sdtPr>
            <w:tag w:val="_PLD_696c52ce758e49deb616a7fb8df8ee20"/>
            <w:id w:val="-2106566020"/>
          </w:sdtPr>
          <w:sdtContent>
            <w:tc>
              <w:tcPr>
                <w:tcW w:w="843" w:type="pct"/>
                <w:gridSpan w:val="2"/>
                <w:tcBorders>
                  <w:top w:val="single" w:sz="4" w:space="0" w:color="auto"/>
                  <w:left w:val="single" w:sz="4" w:space="0" w:color="auto"/>
                  <w:bottom w:val="single" w:sz="4" w:space="0" w:color="auto"/>
                  <w:right w:val="single" w:sz="4" w:space="0" w:color="auto"/>
                </w:tcBorders>
                <w:vAlign w:val="center"/>
              </w:tcPr>
              <w:p w14:paraId="3864C714" w14:textId="77777777" w:rsidR="00577D08" w:rsidRDefault="00330FC0">
                <w:pPr>
                  <w:jc w:val="center"/>
                </w:pPr>
                <w:r>
                  <w:rPr>
                    <w:rFonts w:hint="eastAsia"/>
                  </w:rPr>
                  <w:t>账面余额</w:t>
                </w:r>
              </w:p>
            </w:tc>
          </w:sdtContent>
        </w:sdt>
        <w:sdt>
          <w:sdtPr>
            <w:tag w:val="_PLD_1ca261fa1763424688ba2be8550f43e1"/>
            <w:id w:val="-1894572507"/>
          </w:sdtPr>
          <w:sdtContent>
            <w:tc>
              <w:tcPr>
                <w:tcW w:w="787" w:type="pct"/>
                <w:gridSpan w:val="2"/>
                <w:tcBorders>
                  <w:top w:val="single" w:sz="4" w:space="0" w:color="auto"/>
                  <w:left w:val="single" w:sz="4" w:space="0" w:color="auto"/>
                  <w:bottom w:val="single" w:sz="4" w:space="0" w:color="auto"/>
                  <w:right w:val="single" w:sz="4" w:space="0" w:color="auto"/>
                </w:tcBorders>
                <w:vAlign w:val="center"/>
              </w:tcPr>
              <w:p w14:paraId="0D362CF3" w14:textId="77777777" w:rsidR="00577D08" w:rsidRDefault="00330FC0">
                <w:pPr>
                  <w:jc w:val="center"/>
                </w:pPr>
                <w:r>
                  <w:rPr>
                    <w:rFonts w:hint="eastAsia"/>
                  </w:rPr>
                  <w:t>坏账准备</w:t>
                </w:r>
              </w:p>
            </w:tc>
          </w:sdtContent>
        </w:sdt>
        <w:sdt>
          <w:sdtPr>
            <w:tag w:val="_PLD_caaf7fb85a4a432890635f2eb9c38cd5"/>
            <w:id w:val="-1247801642"/>
          </w:sdtPr>
          <w:sdtContent>
            <w:tc>
              <w:tcPr>
                <w:tcW w:w="598" w:type="pct"/>
                <w:vMerge w:val="restart"/>
                <w:tcBorders>
                  <w:top w:val="single" w:sz="4" w:space="0" w:color="auto"/>
                  <w:left w:val="single" w:sz="4" w:space="0" w:color="auto"/>
                  <w:right w:val="single" w:sz="4" w:space="0" w:color="auto"/>
                </w:tcBorders>
                <w:vAlign w:val="center"/>
              </w:tcPr>
              <w:p w14:paraId="72672238" w14:textId="77777777" w:rsidR="00577D08" w:rsidRDefault="00330FC0">
                <w:pPr>
                  <w:jc w:val="center"/>
                </w:pPr>
                <w:r>
                  <w:rPr>
                    <w:rFonts w:hint="eastAsia"/>
                  </w:rPr>
                  <w:t>账面</w:t>
                </w:r>
              </w:p>
              <w:p w14:paraId="7998A42B" w14:textId="77777777" w:rsidR="00577D08" w:rsidRDefault="00330FC0">
                <w:pPr>
                  <w:jc w:val="center"/>
                </w:pPr>
                <w:r>
                  <w:rPr>
                    <w:rFonts w:hint="eastAsia"/>
                  </w:rPr>
                  <w:t>价值</w:t>
                </w:r>
              </w:p>
            </w:tc>
          </w:sdtContent>
        </w:sdt>
        <w:sdt>
          <w:sdtPr>
            <w:tag w:val="_PLD_f01498a5d6634d7ab63dd393e266902a"/>
            <w:id w:val="1690566932"/>
          </w:sdtPr>
          <w:sdtContent>
            <w:tc>
              <w:tcPr>
                <w:tcW w:w="843" w:type="pct"/>
                <w:gridSpan w:val="2"/>
                <w:tcBorders>
                  <w:top w:val="single" w:sz="4" w:space="0" w:color="auto"/>
                  <w:left w:val="single" w:sz="4" w:space="0" w:color="auto"/>
                  <w:right w:val="single" w:sz="4" w:space="0" w:color="auto"/>
                </w:tcBorders>
                <w:vAlign w:val="center"/>
              </w:tcPr>
              <w:p w14:paraId="6FDF0020" w14:textId="77777777" w:rsidR="00577D08" w:rsidRDefault="00330FC0">
                <w:pPr>
                  <w:jc w:val="center"/>
                </w:pPr>
                <w:r>
                  <w:rPr>
                    <w:rFonts w:hint="eastAsia"/>
                  </w:rPr>
                  <w:t>账面余额</w:t>
                </w:r>
              </w:p>
            </w:tc>
          </w:sdtContent>
        </w:sdt>
        <w:sdt>
          <w:sdtPr>
            <w:tag w:val="_PLD_e9336373677a4e1781b6e81f705c1bec"/>
            <w:id w:val="-1393731662"/>
          </w:sdtPr>
          <w:sdtContent>
            <w:tc>
              <w:tcPr>
                <w:tcW w:w="788" w:type="pct"/>
                <w:gridSpan w:val="2"/>
                <w:tcBorders>
                  <w:top w:val="single" w:sz="4" w:space="0" w:color="auto"/>
                  <w:left w:val="single" w:sz="4" w:space="0" w:color="auto"/>
                  <w:right w:val="single" w:sz="4" w:space="0" w:color="auto"/>
                </w:tcBorders>
                <w:vAlign w:val="center"/>
              </w:tcPr>
              <w:p w14:paraId="5914CB3A" w14:textId="77777777" w:rsidR="00577D08" w:rsidRDefault="00330FC0">
                <w:pPr>
                  <w:jc w:val="center"/>
                </w:pPr>
                <w:r>
                  <w:rPr>
                    <w:rFonts w:hint="eastAsia"/>
                  </w:rPr>
                  <w:t>坏账准备</w:t>
                </w:r>
              </w:p>
            </w:tc>
          </w:sdtContent>
        </w:sdt>
        <w:sdt>
          <w:sdtPr>
            <w:tag w:val="_PLD_09bacc527e7b4910a0c82606fe4a5754"/>
            <w:id w:val="-1427873467"/>
          </w:sdtPr>
          <w:sdtContent>
            <w:tc>
              <w:tcPr>
                <w:tcW w:w="598" w:type="pct"/>
                <w:vMerge w:val="restart"/>
                <w:tcBorders>
                  <w:top w:val="single" w:sz="4" w:space="0" w:color="auto"/>
                  <w:left w:val="single" w:sz="4" w:space="0" w:color="auto"/>
                  <w:right w:val="single" w:sz="4" w:space="0" w:color="auto"/>
                </w:tcBorders>
                <w:vAlign w:val="center"/>
              </w:tcPr>
              <w:p w14:paraId="0DC556CD" w14:textId="77777777" w:rsidR="00577D08" w:rsidRDefault="00330FC0">
                <w:pPr>
                  <w:jc w:val="center"/>
                </w:pPr>
                <w:r>
                  <w:rPr>
                    <w:rFonts w:hint="eastAsia"/>
                  </w:rPr>
                  <w:t>账面</w:t>
                </w:r>
              </w:p>
              <w:p w14:paraId="669FAB12" w14:textId="77777777" w:rsidR="00577D08" w:rsidRDefault="00330FC0">
                <w:pPr>
                  <w:jc w:val="center"/>
                </w:pPr>
                <w:r>
                  <w:rPr>
                    <w:rFonts w:hint="eastAsia"/>
                  </w:rPr>
                  <w:t>价值</w:t>
                </w:r>
              </w:p>
            </w:tc>
          </w:sdtContent>
        </w:sdt>
      </w:tr>
      <w:tr w:rsidR="00577D08" w14:paraId="0D38D66A" w14:textId="77777777">
        <w:trPr>
          <w:cantSplit/>
          <w:trHeight w:val="375"/>
        </w:trPr>
        <w:tc>
          <w:tcPr>
            <w:tcW w:w="543" w:type="pct"/>
            <w:vMerge/>
            <w:tcBorders>
              <w:left w:val="single" w:sz="4" w:space="0" w:color="auto"/>
              <w:bottom w:val="single" w:sz="4" w:space="0" w:color="auto"/>
              <w:right w:val="single" w:sz="4" w:space="0" w:color="auto"/>
            </w:tcBorders>
            <w:vAlign w:val="center"/>
          </w:tcPr>
          <w:p w14:paraId="4B169807" w14:textId="77777777" w:rsidR="00577D08" w:rsidRDefault="00577D08"/>
        </w:tc>
        <w:sdt>
          <w:sdtPr>
            <w:tag w:val="_PLD_9a908e63a38c4885ae2f80c1b860b93a"/>
            <w:id w:val="-598716643"/>
          </w:sdtPr>
          <w:sdtContent>
            <w:tc>
              <w:tcPr>
                <w:tcW w:w="598" w:type="pct"/>
                <w:tcBorders>
                  <w:left w:val="single" w:sz="4" w:space="0" w:color="auto"/>
                  <w:bottom w:val="single" w:sz="4" w:space="0" w:color="auto"/>
                  <w:right w:val="single" w:sz="4" w:space="0" w:color="auto"/>
                </w:tcBorders>
                <w:vAlign w:val="center"/>
              </w:tcPr>
              <w:p w14:paraId="3CD31863" w14:textId="77777777" w:rsidR="00577D08" w:rsidRDefault="00330FC0">
                <w:pPr>
                  <w:jc w:val="center"/>
                </w:pPr>
                <w:r>
                  <w:rPr>
                    <w:rFonts w:hint="eastAsia"/>
                  </w:rPr>
                  <w:t>金额</w:t>
                </w:r>
              </w:p>
            </w:tc>
          </w:sdtContent>
        </w:sdt>
        <w:sdt>
          <w:sdtPr>
            <w:tag w:val="_PLD_df211ff0344e48aa8266bff852c13d4a"/>
            <w:id w:val="1789862667"/>
          </w:sdtPr>
          <w:sdtContent>
            <w:tc>
              <w:tcPr>
                <w:tcW w:w="245" w:type="pct"/>
                <w:tcBorders>
                  <w:left w:val="single" w:sz="4" w:space="0" w:color="auto"/>
                  <w:bottom w:val="single" w:sz="4" w:space="0" w:color="auto"/>
                  <w:right w:val="single" w:sz="4" w:space="0" w:color="auto"/>
                </w:tcBorders>
                <w:vAlign w:val="center"/>
              </w:tcPr>
              <w:p w14:paraId="095B71A0" w14:textId="77777777" w:rsidR="00577D08" w:rsidRDefault="00330FC0">
                <w:pPr>
                  <w:jc w:val="center"/>
                </w:pPr>
                <w:r>
                  <w:rPr>
                    <w:rFonts w:hint="eastAsia"/>
                  </w:rPr>
                  <w:t>比例</w:t>
                </w:r>
                <w:r>
                  <w:t>(%)</w:t>
                </w:r>
              </w:p>
            </w:tc>
          </w:sdtContent>
        </w:sdt>
        <w:sdt>
          <w:sdtPr>
            <w:tag w:val="_PLD_bc7278fbd5c542a3abfb9a55090a49e0"/>
            <w:id w:val="-1347092909"/>
          </w:sdtPr>
          <w:sdtContent>
            <w:tc>
              <w:tcPr>
                <w:tcW w:w="543" w:type="pct"/>
                <w:tcBorders>
                  <w:left w:val="single" w:sz="4" w:space="0" w:color="auto"/>
                  <w:bottom w:val="single" w:sz="4" w:space="0" w:color="auto"/>
                  <w:right w:val="single" w:sz="4" w:space="0" w:color="auto"/>
                </w:tcBorders>
                <w:vAlign w:val="center"/>
              </w:tcPr>
              <w:p w14:paraId="1422AA92" w14:textId="77777777" w:rsidR="00577D08" w:rsidRDefault="00330FC0">
                <w:pPr>
                  <w:jc w:val="center"/>
                </w:pPr>
                <w:r>
                  <w:rPr>
                    <w:rFonts w:hint="eastAsia"/>
                  </w:rPr>
                  <w:t>金额</w:t>
                </w:r>
              </w:p>
            </w:tc>
          </w:sdtContent>
        </w:sdt>
        <w:sdt>
          <w:sdtPr>
            <w:tag w:val="_PLD_98f107e07b5b44938d61d6b0984d9e2b"/>
            <w:id w:val="357398145"/>
          </w:sdtPr>
          <w:sdtContent>
            <w:tc>
              <w:tcPr>
                <w:tcW w:w="245" w:type="pct"/>
                <w:tcBorders>
                  <w:left w:val="single" w:sz="4" w:space="0" w:color="auto"/>
                  <w:bottom w:val="single" w:sz="4" w:space="0" w:color="auto"/>
                  <w:right w:val="single" w:sz="4" w:space="0" w:color="auto"/>
                </w:tcBorders>
                <w:vAlign w:val="center"/>
              </w:tcPr>
              <w:p w14:paraId="10F6534C" w14:textId="77777777" w:rsidR="00577D08" w:rsidRDefault="00330FC0">
                <w:pPr>
                  <w:jc w:val="center"/>
                </w:pPr>
                <w:r>
                  <w:rPr>
                    <w:rFonts w:hint="eastAsia"/>
                  </w:rPr>
                  <w:t>计提比例</w:t>
                </w:r>
                <w:r>
                  <w:t>(%)</w:t>
                </w:r>
              </w:p>
            </w:tc>
          </w:sdtContent>
        </w:sdt>
        <w:tc>
          <w:tcPr>
            <w:tcW w:w="598" w:type="pct"/>
            <w:vMerge/>
            <w:tcBorders>
              <w:left w:val="single" w:sz="4" w:space="0" w:color="auto"/>
              <w:bottom w:val="single" w:sz="4" w:space="0" w:color="auto"/>
              <w:right w:val="single" w:sz="4" w:space="0" w:color="auto"/>
            </w:tcBorders>
            <w:vAlign w:val="center"/>
          </w:tcPr>
          <w:p w14:paraId="54E63D2F" w14:textId="77777777" w:rsidR="00577D08" w:rsidRDefault="00577D08">
            <w:pPr>
              <w:jc w:val="center"/>
            </w:pPr>
          </w:p>
        </w:tc>
        <w:sdt>
          <w:sdtPr>
            <w:tag w:val="_PLD_27c35a851bfc461b93652bdd1c4da46e"/>
            <w:id w:val="-1888251318"/>
          </w:sdtPr>
          <w:sdtContent>
            <w:tc>
              <w:tcPr>
                <w:tcW w:w="598" w:type="pct"/>
                <w:tcBorders>
                  <w:left w:val="single" w:sz="4" w:space="0" w:color="auto"/>
                  <w:bottom w:val="single" w:sz="4" w:space="0" w:color="auto"/>
                  <w:right w:val="single" w:sz="4" w:space="0" w:color="auto"/>
                </w:tcBorders>
                <w:vAlign w:val="center"/>
              </w:tcPr>
              <w:p w14:paraId="1FC62538" w14:textId="77777777" w:rsidR="00577D08" w:rsidRDefault="00330FC0">
                <w:pPr>
                  <w:jc w:val="center"/>
                </w:pPr>
                <w:r>
                  <w:rPr>
                    <w:rFonts w:hint="eastAsia"/>
                  </w:rPr>
                  <w:t>金额</w:t>
                </w:r>
              </w:p>
            </w:tc>
          </w:sdtContent>
        </w:sdt>
        <w:sdt>
          <w:sdtPr>
            <w:tag w:val="_PLD_8cdcb4d0cfc74ea299eeda00998b7eed"/>
            <w:id w:val="-1917395410"/>
          </w:sdtPr>
          <w:sdtContent>
            <w:tc>
              <w:tcPr>
                <w:tcW w:w="245" w:type="pct"/>
                <w:tcBorders>
                  <w:left w:val="single" w:sz="4" w:space="0" w:color="auto"/>
                  <w:bottom w:val="single" w:sz="4" w:space="0" w:color="auto"/>
                  <w:right w:val="single" w:sz="4" w:space="0" w:color="auto"/>
                </w:tcBorders>
                <w:vAlign w:val="center"/>
              </w:tcPr>
              <w:p w14:paraId="0F8E9376" w14:textId="77777777" w:rsidR="00577D08" w:rsidRDefault="00330FC0">
                <w:pPr>
                  <w:jc w:val="center"/>
                </w:pPr>
                <w:r>
                  <w:rPr>
                    <w:rFonts w:hint="eastAsia"/>
                  </w:rPr>
                  <w:t>比例</w:t>
                </w:r>
                <w:r>
                  <w:t>(%)</w:t>
                </w:r>
              </w:p>
            </w:tc>
          </w:sdtContent>
        </w:sdt>
        <w:sdt>
          <w:sdtPr>
            <w:tag w:val="_PLD_205ec069d7004eaba20d3af25a7dfeda"/>
            <w:id w:val="-134419324"/>
          </w:sdtPr>
          <w:sdtContent>
            <w:tc>
              <w:tcPr>
                <w:tcW w:w="543" w:type="pct"/>
                <w:tcBorders>
                  <w:left w:val="single" w:sz="4" w:space="0" w:color="auto"/>
                  <w:bottom w:val="single" w:sz="4" w:space="0" w:color="auto"/>
                  <w:right w:val="single" w:sz="4" w:space="0" w:color="auto"/>
                </w:tcBorders>
                <w:vAlign w:val="center"/>
              </w:tcPr>
              <w:p w14:paraId="6BBBDF98" w14:textId="77777777" w:rsidR="00577D08" w:rsidRDefault="00330FC0">
                <w:pPr>
                  <w:jc w:val="center"/>
                </w:pPr>
                <w:r>
                  <w:rPr>
                    <w:rFonts w:hint="eastAsia"/>
                  </w:rPr>
                  <w:t>金额</w:t>
                </w:r>
              </w:p>
            </w:tc>
          </w:sdtContent>
        </w:sdt>
        <w:sdt>
          <w:sdtPr>
            <w:tag w:val="_PLD_cee6517bce154e26a5f2a917cc143a54"/>
            <w:id w:val="-205414233"/>
          </w:sdtPr>
          <w:sdtContent>
            <w:tc>
              <w:tcPr>
                <w:tcW w:w="245" w:type="pct"/>
                <w:tcBorders>
                  <w:left w:val="single" w:sz="4" w:space="0" w:color="auto"/>
                  <w:bottom w:val="single" w:sz="4" w:space="0" w:color="auto"/>
                  <w:right w:val="single" w:sz="4" w:space="0" w:color="auto"/>
                </w:tcBorders>
                <w:vAlign w:val="center"/>
              </w:tcPr>
              <w:p w14:paraId="217DC03C" w14:textId="77777777" w:rsidR="00577D08" w:rsidRDefault="00330FC0">
                <w:pPr>
                  <w:jc w:val="center"/>
                </w:pPr>
                <w:r>
                  <w:rPr>
                    <w:rFonts w:hint="eastAsia"/>
                  </w:rPr>
                  <w:t>计提比例</w:t>
                </w:r>
                <w:r>
                  <w:t>(%)</w:t>
                </w:r>
              </w:p>
            </w:tc>
          </w:sdtContent>
        </w:sdt>
        <w:tc>
          <w:tcPr>
            <w:tcW w:w="598" w:type="pct"/>
            <w:vMerge/>
            <w:tcBorders>
              <w:left w:val="single" w:sz="4" w:space="0" w:color="auto"/>
              <w:bottom w:val="single" w:sz="4" w:space="0" w:color="auto"/>
              <w:right w:val="single" w:sz="4" w:space="0" w:color="auto"/>
            </w:tcBorders>
            <w:vAlign w:val="center"/>
          </w:tcPr>
          <w:p w14:paraId="70447491" w14:textId="77777777" w:rsidR="00577D08" w:rsidRDefault="00577D08">
            <w:pPr>
              <w:jc w:val="center"/>
            </w:pPr>
          </w:p>
        </w:tc>
      </w:tr>
      <w:tr w:rsidR="00577D08" w14:paraId="076EF54B" w14:textId="77777777">
        <w:trPr>
          <w:cantSplit/>
        </w:trPr>
        <w:tc>
          <w:tcPr>
            <w:tcW w:w="543" w:type="pct"/>
            <w:tcBorders>
              <w:top w:val="single" w:sz="4" w:space="0" w:color="auto"/>
              <w:left w:val="single" w:sz="4" w:space="0" w:color="auto"/>
              <w:bottom w:val="single" w:sz="4" w:space="0" w:color="auto"/>
              <w:right w:val="single" w:sz="4" w:space="0" w:color="auto"/>
            </w:tcBorders>
            <w:vAlign w:val="center"/>
          </w:tcPr>
          <w:p w14:paraId="58865E2C" w14:textId="77777777" w:rsidR="00577D08" w:rsidRDefault="00330FC0">
            <w:r>
              <w:rPr>
                <w:rFonts w:hint="eastAsia"/>
              </w:rPr>
              <w:t>按单项计提坏账准备</w:t>
            </w:r>
          </w:p>
        </w:tc>
        <w:tc>
          <w:tcPr>
            <w:tcW w:w="598" w:type="pct"/>
            <w:tcBorders>
              <w:top w:val="single" w:sz="4" w:space="0" w:color="auto"/>
              <w:left w:val="single" w:sz="4" w:space="0" w:color="auto"/>
              <w:bottom w:val="single" w:sz="4" w:space="0" w:color="auto"/>
              <w:right w:val="single" w:sz="4" w:space="0" w:color="auto"/>
            </w:tcBorders>
            <w:vAlign w:val="center"/>
          </w:tcPr>
          <w:p w14:paraId="35D7AAA2" w14:textId="77777777" w:rsidR="00577D08" w:rsidRDefault="00330FC0">
            <w:pPr>
              <w:jc w:val="right"/>
            </w:pPr>
            <w:r>
              <w:t>37,740,798.51</w:t>
            </w:r>
          </w:p>
        </w:tc>
        <w:tc>
          <w:tcPr>
            <w:tcW w:w="245" w:type="pct"/>
            <w:tcBorders>
              <w:top w:val="single" w:sz="4" w:space="0" w:color="auto"/>
              <w:left w:val="single" w:sz="4" w:space="0" w:color="auto"/>
              <w:bottom w:val="single" w:sz="4" w:space="0" w:color="auto"/>
              <w:right w:val="single" w:sz="4" w:space="0" w:color="auto"/>
            </w:tcBorders>
            <w:vAlign w:val="center"/>
          </w:tcPr>
          <w:p w14:paraId="2DB9CADD" w14:textId="77777777" w:rsidR="00577D08" w:rsidRDefault="00330FC0">
            <w:pPr>
              <w:jc w:val="right"/>
            </w:pPr>
            <w:r>
              <w:t>1.73</w:t>
            </w:r>
          </w:p>
        </w:tc>
        <w:tc>
          <w:tcPr>
            <w:tcW w:w="543" w:type="pct"/>
            <w:tcBorders>
              <w:top w:val="single" w:sz="4" w:space="0" w:color="auto"/>
              <w:left w:val="single" w:sz="4" w:space="0" w:color="auto"/>
              <w:bottom w:val="single" w:sz="4" w:space="0" w:color="auto"/>
              <w:right w:val="single" w:sz="4" w:space="0" w:color="auto"/>
            </w:tcBorders>
            <w:vAlign w:val="center"/>
          </w:tcPr>
          <w:p w14:paraId="4BA85B19" w14:textId="77777777" w:rsidR="00577D08" w:rsidRDefault="00330FC0">
            <w:pPr>
              <w:jc w:val="right"/>
            </w:pPr>
            <w:r>
              <w:t>32,189,244.05</w:t>
            </w:r>
          </w:p>
        </w:tc>
        <w:tc>
          <w:tcPr>
            <w:tcW w:w="245" w:type="pct"/>
            <w:tcBorders>
              <w:top w:val="single" w:sz="4" w:space="0" w:color="auto"/>
              <w:left w:val="single" w:sz="4" w:space="0" w:color="auto"/>
              <w:bottom w:val="single" w:sz="4" w:space="0" w:color="auto"/>
              <w:right w:val="single" w:sz="4" w:space="0" w:color="auto"/>
            </w:tcBorders>
            <w:vAlign w:val="center"/>
          </w:tcPr>
          <w:p w14:paraId="14BBAD9E" w14:textId="77777777" w:rsidR="00577D08" w:rsidRDefault="00330FC0">
            <w:pPr>
              <w:jc w:val="right"/>
            </w:pPr>
            <w:r>
              <w:t>85.29</w:t>
            </w:r>
          </w:p>
        </w:tc>
        <w:tc>
          <w:tcPr>
            <w:tcW w:w="598" w:type="pct"/>
            <w:tcBorders>
              <w:top w:val="single" w:sz="4" w:space="0" w:color="auto"/>
              <w:left w:val="single" w:sz="4" w:space="0" w:color="auto"/>
              <w:bottom w:val="single" w:sz="4" w:space="0" w:color="auto"/>
              <w:right w:val="single" w:sz="4" w:space="0" w:color="auto"/>
            </w:tcBorders>
            <w:vAlign w:val="center"/>
          </w:tcPr>
          <w:p w14:paraId="7F005093" w14:textId="77777777" w:rsidR="00577D08" w:rsidRDefault="00330FC0">
            <w:pPr>
              <w:jc w:val="right"/>
            </w:pPr>
            <w:r>
              <w:t>5,551,554.46</w:t>
            </w:r>
          </w:p>
        </w:tc>
        <w:tc>
          <w:tcPr>
            <w:tcW w:w="598" w:type="pct"/>
            <w:tcBorders>
              <w:top w:val="single" w:sz="4" w:space="0" w:color="auto"/>
              <w:left w:val="single" w:sz="4" w:space="0" w:color="auto"/>
              <w:bottom w:val="single" w:sz="4" w:space="0" w:color="auto"/>
              <w:right w:val="single" w:sz="4" w:space="0" w:color="auto"/>
            </w:tcBorders>
            <w:vAlign w:val="center"/>
          </w:tcPr>
          <w:p w14:paraId="4A2010DC" w14:textId="77777777" w:rsidR="00577D08" w:rsidRDefault="00330FC0">
            <w:pPr>
              <w:jc w:val="right"/>
            </w:pPr>
            <w:r>
              <w:t>39,221,299.65</w:t>
            </w:r>
          </w:p>
        </w:tc>
        <w:tc>
          <w:tcPr>
            <w:tcW w:w="245" w:type="pct"/>
            <w:tcBorders>
              <w:top w:val="single" w:sz="4" w:space="0" w:color="auto"/>
              <w:left w:val="single" w:sz="4" w:space="0" w:color="auto"/>
              <w:bottom w:val="single" w:sz="4" w:space="0" w:color="auto"/>
              <w:right w:val="single" w:sz="4" w:space="0" w:color="auto"/>
            </w:tcBorders>
            <w:vAlign w:val="center"/>
          </w:tcPr>
          <w:p w14:paraId="4B33B2B2" w14:textId="77777777" w:rsidR="00577D08" w:rsidRDefault="00330FC0">
            <w:pPr>
              <w:jc w:val="right"/>
            </w:pPr>
            <w:r>
              <w:t>2.15</w:t>
            </w:r>
          </w:p>
        </w:tc>
        <w:tc>
          <w:tcPr>
            <w:tcW w:w="543" w:type="pct"/>
            <w:tcBorders>
              <w:top w:val="single" w:sz="4" w:space="0" w:color="auto"/>
              <w:left w:val="single" w:sz="4" w:space="0" w:color="auto"/>
              <w:bottom w:val="single" w:sz="4" w:space="0" w:color="auto"/>
              <w:right w:val="single" w:sz="4" w:space="0" w:color="auto"/>
            </w:tcBorders>
            <w:vAlign w:val="center"/>
          </w:tcPr>
          <w:p w14:paraId="195B2A49" w14:textId="77777777" w:rsidR="00577D08" w:rsidRDefault="00330FC0">
            <w:pPr>
              <w:jc w:val="right"/>
            </w:pPr>
            <w:r>
              <w:t>29,124,723.07</w:t>
            </w:r>
          </w:p>
        </w:tc>
        <w:tc>
          <w:tcPr>
            <w:tcW w:w="245" w:type="pct"/>
            <w:tcBorders>
              <w:top w:val="single" w:sz="4" w:space="0" w:color="auto"/>
              <w:left w:val="single" w:sz="4" w:space="0" w:color="auto"/>
              <w:bottom w:val="single" w:sz="4" w:space="0" w:color="auto"/>
              <w:right w:val="single" w:sz="4" w:space="0" w:color="auto"/>
            </w:tcBorders>
            <w:vAlign w:val="center"/>
          </w:tcPr>
          <w:p w14:paraId="59720145" w14:textId="77777777" w:rsidR="00577D08" w:rsidRDefault="00330FC0">
            <w:pPr>
              <w:jc w:val="right"/>
            </w:pPr>
            <w:r>
              <w:t>74.26</w:t>
            </w:r>
          </w:p>
        </w:tc>
        <w:tc>
          <w:tcPr>
            <w:tcW w:w="598" w:type="pct"/>
            <w:tcBorders>
              <w:top w:val="single" w:sz="4" w:space="0" w:color="auto"/>
              <w:left w:val="single" w:sz="4" w:space="0" w:color="auto"/>
              <w:bottom w:val="single" w:sz="4" w:space="0" w:color="auto"/>
              <w:right w:val="single" w:sz="4" w:space="0" w:color="auto"/>
            </w:tcBorders>
            <w:vAlign w:val="center"/>
          </w:tcPr>
          <w:p w14:paraId="05A78A3D" w14:textId="77777777" w:rsidR="00577D08" w:rsidRDefault="00330FC0">
            <w:pPr>
              <w:jc w:val="right"/>
            </w:pPr>
            <w:r>
              <w:t>10,096,576.58</w:t>
            </w:r>
          </w:p>
        </w:tc>
      </w:tr>
      <w:tr w:rsidR="00577D08" w14:paraId="0DECE733" w14:textId="77777777">
        <w:trPr>
          <w:cantSplit/>
        </w:trPr>
        <w:sdt>
          <w:sdtPr>
            <w:tag w:val="_PLD_2843924a07e24276b2592afce851b5fd"/>
            <w:id w:val="-2059460249"/>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46C4FB63" w14:textId="77777777" w:rsidR="00577D08" w:rsidRDefault="00330FC0">
                <w:r>
                  <w:rPr>
                    <w:rFonts w:hint="eastAsia"/>
                  </w:rPr>
                  <w:t>其中：</w:t>
                </w:r>
              </w:p>
            </w:tc>
          </w:sdtContent>
        </w:sdt>
      </w:tr>
      <w:tr w:rsidR="00577D08" w14:paraId="48E28DC1" w14:textId="77777777">
        <w:trPr>
          <w:cantSplit/>
        </w:trPr>
        <w:tc>
          <w:tcPr>
            <w:tcW w:w="543" w:type="pct"/>
            <w:tcBorders>
              <w:top w:val="single" w:sz="4" w:space="0" w:color="auto"/>
              <w:left w:val="single" w:sz="4" w:space="0" w:color="auto"/>
              <w:bottom w:val="single" w:sz="4" w:space="0" w:color="auto"/>
              <w:right w:val="single" w:sz="4" w:space="0" w:color="auto"/>
            </w:tcBorders>
            <w:vAlign w:val="center"/>
          </w:tcPr>
          <w:p w14:paraId="546E4806" w14:textId="77777777" w:rsidR="00577D08" w:rsidRDefault="00330FC0">
            <w:r>
              <w:rPr>
                <w:rFonts w:hint="eastAsia"/>
              </w:rPr>
              <w:t>按组合计提坏账准备</w:t>
            </w:r>
          </w:p>
        </w:tc>
        <w:tc>
          <w:tcPr>
            <w:tcW w:w="598" w:type="pct"/>
            <w:tcBorders>
              <w:top w:val="single" w:sz="4" w:space="0" w:color="auto"/>
              <w:left w:val="single" w:sz="4" w:space="0" w:color="auto"/>
              <w:bottom w:val="single" w:sz="4" w:space="0" w:color="auto"/>
              <w:right w:val="single" w:sz="4" w:space="0" w:color="auto"/>
            </w:tcBorders>
            <w:vAlign w:val="center"/>
          </w:tcPr>
          <w:p w14:paraId="25CDE65F" w14:textId="77777777" w:rsidR="00577D08" w:rsidRDefault="00330FC0">
            <w:pPr>
              <w:jc w:val="right"/>
            </w:pPr>
            <w:r>
              <w:t>2,146,282,529.48</w:t>
            </w:r>
          </w:p>
        </w:tc>
        <w:tc>
          <w:tcPr>
            <w:tcW w:w="245" w:type="pct"/>
            <w:tcBorders>
              <w:top w:val="single" w:sz="4" w:space="0" w:color="auto"/>
              <w:left w:val="single" w:sz="4" w:space="0" w:color="auto"/>
              <w:bottom w:val="single" w:sz="4" w:space="0" w:color="auto"/>
              <w:right w:val="single" w:sz="4" w:space="0" w:color="auto"/>
            </w:tcBorders>
            <w:vAlign w:val="center"/>
          </w:tcPr>
          <w:p w14:paraId="670B9C55" w14:textId="77777777" w:rsidR="00577D08" w:rsidRDefault="00330FC0">
            <w:pPr>
              <w:jc w:val="right"/>
            </w:pPr>
            <w:r>
              <w:t>98.27</w:t>
            </w:r>
          </w:p>
        </w:tc>
        <w:tc>
          <w:tcPr>
            <w:tcW w:w="543" w:type="pct"/>
            <w:tcBorders>
              <w:top w:val="single" w:sz="4" w:space="0" w:color="auto"/>
              <w:left w:val="single" w:sz="4" w:space="0" w:color="auto"/>
              <w:bottom w:val="single" w:sz="4" w:space="0" w:color="auto"/>
              <w:right w:val="single" w:sz="4" w:space="0" w:color="auto"/>
            </w:tcBorders>
            <w:vAlign w:val="center"/>
          </w:tcPr>
          <w:p w14:paraId="43795035" w14:textId="77777777" w:rsidR="00577D08" w:rsidRDefault="00330FC0">
            <w:pPr>
              <w:jc w:val="right"/>
            </w:pPr>
            <w:r>
              <w:t>181,623,446.69</w:t>
            </w:r>
          </w:p>
        </w:tc>
        <w:tc>
          <w:tcPr>
            <w:tcW w:w="245" w:type="pct"/>
            <w:tcBorders>
              <w:top w:val="single" w:sz="4" w:space="0" w:color="auto"/>
              <w:left w:val="single" w:sz="4" w:space="0" w:color="auto"/>
              <w:bottom w:val="single" w:sz="4" w:space="0" w:color="auto"/>
              <w:right w:val="single" w:sz="4" w:space="0" w:color="auto"/>
            </w:tcBorders>
            <w:vAlign w:val="center"/>
          </w:tcPr>
          <w:p w14:paraId="2006C73D" w14:textId="77777777" w:rsidR="00577D08" w:rsidRDefault="00330FC0">
            <w:pPr>
              <w:jc w:val="right"/>
            </w:pPr>
            <w:r>
              <w:t>8.46</w:t>
            </w:r>
          </w:p>
        </w:tc>
        <w:tc>
          <w:tcPr>
            <w:tcW w:w="598" w:type="pct"/>
            <w:tcBorders>
              <w:top w:val="single" w:sz="4" w:space="0" w:color="auto"/>
              <w:left w:val="single" w:sz="4" w:space="0" w:color="auto"/>
              <w:bottom w:val="single" w:sz="4" w:space="0" w:color="auto"/>
              <w:right w:val="single" w:sz="4" w:space="0" w:color="auto"/>
            </w:tcBorders>
            <w:vAlign w:val="center"/>
          </w:tcPr>
          <w:p w14:paraId="3F163BAA" w14:textId="77777777" w:rsidR="00577D08" w:rsidRDefault="00330FC0">
            <w:pPr>
              <w:jc w:val="right"/>
            </w:pPr>
            <w:r>
              <w:t>1,964,659,082.79</w:t>
            </w:r>
          </w:p>
        </w:tc>
        <w:tc>
          <w:tcPr>
            <w:tcW w:w="598" w:type="pct"/>
            <w:tcBorders>
              <w:top w:val="single" w:sz="4" w:space="0" w:color="auto"/>
              <w:left w:val="single" w:sz="4" w:space="0" w:color="auto"/>
              <w:bottom w:val="single" w:sz="4" w:space="0" w:color="auto"/>
              <w:right w:val="single" w:sz="4" w:space="0" w:color="auto"/>
            </w:tcBorders>
            <w:vAlign w:val="center"/>
          </w:tcPr>
          <w:p w14:paraId="52FBADB1" w14:textId="77777777" w:rsidR="00577D08" w:rsidRDefault="00330FC0">
            <w:pPr>
              <w:jc w:val="right"/>
            </w:pPr>
            <w:r>
              <w:t>1,786,413,608.72</w:t>
            </w:r>
          </w:p>
        </w:tc>
        <w:tc>
          <w:tcPr>
            <w:tcW w:w="245" w:type="pct"/>
            <w:tcBorders>
              <w:top w:val="single" w:sz="4" w:space="0" w:color="auto"/>
              <w:left w:val="single" w:sz="4" w:space="0" w:color="auto"/>
              <w:bottom w:val="single" w:sz="4" w:space="0" w:color="auto"/>
              <w:right w:val="single" w:sz="4" w:space="0" w:color="auto"/>
            </w:tcBorders>
            <w:vAlign w:val="center"/>
          </w:tcPr>
          <w:p w14:paraId="1C433D57" w14:textId="77777777" w:rsidR="00577D08" w:rsidRDefault="00330FC0">
            <w:pPr>
              <w:jc w:val="right"/>
            </w:pPr>
            <w:r>
              <w:t>97.85</w:t>
            </w:r>
          </w:p>
        </w:tc>
        <w:tc>
          <w:tcPr>
            <w:tcW w:w="543" w:type="pct"/>
            <w:tcBorders>
              <w:top w:val="single" w:sz="4" w:space="0" w:color="auto"/>
              <w:left w:val="single" w:sz="4" w:space="0" w:color="auto"/>
              <w:bottom w:val="single" w:sz="4" w:space="0" w:color="auto"/>
              <w:right w:val="single" w:sz="4" w:space="0" w:color="auto"/>
            </w:tcBorders>
            <w:vAlign w:val="center"/>
          </w:tcPr>
          <w:p w14:paraId="5A94E482" w14:textId="77777777" w:rsidR="00577D08" w:rsidRDefault="00330FC0">
            <w:pPr>
              <w:jc w:val="right"/>
            </w:pPr>
            <w:r>
              <w:t>154,494,941.81</w:t>
            </w:r>
          </w:p>
        </w:tc>
        <w:tc>
          <w:tcPr>
            <w:tcW w:w="245" w:type="pct"/>
            <w:tcBorders>
              <w:top w:val="single" w:sz="4" w:space="0" w:color="auto"/>
              <w:left w:val="single" w:sz="4" w:space="0" w:color="auto"/>
              <w:bottom w:val="single" w:sz="4" w:space="0" w:color="auto"/>
              <w:right w:val="single" w:sz="4" w:space="0" w:color="auto"/>
            </w:tcBorders>
            <w:vAlign w:val="center"/>
          </w:tcPr>
          <w:p w14:paraId="1D0F2805" w14:textId="77777777" w:rsidR="00577D08" w:rsidRDefault="00330FC0">
            <w:pPr>
              <w:jc w:val="right"/>
            </w:pPr>
            <w:r>
              <w:t>8.65</w:t>
            </w:r>
          </w:p>
        </w:tc>
        <w:tc>
          <w:tcPr>
            <w:tcW w:w="598" w:type="pct"/>
            <w:tcBorders>
              <w:top w:val="single" w:sz="4" w:space="0" w:color="auto"/>
              <w:left w:val="single" w:sz="4" w:space="0" w:color="auto"/>
              <w:bottom w:val="single" w:sz="4" w:space="0" w:color="auto"/>
              <w:right w:val="single" w:sz="4" w:space="0" w:color="auto"/>
            </w:tcBorders>
            <w:vAlign w:val="center"/>
          </w:tcPr>
          <w:p w14:paraId="697F04A8" w14:textId="77777777" w:rsidR="00577D08" w:rsidRDefault="00330FC0">
            <w:pPr>
              <w:jc w:val="right"/>
            </w:pPr>
            <w:r>
              <w:t>1,631,918,666.91</w:t>
            </w:r>
          </w:p>
        </w:tc>
      </w:tr>
      <w:tr w:rsidR="00577D08" w14:paraId="590EE569" w14:textId="77777777">
        <w:trPr>
          <w:cantSplit/>
        </w:trPr>
        <w:sdt>
          <w:sdtPr>
            <w:tag w:val="_PLD_ce0cfa8fc80147608db7db4b7ce1db69"/>
            <w:id w:val="657042947"/>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3664EE18" w14:textId="77777777" w:rsidR="00577D08" w:rsidRDefault="00330FC0">
                <w:r>
                  <w:rPr>
                    <w:rFonts w:hint="eastAsia"/>
                  </w:rPr>
                  <w:t>其中：</w:t>
                </w:r>
              </w:p>
            </w:tc>
          </w:sdtContent>
        </w:sdt>
      </w:tr>
      <w:tr w:rsidR="00577D08" w14:paraId="30DD8FC7" w14:textId="77777777">
        <w:trPr>
          <w:cantSplit/>
        </w:trPr>
        <w:sdt>
          <w:sdtPr>
            <w:alias w:val="按组合计提坏账准备的应收账款明细-组合名称"/>
            <w:tag w:val="_GBC_a216a551f9d54c89b88dad6bcecd942d"/>
            <w:id w:val="278691827"/>
          </w:sdtPr>
          <w:sdtContent>
            <w:tc>
              <w:tcPr>
                <w:tcW w:w="543" w:type="pct"/>
                <w:tcBorders>
                  <w:top w:val="single" w:sz="4" w:space="0" w:color="auto"/>
                  <w:left w:val="single" w:sz="4" w:space="0" w:color="auto"/>
                  <w:bottom w:val="single" w:sz="4" w:space="0" w:color="auto"/>
                  <w:right w:val="single" w:sz="4" w:space="0" w:color="auto"/>
                </w:tcBorders>
                <w:vAlign w:val="center"/>
              </w:tcPr>
              <w:p w14:paraId="2B83CD0E" w14:textId="77777777" w:rsidR="00577D08" w:rsidRDefault="00330FC0">
                <w:pPr>
                  <w:jc w:val="both"/>
                  <w:rPr>
                    <w:color w:val="808080"/>
                  </w:rPr>
                </w:pPr>
                <w:r>
                  <w:rPr>
                    <w:rFonts w:hint="eastAsia"/>
                  </w:rPr>
                  <w:t>账龄组合</w:t>
                </w:r>
              </w:p>
            </w:tc>
          </w:sdtContent>
        </w:sdt>
        <w:tc>
          <w:tcPr>
            <w:tcW w:w="598" w:type="pct"/>
            <w:tcBorders>
              <w:top w:val="single" w:sz="4" w:space="0" w:color="auto"/>
              <w:left w:val="single" w:sz="4" w:space="0" w:color="auto"/>
              <w:bottom w:val="single" w:sz="4" w:space="0" w:color="auto"/>
              <w:right w:val="single" w:sz="4" w:space="0" w:color="auto"/>
            </w:tcBorders>
            <w:vAlign w:val="center"/>
          </w:tcPr>
          <w:p w14:paraId="7A5E58BD" w14:textId="77777777" w:rsidR="00577D08" w:rsidRDefault="00330FC0">
            <w:pPr>
              <w:jc w:val="right"/>
            </w:pPr>
            <w:r>
              <w:t>2,146,282,529.48</w:t>
            </w:r>
          </w:p>
        </w:tc>
        <w:tc>
          <w:tcPr>
            <w:tcW w:w="245" w:type="pct"/>
            <w:tcBorders>
              <w:top w:val="single" w:sz="4" w:space="0" w:color="auto"/>
              <w:left w:val="single" w:sz="4" w:space="0" w:color="auto"/>
              <w:bottom w:val="single" w:sz="4" w:space="0" w:color="auto"/>
              <w:right w:val="single" w:sz="4" w:space="0" w:color="auto"/>
            </w:tcBorders>
            <w:vAlign w:val="center"/>
          </w:tcPr>
          <w:p w14:paraId="107F55E1" w14:textId="77777777" w:rsidR="00577D08" w:rsidRDefault="00330FC0">
            <w:pPr>
              <w:jc w:val="right"/>
            </w:pPr>
            <w:r>
              <w:t>98.27</w:t>
            </w:r>
          </w:p>
        </w:tc>
        <w:tc>
          <w:tcPr>
            <w:tcW w:w="543" w:type="pct"/>
            <w:tcBorders>
              <w:top w:val="single" w:sz="4" w:space="0" w:color="auto"/>
              <w:left w:val="single" w:sz="4" w:space="0" w:color="auto"/>
              <w:bottom w:val="single" w:sz="4" w:space="0" w:color="auto"/>
              <w:right w:val="single" w:sz="4" w:space="0" w:color="auto"/>
            </w:tcBorders>
            <w:vAlign w:val="center"/>
          </w:tcPr>
          <w:p w14:paraId="000E5F1A" w14:textId="77777777" w:rsidR="00577D08" w:rsidRDefault="00330FC0">
            <w:pPr>
              <w:jc w:val="right"/>
            </w:pPr>
            <w:r>
              <w:t>181,623,446.69</w:t>
            </w:r>
          </w:p>
        </w:tc>
        <w:tc>
          <w:tcPr>
            <w:tcW w:w="245" w:type="pct"/>
            <w:tcBorders>
              <w:top w:val="single" w:sz="4" w:space="0" w:color="auto"/>
              <w:left w:val="single" w:sz="4" w:space="0" w:color="auto"/>
              <w:bottom w:val="single" w:sz="4" w:space="0" w:color="auto"/>
              <w:right w:val="single" w:sz="4" w:space="0" w:color="auto"/>
            </w:tcBorders>
            <w:vAlign w:val="center"/>
          </w:tcPr>
          <w:p w14:paraId="42630B10" w14:textId="77777777" w:rsidR="00577D08" w:rsidRDefault="00330FC0">
            <w:pPr>
              <w:jc w:val="right"/>
            </w:pPr>
            <w:r>
              <w:t>8.46</w:t>
            </w:r>
          </w:p>
        </w:tc>
        <w:tc>
          <w:tcPr>
            <w:tcW w:w="598" w:type="pct"/>
            <w:tcBorders>
              <w:top w:val="single" w:sz="4" w:space="0" w:color="auto"/>
              <w:left w:val="single" w:sz="4" w:space="0" w:color="auto"/>
              <w:bottom w:val="single" w:sz="4" w:space="0" w:color="auto"/>
              <w:right w:val="single" w:sz="4" w:space="0" w:color="auto"/>
            </w:tcBorders>
            <w:vAlign w:val="center"/>
          </w:tcPr>
          <w:p w14:paraId="6CAC3B81" w14:textId="77777777" w:rsidR="00577D08" w:rsidRDefault="00330FC0">
            <w:pPr>
              <w:jc w:val="right"/>
            </w:pPr>
            <w:r>
              <w:t>1,964,659,082.79</w:t>
            </w:r>
          </w:p>
        </w:tc>
        <w:tc>
          <w:tcPr>
            <w:tcW w:w="598" w:type="pct"/>
            <w:tcBorders>
              <w:top w:val="single" w:sz="4" w:space="0" w:color="auto"/>
              <w:left w:val="single" w:sz="4" w:space="0" w:color="auto"/>
              <w:bottom w:val="single" w:sz="4" w:space="0" w:color="auto"/>
              <w:right w:val="single" w:sz="4" w:space="0" w:color="auto"/>
            </w:tcBorders>
            <w:vAlign w:val="center"/>
          </w:tcPr>
          <w:p w14:paraId="2673B169" w14:textId="77777777" w:rsidR="00577D08" w:rsidRDefault="00330FC0">
            <w:pPr>
              <w:jc w:val="right"/>
            </w:pPr>
            <w:r>
              <w:t>1,786,413,608.72</w:t>
            </w:r>
          </w:p>
        </w:tc>
        <w:tc>
          <w:tcPr>
            <w:tcW w:w="245" w:type="pct"/>
            <w:tcBorders>
              <w:top w:val="single" w:sz="4" w:space="0" w:color="auto"/>
              <w:left w:val="single" w:sz="4" w:space="0" w:color="auto"/>
              <w:bottom w:val="single" w:sz="4" w:space="0" w:color="auto"/>
              <w:right w:val="single" w:sz="4" w:space="0" w:color="auto"/>
            </w:tcBorders>
            <w:vAlign w:val="center"/>
          </w:tcPr>
          <w:p w14:paraId="3F69D233" w14:textId="77777777" w:rsidR="00577D08" w:rsidRDefault="00330FC0">
            <w:pPr>
              <w:jc w:val="right"/>
            </w:pPr>
            <w:r>
              <w:t>97.85</w:t>
            </w:r>
          </w:p>
        </w:tc>
        <w:tc>
          <w:tcPr>
            <w:tcW w:w="543" w:type="pct"/>
            <w:tcBorders>
              <w:top w:val="single" w:sz="4" w:space="0" w:color="auto"/>
              <w:left w:val="single" w:sz="4" w:space="0" w:color="auto"/>
              <w:bottom w:val="single" w:sz="4" w:space="0" w:color="auto"/>
              <w:right w:val="single" w:sz="4" w:space="0" w:color="auto"/>
            </w:tcBorders>
            <w:vAlign w:val="center"/>
          </w:tcPr>
          <w:p w14:paraId="59B1CC30" w14:textId="77777777" w:rsidR="00577D08" w:rsidRDefault="00330FC0">
            <w:pPr>
              <w:jc w:val="right"/>
            </w:pPr>
            <w:r>
              <w:t>154,494,941.81</w:t>
            </w:r>
          </w:p>
        </w:tc>
        <w:tc>
          <w:tcPr>
            <w:tcW w:w="245" w:type="pct"/>
            <w:tcBorders>
              <w:top w:val="single" w:sz="4" w:space="0" w:color="auto"/>
              <w:left w:val="single" w:sz="4" w:space="0" w:color="auto"/>
              <w:bottom w:val="single" w:sz="4" w:space="0" w:color="auto"/>
              <w:right w:val="single" w:sz="4" w:space="0" w:color="auto"/>
            </w:tcBorders>
            <w:vAlign w:val="center"/>
          </w:tcPr>
          <w:p w14:paraId="14F3293A" w14:textId="77777777" w:rsidR="00577D08" w:rsidRDefault="00330FC0">
            <w:pPr>
              <w:jc w:val="right"/>
            </w:pPr>
            <w:r>
              <w:t>8.65</w:t>
            </w:r>
          </w:p>
        </w:tc>
        <w:tc>
          <w:tcPr>
            <w:tcW w:w="598" w:type="pct"/>
            <w:tcBorders>
              <w:top w:val="single" w:sz="4" w:space="0" w:color="auto"/>
              <w:left w:val="single" w:sz="4" w:space="0" w:color="auto"/>
              <w:bottom w:val="single" w:sz="4" w:space="0" w:color="auto"/>
              <w:right w:val="single" w:sz="4" w:space="0" w:color="auto"/>
            </w:tcBorders>
            <w:vAlign w:val="center"/>
          </w:tcPr>
          <w:p w14:paraId="4F815D1A" w14:textId="77777777" w:rsidR="00577D08" w:rsidRDefault="00330FC0">
            <w:pPr>
              <w:jc w:val="right"/>
            </w:pPr>
            <w:r>
              <w:t>1,631,918,666.91</w:t>
            </w:r>
          </w:p>
        </w:tc>
      </w:tr>
      <w:tr w:rsidR="00577D08" w14:paraId="5AF50855" w14:textId="77777777">
        <w:trPr>
          <w:cantSplit/>
        </w:trPr>
        <w:tc>
          <w:tcPr>
            <w:tcW w:w="543" w:type="pct"/>
            <w:tcBorders>
              <w:top w:val="single" w:sz="4" w:space="0" w:color="auto"/>
              <w:left w:val="single" w:sz="4" w:space="0" w:color="auto"/>
              <w:bottom w:val="single" w:sz="4" w:space="0" w:color="auto"/>
              <w:right w:val="single" w:sz="4" w:space="0" w:color="auto"/>
            </w:tcBorders>
            <w:vAlign w:val="center"/>
          </w:tcPr>
          <w:p w14:paraId="3EE19D42" w14:textId="77777777" w:rsidR="00577D08" w:rsidRDefault="00330FC0">
            <w:pPr>
              <w:autoSpaceDE w:val="0"/>
              <w:autoSpaceDN w:val="0"/>
              <w:adjustRightInd w:val="0"/>
              <w:jc w:val="center"/>
            </w:pPr>
            <w:r>
              <w:rPr>
                <w:rFonts w:hint="eastAsia"/>
              </w:rPr>
              <w:t>合计</w:t>
            </w:r>
          </w:p>
        </w:tc>
        <w:tc>
          <w:tcPr>
            <w:tcW w:w="598" w:type="pct"/>
            <w:tcBorders>
              <w:top w:val="single" w:sz="4" w:space="0" w:color="auto"/>
              <w:left w:val="single" w:sz="4" w:space="0" w:color="auto"/>
              <w:bottom w:val="single" w:sz="4" w:space="0" w:color="auto"/>
              <w:right w:val="single" w:sz="4" w:space="0" w:color="auto"/>
            </w:tcBorders>
          </w:tcPr>
          <w:p w14:paraId="705AD041" w14:textId="77777777" w:rsidR="00577D08" w:rsidRDefault="00330FC0">
            <w:pPr>
              <w:jc w:val="right"/>
            </w:pPr>
            <w:r>
              <w:t>2,184,023,327.99</w:t>
            </w:r>
          </w:p>
        </w:tc>
        <w:tc>
          <w:tcPr>
            <w:tcW w:w="245" w:type="pct"/>
            <w:tcBorders>
              <w:top w:val="single" w:sz="4" w:space="0" w:color="auto"/>
              <w:left w:val="single" w:sz="4" w:space="0" w:color="auto"/>
              <w:bottom w:val="single" w:sz="4" w:space="0" w:color="auto"/>
              <w:right w:val="single" w:sz="4" w:space="0" w:color="auto"/>
            </w:tcBorders>
          </w:tcPr>
          <w:p w14:paraId="66F4414D" w14:textId="77777777" w:rsidR="00577D08" w:rsidRDefault="00330FC0">
            <w:pPr>
              <w:jc w:val="center"/>
            </w:pPr>
            <w:r>
              <w:t>100.00</w:t>
            </w:r>
          </w:p>
        </w:tc>
        <w:tc>
          <w:tcPr>
            <w:tcW w:w="543" w:type="pct"/>
            <w:tcBorders>
              <w:top w:val="single" w:sz="4" w:space="0" w:color="auto"/>
              <w:left w:val="single" w:sz="4" w:space="0" w:color="auto"/>
              <w:bottom w:val="single" w:sz="4" w:space="0" w:color="auto"/>
              <w:right w:val="single" w:sz="4" w:space="0" w:color="auto"/>
            </w:tcBorders>
          </w:tcPr>
          <w:p w14:paraId="437A1232" w14:textId="77777777" w:rsidR="00577D08" w:rsidRDefault="00330FC0">
            <w:pPr>
              <w:jc w:val="right"/>
            </w:pPr>
            <w:r>
              <w:t>213,812,690.74</w:t>
            </w:r>
          </w:p>
        </w:tc>
        <w:tc>
          <w:tcPr>
            <w:tcW w:w="245" w:type="pct"/>
            <w:tcBorders>
              <w:top w:val="single" w:sz="4" w:space="0" w:color="auto"/>
              <w:left w:val="single" w:sz="4" w:space="0" w:color="auto"/>
              <w:bottom w:val="single" w:sz="4" w:space="0" w:color="auto"/>
              <w:right w:val="single" w:sz="4" w:space="0" w:color="auto"/>
            </w:tcBorders>
          </w:tcPr>
          <w:p w14:paraId="3D18DF3B" w14:textId="77777777" w:rsidR="00577D08" w:rsidRDefault="00330FC0">
            <w:pPr>
              <w:jc w:val="center"/>
            </w:pPr>
            <w:r>
              <w:t>9.79</w:t>
            </w:r>
          </w:p>
        </w:tc>
        <w:tc>
          <w:tcPr>
            <w:tcW w:w="598" w:type="pct"/>
            <w:tcBorders>
              <w:top w:val="single" w:sz="4" w:space="0" w:color="auto"/>
              <w:left w:val="single" w:sz="4" w:space="0" w:color="auto"/>
              <w:bottom w:val="single" w:sz="4" w:space="0" w:color="auto"/>
              <w:right w:val="single" w:sz="4" w:space="0" w:color="auto"/>
            </w:tcBorders>
          </w:tcPr>
          <w:p w14:paraId="7E38B6D1" w14:textId="77777777" w:rsidR="00577D08" w:rsidRDefault="00330FC0">
            <w:pPr>
              <w:jc w:val="right"/>
            </w:pPr>
            <w:r>
              <w:t>1,970,210,637.25</w:t>
            </w:r>
          </w:p>
        </w:tc>
        <w:tc>
          <w:tcPr>
            <w:tcW w:w="598" w:type="pct"/>
            <w:tcBorders>
              <w:top w:val="single" w:sz="4" w:space="0" w:color="auto"/>
              <w:left w:val="single" w:sz="4" w:space="0" w:color="auto"/>
              <w:bottom w:val="single" w:sz="4" w:space="0" w:color="auto"/>
              <w:right w:val="single" w:sz="4" w:space="0" w:color="auto"/>
            </w:tcBorders>
          </w:tcPr>
          <w:p w14:paraId="60CA6EB4" w14:textId="77777777" w:rsidR="00577D08" w:rsidRDefault="00330FC0">
            <w:pPr>
              <w:jc w:val="right"/>
            </w:pPr>
            <w:r>
              <w:t>1,825,634,908.37</w:t>
            </w:r>
          </w:p>
        </w:tc>
        <w:tc>
          <w:tcPr>
            <w:tcW w:w="245" w:type="pct"/>
            <w:tcBorders>
              <w:top w:val="single" w:sz="4" w:space="0" w:color="auto"/>
              <w:left w:val="single" w:sz="4" w:space="0" w:color="auto"/>
              <w:bottom w:val="single" w:sz="4" w:space="0" w:color="auto"/>
              <w:right w:val="single" w:sz="4" w:space="0" w:color="auto"/>
            </w:tcBorders>
          </w:tcPr>
          <w:p w14:paraId="5105D61E" w14:textId="77777777" w:rsidR="00577D08" w:rsidRDefault="00330FC0">
            <w:pPr>
              <w:jc w:val="center"/>
            </w:pPr>
            <w:r>
              <w:t>100.00</w:t>
            </w:r>
          </w:p>
        </w:tc>
        <w:tc>
          <w:tcPr>
            <w:tcW w:w="543" w:type="pct"/>
            <w:tcBorders>
              <w:top w:val="single" w:sz="4" w:space="0" w:color="auto"/>
              <w:left w:val="single" w:sz="4" w:space="0" w:color="auto"/>
              <w:bottom w:val="single" w:sz="4" w:space="0" w:color="auto"/>
              <w:right w:val="single" w:sz="4" w:space="0" w:color="auto"/>
            </w:tcBorders>
          </w:tcPr>
          <w:p w14:paraId="67F417DC" w14:textId="77777777" w:rsidR="00577D08" w:rsidRDefault="00330FC0">
            <w:pPr>
              <w:jc w:val="right"/>
            </w:pPr>
            <w:r>
              <w:t>183,619,664.88</w:t>
            </w:r>
          </w:p>
        </w:tc>
        <w:tc>
          <w:tcPr>
            <w:tcW w:w="245" w:type="pct"/>
            <w:tcBorders>
              <w:top w:val="single" w:sz="4" w:space="0" w:color="auto"/>
              <w:left w:val="single" w:sz="4" w:space="0" w:color="auto"/>
              <w:bottom w:val="single" w:sz="4" w:space="0" w:color="auto"/>
              <w:right w:val="single" w:sz="4" w:space="0" w:color="auto"/>
            </w:tcBorders>
          </w:tcPr>
          <w:p w14:paraId="1A444065" w14:textId="77777777" w:rsidR="00577D08" w:rsidRDefault="00330FC0">
            <w:pPr>
              <w:jc w:val="center"/>
            </w:pPr>
            <w:r>
              <w:t>10.06</w:t>
            </w:r>
          </w:p>
        </w:tc>
        <w:tc>
          <w:tcPr>
            <w:tcW w:w="598" w:type="pct"/>
            <w:tcBorders>
              <w:top w:val="single" w:sz="4" w:space="0" w:color="auto"/>
              <w:left w:val="single" w:sz="4" w:space="0" w:color="auto"/>
              <w:bottom w:val="single" w:sz="4" w:space="0" w:color="auto"/>
              <w:right w:val="single" w:sz="4" w:space="0" w:color="auto"/>
            </w:tcBorders>
          </w:tcPr>
          <w:p w14:paraId="476724A1" w14:textId="77777777" w:rsidR="00577D08" w:rsidRDefault="00330FC0">
            <w:pPr>
              <w:jc w:val="right"/>
            </w:pPr>
            <w:r>
              <w:t>1,642,015,243.49</w:t>
            </w:r>
          </w:p>
        </w:tc>
      </w:tr>
    </w:tbl>
    <w:p w14:paraId="054D888A" w14:textId="77777777" w:rsidR="00577D08" w:rsidRDefault="00330FC0">
      <w:bookmarkStart w:id="333" w:name="_Hlk533606785"/>
      <w:bookmarkEnd w:id="332"/>
      <w:r>
        <w:rPr>
          <w:rFonts w:hint="eastAsia"/>
        </w:rPr>
        <w:t>按单项计提坏账准备：</w:t>
      </w:r>
    </w:p>
    <w:sdt>
      <w:sdtPr>
        <w:rPr>
          <w:rFonts w:hint="eastAsia"/>
        </w:rPr>
        <w:alias w:val="是否适用：按单项计提坏账准备的应收账款详细情况[双击切换]"/>
        <w:tag w:val="_GBC_1add32cead514597854ff8ba7f5bf59e"/>
        <w:id w:val="-1862654274"/>
        <w:placeholder>
          <w:docPart w:val="GBC22222222222222222222222222222"/>
        </w:placeholder>
      </w:sdtPr>
      <w:sdtContent>
        <w:p w14:paraId="0A7BB99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33" w:displacedByCustomXml="next"/>
    <w:sdt>
      <w:sdtPr>
        <w:tag w:val="_PLD_21b31dda4e9f44bd901ccb9e126e1392"/>
        <w:id w:val="-702943116"/>
      </w:sdtPr>
      <w:sdtContent>
        <w:p w14:paraId="478B1305" w14:textId="77777777" w:rsidR="00577D08" w:rsidRDefault="00330FC0">
          <w:r>
            <w:rPr>
              <w:rFonts w:hint="eastAsia"/>
            </w:rPr>
            <w:t>按组合计提坏账准备：</w:t>
          </w:r>
        </w:p>
      </w:sdtContent>
    </w:sdt>
    <w:sdt>
      <w:sdtPr>
        <w:rPr>
          <w:rFonts w:hint="eastAsia"/>
        </w:rPr>
        <w:alias w:val="是否适用：按组合计提坏账准备的应收账款详细情况[双击切换]"/>
        <w:tag w:val="_GBC_600909a2591c4c1187685fb640783e4a"/>
        <w:id w:val="-163329200"/>
        <w:lock w:val="contentLocked"/>
        <w:placeholder>
          <w:docPart w:val="GBC22222222222222222222222222222"/>
        </w:placeholder>
      </w:sdtPr>
      <w:sdtContent>
        <w:p w14:paraId="3D657FC2"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9E30040" w14:textId="77777777" w:rsidR="00577D08" w:rsidRDefault="00330FC0">
      <w:bookmarkStart w:id="334" w:name="_Hlk533607573"/>
      <w:r>
        <w:rPr>
          <w:rFonts w:hint="eastAsia"/>
        </w:rPr>
        <w:t>组合计提项目：</w:t>
      </w:r>
      <w:sdt>
        <w:sdtPr>
          <w:rPr>
            <w:rFonts w:hint="eastAsia"/>
          </w:rPr>
          <w:alias w:val="按组合计提坏账准备的应收账款明细-组合名称"/>
          <w:tag w:val="_GBC_a99af83acd7e492a99d5eed2536b8adb"/>
          <w:id w:val="576633682"/>
          <w:placeholder>
            <w:docPart w:val="GBC22222222222222222222222222222"/>
          </w:placeholder>
          <w:comboBox>
            <w:listItem w:displayText="账龄组合" w:value="账龄组合"/>
          </w:comboBox>
        </w:sdtPr>
        <w:sdtContent>
          <w:r>
            <w:rPr>
              <w:rFonts w:hint="eastAsia"/>
            </w:rPr>
            <w:t>账龄组合</w:t>
          </w:r>
        </w:sdtContent>
      </w:sdt>
    </w:p>
    <w:p w14:paraId="148DA218" w14:textId="77777777" w:rsidR="00577D08" w:rsidRDefault="00330FC0">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048426f3fbc6488d9ff13660d47dce88"/>
          <w:id w:val="-14721276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按组合计提坏账准备的应收账款详细情况"/>
          <w:tag w:val="_GBC_2a89eacddb4842daa40a2883ae740824"/>
          <w:id w:val="7750614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577D08" w14:paraId="627AB78C" w14:textId="77777777">
        <w:sdt>
          <w:sdtPr>
            <w:tag w:val="_PLD_76fac25a376f4d4b884d95c8c8b4cdbd"/>
            <w:id w:val="-2053988928"/>
          </w:sdtPr>
          <w:sdtContent>
            <w:tc>
              <w:tcPr>
                <w:tcW w:w="1158" w:type="pct"/>
                <w:vMerge w:val="restart"/>
                <w:vAlign w:val="center"/>
              </w:tcPr>
              <w:p w14:paraId="18903C87" w14:textId="77777777" w:rsidR="00577D08" w:rsidRDefault="00330FC0">
                <w:pPr>
                  <w:jc w:val="center"/>
                </w:pPr>
                <w:r>
                  <w:rPr>
                    <w:rFonts w:hint="eastAsia"/>
                  </w:rPr>
                  <w:t>名称</w:t>
                </w:r>
              </w:p>
            </w:tc>
          </w:sdtContent>
        </w:sdt>
        <w:sdt>
          <w:sdtPr>
            <w:tag w:val="_PLD_2ea73da2ba22410090605fad4228c06a"/>
            <w:id w:val="963009664"/>
          </w:sdtPr>
          <w:sdtContent>
            <w:tc>
              <w:tcPr>
                <w:tcW w:w="3842" w:type="pct"/>
                <w:gridSpan w:val="3"/>
                <w:vAlign w:val="center"/>
              </w:tcPr>
              <w:p w14:paraId="706EB74B" w14:textId="77777777" w:rsidR="00577D08" w:rsidRDefault="00330FC0">
                <w:pPr>
                  <w:jc w:val="center"/>
                </w:pPr>
                <w:r>
                  <w:rPr>
                    <w:rFonts w:hint="eastAsia"/>
                  </w:rPr>
                  <w:t>期末余额</w:t>
                </w:r>
              </w:p>
            </w:tc>
          </w:sdtContent>
        </w:sdt>
      </w:tr>
      <w:tr w:rsidR="00577D08" w14:paraId="5B6FBFD5" w14:textId="77777777">
        <w:tc>
          <w:tcPr>
            <w:tcW w:w="1158" w:type="pct"/>
            <w:vMerge/>
            <w:vAlign w:val="center"/>
          </w:tcPr>
          <w:p w14:paraId="18E06714" w14:textId="77777777" w:rsidR="00577D08" w:rsidRDefault="00577D08">
            <w:pPr>
              <w:jc w:val="center"/>
            </w:pPr>
          </w:p>
        </w:tc>
        <w:sdt>
          <w:sdtPr>
            <w:tag w:val="_PLD_841eb33e3b60464dbe6b3cefac602503"/>
            <w:id w:val="55358753"/>
          </w:sdtPr>
          <w:sdtContent>
            <w:tc>
              <w:tcPr>
                <w:tcW w:w="1276" w:type="pct"/>
                <w:vAlign w:val="center"/>
              </w:tcPr>
              <w:p w14:paraId="73DF2F59" w14:textId="77777777" w:rsidR="00577D08" w:rsidRDefault="00330FC0">
                <w:pPr>
                  <w:jc w:val="center"/>
                </w:pPr>
                <w:r>
                  <w:rPr>
                    <w:rFonts w:hint="eastAsia"/>
                  </w:rPr>
                  <w:t>账面余额</w:t>
                </w:r>
              </w:p>
            </w:tc>
          </w:sdtContent>
        </w:sdt>
        <w:sdt>
          <w:sdtPr>
            <w:tag w:val="_PLD_b28da65f0aac478c80ab20a817d350ac"/>
            <w:id w:val="619415681"/>
          </w:sdtPr>
          <w:sdtContent>
            <w:tc>
              <w:tcPr>
                <w:tcW w:w="1299" w:type="pct"/>
                <w:vAlign w:val="center"/>
              </w:tcPr>
              <w:p w14:paraId="5428554E" w14:textId="77777777" w:rsidR="00577D08" w:rsidRDefault="00330FC0">
                <w:pPr>
                  <w:jc w:val="center"/>
                </w:pPr>
                <w:r>
                  <w:rPr>
                    <w:rFonts w:hint="eastAsia"/>
                  </w:rPr>
                  <w:t>坏账准备</w:t>
                </w:r>
              </w:p>
            </w:tc>
          </w:sdtContent>
        </w:sdt>
        <w:sdt>
          <w:sdtPr>
            <w:tag w:val="_PLD_98321f537bf94701b17705eae6c543e2"/>
            <w:id w:val="202677513"/>
          </w:sdtPr>
          <w:sdtContent>
            <w:tc>
              <w:tcPr>
                <w:tcW w:w="1267" w:type="pct"/>
                <w:vAlign w:val="center"/>
              </w:tcPr>
              <w:p w14:paraId="2A5D6170" w14:textId="77777777" w:rsidR="00577D08" w:rsidRDefault="00330FC0">
                <w:pPr>
                  <w:jc w:val="center"/>
                </w:pPr>
                <w:r>
                  <w:t>计提比例</w:t>
                </w:r>
                <w:r>
                  <w:rPr>
                    <w:rFonts w:hint="eastAsia"/>
                  </w:rPr>
                  <w:t>（</w:t>
                </w:r>
                <w:r>
                  <w:rPr>
                    <w:rFonts w:hint="eastAsia"/>
                  </w:rPr>
                  <w:t>%</w:t>
                </w:r>
                <w:r>
                  <w:rPr>
                    <w:rFonts w:hint="eastAsia"/>
                  </w:rPr>
                  <w:t>）</w:t>
                </w:r>
              </w:p>
            </w:tc>
          </w:sdtContent>
        </w:sdt>
      </w:tr>
      <w:tr w:rsidR="00577D08" w14:paraId="3FE15B6F" w14:textId="77777777">
        <w:tc>
          <w:tcPr>
            <w:tcW w:w="1158" w:type="pct"/>
          </w:tcPr>
          <w:p w14:paraId="691F266B" w14:textId="77777777" w:rsidR="00577D08" w:rsidRDefault="00330FC0">
            <w:r>
              <w:rPr>
                <w:rFonts w:hint="eastAsia"/>
              </w:rPr>
              <w:t>1</w:t>
            </w:r>
            <w:r>
              <w:rPr>
                <w:rFonts w:hint="eastAsia"/>
              </w:rPr>
              <w:t>年以内（含</w:t>
            </w:r>
            <w:r>
              <w:rPr>
                <w:rFonts w:hint="eastAsia"/>
              </w:rPr>
              <w:t>1</w:t>
            </w:r>
            <w:r>
              <w:rPr>
                <w:rFonts w:hint="eastAsia"/>
              </w:rPr>
              <w:t>年）</w:t>
            </w:r>
          </w:p>
        </w:tc>
        <w:tc>
          <w:tcPr>
            <w:tcW w:w="1276" w:type="pct"/>
          </w:tcPr>
          <w:p w14:paraId="6B11C11E" w14:textId="77777777" w:rsidR="00577D08" w:rsidRDefault="00330FC0">
            <w:pPr>
              <w:jc w:val="right"/>
            </w:pPr>
            <w:r>
              <w:t>1,618,856,207.22</w:t>
            </w:r>
          </w:p>
        </w:tc>
        <w:tc>
          <w:tcPr>
            <w:tcW w:w="1299" w:type="pct"/>
          </w:tcPr>
          <w:p w14:paraId="232A8B78" w14:textId="77777777" w:rsidR="00577D08" w:rsidRDefault="00330FC0">
            <w:pPr>
              <w:jc w:val="right"/>
            </w:pPr>
            <w:r>
              <w:t>80,942,809.06</w:t>
            </w:r>
          </w:p>
        </w:tc>
        <w:tc>
          <w:tcPr>
            <w:tcW w:w="1267" w:type="pct"/>
          </w:tcPr>
          <w:p w14:paraId="32353FE7" w14:textId="77777777" w:rsidR="00577D08" w:rsidRDefault="00330FC0">
            <w:pPr>
              <w:jc w:val="right"/>
            </w:pPr>
            <w:r>
              <w:t>5.00</w:t>
            </w:r>
          </w:p>
        </w:tc>
      </w:tr>
      <w:tr w:rsidR="00577D08" w14:paraId="7D17CCC3" w14:textId="77777777">
        <w:tc>
          <w:tcPr>
            <w:tcW w:w="1158" w:type="pct"/>
          </w:tcPr>
          <w:p w14:paraId="437D74FC" w14:textId="77777777" w:rsidR="00577D08" w:rsidRDefault="00330FC0">
            <w:r>
              <w:rPr>
                <w:rFonts w:hint="eastAsia"/>
              </w:rPr>
              <w:t>1</w:t>
            </w:r>
            <w:r>
              <w:rPr>
                <w:rFonts w:hint="eastAsia"/>
              </w:rPr>
              <w:t>至</w:t>
            </w:r>
            <w:r>
              <w:rPr>
                <w:rFonts w:hint="eastAsia"/>
              </w:rPr>
              <w:t>2</w:t>
            </w:r>
            <w:r>
              <w:rPr>
                <w:rFonts w:hint="eastAsia"/>
              </w:rPr>
              <w:t>年</w:t>
            </w:r>
          </w:p>
        </w:tc>
        <w:tc>
          <w:tcPr>
            <w:tcW w:w="1276" w:type="pct"/>
          </w:tcPr>
          <w:p w14:paraId="3EFDC236" w14:textId="77777777" w:rsidR="00577D08" w:rsidRDefault="00330FC0">
            <w:pPr>
              <w:jc w:val="right"/>
            </w:pPr>
            <w:r>
              <w:t>313,474,845.62</w:t>
            </w:r>
          </w:p>
        </w:tc>
        <w:tc>
          <w:tcPr>
            <w:tcW w:w="1299" w:type="pct"/>
          </w:tcPr>
          <w:p w14:paraId="28106337" w14:textId="77777777" w:rsidR="00577D08" w:rsidRDefault="00330FC0">
            <w:pPr>
              <w:jc w:val="right"/>
            </w:pPr>
            <w:r>
              <w:t>31,347,484.56</w:t>
            </w:r>
          </w:p>
        </w:tc>
        <w:tc>
          <w:tcPr>
            <w:tcW w:w="1267" w:type="pct"/>
          </w:tcPr>
          <w:p w14:paraId="17BB0768" w14:textId="77777777" w:rsidR="00577D08" w:rsidRDefault="00330FC0">
            <w:pPr>
              <w:jc w:val="right"/>
            </w:pPr>
            <w:r>
              <w:t>10.00</w:t>
            </w:r>
          </w:p>
        </w:tc>
      </w:tr>
      <w:tr w:rsidR="00577D08" w14:paraId="71CE6BDD" w14:textId="77777777">
        <w:tc>
          <w:tcPr>
            <w:tcW w:w="1158" w:type="pct"/>
          </w:tcPr>
          <w:p w14:paraId="15174695" w14:textId="77777777" w:rsidR="00577D08" w:rsidRDefault="00330FC0">
            <w:r>
              <w:rPr>
                <w:rFonts w:hint="eastAsia"/>
              </w:rPr>
              <w:t>2</w:t>
            </w:r>
            <w:r>
              <w:rPr>
                <w:rFonts w:hint="eastAsia"/>
              </w:rPr>
              <w:t>至</w:t>
            </w:r>
            <w:r>
              <w:rPr>
                <w:rFonts w:hint="eastAsia"/>
              </w:rPr>
              <w:t>3</w:t>
            </w:r>
            <w:r>
              <w:rPr>
                <w:rFonts w:hint="eastAsia"/>
              </w:rPr>
              <w:t>年</w:t>
            </w:r>
          </w:p>
        </w:tc>
        <w:tc>
          <w:tcPr>
            <w:tcW w:w="1276" w:type="pct"/>
          </w:tcPr>
          <w:p w14:paraId="38FB91C7" w14:textId="77777777" w:rsidR="00577D08" w:rsidRDefault="00330FC0">
            <w:pPr>
              <w:jc w:val="right"/>
            </w:pPr>
            <w:r>
              <w:t>140,066,838.08</w:t>
            </w:r>
          </w:p>
        </w:tc>
        <w:tc>
          <w:tcPr>
            <w:tcW w:w="1299" w:type="pct"/>
          </w:tcPr>
          <w:p w14:paraId="26145C5B" w14:textId="77777777" w:rsidR="00577D08" w:rsidRDefault="00330FC0">
            <w:pPr>
              <w:jc w:val="right"/>
            </w:pPr>
            <w:r>
              <w:t>28,013,367.62</w:t>
            </w:r>
          </w:p>
        </w:tc>
        <w:tc>
          <w:tcPr>
            <w:tcW w:w="1267" w:type="pct"/>
          </w:tcPr>
          <w:p w14:paraId="7627D976" w14:textId="77777777" w:rsidR="00577D08" w:rsidRDefault="00330FC0">
            <w:pPr>
              <w:jc w:val="right"/>
            </w:pPr>
            <w:r>
              <w:t>20.00</w:t>
            </w:r>
          </w:p>
        </w:tc>
      </w:tr>
      <w:tr w:rsidR="00577D08" w14:paraId="630B572A" w14:textId="77777777">
        <w:tc>
          <w:tcPr>
            <w:tcW w:w="1158" w:type="pct"/>
          </w:tcPr>
          <w:p w14:paraId="170D01FC" w14:textId="77777777" w:rsidR="00577D08" w:rsidRDefault="00330FC0">
            <w:r>
              <w:rPr>
                <w:rFonts w:hint="eastAsia"/>
              </w:rPr>
              <w:t>3</w:t>
            </w:r>
            <w:r>
              <w:rPr>
                <w:rFonts w:hint="eastAsia"/>
              </w:rPr>
              <w:t>至</w:t>
            </w:r>
            <w:r>
              <w:rPr>
                <w:rFonts w:hint="eastAsia"/>
              </w:rPr>
              <w:t>4</w:t>
            </w:r>
            <w:r>
              <w:rPr>
                <w:rFonts w:hint="eastAsia"/>
              </w:rPr>
              <w:t>年</w:t>
            </w:r>
          </w:p>
        </w:tc>
        <w:tc>
          <w:tcPr>
            <w:tcW w:w="1276" w:type="pct"/>
          </w:tcPr>
          <w:p w14:paraId="6911EE65" w14:textId="77777777" w:rsidR="00577D08" w:rsidRDefault="00330FC0">
            <w:pPr>
              <w:jc w:val="right"/>
            </w:pPr>
            <w:r>
              <w:t>33,633,103.37</w:t>
            </w:r>
          </w:p>
        </w:tc>
        <w:tc>
          <w:tcPr>
            <w:tcW w:w="1299" w:type="pct"/>
          </w:tcPr>
          <w:p w14:paraId="6FF38E54" w14:textId="77777777" w:rsidR="00577D08" w:rsidRDefault="00330FC0">
            <w:pPr>
              <w:jc w:val="right"/>
            </w:pPr>
            <w:r>
              <w:t>10,089,931.01</w:t>
            </w:r>
          </w:p>
        </w:tc>
        <w:tc>
          <w:tcPr>
            <w:tcW w:w="1267" w:type="pct"/>
          </w:tcPr>
          <w:p w14:paraId="6DA80D19" w14:textId="77777777" w:rsidR="00577D08" w:rsidRDefault="00330FC0">
            <w:pPr>
              <w:jc w:val="right"/>
            </w:pPr>
            <w:r>
              <w:t>30.00</w:t>
            </w:r>
          </w:p>
        </w:tc>
      </w:tr>
      <w:tr w:rsidR="00577D08" w14:paraId="4BFF3F4F" w14:textId="77777777">
        <w:tc>
          <w:tcPr>
            <w:tcW w:w="1158" w:type="pct"/>
          </w:tcPr>
          <w:p w14:paraId="451BD36E" w14:textId="77777777" w:rsidR="00577D08" w:rsidRDefault="00330FC0">
            <w:r>
              <w:rPr>
                <w:rFonts w:hint="eastAsia"/>
              </w:rPr>
              <w:lastRenderedPageBreak/>
              <w:t>4</w:t>
            </w:r>
            <w:r>
              <w:rPr>
                <w:rFonts w:hint="eastAsia"/>
              </w:rPr>
              <w:t>至</w:t>
            </w:r>
            <w:r>
              <w:rPr>
                <w:rFonts w:hint="eastAsia"/>
              </w:rPr>
              <w:t>5</w:t>
            </w:r>
            <w:r>
              <w:rPr>
                <w:rFonts w:hint="eastAsia"/>
              </w:rPr>
              <w:t>年</w:t>
            </w:r>
          </w:p>
        </w:tc>
        <w:tc>
          <w:tcPr>
            <w:tcW w:w="1276" w:type="pct"/>
          </w:tcPr>
          <w:p w14:paraId="578AEF63" w14:textId="77777777" w:rsidR="00577D08" w:rsidRDefault="00330FC0">
            <w:pPr>
              <w:jc w:val="right"/>
            </w:pPr>
            <w:r>
              <w:t>18,043,361.51</w:t>
            </w:r>
          </w:p>
        </w:tc>
        <w:tc>
          <w:tcPr>
            <w:tcW w:w="1299" w:type="pct"/>
          </w:tcPr>
          <w:p w14:paraId="080E8D4C" w14:textId="77777777" w:rsidR="00577D08" w:rsidRDefault="00330FC0">
            <w:pPr>
              <w:jc w:val="right"/>
            </w:pPr>
            <w:r>
              <w:t>9,021,680.76</w:t>
            </w:r>
          </w:p>
        </w:tc>
        <w:tc>
          <w:tcPr>
            <w:tcW w:w="1267" w:type="pct"/>
          </w:tcPr>
          <w:p w14:paraId="314F5867" w14:textId="77777777" w:rsidR="00577D08" w:rsidRDefault="00330FC0">
            <w:pPr>
              <w:jc w:val="right"/>
            </w:pPr>
            <w:r>
              <w:t>50.00</w:t>
            </w:r>
          </w:p>
        </w:tc>
      </w:tr>
      <w:tr w:rsidR="00577D08" w14:paraId="6F110B89" w14:textId="77777777">
        <w:tc>
          <w:tcPr>
            <w:tcW w:w="1158" w:type="pct"/>
          </w:tcPr>
          <w:p w14:paraId="1A2C9603" w14:textId="77777777" w:rsidR="00577D08" w:rsidRDefault="00330FC0">
            <w:r>
              <w:rPr>
                <w:rFonts w:hint="eastAsia"/>
              </w:rPr>
              <w:t>5</w:t>
            </w:r>
            <w:r>
              <w:rPr>
                <w:rFonts w:hint="eastAsia"/>
              </w:rPr>
              <w:t>年以上</w:t>
            </w:r>
          </w:p>
        </w:tc>
        <w:tc>
          <w:tcPr>
            <w:tcW w:w="1276" w:type="pct"/>
          </w:tcPr>
          <w:p w14:paraId="3B83C28A" w14:textId="77777777" w:rsidR="00577D08" w:rsidRDefault="00330FC0">
            <w:pPr>
              <w:jc w:val="right"/>
            </w:pPr>
            <w:r>
              <w:t>22,208,173.68</w:t>
            </w:r>
          </w:p>
        </w:tc>
        <w:tc>
          <w:tcPr>
            <w:tcW w:w="1299" w:type="pct"/>
          </w:tcPr>
          <w:p w14:paraId="48CAEC9E" w14:textId="77777777" w:rsidR="00577D08" w:rsidRDefault="00330FC0">
            <w:pPr>
              <w:jc w:val="right"/>
            </w:pPr>
            <w:r>
              <w:t>22,208,173.68</w:t>
            </w:r>
          </w:p>
        </w:tc>
        <w:tc>
          <w:tcPr>
            <w:tcW w:w="1267" w:type="pct"/>
          </w:tcPr>
          <w:p w14:paraId="2BE443FD" w14:textId="77777777" w:rsidR="00577D08" w:rsidRDefault="00330FC0">
            <w:pPr>
              <w:jc w:val="right"/>
            </w:pPr>
            <w:r>
              <w:t>100.00</w:t>
            </w:r>
          </w:p>
        </w:tc>
      </w:tr>
      <w:tr w:rsidR="00577D08" w14:paraId="36D544B6" w14:textId="77777777">
        <w:tc>
          <w:tcPr>
            <w:tcW w:w="1158" w:type="pct"/>
            <w:vAlign w:val="center"/>
          </w:tcPr>
          <w:p w14:paraId="7BF483AC" w14:textId="77777777" w:rsidR="00577D08" w:rsidRDefault="00330FC0">
            <w:pPr>
              <w:jc w:val="center"/>
            </w:pPr>
            <w:r>
              <w:rPr>
                <w:rFonts w:hint="eastAsia"/>
              </w:rPr>
              <w:t>合计</w:t>
            </w:r>
          </w:p>
        </w:tc>
        <w:tc>
          <w:tcPr>
            <w:tcW w:w="1276" w:type="pct"/>
          </w:tcPr>
          <w:p w14:paraId="6E6C55E4" w14:textId="77777777" w:rsidR="00577D08" w:rsidRDefault="00330FC0">
            <w:pPr>
              <w:jc w:val="right"/>
            </w:pPr>
            <w:r>
              <w:t>2,146,282,529.48</w:t>
            </w:r>
          </w:p>
        </w:tc>
        <w:tc>
          <w:tcPr>
            <w:tcW w:w="1299" w:type="pct"/>
          </w:tcPr>
          <w:p w14:paraId="4D280822" w14:textId="77777777" w:rsidR="00577D08" w:rsidRDefault="00330FC0">
            <w:pPr>
              <w:jc w:val="right"/>
            </w:pPr>
            <w:r>
              <w:t>181,623,446.69</w:t>
            </w:r>
          </w:p>
        </w:tc>
        <w:tc>
          <w:tcPr>
            <w:tcW w:w="1267" w:type="pct"/>
          </w:tcPr>
          <w:p w14:paraId="13CCE762" w14:textId="77777777" w:rsidR="00577D08" w:rsidRDefault="00330FC0">
            <w:pPr>
              <w:jc w:val="right"/>
            </w:pPr>
            <w:r>
              <w:t>8.46</w:t>
            </w:r>
          </w:p>
        </w:tc>
      </w:tr>
    </w:tbl>
    <w:p w14:paraId="2EB9D71B" w14:textId="77777777" w:rsidR="00577D08" w:rsidRDefault="00330FC0">
      <w:r>
        <w:rPr>
          <w:rFonts w:hint="eastAsia"/>
        </w:rPr>
        <w:t>按组合计提坏账准备的说明：</w:t>
      </w:r>
    </w:p>
    <w:sdt>
      <w:sdtPr>
        <w:alias w:val="是否适用：按组合计提坏账准备的应收账款确认标准[双击切换]"/>
        <w:tag w:val="_GBC_d256dc36994548098f599f5c34cca3f5"/>
        <w:id w:val="-756052965"/>
        <w:placeholder>
          <w:docPart w:val="GBC22222222222222222222222222222"/>
        </w:placeholder>
      </w:sdtPr>
      <w:sdtContent>
        <w:p w14:paraId="2A7DEA3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9038A5" w14:textId="77777777" w:rsidR="00577D08" w:rsidRDefault="00330FC0">
      <w:pPr>
        <w:rPr>
          <w:rFonts w:cstheme="minorBidi"/>
          <w:bCs/>
          <w:szCs w:val="22"/>
        </w:rPr>
      </w:pPr>
      <w:bookmarkStart w:id="335" w:name="_Hlk154134618"/>
      <w:bookmarkStart w:id="336" w:name="_Hlk153357523"/>
      <w:bookmarkEnd w:id="334"/>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d4cb2336033407eaff135a13955b32a"/>
        <w:id w:val="-1708243733"/>
        <w:placeholder>
          <w:docPart w:val="GBC22222222222222222222222222222"/>
        </w:placeholder>
      </w:sdtPr>
      <w:sdtContent>
        <w:p w14:paraId="26D9EFE7" w14:textId="77777777" w:rsidR="00577D08" w:rsidRDefault="00330FC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11D54238"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fefa2e57cd9349fba804e9f0aa553bb9"/>
        <w:id w:val="-1729993318"/>
        <w:placeholder>
          <w:docPart w:val="GBC22222222222222222222222222222"/>
        </w:placeholder>
      </w:sdtPr>
      <w:sdtContent>
        <w:p w14:paraId="3D5A14E4" w14:textId="77777777" w:rsidR="00577D08" w:rsidRDefault="00330FC0">
          <w:pPr>
            <w:rPr>
              <w:bCs/>
              <w:szCs w:val="22"/>
            </w:rPr>
          </w:pPr>
          <w:r>
            <w:rPr>
              <w:rFonts w:hint="eastAsia"/>
              <w:bCs/>
              <w:szCs w:val="22"/>
            </w:rPr>
            <w:t>无</w:t>
          </w:r>
        </w:p>
      </w:sdtContent>
    </w:sdt>
    <w:p w14:paraId="43E051A9" w14:textId="77777777" w:rsidR="00577D08" w:rsidRDefault="00330FC0">
      <w:pPr>
        <w:pStyle w:val="affc"/>
      </w:pPr>
      <w:r>
        <w:rPr>
          <w:rFonts w:hint="eastAsia"/>
        </w:rPr>
        <w:t>对本期发生损失准备变动的应收账款账面余额显著变动的情况说明：</w:t>
      </w:r>
    </w:p>
    <w:sdt>
      <w:sdtPr>
        <w:alias w:val="是否适用：对本期发生损失准备变动的账面余额显著变动的情况说明[双击切换]"/>
        <w:tag w:val="_GBC_253db3108f924621ad49e8a14b359867"/>
        <w:id w:val="190420925"/>
        <w:placeholder>
          <w:docPart w:val="GBC22222222222222222222222222222"/>
        </w:placeholder>
      </w:sdtPr>
      <w:sdtContent>
        <w:p w14:paraId="0FA98A47"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62A7D03" w14:textId="77777777" w:rsidR="00577D08" w:rsidRDefault="00330FC0">
      <w:pPr>
        <w:pStyle w:val="4"/>
        <w:numPr>
          <w:ilvl w:val="3"/>
          <w:numId w:val="63"/>
        </w:numPr>
        <w:ind w:left="426" w:hanging="426"/>
        <w:rPr>
          <w:rFonts w:hint="eastAsia"/>
        </w:rPr>
      </w:pPr>
      <w:bookmarkStart w:id="337" w:name="_Hlk532991911"/>
      <w:bookmarkEnd w:id="335"/>
      <w:bookmarkEnd w:id="336"/>
      <w:r>
        <w:rPr>
          <w:rFonts w:hint="eastAsia"/>
        </w:rPr>
        <w:t>坏账准备的情况</w:t>
      </w:r>
    </w:p>
    <w:sdt>
      <w:sdtPr>
        <w:alias w:val="是否适用：应收账款坏账准备[双击切换]"/>
        <w:tag w:val="_GBC_9f417fa21150444abc4efab15ee99d53"/>
        <w:id w:val="513579810"/>
        <w:placeholder>
          <w:docPart w:val="GBC22222222222222222222222222222"/>
        </w:placeholder>
      </w:sdtPr>
      <w:sdtContent>
        <w:p w14:paraId="570AD745"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5F16395" w14:textId="044DE553" w:rsidR="00577D08" w:rsidRDefault="00330FC0">
      <w:pPr>
        <w:pStyle w:val="aff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8853244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r w:rsidR="00CC5C32">
            <w:rPr>
              <w:szCs w:val="21"/>
            </w:rPr>
            <w:t xml:space="preserve"> </w:t>
          </w:r>
        </w:sdtContent>
      </w:sdt>
      <w:r>
        <w:rPr>
          <w:rFonts w:hint="eastAsia"/>
          <w:szCs w:val="21"/>
        </w:rPr>
        <w:t>币种：</w:t>
      </w:r>
      <w:sdt>
        <w:sdtPr>
          <w:rPr>
            <w:rFonts w:hint="eastAsia"/>
            <w:szCs w:val="21"/>
          </w:rPr>
          <w:alias w:val="币种：应收账款坏账准备"/>
          <w:tag w:val="_GBC_0ea3ceddf10d4313a5111e5088ac98cf"/>
          <w:id w:val="-18233520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8"/>
        <w:gridCol w:w="1905"/>
        <w:gridCol w:w="2068"/>
        <w:gridCol w:w="1905"/>
        <w:gridCol w:w="1910"/>
        <w:gridCol w:w="1908"/>
        <w:gridCol w:w="1899"/>
      </w:tblGrid>
      <w:tr w:rsidR="00577D08" w14:paraId="7F683138" w14:textId="77777777">
        <w:sdt>
          <w:sdtPr>
            <w:tag w:val="_PLD_4744c2787819466dad3d228aea9d34a1"/>
            <w:id w:val="1770961485"/>
          </w:sdtPr>
          <w:sdtContent>
            <w:tc>
              <w:tcPr>
                <w:tcW w:w="818" w:type="pct"/>
                <w:vMerge w:val="restart"/>
                <w:shd w:val="clear" w:color="auto" w:fill="FFFFFF"/>
                <w:vAlign w:val="center"/>
              </w:tcPr>
              <w:p w14:paraId="28862C16" w14:textId="77777777" w:rsidR="00577D08" w:rsidRDefault="00330FC0">
                <w:pPr>
                  <w:widowControl w:val="0"/>
                  <w:jc w:val="center"/>
                </w:pPr>
                <w:r>
                  <w:t>类别</w:t>
                </w:r>
              </w:p>
            </w:tc>
          </w:sdtContent>
        </w:sdt>
        <w:sdt>
          <w:sdtPr>
            <w:tag w:val="_PLD_c730e797b90345869cdb1a0f449d27c4"/>
            <w:id w:val="-1826822013"/>
          </w:sdtPr>
          <w:sdtContent>
            <w:tc>
              <w:tcPr>
                <w:tcW w:w="687" w:type="pct"/>
                <w:vMerge w:val="restart"/>
                <w:shd w:val="clear" w:color="auto" w:fill="FFFFFF"/>
                <w:vAlign w:val="center"/>
              </w:tcPr>
              <w:p w14:paraId="3E56237B" w14:textId="77777777" w:rsidR="00577D08" w:rsidRDefault="00330FC0">
                <w:pPr>
                  <w:widowControl w:val="0"/>
                  <w:jc w:val="center"/>
                </w:pPr>
                <w:r>
                  <w:t>期初余额</w:t>
                </w:r>
              </w:p>
            </w:tc>
          </w:sdtContent>
        </w:sdt>
        <w:sdt>
          <w:sdtPr>
            <w:tag w:val="_PLD_b648ee5a72ff43aabfa5e5467354f612"/>
            <w:id w:val="1332408065"/>
          </w:sdtPr>
          <w:sdtContent>
            <w:tc>
              <w:tcPr>
                <w:tcW w:w="2810" w:type="pct"/>
                <w:gridSpan w:val="4"/>
                <w:shd w:val="clear" w:color="auto" w:fill="FFFFFF"/>
                <w:vAlign w:val="center"/>
              </w:tcPr>
              <w:p w14:paraId="099BF736" w14:textId="77777777" w:rsidR="00577D08" w:rsidRDefault="00330FC0">
                <w:pPr>
                  <w:widowControl w:val="0"/>
                  <w:jc w:val="center"/>
                </w:pPr>
                <w:r>
                  <w:rPr>
                    <w:rFonts w:hint="eastAsia"/>
                  </w:rPr>
                  <w:t>本期变动</w:t>
                </w:r>
                <w:r>
                  <w:t>金额</w:t>
                </w:r>
              </w:p>
            </w:tc>
          </w:sdtContent>
        </w:sdt>
        <w:sdt>
          <w:sdtPr>
            <w:tag w:val="_PLD_670842119a0446778c0343318379e7bb"/>
            <w:id w:val="2018105778"/>
          </w:sdtPr>
          <w:sdtContent>
            <w:tc>
              <w:tcPr>
                <w:tcW w:w="685" w:type="pct"/>
                <w:vMerge w:val="restart"/>
                <w:shd w:val="clear" w:color="auto" w:fill="FFFFFF"/>
                <w:vAlign w:val="center"/>
              </w:tcPr>
              <w:p w14:paraId="3F6777B5" w14:textId="77777777" w:rsidR="00577D08" w:rsidRDefault="00330FC0">
                <w:pPr>
                  <w:widowControl w:val="0"/>
                  <w:jc w:val="center"/>
                </w:pPr>
                <w:r>
                  <w:t>期末余额</w:t>
                </w:r>
              </w:p>
            </w:tc>
          </w:sdtContent>
        </w:sdt>
      </w:tr>
      <w:tr w:rsidR="00577D08" w14:paraId="3B1C26EC" w14:textId="77777777">
        <w:tc>
          <w:tcPr>
            <w:tcW w:w="818" w:type="pct"/>
            <w:vMerge/>
            <w:shd w:val="clear" w:color="auto" w:fill="FFFFFF"/>
            <w:vAlign w:val="center"/>
          </w:tcPr>
          <w:p w14:paraId="5B3522B5" w14:textId="77777777" w:rsidR="00577D08" w:rsidRDefault="00577D08">
            <w:pPr>
              <w:widowControl w:val="0"/>
              <w:jc w:val="center"/>
            </w:pPr>
          </w:p>
        </w:tc>
        <w:tc>
          <w:tcPr>
            <w:tcW w:w="687" w:type="pct"/>
            <w:vMerge/>
            <w:shd w:val="clear" w:color="auto" w:fill="FFFFFF"/>
            <w:vAlign w:val="center"/>
          </w:tcPr>
          <w:p w14:paraId="20817337" w14:textId="77777777" w:rsidR="00577D08" w:rsidRDefault="00577D08">
            <w:pPr>
              <w:widowControl w:val="0"/>
              <w:jc w:val="center"/>
            </w:pPr>
          </w:p>
        </w:tc>
        <w:sdt>
          <w:sdtPr>
            <w:tag w:val="_PLD_9f89b7b6eb974ea9b6438eecb96ab8d7"/>
            <w:id w:val="-404843695"/>
          </w:sdtPr>
          <w:sdtContent>
            <w:tc>
              <w:tcPr>
                <w:tcW w:w="746" w:type="pct"/>
                <w:shd w:val="clear" w:color="auto" w:fill="FFFFFF"/>
                <w:vAlign w:val="center"/>
              </w:tcPr>
              <w:p w14:paraId="212DC951" w14:textId="77777777" w:rsidR="00577D08" w:rsidRDefault="00330FC0">
                <w:pPr>
                  <w:widowControl w:val="0"/>
                  <w:jc w:val="center"/>
                </w:pPr>
                <w:r>
                  <w:t>计提</w:t>
                </w:r>
              </w:p>
            </w:tc>
          </w:sdtContent>
        </w:sdt>
        <w:sdt>
          <w:sdtPr>
            <w:tag w:val="_PLD_d83025520e1c49cb905bac81a5fe67a9"/>
            <w:id w:val="-86462928"/>
          </w:sdtPr>
          <w:sdtContent>
            <w:tc>
              <w:tcPr>
                <w:tcW w:w="687" w:type="pct"/>
                <w:shd w:val="clear" w:color="auto" w:fill="FFFFFF"/>
                <w:vAlign w:val="center"/>
              </w:tcPr>
              <w:p w14:paraId="7490F513" w14:textId="77777777" w:rsidR="00577D08" w:rsidRDefault="00330FC0">
                <w:pPr>
                  <w:widowControl w:val="0"/>
                  <w:jc w:val="center"/>
                </w:pPr>
                <w:r>
                  <w:rPr>
                    <w:rFonts w:hint="eastAsia"/>
                  </w:rPr>
                  <w:t>收回或转回</w:t>
                </w:r>
              </w:p>
            </w:tc>
          </w:sdtContent>
        </w:sdt>
        <w:tc>
          <w:tcPr>
            <w:tcW w:w="689" w:type="pct"/>
            <w:shd w:val="clear" w:color="auto" w:fill="FFFFFF"/>
            <w:vAlign w:val="center"/>
          </w:tcPr>
          <w:sdt>
            <w:sdtPr>
              <w:tag w:val="_PLD_43341cdf094c434589f9f5a4eeb8fb4a"/>
              <w:id w:val="-609737885"/>
            </w:sdtPr>
            <w:sdtContent>
              <w:p w14:paraId="7816D322" w14:textId="77777777" w:rsidR="00577D08" w:rsidRDefault="00330FC0">
                <w:pPr>
                  <w:widowControl w:val="0"/>
                  <w:jc w:val="center"/>
                </w:pPr>
                <w:r>
                  <w:rPr>
                    <w:rFonts w:hint="eastAsia"/>
                  </w:rPr>
                  <w:t>转销或核销</w:t>
                </w:r>
              </w:p>
            </w:sdtContent>
          </w:sdt>
        </w:tc>
        <w:tc>
          <w:tcPr>
            <w:tcW w:w="688" w:type="pct"/>
            <w:shd w:val="clear" w:color="auto" w:fill="FFFFFF"/>
            <w:vAlign w:val="center"/>
          </w:tcPr>
          <w:sdt>
            <w:sdtPr>
              <w:tag w:val="_PLD_4105509cd7cf412981897dd91879a014"/>
              <w:id w:val="-872846346"/>
            </w:sdtPr>
            <w:sdtContent>
              <w:p w14:paraId="1EAEBBA9" w14:textId="77777777" w:rsidR="00577D08" w:rsidRDefault="00330FC0">
                <w:pPr>
                  <w:widowControl w:val="0"/>
                  <w:jc w:val="center"/>
                </w:pPr>
                <w:r>
                  <w:rPr>
                    <w:rFonts w:hint="eastAsia"/>
                  </w:rPr>
                  <w:t>其他变动</w:t>
                </w:r>
              </w:p>
            </w:sdtContent>
          </w:sdt>
        </w:tc>
        <w:tc>
          <w:tcPr>
            <w:tcW w:w="685" w:type="pct"/>
            <w:vMerge/>
            <w:shd w:val="clear" w:color="auto" w:fill="FFFFFF"/>
            <w:vAlign w:val="center"/>
          </w:tcPr>
          <w:p w14:paraId="3062030F" w14:textId="77777777" w:rsidR="00577D08" w:rsidRDefault="00577D08">
            <w:pPr>
              <w:widowControl w:val="0"/>
              <w:jc w:val="right"/>
            </w:pPr>
          </w:p>
        </w:tc>
      </w:tr>
      <w:tr w:rsidR="00577D08" w14:paraId="3DE15E3C" w14:textId="77777777">
        <w:tc>
          <w:tcPr>
            <w:tcW w:w="818" w:type="pct"/>
          </w:tcPr>
          <w:p w14:paraId="420E08B8" w14:textId="77777777" w:rsidR="00577D08" w:rsidRDefault="00330FC0">
            <w:pPr>
              <w:widowControl w:val="0"/>
            </w:pPr>
            <w:r>
              <w:rPr>
                <w:rFonts w:hint="eastAsia"/>
              </w:rPr>
              <w:t>按单项计提坏账准备</w:t>
            </w:r>
          </w:p>
        </w:tc>
        <w:tc>
          <w:tcPr>
            <w:tcW w:w="687" w:type="pct"/>
          </w:tcPr>
          <w:p w14:paraId="2F7164A5" w14:textId="77777777" w:rsidR="00577D08" w:rsidRDefault="00330FC0">
            <w:pPr>
              <w:widowControl w:val="0"/>
              <w:jc w:val="right"/>
            </w:pPr>
            <w:r>
              <w:t>29,124,723.07</w:t>
            </w:r>
          </w:p>
        </w:tc>
        <w:tc>
          <w:tcPr>
            <w:tcW w:w="746" w:type="pct"/>
          </w:tcPr>
          <w:p w14:paraId="2C2ED3B4" w14:textId="77777777" w:rsidR="00577D08" w:rsidRDefault="00330FC0">
            <w:pPr>
              <w:widowControl w:val="0"/>
              <w:jc w:val="right"/>
            </w:pPr>
            <w:r>
              <w:t>5,125,229.65</w:t>
            </w:r>
          </w:p>
        </w:tc>
        <w:tc>
          <w:tcPr>
            <w:tcW w:w="687" w:type="pct"/>
          </w:tcPr>
          <w:p w14:paraId="1B7C57FD" w14:textId="77777777" w:rsidR="00577D08" w:rsidRDefault="00330FC0">
            <w:pPr>
              <w:widowControl w:val="0"/>
              <w:jc w:val="right"/>
            </w:pPr>
            <w:r>
              <w:t>522,289.71</w:t>
            </w:r>
          </w:p>
        </w:tc>
        <w:tc>
          <w:tcPr>
            <w:tcW w:w="689" w:type="pct"/>
          </w:tcPr>
          <w:p w14:paraId="0C485636" w14:textId="77777777" w:rsidR="00577D08" w:rsidRDefault="00330FC0">
            <w:pPr>
              <w:widowControl w:val="0"/>
              <w:jc w:val="right"/>
            </w:pPr>
            <w:r>
              <w:t>1,538,418.96</w:t>
            </w:r>
          </w:p>
        </w:tc>
        <w:tc>
          <w:tcPr>
            <w:tcW w:w="688" w:type="pct"/>
            <w:vAlign w:val="center"/>
          </w:tcPr>
          <w:p w14:paraId="4E200C2A" w14:textId="77777777" w:rsidR="00577D08" w:rsidRDefault="00577D08">
            <w:pPr>
              <w:widowControl w:val="0"/>
              <w:jc w:val="right"/>
            </w:pPr>
          </w:p>
        </w:tc>
        <w:tc>
          <w:tcPr>
            <w:tcW w:w="685" w:type="pct"/>
          </w:tcPr>
          <w:p w14:paraId="3E7F8A17" w14:textId="77777777" w:rsidR="00577D08" w:rsidRDefault="00330FC0">
            <w:pPr>
              <w:widowControl w:val="0"/>
              <w:jc w:val="right"/>
            </w:pPr>
            <w:r>
              <w:t>32,189,244.05</w:t>
            </w:r>
          </w:p>
        </w:tc>
      </w:tr>
      <w:tr w:rsidR="00577D08" w14:paraId="25E20EEF" w14:textId="77777777">
        <w:tc>
          <w:tcPr>
            <w:tcW w:w="818" w:type="pct"/>
          </w:tcPr>
          <w:p w14:paraId="09E90163" w14:textId="77777777" w:rsidR="00577D08" w:rsidRDefault="00330FC0">
            <w:pPr>
              <w:widowControl w:val="0"/>
            </w:pPr>
            <w:r>
              <w:rPr>
                <w:rFonts w:hint="eastAsia"/>
              </w:rPr>
              <w:t>按组合计提坏账准备</w:t>
            </w:r>
          </w:p>
        </w:tc>
        <w:tc>
          <w:tcPr>
            <w:tcW w:w="687" w:type="pct"/>
          </w:tcPr>
          <w:p w14:paraId="4AE6E16C" w14:textId="77777777" w:rsidR="00577D08" w:rsidRDefault="00330FC0">
            <w:pPr>
              <w:widowControl w:val="0"/>
              <w:jc w:val="right"/>
            </w:pPr>
            <w:r>
              <w:t>154,494,941.81</w:t>
            </w:r>
          </w:p>
        </w:tc>
        <w:tc>
          <w:tcPr>
            <w:tcW w:w="746" w:type="pct"/>
          </w:tcPr>
          <w:p w14:paraId="1662B764" w14:textId="77777777" w:rsidR="00577D08" w:rsidRDefault="00330FC0">
            <w:pPr>
              <w:widowControl w:val="0"/>
              <w:jc w:val="right"/>
            </w:pPr>
            <w:r>
              <w:t>27,270,504.88</w:t>
            </w:r>
          </w:p>
        </w:tc>
        <w:tc>
          <w:tcPr>
            <w:tcW w:w="687" w:type="pct"/>
          </w:tcPr>
          <w:p w14:paraId="642231EC" w14:textId="77777777" w:rsidR="00577D08" w:rsidRDefault="00577D08">
            <w:pPr>
              <w:widowControl w:val="0"/>
              <w:jc w:val="right"/>
            </w:pPr>
          </w:p>
        </w:tc>
        <w:tc>
          <w:tcPr>
            <w:tcW w:w="689" w:type="pct"/>
          </w:tcPr>
          <w:p w14:paraId="0EE2063A" w14:textId="77777777" w:rsidR="00577D08" w:rsidRDefault="00330FC0">
            <w:pPr>
              <w:widowControl w:val="0"/>
              <w:jc w:val="right"/>
            </w:pPr>
            <w:r>
              <w:t>142,000.00</w:t>
            </w:r>
          </w:p>
        </w:tc>
        <w:tc>
          <w:tcPr>
            <w:tcW w:w="688" w:type="pct"/>
            <w:vAlign w:val="center"/>
          </w:tcPr>
          <w:p w14:paraId="10158A3B" w14:textId="77777777" w:rsidR="00577D08" w:rsidRDefault="00577D08">
            <w:pPr>
              <w:widowControl w:val="0"/>
              <w:jc w:val="right"/>
            </w:pPr>
          </w:p>
        </w:tc>
        <w:tc>
          <w:tcPr>
            <w:tcW w:w="685" w:type="pct"/>
          </w:tcPr>
          <w:p w14:paraId="2564C4E3" w14:textId="77777777" w:rsidR="00577D08" w:rsidRDefault="00330FC0">
            <w:pPr>
              <w:widowControl w:val="0"/>
              <w:jc w:val="right"/>
            </w:pPr>
            <w:r>
              <w:t>181,623,446.69</w:t>
            </w:r>
          </w:p>
        </w:tc>
      </w:tr>
      <w:tr w:rsidR="00577D08" w14:paraId="0773B295" w14:textId="77777777">
        <w:tc>
          <w:tcPr>
            <w:tcW w:w="818" w:type="pct"/>
            <w:vAlign w:val="center"/>
          </w:tcPr>
          <w:p w14:paraId="6C63B1D3" w14:textId="77777777" w:rsidR="00577D08" w:rsidRDefault="00330FC0">
            <w:pPr>
              <w:widowControl w:val="0"/>
              <w:jc w:val="center"/>
            </w:pPr>
            <w:r>
              <w:rPr>
                <w:rFonts w:hint="eastAsia"/>
              </w:rPr>
              <w:t>合计</w:t>
            </w:r>
          </w:p>
        </w:tc>
        <w:tc>
          <w:tcPr>
            <w:tcW w:w="687" w:type="pct"/>
          </w:tcPr>
          <w:p w14:paraId="47A9E509" w14:textId="77777777" w:rsidR="00577D08" w:rsidRDefault="00330FC0">
            <w:pPr>
              <w:widowControl w:val="0"/>
              <w:jc w:val="right"/>
            </w:pPr>
            <w:r>
              <w:t>183,619,664.88</w:t>
            </w:r>
          </w:p>
        </w:tc>
        <w:tc>
          <w:tcPr>
            <w:tcW w:w="746" w:type="pct"/>
          </w:tcPr>
          <w:p w14:paraId="5BC46DFF" w14:textId="77777777" w:rsidR="00577D08" w:rsidRDefault="00330FC0">
            <w:pPr>
              <w:widowControl w:val="0"/>
              <w:jc w:val="right"/>
            </w:pPr>
            <w:r>
              <w:t>32,395,734.53</w:t>
            </w:r>
          </w:p>
        </w:tc>
        <w:tc>
          <w:tcPr>
            <w:tcW w:w="687" w:type="pct"/>
          </w:tcPr>
          <w:p w14:paraId="19BCC6C6" w14:textId="77777777" w:rsidR="00577D08" w:rsidRDefault="00330FC0">
            <w:pPr>
              <w:widowControl w:val="0"/>
              <w:jc w:val="right"/>
            </w:pPr>
            <w:r>
              <w:t>522,289.71</w:t>
            </w:r>
          </w:p>
        </w:tc>
        <w:tc>
          <w:tcPr>
            <w:tcW w:w="689" w:type="pct"/>
          </w:tcPr>
          <w:p w14:paraId="7A226C6C" w14:textId="77777777" w:rsidR="00577D08" w:rsidRDefault="00330FC0">
            <w:pPr>
              <w:widowControl w:val="0"/>
              <w:jc w:val="right"/>
            </w:pPr>
            <w:r>
              <w:t>1,680,418.96</w:t>
            </w:r>
          </w:p>
        </w:tc>
        <w:tc>
          <w:tcPr>
            <w:tcW w:w="688" w:type="pct"/>
            <w:vAlign w:val="center"/>
          </w:tcPr>
          <w:p w14:paraId="15A66AEA" w14:textId="77777777" w:rsidR="00577D08" w:rsidRDefault="00577D08">
            <w:pPr>
              <w:widowControl w:val="0"/>
              <w:jc w:val="right"/>
            </w:pPr>
          </w:p>
        </w:tc>
        <w:tc>
          <w:tcPr>
            <w:tcW w:w="685" w:type="pct"/>
          </w:tcPr>
          <w:p w14:paraId="2C605A44" w14:textId="77777777" w:rsidR="00577D08" w:rsidRDefault="00330FC0">
            <w:pPr>
              <w:widowControl w:val="0"/>
              <w:jc w:val="right"/>
            </w:pPr>
            <w:r>
              <w:t>213,812,690.74</w:t>
            </w:r>
          </w:p>
        </w:tc>
      </w:tr>
    </w:tbl>
    <w:bookmarkEnd w:id="337"/>
    <w:p w14:paraId="7C96A35D" w14:textId="77777777" w:rsidR="00577D08" w:rsidRDefault="00330FC0">
      <w:r>
        <w:rPr>
          <w:rFonts w:hint="eastAsia"/>
        </w:rPr>
        <w:t>其中本期坏账准备收回或转回金额重要的：</w:t>
      </w:r>
    </w:p>
    <w:sdt>
      <w:sdtPr>
        <w:alias w:val="是否适用：其中本期坏账准备收回或转回金额重要的[双击切换]"/>
        <w:tag w:val="_GBC_6da74212535e450f9d1465f00dddd00b"/>
        <w:id w:val="563618904"/>
        <w:placeholder>
          <w:docPart w:val="GBC22222222222222222222222222222"/>
        </w:placeholder>
      </w:sdtPr>
      <w:sdtContent>
        <w:p w14:paraId="3A06318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A7D75A" w14:textId="77777777" w:rsidR="00577D08" w:rsidRDefault="00330FC0">
      <w:r>
        <w:rPr>
          <w:rFonts w:hint="eastAsia"/>
        </w:rPr>
        <w:t>其他说明：</w:t>
      </w:r>
    </w:p>
    <w:sdt>
      <w:sdtPr>
        <w:alias w:val="应收账款坏账准备情况的说明"/>
        <w:tag w:val="_GBC_497841b0d4bf4697928b74836200c0fa"/>
        <w:id w:val="1426913261"/>
        <w:placeholder>
          <w:docPart w:val="GBC22222222222222222222222222222"/>
        </w:placeholder>
      </w:sdtPr>
      <w:sdtContent>
        <w:p w14:paraId="33FD451A" w14:textId="77777777" w:rsidR="00577D08" w:rsidRDefault="00330FC0">
          <w:pPr>
            <w:ind w:rightChars="20" w:right="42"/>
          </w:pPr>
          <w:r>
            <w:rPr>
              <w:rFonts w:hint="eastAsia"/>
            </w:rPr>
            <w:t>无</w:t>
          </w:r>
        </w:p>
      </w:sdtContent>
    </w:sdt>
    <w:p w14:paraId="1650D322" w14:textId="77777777" w:rsidR="00577D08" w:rsidRDefault="00330FC0">
      <w:pPr>
        <w:pStyle w:val="4"/>
        <w:numPr>
          <w:ilvl w:val="3"/>
          <w:numId w:val="63"/>
        </w:numPr>
        <w:ind w:left="426" w:hanging="426"/>
        <w:rPr>
          <w:rFonts w:hint="eastAsia"/>
        </w:rPr>
      </w:pPr>
      <w:r>
        <w:t>本期实际核销的应收</w:t>
      </w:r>
      <w:r>
        <w:rPr>
          <w:rFonts w:hint="eastAsia"/>
        </w:rPr>
        <w:t>账款</w:t>
      </w:r>
      <w:r>
        <w:t>情况</w:t>
      </w:r>
    </w:p>
    <w:sdt>
      <w:sdtPr>
        <w:alias w:val="是否适用：本期实际核销的应收账款情况[双击切换]"/>
        <w:tag w:val="_GBC_a6ff40b990b34b00968a4938eac82a74"/>
        <w:id w:val="-1536413216"/>
        <w:placeholder>
          <w:docPart w:val="GBC22222222222222222222222222222"/>
        </w:placeholder>
      </w:sdtPr>
      <w:sdtContent>
        <w:p w14:paraId="35C08D4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6F8B309" w14:textId="462A54F8" w:rsidR="00577D08" w:rsidRDefault="00330FC0">
      <w:pPr>
        <w:jc w:val="right"/>
      </w:pPr>
      <w:r>
        <w:rPr>
          <w:rFonts w:hint="eastAsia"/>
        </w:rPr>
        <w:t>单位：</w:t>
      </w:r>
      <w:sdt>
        <w:sdtPr>
          <w:rPr>
            <w:rFonts w:hint="eastAsia"/>
          </w:rPr>
          <w:alias w:val="单位：财务附注：本报告期实际核销的应收款项情况"/>
          <w:tag w:val="_GBC_120829dd17474bb7a477e3113cdeaa92"/>
          <w:id w:val="2095576827"/>
          <w:placeholder>
            <w:docPart w:val="5211D6F885A1441A8FB6AC35779D46DC"/>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本报告期实际核销的应收款项情况"/>
          <w:tag w:val="_GBC_23c46b534069436795b165d258eb279c"/>
          <w:id w:val="1566143939"/>
          <w:placeholder>
            <w:docPart w:val="5211D6F885A1441A8FB6AC35779D46D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6"/>
        <w:gridCol w:w="7317"/>
      </w:tblGrid>
      <w:tr w:rsidR="00577D08" w14:paraId="38EE531B" w14:textId="77777777">
        <w:sdt>
          <w:sdtPr>
            <w:tag w:val="_PLD_b31b4d2de9bc4878bfaf030b4ac7f864"/>
            <w:id w:val="242382159"/>
          </w:sdtPr>
          <w:sdtContent>
            <w:tc>
              <w:tcPr>
                <w:tcW w:w="2361" w:type="pct"/>
                <w:vAlign w:val="center"/>
              </w:tcPr>
              <w:p w14:paraId="7DF93CBA" w14:textId="77777777" w:rsidR="00577D08" w:rsidRDefault="00330FC0">
                <w:pPr>
                  <w:jc w:val="center"/>
                </w:pPr>
                <w:r>
                  <w:rPr>
                    <w:rFonts w:hint="eastAsia"/>
                  </w:rPr>
                  <w:t>项目</w:t>
                </w:r>
              </w:p>
            </w:tc>
          </w:sdtContent>
        </w:sdt>
        <w:sdt>
          <w:sdtPr>
            <w:tag w:val="_PLD_8157ba5967c14e4e821de564c4546b40"/>
            <w:id w:val="-1087227592"/>
          </w:sdtPr>
          <w:sdtContent>
            <w:tc>
              <w:tcPr>
                <w:tcW w:w="2639" w:type="pct"/>
                <w:vAlign w:val="center"/>
              </w:tcPr>
              <w:p w14:paraId="5D9BB151" w14:textId="77777777" w:rsidR="00577D08" w:rsidRDefault="00330FC0">
                <w:pPr>
                  <w:jc w:val="center"/>
                </w:pPr>
                <w:r>
                  <w:rPr>
                    <w:rFonts w:hint="eastAsia"/>
                  </w:rPr>
                  <w:t>核销金额</w:t>
                </w:r>
              </w:p>
            </w:tc>
          </w:sdtContent>
        </w:sdt>
      </w:tr>
      <w:tr w:rsidR="00577D08" w14:paraId="0812C6DC" w14:textId="77777777">
        <w:tc>
          <w:tcPr>
            <w:tcW w:w="2361" w:type="pct"/>
            <w:vAlign w:val="center"/>
          </w:tcPr>
          <w:p w14:paraId="29F7151E" w14:textId="77777777" w:rsidR="00577D08" w:rsidRDefault="00330FC0">
            <w:r>
              <w:rPr>
                <w:rFonts w:hint="eastAsia"/>
              </w:rPr>
              <w:t>实际核销的应收账款</w:t>
            </w:r>
          </w:p>
        </w:tc>
        <w:tc>
          <w:tcPr>
            <w:tcW w:w="2639" w:type="pct"/>
            <w:vAlign w:val="center"/>
          </w:tcPr>
          <w:p w14:paraId="06F1DF5E" w14:textId="77777777" w:rsidR="00577D08" w:rsidRDefault="00330FC0">
            <w:pPr>
              <w:jc w:val="right"/>
            </w:pPr>
            <w:r>
              <w:t>1,680,418.96</w:t>
            </w:r>
          </w:p>
        </w:tc>
      </w:tr>
    </w:tbl>
    <w:p w14:paraId="536391C1" w14:textId="77777777" w:rsidR="00577D08" w:rsidRDefault="00330FC0">
      <w:r>
        <w:rPr>
          <w:rFonts w:hint="eastAsia"/>
        </w:rPr>
        <w:t>其中重要的应收账款核销情况</w:t>
      </w:r>
    </w:p>
    <w:sdt>
      <w:sdtPr>
        <w:alias w:val="是否适用：其中重要的应收账款核销情况[双击切换]"/>
        <w:tag w:val="_GBC_3c12c3e5b4fd4acda2beb7a5cacacd97"/>
        <w:id w:val="-350334081"/>
        <w:placeholder>
          <w:docPart w:val="GBC22222222222222222222222222222"/>
        </w:placeholder>
      </w:sdtPr>
      <w:sdtContent>
        <w:p w14:paraId="2DDB7CE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8541B1C" w14:textId="77777777" w:rsidR="00577D08" w:rsidRDefault="00330FC0">
      <w:pPr>
        <w:snapToGrid w:val="0"/>
        <w:spacing w:line="240" w:lineRule="atLeast"/>
      </w:pPr>
      <w:r>
        <w:rPr>
          <w:rFonts w:hint="eastAsia"/>
        </w:rPr>
        <w:lastRenderedPageBreak/>
        <w:t>应收账款核销说明：</w:t>
      </w:r>
    </w:p>
    <w:sdt>
      <w:sdtPr>
        <w:alias w:val="是否适用：应收账款核销说明[双击切换]"/>
        <w:tag w:val="_GBC_e00d0b458c1b4b5f99d670e3f2a2b2e2"/>
        <w:id w:val="1789626756"/>
        <w:placeholder>
          <w:docPart w:val="GBC22222222222222222222222222222"/>
        </w:placeholder>
      </w:sdtPr>
      <w:sdtContent>
        <w:p w14:paraId="2DA0F5E9"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306C556" w14:textId="77777777" w:rsidR="00577D08" w:rsidRDefault="00330FC0">
      <w:pPr>
        <w:pStyle w:val="4"/>
        <w:numPr>
          <w:ilvl w:val="3"/>
          <w:numId w:val="63"/>
        </w:numPr>
        <w:ind w:left="426" w:hanging="426"/>
        <w:rPr>
          <w:rFonts w:hint="eastAsia"/>
        </w:rPr>
      </w:pPr>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384d0a1c7eac41bb9693117cbe9c7e5b"/>
        <w:id w:val="-525323149"/>
        <w:placeholder>
          <w:docPart w:val="GBC22222222222222222222222222222"/>
        </w:placeholder>
      </w:sdtPr>
      <w:sdtContent>
        <w:p w14:paraId="05CD37FB" w14:textId="77777777" w:rsidR="00577D08" w:rsidRDefault="00330FC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E95374" w14:textId="509C86FF" w:rsidR="00577D08" w:rsidRDefault="00330FC0">
      <w:pPr>
        <w:snapToGrid w:val="0"/>
        <w:spacing w:line="240" w:lineRule="atLeast"/>
        <w:jc w:val="right"/>
      </w:pPr>
      <w:r>
        <w:rPr>
          <w:rFonts w:hint="eastAsia"/>
        </w:rPr>
        <w:t>单位：</w:t>
      </w:r>
      <w:sdt>
        <w:sdtPr>
          <w:alias w:val="单位：财务附注：应收账款前五名欠款情况"/>
          <w:tag w:val="_GBC_95040abe54a0489f8b830082545a50f5"/>
          <w:id w:val="196176170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r w:rsidR="00CC5C32">
            <w:rPr>
              <w:rFonts w:hint="eastAsia"/>
            </w:rPr>
            <w:t xml:space="preserve"> </w:t>
          </w:r>
          <w:r w:rsidR="00CC5C32">
            <w:t xml:space="preserve"> </w:t>
          </w:r>
        </w:sdtContent>
      </w:sdt>
      <w:r>
        <w:rPr>
          <w:rFonts w:hint="eastAsia"/>
        </w:rPr>
        <w:t>币种：</w:t>
      </w:r>
      <w:sdt>
        <w:sdtPr>
          <w:rPr>
            <w:rFonts w:hint="eastAsia"/>
          </w:rPr>
          <w:alias w:val="币种：财务附注：应收账款前五名欠款情况"/>
          <w:tag w:val="_GBC_2e7ff062f76c406d86d744597244f24c"/>
          <w:id w:val="16454677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310"/>
        <w:gridCol w:w="2310"/>
        <w:gridCol w:w="2310"/>
        <w:gridCol w:w="2310"/>
        <w:gridCol w:w="2310"/>
      </w:tblGrid>
      <w:tr w:rsidR="00577D08" w14:paraId="6B508903" w14:textId="77777777">
        <w:trPr>
          <w:cantSplit/>
        </w:trPr>
        <w:sdt>
          <w:sdtPr>
            <w:tag w:val="_PLD_393da722a1e6440ebfe654baf23b690e"/>
            <w:id w:val="1654334547"/>
          </w:sdtPr>
          <w:sdtContent>
            <w:tc>
              <w:tcPr>
                <w:tcW w:w="834" w:type="pct"/>
                <w:vAlign w:val="center"/>
              </w:tcPr>
              <w:p w14:paraId="0E33569F" w14:textId="77777777" w:rsidR="00577D08" w:rsidRDefault="00330FC0">
                <w:pPr>
                  <w:ind w:right="105"/>
                  <w:jc w:val="center"/>
                </w:pPr>
                <w:r>
                  <w:rPr>
                    <w:rFonts w:hint="eastAsia"/>
                  </w:rPr>
                  <w:t>单位名称</w:t>
                </w:r>
              </w:p>
            </w:tc>
          </w:sdtContent>
        </w:sdt>
        <w:sdt>
          <w:sdtPr>
            <w:tag w:val="_PLD_e14b89c8ccbc4e1fbb83ed437d4f7c27"/>
            <w:id w:val="-677655864"/>
          </w:sdtPr>
          <w:sdtContent>
            <w:tc>
              <w:tcPr>
                <w:tcW w:w="833" w:type="pct"/>
                <w:vAlign w:val="center"/>
              </w:tcPr>
              <w:p w14:paraId="628EBE31" w14:textId="77777777" w:rsidR="00577D08" w:rsidRDefault="00330FC0">
                <w:pPr>
                  <w:ind w:right="73"/>
                  <w:jc w:val="center"/>
                </w:pPr>
                <w:r>
                  <w:rPr>
                    <w:rFonts w:hint="eastAsia"/>
                  </w:rPr>
                  <w:t>应收账款期末余额</w:t>
                </w:r>
              </w:p>
            </w:tc>
          </w:sdtContent>
        </w:sdt>
        <w:sdt>
          <w:sdtPr>
            <w:tag w:val="_PLD_9e781bfbeaa241238adba8f92d150259"/>
            <w:id w:val="-903758633"/>
          </w:sdtPr>
          <w:sdtContent>
            <w:tc>
              <w:tcPr>
                <w:tcW w:w="833" w:type="pct"/>
                <w:vAlign w:val="center"/>
              </w:tcPr>
              <w:p w14:paraId="192352FE" w14:textId="77777777" w:rsidR="00577D08" w:rsidRDefault="00330FC0">
                <w:pPr>
                  <w:jc w:val="center"/>
                </w:pPr>
                <w:r>
                  <w:rPr>
                    <w:rFonts w:hint="eastAsia"/>
                  </w:rPr>
                  <w:t>合同资产期末余额</w:t>
                </w:r>
              </w:p>
            </w:tc>
          </w:sdtContent>
        </w:sdt>
        <w:sdt>
          <w:sdtPr>
            <w:tag w:val="_PLD_666c0ccb3f21467e9e36a3c674bf8485"/>
            <w:id w:val="-688829140"/>
          </w:sdtPr>
          <w:sdtContent>
            <w:tc>
              <w:tcPr>
                <w:tcW w:w="833" w:type="pct"/>
                <w:vAlign w:val="center"/>
              </w:tcPr>
              <w:p w14:paraId="7B33910B" w14:textId="77777777" w:rsidR="00577D08" w:rsidRDefault="00330FC0">
                <w:pPr>
                  <w:jc w:val="center"/>
                </w:pPr>
                <w:r>
                  <w:rPr>
                    <w:rFonts w:hint="eastAsia"/>
                  </w:rPr>
                  <w:t>应收账款和合同资产期末余额</w:t>
                </w:r>
              </w:p>
            </w:tc>
          </w:sdtContent>
        </w:sdt>
        <w:sdt>
          <w:sdtPr>
            <w:tag w:val="_PLD_8b734501e3a344dda6644cb9d228c237"/>
            <w:id w:val="-230077493"/>
          </w:sdtPr>
          <w:sdtContent>
            <w:tc>
              <w:tcPr>
                <w:tcW w:w="833" w:type="pct"/>
                <w:vAlign w:val="center"/>
              </w:tcPr>
              <w:p w14:paraId="04504ABC" w14:textId="77777777" w:rsidR="00577D08" w:rsidRDefault="00330FC0">
                <w:pPr>
                  <w:jc w:val="center"/>
                </w:pPr>
                <w:r>
                  <w:rPr>
                    <w:rFonts w:hint="eastAsia"/>
                  </w:rPr>
                  <w:t>占应收账款和合同资产期末余额合计数的比例（</w:t>
                </w:r>
                <w:r>
                  <w:rPr>
                    <w:rFonts w:hint="eastAsia"/>
                  </w:rPr>
                  <w:t>%</w:t>
                </w:r>
                <w:r>
                  <w:rPr>
                    <w:rFonts w:hint="eastAsia"/>
                  </w:rPr>
                  <w:t>）</w:t>
                </w:r>
              </w:p>
            </w:tc>
          </w:sdtContent>
        </w:sdt>
        <w:sdt>
          <w:sdtPr>
            <w:tag w:val="_PLD_e198f1b6108c4fccacfc45ea46e8ff41"/>
            <w:id w:val="-19862822"/>
          </w:sdtPr>
          <w:sdtContent>
            <w:tc>
              <w:tcPr>
                <w:tcW w:w="833" w:type="pct"/>
                <w:vAlign w:val="center"/>
              </w:tcPr>
              <w:p w14:paraId="174FCBF7" w14:textId="77777777" w:rsidR="00577D08" w:rsidRDefault="00330FC0">
                <w:pPr>
                  <w:jc w:val="center"/>
                </w:pPr>
                <w:r>
                  <w:rPr>
                    <w:rFonts w:hint="eastAsia"/>
                  </w:rPr>
                  <w:t>坏账准备期末余额</w:t>
                </w:r>
              </w:p>
            </w:tc>
          </w:sdtContent>
        </w:sdt>
      </w:tr>
      <w:tr w:rsidR="00577D08" w14:paraId="628F733F" w14:textId="77777777">
        <w:trPr>
          <w:cantSplit/>
        </w:trPr>
        <w:tc>
          <w:tcPr>
            <w:tcW w:w="834" w:type="pct"/>
          </w:tcPr>
          <w:p w14:paraId="0BA52078" w14:textId="77777777" w:rsidR="00577D08" w:rsidRDefault="00330FC0">
            <w:pPr>
              <w:ind w:right="105"/>
            </w:pPr>
            <w:r>
              <w:rPr>
                <w:rFonts w:hint="eastAsia"/>
              </w:rPr>
              <w:t>中国铁建电气化局集团有限公司</w:t>
            </w:r>
          </w:p>
        </w:tc>
        <w:tc>
          <w:tcPr>
            <w:tcW w:w="833" w:type="pct"/>
            <w:vAlign w:val="center"/>
          </w:tcPr>
          <w:p w14:paraId="58DB501E" w14:textId="77777777" w:rsidR="00577D08" w:rsidRDefault="00330FC0">
            <w:pPr>
              <w:ind w:right="73"/>
              <w:jc w:val="right"/>
            </w:pPr>
            <w:r>
              <w:rPr>
                <w:rFonts w:hint="eastAsia"/>
              </w:rPr>
              <w:t>98,547,061.96</w:t>
            </w:r>
          </w:p>
        </w:tc>
        <w:tc>
          <w:tcPr>
            <w:tcW w:w="833" w:type="pct"/>
            <w:vAlign w:val="center"/>
          </w:tcPr>
          <w:p w14:paraId="709D7566" w14:textId="77777777" w:rsidR="00577D08" w:rsidRDefault="00577D08">
            <w:pPr>
              <w:jc w:val="right"/>
            </w:pPr>
          </w:p>
        </w:tc>
        <w:tc>
          <w:tcPr>
            <w:tcW w:w="833" w:type="pct"/>
            <w:vAlign w:val="center"/>
          </w:tcPr>
          <w:p w14:paraId="63ADB679" w14:textId="77777777" w:rsidR="00577D08" w:rsidRDefault="00330FC0">
            <w:pPr>
              <w:jc w:val="right"/>
            </w:pPr>
            <w:r>
              <w:rPr>
                <w:rFonts w:hint="eastAsia"/>
              </w:rPr>
              <w:t>98,547,061.96</w:t>
            </w:r>
          </w:p>
        </w:tc>
        <w:tc>
          <w:tcPr>
            <w:tcW w:w="833" w:type="pct"/>
            <w:vAlign w:val="center"/>
          </w:tcPr>
          <w:p w14:paraId="1A3E39DE" w14:textId="77777777" w:rsidR="00577D08" w:rsidRDefault="00330FC0">
            <w:pPr>
              <w:jc w:val="right"/>
            </w:pPr>
            <w:r>
              <w:rPr>
                <w:rFonts w:hint="eastAsia"/>
              </w:rPr>
              <w:t>4.51</w:t>
            </w:r>
          </w:p>
        </w:tc>
        <w:tc>
          <w:tcPr>
            <w:tcW w:w="833" w:type="pct"/>
            <w:vAlign w:val="center"/>
          </w:tcPr>
          <w:p w14:paraId="603EC16E" w14:textId="77777777" w:rsidR="00577D08" w:rsidRDefault="00330FC0">
            <w:pPr>
              <w:jc w:val="right"/>
            </w:pPr>
            <w:r>
              <w:rPr>
                <w:rFonts w:hint="eastAsia"/>
              </w:rPr>
              <w:t>8,221,995.37</w:t>
            </w:r>
          </w:p>
        </w:tc>
      </w:tr>
      <w:tr w:rsidR="00577D08" w14:paraId="31FFE8C3" w14:textId="77777777">
        <w:trPr>
          <w:cantSplit/>
        </w:trPr>
        <w:tc>
          <w:tcPr>
            <w:tcW w:w="834" w:type="pct"/>
          </w:tcPr>
          <w:p w14:paraId="3445335F" w14:textId="77777777" w:rsidR="00577D08" w:rsidRDefault="00330FC0">
            <w:pPr>
              <w:ind w:right="105"/>
            </w:pPr>
            <w:r>
              <w:rPr>
                <w:rFonts w:hint="eastAsia"/>
              </w:rPr>
              <w:t>中铁武汉电气化局集团有限公司</w:t>
            </w:r>
          </w:p>
        </w:tc>
        <w:tc>
          <w:tcPr>
            <w:tcW w:w="833" w:type="pct"/>
            <w:vAlign w:val="center"/>
          </w:tcPr>
          <w:p w14:paraId="5DD0842C" w14:textId="77777777" w:rsidR="00577D08" w:rsidRDefault="00330FC0">
            <w:pPr>
              <w:ind w:right="73"/>
              <w:jc w:val="right"/>
            </w:pPr>
            <w:r>
              <w:rPr>
                <w:rFonts w:hint="eastAsia"/>
              </w:rPr>
              <w:t>58,323,279.36</w:t>
            </w:r>
          </w:p>
        </w:tc>
        <w:tc>
          <w:tcPr>
            <w:tcW w:w="833" w:type="pct"/>
            <w:vAlign w:val="center"/>
          </w:tcPr>
          <w:p w14:paraId="236B82D3" w14:textId="77777777" w:rsidR="00577D08" w:rsidRDefault="00577D08">
            <w:pPr>
              <w:jc w:val="right"/>
            </w:pPr>
          </w:p>
        </w:tc>
        <w:tc>
          <w:tcPr>
            <w:tcW w:w="833" w:type="pct"/>
            <w:vAlign w:val="center"/>
          </w:tcPr>
          <w:p w14:paraId="6E868F46" w14:textId="77777777" w:rsidR="00577D08" w:rsidRDefault="00330FC0">
            <w:pPr>
              <w:jc w:val="right"/>
            </w:pPr>
            <w:r>
              <w:rPr>
                <w:rFonts w:hint="eastAsia"/>
              </w:rPr>
              <w:t>58,323,279.36</w:t>
            </w:r>
          </w:p>
        </w:tc>
        <w:tc>
          <w:tcPr>
            <w:tcW w:w="833" w:type="pct"/>
            <w:vAlign w:val="center"/>
          </w:tcPr>
          <w:p w14:paraId="3B335A3B" w14:textId="77777777" w:rsidR="00577D08" w:rsidRDefault="00330FC0">
            <w:pPr>
              <w:jc w:val="right"/>
            </w:pPr>
            <w:r>
              <w:rPr>
                <w:rFonts w:hint="eastAsia"/>
              </w:rPr>
              <w:t>2.67</w:t>
            </w:r>
          </w:p>
        </w:tc>
        <w:tc>
          <w:tcPr>
            <w:tcW w:w="833" w:type="pct"/>
            <w:vAlign w:val="center"/>
          </w:tcPr>
          <w:p w14:paraId="3C194F31" w14:textId="77777777" w:rsidR="00577D08" w:rsidRDefault="00330FC0">
            <w:pPr>
              <w:jc w:val="right"/>
            </w:pPr>
            <w:r>
              <w:rPr>
                <w:rFonts w:hint="eastAsia"/>
              </w:rPr>
              <w:t>4,174,152.52</w:t>
            </w:r>
          </w:p>
        </w:tc>
      </w:tr>
      <w:tr w:rsidR="00577D08" w14:paraId="252701D6" w14:textId="77777777">
        <w:trPr>
          <w:cantSplit/>
        </w:trPr>
        <w:tc>
          <w:tcPr>
            <w:tcW w:w="834" w:type="pct"/>
          </w:tcPr>
          <w:p w14:paraId="41915223" w14:textId="77777777" w:rsidR="00577D08" w:rsidRDefault="00330FC0">
            <w:pPr>
              <w:ind w:right="105"/>
            </w:pPr>
            <w:r>
              <w:rPr>
                <w:rFonts w:hint="eastAsia"/>
              </w:rPr>
              <w:t>京昆高速铁路西昆有限公司</w:t>
            </w:r>
          </w:p>
        </w:tc>
        <w:tc>
          <w:tcPr>
            <w:tcW w:w="833" w:type="pct"/>
            <w:vAlign w:val="center"/>
          </w:tcPr>
          <w:p w14:paraId="7F08E59F" w14:textId="77777777" w:rsidR="00577D08" w:rsidRDefault="00330FC0">
            <w:pPr>
              <w:ind w:right="73"/>
              <w:jc w:val="right"/>
            </w:pPr>
            <w:r>
              <w:rPr>
                <w:rFonts w:hint="eastAsia"/>
              </w:rPr>
              <w:t>37,676,000.00</w:t>
            </w:r>
          </w:p>
        </w:tc>
        <w:tc>
          <w:tcPr>
            <w:tcW w:w="833" w:type="pct"/>
            <w:vAlign w:val="center"/>
          </w:tcPr>
          <w:p w14:paraId="135E0DF5" w14:textId="77777777" w:rsidR="00577D08" w:rsidRDefault="00577D08">
            <w:pPr>
              <w:jc w:val="right"/>
            </w:pPr>
          </w:p>
        </w:tc>
        <w:tc>
          <w:tcPr>
            <w:tcW w:w="833" w:type="pct"/>
            <w:vAlign w:val="center"/>
          </w:tcPr>
          <w:p w14:paraId="1A4A39F6" w14:textId="77777777" w:rsidR="00577D08" w:rsidRDefault="00330FC0">
            <w:pPr>
              <w:jc w:val="right"/>
            </w:pPr>
            <w:r>
              <w:rPr>
                <w:rFonts w:hint="eastAsia"/>
              </w:rPr>
              <w:t>37,676,000.00</w:t>
            </w:r>
          </w:p>
        </w:tc>
        <w:tc>
          <w:tcPr>
            <w:tcW w:w="833" w:type="pct"/>
            <w:vAlign w:val="center"/>
          </w:tcPr>
          <w:p w14:paraId="2C9E508F" w14:textId="77777777" w:rsidR="00577D08" w:rsidRDefault="00330FC0">
            <w:pPr>
              <w:jc w:val="right"/>
            </w:pPr>
            <w:r>
              <w:rPr>
                <w:rFonts w:hint="eastAsia"/>
              </w:rPr>
              <w:t>1.73</w:t>
            </w:r>
          </w:p>
        </w:tc>
        <w:tc>
          <w:tcPr>
            <w:tcW w:w="833" w:type="pct"/>
            <w:vAlign w:val="center"/>
          </w:tcPr>
          <w:p w14:paraId="50854EA5" w14:textId="77777777" w:rsidR="00577D08" w:rsidRDefault="00330FC0">
            <w:pPr>
              <w:jc w:val="right"/>
            </w:pPr>
            <w:r>
              <w:rPr>
                <w:rFonts w:hint="eastAsia"/>
              </w:rPr>
              <w:t>1,883,800.00</w:t>
            </w:r>
          </w:p>
        </w:tc>
      </w:tr>
      <w:tr w:rsidR="00577D08" w14:paraId="72EDE720" w14:textId="77777777">
        <w:trPr>
          <w:cantSplit/>
        </w:trPr>
        <w:tc>
          <w:tcPr>
            <w:tcW w:w="834" w:type="pct"/>
          </w:tcPr>
          <w:p w14:paraId="647E25D0" w14:textId="77777777" w:rsidR="00577D08" w:rsidRDefault="00330FC0">
            <w:pPr>
              <w:ind w:right="105"/>
            </w:pPr>
            <w:r>
              <w:rPr>
                <w:rFonts w:hint="eastAsia"/>
              </w:rPr>
              <w:t>中铁武汉电气化局集团物资贸易有限公司</w:t>
            </w:r>
          </w:p>
        </w:tc>
        <w:tc>
          <w:tcPr>
            <w:tcW w:w="833" w:type="pct"/>
            <w:vAlign w:val="center"/>
          </w:tcPr>
          <w:p w14:paraId="567D89CF" w14:textId="77777777" w:rsidR="00577D08" w:rsidRDefault="00330FC0">
            <w:pPr>
              <w:ind w:right="73"/>
              <w:jc w:val="right"/>
            </w:pPr>
            <w:r>
              <w:rPr>
                <w:rFonts w:hint="eastAsia"/>
              </w:rPr>
              <w:t>29,995,044.24</w:t>
            </w:r>
          </w:p>
        </w:tc>
        <w:tc>
          <w:tcPr>
            <w:tcW w:w="833" w:type="pct"/>
            <w:vAlign w:val="center"/>
          </w:tcPr>
          <w:p w14:paraId="291C9D99" w14:textId="77777777" w:rsidR="00577D08" w:rsidRDefault="00577D08">
            <w:pPr>
              <w:jc w:val="right"/>
            </w:pPr>
          </w:p>
        </w:tc>
        <w:tc>
          <w:tcPr>
            <w:tcW w:w="833" w:type="pct"/>
            <w:vAlign w:val="center"/>
          </w:tcPr>
          <w:p w14:paraId="49D6B06D" w14:textId="77777777" w:rsidR="00577D08" w:rsidRDefault="00330FC0">
            <w:pPr>
              <w:jc w:val="right"/>
            </w:pPr>
            <w:r>
              <w:rPr>
                <w:rFonts w:hint="eastAsia"/>
              </w:rPr>
              <w:t>29,995,044.24</w:t>
            </w:r>
          </w:p>
        </w:tc>
        <w:tc>
          <w:tcPr>
            <w:tcW w:w="833" w:type="pct"/>
            <w:vAlign w:val="center"/>
          </w:tcPr>
          <w:p w14:paraId="4C3B2821" w14:textId="77777777" w:rsidR="00577D08" w:rsidRDefault="00330FC0">
            <w:pPr>
              <w:jc w:val="right"/>
            </w:pPr>
            <w:r>
              <w:rPr>
                <w:rFonts w:hint="eastAsia"/>
              </w:rPr>
              <w:t>1.37</w:t>
            </w:r>
          </w:p>
        </w:tc>
        <w:tc>
          <w:tcPr>
            <w:tcW w:w="833" w:type="pct"/>
            <w:vAlign w:val="center"/>
          </w:tcPr>
          <w:p w14:paraId="147F4E5C" w14:textId="77777777" w:rsidR="00577D08" w:rsidRDefault="00330FC0">
            <w:pPr>
              <w:jc w:val="right"/>
            </w:pPr>
            <w:r>
              <w:rPr>
                <w:rFonts w:hint="eastAsia"/>
              </w:rPr>
              <w:t>1,499,752.21</w:t>
            </w:r>
          </w:p>
        </w:tc>
      </w:tr>
      <w:tr w:rsidR="00577D08" w14:paraId="0D565666" w14:textId="77777777">
        <w:trPr>
          <w:cantSplit/>
        </w:trPr>
        <w:tc>
          <w:tcPr>
            <w:tcW w:w="834" w:type="pct"/>
          </w:tcPr>
          <w:p w14:paraId="2BC8B04F" w14:textId="77777777" w:rsidR="00577D08" w:rsidRDefault="00330FC0">
            <w:pPr>
              <w:ind w:right="105"/>
            </w:pPr>
            <w:r>
              <w:rPr>
                <w:rFonts w:hint="eastAsia"/>
              </w:rPr>
              <w:t>中国电建集团重庆工程有限公司</w:t>
            </w:r>
          </w:p>
        </w:tc>
        <w:tc>
          <w:tcPr>
            <w:tcW w:w="833" w:type="pct"/>
            <w:vAlign w:val="center"/>
          </w:tcPr>
          <w:p w14:paraId="4D209FF0" w14:textId="77777777" w:rsidR="00577D08" w:rsidRDefault="00330FC0">
            <w:pPr>
              <w:ind w:right="73"/>
              <w:jc w:val="right"/>
            </w:pPr>
            <w:r>
              <w:rPr>
                <w:rFonts w:hint="eastAsia"/>
              </w:rPr>
              <w:t>26,357,153.34</w:t>
            </w:r>
          </w:p>
        </w:tc>
        <w:tc>
          <w:tcPr>
            <w:tcW w:w="833" w:type="pct"/>
            <w:vAlign w:val="center"/>
          </w:tcPr>
          <w:p w14:paraId="77A4A0D6" w14:textId="77777777" w:rsidR="00577D08" w:rsidRDefault="00577D08">
            <w:pPr>
              <w:jc w:val="right"/>
            </w:pPr>
          </w:p>
        </w:tc>
        <w:tc>
          <w:tcPr>
            <w:tcW w:w="833" w:type="pct"/>
            <w:vAlign w:val="center"/>
          </w:tcPr>
          <w:p w14:paraId="01BB2C1B" w14:textId="77777777" w:rsidR="00577D08" w:rsidRDefault="00330FC0">
            <w:pPr>
              <w:jc w:val="right"/>
            </w:pPr>
            <w:r>
              <w:rPr>
                <w:rFonts w:hint="eastAsia"/>
              </w:rPr>
              <w:t>26,357,153.34</w:t>
            </w:r>
          </w:p>
        </w:tc>
        <w:tc>
          <w:tcPr>
            <w:tcW w:w="833" w:type="pct"/>
            <w:vAlign w:val="center"/>
          </w:tcPr>
          <w:p w14:paraId="0497ACC1" w14:textId="77777777" w:rsidR="00577D08" w:rsidRDefault="00330FC0">
            <w:pPr>
              <w:jc w:val="right"/>
            </w:pPr>
            <w:r>
              <w:rPr>
                <w:rFonts w:hint="eastAsia"/>
              </w:rPr>
              <w:t>1.21</w:t>
            </w:r>
          </w:p>
        </w:tc>
        <w:tc>
          <w:tcPr>
            <w:tcW w:w="833" w:type="pct"/>
            <w:vAlign w:val="center"/>
          </w:tcPr>
          <w:p w14:paraId="49CB0A48" w14:textId="77777777" w:rsidR="00577D08" w:rsidRDefault="00330FC0">
            <w:pPr>
              <w:jc w:val="right"/>
            </w:pPr>
            <w:r>
              <w:rPr>
                <w:rFonts w:hint="eastAsia"/>
              </w:rPr>
              <w:t>1,471,074.28</w:t>
            </w:r>
          </w:p>
        </w:tc>
      </w:tr>
      <w:tr w:rsidR="00577D08" w14:paraId="288F86E8" w14:textId="77777777">
        <w:trPr>
          <w:cantSplit/>
        </w:trPr>
        <w:tc>
          <w:tcPr>
            <w:tcW w:w="834" w:type="pct"/>
            <w:vAlign w:val="center"/>
          </w:tcPr>
          <w:p w14:paraId="443D40F9" w14:textId="77777777" w:rsidR="00577D08" w:rsidRDefault="00330FC0">
            <w:pPr>
              <w:ind w:right="105"/>
              <w:jc w:val="center"/>
            </w:pPr>
            <w:r>
              <w:rPr>
                <w:rFonts w:hint="eastAsia"/>
              </w:rPr>
              <w:t>合计</w:t>
            </w:r>
          </w:p>
        </w:tc>
        <w:tc>
          <w:tcPr>
            <w:tcW w:w="833" w:type="pct"/>
          </w:tcPr>
          <w:p w14:paraId="7CF279F4" w14:textId="77777777" w:rsidR="00577D08" w:rsidRDefault="00330FC0">
            <w:pPr>
              <w:ind w:right="73"/>
              <w:jc w:val="right"/>
            </w:pPr>
            <w:r>
              <w:t>250,898,538.90</w:t>
            </w:r>
          </w:p>
        </w:tc>
        <w:tc>
          <w:tcPr>
            <w:tcW w:w="833" w:type="pct"/>
          </w:tcPr>
          <w:p w14:paraId="7D3D7C40" w14:textId="77777777" w:rsidR="00577D08" w:rsidRDefault="00577D08">
            <w:pPr>
              <w:jc w:val="right"/>
            </w:pPr>
          </w:p>
        </w:tc>
        <w:tc>
          <w:tcPr>
            <w:tcW w:w="833" w:type="pct"/>
          </w:tcPr>
          <w:p w14:paraId="3AD491C5" w14:textId="77777777" w:rsidR="00577D08" w:rsidRDefault="00330FC0">
            <w:pPr>
              <w:jc w:val="right"/>
            </w:pPr>
            <w:r>
              <w:t>250,898,538.90</w:t>
            </w:r>
          </w:p>
        </w:tc>
        <w:tc>
          <w:tcPr>
            <w:tcW w:w="833" w:type="pct"/>
          </w:tcPr>
          <w:p w14:paraId="07E90969" w14:textId="77777777" w:rsidR="00577D08" w:rsidRDefault="00330FC0">
            <w:pPr>
              <w:jc w:val="right"/>
            </w:pPr>
            <w:r>
              <w:t>11.49</w:t>
            </w:r>
          </w:p>
        </w:tc>
        <w:tc>
          <w:tcPr>
            <w:tcW w:w="833" w:type="pct"/>
          </w:tcPr>
          <w:p w14:paraId="121AC8A1" w14:textId="77777777" w:rsidR="00577D08" w:rsidRDefault="00330FC0">
            <w:pPr>
              <w:jc w:val="right"/>
            </w:pPr>
            <w:r>
              <w:t>17,250,774.38</w:t>
            </w:r>
          </w:p>
        </w:tc>
      </w:tr>
    </w:tbl>
    <w:p w14:paraId="25373186" w14:textId="77777777" w:rsidR="00577D08" w:rsidRDefault="00330FC0">
      <w:pPr>
        <w:snapToGrid w:val="0"/>
        <w:spacing w:line="240" w:lineRule="atLeast"/>
      </w:pPr>
      <w:r>
        <w:rPr>
          <w:rFonts w:hint="eastAsia"/>
        </w:rPr>
        <w:t>其他说明：</w:t>
      </w:r>
    </w:p>
    <w:sdt>
      <w:sdtPr>
        <w:alias w:val="按欠款方归集的期末余额前五名的应收账款情况的说明"/>
        <w:tag w:val="_GBC_c00993263f034b6b95498635f166760d"/>
        <w:id w:val="221724459"/>
        <w:placeholder>
          <w:docPart w:val="GBC22222222222222222222222222222"/>
        </w:placeholder>
      </w:sdtPr>
      <w:sdtContent>
        <w:p w14:paraId="5173A0D8" w14:textId="77777777" w:rsidR="00577D08" w:rsidRDefault="00330FC0">
          <w:pPr>
            <w:snapToGrid w:val="0"/>
            <w:spacing w:line="240" w:lineRule="atLeast"/>
          </w:pPr>
          <w:r>
            <w:rPr>
              <w:rFonts w:hint="eastAsia"/>
            </w:rPr>
            <w:t>无</w:t>
          </w:r>
        </w:p>
      </w:sdtContent>
    </w:sdt>
    <w:p w14:paraId="5BEE5D07" w14:textId="77777777" w:rsidR="00577D08" w:rsidRDefault="00330FC0">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1480531266"/>
        <w:placeholder>
          <w:docPart w:val="GBC22222222222222222222222222222"/>
        </w:placeholder>
      </w:sdtPr>
      <w:sdtContent>
        <w:p w14:paraId="6273B839"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C6F4504" w14:textId="77777777" w:rsidR="00577D08" w:rsidRDefault="00577D08"/>
    <w:p w14:paraId="23B769EB" w14:textId="77777777" w:rsidR="00577D08" w:rsidRDefault="00577D08">
      <w:pPr>
        <w:sectPr w:rsidR="00577D08">
          <w:pgSz w:w="16838" w:h="11906" w:orient="landscape"/>
          <w:pgMar w:top="1276" w:right="1440" w:bottom="1797" w:left="1525" w:header="856" w:footer="992" w:gutter="0"/>
          <w:cols w:space="425"/>
          <w:docGrid w:linePitch="312"/>
        </w:sectPr>
      </w:pPr>
    </w:p>
    <w:p w14:paraId="4E673071" w14:textId="77777777" w:rsidR="00577D08" w:rsidRDefault="00577D08"/>
    <w:p w14:paraId="67BA313F" w14:textId="77777777" w:rsidR="00577D08" w:rsidRDefault="00330FC0">
      <w:pPr>
        <w:pStyle w:val="3"/>
        <w:numPr>
          <w:ilvl w:val="0"/>
          <w:numId w:val="61"/>
        </w:numPr>
        <w:tabs>
          <w:tab w:val="left" w:pos="504"/>
        </w:tabs>
      </w:pPr>
      <w:bookmarkStart w:id="338" w:name="_Hlk533409560"/>
      <w:r>
        <w:rPr>
          <w:rFonts w:hint="eastAsia"/>
        </w:rPr>
        <w:t>合同资产</w:t>
      </w:r>
    </w:p>
    <w:p w14:paraId="6D0021B0" w14:textId="77777777" w:rsidR="00577D08" w:rsidRDefault="00330FC0">
      <w:pPr>
        <w:pStyle w:val="4"/>
        <w:numPr>
          <w:ilvl w:val="3"/>
          <w:numId w:val="64"/>
        </w:numPr>
        <w:ind w:left="426" w:hanging="426"/>
        <w:rPr>
          <w:rFonts w:hint="eastAsia"/>
        </w:rPr>
      </w:pPr>
      <w:bookmarkStart w:id="339" w:name="_Hlk532992678"/>
      <w:r>
        <w:rPr>
          <w:rFonts w:hint="eastAsia"/>
        </w:rPr>
        <w:t>合同资产情况</w:t>
      </w:r>
    </w:p>
    <w:sdt>
      <w:sdtPr>
        <w:alias w:val="是否适用：合同资产情况[双击切换]"/>
        <w:tag w:val="_GBC_71da29cd2c0f4ec4a2849d6760e0ec90"/>
        <w:id w:val="426699838"/>
        <w:placeholder>
          <w:docPart w:val="GBC22222222222222222222222222222"/>
        </w:placeholder>
      </w:sdtPr>
      <w:sdtContent>
        <w:p w14:paraId="39195B0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CC68373" w14:textId="77777777" w:rsidR="00577D08" w:rsidRDefault="00330FC0">
      <w:pPr>
        <w:pStyle w:val="4"/>
        <w:numPr>
          <w:ilvl w:val="3"/>
          <w:numId w:val="64"/>
        </w:numPr>
        <w:ind w:left="426" w:hanging="426"/>
        <w:rPr>
          <w:rFonts w:hint="eastAsia"/>
        </w:rPr>
      </w:pPr>
      <w:bookmarkStart w:id="340" w:name="_Hlk532993169"/>
      <w:bookmarkEnd w:id="338"/>
      <w:bookmarkEnd w:id="339"/>
      <w:r>
        <w:rPr>
          <w:rFonts w:hint="eastAsia"/>
        </w:rPr>
        <w:t>报告期内账面价值发生重大变动的金额和原因</w:t>
      </w:r>
    </w:p>
    <w:sdt>
      <w:sdtPr>
        <w:alias w:val="是否适用：合同资产账面价值发生重大变动[双击切换]"/>
        <w:tag w:val="_GBC_d707053a57f34cbab810279b617bfcc7"/>
        <w:id w:val="605851874"/>
        <w:placeholder>
          <w:docPart w:val="GBC22222222222222222222222222222"/>
        </w:placeholder>
      </w:sdtPr>
      <w:sdtContent>
        <w:p w14:paraId="06AD8D1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09D184" w14:textId="77777777" w:rsidR="00577D08" w:rsidRDefault="00330FC0">
      <w:pPr>
        <w:pStyle w:val="4"/>
        <w:numPr>
          <w:ilvl w:val="3"/>
          <w:numId w:val="64"/>
        </w:numPr>
        <w:ind w:left="426" w:hanging="426"/>
        <w:rPr>
          <w:rFonts w:ascii="宋体" w:eastAsia="宋体" w:hAnsi="宋体" w:cs="宋体" w:hint="eastAsia"/>
          <w:kern w:val="0"/>
          <w:szCs w:val="24"/>
        </w:rPr>
      </w:pPr>
      <w:bookmarkStart w:id="341" w:name="_Hlk153378989"/>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6dd4a97ab67f497ba65822d927d1d29e"/>
        <w:id w:val="375129535"/>
        <w:placeholder>
          <w:docPart w:val="GBC22222222222222222222222222222"/>
        </w:placeholder>
      </w:sdtPr>
      <w:sdtContent>
        <w:p w14:paraId="52B796F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8272552" w14:textId="77777777" w:rsidR="00577D08" w:rsidRDefault="00330FC0">
      <w:r>
        <w:rPr>
          <w:rFonts w:hint="eastAsia"/>
        </w:rPr>
        <w:t>按单项计提坏账准备：</w:t>
      </w:r>
    </w:p>
    <w:sdt>
      <w:sdtPr>
        <w:alias w:val="是否适用：按单项计提坏账准备的详细情况[双击切换]"/>
        <w:tag w:val="_GBC_0ab170ec63fb435387c8b835e9d77a54"/>
        <w:id w:val="-1686890695"/>
        <w:placeholder>
          <w:docPart w:val="GBC22222222222222222222222222222"/>
        </w:placeholder>
      </w:sdtPr>
      <w:sdtContent>
        <w:p w14:paraId="40CF9F5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820C3AA" w14:textId="77777777" w:rsidR="00577D08" w:rsidRDefault="00330FC0">
      <w:r>
        <w:rPr>
          <w:rFonts w:hint="eastAsia"/>
        </w:rPr>
        <w:t>按单项计提坏账准备的说明：</w:t>
      </w:r>
    </w:p>
    <w:sdt>
      <w:sdtPr>
        <w:alias w:val="是否适用：按单项计提坏账准备的说明[双击切换]"/>
        <w:tag w:val="_GBC_0aa7517d534e4bfeae4b430fe21b3412"/>
        <w:id w:val="2124187826"/>
        <w:placeholder>
          <w:docPart w:val="GBC22222222222222222222222222222"/>
        </w:placeholder>
      </w:sdtPr>
      <w:sdtContent>
        <w:p w14:paraId="1BFF42A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AACB7BE" w14:textId="77777777" w:rsidR="00577D08" w:rsidRDefault="00330FC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dd62dad60e90472bb2ac73e80b2edb97"/>
        <w:id w:val="-789503655"/>
        <w:placeholder>
          <w:docPart w:val="GBC22222222222222222222222222222"/>
        </w:placeholder>
      </w:sdtPr>
      <w:sdtContent>
        <w:p w14:paraId="3F11BAE8" w14:textId="77777777" w:rsidR="00577D08" w:rsidRDefault="00330FC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263C29AE" w14:textId="77777777" w:rsidR="00577D08" w:rsidRDefault="00330FC0">
      <w:pPr>
        <w:rPr>
          <w:rFonts w:cstheme="minorBidi"/>
          <w:bCs/>
          <w:szCs w:val="22"/>
        </w:rPr>
      </w:pPr>
      <w:bookmarkStart w:id="342" w:name="_Hlk154135145"/>
      <w:bookmarkStart w:id="343" w:name="_Hlk153379126"/>
      <w:bookmarkEnd w:id="341"/>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af66bce1fada4aaa845a8f566731a4cf"/>
        <w:id w:val="1685096260"/>
        <w:placeholder>
          <w:docPart w:val="GBC22222222222222222222222222222"/>
        </w:placeholder>
      </w:sdtPr>
      <w:sdtContent>
        <w:p w14:paraId="6D17B20E" w14:textId="77777777" w:rsidR="00577D08" w:rsidRDefault="00330FC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4116A59E"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a54eb55cbb24473b8392e013b4be1c8a"/>
        <w:id w:val="402880656"/>
        <w:placeholder>
          <w:docPart w:val="GBC22222222222222222222222222222"/>
        </w:placeholder>
      </w:sdtPr>
      <w:sdtContent>
        <w:p w14:paraId="1CDC72D8" w14:textId="77777777" w:rsidR="00577D08" w:rsidRDefault="00330FC0">
          <w:pPr>
            <w:rPr>
              <w:bCs/>
              <w:szCs w:val="22"/>
            </w:rPr>
          </w:pPr>
          <w:r>
            <w:rPr>
              <w:rFonts w:hint="eastAsia"/>
              <w:bCs/>
              <w:szCs w:val="22"/>
            </w:rPr>
            <w:t>无</w:t>
          </w:r>
        </w:p>
      </w:sdtContent>
    </w:sdt>
    <w:p w14:paraId="502E9725" w14:textId="77777777" w:rsidR="00577D08" w:rsidRDefault="00330FC0">
      <w:pPr>
        <w:pStyle w:val="affc"/>
      </w:pPr>
      <w:r>
        <w:rPr>
          <w:rFonts w:hint="eastAsia"/>
        </w:rPr>
        <w:t>对本期发生损失准备变动的合同资产账面余额显著变动的情况说明：</w:t>
      </w:r>
    </w:p>
    <w:sdt>
      <w:sdtPr>
        <w:alias w:val="是否适用：对本期发生损失准备变动的账面余额显著变动的情况说明[双击切换]"/>
        <w:tag w:val="_GBC_5d2109eaa8194f47bcc2f4bbd6c081ae"/>
        <w:id w:val="-1878454022"/>
        <w:placeholder>
          <w:docPart w:val="GBC22222222222222222222222222222"/>
        </w:placeholder>
      </w:sdtPr>
      <w:sdtContent>
        <w:p w14:paraId="266935A4"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3BAE32" w14:textId="77777777" w:rsidR="00577D08" w:rsidRDefault="00330FC0">
      <w:pPr>
        <w:pStyle w:val="4"/>
        <w:numPr>
          <w:ilvl w:val="3"/>
          <w:numId w:val="64"/>
        </w:numPr>
        <w:ind w:left="426" w:hanging="426"/>
        <w:rPr>
          <w:rFonts w:hint="eastAsia"/>
          <w:szCs w:val="21"/>
        </w:rPr>
      </w:pPr>
      <w:bookmarkStart w:id="344" w:name="_Hlk533847869"/>
      <w:bookmarkEnd w:id="340"/>
      <w:bookmarkEnd w:id="342"/>
      <w:bookmarkEnd w:id="343"/>
      <w:r>
        <w:rPr>
          <w:rFonts w:hint="eastAsia"/>
          <w:szCs w:val="21"/>
        </w:rPr>
        <w:t>本期合同资产计提坏账准备情况</w:t>
      </w:r>
    </w:p>
    <w:sdt>
      <w:sdtPr>
        <w:alias w:val="是否适用：合同资产减值准备[双击切换]"/>
        <w:tag w:val="_GBC_7a32a2cf2788460d8c760b8ac21cef48"/>
        <w:id w:val="640463850"/>
        <w:placeholder>
          <w:docPart w:val="GBC22222222222222222222222222222"/>
        </w:placeholder>
      </w:sdtPr>
      <w:sdtContent>
        <w:p w14:paraId="659670EE"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7774036" w14:textId="77777777" w:rsidR="00577D08" w:rsidRDefault="00330FC0">
      <w:bookmarkStart w:id="345" w:name="_Hlk182483958"/>
      <w:bookmarkStart w:id="346" w:name="_Hlk153379287"/>
      <w:bookmarkEnd w:id="345"/>
      <w:r>
        <w:rPr>
          <w:rFonts w:hint="eastAsia"/>
        </w:rPr>
        <w:t>其中本期坏账准备收回或转回金额重要的：</w:t>
      </w:r>
    </w:p>
    <w:sdt>
      <w:sdtPr>
        <w:alias w:val="是否适用：本期坏账准备收回或转回金额重要的[双击切换]"/>
        <w:tag w:val="_GBC_40c6e5cd3d9b48fa9d8ddf51159f73e3"/>
        <w:id w:val="2068996098"/>
        <w:placeholder>
          <w:docPart w:val="GBC22222222222222222222222222222"/>
        </w:placeholder>
      </w:sdtPr>
      <w:sdtContent>
        <w:p w14:paraId="14E74B1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383AF3" w14:textId="77777777" w:rsidR="00577D08" w:rsidRDefault="00330FC0">
      <w:r>
        <w:rPr>
          <w:rFonts w:hint="eastAsia"/>
        </w:rPr>
        <w:t>其他说明：</w:t>
      </w:r>
    </w:p>
    <w:sdt>
      <w:sdtPr>
        <w:alias w:val="坏账准备情况的说明"/>
        <w:tag w:val="_GBC_eaa032ce9f4b4651bc1d170afdd0f594"/>
        <w:id w:val="1796558120"/>
        <w:placeholder>
          <w:docPart w:val="GBC22222222222222222222222222222"/>
        </w:placeholder>
      </w:sdtPr>
      <w:sdtContent>
        <w:p w14:paraId="703A3957" w14:textId="77777777" w:rsidR="00577D08" w:rsidRDefault="00330FC0">
          <w:pPr>
            <w:ind w:rightChars="20" w:right="42"/>
          </w:pPr>
          <w:r>
            <w:rPr>
              <w:rFonts w:hint="eastAsia"/>
            </w:rPr>
            <w:t>无</w:t>
          </w:r>
        </w:p>
      </w:sdtContent>
    </w:sdt>
    <w:p w14:paraId="04B6C03C" w14:textId="77777777" w:rsidR="00577D08" w:rsidRDefault="00330FC0">
      <w:pPr>
        <w:pStyle w:val="4"/>
        <w:numPr>
          <w:ilvl w:val="3"/>
          <w:numId w:val="64"/>
        </w:numPr>
        <w:ind w:left="426" w:hanging="426"/>
        <w:rPr>
          <w:rFonts w:hint="eastAsia"/>
          <w:szCs w:val="21"/>
        </w:rPr>
      </w:pPr>
      <w:bookmarkStart w:id="347" w:name="_Hlk153379426"/>
      <w:bookmarkEnd w:id="346"/>
      <w:r>
        <w:rPr>
          <w:szCs w:val="21"/>
        </w:rPr>
        <w:t>本期实际核销的</w:t>
      </w:r>
      <w:r>
        <w:rPr>
          <w:rFonts w:hint="eastAsia"/>
          <w:szCs w:val="21"/>
        </w:rPr>
        <w:t>合同资产</w:t>
      </w:r>
      <w:r>
        <w:rPr>
          <w:szCs w:val="21"/>
        </w:rPr>
        <w:t>情况</w:t>
      </w:r>
    </w:p>
    <w:sdt>
      <w:sdtPr>
        <w:alias w:val="是否适用：实际核销的情况[双击切换]"/>
        <w:tag w:val="_GBC_d2036f8632c6441bbae156d4fcc0a1bb"/>
        <w:id w:val="1543865150"/>
        <w:placeholder>
          <w:docPart w:val="GBC22222222222222222222222222222"/>
        </w:placeholder>
      </w:sdtPr>
      <w:sdtContent>
        <w:p w14:paraId="71F97A9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DFCC12" w14:textId="77777777" w:rsidR="00577D08" w:rsidRDefault="00330FC0">
      <w:r>
        <w:rPr>
          <w:rFonts w:hint="eastAsia"/>
        </w:rPr>
        <w:t>其中重要的合同资产核销情况</w:t>
      </w:r>
    </w:p>
    <w:sdt>
      <w:sdtPr>
        <w:rPr>
          <w:rFonts w:hint="eastAsia"/>
        </w:rPr>
        <w:alias w:val="是否适用：重要的核销情况[双击切换]"/>
        <w:tag w:val="_GBC_a32f8e56eb4941f98078bbae5f9968b0"/>
        <w:id w:val="950364389"/>
        <w:placeholder>
          <w:docPart w:val="GBC22222222222222222222222222222"/>
        </w:placeholder>
      </w:sdtPr>
      <w:sdtContent>
        <w:p w14:paraId="46A4756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E39BADA" w14:textId="77777777" w:rsidR="00577D08" w:rsidRDefault="00330FC0">
      <w:pPr>
        <w:snapToGrid w:val="0"/>
        <w:spacing w:line="240" w:lineRule="atLeast"/>
      </w:pPr>
      <w:r>
        <w:rPr>
          <w:rFonts w:hint="eastAsia"/>
        </w:rPr>
        <w:t>合同资产核销说明：</w:t>
      </w:r>
    </w:p>
    <w:sdt>
      <w:sdtPr>
        <w:alias w:val="是否适用：核销说明[双击切换]"/>
        <w:tag w:val="_GBC_837b8448d70d489b99f47e83a77e0bef"/>
        <w:id w:val="-1910460831"/>
        <w:placeholder>
          <w:docPart w:val="GBC22222222222222222222222222222"/>
        </w:placeholder>
      </w:sdtPr>
      <w:sdtContent>
        <w:p w14:paraId="77C21861"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44"/>
    <w:bookmarkEnd w:id="347"/>
    <w:p w14:paraId="6C2E439C" w14:textId="77777777" w:rsidR="00577D08" w:rsidRDefault="00330FC0">
      <w:r>
        <w:rPr>
          <w:rFonts w:hint="eastAsia"/>
        </w:rPr>
        <w:t>其他说明：</w:t>
      </w:r>
    </w:p>
    <w:sdt>
      <w:sdtPr>
        <w:alias w:val="是否适用：合同资产其他说明[双击切换]"/>
        <w:tag w:val="_GBC_92ce0006559b479d93e7dbde6e8efca4"/>
        <w:id w:val="977338193"/>
        <w:placeholder>
          <w:docPart w:val="GBC22222222222222222222222222222"/>
        </w:placeholder>
      </w:sdtPr>
      <w:sdtContent>
        <w:p w14:paraId="45E4B9F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2BF5A7F" w14:textId="77777777" w:rsidR="00577D08" w:rsidRDefault="00577D08">
      <w:bookmarkStart w:id="348" w:name="_Hlk24102175"/>
    </w:p>
    <w:p w14:paraId="31FFC08F" w14:textId="77777777" w:rsidR="00577D08" w:rsidRDefault="00577D08">
      <w:pPr>
        <w:sectPr w:rsidR="00577D08">
          <w:pgSz w:w="11906" w:h="16838"/>
          <w:pgMar w:top="1440" w:right="1797" w:bottom="1525" w:left="1276" w:header="856" w:footer="992" w:gutter="0"/>
          <w:cols w:space="425"/>
          <w:docGrid w:linePitch="312"/>
        </w:sectPr>
      </w:pPr>
    </w:p>
    <w:p w14:paraId="3B8B02B2" w14:textId="77777777" w:rsidR="00577D08" w:rsidRDefault="00330FC0">
      <w:pPr>
        <w:pStyle w:val="3"/>
        <w:numPr>
          <w:ilvl w:val="0"/>
          <w:numId w:val="61"/>
        </w:numPr>
        <w:rPr>
          <w:szCs w:val="21"/>
        </w:rPr>
      </w:pPr>
      <w:r>
        <w:rPr>
          <w:rFonts w:hint="eastAsia"/>
          <w:szCs w:val="21"/>
        </w:rPr>
        <w:lastRenderedPageBreak/>
        <w:t>应收款项融资</w:t>
      </w:r>
    </w:p>
    <w:p w14:paraId="5EF32AD9" w14:textId="77777777" w:rsidR="00577D08" w:rsidRDefault="00330FC0">
      <w:pPr>
        <w:pStyle w:val="4"/>
        <w:numPr>
          <w:ilvl w:val="0"/>
          <w:numId w:val="65"/>
        </w:numPr>
        <w:rPr>
          <w:rFonts w:hint="eastAsia"/>
        </w:rPr>
      </w:pPr>
      <w:r>
        <w:rPr>
          <w:rFonts w:hint="eastAsia"/>
        </w:rPr>
        <w:t>应收款项融资分类列示</w:t>
      </w:r>
    </w:p>
    <w:sdt>
      <w:sdtPr>
        <w:alias w:val="是否适用：应收款项融资[双击切换]"/>
        <w:tag w:val="_GBC_e38b7d767cdd4e9f8dd5f7f6ea2330da"/>
        <w:id w:val="94674384"/>
        <w:placeholder>
          <w:docPart w:val="GBC22222222222222222222222222222"/>
        </w:placeholder>
      </w:sdtPr>
      <w:sdtContent>
        <w:p w14:paraId="31BFABE9"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32E4C2" w14:textId="77777777" w:rsidR="00577D08" w:rsidRDefault="00330FC0">
      <w:pPr>
        <w:ind w:left="420" w:right="-98"/>
        <w:jc w:val="right"/>
      </w:pPr>
      <w:r>
        <w:rPr>
          <w:rFonts w:hint="eastAsia"/>
        </w:rPr>
        <w:t>单位：</w:t>
      </w:r>
      <w:sdt>
        <w:sdtPr>
          <w:rPr>
            <w:rFonts w:hint="eastAsia"/>
          </w:rPr>
          <w:alias w:val="单位：应收款项融资"/>
          <w:tag w:val="_GBC_718fb908b95f48ec84742dfac4338fd4"/>
          <w:id w:val="-204736236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币种：</w:t>
      </w:r>
      <w:sdt>
        <w:sdtPr>
          <w:rPr>
            <w:rFonts w:hint="eastAsia"/>
          </w:rPr>
          <w:alias w:val="币种：应收款项融资"/>
          <w:tag w:val="_GBC_e0c43db94ecc4e51b884c86496138ea2"/>
          <w:id w:val="-19032849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439"/>
        <w:gridCol w:w="4453"/>
      </w:tblGrid>
      <w:tr w:rsidR="00577D08" w14:paraId="72953847" w14:textId="77777777">
        <w:bookmarkStart w:id="349" w:name="_Hlk13057555" w:displacedByCustomXml="next"/>
        <w:bookmarkStart w:id="350" w:name="_Hlk12969247" w:displacedByCustomXml="next"/>
        <w:sdt>
          <w:sdtPr>
            <w:tag w:val="_PLD_03e528ffb61e4b53acdd40b3208f06a9"/>
            <w:id w:val="410972403"/>
          </w:sdtPr>
          <w:sdtContent>
            <w:tc>
              <w:tcPr>
                <w:tcW w:w="1793" w:type="pct"/>
                <w:vAlign w:val="center"/>
              </w:tcPr>
              <w:p w14:paraId="387EBB85" w14:textId="77777777" w:rsidR="00577D08" w:rsidRDefault="00330FC0">
                <w:pPr>
                  <w:jc w:val="center"/>
                </w:pPr>
                <w:r>
                  <w:rPr>
                    <w:rFonts w:hint="eastAsia"/>
                  </w:rPr>
                  <w:t>项目</w:t>
                </w:r>
              </w:p>
            </w:tc>
          </w:sdtContent>
        </w:sdt>
        <w:sdt>
          <w:sdtPr>
            <w:tag w:val="_PLD_8d81c1822e774f6081deb29ea5466dc8"/>
            <w:id w:val="397710498"/>
          </w:sdtPr>
          <w:sdtContent>
            <w:tc>
              <w:tcPr>
                <w:tcW w:w="1601" w:type="pct"/>
                <w:vAlign w:val="center"/>
              </w:tcPr>
              <w:p w14:paraId="70ECBD5F"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c1ad8d0386f942b4b74733e3287ad275"/>
            <w:id w:val="1940247613"/>
          </w:sdtPr>
          <w:sdtContent>
            <w:tc>
              <w:tcPr>
                <w:tcW w:w="1606" w:type="pct"/>
                <w:vAlign w:val="center"/>
              </w:tcPr>
              <w:p w14:paraId="4529E078"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7DE48F56" w14:textId="77777777">
        <w:tc>
          <w:tcPr>
            <w:tcW w:w="1793" w:type="pct"/>
          </w:tcPr>
          <w:p w14:paraId="619CF014" w14:textId="77777777" w:rsidR="00577D08" w:rsidRDefault="00330FC0">
            <w:pPr>
              <w:autoSpaceDE w:val="0"/>
              <w:autoSpaceDN w:val="0"/>
              <w:adjustRightInd w:val="0"/>
            </w:pPr>
            <w:r>
              <w:rPr>
                <w:rFonts w:hint="eastAsia"/>
              </w:rPr>
              <w:t>银行承兑汇票</w:t>
            </w:r>
          </w:p>
        </w:tc>
        <w:tc>
          <w:tcPr>
            <w:tcW w:w="1601" w:type="pct"/>
          </w:tcPr>
          <w:p w14:paraId="5CB32BDF" w14:textId="77777777" w:rsidR="00577D08" w:rsidRDefault="00330FC0">
            <w:pPr>
              <w:jc w:val="right"/>
            </w:pPr>
            <w:r>
              <w:t>32,442,376.14</w:t>
            </w:r>
          </w:p>
        </w:tc>
        <w:tc>
          <w:tcPr>
            <w:tcW w:w="1606" w:type="pct"/>
          </w:tcPr>
          <w:p w14:paraId="60A6E679" w14:textId="77777777" w:rsidR="00577D08" w:rsidRDefault="00330FC0">
            <w:pPr>
              <w:jc w:val="right"/>
            </w:pPr>
            <w:r>
              <w:t>12,330,215.20</w:t>
            </w:r>
          </w:p>
        </w:tc>
      </w:tr>
      <w:tr w:rsidR="00577D08" w14:paraId="0558238E" w14:textId="77777777">
        <w:tc>
          <w:tcPr>
            <w:tcW w:w="1793" w:type="pct"/>
          </w:tcPr>
          <w:p w14:paraId="445BDF36" w14:textId="77777777" w:rsidR="00577D08" w:rsidRDefault="00330FC0">
            <w:pPr>
              <w:autoSpaceDE w:val="0"/>
              <w:autoSpaceDN w:val="0"/>
              <w:adjustRightInd w:val="0"/>
            </w:pPr>
            <w:r>
              <w:rPr>
                <w:rFonts w:hint="eastAsia"/>
              </w:rPr>
              <w:t>供应链金融电子债权凭证</w:t>
            </w:r>
          </w:p>
        </w:tc>
        <w:tc>
          <w:tcPr>
            <w:tcW w:w="1601" w:type="pct"/>
          </w:tcPr>
          <w:p w14:paraId="138EF5F5" w14:textId="77777777" w:rsidR="00577D08" w:rsidRDefault="00330FC0">
            <w:pPr>
              <w:jc w:val="right"/>
            </w:pPr>
            <w:r>
              <w:t>4,991,147.96</w:t>
            </w:r>
          </w:p>
        </w:tc>
        <w:tc>
          <w:tcPr>
            <w:tcW w:w="1606" w:type="pct"/>
          </w:tcPr>
          <w:p w14:paraId="6E7E7B96" w14:textId="77777777" w:rsidR="00577D08" w:rsidRDefault="00330FC0">
            <w:pPr>
              <w:jc w:val="right"/>
            </w:pPr>
            <w:r>
              <w:t>2,664,955.55</w:t>
            </w:r>
          </w:p>
        </w:tc>
      </w:tr>
      <w:tr w:rsidR="00577D08" w14:paraId="191C4AF7" w14:textId="77777777">
        <w:tc>
          <w:tcPr>
            <w:tcW w:w="1793" w:type="pct"/>
            <w:vAlign w:val="center"/>
          </w:tcPr>
          <w:p w14:paraId="2158AE05" w14:textId="77777777" w:rsidR="00577D08" w:rsidRDefault="00330FC0">
            <w:pPr>
              <w:jc w:val="center"/>
            </w:pPr>
            <w:r>
              <w:rPr>
                <w:rFonts w:hint="eastAsia"/>
              </w:rPr>
              <w:t>合计</w:t>
            </w:r>
          </w:p>
        </w:tc>
        <w:tc>
          <w:tcPr>
            <w:tcW w:w="1601" w:type="pct"/>
          </w:tcPr>
          <w:p w14:paraId="6218A877" w14:textId="77777777" w:rsidR="00577D08" w:rsidRDefault="00330FC0">
            <w:pPr>
              <w:jc w:val="right"/>
            </w:pPr>
            <w:r>
              <w:t>37,433,524.10</w:t>
            </w:r>
          </w:p>
        </w:tc>
        <w:tc>
          <w:tcPr>
            <w:tcW w:w="1606" w:type="pct"/>
          </w:tcPr>
          <w:p w14:paraId="6703D557" w14:textId="77777777" w:rsidR="00577D08" w:rsidRDefault="00330FC0">
            <w:pPr>
              <w:jc w:val="right"/>
            </w:pPr>
            <w:r>
              <w:t>14,995,170.75</w:t>
            </w:r>
          </w:p>
        </w:tc>
      </w:tr>
    </w:tbl>
    <w:p w14:paraId="6D74AFD5" w14:textId="77777777" w:rsidR="00577D08" w:rsidRDefault="00330FC0">
      <w:pPr>
        <w:pStyle w:val="4"/>
        <w:numPr>
          <w:ilvl w:val="0"/>
          <w:numId w:val="65"/>
        </w:numPr>
        <w:rPr>
          <w:rFonts w:hint="eastAsia"/>
        </w:rPr>
      </w:pPr>
      <w:r>
        <w:t>期末公司已</w:t>
      </w:r>
      <w:r>
        <w:rPr>
          <w:rFonts w:hint="eastAsia"/>
        </w:rPr>
        <w:t>质押</w:t>
      </w:r>
      <w:r>
        <w:t>的应收款项融资</w:t>
      </w:r>
    </w:p>
    <w:sdt>
      <w:sdtPr>
        <w:alias w:val="是否适用：期末公司已质押的应收款项融资[双击切换]"/>
        <w:tag w:val="_GBC_31b898cd43844d68932063bb1e6347a8"/>
        <w:id w:val="-1799064688"/>
        <w:placeholder>
          <w:docPart w:val="GBC22222222222222222222222222222"/>
        </w:placeholder>
      </w:sdtPr>
      <w:sdtContent>
        <w:p w14:paraId="308A70D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A18E378" w14:textId="77777777" w:rsidR="00577D08" w:rsidRDefault="00330FC0">
      <w:pPr>
        <w:pStyle w:val="4"/>
        <w:numPr>
          <w:ilvl w:val="0"/>
          <w:numId w:val="65"/>
        </w:numPr>
        <w:rPr>
          <w:rFonts w:hint="eastAsia"/>
        </w:rPr>
      </w:pPr>
      <w:r>
        <w:rPr>
          <w:rFonts w:hint="eastAsia"/>
        </w:rPr>
        <w:t>期末公司已背书或贴现且在资产负债表日尚未到期的应收款项融资</w:t>
      </w:r>
    </w:p>
    <w:sdt>
      <w:sdtPr>
        <w:alias w:val="是否适用：期末公司已背书或贴现且在资产负债表日尚未到期的应收款项融资[双击切换]"/>
        <w:tag w:val="_GBC_6aad06646df44df888f953be7f5703c6"/>
        <w:id w:val="1905264052"/>
        <w:placeholder>
          <w:docPart w:val="GBC22222222222222222222222222222"/>
        </w:placeholder>
      </w:sdtPr>
      <w:sdtContent>
        <w:p w14:paraId="37DB3EDF"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107C767" w14:textId="2C77D722" w:rsidR="00577D08" w:rsidRDefault="00330FC0">
      <w:pPr>
        <w:jc w:val="right"/>
      </w:pPr>
      <w:r>
        <w:rPr>
          <w:rFonts w:hint="eastAsia"/>
        </w:rPr>
        <w:t>单位：</w:t>
      </w:r>
      <w:sdt>
        <w:sdtPr>
          <w:rPr>
            <w:rFonts w:hint="eastAsia"/>
          </w:rPr>
          <w:alias w:val="单位：期末公司已背书或贴现且在资产负债表日尚未到期的应收款项融资"/>
          <w:tag w:val="_GBC_93228107c43a481da9506f790cd8af92"/>
          <w:id w:val="63730422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期末公司已背书或贴现且在资产负债表日尚未到期的应收款项融资"/>
          <w:tag w:val="_GBC_321f16b9d20241dd9a8da269a46b1e36"/>
          <w:id w:val="9741745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672"/>
        <w:gridCol w:w="4783"/>
      </w:tblGrid>
      <w:tr w:rsidR="00577D08" w14:paraId="11A7EDB4" w14:textId="77777777">
        <w:sdt>
          <w:sdtPr>
            <w:tag w:val="_PLD_33b7f0ccb35e48099a6f7696604b4e21"/>
            <w:id w:val="905417729"/>
          </w:sdtPr>
          <w:sdtContent>
            <w:tc>
              <w:tcPr>
                <w:tcW w:w="1590" w:type="pct"/>
                <w:vAlign w:val="center"/>
              </w:tcPr>
              <w:p w14:paraId="5279A4D1" w14:textId="77777777" w:rsidR="00577D08" w:rsidRDefault="00330FC0">
                <w:pPr>
                  <w:jc w:val="center"/>
                </w:pPr>
                <w:r>
                  <w:rPr>
                    <w:rFonts w:hint="eastAsia"/>
                  </w:rPr>
                  <w:t>项目</w:t>
                </w:r>
              </w:p>
            </w:tc>
          </w:sdtContent>
        </w:sdt>
        <w:sdt>
          <w:sdtPr>
            <w:tag w:val="_PLD_149743054c254feca84017182a25be7d"/>
            <w:id w:val="1545799245"/>
          </w:sdtPr>
          <w:sdtContent>
            <w:tc>
              <w:tcPr>
                <w:tcW w:w="1685" w:type="pct"/>
                <w:vAlign w:val="center"/>
              </w:tcPr>
              <w:p w14:paraId="1FB4BD12" w14:textId="77777777" w:rsidR="00577D08" w:rsidRDefault="00330FC0">
                <w:pPr>
                  <w:jc w:val="center"/>
                </w:pPr>
                <w:r>
                  <w:rPr>
                    <w:rFonts w:hint="eastAsia"/>
                  </w:rPr>
                  <w:t>期末终止确认金额</w:t>
                </w:r>
              </w:p>
            </w:tc>
          </w:sdtContent>
        </w:sdt>
        <w:sdt>
          <w:sdtPr>
            <w:tag w:val="_PLD_9f59617eec3d4ee4b21512d75b778f97"/>
            <w:id w:val="-149674287"/>
          </w:sdtPr>
          <w:sdtContent>
            <w:tc>
              <w:tcPr>
                <w:tcW w:w="1725" w:type="pct"/>
                <w:vAlign w:val="center"/>
              </w:tcPr>
              <w:p w14:paraId="73C61887" w14:textId="77777777" w:rsidR="00577D08" w:rsidRDefault="00330FC0">
                <w:pPr>
                  <w:jc w:val="center"/>
                </w:pPr>
                <w:r>
                  <w:rPr>
                    <w:rFonts w:hint="eastAsia"/>
                  </w:rPr>
                  <w:t>期末未终止确认金额</w:t>
                </w:r>
              </w:p>
            </w:tc>
          </w:sdtContent>
        </w:sdt>
      </w:tr>
      <w:tr w:rsidR="00577D08" w14:paraId="257E4D08" w14:textId="77777777">
        <w:tc>
          <w:tcPr>
            <w:tcW w:w="1590" w:type="pct"/>
          </w:tcPr>
          <w:p w14:paraId="7256D333" w14:textId="77777777" w:rsidR="00577D08" w:rsidRDefault="00330FC0">
            <w:r>
              <w:rPr>
                <w:rFonts w:hint="eastAsia"/>
              </w:rPr>
              <w:t>银行承兑汇票</w:t>
            </w:r>
          </w:p>
        </w:tc>
        <w:tc>
          <w:tcPr>
            <w:tcW w:w="1685" w:type="pct"/>
          </w:tcPr>
          <w:p w14:paraId="07F1504E" w14:textId="77777777" w:rsidR="00577D08" w:rsidRDefault="00330FC0">
            <w:pPr>
              <w:jc w:val="right"/>
            </w:pPr>
            <w:r>
              <w:t>326,250,968.79</w:t>
            </w:r>
          </w:p>
        </w:tc>
        <w:tc>
          <w:tcPr>
            <w:tcW w:w="1725" w:type="pct"/>
            <w:vAlign w:val="center"/>
          </w:tcPr>
          <w:p w14:paraId="4FA26EB7" w14:textId="77777777" w:rsidR="00577D08" w:rsidRDefault="00577D08">
            <w:pPr>
              <w:jc w:val="right"/>
            </w:pPr>
          </w:p>
        </w:tc>
      </w:tr>
      <w:tr w:rsidR="00577D08" w14:paraId="300426EE" w14:textId="77777777">
        <w:tc>
          <w:tcPr>
            <w:tcW w:w="1590" w:type="pct"/>
          </w:tcPr>
          <w:p w14:paraId="795DEA9E" w14:textId="77777777" w:rsidR="00577D08" w:rsidRDefault="00330FC0">
            <w:r>
              <w:rPr>
                <w:rFonts w:hint="eastAsia"/>
              </w:rPr>
              <w:t>供应链金融电子债权凭证</w:t>
            </w:r>
          </w:p>
        </w:tc>
        <w:tc>
          <w:tcPr>
            <w:tcW w:w="1685" w:type="pct"/>
          </w:tcPr>
          <w:p w14:paraId="22FEB0E0" w14:textId="77777777" w:rsidR="00577D08" w:rsidRDefault="00330FC0">
            <w:pPr>
              <w:jc w:val="right"/>
            </w:pPr>
            <w:r>
              <w:t>28,786,193.03</w:t>
            </w:r>
          </w:p>
        </w:tc>
        <w:tc>
          <w:tcPr>
            <w:tcW w:w="1725" w:type="pct"/>
            <w:vAlign w:val="center"/>
          </w:tcPr>
          <w:p w14:paraId="1FD4566C" w14:textId="77777777" w:rsidR="00577D08" w:rsidRDefault="00577D08">
            <w:pPr>
              <w:jc w:val="right"/>
            </w:pPr>
          </w:p>
        </w:tc>
      </w:tr>
      <w:tr w:rsidR="00577D08" w14:paraId="24C210EA" w14:textId="77777777">
        <w:tc>
          <w:tcPr>
            <w:tcW w:w="1590" w:type="pct"/>
            <w:vAlign w:val="center"/>
          </w:tcPr>
          <w:p w14:paraId="2A564D0E" w14:textId="77777777" w:rsidR="00577D08" w:rsidRDefault="00330FC0">
            <w:pPr>
              <w:jc w:val="center"/>
            </w:pPr>
            <w:r>
              <w:rPr>
                <w:rFonts w:hint="eastAsia"/>
              </w:rPr>
              <w:t>合计</w:t>
            </w:r>
          </w:p>
        </w:tc>
        <w:tc>
          <w:tcPr>
            <w:tcW w:w="1685" w:type="pct"/>
          </w:tcPr>
          <w:p w14:paraId="4BD6EEB2" w14:textId="77777777" w:rsidR="00577D08" w:rsidRDefault="00330FC0">
            <w:pPr>
              <w:jc w:val="right"/>
            </w:pPr>
            <w:r>
              <w:t>355,037,161.82</w:t>
            </w:r>
          </w:p>
        </w:tc>
        <w:tc>
          <w:tcPr>
            <w:tcW w:w="1725" w:type="pct"/>
            <w:vAlign w:val="center"/>
          </w:tcPr>
          <w:p w14:paraId="0F900FFD" w14:textId="77777777" w:rsidR="00577D08" w:rsidRDefault="00577D08">
            <w:pPr>
              <w:jc w:val="right"/>
            </w:pPr>
          </w:p>
        </w:tc>
      </w:tr>
    </w:tbl>
    <w:p w14:paraId="440F96BB" w14:textId="77777777" w:rsidR="00577D08" w:rsidRDefault="00330FC0">
      <w:pPr>
        <w:pStyle w:val="4"/>
        <w:numPr>
          <w:ilvl w:val="0"/>
          <w:numId w:val="65"/>
        </w:numPr>
        <w:rPr>
          <w:rFonts w:hint="eastAsia"/>
        </w:rPr>
      </w:pPr>
      <w:r>
        <w:rPr>
          <w:rFonts w:hint="eastAsia"/>
        </w:rPr>
        <w:t>按</w:t>
      </w:r>
      <w:r>
        <w:t>坏账计提方法分类披露</w:t>
      </w:r>
    </w:p>
    <w:sdt>
      <w:sdtPr>
        <w:alias w:val="是否适用：按坏账计提方法分类披露[双击切换]"/>
        <w:tag w:val="_GBC_bb62f97adc6849f2b3d956a701e7fa7d"/>
        <w:id w:val="1994679908"/>
        <w:placeholder>
          <w:docPart w:val="GBC22222222222222222222222222222"/>
        </w:placeholder>
      </w:sdtPr>
      <w:sdtContent>
        <w:p w14:paraId="251666D7"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77416F3" w14:textId="1872992C" w:rsidR="00577D08" w:rsidRDefault="00330FC0">
      <w:pPr>
        <w:pStyle w:val="aff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按坏账计提方法分类披露"/>
          <w:tag w:val="_GBC_afce95625fb54d649db4504416f97993"/>
          <w:id w:val="150032085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r w:rsidR="00CC5C32">
            <w:rPr>
              <w:rFonts w:hint="eastAsia"/>
              <w:szCs w:val="21"/>
            </w:rPr>
            <w:t xml:space="preserve"> </w:t>
          </w:r>
          <w:r w:rsidR="00CC5C32">
            <w:rPr>
              <w:szCs w:val="21"/>
            </w:rPr>
            <w:t xml:space="preserve"> </w:t>
          </w:r>
        </w:sdtContent>
      </w:sdt>
      <w:r>
        <w:rPr>
          <w:rFonts w:hint="eastAsia"/>
          <w:szCs w:val="21"/>
        </w:rPr>
        <w:t>币种：</w:t>
      </w:r>
      <w:sdt>
        <w:sdtPr>
          <w:rPr>
            <w:rFonts w:hint="eastAsia"/>
            <w:szCs w:val="21"/>
          </w:rPr>
          <w:alias w:val="币种：按坏账计提方法分类披露"/>
          <w:tag w:val="_GBC_91522fb58fac49f98a70383ae037ccb1"/>
          <w:id w:val="-9537853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1424"/>
        <w:gridCol w:w="989"/>
        <w:gridCol w:w="1161"/>
        <w:gridCol w:w="883"/>
        <w:gridCol w:w="1424"/>
        <w:gridCol w:w="1424"/>
        <w:gridCol w:w="1019"/>
        <w:gridCol w:w="1161"/>
        <w:gridCol w:w="964"/>
        <w:gridCol w:w="1424"/>
      </w:tblGrid>
      <w:tr w:rsidR="00577D08" w14:paraId="5ADAACDC" w14:textId="77777777">
        <w:trPr>
          <w:cantSplit/>
          <w:trHeight w:val="259"/>
        </w:trPr>
        <w:sdt>
          <w:sdtPr>
            <w:tag w:val="_PLD_f68e676fc6a84daca677728fb4846d5c"/>
            <w:id w:val="-1117827996"/>
          </w:sdtPr>
          <w:sdtContent>
            <w:tc>
              <w:tcPr>
                <w:tcW w:w="727" w:type="pct"/>
                <w:vMerge w:val="restart"/>
                <w:tcBorders>
                  <w:top w:val="single" w:sz="4" w:space="0" w:color="auto"/>
                  <w:left w:val="single" w:sz="4" w:space="0" w:color="auto"/>
                  <w:right w:val="single" w:sz="4" w:space="0" w:color="auto"/>
                </w:tcBorders>
                <w:vAlign w:val="center"/>
              </w:tcPr>
              <w:p w14:paraId="6BA1681A" w14:textId="77777777" w:rsidR="00577D08" w:rsidRDefault="00330FC0">
                <w:pPr>
                  <w:jc w:val="center"/>
                </w:pPr>
                <w:r>
                  <w:rPr>
                    <w:rFonts w:hint="eastAsia"/>
                  </w:rPr>
                  <w:t>类别</w:t>
                </w:r>
              </w:p>
            </w:tc>
          </w:sdtContent>
        </w:sdt>
        <w:sdt>
          <w:sdtPr>
            <w:tag w:val="_PLD_7526fe6d315d4e1792a06a3a20f7c8a7"/>
            <w:id w:val="-382799751"/>
          </w:sdtPr>
          <w:sdtContent>
            <w:tc>
              <w:tcPr>
                <w:tcW w:w="2117" w:type="pct"/>
                <w:gridSpan w:val="5"/>
                <w:tcBorders>
                  <w:top w:val="single" w:sz="4" w:space="0" w:color="auto"/>
                  <w:left w:val="single" w:sz="4" w:space="0" w:color="auto"/>
                  <w:right w:val="single" w:sz="4" w:space="0" w:color="auto"/>
                </w:tcBorders>
                <w:vAlign w:val="center"/>
              </w:tcPr>
              <w:p w14:paraId="2A23A901"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ad93e5a9447e498e88df26e20997a4fa"/>
            <w:id w:val="-1098169719"/>
          </w:sdtPr>
          <w:sdtContent>
            <w:tc>
              <w:tcPr>
                <w:tcW w:w="2157" w:type="pct"/>
                <w:gridSpan w:val="5"/>
                <w:tcBorders>
                  <w:top w:val="single" w:sz="4" w:space="0" w:color="auto"/>
                  <w:left w:val="single" w:sz="4" w:space="0" w:color="auto"/>
                  <w:right w:val="single" w:sz="4" w:space="0" w:color="auto"/>
                </w:tcBorders>
                <w:vAlign w:val="center"/>
              </w:tcPr>
              <w:p w14:paraId="35175312"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3EC0C817" w14:textId="77777777">
        <w:trPr>
          <w:cantSplit/>
          <w:trHeight w:val="227"/>
        </w:trPr>
        <w:tc>
          <w:tcPr>
            <w:tcW w:w="727" w:type="pct"/>
            <w:vMerge/>
            <w:tcBorders>
              <w:left w:val="single" w:sz="4" w:space="0" w:color="auto"/>
              <w:right w:val="single" w:sz="4" w:space="0" w:color="auto"/>
            </w:tcBorders>
            <w:vAlign w:val="center"/>
          </w:tcPr>
          <w:p w14:paraId="12264D2A" w14:textId="77777777" w:rsidR="00577D08" w:rsidRDefault="00577D08"/>
        </w:tc>
        <w:sdt>
          <w:sdtPr>
            <w:tag w:val="_PLD_efeb6e8fd2c848db89000a127165017d"/>
            <w:id w:val="-697313114"/>
          </w:sdtPr>
          <w:sdtContent>
            <w:tc>
              <w:tcPr>
                <w:tcW w:w="871" w:type="pct"/>
                <w:gridSpan w:val="2"/>
                <w:tcBorders>
                  <w:top w:val="single" w:sz="4" w:space="0" w:color="auto"/>
                  <w:left w:val="single" w:sz="4" w:space="0" w:color="auto"/>
                  <w:bottom w:val="single" w:sz="4" w:space="0" w:color="auto"/>
                  <w:right w:val="single" w:sz="4" w:space="0" w:color="auto"/>
                </w:tcBorders>
                <w:vAlign w:val="center"/>
              </w:tcPr>
              <w:p w14:paraId="626B048B" w14:textId="77777777" w:rsidR="00577D08" w:rsidRDefault="00330FC0">
                <w:pPr>
                  <w:jc w:val="center"/>
                </w:pPr>
                <w:r>
                  <w:rPr>
                    <w:rFonts w:hint="eastAsia"/>
                  </w:rPr>
                  <w:t>账面余额</w:t>
                </w:r>
              </w:p>
            </w:tc>
          </w:sdtContent>
        </w:sdt>
        <w:sdt>
          <w:sdtPr>
            <w:tag w:val="_PLD_074820a140e444569b9c31ba456d445d"/>
            <w:id w:val="-1063479606"/>
          </w:sdtPr>
          <w:sdtContent>
            <w:tc>
              <w:tcPr>
                <w:tcW w:w="740" w:type="pct"/>
                <w:gridSpan w:val="2"/>
                <w:tcBorders>
                  <w:top w:val="single" w:sz="4" w:space="0" w:color="auto"/>
                  <w:left w:val="single" w:sz="4" w:space="0" w:color="auto"/>
                  <w:bottom w:val="single" w:sz="4" w:space="0" w:color="auto"/>
                  <w:right w:val="single" w:sz="4" w:space="0" w:color="auto"/>
                </w:tcBorders>
                <w:vAlign w:val="center"/>
              </w:tcPr>
              <w:p w14:paraId="3E9A42DB" w14:textId="77777777" w:rsidR="00577D08" w:rsidRDefault="00330FC0">
                <w:pPr>
                  <w:jc w:val="center"/>
                </w:pPr>
                <w:r>
                  <w:rPr>
                    <w:rFonts w:hint="eastAsia"/>
                  </w:rPr>
                  <w:t>坏账准备</w:t>
                </w:r>
              </w:p>
            </w:tc>
          </w:sdtContent>
        </w:sdt>
        <w:sdt>
          <w:sdtPr>
            <w:tag w:val="_PLD_0e73feade6b64ffea4c07ceb4c74c990"/>
            <w:id w:val="762269501"/>
          </w:sdtPr>
          <w:sdtContent>
            <w:tc>
              <w:tcPr>
                <w:tcW w:w="506" w:type="pct"/>
                <w:vMerge w:val="restart"/>
                <w:tcBorders>
                  <w:top w:val="single" w:sz="4" w:space="0" w:color="auto"/>
                  <w:left w:val="single" w:sz="4" w:space="0" w:color="auto"/>
                  <w:right w:val="single" w:sz="4" w:space="0" w:color="auto"/>
                </w:tcBorders>
                <w:vAlign w:val="center"/>
              </w:tcPr>
              <w:p w14:paraId="3F0396C9" w14:textId="77777777" w:rsidR="00577D08" w:rsidRDefault="00330FC0">
                <w:pPr>
                  <w:jc w:val="center"/>
                </w:pPr>
                <w:r>
                  <w:rPr>
                    <w:rFonts w:hint="eastAsia"/>
                  </w:rPr>
                  <w:t>账面</w:t>
                </w:r>
              </w:p>
              <w:p w14:paraId="07BC84F3" w14:textId="77777777" w:rsidR="00577D08" w:rsidRDefault="00330FC0">
                <w:pPr>
                  <w:jc w:val="center"/>
                </w:pPr>
                <w:r>
                  <w:rPr>
                    <w:rFonts w:hint="eastAsia"/>
                  </w:rPr>
                  <w:t>价值</w:t>
                </w:r>
              </w:p>
            </w:tc>
          </w:sdtContent>
        </w:sdt>
        <w:sdt>
          <w:sdtPr>
            <w:tag w:val="_PLD_b0785464053b4ca089cada115404fd73"/>
            <w:id w:val="623273604"/>
          </w:sdtPr>
          <w:sdtContent>
            <w:tc>
              <w:tcPr>
                <w:tcW w:w="882" w:type="pct"/>
                <w:gridSpan w:val="2"/>
                <w:tcBorders>
                  <w:top w:val="single" w:sz="4" w:space="0" w:color="auto"/>
                  <w:left w:val="single" w:sz="4" w:space="0" w:color="auto"/>
                  <w:right w:val="single" w:sz="4" w:space="0" w:color="auto"/>
                </w:tcBorders>
                <w:vAlign w:val="center"/>
              </w:tcPr>
              <w:p w14:paraId="66450F47" w14:textId="77777777" w:rsidR="00577D08" w:rsidRDefault="00330FC0">
                <w:pPr>
                  <w:jc w:val="center"/>
                </w:pPr>
                <w:r>
                  <w:rPr>
                    <w:rFonts w:hint="eastAsia"/>
                  </w:rPr>
                  <w:t>账面余额</w:t>
                </w:r>
              </w:p>
            </w:tc>
          </w:sdtContent>
        </w:sdt>
        <w:sdt>
          <w:sdtPr>
            <w:tag w:val="_PLD_88d1fec2235e4be89a414fbcacbf61e6"/>
            <w:id w:val="461006566"/>
          </w:sdtPr>
          <w:sdtContent>
            <w:tc>
              <w:tcPr>
                <w:tcW w:w="769" w:type="pct"/>
                <w:gridSpan w:val="2"/>
                <w:tcBorders>
                  <w:top w:val="single" w:sz="4" w:space="0" w:color="auto"/>
                  <w:left w:val="single" w:sz="4" w:space="0" w:color="auto"/>
                  <w:right w:val="single" w:sz="4" w:space="0" w:color="auto"/>
                </w:tcBorders>
                <w:vAlign w:val="center"/>
              </w:tcPr>
              <w:p w14:paraId="02680F0F" w14:textId="77777777" w:rsidR="00577D08" w:rsidRDefault="00330FC0">
                <w:pPr>
                  <w:jc w:val="center"/>
                </w:pPr>
                <w:r>
                  <w:rPr>
                    <w:rFonts w:hint="eastAsia"/>
                  </w:rPr>
                  <w:t>坏账准备</w:t>
                </w:r>
              </w:p>
            </w:tc>
          </w:sdtContent>
        </w:sdt>
        <w:sdt>
          <w:sdtPr>
            <w:tag w:val="_PLD_b24eaddf2f8b49b5875ad2ce73e5a025"/>
            <w:id w:val="-760524767"/>
          </w:sdtPr>
          <w:sdtContent>
            <w:tc>
              <w:tcPr>
                <w:tcW w:w="505" w:type="pct"/>
                <w:vMerge w:val="restart"/>
                <w:tcBorders>
                  <w:top w:val="single" w:sz="4" w:space="0" w:color="auto"/>
                  <w:left w:val="single" w:sz="4" w:space="0" w:color="auto"/>
                  <w:right w:val="single" w:sz="4" w:space="0" w:color="auto"/>
                </w:tcBorders>
                <w:vAlign w:val="center"/>
              </w:tcPr>
              <w:p w14:paraId="6D165404" w14:textId="77777777" w:rsidR="00577D08" w:rsidRDefault="00330FC0">
                <w:pPr>
                  <w:jc w:val="center"/>
                </w:pPr>
                <w:r>
                  <w:rPr>
                    <w:rFonts w:hint="eastAsia"/>
                  </w:rPr>
                  <w:t>账面</w:t>
                </w:r>
              </w:p>
              <w:p w14:paraId="0CA205AF" w14:textId="77777777" w:rsidR="00577D08" w:rsidRDefault="00330FC0">
                <w:pPr>
                  <w:jc w:val="center"/>
                </w:pPr>
                <w:r>
                  <w:rPr>
                    <w:rFonts w:hint="eastAsia"/>
                  </w:rPr>
                  <w:t>价值</w:t>
                </w:r>
              </w:p>
            </w:tc>
          </w:sdtContent>
        </w:sdt>
      </w:tr>
      <w:tr w:rsidR="00577D08" w14:paraId="40371CB8" w14:textId="77777777">
        <w:trPr>
          <w:cantSplit/>
          <w:trHeight w:val="375"/>
        </w:trPr>
        <w:tc>
          <w:tcPr>
            <w:tcW w:w="727" w:type="pct"/>
            <w:vMerge/>
            <w:tcBorders>
              <w:left w:val="single" w:sz="4" w:space="0" w:color="auto"/>
              <w:bottom w:val="single" w:sz="4" w:space="0" w:color="auto"/>
              <w:right w:val="single" w:sz="4" w:space="0" w:color="auto"/>
            </w:tcBorders>
            <w:vAlign w:val="center"/>
          </w:tcPr>
          <w:p w14:paraId="04C8F912" w14:textId="77777777" w:rsidR="00577D08" w:rsidRDefault="00577D08"/>
        </w:tc>
        <w:sdt>
          <w:sdtPr>
            <w:tag w:val="_PLD_017bf1092d274948bd3994b9813f4dc6"/>
            <w:id w:val="1251168484"/>
          </w:sdtPr>
          <w:sdtContent>
            <w:tc>
              <w:tcPr>
                <w:tcW w:w="505" w:type="pct"/>
                <w:tcBorders>
                  <w:left w:val="single" w:sz="4" w:space="0" w:color="auto"/>
                  <w:bottom w:val="single" w:sz="4" w:space="0" w:color="auto"/>
                  <w:right w:val="single" w:sz="4" w:space="0" w:color="auto"/>
                </w:tcBorders>
                <w:vAlign w:val="center"/>
              </w:tcPr>
              <w:p w14:paraId="2D07CB6E" w14:textId="77777777" w:rsidR="00577D08" w:rsidRDefault="00330FC0">
                <w:pPr>
                  <w:jc w:val="center"/>
                </w:pPr>
                <w:r>
                  <w:rPr>
                    <w:rFonts w:hint="eastAsia"/>
                  </w:rPr>
                  <w:t>金额</w:t>
                </w:r>
              </w:p>
            </w:tc>
          </w:sdtContent>
        </w:sdt>
        <w:sdt>
          <w:sdtPr>
            <w:tag w:val="_PLD_d625eb5473464b418050d8c82a2ce675"/>
            <w:id w:val="2116010717"/>
          </w:sdtPr>
          <w:sdtContent>
            <w:tc>
              <w:tcPr>
                <w:tcW w:w="366" w:type="pct"/>
                <w:tcBorders>
                  <w:left w:val="single" w:sz="4" w:space="0" w:color="auto"/>
                  <w:bottom w:val="single" w:sz="4" w:space="0" w:color="auto"/>
                  <w:right w:val="single" w:sz="4" w:space="0" w:color="auto"/>
                </w:tcBorders>
                <w:vAlign w:val="center"/>
              </w:tcPr>
              <w:p w14:paraId="1F141507" w14:textId="77777777" w:rsidR="00577D08" w:rsidRDefault="00330FC0">
                <w:pPr>
                  <w:jc w:val="center"/>
                </w:pPr>
                <w:r>
                  <w:rPr>
                    <w:rFonts w:hint="eastAsia"/>
                  </w:rPr>
                  <w:t>比例</w:t>
                </w:r>
                <w:r>
                  <w:t>(%)</w:t>
                </w:r>
              </w:p>
            </w:tc>
          </w:sdtContent>
        </w:sdt>
        <w:sdt>
          <w:sdtPr>
            <w:tag w:val="_PLD_b3e0f0b758214e84b36b1fb05394d2a6"/>
            <w:id w:val="-7147787"/>
          </w:sdtPr>
          <w:sdtContent>
            <w:tc>
              <w:tcPr>
                <w:tcW w:w="412" w:type="pct"/>
                <w:tcBorders>
                  <w:left w:val="single" w:sz="4" w:space="0" w:color="auto"/>
                  <w:bottom w:val="single" w:sz="4" w:space="0" w:color="auto"/>
                  <w:right w:val="single" w:sz="4" w:space="0" w:color="auto"/>
                </w:tcBorders>
                <w:vAlign w:val="center"/>
              </w:tcPr>
              <w:p w14:paraId="60776DC1" w14:textId="77777777" w:rsidR="00577D08" w:rsidRDefault="00330FC0">
                <w:pPr>
                  <w:jc w:val="center"/>
                </w:pPr>
                <w:r>
                  <w:rPr>
                    <w:rFonts w:hint="eastAsia"/>
                  </w:rPr>
                  <w:t>金额</w:t>
                </w:r>
              </w:p>
            </w:tc>
          </w:sdtContent>
        </w:sdt>
        <w:sdt>
          <w:sdtPr>
            <w:tag w:val="_PLD_2d4a63a9e2d842b98c030b4de75fda81"/>
            <w:id w:val="-1607494945"/>
          </w:sdtPr>
          <w:sdtContent>
            <w:tc>
              <w:tcPr>
                <w:tcW w:w="328" w:type="pct"/>
                <w:tcBorders>
                  <w:left w:val="single" w:sz="4" w:space="0" w:color="auto"/>
                  <w:bottom w:val="single" w:sz="4" w:space="0" w:color="auto"/>
                  <w:right w:val="single" w:sz="4" w:space="0" w:color="auto"/>
                </w:tcBorders>
                <w:vAlign w:val="center"/>
              </w:tcPr>
              <w:p w14:paraId="60BA7880" w14:textId="77777777" w:rsidR="00577D08" w:rsidRDefault="00330FC0">
                <w:pPr>
                  <w:jc w:val="center"/>
                </w:pPr>
                <w:r>
                  <w:rPr>
                    <w:rFonts w:hint="eastAsia"/>
                  </w:rPr>
                  <w:t>计提比例</w:t>
                </w:r>
                <w:r>
                  <w:t>(%)</w:t>
                </w:r>
              </w:p>
            </w:tc>
          </w:sdtContent>
        </w:sdt>
        <w:tc>
          <w:tcPr>
            <w:tcW w:w="506" w:type="pct"/>
            <w:vMerge/>
            <w:tcBorders>
              <w:left w:val="single" w:sz="4" w:space="0" w:color="auto"/>
              <w:bottom w:val="single" w:sz="4" w:space="0" w:color="auto"/>
              <w:right w:val="single" w:sz="4" w:space="0" w:color="auto"/>
            </w:tcBorders>
            <w:vAlign w:val="center"/>
          </w:tcPr>
          <w:p w14:paraId="6CADBC36" w14:textId="77777777" w:rsidR="00577D08" w:rsidRDefault="00577D08">
            <w:pPr>
              <w:jc w:val="center"/>
            </w:pPr>
          </w:p>
        </w:tc>
        <w:sdt>
          <w:sdtPr>
            <w:tag w:val="_PLD_6ca5b2e0e4244969b5d3b6e1d2038e49"/>
            <w:id w:val="-569803964"/>
          </w:sdtPr>
          <w:sdtContent>
            <w:tc>
              <w:tcPr>
                <w:tcW w:w="505" w:type="pct"/>
                <w:tcBorders>
                  <w:left w:val="single" w:sz="4" w:space="0" w:color="auto"/>
                  <w:bottom w:val="single" w:sz="4" w:space="0" w:color="auto"/>
                  <w:right w:val="single" w:sz="4" w:space="0" w:color="auto"/>
                </w:tcBorders>
                <w:vAlign w:val="center"/>
              </w:tcPr>
              <w:p w14:paraId="601A4B2B" w14:textId="77777777" w:rsidR="00577D08" w:rsidRDefault="00330FC0">
                <w:pPr>
                  <w:jc w:val="center"/>
                </w:pPr>
                <w:r>
                  <w:rPr>
                    <w:rFonts w:hint="eastAsia"/>
                  </w:rPr>
                  <w:t>金额</w:t>
                </w:r>
              </w:p>
            </w:tc>
          </w:sdtContent>
        </w:sdt>
        <w:sdt>
          <w:sdtPr>
            <w:tag w:val="_PLD_95988aa897a0485bac7b4f6f07505308"/>
            <w:id w:val="1174224243"/>
          </w:sdtPr>
          <w:sdtContent>
            <w:tc>
              <w:tcPr>
                <w:tcW w:w="377" w:type="pct"/>
                <w:tcBorders>
                  <w:left w:val="single" w:sz="4" w:space="0" w:color="auto"/>
                  <w:bottom w:val="single" w:sz="4" w:space="0" w:color="auto"/>
                  <w:right w:val="single" w:sz="4" w:space="0" w:color="auto"/>
                </w:tcBorders>
                <w:vAlign w:val="center"/>
              </w:tcPr>
              <w:p w14:paraId="6BC28BA8" w14:textId="77777777" w:rsidR="00577D08" w:rsidRDefault="00330FC0">
                <w:pPr>
                  <w:jc w:val="center"/>
                </w:pPr>
                <w:r>
                  <w:rPr>
                    <w:rFonts w:hint="eastAsia"/>
                  </w:rPr>
                  <w:t>比例</w:t>
                </w:r>
                <w:r>
                  <w:t>(%)</w:t>
                </w:r>
              </w:p>
            </w:tc>
          </w:sdtContent>
        </w:sdt>
        <w:sdt>
          <w:sdtPr>
            <w:tag w:val="_PLD_74ee8f5e539042c8944a895be658983f"/>
            <w:id w:val="-1044057635"/>
          </w:sdtPr>
          <w:sdtContent>
            <w:tc>
              <w:tcPr>
                <w:tcW w:w="412" w:type="pct"/>
                <w:tcBorders>
                  <w:left w:val="single" w:sz="4" w:space="0" w:color="auto"/>
                  <w:bottom w:val="single" w:sz="4" w:space="0" w:color="auto"/>
                  <w:right w:val="single" w:sz="4" w:space="0" w:color="auto"/>
                </w:tcBorders>
                <w:vAlign w:val="center"/>
              </w:tcPr>
              <w:p w14:paraId="2174A079" w14:textId="77777777" w:rsidR="00577D08" w:rsidRDefault="00330FC0">
                <w:pPr>
                  <w:jc w:val="center"/>
                </w:pPr>
                <w:r>
                  <w:rPr>
                    <w:rFonts w:hint="eastAsia"/>
                  </w:rPr>
                  <w:t>金额</w:t>
                </w:r>
              </w:p>
            </w:tc>
          </w:sdtContent>
        </w:sdt>
        <w:sdt>
          <w:sdtPr>
            <w:tag w:val="_PLD_5968b7c1fceb4e109559c839ec045cc3"/>
            <w:id w:val="183186286"/>
          </w:sdtPr>
          <w:sdtContent>
            <w:tc>
              <w:tcPr>
                <w:tcW w:w="357" w:type="pct"/>
                <w:tcBorders>
                  <w:left w:val="single" w:sz="4" w:space="0" w:color="auto"/>
                  <w:bottom w:val="single" w:sz="4" w:space="0" w:color="auto"/>
                  <w:right w:val="single" w:sz="4" w:space="0" w:color="auto"/>
                </w:tcBorders>
                <w:vAlign w:val="center"/>
              </w:tcPr>
              <w:p w14:paraId="123CFFED" w14:textId="77777777" w:rsidR="00577D08" w:rsidRDefault="00330FC0">
                <w:pPr>
                  <w:jc w:val="center"/>
                </w:pPr>
                <w:r>
                  <w:rPr>
                    <w:rFonts w:hint="eastAsia"/>
                  </w:rPr>
                  <w:t>计提比例</w:t>
                </w:r>
                <w:r>
                  <w:t>(%)</w:t>
                </w:r>
              </w:p>
            </w:tc>
          </w:sdtContent>
        </w:sdt>
        <w:tc>
          <w:tcPr>
            <w:tcW w:w="505" w:type="pct"/>
            <w:vMerge/>
            <w:tcBorders>
              <w:left w:val="single" w:sz="4" w:space="0" w:color="auto"/>
              <w:bottom w:val="single" w:sz="4" w:space="0" w:color="auto"/>
              <w:right w:val="single" w:sz="4" w:space="0" w:color="auto"/>
            </w:tcBorders>
            <w:vAlign w:val="center"/>
          </w:tcPr>
          <w:p w14:paraId="4932E2E4" w14:textId="77777777" w:rsidR="00577D08" w:rsidRDefault="00577D08">
            <w:pPr>
              <w:jc w:val="center"/>
            </w:pPr>
          </w:p>
        </w:tc>
      </w:tr>
      <w:tr w:rsidR="00577D08" w14:paraId="4A9B78B5" w14:textId="77777777">
        <w:trPr>
          <w:cantSplit/>
        </w:trPr>
        <w:tc>
          <w:tcPr>
            <w:tcW w:w="727" w:type="pct"/>
            <w:tcBorders>
              <w:top w:val="single" w:sz="4" w:space="0" w:color="auto"/>
              <w:left w:val="single" w:sz="4" w:space="0" w:color="auto"/>
              <w:bottom w:val="single" w:sz="4" w:space="0" w:color="auto"/>
              <w:right w:val="single" w:sz="4" w:space="0" w:color="auto"/>
            </w:tcBorders>
            <w:vAlign w:val="center"/>
          </w:tcPr>
          <w:p w14:paraId="1D559B28" w14:textId="77777777" w:rsidR="00577D08" w:rsidRDefault="00330FC0">
            <w:r>
              <w:rPr>
                <w:rFonts w:hint="eastAsia"/>
              </w:rPr>
              <w:t>按单项计提坏账准备</w:t>
            </w:r>
          </w:p>
        </w:tc>
        <w:tc>
          <w:tcPr>
            <w:tcW w:w="505" w:type="pct"/>
            <w:tcBorders>
              <w:top w:val="single" w:sz="4" w:space="0" w:color="auto"/>
              <w:left w:val="single" w:sz="4" w:space="0" w:color="auto"/>
              <w:bottom w:val="single" w:sz="4" w:space="0" w:color="auto"/>
              <w:right w:val="single" w:sz="4" w:space="0" w:color="auto"/>
            </w:tcBorders>
            <w:vAlign w:val="center"/>
          </w:tcPr>
          <w:p w14:paraId="782E1EFA" w14:textId="77777777" w:rsidR="00577D08" w:rsidRDefault="00577D08">
            <w:pPr>
              <w:jc w:val="right"/>
            </w:pPr>
          </w:p>
        </w:tc>
        <w:tc>
          <w:tcPr>
            <w:tcW w:w="366" w:type="pct"/>
            <w:tcBorders>
              <w:top w:val="single" w:sz="4" w:space="0" w:color="auto"/>
              <w:left w:val="single" w:sz="4" w:space="0" w:color="auto"/>
              <w:bottom w:val="single" w:sz="4" w:space="0" w:color="auto"/>
              <w:right w:val="single" w:sz="4" w:space="0" w:color="auto"/>
            </w:tcBorders>
            <w:vAlign w:val="center"/>
          </w:tcPr>
          <w:p w14:paraId="1C6747AC" w14:textId="77777777" w:rsidR="00577D08" w:rsidRDefault="00577D08">
            <w:pPr>
              <w:jc w:val="right"/>
            </w:pPr>
          </w:p>
        </w:tc>
        <w:tc>
          <w:tcPr>
            <w:tcW w:w="412" w:type="pct"/>
            <w:tcBorders>
              <w:top w:val="single" w:sz="4" w:space="0" w:color="auto"/>
              <w:left w:val="single" w:sz="4" w:space="0" w:color="auto"/>
              <w:bottom w:val="single" w:sz="4" w:space="0" w:color="auto"/>
              <w:right w:val="single" w:sz="4" w:space="0" w:color="auto"/>
            </w:tcBorders>
            <w:vAlign w:val="center"/>
          </w:tcPr>
          <w:p w14:paraId="413545DC" w14:textId="77777777" w:rsidR="00577D08" w:rsidRDefault="00577D08">
            <w:pPr>
              <w:jc w:val="right"/>
            </w:pPr>
          </w:p>
        </w:tc>
        <w:tc>
          <w:tcPr>
            <w:tcW w:w="328" w:type="pct"/>
            <w:tcBorders>
              <w:top w:val="single" w:sz="4" w:space="0" w:color="auto"/>
              <w:left w:val="single" w:sz="4" w:space="0" w:color="auto"/>
              <w:bottom w:val="single" w:sz="4" w:space="0" w:color="auto"/>
              <w:right w:val="single" w:sz="4" w:space="0" w:color="auto"/>
            </w:tcBorders>
            <w:vAlign w:val="center"/>
          </w:tcPr>
          <w:p w14:paraId="33C5E17D" w14:textId="77777777" w:rsidR="00577D08" w:rsidRDefault="00577D08">
            <w:pPr>
              <w:jc w:val="right"/>
            </w:pPr>
          </w:p>
        </w:tc>
        <w:tc>
          <w:tcPr>
            <w:tcW w:w="506" w:type="pct"/>
            <w:tcBorders>
              <w:top w:val="single" w:sz="4" w:space="0" w:color="auto"/>
              <w:left w:val="single" w:sz="4" w:space="0" w:color="auto"/>
              <w:bottom w:val="single" w:sz="4" w:space="0" w:color="auto"/>
              <w:right w:val="single" w:sz="4" w:space="0" w:color="auto"/>
            </w:tcBorders>
            <w:vAlign w:val="center"/>
          </w:tcPr>
          <w:p w14:paraId="496846B6"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406D86D7" w14:textId="77777777" w:rsidR="00577D08" w:rsidRDefault="00577D08">
            <w:pPr>
              <w:jc w:val="right"/>
            </w:pPr>
          </w:p>
        </w:tc>
        <w:tc>
          <w:tcPr>
            <w:tcW w:w="377" w:type="pct"/>
            <w:tcBorders>
              <w:top w:val="single" w:sz="4" w:space="0" w:color="auto"/>
              <w:left w:val="single" w:sz="4" w:space="0" w:color="auto"/>
              <w:bottom w:val="single" w:sz="4" w:space="0" w:color="auto"/>
              <w:right w:val="single" w:sz="4" w:space="0" w:color="auto"/>
            </w:tcBorders>
            <w:vAlign w:val="center"/>
          </w:tcPr>
          <w:p w14:paraId="44DAADF6" w14:textId="77777777" w:rsidR="00577D08" w:rsidRDefault="00577D08">
            <w:pPr>
              <w:jc w:val="right"/>
            </w:pPr>
          </w:p>
        </w:tc>
        <w:tc>
          <w:tcPr>
            <w:tcW w:w="412" w:type="pct"/>
            <w:tcBorders>
              <w:top w:val="single" w:sz="4" w:space="0" w:color="auto"/>
              <w:left w:val="single" w:sz="4" w:space="0" w:color="auto"/>
              <w:bottom w:val="single" w:sz="4" w:space="0" w:color="auto"/>
              <w:right w:val="single" w:sz="4" w:space="0" w:color="auto"/>
            </w:tcBorders>
            <w:vAlign w:val="center"/>
          </w:tcPr>
          <w:p w14:paraId="145097A1"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72D5A61F"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0952DAAB" w14:textId="77777777" w:rsidR="00577D08" w:rsidRDefault="00577D08">
            <w:pPr>
              <w:jc w:val="right"/>
            </w:pPr>
          </w:p>
        </w:tc>
      </w:tr>
      <w:tr w:rsidR="00577D08" w14:paraId="4E6A41CF" w14:textId="77777777">
        <w:trPr>
          <w:cantSplit/>
        </w:trPr>
        <w:tc>
          <w:tcPr>
            <w:tcW w:w="5000" w:type="pct"/>
            <w:gridSpan w:val="11"/>
            <w:tcBorders>
              <w:top w:val="single" w:sz="4" w:space="0" w:color="auto"/>
              <w:left w:val="single" w:sz="4" w:space="0" w:color="auto"/>
              <w:bottom w:val="single" w:sz="4" w:space="0" w:color="auto"/>
              <w:right w:val="single" w:sz="4" w:space="0" w:color="auto"/>
            </w:tcBorders>
            <w:vAlign w:val="center"/>
          </w:tcPr>
          <w:sdt>
            <w:sdtPr>
              <w:tag w:val="_PLD_0ad2125e91b84d7aab3eaa5e5c14d657"/>
              <w:id w:val="1167436194"/>
            </w:sdtPr>
            <w:sdtContent>
              <w:p w14:paraId="4972A67F" w14:textId="77777777" w:rsidR="00577D08" w:rsidRDefault="00330FC0">
                <w:r>
                  <w:rPr>
                    <w:rFonts w:hint="eastAsia"/>
                  </w:rPr>
                  <w:t>其中：</w:t>
                </w:r>
              </w:p>
            </w:sdtContent>
          </w:sdt>
        </w:tc>
      </w:tr>
      <w:tr w:rsidR="00577D08" w14:paraId="681946B4" w14:textId="77777777">
        <w:trPr>
          <w:cantSplit/>
        </w:trPr>
        <w:tc>
          <w:tcPr>
            <w:tcW w:w="727" w:type="pct"/>
            <w:tcBorders>
              <w:top w:val="single" w:sz="4" w:space="0" w:color="auto"/>
              <w:left w:val="single" w:sz="4" w:space="0" w:color="auto"/>
              <w:bottom w:val="single" w:sz="4" w:space="0" w:color="auto"/>
              <w:right w:val="single" w:sz="4" w:space="0" w:color="auto"/>
            </w:tcBorders>
            <w:vAlign w:val="center"/>
          </w:tcPr>
          <w:p w14:paraId="5D6B7CB6" w14:textId="77777777" w:rsidR="00577D08" w:rsidRDefault="00330FC0">
            <w:r>
              <w:rPr>
                <w:rFonts w:hint="eastAsia"/>
              </w:rPr>
              <w:lastRenderedPageBreak/>
              <w:t>按组合计提坏账准备</w:t>
            </w:r>
          </w:p>
        </w:tc>
        <w:tc>
          <w:tcPr>
            <w:tcW w:w="505" w:type="pct"/>
            <w:tcBorders>
              <w:top w:val="single" w:sz="4" w:space="0" w:color="auto"/>
              <w:left w:val="single" w:sz="4" w:space="0" w:color="auto"/>
              <w:bottom w:val="single" w:sz="4" w:space="0" w:color="auto"/>
              <w:right w:val="single" w:sz="4" w:space="0" w:color="auto"/>
            </w:tcBorders>
            <w:vAlign w:val="center"/>
          </w:tcPr>
          <w:p w14:paraId="7F9C3C23" w14:textId="77777777" w:rsidR="00577D08" w:rsidRDefault="00330FC0">
            <w:pPr>
              <w:jc w:val="right"/>
            </w:pPr>
            <w:r>
              <w:t>37,930,037.09</w:t>
            </w:r>
          </w:p>
        </w:tc>
        <w:tc>
          <w:tcPr>
            <w:tcW w:w="366" w:type="pct"/>
            <w:tcBorders>
              <w:top w:val="single" w:sz="4" w:space="0" w:color="auto"/>
              <w:left w:val="single" w:sz="4" w:space="0" w:color="auto"/>
              <w:bottom w:val="single" w:sz="4" w:space="0" w:color="auto"/>
              <w:right w:val="single" w:sz="4" w:space="0" w:color="auto"/>
            </w:tcBorders>
            <w:vAlign w:val="center"/>
          </w:tcPr>
          <w:p w14:paraId="27BC0BBE"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vAlign w:val="center"/>
          </w:tcPr>
          <w:p w14:paraId="741B49C4" w14:textId="77777777" w:rsidR="00577D08" w:rsidRDefault="00330FC0">
            <w:pPr>
              <w:jc w:val="right"/>
            </w:pPr>
            <w:r>
              <w:t>496,512.99</w:t>
            </w:r>
          </w:p>
        </w:tc>
        <w:tc>
          <w:tcPr>
            <w:tcW w:w="328" w:type="pct"/>
            <w:tcBorders>
              <w:top w:val="single" w:sz="4" w:space="0" w:color="auto"/>
              <w:left w:val="single" w:sz="4" w:space="0" w:color="auto"/>
              <w:bottom w:val="single" w:sz="4" w:space="0" w:color="auto"/>
              <w:right w:val="single" w:sz="4" w:space="0" w:color="auto"/>
            </w:tcBorders>
            <w:vAlign w:val="center"/>
          </w:tcPr>
          <w:p w14:paraId="55E9EAEC" w14:textId="77777777" w:rsidR="00577D08" w:rsidRDefault="00330FC0">
            <w:pPr>
              <w:jc w:val="right"/>
            </w:pPr>
            <w:r>
              <w:t>1.31</w:t>
            </w:r>
          </w:p>
        </w:tc>
        <w:tc>
          <w:tcPr>
            <w:tcW w:w="506" w:type="pct"/>
            <w:tcBorders>
              <w:top w:val="single" w:sz="4" w:space="0" w:color="auto"/>
              <w:left w:val="single" w:sz="4" w:space="0" w:color="auto"/>
              <w:bottom w:val="single" w:sz="4" w:space="0" w:color="auto"/>
              <w:right w:val="single" w:sz="4" w:space="0" w:color="auto"/>
            </w:tcBorders>
            <w:vAlign w:val="center"/>
          </w:tcPr>
          <w:p w14:paraId="09E6505B" w14:textId="77777777" w:rsidR="00577D08" w:rsidRDefault="00330FC0">
            <w:pPr>
              <w:jc w:val="right"/>
            </w:pPr>
            <w:r>
              <w:t>37,433,524.10</w:t>
            </w:r>
          </w:p>
        </w:tc>
        <w:tc>
          <w:tcPr>
            <w:tcW w:w="505" w:type="pct"/>
            <w:tcBorders>
              <w:top w:val="single" w:sz="4" w:space="0" w:color="auto"/>
              <w:left w:val="single" w:sz="4" w:space="0" w:color="auto"/>
              <w:bottom w:val="single" w:sz="4" w:space="0" w:color="auto"/>
              <w:right w:val="single" w:sz="4" w:space="0" w:color="auto"/>
            </w:tcBorders>
            <w:vAlign w:val="center"/>
          </w:tcPr>
          <w:p w14:paraId="63A566C2" w14:textId="77777777" w:rsidR="00577D08" w:rsidRDefault="00330FC0">
            <w:pPr>
              <w:jc w:val="right"/>
            </w:pPr>
            <w:r>
              <w:t>15,196,573.60</w:t>
            </w:r>
          </w:p>
        </w:tc>
        <w:tc>
          <w:tcPr>
            <w:tcW w:w="377" w:type="pct"/>
            <w:tcBorders>
              <w:top w:val="single" w:sz="4" w:space="0" w:color="auto"/>
              <w:left w:val="single" w:sz="4" w:space="0" w:color="auto"/>
              <w:bottom w:val="single" w:sz="4" w:space="0" w:color="auto"/>
              <w:right w:val="single" w:sz="4" w:space="0" w:color="auto"/>
            </w:tcBorders>
            <w:vAlign w:val="center"/>
          </w:tcPr>
          <w:p w14:paraId="5B64070D"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vAlign w:val="center"/>
          </w:tcPr>
          <w:p w14:paraId="276F711D" w14:textId="77777777" w:rsidR="00577D08" w:rsidRDefault="00330FC0">
            <w:pPr>
              <w:jc w:val="right"/>
            </w:pPr>
            <w:r>
              <w:t>201,402.85</w:t>
            </w:r>
          </w:p>
        </w:tc>
        <w:tc>
          <w:tcPr>
            <w:tcW w:w="357" w:type="pct"/>
            <w:tcBorders>
              <w:top w:val="single" w:sz="4" w:space="0" w:color="auto"/>
              <w:left w:val="single" w:sz="4" w:space="0" w:color="auto"/>
              <w:bottom w:val="single" w:sz="4" w:space="0" w:color="auto"/>
              <w:right w:val="single" w:sz="4" w:space="0" w:color="auto"/>
            </w:tcBorders>
            <w:vAlign w:val="center"/>
          </w:tcPr>
          <w:p w14:paraId="795334E2" w14:textId="77777777" w:rsidR="00577D08" w:rsidRDefault="00330FC0">
            <w:pPr>
              <w:jc w:val="right"/>
            </w:pPr>
            <w:r>
              <w:t>1.33</w:t>
            </w:r>
          </w:p>
        </w:tc>
        <w:tc>
          <w:tcPr>
            <w:tcW w:w="505" w:type="pct"/>
            <w:tcBorders>
              <w:top w:val="single" w:sz="4" w:space="0" w:color="auto"/>
              <w:left w:val="single" w:sz="4" w:space="0" w:color="auto"/>
              <w:bottom w:val="single" w:sz="4" w:space="0" w:color="auto"/>
              <w:right w:val="single" w:sz="4" w:space="0" w:color="auto"/>
            </w:tcBorders>
            <w:vAlign w:val="center"/>
          </w:tcPr>
          <w:p w14:paraId="0820A9A8" w14:textId="77777777" w:rsidR="00577D08" w:rsidRDefault="00330FC0">
            <w:pPr>
              <w:jc w:val="right"/>
            </w:pPr>
            <w:r>
              <w:t>14,995,170.75</w:t>
            </w:r>
          </w:p>
        </w:tc>
      </w:tr>
      <w:tr w:rsidR="00577D08" w14:paraId="0461B833" w14:textId="77777777">
        <w:trPr>
          <w:cantSplit/>
        </w:trPr>
        <w:tc>
          <w:tcPr>
            <w:tcW w:w="5000" w:type="pct"/>
            <w:gridSpan w:val="11"/>
            <w:tcBorders>
              <w:top w:val="single" w:sz="4" w:space="0" w:color="auto"/>
              <w:left w:val="single" w:sz="4" w:space="0" w:color="auto"/>
              <w:bottom w:val="single" w:sz="4" w:space="0" w:color="auto"/>
              <w:right w:val="single" w:sz="4" w:space="0" w:color="auto"/>
            </w:tcBorders>
            <w:vAlign w:val="center"/>
          </w:tcPr>
          <w:sdt>
            <w:sdtPr>
              <w:tag w:val="_PLD_2f6bb3bb8c8341aeb319f2a63480dce6"/>
              <w:id w:val="469409103"/>
            </w:sdtPr>
            <w:sdtContent>
              <w:p w14:paraId="2CBA5BD5" w14:textId="77777777" w:rsidR="00577D08" w:rsidRDefault="00330FC0">
                <w:r>
                  <w:rPr>
                    <w:rFonts w:hint="eastAsia"/>
                  </w:rPr>
                  <w:t>其中：</w:t>
                </w:r>
              </w:p>
            </w:sdtContent>
          </w:sdt>
        </w:tc>
      </w:tr>
      <w:tr w:rsidR="00577D08" w14:paraId="0634769C" w14:textId="77777777">
        <w:trPr>
          <w:cantSplit/>
        </w:trPr>
        <w:tc>
          <w:tcPr>
            <w:tcW w:w="727" w:type="pct"/>
            <w:tcBorders>
              <w:top w:val="single" w:sz="4" w:space="0" w:color="auto"/>
              <w:left w:val="single" w:sz="4" w:space="0" w:color="auto"/>
              <w:bottom w:val="single" w:sz="4" w:space="0" w:color="auto"/>
              <w:right w:val="single" w:sz="4" w:space="0" w:color="auto"/>
            </w:tcBorders>
          </w:tcPr>
          <w:p w14:paraId="33E42A62" w14:textId="77777777" w:rsidR="00577D08" w:rsidRDefault="00330FC0">
            <w:pPr>
              <w:jc w:val="both"/>
            </w:pPr>
            <w:r>
              <w:rPr>
                <w:rFonts w:hint="eastAsia"/>
              </w:rPr>
              <w:t>银行承兑汇票</w:t>
            </w:r>
          </w:p>
        </w:tc>
        <w:tc>
          <w:tcPr>
            <w:tcW w:w="505" w:type="pct"/>
            <w:tcBorders>
              <w:top w:val="single" w:sz="4" w:space="0" w:color="auto"/>
              <w:left w:val="single" w:sz="4" w:space="0" w:color="auto"/>
              <w:bottom w:val="single" w:sz="4" w:space="0" w:color="auto"/>
              <w:right w:val="single" w:sz="4" w:space="0" w:color="auto"/>
            </w:tcBorders>
            <w:vAlign w:val="center"/>
          </w:tcPr>
          <w:p w14:paraId="533AD1BC" w14:textId="77777777" w:rsidR="00577D08" w:rsidRDefault="00330FC0">
            <w:pPr>
              <w:jc w:val="right"/>
            </w:pPr>
            <w:r>
              <w:t>32,442,376.14</w:t>
            </w:r>
          </w:p>
        </w:tc>
        <w:tc>
          <w:tcPr>
            <w:tcW w:w="366" w:type="pct"/>
            <w:tcBorders>
              <w:top w:val="single" w:sz="4" w:space="0" w:color="auto"/>
              <w:left w:val="single" w:sz="4" w:space="0" w:color="auto"/>
              <w:bottom w:val="single" w:sz="4" w:space="0" w:color="auto"/>
              <w:right w:val="single" w:sz="4" w:space="0" w:color="auto"/>
            </w:tcBorders>
            <w:vAlign w:val="center"/>
          </w:tcPr>
          <w:p w14:paraId="128CF4DD" w14:textId="77777777" w:rsidR="00577D08" w:rsidRDefault="00330FC0">
            <w:pPr>
              <w:jc w:val="right"/>
            </w:pPr>
            <w:r>
              <w:t>85.53</w:t>
            </w:r>
          </w:p>
        </w:tc>
        <w:tc>
          <w:tcPr>
            <w:tcW w:w="412" w:type="pct"/>
            <w:tcBorders>
              <w:top w:val="single" w:sz="4" w:space="0" w:color="auto"/>
              <w:left w:val="single" w:sz="4" w:space="0" w:color="auto"/>
              <w:bottom w:val="single" w:sz="4" w:space="0" w:color="auto"/>
              <w:right w:val="single" w:sz="4" w:space="0" w:color="auto"/>
            </w:tcBorders>
            <w:vAlign w:val="center"/>
          </w:tcPr>
          <w:p w14:paraId="449A746A" w14:textId="77777777" w:rsidR="00577D08" w:rsidRDefault="00577D08">
            <w:pPr>
              <w:jc w:val="right"/>
            </w:pPr>
          </w:p>
        </w:tc>
        <w:tc>
          <w:tcPr>
            <w:tcW w:w="328" w:type="pct"/>
            <w:tcBorders>
              <w:top w:val="single" w:sz="4" w:space="0" w:color="auto"/>
              <w:left w:val="single" w:sz="4" w:space="0" w:color="auto"/>
              <w:bottom w:val="single" w:sz="4" w:space="0" w:color="auto"/>
              <w:right w:val="single" w:sz="4" w:space="0" w:color="auto"/>
            </w:tcBorders>
            <w:vAlign w:val="center"/>
          </w:tcPr>
          <w:p w14:paraId="7470CDD6" w14:textId="77777777" w:rsidR="00577D08" w:rsidRDefault="00577D08">
            <w:pPr>
              <w:jc w:val="right"/>
            </w:pPr>
          </w:p>
        </w:tc>
        <w:tc>
          <w:tcPr>
            <w:tcW w:w="506" w:type="pct"/>
            <w:tcBorders>
              <w:top w:val="single" w:sz="4" w:space="0" w:color="auto"/>
              <w:left w:val="single" w:sz="4" w:space="0" w:color="auto"/>
              <w:bottom w:val="single" w:sz="4" w:space="0" w:color="auto"/>
              <w:right w:val="single" w:sz="4" w:space="0" w:color="auto"/>
            </w:tcBorders>
            <w:vAlign w:val="center"/>
          </w:tcPr>
          <w:p w14:paraId="269587F3" w14:textId="77777777" w:rsidR="00577D08" w:rsidRDefault="00330FC0">
            <w:pPr>
              <w:jc w:val="right"/>
            </w:pPr>
            <w:r>
              <w:t>32,442,376.14</w:t>
            </w:r>
          </w:p>
        </w:tc>
        <w:tc>
          <w:tcPr>
            <w:tcW w:w="505" w:type="pct"/>
            <w:tcBorders>
              <w:top w:val="single" w:sz="4" w:space="0" w:color="auto"/>
              <w:left w:val="single" w:sz="4" w:space="0" w:color="auto"/>
              <w:bottom w:val="single" w:sz="4" w:space="0" w:color="auto"/>
              <w:right w:val="single" w:sz="4" w:space="0" w:color="auto"/>
            </w:tcBorders>
            <w:vAlign w:val="center"/>
          </w:tcPr>
          <w:p w14:paraId="518D3CD5" w14:textId="77777777" w:rsidR="00577D08" w:rsidRDefault="00330FC0">
            <w:pPr>
              <w:jc w:val="right"/>
            </w:pPr>
            <w:r>
              <w:t>12,330,215.20</w:t>
            </w:r>
          </w:p>
        </w:tc>
        <w:tc>
          <w:tcPr>
            <w:tcW w:w="377" w:type="pct"/>
            <w:tcBorders>
              <w:top w:val="single" w:sz="4" w:space="0" w:color="auto"/>
              <w:left w:val="single" w:sz="4" w:space="0" w:color="auto"/>
              <w:bottom w:val="single" w:sz="4" w:space="0" w:color="auto"/>
              <w:right w:val="single" w:sz="4" w:space="0" w:color="auto"/>
            </w:tcBorders>
            <w:vAlign w:val="center"/>
          </w:tcPr>
          <w:p w14:paraId="3263A320" w14:textId="77777777" w:rsidR="00577D08" w:rsidRDefault="00330FC0">
            <w:pPr>
              <w:jc w:val="right"/>
            </w:pPr>
            <w:r>
              <w:t>81.14</w:t>
            </w:r>
          </w:p>
        </w:tc>
        <w:tc>
          <w:tcPr>
            <w:tcW w:w="412" w:type="pct"/>
            <w:tcBorders>
              <w:top w:val="single" w:sz="4" w:space="0" w:color="auto"/>
              <w:left w:val="single" w:sz="4" w:space="0" w:color="auto"/>
              <w:bottom w:val="single" w:sz="4" w:space="0" w:color="auto"/>
              <w:right w:val="single" w:sz="4" w:space="0" w:color="auto"/>
            </w:tcBorders>
            <w:vAlign w:val="center"/>
          </w:tcPr>
          <w:p w14:paraId="3375E41C"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4CBCC5B6"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00F9B229" w14:textId="77777777" w:rsidR="00577D08" w:rsidRDefault="00330FC0">
            <w:pPr>
              <w:jc w:val="right"/>
            </w:pPr>
            <w:r>
              <w:t>12,330,215.20</w:t>
            </w:r>
          </w:p>
        </w:tc>
      </w:tr>
      <w:tr w:rsidR="00577D08" w14:paraId="4E4765DD" w14:textId="77777777">
        <w:trPr>
          <w:cantSplit/>
        </w:trPr>
        <w:tc>
          <w:tcPr>
            <w:tcW w:w="727" w:type="pct"/>
            <w:tcBorders>
              <w:top w:val="single" w:sz="4" w:space="0" w:color="auto"/>
              <w:left w:val="single" w:sz="4" w:space="0" w:color="auto"/>
              <w:bottom w:val="single" w:sz="4" w:space="0" w:color="auto"/>
              <w:right w:val="single" w:sz="4" w:space="0" w:color="auto"/>
            </w:tcBorders>
          </w:tcPr>
          <w:p w14:paraId="25B6FC7E" w14:textId="77777777" w:rsidR="00577D08" w:rsidRDefault="00330FC0">
            <w:pPr>
              <w:jc w:val="both"/>
            </w:pPr>
            <w:r>
              <w:rPr>
                <w:rFonts w:hint="eastAsia"/>
              </w:rPr>
              <w:t>供应链金融电子债权凭证</w:t>
            </w:r>
          </w:p>
        </w:tc>
        <w:tc>
          <w:tcPr>
            <w:tcW w:w="505" w:type="pct"/>
            <w:tcBorders>
              <w:top w:val="single" w:sz="4" w:space="0" w:color="auto"/>
              <w:left w:val="single" w:sz="4" w:space="0" w:color="auto"/>
              <w:bottom w:val="single" w:sz="4" w:space="0" w:color="auto"/>
              <w:right w:val="single" w:sz="4" w:space="0" w:color="auto"/>
            </w:tcBorders>
            <w:vAlign w:val="center"/>
          </w:tcPr>
          <w:p w14:paraId="78012720" w14:textId="77777777" w:rsidR="00577D08" w:rsidRDefault="00330FC0">
            <w:pPr>
              <w:jc w:val="right"/>
            </w:pPr>
            <w:r>
              <w:t>5,487,660.95</w:t>
            </w:r>
          </w:p>
        </w:tc>
        <w:tc>
          <w:tcPr>
            <w:tcW w:w="366" w:type="pct"/>
            <w:tcBorders>
              <w:top w:val="single" w:sz="4" w:space="0" w:color="auto"/>
              <w:left w:val="single" w:sz="4" w:space="0" w:color="auto"/>
              <w:bottom w:val="single" w:sz="4" w:space="0" w:color="auto"/>
              <w:right w:val="single" w:sz="4" w:space="0" w:color="auto"/>
            </w:tcBorders>
            <w:vAlign w:val="center"/>
          </w:tcPr>
          <w:p w14:paraId="5F46DDC3" w14:textId="77777777" w:rsidR="00577D08" w:rsidRDefault="00330FC0">
            <w:pPr>
              <w:jc w:val="right"/>
            </w:pPr>
            <w:r>
              <w:t>14.47</w:t>
            </w:r>
          </w:p>
        </w:tc>
        <w:tc>
          <w:tcPr>
            <w:tcW w:w="412" w:type="pct"/>
            <w:tcBorders>
              <w:top w:val="single" w:sz="4" w:space="0" w:color="auto"/>
              <w:left w:val="single" w:sz="4" w:space="0" w:color="auto"/>
              <w:bottom w:val="single" w:sz="4" w:space="0" w:color="auto"/>
              <w:right w:val="single" w:sz="4" w:space="0" w:color="auto"/>
            </w:tcBorders>
            <w:vAlign w:val="center"/>
          </w:tcPr>
          <w:p w14:paraId="3CB6700F" w14:textId="77777777" w:rsidR="00577D08" w:rsidRDefault="00330FC0">
            <w:pPr>
              <w:jc w:val="right"/>
            </w:pPr>
            <w:r>
              <w:t>496,512.99</w:t>
            </w:r>
          </w:p>
        </w:tc>
        <w:tc>
          <w:tcPr>
            <w:tcW w:w="328" w:type="pct"/>
            <w:tcBorders>
              <w:top w:val="single" w:sz="4" w:space="0" w:color="auto"/>
              <w:left w:val="single" w:sz="4" w:space="0" w:color="auto"/>
              <w:bottom w:val="single" w:sz="4" w:space="0" w:color="auto"/>
              <w:right w:val="single" w:sz="4" w:space="0" w:color="auto"/>
            </w:tcBorders>
            <w:vAlign w:val="center"/>
          </w:tcPr>
          <w:p w14:paraId="3DF5D0B5" w14:textId="77777777" w:rsidR="00577D08" w:rsidRDefault="00330FC0">
            <w:pPr>
              <w:jc w:val="right"/>
            </w:pPr>
            <w:r>
              <w:t>9.05</w:t>
            </w:r>
          </w:p>
        </w:tc>
        <w:tc>
          <w:tcPr>
            <w:tcW w:w="506" w:type="pct"/>
            <w:tcBorders>
              <w:top w:val="single" w:sz="4" w:space="0" w:color="auto"/>
              <w:left w:val="single" w:sz="4" w:space="0" w:color="auto"/>
              <w:bottom w:val="single" w:sz="4" w:space="0" w:color="auto"/>
              <w:right w:val="single" w:sz="4" w:space="0" w:color="auto"/>
            </w:tcBorders>
            <w:vAlign w:val="center"/>
          </w:tcPr>
          <w:p w14:paraId="1A5480C1" w14:textId="77777777" w:rsidR="00577D08" w:rsidRDefault="00330FC0">
            <w:pPr>
              <w:jc w:val="right"/>
            </w:pPr>
            <w:r>
              <w:t>4,991,147.96</w:t>
            </w:r>
          </w:p>
        </w:tc>
        <w:tc>
          <w:tcPr>
            <w:tcW w:w="505" w:type="pct"/>
            <w:tcBorders>
              <w:top w:val="single" w:sz="4" w:space="0" w:color="auto"/>
              <w:left w:val="single" w:sz="4" w:space="0" w:color="auto"/>
              <w:bottom w:val="single" w:sz="4" w:space="0" w:color="auto"/>
              <w:right w:val="single" w:sz="4" w:space="0" w:color="auto"/>
            </w:tcBorders>
            <w:vAlign w:val="center"/>
          </w:tcPr>
          <w:p w14:paraId="36DC2D27" w14:textId="77777777" w:rsidR="00577D08" w:rsidRDefault="00330FC0">
            <w:pPr>
              <w:jc w:val="right"/>
            </w:pPr>
            <w:r>
              <w:t>2,866,358.40</w:t>
            </w:r>
          </w:p>
        </w:tc>
        <w:tc>
          <w:tcPr>
            <w:tcW w:w="377" w:type="pct"/>
            <w:tcBorders>
              <w:top w:val="single" w:sz="4" w:space="0" w:color="auto"/>
              <w:left w:val="single" w:sz="4" w:space="0" w:color="auto"/>
              <w:bottom w:val="single" w:sz="4" w:space="0" w:color="auto"/>
              <w:right w:val="single" w:sz="4" w:space="0" w:color="auto"/>
            </w:tcBorders>
            <w:vAlign w:val="center"/>
          </w:tcPr>
          <w:p w14:paraId="37BCFE1F" w14:textId="77777777" w:rsidR="00577D08" w:rsidRDefault="00330FC0">
            <w:pPr>
              <w:jc w:val="right"/>
            </w:pPr>
            <w:r>
              <w:t>18.86</w:t>
            </w:r>
          </w:p>
        </w:tc>
        <w:tc>
          <w:tcPr>
            <w:tcW w:w="412" w:type="pct"/>
            <w:tcBorders>
              <w:top w:val="single" w:sz="4" w:space="0" w:color="auto"/>
              <w:left w:val="single" w:sz="4" w:space="0" w:color="auto"/>
              <w:bottom w:val="single" w:sz="4" w:space="0" w:color="auto"/>
              <w:right w:val="single" w:sz="4" w:space="0" w:color="auto"/>
            </w:tcBorders>
            <w:vAlign w:val="center"/>
          </w:tcPr>
          <w:p w14:paraId="686DB3A4" w14:textId="77777777" w:rsidR="00577D08" w:rsidRDefault="00330FC0">
            <w:pPr>
              <w:jc w:val="right"/>
            </w:pPr>
            <w:r>
              <w:t>201,402.85</w:t>
            </w:r>
          </w:p>
        </w:tc>
        <w:tc>
          <w:tcPr>
            <w:tcW w:w="357" w:type="pct"/>
            <w:tcBorders>
              <w:top w:val="single" w:sz="4" w:space="0" w:color="auto"/>
              <w:left w:val="single" w:sz="4" w:space="0" w:color="auto"/>
              <w:bottom w:val="single" w:sz="4" w:space="0" w:color="auto"/>
              <w:right w:val="single" w:sz="4" w:space="0" w:color="auto"/>
            </w:tcBorders>
            <w:vAlign w:val="center"/>
          </w:tcPr>
          <w:p w14:paraId="53918640" w14:textId="77777777" w:rsidR="00577D08" w:rsidRDefault="00330FC0">
            <w:pPr>
              <w:jc w:val="right"/>
            </w:pPr>
            <w:r>
              <w:t>7.03</w:t>
            </w:r>
          </w:p>
        </w:tc>
        <w:tc>
          <w:tcPr>
            <w:tcW w:w="505" w:type="pct"/>
            <w:tcBorders>
              <w:top w:val="single" w:sz="4" w:space="0" w:color="auto"/>
              <w:left w:val="single" w:sz="4" w:space="0" w:color="auto"/>
              <w:bottom w:val="single" w:sz="4" w:space="0" w:color="auto"/>
              <w:right w:val="single" w:sz="4" w:space="0" w:color="auto"/>
            </w:tcBorders>
            <w:vAlign w:val="center"/>
          </w:tcPr>
          <w:p w14:paraId="10D81FC4" w14:textId="77777777" w:rsidR="00577D08" w:rsidRDefault="00330FC0">
            <w:pPr>
              <w:jc w:val="right"/>
            </w:pPr>
            <w:r>
              <w:t>2,664,955.55</w:t>
            </w:r>
          </w:p>
        </w:tc>
      </w:tr>
      <w:tr w:rsidR="00577D08" w14:paraId="603AE377" w14:textId="77777777">
        <w:trPr>
          <w:cantSplit/>
        </w:trPr>
        <w:tc>
          <w:tcPr>
            <w:tcW w:w="727" w:type="pct"/>
            <w:tcBorders>
              <w:top w:val="single" w:sz="4" w:space="0" w:color="auto"/>
              <w:left w:val="single" w:sz="4" w:space="0" w:color="auto"/>
              <w:bottom w:val="single" w:sz="4" w:space="0" w:color="auto"/>
              <w:right w:val="single" w:sz="4" w:space="0" w:color="auto"/>
            </w:tcBorders>
            <w:vAlign w:val="center"/>
          </w:tcPr>
          <w:p w14:paraId="241BA9F3" w14:textId="77777777" w:rsidR="00577D08" w:rsidRDefault="00330FC0">
            <w:pPr>
              <w:autoSpaceDE w:val="0"/>
              <w:autoSpaceDN w:val="0"/>
              <w:adjustRightInd w:val="0"/>
              <w:jc w:val="center"/>
            </w:pPr>
            <w:r>
              <w:rPr>
                <w:rFonts w:hint="eastAsia"/>
              </w:rPr>
              <w:t>合计</w:t>
            </w:r>
          </w:p>
        </w:tc>
        <w:tc>
          <w:tcPr>
            <w:tcW w:w="505" w:type="pct"/>
            <w:tcBorders>
              <w:top w:val="single" w:sz="4" w:space="0" w:color="auto"/>
              <w:left w:val="single" w:sz="4" w:space="0" w:color="auto"/>
              <w:bottom w:val="single" w:sz="4" w:space="0" w:color="auto"/>
              <w:right w:val="single" w:sz="4" w:space="0" w:color="auto"/>
            </w:tcBorders>
            <w:vAlign w:val="center"/>
          </w:tcPr>
          <w:p w14:paraId="5453A0E0" w14:textId="77777777" w:rsidR="00577D08" w:rsidRDefault="00330FC0">
            <w:pPr>
              <w:jc w:val="right"/>
            </w:pPr>
            <w:r>
              <w:t>37,930,037.09</w:t>
            </w:r>
          </w:p>
        </w:tc>
        <w:tc>
          <w:tcPr>
            <w:tcW w:w="366" w:type="pct"/>
            <w:tcBorders>
              <w:top w:val="single" w:sz="4" w:space="0" w:color="auto"/>
              <w:left w:val="single" w:sz="4" w:space="0" w:color="auto"/>
              <w:bottom w:val="single" w:sz="4" w:space="0" w:color="auto"/>
              <w:right w:val="single" w:sz="4" w:space="0" w:color="auto"/>
            </w:tcBorders>
            <w:vAlign w:val="center"/>
          </w:tcPr>
          <w:p w14:paraId="274F83CC"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vAlign w:val="center"/>
          </w:tcPr>
          <w:p w14:paraId="307FFB75" w14:textId="77777777" w:rsidR="00577D08" w:rsidRDefault="00330FC0">
            <w:pPr>
              <w:jc w:val="right"/>
            </w:pPr>
            <w:r>
              <w:t>496,512.99</w:t>
            </w:r>
          </w:p>
        </w:tc>
        <w:tc>
          <w:tcPr>
            <w:tcW w:w="328" w:type="pct"/>
            <w:tcBorders>
              <w:top w:val="single" w:sz="4" w:space="0" w:color="auto"/>
              <w:left w:val="single" w:sz="4" w:space="0" w:color="auto"/>
              <w:bottom w:val="single" w:sz="4" w:space="0" w:color="auto"/>
              <w:right w:val="single" w:sz="4" w:space="0" w:color="auto"/>
            </w:tcBorders>
            <w:vAlign w:val="center"/>
          </w:tcPr>
          <w:p w14:paraId="38DE82E2" w14:textId="77777777" w:rsidR="00577D08" w:rsidRDefault="00330FC0">
            <w:pPr>
              <w:jc w:val="right"/>
            </w:pPr>
            <w:r>
              <w:t>1.31</w:t>
            </w:r>
          </w:p>
        </w:tc>
        <w:tc>
          <w:tcPr>
            <w:tcW w:w="506" w:type="pct"/>
            <w:tcBorders>
              <w:top w:val="single" w:sz="4" w:space="0" w:color="auto"/>
              <w:left w:val="single" w:sz="4" w:space="0" w:color="auto"/>
              <w:bottom w:val="single" w:sz="4" w:space="0" w:color="auto"/>
              <w:right w:val="single" w:sz="4" w:space="0" w:color="auto"/>
            </w:tcBorders>
            <w:vAlign w:val="center"/>
          </w:tcPr>
          <w:p w14:paraId="4B4FE79A" w14:textId="77777777" w:rsidR="00577D08" w:rsidRDefault="00330FC0">
            <w:pPr>
              <w:jc w:val="right"/>
            </w:pPr>
            <w:r>
              <w:t>37,433,524.10</w:t>
            </w:r>
          </w:p>
        </w:tc>
        <w:tc>
          <w:tcPr>
            <w:tcW w:w="505" w:type="pct"/>
            <w:tcBorders>
              <w:top w:val="single" w:sz="4" w:space="0" w:color="auto"/>
              <w:left w:val="single" w:sz="4" w:space="0" w:color="auto"/>
              <w:bottom w:val="single" w:sz="4" w:space="0" w:color="auto"/>
              <w:right w:val="single" w:sz="4" w:space="0" w:color="auto"/>
            </w:tcBorders>
            <w:vAlign w:val="center"/>
          </w:tcPr>
          <w:p w14:paraId="5374CE12" w14:textId="77777777" w:rsidR="00577D08" w:rsidRDefault="00330FC0">
            <w:pPr>
              <w:jc w:val="right"/>
            </w:pPr>
            <w:r>
              <w:t>15,196,573.60</w:t>
            </w:r>
          </w:p>
        </w:tc>
        <w:tc>
          <w:tcPr>
            <w:tcW w:w="377" w:type="pct"/>
            <w:tcBorders>
              <w:top w:val="single" w:sz="4" w:space="0" w:color="auto"/>
              <w:left w:val="single" w:sz="4" w:space="0" w:color="auto"/>
              <w:bottom w:val="single" w:sz="4" w:space="0" w:color="auto"/>
              <w:right w:val="single" w:sz="4" w:space="0" w:color="auto"/>
            </w:tcBorders>
            <w:vAlign w:val="center"/>
          </w:tcPr>
          <w:p w14:paraId="43125B2F"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vAlign w:val="center"/>
          </w:tcPr>
          <w:p w14:paraId="32410154" w14:textId="77777777" w:rsidR="00577D08" w:rsidRDefault="00330FC0">
            <w:pPr>
              <w:jc w:val="right"/>
            </w:pPr>
            <w:r>
              <w:t>201,402.85</w:t>
            </w:r>
          </w:p>
        </w:tc>
        <w:tc>
          <w:tcPr>
            <w:tcW w:w="357" w:type="pct"/>
            <w:tcBorders>
              <w:top w:val="single" w:sz="4" w:space="0" w:color="auto"/>
              <w:left w:val="single" w:sz="4" w:space="0" w:color="auto"/>
              <w:bottom w:val="single" w:sz="4" w:space="0" w:color="auto"/>
              <w:right w:val="single" w:sz="4" w:space="0" w:color="auto"/>
            </w:tcBorders>
            <w:vAlign w:val="center"/>
          </w:tcPr>
          <w:p w14:paraId="02DCB289" w14:textId="77777777" w:rsidR="00577D08" w:rsidRDefault="00330FC0">
            <w:pPr>
              <w:jc w:val="right"/>
            </w:pPr>
            <w:r>
              <w:t>1.33</w:t>
            </w:r>
          </w:p>
        </w:tc>
        <w:tc>
          <w:tcPr>
            <w:tcW w:w="505" w:type="pct"/>
            <w:tcBorders>
              <w:top w:val="single" w:sz="4" w:space="0" w:color="auto"/>
              <w:left w:val="single" w:sz="4" w:space="0" w:color="auto"/>
              <w:bottom w:val="single" w:sz="4" w:space="0" w:color="auto"/>
              <w:right w:val="single" w:sz="4" w:space="0" w:color="auto"/>
            </w:tcBorders>
            <w:vAlign w:val="center"/>
          </w:tcPr>
          <w:p w14:paraId="67B9DC07" w14:textId="77777777" w:rsidR="00577D08" w:rsidRDefault="00330FC0">
            <w:pPr>
              <w:jc w:val="right"/>
            </w:pPr>
            <w:r>
              <w:t>14,995,170.75</w:t>
            </w:r>
          </w:p>
        </w:tc>
      </w:tr>
    </w:tbl>
    <w:p w14:paraId="4E3544CA" w14:textId="77777777" w:rsidR="00577D08" w:rsidRDefault="00330FC0">
      <w:r>
        <w:rPr>
          <w:rFonts w:hint="eastAsia"/>
        </w:rPr>
        <w:t>按单项计提坏账准备：</w:t>
      </w:r>
    </w:p>
    <w:sdt>
      <w:sdtPr>
        <w:alias w:val="是否适用：按单项计提坏账准备的详细情况[双击切换]"/>
        <w:tag w:val="_GBC_65f67a26c8854813ab351f644b5cb549"/>
        <w:id w:val="892003715"/>
        <w:placeholder>
          <w:docPart w:val="GBC22222222222222222222222222222"/>
        </w:placeholder>
      </w:sdtPr>
      <w:sdtContent>
        <w:p w14:paraId="6C9CDD2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8DE522D" w14:textId="77777777" w:rsidR="00577D08" w:rsidRDefault="00330FC0">
      <w:r>
        <w:rPr>
          <w:rFonts w:hint="eastAsia"/>
        </w:rPr>
        <w:t>按单项计提坏账准备的说明：</w:t>
      </w:r>
    </w:p>
    <w:sdt>
      <w:sdtPr>
        <w:alias w:val="是否适用：按单项计提坏账准备的说明[双击切换]"/>
        <w:tag w:val="_GBC_d2e6ec1c09f24f3f8d01b46d2d307db0"/>
        <w:id w:val="-360136717"/>
        <w:placeholder>
          <w:docPart w:val="GBC22222222222222222222222222222"/>
        </w:placeholder>
      </w:sdtPr>
      <w:sdtContent>
        <w:p w14:paraId="64037D2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4E56E8D" w14:textId="77777777" w:rsidR="00577D08" w:rsidRDefault="00330FC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8f072c0ad15941d789bf25455711e72b"/>
        <w:id w:val="-777332623"/>
        <w:lock w:val="contentLocked"/>
        <w:placeholder>
          <w:docPart w:val="GBC22222222222222222222222222222"/>
        </w:placeholder>
      </w:sdtPr>
      <w:sdtContent>
        <w:p w14:paraId="20CEFD34" w14:textId="77777777" w:rsidR="00577D08" w:rsidRDefault="00330FC0">
          <w:pPr>
            <w:rPr>
              <w:rFonts w:ascii="Calibri" w:hAnsi="Calibri"/>
              <w:bCs/>
              <w:szCs w:val="22"/>
            </w:rPr>
          </w:pPr>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3FD46F9C" w14:textId="77777777" w:rsidR="00577D08" w:rsidRDefault="00330FC0">
      <w:pPr>
        <w:rPr>
          <w:rFonts w:ascii="Calibri" w:hAnsi="Calibri"/>
          <w:bCs/>
          <w:szCs w:val="22"/>
        </w:rPr>
      </w:pPr>
      <w:r>
        <w:rPr>
          <w:rFonts w:hint="eastAsia"/>
        </w:rPr>
        <w:t>组合计提项目</w:t>
      </w:r>
      <w:r>
        <w:rPr>
          <w:rFonts w:ascii="Calibri" w:hAnsi="Calibri" w:hint="eastAsia"/>
          <w:bCs/>
          <w:szCs w:val="22"/>
        </w:rPr>
        <w:t>：</w:t>
      </w:r>
      <w:sdt>
        <w:sdtPr>
          <w:rPr>
            <w:rFonts w:ascii="Calibri" w:hAnsi="Calibri" w:hint="eastAsia"/>
            <w:bCs/>
            <w:szCs w:val="22"/>
          </w:rPr>
          <w:alias w:val="按组合计提坏账准备的明细-类别"/>
          <w:tag w:val="_GBC_11d783d53a174188b832d997c47e6c61"/>
          <w:id w:val="-899209348"/>
          <w:placeholder>
            <w:docPart w:val="548F5ECBD39747B19301E3A7FFE96342"/>
          </w:placeholder>
          <w:comboBox/>
        </w:sdtPr>
        <w:sdtContent>
          <w:r>
            <w:rPr>
              <w:rFonts w:ascii="Calibri" w:hAnsi="Calibri" w:hint="eastAsia"/>
              <w:bCs/>
              <w:szCs w:val="22"/>
            </w:rPr>
            <w:t>银行承兑汇票组合、供应链金融电子债权凭证组合</w:t>
          </w:r>
        </w:sdtContent>
      </w:sdt>
    </w:p>
    <w:p w14:paraId="53CA8498" w14:textId="4D4751F8" w:rsidR="00577D08" w:rsidRDefault="00330FC0">
      <w:pPr>
        <w:autoSpaceDE w:val="0"/>
        <w:autoSpaceDN w:val="0"/>
        <w:adjustRightInd w:val="0"/>
        <w:ind w:left="5880" w:right="105"/>
        <w:jc w:val="right"/>
      </w:pPr>
      <w:r>
        <w:rPr>
          <w:rFonts w:hint="eastAsia"/>
        </w:rPr>
        <w:t>单位：</w:t>
      </w:r>
      <w:sdt>
        <w:sdtPr>
          <w:rPr>
            <w:rFonts w:hint="eastAsia"/>
          </w:rPr>
          <w:alias w:val="单位：按组合计提坏账准备的详细名称"/>
          <w:tag w:val="_GBC_889504a043144b428772a702c63d1a40"/>
          <w:id w:val="65458094"/>
          <w:placeholder>
            <w:docPart w:val="548F5ECBD39747B19301E3A7FFE9634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按组合计提坏账准备的详细名称"/>
          <w:tag w:val="_GBC_17575c5933d34182a84d747051e18fd9"/>
          <w:id w:val="-1581063275"/>
          <w:placeholder>
            <w:docPart w:val="548F5ECBD39747B19301E3A7FFE9634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577D08" w14:paraId="76300F07" w14:textId="77777777">
        <w:sdt>
          <w:sdtPr>
            <w:tag w:val="_PLD_df77350dbf4b462ca67057822480c2a2"/>
            <w:id w:val="609100251"/>
          </w:sdtPr>
          <w:sdtContent>
            <w:tc>
              <w:tcPr>
                <w:tcW w:w="1158" w:type="pct"/>
                <w:vMerge w:val="restart"/>
                <w:vAlign w:val="center"/>
              </w:tcPr>
              <w:p w14:paraId="1B4D9BA7" w14:textId="77777777" w:rsidR="00577D08" w:rsidRDefault="00330FC0">
                <w:pPr>
                  <w:jc w:val="center"/>
                </w:pPr>
                <w:r>
                  <w:rPr>
                    <w:rFonts w:hint="eastAsia"/>
                  </w:rPr>
                  <w:t>名称</w:t>
                </w:r>
              </w:p>
            </w:tc>
          </w:sdtContent>
        </w:sdt>
        <w:sdt>
          <w:sdtPr>
            <w:tag w:val="_PLD_34ce67e65f51440a98001e760a59ae68"/>
            <w:id w:val="554980858"/>
          </w:sdtPr>
          <w:sdtContent>
            <w:tc>
              <w:tcPr>
                <w:tcW w:w="3842" w:type="pct"/>
                <w:gridSpan w:val="3"/>
                <w:vAlign w:val="center"/>
              </w:tcPr>
              <w:p w14:paraId="0B5926BE" w14:textId="77777777" w:rsidR="00577D08" w:rsidRDefault="00330FC0">
                <w:pPr>
                  <w:jc w:val="center"/>
                </w:pPr>
                <w:r>
                  <w:rPr>
                    <w:rFonts w:hint="eastAsia"/>
                  </w:rPr>
                  <w:t>期末余额</w:t>
                </w:r>
              </w:p>
            </w:tc>
          </w:sdtContent>
        </w:sdt>
      </w:tr>
      <w:tr w:rsidR="00577D08" w14:paraId="4436399C" w14:textId="77777777">
        <w:tc>
          <w:tcPr>
            <w:tcW w:w="1158" w:type="pct"/>
            <w:vMerge/>
            <w:vAlign w:val="center"/>
          </w:tcPr>
          <w:p w14:paraId="2CBD6EBD" w14:textId="77777777" w:rsidR="00577D08" w:rsidRDefault="00577D08">
            <w:pPr>
              <w:jc w:val="center"/>
            </w:pPr>
          </w:p>
        </w:tc>
        <w:sdt>
          <w:sdtPr>
            <w:tag w:val="_PLD_23185354abd44a7ba3f6db3667ab802b"/>
            <w:id w:val="-1104570878"/>
          </w:sdtPr>
          <w:sdtContent>
            <w:tc>
              <w:tcPr>
                <w:tcW w:w="1276" w:type="pct"/>
                <w:vAlign w:val="center"/>
              </w:tcPr>
              <w:p w14:paraId="7A4E116A" w14:textId="77777777" w:rsidR="00577D08" w:rsidRDefault="00330FC0">
                <w:pPr>
                  <w:jc w:val="center"/>
                </w:pPr>
                <w:r>
                  <w:rPr>
                    <w:rFonts w:hint="eastAsia"/>
                  </w:rPr>
                  <w:t>账面余额</w:t>
                </w:r>
              </w:p>
            </w:tc>
          </w:sdtContent>
        </w:sdt>
        <w:sdt>
          <w:sdtPr>
            <w:tag w:val="_PLD_792aa507fc10410abb2c4abbc3ffe613"/>
            <w:id w:val="834110577"/>
          </w:sdtPr>
          <w:sdtContent>
            <w:tc>
              <w:tcPr>
                <w:tcW w:w="1299" w:type="pct"/>
                <w:vAlign w:val="center"/>
              </w:tcPr>
              <w:p w14:paraId="1FFEF7A9" w14:textId="77777777" w:rsidR="00577D08" w:rsidRDefault="00330FC0">
                <w:pPr>
                  <w:jc w:val="center"/>
                </w:pPr>
                <w:r>
                  <w:rPr>
                    <w:rFonts w:hint="eastAsia"/>
                  </w:rPr>
                  <w:t>坏账准备</w:t>
                </w:r>
              </w:p>
            </w:tc>
          </w:sdtContent>
        </w:sdt>
        <w:sdt>
          <w:sdtPr>
            <w:tag w:val="_PLD_d98cb34aa8324eb18787c26a555cffb8"/>
            <w:id w:val="876275133"/>
          </w:sdtPr>
          <w:sdtEndPr>
            <w:rPr>
              <w:rFonts w:hint="eastAsia"/>
            </w:rPr>
          </w:sdtEndPr>
          <w:sdtContent>
            <w:tc>
              <w:tcPr>
                <w:tcW w:w="1267" w:type="pct"/>
                <w:vAlign w:val="center"/>
              </w:tcPr>
              <w:p w14:paraId="136FD475" w14:textId="77777777" w:rsidR="00577D08" w:rsidRDefault="00330FC0">
                <w:pPr>
                  <w:jc w:val="center"/>
                </w:pPr>
                <w:r>
                  <w:t>计提比例</w:t>
                </w:r>
                <w:r>
                  <w:rPr>
                    <w:rFonts w:hint="eastAsia"/>
                  </w:rPr>
                  <w:t>（</w:t>
                </w:r>
                <w:r>
                  <w:rPr>
                    <w:rFonts w:hint="eastAsia"/>
                  </w:rPr>
                  <w:t>%</w:t>
                </w:r>
                <w:r>
                  <w:rPr>
                    <w:rFonts w:hint="eastAsia"/>
                  </w:rPr>
                  <w:t>）</w:t>
                </w:r>
              </w:p>
            </w:tc>
          </w:sdtContent>
        </w:sdt>
      </w:tr>
      <w:tr w:rsidR="00577D08" w14:paraId="083A2D47" w14:textId="77777777">
        <w:tc>
          <w:tcPr>
            <w:tcW w:w="1158" w:type="pct"/>
          </w:tcPr>
          <w:p w14:paraId="6F4CFCD8" w14:textId="77777777" w:rsidR="00577D08" w:rsidRDefault="00330FC0">
            <w:r>
              <w:rPr>
                <w:rFonts w:hint="eastAsia"/>
              </w:rPr>
              <w:t>银行承兑汇票组合</w:t>
            </w:r>
          </w:p>
        </w:tc>
        <w:tc>
          <w:tcPr>
            <w:tcW w:w="1276" w:type="pct"/>
          </w:tcPr>
          <w:p w14:paraId="778CEF3D" w14:textId="77777777" w:rsidR="00577D08" w:rsidRDefault="00330FC0">
            <w:pPr>
              <w:jc w:val="right"/>
            </w:pPr>
            <w:r>
              <w:t>32,442,376.14</w:t>
            </w:r>
          </w:p>
        </w:tc>
        <w:tc>
          <w:tcPr>
            <w:tcW w:w="1299" w:type="pct"/>
          </w:tcPr>
          <w:p w14:paraId="74C2F244" w14:textId="77777777" w:rsidR="00577D08" w:rsidRDefault="00577D08">
            <w:pPr>
              <w:jc w:val="right"/>
            </w:pPr>
          </w:p>
        </w:tc>
        <w:tc>
          <w:tcPr>
            <w:tcW w:w="1267" w:type="pct"/>
          </w:tcPr>
          <w:p w14:paraId="75D50553" w14:textId="77777777" w:rsidR="00577D08" w:rsidRDefault="00577D08">
            <w:pPr>
              <w:jc w:val="right"/>
            </w:pPr>
          </w:p>
        </w:tc>
      </w:tr>
      <w:tr w:rsidR="00577D08" w14:paraId="05B616B3" w14:textId="77777777">
        <w:tc>
          <w:tcPr>
            <w:tcW w:w="1158" w:type="pct"/>
          </w:tcPr>
          <w:p w14:paraId="3AE7B477" w14:textId="77777777" w:rsidR="00577D08" w:rsidRDefault="00330FC0">
            <w:r>
              <w:rPr>
                <w:rFonts w:hint="eastAsia"/>
              </w:rPr>
              <w:t>供应链金融电子债权凭证组合</w:t>
            </w:r>
          </w:p>
        </w:tc>
        <w:tc>
          <w:tcPr>
            <w:tcW w:w="1276" w:type="pct"/>
          </w:tcPr>
          <w:p w14:paraId="6603117E" w14:textId="77777777" w:rsidR="00577D08" w:rsidRDefault="00330FC0">
            <w:pPr>
              <w:jc w:val="right"/>
            </w:pPr>
            <w:r>
              <w:t>5,487,660.95</w:t>
            </w:r>
          </w:p>
        </w:tc>
        <w:tc>
          <w:tcPr>
            <w:tcW w:w="1299" w:type="pct"/>
          </w:tcPr>
          <w:p w14:paraId="1EC30DEE" w14:textId="77777777" w:rsidR="00577D08" w:rsidRDefault="00330FC0">
            <w:pPr>
              <w:jc w:val="right"/>
            </w:pPr>
            <w:r>
              <w:t>496,512.99</w:t>
            </w:r>
          </w:p>
        </w:tc>
        <w:tc>
          <w:tcPr>
            <w:tcW w:w="1267" w:type="pct"/>
          </w:tcPr>
          <w:p w14:paraId="3BFA204E" w14:textId="77777777" w:rsidR="00577D08" w:rsidRDefault="00330FC0">
            <w:pPr>
              <w:jc w:val="right"/>
            </w:pPr>
            <w:r>
              <w:t>9.05</w:t>
            </w:r>
          </w:p>
        </w:tc>
      </w:tr>
      <w:tr w:rsidR="00577D08" w14:paraId="7DB418FD" w14:textId="77777777">
        <w:tc>
          <w:tcPr>
            <w:tcW w:w="1158" w:type="pct"/>
            <w:vAlign w:val="center"/>
          </w:tcPr>
          <w:p w14:paraId="359173A5" w14:textId="77777777" w:rsidR="00577D08" w:rsidRDefault="00330FC0">
            <w:pPr>
              <w:jc w:val="center"/>
            </w:pPr>
            <w:r>
              <w:rPr>
                <w:rFonts w:hint="eastAsia"/>
              </w:rPr>
              <w:t>合计</w:t>
            </w:r>
          </w:p>
        </w:tc>
        <w:tc>
          <w:tcPr>
            <w:tcW w:w="1276" w:type="pct"/>
          </w:tcPr>
          <w:p w14:paraId="280E57A3" w14:textId="77777777" w:rsidR="00577D08" w:rsidRDefault="00330FC0">
            <w:pPr>
              <w:jc w:val="right"/>
            </w:pPr>
            <w:r>
              <w:t>37,930,037.09</w:t>
            </w:r>
          </w:p>
        </w:tc>
        <w:tc>
          <w:tcPr>
            <w:tcW w:w="1299" w:type="pct"/>
          </w:tcPr>
          <w:p w14:paraId="4944C1C2" w14:textId="77777777" w:rsidR="00577D08" w:rsidRDefault="00330FC0">
            <w:pPr>
              <w:jc w:val="right"/>
            </w:pPr>
            <w:r>
              <w:t>496,512.99</w:t>
            </w:r>
          </w:p>
        </w:tc>
        <w:tc>
          <w:tcPr>
            <w:tcW w:w="1267" w:type="pct"/>
          </w:tcPr>
          <w:p w14:paraId="6DCA1C7F" w14:textId="77777777" w:rsidR="00577D08" w:rsidRDefault="00330FC0">
            <w:pPr>
              <w:jc w:val="right"/>
            </w:pPr>
            <w:r>
              <w:t>1.31</w:t>
            </w:r>
          </w:p>
        </w:tc>
      </w:tr>
    </w:tbl>
    <w:p w14:paraId="012F8EA3" w14:textId="77777777" w:rsidR="00577D08" w:rsidRDefault="00330FC0">
      <w:r>
        <w:rPr>
          <w:rFonts w:hint="eastAsia"/>
        </w:rPr>
        <w:t>按组合计提坏账准备的说明</w:t>
      </w:r>
    </w:p>
    <w:sdt>
      <w:sdtPr>
        <w:alias w:val="是否适用：按组合计提坏账准备的的说明[双击切换]"/>
        <w:tag w:val="_GBC_d5c0038ba4094660abb29d30d764f501"/>
        <w:id w:val="-594785867"/>
        <w:placeholder>
          <w:docPart w:val="548F5ECBD39747B19301E3A7FFE96342"/>
        </w:placeholder>
      </w:sdtPr>
      <w:sdtContent>
        <w:p w14:paraId="187FA5E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40C92F1" w14:textId="77777777" w:rsidR="00577D08" w:rsidRDefault="00330FC0">
      <w:pPr>
        <w:rPr>
          <w:rFonts w:cstheme="minorBidi"/>
          <w:bCs/>
          <w:szCs w:val="22"/>
        </w:rPr>
      </w:pPr>
      <w:bookmarkStart w:id="351" w:name="_Hlk154134692"/>
      <w:bookmarkStart w:id="352" w:name="_Hlk15337271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711e992fa6a34dd7aa5a5725743204fa"/>
        <w:id w:val="499780323"/>
        <w:placeholder>
          <w:docPart w:val="GBC22222222222222222222222222222"/>
        </w:placeholder>
      </w:sdtPr>
      <w:sdtContent>
        <w:p w14:paraId="216E0ED7" w14:textId="77777777" w:rsidR="00577D08" w:rsidRDefault="00330FC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163C23E7"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2bf6f4d4451c46a9a45370b7317253a2"/>
        <w:id w:val="-1979827878"/>
        <w:placeholder>
          <w:docPart w:val="GBC22222222222222222222222222222"/>
        </w:placeholder>
      </w:sdtPr>
      <w:sdtContent>
        <w:p w14:paraId="1C3A0792" w14:textId="77777777" w:rsidR="00577D08" w:rsidRDefault="00330FC0">
          <w:pPr>
            <w:rPr>
              <w:bCs/>
              <w:szCs w:val="22"/>
            </w:rPr>
          </w:pPr>
          <w:r>
            <w:rPr>
              <w:rFonts w:hint="eastAsia"/>
              <w:bCs/>
              <w:szCs w:val="22"/>
            </w:rPr>
            <w:t>无</w:t>
          </w:r>
        </w:p>
      </w:sdtContent>
    </w:sdt>
    <w:p w14:paraId="79413DC8" w14:textId="77777777" w:rsidR="00577D08" w:rsidRDefault="00577D08">
      <w:pPr>
        <w:pStyle w:val="affc"/>
      </w:pPr>
    </w:p>
    <w:p w14:paraId="56EC2860" w14:textId="77777777" w:rsidR="00577D08" w:rsidRDefault="00330FC0">
      <w:pPr>
        <w:pStyle w:val="affc"/>
      </w:pPr>
      <w:r>
        <w:rPr>
          <w:rFonts w:hint="eastAsia"/>
        </w:rPr>
        <w:t>对本期发生损失准备变动的应收款项融资账面余额显著变动的情况说明：</w:t>
      </w:r>
    </w:p>
    <w:sdt>
      <w:sdtPr>
        <w:alias w:val="是否适用：对本期发生损失准备变动的账面余额显著变动的情况说明[双击切换]"/>
        <w:tag w:val="_GBC_14de6d8177254b0abb86a102aa2886f9"/>
        <w:id w:val="2098435795"/>
        <w:placeholder>
          <w:docPart w:val="GBC22222222222222222222222222222"/>
        </w:placeholder>
      </w:sdtPr>
      <w:sdtContent>
        <w:p w14:paraId="3CD5DB7E"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51"/>
    <w:bookmarkEnd w:id="352"/>
    <w:p w14:paraId="73524AD6" w14:textId="77777777" w:rsidR="00577D08" w:rsidRDefault="00330FC0">
      <w:pPr>
        <w:pStyle w:val="4"/>
        <w:numPr>
          <w:ilvl w:val="0"/>
          <w:numId w:val="65"/>
        </w:numPr>
        <w:rPr>
          <w:rFonts w:hint="eastAsia"/>
        </w:rPr>
      </w:pPr>
      <w:r>
        <w:rPr>
          <w:rFonts w:hint="eastAsia"/>
        </w:rPr>
        <w:t>坏账准备的情况</w:t>
      </w:r>
    </w:p>
    <w:sdt>
      <w:sdtPr>
        <w:alias w:val="是否适用：坏账准备情况[双击切换]"/>
        <w:tag w:val="_GBC_9eb14f08b86f4a7096cd60413baf3092"/>
        <w:id w:val="467091915"/>
        <w:placeholder>
          <w:docPart w:val="GBC22222222222222222222222222222"/>
        </w:placeholder>
      </w:sdtPr>
      <w:sdtContent>
        <w:p w14:paraId="370DDA5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97D48E4" w14:textId="388FB458" w:rsidR="00577D08" w:rsidRDefault="00330FC0">
      <w:pPr>
        <w:pStyle w:val="aff9"/>
        <w:snapToGrid w:val="0"/>
        <w:spacing w:line="240" w:lineRule="atLeast"/>
        <w:ind w:left="425" w:firstLineChars="0" w:firstLine="0"/>
        <w:jc w:val="right"/>
        <w:rPr>
          <w:szCs w:val="21"/>
        </w:rPr>
      </w:pPr>
      <w:r>
        <w:rPr>
          <w:rFonts w:hint="eastAsia"/>
          <w:szCs w:val="21"/>
        </w:rPr>
        <w:lastRenderedPageBreak/>
        <w:t>单位：</w:t>
      </w:r>
      <w:sdt>
        <w:sdtPr>
          <w:rPr>
            <w:rFonts w:hint="eastAsia"/>
            <w:szCs w:val="21"/>
          </w:rPr>
          <w:alias w:val="单位：坏账准备情况"/>
          <w:tag w:val="_GBC_5ab5b38f71554e548a7da7469b9a6563"/>
          <w:id w:val="131892866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r w:rsidR="00CC5C32">
            <w:rPr>
              <w:rFonts w:hint="eastAsia"/>
              <w:szCs w:val="21"/>
            </w:rPr>
            <w:t xml:space="preserve"> </w:t>
          </w:r>
          <w:r w:rsidR="00CC5C32">
            <w:rPr>
              <w:szCs w:val="21"/>
            </w:rPr>
            <w:t xml:space="preserve"> </w:t>
          </w:r>
        </w:sdtContent>
      </w:sdt>
      <w:r>
        <w:rPr>
          <w:rFonts w:hint="eastAsia"/>
          <w:szCs w:val="21"/>
        </w:rPr>
        <w:t>币种：</w:t>
      </w:r>
      <w:sdt>
        <w:sdtPr>
          <w:rPr>
            <w:rFonts w:hint="eastAsia"/>
            <w:szCs w:val="21"/>
          </w:rPr>
          <w:alias w:val="币种：坏账准备情况"/>
          <w:tag w:val="_GBC_75b72a7ab17c4cf1bd4ba5d141928bc3"/>
          <w:id w:val="7092214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8"/>
        <w:gridCol w:w="1905"/>
        <w:gridCol w:w="2068"/>
        <w:gridCol w:w="1905"/>
        <w:gridCol w:w="1910"/>
        <w:gridCol w:w="1908"/>
        <w:gridCol w:w="1899"/>
      </w:tblGrid>
      <w:tr w:rsidR="00577D08" w14:paraId="51CC0909" w14:textId="77777777">
        <w:sdt>
          <w:sdtPr>
            <w:tag w:val="_PLD_a46b4be5eac54730a5ecc97d21006ace"/>
            <w:id w:val="1171916954"/>
          </w:sdtPr>
          <w:sdtContent>
            <w:tc>
              <w:tcPr>
                <w:tcW w:w="818" w:type="pct"/>
                <w:vMerge w:val="restart"/>
                <w:shd w:val="clear" w:color="auto" w:fill="FFFFFF"/>
                <w:vAlign w:val="center"/>
              </w:tcPr>
              <w:p w14:paraId="46622925" w14:textId="77777777" w:rsidR="00577D08" w:rsidRDefault="00330FC0">
                <w:pPr>
                  <w:widowControl w:val="0"/>
                  <w:jc w:val="center"/>
                </w:pPr>
                <w:r>
                  <w:t>类别</w:t>
                </w:r>
              </w:p>
            </w:tc>
          </w:sdtContent>
        </w:sdt>
        <w:sdt>
          <w:sdtPr>
            <w:tag w:val="_PLD_d4b99d9fdab64d968285bcb65ee5a9c9"/>
            <w:id w:val="1181942125"/>
          </w:sdtPr>
          <w:sdtContent>
            <w:tc>
              <w:tcPr>
                <w:tcW w:w="687" w:type="pct"/>
                <w:vMerge w:val="restart"/>
                <w:shd w:val="clear" w:color="auto" w:fill="FFFFFF"/>
                <w:vAlign w:val="center"/>
              </w:tcPr>
              <w:p w14:paraId="3ED153DF" w14:textId="77777777" w:rsidR="00577D08" w:rsidRDefault="00330FC0">
                <w:pPr>
                  <w:widowControl w:val="0"/>
                  <w:jc w:val="center"/>
                </w:pPr>
                <w:r>
                  <w:t>期初余额</w:t>
                </w:r>
              </w:p>
            </w:tc>
          </w:sdtContent>
        </w:sdt>
        <w:sdt>
          <w:sdtPr>
            <w:tag w:val="_PLD_bb9fe77e488348759988e6de00cf0888"/>
            <w:id w:val="-331212808"/>
          </w:sdtPr>
          <w:sdtContent>
            <w:tc>
              <w:tcPr>
                <w:tcW w:w="2810" w:type="pct"/>
                <w:gridSpan w:val="4"/>
                <w:shd w:val="clear" w:color="auto" w:fill="FFFFFF"/>
                <w:vAlign w:val="center"/>
              </w:tcPr>
              <w:p w14:paraId="7F8B6D45" w14:textId="77777777" w:rsidR="00577D08" w:rsidRDefault="00330FC0">
                <w:pPr>
                  <w:widowControl w:val="0"/>
                  <w:jc w:val="center"/>
                </w:pPr>
                <w:r>
                  <w:rPr>
                    <w:rFonts w:hint="eastAsia"/>
                  </w:rPr>
                  <w:t>本期变动</w:t>
                </w:r>
                <w:r>
                  <w:t>金额</w:t>
                </w:r>
              </w:p>
            </w:tc>
          </w:sdtContent>
        </w:sdt>
        <w:tc>
          <w:tcPr>
            <w:tcW w:w="685" w:type="pct"/>
            <w:vMerge w:val="restart"/>
            <w:shd w:val="clear" w:color="auto" w:fill="FFFFFF"/>
            <w:vAlign w:val="center"/>
          </w:tcPr>
          <w:sdt>
            <w:sdtPr>
              <w:tag w:val="_PLD_4c903f521c2a44f8b3c6edf248f56a13"/>
              <w:id w:val="-749268357"/>
            </w:sdtPr>
            <w:sdtContent>
              <w:p w14:paraId="22EBF969" w14:textId="77777777" w:rsidR="00577D08" w:rsidRDefault="00330FC0">
                <w:pPr>
                  <w:widowControl w:val="0"/>
                  <w:jc w:val="center"/>
                </w:pPr>
                <w:r>
                  <w:t>期末余额</w:t>
                </w:r>
              </w:p>
            </w:sdtContent>
          </w:sdt>
        </w:tc>
      </w:tr>
      <w:tr w:rsidR="00577D08" w14:paraId="64CEF650" w14:textId="77777777">
        <w:tc>
          <w:tcPr>
            <w:tcW w:w="818" w:type="pct"/>
            <w:vMerge/>
            <w:shd w:val="clear" w:color="auto" w:fill="FFFFFF"/>
            <w:vAlign w:val="center"/>
          </w:tcPr>
          <w:p w14:paraId="1B837A95" w14:textId="77777777" w:rsidR="00577D08" w:rsidRDefault="00577D08">
            <w:pPr>
              <w:widowControl w:val="0"/>
              <w:jc w:val="center"/>
            </w:pPr>
          </w:p>
        </w:tc>
        <w:tc>
          <w:tcPr>
            <w:tcW w:w="687" w:type="pct"/>
            <w:vMerge/>
            <w:shd w:val="clear" w:color="auto" w:fill="FFFFFF"/>
            <w:vAlign w:val="center"/>
          </w:tcPr>
          <w:p w14:paraId="1E027794" w14:textId="77777777" w:rsidR="00577D08" w:rsidRDefault="00577D08">
            <w:pPr>
              <w:widowControl w:val="0"/>
              <w:jc w:val="center"/>
            </w:pPr>
          </w:p>
        </w:tc>
        <w:sdt>
          <w:sdtPr>
            <w:tag w:val="_PLD_05213841fb3c4d199a04bfa58ea477bd"/>
            <w:id w:val="1028995928"/>
          </w:sdtPr>
          <w:sdtContent>
            <w:tc>
              <w:tcPr>
                <w:tcW w:w="746" w:type="pct"/>
                <w:shd w:val="clear" w:color="auto" w:fill="FFFFFF"/>
                <w:vAlign w:val="center"/>
              </w:tcPr>
              <w:p w14:paraId="5FB22D40" w14:textId="77777777" w:rsidR="00577D08" w:rsidRDefault="00330FC0">
                <w:pPr>
                  <w:widowControl w:val="0"/>
                  <w:jc w:val="center"/>
                </w:pPr>
                <w:r>
                  <w:t>计提</w:t>
                </w:r>
              </w:p>
            </w:tc>
          </w:sdtContent>
        </w:sdt>
        <w:sdt>
          <w:sdtPr>
            <w:tag w:val="_PLD_2cacb214840642a88adeea3c75c2b1f3"/>
            <w:id w:val="57218972"/>
          </w:sdtPr>
          <w:sdtContent>
            <w:tc>
              <w:tcPr>
                <w:tcW w:w="687" w:type="pct"/>
                <w:shd w:val="clear" w:color="auto" w:fill="FFFFFF"/>
                <w:vAlign w:val="center"/>
              </w:tcPr>
              <w:p w14:paraId="517ECAD6" w14:textId="77777777" w:rsidR="00577D08" w:rsidRDefault="00330FC0">
                <w:pPr>
                  <w:widowControl w:val="0"/>
                  <w:jc w:val="center"/>
                </w:pPr>
                <w:r>
                  <w:rPr>
                    <w:rFonts w:hint="eastAsia"/>
                  </w:rPr>
                  <w:t>收回或转回</w:t>
                </w:r>
              </w:p>
            </w:tc>
          </w:sdtContent>
        </w:sdt>
        <w:sdt>
          <w:sdtPr>
            <w:tag w:val="_PLD_ec119f9722974e3d97d0dca9ec927d68"/>
            <w:id w:val="145562781"/>
          </w:sdtPr>
          <w:sdtContent>
            <w:tc>
              <w:tcPr>
                <w:tcW w:w="689" w:type="pct"/>
                <w:shd w:val="clear" w:color="auto" w:fill="FFFFFF"/>
                <w:vAlign w:val="center"/>
              </w:tcPr>
              <w:p w14:paraId="083864BD" w14:textId="77777777" w:rsidR="00577D08" w:rsidRDefault="00330FC0">
                <w:pPr>
                  <w:widowControl w:val="0"/>
                  <w:jc w:val="center"/>
                </w:pPr>
                <w:r>
                  <w:rPr>
                    <w:rFonts w:hint="eastAsia"/>
                  </w:rPr>
                  <w:t>转销或核销</w:t>
                </w:r>
              </w:p>
            </w:tc>
          </w:sdtContent>
        </w:sdt>
        <w:sdt>
          <w:sdtPr>
            <w:tag w:val="_PLD_431b725862c245398312c045eac8b2e9"/>
            <w:id w:val="324404835"/>
          </w:sdtPr>
          <w:sdtContent>
            <w:tc>
              <w:tcPr>
                <w:tcW w:w="688" w:type="pct"/>
                <w:shd w:val="clear" w:color="auto" w:fill="FFFFFF"/>
                <w:vAlign w:val="center"/>
              </w:tcPr>
              <w:p w14:paraId="767D56D6" w14:textId="77777777" w:rsidR="00577D08" w:rsidRDefault="00330FC0">
                <w:pPr>
                  <w:widowControl w:val="0"/>
                  <w:jc w:val="center"/>
                </w:pPr>
                <w:r>
                  <w:rPr>
                    <w:rFonts w:hint="eastAsia"/>
                  </w:rPr>
                  <w:t>其他变动</w:t>
                </w:r>
              </w:p>
            </w:tc>
          </w:sdtContent>
        </w:sdt>
        <w:tc>
          <w:tcPr>
            <w:tcW w:w="685" w:type="pct"/>
            <w:vMerge/>
            <w:shd w:val="clear" w:color="auto" w:fill="FFFFFF"/>
            <w:vAlign w:val="center"/>
          </w:tcPr>
          <w:p w14:paraId="41794814" w14:textId="77777777" w:rsidR="00577D08" w:rsidRDefault="00577D08">
            <w:pPr>
              <w:widowControl w:val="0"/>
              <w:jc w:val="right"/>
            </w:pPr>
          </w:p>
        </w:tc>
      </w:tr>
      <w:tr w:rsidR="00577D08" w14:paraId="38B13E6D" w14:textId="77777777">
        <w:tc>
          <w:tcPr>
            <w:tcW w:w="818" w:type="pct"/>
          </w:tcPr>
          <w:p w14:paraId="72CC4D1A" w14:textId="77777777" w:rsidR="00577D08" w:rsidRDefault="00330FC0">
            <w:pPr>
              <w:widowControl w:val="0"/>
            </w:pPr>
            <w:r>
              <w:rPr>
                <w:rFonts w:hint="eastAsia"/>
              </w:rPr>
              <w:t>按单项计提坏账准备</w:t>
            </w:r>
          </w:p>
        </w:tc>
        <w:tc>
          <w:tcPr>
            <w:tcW w:w="687" w:type="pct"/>
            <w:vAlign w:val="center"/>
          </w:tcPr>
          <w:p w14:paraId="22B6C9D2" w14:textId="77777777" w:rsidR="00577D08" w:rsidRDefault="00577D08">
            <w:pPr>
              <w:widowControl w:val="0"/>
              <w:jc w:val="right"/>
            </w:pPr>
          </w:p>
        </w:tc>
        <w:tc>
          <w:tcPr>
            <w:tcW w:w="746" w:type="pct"/>
            <w:vAlign w:val="center"/>
          </w:tcPr>
          <w:p w14:paraId="59693C01" w14:textId="77777777" w:rsidR="00577D08" w:rsidRDefault="00577D08">
            <w:pPr>
              <w:widowControl w:val="0"/>
              <w:jc w:val="right"/>
            </w:pPr>
          </w:p>
        </w:tc>
        <w:tc>
          <w:tcPr>
            <w:tcW w:w="687" w:type="pct"/>
            <w:vAlign w:val="center"/>
          </w:tcPr>
          <w:p w14:paraId="352FCD7A" w14:textId="77777777" w:rsidR="00577D08" w:rsidRDefault="00577D08">
            <w:pPr>
              <w:widowControl w:val="0"/>
              <w:jc w:val="right"/>
            </w:pPr>
          </w:p>
        </w:tc>
        <w:tc>
          <w:tcPr>
            <w:tcW w:w="689" w:type="pct"/>
            <w:vAlign w:val="center"/>
          </w:tcPr>
          <w:p w14:paraId="05EA965E" w14:textId="77777777" w:rsidR="00577D08" w:rsidRDefault="00577D08">
            <w:pPr>
              <w:widowControl w:val="0"/>
              <w:jc w:val="right"/>
            </w:pPr>
          </w:p>
        </w:tc>
        <w:tc>
          <w:tcPr>
            <w:tcW w:w="688" w:type="pct"/>
            <w:vAlign w:val="center"/>
          </w:tcPr>
          <w:p w14:paraId="13974DD9" w14:textId="77777777" w:rsidR="00577D08" w:rsidRDefault="00577D08">
            <w:pPr>
              <w:widowControl w:val="0"/>
              <w:jc w:val="right"/>
            </w:pPr>
          </w:p>
        </w:tc>
        <w:tc>
          <w:tcPr>
            <w:tcW w:w="685" w:type="pct"/>
            <w:vAlign w:val="center"/>
          </w:tcPr>
          <w:p w14:paraId="2E922C10" w14:textId="77777777" w:rsidR="00577D08" w:rsidRDefault="00577D08">
            <w:pPr>
              <w:widowControl w:val="0"/>
              <w:jc w:val="right"/>
            </w:pPr>
          </w:p>
        </w:tc>
      </w:tr>
      <w:tr w:rsidR="00577D08" w14:paraId="0E378D21" w14:textId="77777777">
        <w:tc>
          <w:tcPr>
            <w:tcW w:w="818" w:type="pct"/>
          </w:tcPr>
          <w:p w14:paraId="02B4A28F" w14:textId="77777777" w:rsidR="00577D08" w:rsidRDefault="00330FC0">
            <w:pPr>
              <w:widowControl w:val="0"/>
            </w:pPr>
            <w:r>
              <w:rPr>
                <w:rFonts w:hint="eastAsia"/>
              </w:rPr>
              <w:t>按组合计提坏账准备</w:t>
            </w:r>
          </w:p>
        </w:tc>
        <w:tc>
          <w:tcPr>
            <w:tcW w:w="687" w:type="pct"/>
          </w:tcPr>
          <w:p w14:paraId="66CCFBF3" w14:textId="77777777" w:rsidR="00577D08" w:rsidRDefault="00330FC0">
            <w:pPr>
              <w:widowControl w:val="0"/>
              <w:jc w:val="right"/>
            </w:pPr>
            <w:r>
              <w:t>201,402.85</w:t>
            </w:r>
          </w:p>
        </w:tc>
        <w:tc>
          <w:tcPr>
            <w:tcW w:w="746" w:type="pct"/>
          </w:tcPr>
          <w:p w14:paraId="60EA755D" w14:textId="77777777" w:rsidR="00577D08" w:rsidRDefault="00330FC0">
            <w:pPr>
              <w:widowControl w:val="0"/>
              <w:jc w:val="right"/>
            </w:pPr>
            <w:r>
              <w:t>295,110.14</w:t>
            </w:r>
          </w:p>
        </w:tc>
        <w:tc>
          <w:tcPr>
            <w:tcW w:w="687" w:type="pct"/>
            <w:vAlign w:val="center"/>
          </w:tcPr>
          <w:p w14:paraId="1DA56AB2" w14:textId="77777777" w:rsidR="00577D08" w:rsidRDefault="00577D08">
            <w:pPr>
              <w:widowControl w:val="0"/>
              <w:jc w:val="right"/>
            </w:pPr>
          </w:p>
        </w:tc>
        <w:tc>
          <w:tcPr>
            <w:tcW w:w="689" w:type="pct"/>
            <w:vAlign w:val="center"/>
          </w:tcPr>
          <w:p w14:paraId="6DFAF671" w14:textId="77777777" w:rsidR="00577D08" w:rsidRDefault="00577D08">
            <w:pPr>
              <w:widowControl w:val="0"/>
              <w:jc w:val="right"/>
            </w:pPr>
          </w:p>
        </w:tc>
        <w:tc>
          <w:tcPr>
            <w:tcW w:w="688" w:type="pct"/>
            <w:vAlign w:val="center"/>
          </w:tcPr>
          <w:p w14:paraId="4FCD4DB4" w14:textId="77777777" w:rsidR="00577D08" w:rsidRDefault="00577D08">
            <w:pPr>
              <w:widowControl w:val="0"/>
              <w:jc w:val="right"/>
            </w:pPr>
          </w:p>
        </w:tc>
        <w:tc>
          <w:tcPr>
            <w:tcW w:w="685" w:type="pct"/>
          </w:tcPr>
          <w:p w14:paraId="122AC796" w14:textId="77777777" w:rsidR="00577D08" w:rsidRDefault="00330FC0">
            <w:pPr>
              <w:widowControl w:val="0"/>
              <w:jc w:val="right"/>
            </w:pPr>
            <w:r>
              <w:t>496,512.99</w:t>
            </w:r>
          </w:p>
        </w:tc>
      </w:tr>
      <w:tr w:rsidR="00577D08" w14:paraId="63756760" w14:textId="77777777">
        <w:tc>
          <w:tcPr>
            <w:tcW w:w="818" w:type="pct"/>
            <w:vAlign w:val="center"/>
          </w:tcPr>
          <w:p w14:paraId="042DD0FB" w14:textId="77777777" w:rsidR="00577D08" w:rsidRDefault="00330FC0">
            <w:pPr>
              <w:widowControl w:val="0"/>
              <w:jc w:val="center"/>
            </w:pPr>
            <w:r>
              <w:rPr>
                <w:rFonts w:hint="eastAsia"/>
              </w:rPr>
              <w:t>合计</w:t>
            </w:r>
          </w:p>
        </w:tc>
        <w:tc>
          <w:tcPr>
            <w:tcW w:w="687" w:type="pct"/>
          </w:tcPr>
          <w:p w14:paraId="6CB6E42E" w14:textId="77777777" w:rsidR="00577D08" w:rsidRDefault="00330FC0">
            <w:pPr>
              <w:widowControl w:val="0"/>
              <w:jc w:val="right"/>
            </w:pPr>
            <w:r>
              <w:t>201,402.85</w:t>
            </w:r>
          </w:p>
        </w:tc>
        <w:tc>
          <w:tcPr>
            <w:tcW w:w="746" w:type="pct"/>
          </w:tcPr>
          <w:p w14:paraId="3F5C9EFD" w14:textId="77777777" w:rsidR="00577D08" w:rsidRDefault="00330FC0">
            <w:pPr>
              <w:widowControl w:val="0"/>
              <w:jc w:val="right"/>
            </w:pPr>
            <w:r>
              <w:t>295,110.14</w:t>
            </w:r>
          </w:p>
        </w:tc>
        <w:tc>
          <w:tcPr>
            <w:tcW w:w="687" w:type="pct"/>
            <w:vAlign w:val="center"/>
          </w:tcPr>
          <w:p w14:paraId="5F4C2780" w14:textId="77777777" w:rsidR="00577D08" w:rsidRDefault="00577D08">
            <w:pPr>
              <w:widowControl w:val="0"/>
              <w:jc w:val="right"/>
            </w:pPr>
          </w:p>
        </w:tc>
        <w:tc>
          <w:tcPr>
            <w:tcW w:w="689" w:type="pct"/>
            <w:vAlign w:val="center"/>
          </w:tcPr>
          <w:p w14:paraId="0794404E" w14:textId="77777777" w:rsidR="00577D08" w:rsidRDefault="00577D08">
            <w:pPr>
              <w:widowControl w:val="0"/>
              <w:jc w:val="right"/>
            </w:pPr>
          </w:p>
        </w:tc>
        <w:tc>
          <w:tcPr>
            <w:tcW w:w="688" w:type="pct"/>
            <w:vAlign w:val="center"/>
          </w:tcPr>
          <w:p w14:paraId="5D73ABE7" w14:textId="77777777" w:rsidR="00577D08" w:rsidRDefault="00577D08">
            <w:pPr>
              <w:widowControl w:val="0"/>
              <w:jc w:val="right"/>
            </w:pPr>
          </w:p>
        </w:tc>
        <w:tc>
          <w:tcPr>
            <w:tcW w:w="685" w:type="pct"/>
          </w:tcPr>
          <w:p w14:paraId="3996A645" w14:textId="77777777" w:rsidR="00577D08" w:rsidRDefault="00330FC0">
            <w:pPr>
              <w:widowControl w:val="0"/>
              <w:jc w:val="right"/>
            </w:pPr>
            <w:r>
              <w:t>496,512.99</w:t>
            </w:r>
          </w:p>
        </w:tc>
      </w:tr>
    </w:tbl>
    <w:p w14:paraId="2A0BC490" w14:textId="77777777" w:rsidR="00577D08" w:rsidRDefault="00330FC0">
      <w:r>
        <w:rPr>
          <w:rFonts w:hint="eastAsia"/>
        </w:rPr>
        <w:t>其中本期坏账准备收回或转回金额重要的：</w:t>
      </w:r>
    </w:p>
    <w:sdt>
      <w:sdtPr>
        <w:alias w:val="是否适用：本期坏账准备收回或转回金额重要的[双击切换]"/>
        <w:tag w:val="_GBC_2b51db20288a43b39962432da30280fe"/>
        <w:id w:val="1574468195"/>
        <w:placeholder>
          <w:docPart w:val="GBC22222222222222222222222222222"/>
        </w:placeholder>
      </w:sdtPr>
      <w:sdtContent>
        <w:p w14:paraId="2080975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03B9678" w14:textId="77777777" w:rsidR="00577D08" w:rsidRDefault="00330FC0">
      <w:r>
        <w:rPr>
          <w:rFonts w:hint="eastAsia"/>
        </w:rPr>
        <w:t>其他说明：</w:t>
      </w:r>
    </w:p>
    <w:sdt>
      <w:sdtPr>
        <w:alias w:val="坏账准备情况的说明"/>
        <w:tag w:val="_GBC_e8b4225586244ec9b8d5ae0de000f4e4"/>
        <w:id w:val="1943804199"/>
        <w:placeholder>
          <w:docPart w:val="GBC22222222222222222222222222222"/>
        </w:placeholder>
      </w:sdtPr>
      <w:sdtContent>
        <w:p w14:paraId="0908183E" w14:textId="77777777" w:rsidR="00577D08" w:rsidRDefault="00330FC0">
          <w:pPr>
            <w:ind w:rightChars="20" w:right="42"/>
          </w:pPr>
          <w:r>
            <w:rPr>
              <w:rFonts w:hint="eastAsia"/>
            </w:rPr>
            <w:t>无</w:t>
          </w:r>
        </w:p>
      </w:sdtContent>
    </w:sdt>
    <w:p w14:paraId="1696C12B" w14:textId="77777777" w:rsidR="00577D08" w:rsidRDefault="00330FC0">
      <w:pPr>
        <w:pStyle w:val="4"/>
        <w:numPr>
          <w:ilvl w:val="0"/>
          <w:numId w:val="65"/>
        </w:numPr>
        <w:rPr>
          <w:rFonts w:hint="eastAsia"/>
        </w:rPr>
      </w:pPr>
      <w:r>
        <w:t>本期实际核销的应收款项融资情况</w:t>
      </w:r>
    </w:p>
    <w:sdt>
      <w:sdtPr>
        <w:alias w:val="是否适用：实际核销的情况[双击切换]"/>
        <w:tag w:val="_GBC_4075b47847034ec5b4b4aeeb85217687"/>
        <w:id w:val="1143077246"/>
        <w:placeholder>
          <w:docPart w:val="GBC22222222222222222222222222222"/>
        </w:placeholder>
      </w:sdtPr>
      <w:sdtContent>
        <w:p w14:paraId="307D4AC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AA9FC7" w14:textId="77777777" w:rsidR="00577D08" w:rsidRDefault="00330FC0">
      <w:r>
        <w:rPr>
          <w:rFonts w:hint="eastAsia"/>
        </w:rPr>
        <w:t>其中重要的应收款项融资核销情况</w:t>
      </w:r>
    </w:p>
    <w:sdt>
      <w:sdtPr>
        <w:rPr>
          <w:rFonts w:hint="eastAsia"/>
        </w:rPr>
        <w:alias w:val="是否适用：重要的核销情况[双击切换]"/>
        <w:tag w:val="_GBC_a1c05dd99dc343f883b67997da317840"/>
        <w:id w:val="339125909"/>
        <w:placeholder>
          <w:docPart w:val="GBC22222222222222222222222222222"/>
        </w:placeholder>
      </w:sdtPr>
      <w:sdtContent>
        <w:p w14:paraId="19C0719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D1A8C9" w14:textId="77777777" w:rsidR="00577D08" w:rsidRDefault="00330FC0">
      <w:pPr>
        <w:snapToGrid w:val="0"/>
        <w:spacing w:line="240" w:lineRule="atLeast"/>
      </w:pPr>
      <w:r>
        <w:rPr>
          <w:rFonts w:hint="eastAsia"/>
        </w:rPr>
        <w:t>核销说明：</w:t>
      </w:r>
    </w:p>
    <w:sdt>
      <w:sdtPr>
        <w:alias w:val="是否适用：核销说明[双击切换]"/>
        <w:tag w:val="_GBC_960239b4d8f94352ba13280d190272c1"/>
        <w:id w:val="592672874"/>
        <w:placeholder>
          <w:docPart w:val="GBC22222222222222222222222222222"/>
        </w:placeholder>
      </w:sdtPr>
      <w:sdtContent>
        <w:p w14:paraId="3444EA15"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2D4F0E8" w14:textId="77777777" w:rsidR="00577D08" w:rsidRDefault="00330FC0">
      <w:pPr>
        <w:pStyle w:val="4"/>
        <w:numPr>
          <w:ilvl w:val="0"/>
          <w:numId w:val="65"/>
        </w:numPr>
        <w:rPr>
          <w:rFonts w:hint="eastAsia"/>
        </w:rPr>
      </w:pPr>
      <w:r>
        <w:rPr>
          <w:rFonts w:hint="eastAsia"/>
        </w:rPr>
        <w:t>应收款项融资本期增减变动及公允价值变动情况</w:t>
      </w:r>
      <w:r>
        <w:t>：</w:t>
      </w:r>
    </w:p>
    <w:sdt>
      <w:sdtPr>
        <w:rPr>
          <w:rFonts w:hint="eastAsia"/>
        </w:rPr>
        <w:alias w:val="是否适用：应收款项融资本期增减变动及公允价值变动情况[双击切换]"/>
        <w:tag w:val="_GBC_1265a117176c43939de7d6d1e043f692"/>
        <w:id w:val="588964615"/>
        <w:placeholder>
          <w:docPart w:val="GBC22222222222222222222222222222"/>
        </w:placeholder>
      </w:sdtPr>
      <w:sdtContent>
        <w:p w14:paraId="4E2AE6D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48"/>
    <w:bookmarkEnd w:id="350"/>
    <w:bookmarkEnd w:id="349"/>
    <w:p w14:paraId="5EE6E241" w14:textId="77777777" w:rsidR="00577D08" w:rsidRDefault="00330FC0">
      <w:pPr>
        <w:pStyle w:val="4"/>
        <w:numPr>
          <w:ilvl w:val="0"/>
          <w:numId w:val="65"/>
        </w:numPr>
        <w:rPr>
          <w:rFonts w:hint="eastAsia"/>
        </w:rPr>
      </w:pPr>
      <w:r>
        <w:rPr>
          <w:rFonts w:hint="eastAsia"/>
        </w:rPr>
        <w:t>其他</w:t>
      </w:r>
      <w:r>
        <w:t>说明</w:t>
      </w:r>
    </w:p>
    <w:bookmarkStart w:id="353" w:name="_Hlk13057390" w:displacedByCustomXml="next"/>
    <w:sdt>
      <w:sdtPr>
        <w:rPr>
          <w:rFonts w:hint="eastAsia"/>
        </w:rPr>
        <w:alias w:val="是否适用：应收款项融资其他说明[双击切换]"/>
        <w:tag w:val="_GBC_19d5ef5dfbe64f2d98d9ab83a2e48c14"/>
        <w:id w:val="820934329"/>
        <w:placeholder>
          <w:docPart w:val="GBC22222222222222222222222222222"/>
        </w:placeholder>
      </w:sdtPr>
      <w:sdtContent>
        <w:p w14:paraId="5A82C62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53"/>
    <w:p w14:paraId="65F7DD1E" w14:textId="77777777" w:rsidR="00577D08" w:rsidRDefault="00577D08"/>
    <w:p w14:paraId="70EAAEC6" w14:textId="77777777" w:rsidR="00577D08" w:rsidRDefault="00577D08">
      <w:pPr>
        <w:sectPr w:rsidR="00577D08">
          <w:pgSz w:w="16838" w:h="11906" w:orient="landscape"/>
          <w:pgMar w:top="1276" w:right="1440" w:bottom="1797" w:left="1525" w:header="856" w:footer="992" w:gutter="0"/>
          <w:cols w:space="425"/>
          <w:docGrid w:linePitch="312"/>
        </w:sectPr>
      </w:pPr>
    </w:p>
    <w:p w14:paraId="763FCAD4" w14:textId="77777777" w:rsidR="00577D08" w:rsidRDefault="00330FC0">
      <w:pPr>
        <w:pStyle w:val="3"/>
        <w:numPr>
          <w:ilvl w:val="0"/>
          <w:numId w:val="61"/>
        </w:numPr>
      </w:pPr>
      <w:r>
        <w:rPr>
          <w:rFonts w:hint="eastAsia"/>
        </w:rPr>
        <w:lastRenderedPageBreak/>
        <w:t>预付款项</w:t>
      </w:r>
    </w:p>
    <w:p w14:paraId="08550C3F" w14:textId="77777777" w:rsidR="00577D08" w:rsidRDefault="00330FC0">
      <w:pPr>
        <w:pStyle w:val="4"/>
        <w:numPr>
          <w:ilvl w:val="3"/>
          <w:numId w:val="66"/>
        </w:numPr>
        <w:ind w:left="426" w:hanging="426"/>
        <w:rPr>
          <w:rFonts w:hint="eastAsia"/>
        </w:rPr>
      </w:pPr>
      <w:r>
        <w:rPr>
          <w:rFonts w:hint="eastAsia"/>
        </w:rPr>
        <w:t>预付款项按账龄列示</w:t>
      </w:r>
    </w:p>
    <w:sdt>
      <w:sdtPr>
        <w:rPr>
          <w:rFonts w:hint="eastAsia"/>
        </w:rPr>
        <w:alias w:val="是否适用：预付款项按账龄列示[双击切换]"/>
        <w:tag w:val="_GBC_9c50af2eedb44a33921bab4a9f5ef35c"/>
        <w:id w:val="-1682805119"/>
        <w:placeholder>
          <w:docPart w:val="GBC22222222222222222222222222222"/>
        </w:placeholder>
      </w:sdtPr>
      <w:sdtContent>
        <w:p w14:paraId="41C38FA6"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66AA714" w14:textId="27DC81EA" w:rsidR="00577D08" w:rsidRDefault="00330FC0">
      <w:pPr>
        <w:jc w:val="right"/>
        <w:rPr>
          <w:b/>
        </w:rPr>
      </w:pPr>
      <w:r>
        <w:rPr>
          <w:rFonts w:hint="eastAsia"/>
        </w:rPr>
        <w:t>单位：</w:t>
      </w:r>
      <w:sdt>
        <w:sdtPr>
          <w:rPr>
            <w:rFonts w:hint="eastAsia"/>
          </w:rPr>
          <w:alias w:val="单位：财务附注：预付账款账龄"/>
          <w:tag w:val="_GBC_25e874c523c14d528beabbdb96c27981"/>
          <w:id w:val="-17793279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预付账款账龄"/>
          <w:tag w:val="_GBC_5fd49f072b7e406886d7d66537c647e5"/>
          <w:id w:val="11979696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386"/>
        <w:gridCol w:w="1925"/>
        <w:gridCol w:w="1912"/>
        <w:gridCol w:w="1909"/>
        <w:gridCol w:w="1926"/>
      </w:tblGrid>
      <w:tr w:rsidR="00577D08" w14:paraId="5F516804" w14:textId="77777777">
        <w:trPr>
          <w:cantSplit/>
          <w:trHeight w:val="237"/>
        </w:trPr>
        <w:sdt>
          <w:sdtPr>
            <w:tag w:val="_PLD_497c76328aa14442bd9ed8d02efaffdc"/>
            <w:id w:val="-2144180260"/>
          </w:sdtPr>
          <w:sdtContent>
            <w:tc>
              <w:tcPr>
                <w:tcW w:w="1386" w:type="dxa"/>
                <w:vMerge w:val="restart"/>
                <w:vAlign w:val="center"/>
              </w:tcPr>
              <w:p w14:paraId="44986097" w14:textId="77777777" w:rsidR="00577D08" w:rsidRDefault="00330FC0">
                <w:pPr>
                  <w:ind w:right="5"/>
                  <w:jc w:val="center"/>
                </w:pPr>
                <w:r>
                  <w:rPr>
                    <w:rFonts w:hint="eastAsia"/>
                  </w:rPr>
                  <w:t>账龄</w:t>
                </w:r>
              </w:p>
            </w:tc>
          </w:sdtContent>
        </w:sdt>
        <w:sdt>
          <w:sdtPr>
            <w:tag w:val="_PLD_3c7cef9fd55549768916decb59114918"/>
            <w:id w:val="-1134325954"/>
          </w:sdtPr>
          <w:sdtContent>
            <w:tc>
              <w:tcPr>
                <w:tcW w:w="3837" w:type="dxa"/>
                <w:gridSpan w:val="2"/>
                <w:vAlign w:val="center"/>
              </w:tcPr>
              <w:p w14:paraId="24BE4EC8" w14:textId="77777777" w:rsidR="00577D08" w:rsidRDefault="00330FC0">
                <w:pPr>
                  <w:ind w:right="5"/>
                  <w:jc w:val="center"/>
                </w:pPr>
                <w:r>
                  <w:rPr>
                    <w:rFonts w:hint="eastAsia"/>
                  </w:rPr>
                  <w:t>期末余额</w:t>
                </w:r>
              </w:p>
            </w:tc>
          </w:sdtContent>
        </w:sdt>
        <w:sdt>
          <w:sdtPr>
            <w:tag w:val="_PLD_3338d9aea932468fa8faa1bef2db4526"/>
            <w:id w:val="-1513596251"/>
          </w:sdtPr>
          <w:sdtContent>
            <w:tc>
              <w:tcPr>
                <w:tcW w:w="3835" w:type="dxa"/>
                <w:gridSpan w:val="2"/>
                <w:vAlign w:val="center"/>
              </w:tcPr>
              <w:p w14:paraId="33E124E6" w14:textId="77777777" w:rsidR="00577D08" w:rsidRDefault="00330FC0">
                <w:pPr>
                  <w:ind w:right="5"/>
                  <w:jc w:val="center"/>
                </w:pPr>
                <w:r>
                  <w:rPr>
                    <w:rFonts w:hint="eastAsia"/>
                  </w:rPr>
                  <w:t>期初余额</w:t>
                </w:r>
              </w:p>
            </w:tc>
          </w:sdtContent>
        </w:sdt>
      </w:tr>
      <w:tr w:rsidR="00577D08" w14:paraId="08BDAE8F" w14:textId="77777777">
        <w:trPr>
          <w:cantSplit/>
        </w:trPr>
        <w:tc>
          <w:tcPr>
            <w:tcW w:w="1386" w:type="dxa"/>
            <w:vMerge/>
            <w:vAlign w:val="center"/>
          </w:tcPr>
          <w:p w14:paraId="511040D6" w14:textId="77777777" w:rsidR="00577D08" w:rsidRDefault="00577D08"/>
        </w:tc>
        <w:sdt>
          <w:sdtPr>
            <w:tag w:val="_PLD_2b1b05d61c574fe485d979f04a81c8c9"/>
            <w:id w:val="-742025524"/>
          </w:sdtPr>
          <w:sdtContent>
            <w:tc>
              <w:tcPr>
                <w:tcW w:w="1925" w:type="dxa"/>
                <w:vAlign w:val="center"/>
              </w:tcPr>
              <w:p w14:paraId="77943458" w14:textId="77777777" w:rsidR="00577D08" w:rsidRDefault="00330FC0">
                <w:pPr>
                  <w:ind w:right="5"/>
                  <w:jc w:val="center"/>
                </w:pPr>
                <w:r>
                  <w:rPr>
                    <w:rFonts w:hint="eastAsia"/>
                  </w:rPr>
                  <w:t>金额</w:t>
                </w:r>
              </w:p>
            </w:tc>
          </w:sdtContent>
        </w:sdt>
        <w:sdt>
          <w:sdtPr>
            <w:tag w:val="_PLD_7faf25028eff45ce8c6bf33a9060f296"/>
            <w:id w:val="1795718695"/>
          </w:sdtPr>
          <w:sdtContent>
            <w:tc>
              <w:tcPr>
                <w:tcW w:w="1912" w:type="dxa"/>
                <w:vAlign w:val="center"/>
              </w:tcPr>
              <w:p w14:paraId="0BA915AC" w14:textId="77777777" w:rsidR="00577D08" w:rsidRDefault="00330FC0">
                <w:pPr>
                  <w:ind w:right="5"/>
                  <w:jc w:val="center"/>
                </w:pPr>
                <w:r>
                  <w:rPr>
                    <w:rFonts w:hint="eastAsia"/>
                  </w:rPr>
                  <w:t>比例</w:t>
                </w:r>
                <w:r>
                  <w:t>(%)</w:t>
                </w:r>
              </w:p>
            </w:tc>
          </w:sdtContent>
        </w:sdt>
        <w:sdt>
          <w:sdtPr>
            <w:tag w:val="_PLD_56219e7f20ba4e60b1a3edd32c1c534e"/>
            <w:id w:val="-52933662"/>
          </w:sdtPr>
          <w:sdtContent>
            <w:tc>
              <w:tcPr>
                <w:tcW w:w="1909" w:type="dxa"/>
                <w:vAlign w:val="center"/>
              </w:tcPr>
              <w:p w14:paraId="70B12B24" w14:textId="77777777" w:rsidR="00577D08" w:rsidRDefault="00330FC0">
                <w:pPr>
                  <w:ind w:right="5"/>
                  <w:jc w:val="center"/>
                </w:pPr>
                <w:r>
                  <w:rPr>
                    <w:rFonts w:hint="eastAsia"/>
                  </w:rPr>
                  <w:t>金额</w:t>
                </w:r>
              </w:p>
            </w:tc>
          </w:sdtContent>
        </w:sdt>
        <w:sdt>
          <w:sdtPr>
            <w:tag w:val="_PLD_430fca228ced43ada83018b2091f7abf"/>
            <w:id w:val="1629975074"/>
          </w:sdtPr>
          <w:sdtContent>
            <w:tc>
              <w:tcPr>
                <w:tcW w:w="1926" w:type="dxa"/>
                <w:vAlign w:val="center"/>
              </w:tcPr>
              <w:p w14:paraId="57D1051B" w14:textId="77777777" w:rsidR="00577D08" w:rsidRDefault="00330FC0">
                <w:pPr>
                  <w:ind w:right="5"/>
                  <w:jc w:val="center"/>
                </w:pPr>
                <w:r>
                  <w:rPr>
                    <w:rFonts w:hint="eastAsia"/>
                  </w:rPr>
                  <w:t>比例</w:t>
                </w:r>
                <w:r>
                  <w:t>(%)</w:t>
                </w:r>
              </w:p>
            </w:tc>
          </w:sdtContent>
        </w:sdt>
      </w:tr>
      <w:tr w:rsidR="00577D08" w14:paraId="6D89FDFA" w14:textId="77777777">
        <w:trPr>
          <w:cantSplit/>
          <w:trHeight w:val="99"/>
        </w:trPr>
        <w:tc>
          <w:tcPr>
            <w:tcW w:w="1386" w:type="dxa"/>
            <w:vAlign w:val="center"/>
          </w:tcPr>
          <w:p w14:paraId="6FDE5DF1" w14:textId="77777777" w:rsidR="00577D08" w:rsidRDefault="00330FC0">
            <w:pPr>
              <w:ind w:right="5"/>
            </w:pPr>
            <w:r>
              <w:rPr>
                <w:rFonts w:hint="eastAsia"/>
              </w:rPr>
              <w:t>1</w:t>
            </w:r>
            <w:r>
              <w:rPr>
                <w:rFonts w:hint="eastAsia"/>
              </w:rPr>
              <w:t>年以内</w:t>
            </w:r>
          </w:p>
        </w:tc>
        <w:tc>
          <w:tcPr>
            <w:tcW w:w="1925" w:type="dxa"/>
          </w:tcPr>
          <w:p w14:paraId="40C6D705" w14:textId="77777777" w:rsidR="00577D08" w:rsidRDefault="00330FC0">
            <w:pPr>
              <w:ind w:right="5"/>
              <w:jc w:val="right"/>
            </w:pPr>
            <w:r>
              <w:t>141,922,078.53</w:t>
            </w:r>
          </w:p>
        </w:tc>
        <w:tc>
          <w:tcPr>
            <w:tcW w:w="1912" w:type="dxa"/>
          </w:tcPr>
          <w:p w14:paraId="2733A705" w14:textId="77777777" w:rsidR="00577D08" w:rsidRDefault="00330FC0">
            <w:pPr>
              <w:ind w:right="5"/>
              <w:jc w:val="right"/>
            </w:pPr>
            <w:r>
              <w:t>99.45</w:t>
            </w:r>
          </w:p>
        </w:tc>
        <w:tc>
          <w:tcPr>
            <w:tcW w:w="1909" w:type="dxa"/>
          </w:tcPr>
          <w:p w14:paraId="039B3A3F" w14:textId="77777777" w:rsidR="00577D08" w:rsidRDefault="00330FC0">
            <w:pPr>
              <w:ind w:right="5"/>
              <w:jc w:val="right"/>
            </w:pPr>
            <w:r>
              <w:t>79,873,625.60</w:t>
            </w:r>
          </w:p>
        </w:tc>
        <w:tc>
          <w:tcPr>
            <w:tcW w:w="1926" w:type="dxa"/>
          </w:tcPr>
          <w:p w14:paraId="751624AD" w14:textId="77777777" w:rsidR="00577D08" w:rsidRDefault="00330FC0">
            <w:pPr>
              <w:ind w:right="5"/>
              <w:jc w:val="right"/>
            </w:pPr>
            <w:r>
              <w:t>98.90</w:t>
            </w:r>
          </w:p>
        </w:tc>
      </w:tr>
      <w:tr w:rsidR="00577D08" w14:paraId="4803495D" w14:textId="77777777">
        <w:trPr>
          <w:cantSplit/>
        </w:trPr>
        <w:tc>
          <w:tcPr>
            <w:tcW w:w="1386" w:type="dxa"/>
            <w:vAlign w:val="center"/>
          </w:tcPr>
          <w:p w14:paraId="61E146D8" w14:textId="77777777" w:rsidR="00577D08" w:rsidRDefault="00330FC0">
            <w:pPr>
              <w:ind w:right="5"/>
            </w:pPr>
            <w:r>
              <w:rPr>
                <w:rFonts w:hint="eastAsia"/>
              </w:rPr>
              <w:t>1</w:t>
            </w:r>
            <w:r>
              <w:rPr>
                <w:rFonts w:hint="eastAsia"/>
              </w:rPr>
              <w:t>至</w:t>
            </w:r>
            <w:r>
              <w:rPr>
                <w:rFonts w:hint="eastAsia"/>
              </w:rPr>
              <w:t>2</w:t>
            </w:r>
            <w:r>
              <w:rPr>
                <w:rFonts w:hint="eastAsia"/>
              </w:rPr>
              <w:t>年</w:t>
            </w:r>
          </w:p>
        </w:tc>
        <w:tc>
          <w:tcPr>
            <w:tcW w:w="1925" w:type="dxa"/>
          </w:tcPr>
          <w:p w14:paraId="1A67C362" w14:textId="77777777" w:rsidR="00577D08" w:rsidRDefault="00330FC0">
            <w:pPr>
              <w:ind w:right="5"/>
              <w:jc w:val="right"/>
            </w:pPr>
            <w:r>
              <w:t>89,607.60</w:t>
            </w:r>
          </w:p>
        </w:tc>
        <w:tc>
          <w:tcPr>
            <w:tcW w:w="1912" w:type="dxa"/>
          </w:tcPr>
          <w:p w14:paraId="19BF4432" w14:textId="77777777" w:rsidR="00577D08" w:rsidRDefault="00330FC0">
            <w:pPr>
              <w:ind w:right="5"/>
              <w:jc w:val="right"/>
            </w:pPr>
            <w:r>
              <w:t>0.06</w:t>
            </w:r>
          </w:p>
        </w:tc>
        <w:tc>
          <w:tcPr>
            <w:tcW w:w="1909" w:type="dxa"/>
          </w:tcPr>
          <w:p w14:paraId="59A7F17A" w14:textId="77777777" w:rsidR="00577D08" w:rsidRDefault="00330FC0">
            <w:pPr>
              <w:ind w:right="5"/>
              <w:jc w:val="right"/>
            </w:pPr>
            <w:r>
              <w:t>131,838.81</w:t>
            </w:r>
          </w:p>
        </w:tc>
        <w:tc>
          <w:tcPr>
            <w:tcW w:w="1926" w:type="dxa"/>
          </w:tcPr>
          <w:p w14:paraId="1AE7C1D2" w14:textId="77777777" w:rsidR="00577D08" w:rsidRDefault="00330FC0">
            <w:pPr>
              <w:ind w:right="5"/>
              <w:jc w:val="right"/>
            </w:pPr>
            <w:r>
              <w:t>0.16</w:t>
            </w:r>
          </w:p>
        </w:tc>
      </w:tr>
      <w:tr w:rsidR="00577D08" w14:paraId="35BE649F" w14:textId="77777777">
        <w:trPr>
          <w:cantSplit/>
        </w:trPr>
        <w:tc>
          <w:tcPr>
            <w:tcW w:w="1386" w:type="dxa"/>
            <w:vAlign w:val="center"/>
          </w:tcPr>
          <w:p w14:paraId="412257D7" w14:textId="77777777" w:rsidR="00577D08" w:rsidRDefault="00330FC0">
            <w:pPr>
              <w:ind w:right="5"/>
            </w:pPr>
            <w:r>
              <w:rPr>
                <w:rFonts w:hint="eastAsia"/>
              </w:rPr>
              <w:t>2</w:t>
            </w:r>
            <w:r>
              <w:rPr>
                <w:rFonts w:hint="eastAsia"/>
              </w:rPr>
              <w:t>至</w:t>
            </w:r>
            <w:r>
              <w:rPr>
                <w:rFonts w:hint="eastAsia"/>
              </w:rPr>
              <w:t>3</w:t>
            </w:r>
            <w:r>
              <w:rPr>
                <w:rFonts w:hint="eastAsia"/>
              </w:rPr>
              <w:t>年</w:t>
            </w:r>
          </w:p>
        </w:tc>
        <w:tc>
          <w:tcPr>
            <w:tcW w:w="1925" w:type="dxa"/>
          </w:tcPr>
          <w:p w14:paraId="5D90B1E3" w14:textId="77777777" w:rsidR="00577D08" w:rsidRDefault="00330FC0">
            <w:pPr>
              <w:ind w:right="5"/>
              <w:jc w:val="right"/>
            </w:pPr>
            <w:r>
              <w:t>23,750.00</w:t>
            </w:r>
          </w:p>
        </w:tc>
        <w:tc>
          <w:tcPr>
            <w:tcW w:w="1912" w:type="dxa"/>
          </w:tcPr>
          <w:p w14:paraId="1305490E" w14:textId="77777777" w:rsidR="00577D08" w:rsidRDefault="00330FC0">
            <w:pPr>
              <w:ind w:right="5"/>
              <w:jc w:val="right"/>
            </w:pPr>
            <w:r>
              <w:t>0.02</w:t>
            </w:r>
          </w:p>
        </w:tc>
        <w:tc>
          <w:tcPr>
            <w:tcW w:w="1909" w:type="dxa"/>
          </w:tcPr>
          <w:p w14:paraId="4CD04DAA" w14:textId="77777777" w:rsidR="00577D08" w:rsidRDefault="00577D08">
            <w:pPr>
              <w:ind w:right="5"/>
              <w:jc w:val="right"/>
            </w:pPr>
          </w:p>
        </w:tc>
        <w:tc>
          <w:tcPr>
            <w:tcW w:w="1926" w:type="dxa"/>
          </w:tcPr>
          <w:p w14:paraId="6E4059B5" w14:textId="77777777" w:rsidR="00577D08" w:rsidRDefault="00577D08">
            <w:pPr>
              <w:ind w:right="5"/>
              <w:jc w:val="right"/>
            </w:pPr>
          </w:p>
        </w:tc>
      </w:tr>
      <w:tr w:rsidR="00577D08" w14:paraId="22772569" w14:textId="77777777">
        <w:trPr>
          <w:cantSplit/>
        </w:trPr>
        <w:tc>
          <w:tcPr>
            <w:tcW w:w="1386" w:type="dxa"/>
            <w:vAlign w:val="center"/>
          </w:tcPr>
          <w:p w14:paraId="642708F1" w14:textId="77777777" w:rsidR="00577D08" w:rsidRDefault="00330FC0">
            <w:pPr>
              <w:ind w:right="5"/>
            </w:pPr>
            <w:r>
              <w:rPr>
                <w:rFonts w:hint="eastAsia"/>
              </w:rPr>
              <w:t>3</w:t>
            </w:r>
            <w:r>
              <w:rPr>
                <w:rFonts w:hint="eastAsia"/>
              </w:rPr>
              <w:t>年以上</w:t>
            </w:r>
          </w:p>
        </w:tc>
        <w:tc>
          <w:tcPr>
            <w:tcW w:w="1925" w:type="dxa"/>
          </w:tcPr>
          <w:p w14:paraId="488EF5F1" w14:textId="77777777" w:rsidR="00577D08" w:rsidRDefault="00330FC0">
            <w:pPr>
              <w:ind w:right="5"/>
              <w:jc w:val="right"/>
            </w:pPr>
            <w:r>
              <w:t>673,903.44</w:t>
            </w:r>
          </w:p>
        </w:tc>
        <w:tc>
          <w:tcPr>
            <w:tcW w:w="1912" w:type="dxa"/>
          </w:tcPr>
          <w:p w14:paraId="2F7E0A13" w14:textId="77777777" w:rsidR="00577D08" w:rsidRDefault="00330FC0">
            <w:pPr>
              <w:ind w:right="5"/>
              <w:jc w:val="right"/>
            </w:pPr>
            <w:r>
              <w:t>0.47</w:t>
            </w:r>
          </w:p>
        </w:tc>
        <w:tc>
          <w:tcPr>
            <w:tcW w:w="1909" w:type="dxa"/>
          </w:tcPr>
          <w:p w14:paraId="1155477B" w14:textId="77777777" w:rsidR="00577D08" w:rsidRDefault="00330FC0">
            <w:pPr>
              <w:ind w:right="5"/>
              <w:jc w:val="right"/>
            </w:pPr>
            <w:r>
              <w:t>757,117.23</w:t>
            </w:r>
          </w:p>
        </w:tc>
        <w:tc>
          <w:tcPr>
            <w:tcW w:w="1926" w:type="dxa"/>
          </w:tcPr>
          <w:p w14:paraId="0FA40597" w14:textId="77777777" w:rsidR="00577D08" w:rsidRDefault="00330FC0">
            <w:pPr>
              <w:ind w:right="5"/>
              <w:jc w:val="right"/>
            </w:pPr>
            <w:r>
              <w:t>0.94</w:t>
            </w:r>
          </w:p>
        </w:tc>
      </w:tr>
      <w:tr w:rsidR="00577D08" w14:paraId="74087DB3" w14:textId="77777777">
        <w:trPr>
          <w:cantSplit/>
        </w:trPr>
        <w:tc>
          <w:tcPr>
            <w:tcW w:w="1386" w:type="dxa"/>
            <w:vAlign w:val="center"/>
          </w:tcPr>
          <w:p w14:paraId="4FE2DF6C" w14:textId="77777777" w:rsidR="00577D08" w:rsidRDefault="00330FC0">
            <w:pPr>
              <w:ind w:right="5"/>
              <w:jc w:val="center"/>
            </w:pPr>
            <w:r>
              <w:rPr>
                <w:rFonts w:hint="eastAsia"/>
              </w:rPr>
              <w:t>合计</w:t>
            </w:r>
          </w:p>
        </w:tc>
        <w:tc>
          <w:tcPr>
            <w:tcW w:w="1925" w:type="dxa"/>
          </w:tcPr>
          <w:p w14:paraId="4DA20781" w14:textId="77777777" w:rsidR="00577D08" w:rsidRDefault="00330FC0">
            <w:pPr>
              <w:ind w:right="5"/>
              <w:jc w:val="right"/>
            </w:pPr>
            <w:r>
              <w:t>142,709,339.57</w:t>
            </w:r>
          </w:p>
        </w:tc>
        <w:tc>
          <w:tcPr>
            <w:tcW w:w="1912" w:type="dxa"/>
          </w:tcPr>
          <w:p w14:paraId="5C06AE76" w14:textId="77777777" w:rsidR="00577D08" w:rsidRDefault="00330FC0">
            <w:pPr>
              <w:ind w:right="5"/>
              <w:jc w:val="right"/>
            </w:pPr>
            <w:r>
              <w:t>100.00</w:t>
            </w:r>
          </w:p>
        </w:tc>
        <w:tc>
          <w:tcPr>
            <w:tcW w:w="1909" w:type="dxa"/>
          </w:tcPr>
          <w:p w14:paraId="075FD377" w14:textId="77777777" w:rsidR="00577D08" w:rsidRDefault="00330FC0">
            <w:pPr>
              <w:ind w:right="5"/>
              <w:jc w:val="right"/>
            </w:pPr>
            <w:r>
              <w:t>80,762,581.64</w:t>
            </w:r>
          </w:p>
        </w:tc>
        <w:tc>
          <w:tcPr>
            <w:tcW w:w="1926" w:type="dxa"/>
          </w:tcPr>
          <w:p w14:paraId="0240339B" w14:textId="77777777" w:rsidR="00577D08" w:rsidRDefault="00330FC0">
            <w:pPr>
              <w:ind w:right="5"/>
              <w:jc w:val="right"/>
            </w:pPr>
            <w:r>
              <w:t>100.00</w:t>
            </w:r>
          </w:p>
        </w:tc>
      </w:tr>
    </w:tbl>
    <w:p w14:paraId="04CB254F" w14:textId="77777777" w:rsidR="00577D08" w:rsidRDefault="00330FC0">
      <w:r>
        <w:t>账</w:t>
      </w:r>
      <w:r>
        <w:rPr>
          <w:rFonts w:hint="eastAsia"/>
        </w:rPr>
        <w:t>龄超过</w:t>
      </w:r>
      <w:r>
        <w:rPr>
          <w:rFonts w:hint="eastAsia"/>
        </w:rPr>
        <w:t>1</w:t>
      </w:r>
      <w:r>
        <w:rPr>
          <w:rFonts w:hint="eastAsia"/>
        </w:rPr>
        <w:t>年且金额重要的预付款项未及时结算原因</w:t>
      </w:r>
      <w:r>
        <w:t>的说明：</w:t>
      </w:r>
    </w:p>
    <w:sdt>
      <w:sdtPr>
        <w:rPr>
          <w:rFonts w:hint="eastAsia"/>
        </w:rPr>
        <w:alias w:val="账龄超过1年且金额重要的预付款项未及时结算原因的说明"/>
        <w:tag w:val="_GBC_21bfefabbdb8489685d0bb3ee64c2ca5"/>
        <w:id w:val="-590319446"/>
        <w:placeholder>
          <w:docPart w:val="GBC22222222222222222222222222222"/>
        </w:placeholder>
      </w:sdtPr>
      <w:sdtContent>
        <w:p w14:paraId="0062F3B0" w14:textId="77777777" w:rsidR="00577D08" w:rsidRDefault="00330FC0">
          <w:r>
            <w:rPr>
              <w:rFonts w:hint="eastAsia"/>
            </w:rPr>
            <w:t>无</w:t>
          </w:r>
        </w:p>
      </w:sdtContent>
    </w:sdt>
    <w:p w14:paraId="6F2B4BF3" w14:textId="77777777" w:rsidR="00577D08" w:rsidRDefault="00330FC0">
      <w:pPr>
        <w:pStyle w:val="4"/>
        <w:numPr>
          <w:ilvl w:val="3"/>
          <w:numId w:val="66"/>
        </w:numPr>
        <w:ind w:left="426" w:hanging="426"/>
        <w:rPr>
          <w:rFonts w:hint="eastAsia"/>
          <w:szCs w:val="21"/>
        </w:rPr>
      </w:pPr>
      <w:r>
        <w:rPr>
          <w:rFonts w:hint="eastAsia"/>
        </w:rPr>
        <w:t>按预付对象归集的期末余额前五名的预付款情况</w:t>
      </w:r>
    </w:p>
    <w:sdt>
      <w:sdtPr>
        <w:rPr>
          <w:rFonts w:hint="eastAsia"/>
        </w:rPr>
        <w:alias w:val="是否适用：按预付对象归集的期末余额前五名的预付款情况[双击切换]"/>
        <w:tag w:val="_GBC_6359dc471e0a406c8706681c2db6e149"/>
        <w:id w:val="1985742239"/>
        <w:placeholder>
          <w:docPart w:val="GBC22222222222222222222222222222"/>
        </w:placeholder>
      </w:sdtPr>
      <w:sdtContent>
        <w:p w14:paraId="6B0D9F24" w14:textId="77777777" w:rsidR="00577D08" w:rsidRDefault="00330FC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49F05AB" w14:textId="6320BA49" w:rsidR="00577D08" w:rsidRDefault="00330FC0">
      <w:pPr>
        <w:snapToGrid w:val="0"/>
        <w:spacing w:line="240" w:lineRule="atLeast"/>
        <w:jc w:val="right"/>
      </w:pPr>
      <w:r>
        <w:rPr>
          <w:rFonts w:hint="eastAsia"/>
        </w:rPr>
        <w:t>单位：</w:t>
      </w:r>
      <w:sdt>
        <w:sdtPr>
          <w:rPr>
            <w:rFonts w:hint="eastAsia"/>
          </w:rPr>
          <w:alias w:val="单位：按预付对象归集的期末余额前五名的预付款情况"/>
          <w:tag w:val="_GBC_1bbaf3870d2242f8a1ec8260382d458c"/>
          <w:id w:val="-17989653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按预付对象归集的期末余额前五名的预付款情况"/>
          <w:tag w:val="_GBC_77617525e63041b99aaabf038d02c871"/>
          <w:id w:val="-890908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797"/>
        <w:gridCol w:w="3013"/>
      </w:tblGrid>
      <w:tr w:rsidR="00577D08" w14:paraId="6980CD34" w14:textId="77777777">
        <w:trPr>
          <w:cantSplit/>
        </w:trPr>
        <w:sdt>
          <w:sdtPr>
            <w:tag w:val="_PLD_0ab17d7ae0014b6192c9dd0e6d3d3a25"/>
            <w:id w:val="-123081523"/>
          </w:sdtPr>
          <w:sdtContent>
            <w:tc>
              <w:tcPr>
                <w:tcW w:w="3227" w:type="dxa"/>
                <w:vAlign w:val="center"/>
              </w:tcPr>
              <w:p w14:paraId="63A91FA6" w14:textId="77777777" w:rsidR="00577D08" w:rsidRDefault="00330FC0">
                <w:pPr>
                  <w:ind w:right="105"/>
                  <w:jc w:val="center"/>
                </w:pPr>
                <w:r>
                  <w:rPr>
                    <w:rFonts w:hint="eastAsia"/>
                  </w:rPr>
                  <w:t>单位名称</w:t>
                </w:r>
              </w:p>
            </w:tc>
          </w:sdtContent>
        </w:sdt>
        <w:sdt>
          <w:sdtPr>
            <w:tag w:val="_PLD_cdd4a1e632c94d14908eb36a620946a9"/>
            <w:id w:val="-567111525"/>
          </w:sdtPr>
          <w:sdtContent>
            <w:tc>
              <w:tcPr>
                <w:tcW w:w="2797" w:type="dxa"/>
                <w:vAlign w:val="center"/>
              </w:tcPr>
              <w:p w14:paraId="6A301BCA" w14:textId="77777777" w:rsidR="00577D08" w:rsidRDefault="00330FC0">
                <w:pPr>
                  <w:ind w:right="73"/>
                  <w:jc w:val="center"/>
                </w:pPr>
                <w:r>
                  <w:rPr>
                    <w:rFonts w:hint="eastAsia"/>
                  </w:rPr>
                  <w:t>期末余额</w:t>
                </w:r>
              </w:p>
            </w:tc>
          </w:sdtContent>
        </w:sdt>
        <w:sdt>
          <w:sdtPr>
            <w:tag w:val="_PLD_c9db34035f63426095900b82cc8a8131"/>
            <w:id w:val="-582062844"/>
          </w:sdtPr>
          <w:sdtContent>
            <w:tc>
              <w:tcPr>
                <w:tcW w:w="3013" w:type="dxa"/>
                <w:vAlign w:val="center"/>
              </w:tcPr>
              <w:p w14:paraId="52A6F138" w14:textId="77777777" w:rsidR="00577D08" w:rsidRDefault="00330FC0">
                <w:pPr>
                  <w:jc w:val="center"/>
                </w:pPr>
                <w:r>
                  <w:rPr>
                    <w:rFonts w:hint="eastAsia"/>
                  </w:rPr>
                  <w:t>占预付款项期末余额合计数的比例</w:t>
                </w:r>
                <w:r>
                  <w:rPr>
                    <w:rFonts w:hint="eastAsia"/>
                  </w:rPr>
                  <w:t>(</w:t>
                </w:r>
                <w:r>
                  <w:t>%)</w:t>
                </w:r>
              </w:p>
            </w:tc>
          </w:sdtContent>
        </w:sdt>
      </w:tr>
      <w:tr w:rsidR="00577D08" w14:paraId="2C90D009" w14:textId="77777777">
        <w:trPr>
          <w:cantSplit/>
        </w:trPr>
        <w:tc>
          <w:tcPr>
            <w:tcW w:w="3227" w:type="dxa"/>
          </w:tcPr>
          <w:p w14:paraId="0D4D3842" w14:textId="77777777" w:rsidR="00577D08" w:rsidRDefault="00330FC0">
            <w:pPr>
              <w:ind w:right="105"/>
            </w:pPr>
            <w:r>
              <w:rPr>
                <w:rFonts w:hint="eastAsia"/>
              </w:rPr>
              <w:t>华为数字能源技术有限公司</w:t>
            </w:r>
          </w:p>
        </w:tc>
        <w:tc>
          <w:tcPr>
            <w:tcW w:w="2797" w:type="dxa"/>
          </w:tcPr>
          <w:p w14:paraId="6673F2D2" w14:textId="77777777" w:rsidR="00577D08" w:rsidRDefault="00330FC0">
            <w:pPr>
              <w:ind w:right="73"/>
              <w:jc w:val="right"/>
            </w:pPr>
            <w:r>
              <w:rPr>
                <w:rFonts w:hint="eastAsia"/>
              </w:rPr>
              <w:t>89,240,265.10</w:t>
            </w:r>
          </w:p>
        </w:tc>
        <w:tc>
          <w:tcPr>
            <w:tcW w:w="3013" w:type="dxa"/>
          </w:tcPr>
          <w:p w14:paraId="093760FF" w14:textId="77777777" w:rsidR="00577D08" w:rsidRDefault="00330FC0">
            <w:pPr>
              <w:jc w:val="right"/>
            </w:pPr>
            <w:r>
              <w:rPr>
                <w:rFonts w:hint="eastAsia"/>
              </w:rPr>
              <w:t>62.53</w:t>
            </w:r>
          </w:p>
        </w:tc>
      </w:tr>
      <w:tr w:rsidR="00577D08" w14:paraId="599D7186" w14:textId="77777777">
        <w:trPr>
          <w:cantSplit/>
        </w:trPr>
        <w:tc>
          <w:tcPr>
            <w:tcW w:w="3227" w:type="dxa"/>
          </w:tcPr>
          <w:p w14:paraId="4A89A1FD" w14:textId="77777777" w:rsidR="00577D08" w:rsidRDefault="00330FC0">
            <w:pPr>
              <w:ind w:right="105"/>
            </w:pPr>
            <w:r>
              <w:rPr>
                <w:rFonts w:hint="eastAsia"/>
              </w:rPr>
              <w:t>中国石油天然气股份有限公司</w:t>
            </w:r>
          </w:p>
        </w:tc>
        <w:tc>
          <w:tcPr>
            <w:tcW w:w="2797" w:type="dxa"/>
          </w:tcPr>
          <w:p w14:paraId="1D185402" w14:textId="77777777" w:rsidR="00577D08" w:rsidRDefault="00330FC0">
            <w:pPr>
              <w:ind w:right="73"/>
              <w:jc w:val="right"/>
            </w:pPr>
            <w:r>
              <w:rPr>
                <w:rFonts w:hint="eastAsia"/>
              </w:rPr>
              <w:t>11,454,762.39</w:t>
            </w:r>
          </w:p>
        </w:tc>
        <w:tc>
          <w:tcPr>
            <w:tcW w:w="3013" w:type="dxa"/>
          </w:tcPr>
          <w:p w14:paraId="495B962F" w14:textId="77777777" w:rsidR="00577D08" w:rsidRDefault="00330FC0">
            <w:pPr>
              <w:jc w:val="right"/>
            </w:pPr>
            <w:r>
              <w:rPr>
                <w:rFonts w:hint="eastAsia"/>
              </w:rPr>
              <w:t>8.03</w:t>
            </w:r>
          </w:p>
        </w:tc>
      </w:tr>
      <w:tr w:rsidR="00577D08" w14:paraId="6B6242B0" w14:textId="77777777">
        <w:trPr>
          <w:cantSplit/>
        </w:trPr>
        <w:tc>
          <w:tcPr>
            <w:tcW w:w="3227" w:type="dxa"/>
          </w:tcPr>
          <w:p w14:paraId="08190377" w14:textId="77777777" w:rsidR="00577D08" w:rsidRDefault="00330FC0">
            <w:pPr>
              <w:ind w:right="105"/>
            </w:pPr>
            <w:r>
              <w:rPr>
                <w:rFonts w:hint="eastAsia"/>
              </w:rPr>
              <w:t>包头威丰新材料有限公司</w:t>
            </w:r>
          </w:p>
        </w:tc>
        <w:tc>
          <w:tcPr>
            <w:tcW w:w="2797" w:type="dxa"/>
          </w:tcPr>
          <w:p w14:paraId="42A6A148" w14:textId="77777777" w:rsidR="00577D08" w:rsidRDefault="00330FC0">
            <w:pPr>
              <w:ind w:right="73"/>
              <w:jc w:val="right"/>
            </w:pPr>
            <w:r>
              <w:rPr>
                <w:rFonts w:hint="eastAsia"/>
              </w:rPr>
              <w:t>8,573,784.29</w:t>
            </w:r>
          </w:p>
        </w:tc>
        <w:tc>
          <w:tcPr>
            <w:tcW w:w="3013" w:type="dxa"/>
          </w:tcPr>
          <w:p w14:paraId="0D8611B7" w14:textId="77777777" w:rsidR="00577D08" w:rsidRDefault="00330FC0">
            <w:pPr>
              <w:jc w:val="right"/>
            </w:pPr>
            <w:r>
              <w:rPr>
                <w:rFonts w:hint="eastAsia"/>
              </w:rPr>
              <w:t>6.01</w:t>
            </w:r>
          </w:p>
        </w:tc>
      </w:tr>
      <w:tr w:rsidR="00577D08" w14:paraId="4BDEDE0E" w14:textId="77777777">
        <w:trPr>
          <w:cantSplit/>
        </w:trPr>
        <w:tc>
          <w:tcPr>
            <w:tcW w:w="3227" w:type="dxa"/>
          </w:tcPr>
          <w:p w14:paraId="33A55665" w14:textId="77777777" w:rsidR="00577D08" w:rsidRDefault="00330FC0">
            <w:pPr>
              <w:ind w:right="105"/>
            </w:pPr>
            <w:r>
              <w:rPr>
                <w:rFonts w:hint="eastAsia"/>
              </w:rPr>
              <w:t>武汉首钢钢铁贸易有限公司</w:t>
            </w:r>
          </w:p>
        </w:tc>
        <w:tc>
          <w:tcPr>
            <w:tcW w:w="2797" w:type="dxa"/>
          </w:tcPr>
          <w:p w14:paraId="68F02F4A" w14:textId="77777777" w:rsidR="00577D08" w:rsidRDefault="00330FC0">
            <w:pPr>
              <w:ind w:right="73"/>
              <w:jc w:val="right"/>
            </w:pPr>
            <w:r>
              <w:rPr>
                <w:rFonts w:hint="eastAsia"/>
              </w:rPr>
              <w:t>6,162,342.25</w:t>
            </w:r>
          </w:p>
        </w:tc>
        <w:tc>
          <w:tcPr>
            <w:tcW w:w="3013" w:type="dxa"/>
          </w:tcPr>
          <w:p w14:paraId="6153187A" w14:textId="77777777" w:rsidR="00577D08" w:rsidRDefault="00330FC0">
            <w:pPr>
              <w:jc w:val="right"/>
            </w:pPr>
            <w:r>
              <w:rPr>
                <w:rFonts w:hint="eastAsia"/>
              </w:rPr>
              <w:t>4.32</w:t>
            </w:r>
          </w:p>
        </w:tc>
      </w:tr>
      <w:tr w:rsidR="00577D08" w14:paraId="4556A85C" w14:textId="77777777">
        <w:trPr>
          <w:cantSplit/>
        </w:trPr>
        <w:tc>
          <w:tcPr>
            <w:tcW w:w="3227" w:type="dxa"/>
          </w:tcPr>
          <w:p w14:paraId="3FF9A1D7" w14:textId="77777777" w:rsidR="00577D08" w:rsidRDefault="00330FC0">
            <w:pPr>
              <w:ind w:right="105"/>
            </w:pPr>
            <w:r>
              <w:rPr>
                <w:rFonts w:hint="eastAsia"/>
              </w:rPr>
              <w:t>湖南华菱涟源钢铁有限公司</w:t>
            </w:r>
          </w:p>
        </w:tc>
        <w:tc>
          <w:tcPr>
            <w:tcW w:w="2797" w:type="dxa"/>
          </w:tcPr>
          <w:p w14:paraId="66C29E61" w14:textId="77777777" w:rsidR="00577D08" w:rsidRDefault="00330FC0">
            <w:pPr>
              <w:ind w:right="73"/>
              <w:jc w:val="right"/>
            </w:pPr>
            <w:r>
              <w:rPr>
                <w:rFonts w:hint="eastAsia"/>
              </w:rPr>
              <w:t>4,446,150.48</w:t>
            </w:r>
          </w:p>
        </w:tc>
        <w:tc>
          <w:tcPr>
            <w:tcW w:w="3013" w:type="dxa"/>
          </w:tcPr>
          <w:p w14:paraId="5342D0F2" w14:textId="77777777" w:rsidR="00577D08" w:rsidRDefault="00330FC0">
            <w:pPr>
              <w:jc w:val="right"/>
            </w:pPr>
            <w:r>
              <w:rPr>
                <w:rFonts w:hint="eastAsia"/>
              </w:rPr>
              <w:t>3.12</w:t>
            </w:r>
          </w:p>
        </w:tc>
      </w:tr>
      <w:tr w:rsidR="00577D08" w14:paraId="6F643DB2" w14:textId="77777777">
        <w:trPr>
          <w:cantSplit/>
        </w:trPr>
        <w:tc>
          <w:tcPr>
            <w:tcW w:w="3227" w:type="dxa"/>
            <w:vAlign w:val="center"/>
          </w:tcPr>
          <w:p w14:paraId="2885A019" w14:textId="77777777" w:rsidR="00577D08" w:rsidRDefault="00330FC0">
            <w:pPr>
              <w:ind w:right="105"/>
              <w:jc w:val="center"/>
            </w:pPr>
            <w:r>
              <w:rPr>
                <w:rFonts w:hint="eastAsia"/>
              </w:rPr>
              <w:t>合计</w:t>
            </w:r>
          </w:p>
        </w:tc>
        <w:tc>
          <w:tcPr>
            <w:tcW w:w="2797" w:type="dxa"/>
          </w:tcPr>
          <w:p w14:paraId="295BAE48" w14:textId="77777777" w:rsidR="00577D08" w:rsidRDefault="00330FC0">
            <w:pPr>
              <w:ind w:right="73"/>
              <w:jc w:val="right"/>
            </w:pPr>
            <w:r>
              <w:t>119,877,304.51</w:t>
            </w:r>
          </w:p>
        </w:tc>
        <w:tc>
          <w:tcPr>
            <w:tcW w:w="3013" w:type="dxa"/>
          </w:tcPr>
          <w:p w14:paraId="3D39D9C5" w14:textId="77777777" w:rsidR="00577D08" w:rsidRDefault="00330FC0">
            <w:pPr>
              <w:jc w:val="right"/>
            </w:pPr>
            <w:r>
              <w:t>84.0</w:t>
            </w:r>
            <w:r>
              <w:rPr>
                <w:rFonts w:hint="eastAsia"/>
              </w:rPr>
              <w:t>1</w:t>
            </w:r>
          </w:p>
        </w:tc>
      </w:tr>
    </w:tbl>
    <w:p w14:paraId="739FBB6A" w14:textId="77777777" w:rsidR="00577D08" w:rsidRDefault="00330FC0">
      <w:pPr>
        <w:snapToGrid w:val="0"/>
        <w:spacing w:line="240" w:lineRule="atLeast"/>
      </w:pPr>
      <w:r>
        <w:rPr>
          <w:rFonts w:hint="eastAsia"/>
        </w:rPr>
        <w:t>其他说明：</w:t>
      </w:r>
    </w:p>
    <w:sdt>
      <w:sdtPr>
        <w:alias w:val="按预付对象归集的期末余额前五名的预付款情况的说明"/>
        <w:tag w:val="_GBC_01cbdc0115484d88931f2dbcc9e0aa2b"/>
        <w:id w:val="-1724901545"/>
        <w:placeholder>
          <w:docPart w:val="GBC22222222222222222222222222222"/>
        </w:placeholder>
      </w:sdtPr>
      <w:sdtContent>
        <w:p w14:paraId="51E5C51F" w14:textId="77777777" w:rsidR="00577D08" w:rsidRDefault="00330FC0">
          <w:pPr>
            <w:snapToGrid w:val="0"/>
            <w:spacing w:line="240" w:lineRule="atLeast"/>
          </w:pPr>
          <w:r>
            <w:rPr>
              <w:rFonts w:hint="eastAsia"/>
            </w:rPr>
            <w:t>无</w:t>
          </w:r>
        </w:p>
      </w:sdtContent>
    </w:sdt>
    <w:p w14:paraId="76C81A96" w14:textId="77777777" w:rsidR="00577D08" w:rsidRDefault="00330FC0">
      <w:r>
        <w:rPr>
          <w:rFonts w:hint="eastAsia"/>
        </w:rPr>
        <w:t>其他说明：</w:t>
      </w:r>
    </w:p>
    <w:sdt>
      <w:sdtPr>
        <w:rPr>
          <w:rFonts w:hint="eastAsia"/>
        </w:rPr>
        <w:alias w:val="是否适用：预付帐款的说明[双击切换]"/>
        <w:tag w:val="_GBC_292d88b78b6d439981e508e0126d8061"/>
        <w:id w:val="-1455950187"/>
        <w:placeholder>
          <w:docPart w:val="GBC22222222222222222222222222222"/>
        </w:placeholder>
      </w:sdtPr>
      <w:sdtContent>
        <w:p w14:paraId="75B0F50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B44C22" w14:textId="77777777" w:rsidR="00577D08" w:rsidRDefault="00330FC0">
      <w:pPr>
        <w:pStyle w:val="3"/>
        <w:numPr>
          <w:ilvl w:val="0"/>
          <w:numId w:val="61"/>
        </w:numPr>
      </w:pPr>
      <w:r>
        <w:rPr>
          <w:rFonts w:hint="eastAsia"/>
        </w:rPr>
        <w:t>其他应收款</w:t>
      </w:r>
    </w:p>
    <w:p w14:paraId="3FD97850" w14:textId="77777777" w:rsidR="00577D08" w:rsidRDefault="00330FC0">
      <w:pPr>
        <w:pStyle w:val="4"/>
        <w:rPr>
          <w:rFonts w:hint="eastAsia"/>
        </w:rPr>
      </w:pPr>
      <w:bookmarkStart w:id="354" w:name="_Hlk532906090"/>
      <w:r>
        <w:rPr>
          <w:rFonts w:ascii="宋体" w:eastAsia="宋体" w:hAnsi="宋体" w:cs="宋体" w:hint="eastAsia"/>
          <w:kern w:val="0"/>
          <w:szCs w:val="24"/>
        </w:rPr>
        <w:t>项目列示</w:t>
      </w:r>
    </w:p>
    <w:sdt>
      <w:sdtPr>
        <w:alias w:val="是否适用：其他应收款分类列示[双击切换]"/>
        <w:tag w:val="_GBC_5cf24a2049f64010a4df1f0db5a97234"/>
        <w:id w:val="772587633"/>
        <w:placeholder>
          <w:docPart w:val="GBC22222222222222222222222222222"/>
        </w:placeholder>
      </w:sdtPr>
      <w:sdtContent>
        <w:p w14:paraId="14E9653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8DD9646" w14:textId="3F6A2646" w:rsidR="00577D08" w:rsidRDefault="00330FC0">
      <w:pPr>
        <w:jc w:val="right"/>
      </w:pPr>
      <w:r>
        <w:rPr>
          <w:rFonts w:hint="eastAsia"/>
        </w:rPr>
        <w:t>单位：</w:t>
      </w:r>
      <w:sdt>
        <w:sdtPr>
          <w:rPr>
            <w:rFonts w:hint="eastAsia"/>
          </w:rPr>
          <w:alias w:val="单位：其他应收款分类列示"/>
          <w:tag w:val="_GBC_7f9aa6546943491ca0ac8585be1822b5"/>
          <w:id w:val="17176741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其他应收款分类列示"/>
          <w:tag w:val="_GBC_04bd5c819b004daf9b35f05cdd98046d"/>
          <w:id w:val="15335449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96"/>
        <w:gridCol w:w="2938"/>
        <w:gridCol w:w="2924"/>
      </w:tblGrid>
      <w:tr w:rsidR="00577D08" w14:paraId="33638DEE" w14:textId="77777777">
        <w:trPr>
          <w:cantSplit/>
        </w:trPr>
        <w:sdt>
          <w:sdtPr>
            <w:tag w:val="_PLD_4377dcbf8fc04365884311b6628ee70c"/>
            <w:id w:val="1168600414"/>
          </w:sdtPr>
          <w:sdtContent>
            <w:tc>
              <w:tcPr>
                <w:tcW w:w="3196" w:type="dxa"/>
                <w:vAlign w:val="center"/>
              </w:tcPr>
              <w:p w14:paraId="47DACF59" w14:textId="77777777" w:rsidR="00577D08" w:rsidRDefault="00330FC0">
                <w:pPr>
                  <w:jc w:val="center"/>
                </w:pPr>
                <w:r>
                  <w:rPr>
                    <w:rFonts w:hint="eastAsia"/>
                  </w:rPr>
                  <w:t>项目</w:t>
                </w:r>
              </w:p>
            </w:tc>
          </w:sdtContent>
        </w:sdt>
        <w:sdt>
          <w:sdtPr>
            <w:tag w:val="_PLD_9eed799cfa4b445abd6bf2c21c8e53d1"/>
            <w:id w:val="-7132190"/>
          </w:sdtPr>
          <w:sdtContent>
            <w:tc>
              <w:tcPr>
                <w:tcW w:w="2938" w:type="dxa"/>
                <w:vAlign w:val="center"/>
              </w:tcPr>
              <w:p w14:paraId="305173F5" w14:textId="77777777" w:rsidR="00577D08" w:rsidRDefault="00330FC0">
                <w:pPr>
                  <w:jc w:val="center"/>
                </w:pPr>
                <w:r>
                  <w:rPr>
                    <w:rFonts w:hint="eastAsia"/>
                  </w:rPr>
                  <w:t>期末余额</w:t>
                </w:r>
              </w:p>
            </w:tc>
          </w:sdtContent>
        </w:sdt>
        <w:sdt>
          <w:sdtPr>
            <w:tag w:val="_PLD_200365ee1196470e91075b949a7f5552"/>
            <w:id w:val="-579364579"/>
          </w:sdtPr>
          <w:sdtContent>
            <w:tc>
              <w:tcPr>
                <w:tcW w:w="2924" w:type="dxa"/>
                <w:vAlign w:val="center"/>
              </w:tcPr>
              <w:p w14:paraId="3FDA43B0" w14:textId="77777777" w:rsidR="00577D08" w:rsidRDefault="00330FC0">
                <w:pPr>
                  <w:jc w:val="center"/>
                </w:pPr>
                <w:r>
                  <w:rPr>
                    <w:rFonts w:hint="eastAsia"/>
                  </w:rPr>
                  <w:t>期初余额</w:t>
                </w:r>
              </w:p>
            </w:tc>
          </w:sdtContent>
        </w:sdt>
      </w:tr>
      <w:tr w:rsidR="00577D08" w14:paraId="4C5D9A24" w14:textId="77777777">
        <w:trPr>
          <w:cantSplit/>
        </w:trPr>
        <w:tc>
          <w:tcPr>
            <w:tcW w:w="3196" w:type="dxa"/>
            <w:vAlign w:val="center"/>
          </w:tcPr>
          <w:p w14:paraId="0D48B8E2" w14:textId="77777777" w:rsidR="00577D08" w:rsidRDefault="00330FC0">
            <w:pPr>
              <w:ind w:right="5"/>
            </w:pPr>
            <w:r>
              <w:rPr>
                <w:rFonts w:hint="eastAsia"/>
              </w:rPr>
              <w:t>应收利息</w:t>
            </w:r>
          </w:p>
        </w:tc>
        <w:tc>
          <w:tcPr>
            <w:tcW w:w="2938" w:type="dxa"/>
            <w:vAlign w:val="center"/>
          </w:tcPr>
          <w:p w14:paraId="39E96C47" w14:textId="77777777" w:rsidR="00577D08" w:rsidRDefault="00577D08">
            <w:pPr>
              <w:ind w:right="5"/>
              <w:jc w:val="right"/>
            </w:pPr>
          </w:p>
        </w:tc>
        <w:tc>
          <w:tcPr>
            <w:tcW w:w="2924" w:type="dxa"/>
            <w:vAlign w:val="center"/>
          </w:tcPr>
          <w:p w14:paraId="4AEB9FC8" w14:textId="77777777" w:rsidR="00577D08" w:rsidRDefault="00577D08">
            <w:pPr>
              <w:ind w:right="5"/>
              <w:jc w:val="right"/>
            </w:pPr>
          </w:p>
        </w:tc>
      </w:tr>
      <w:tr w:rsidR="00577D08" w14:paraId="12359D43" w14:textId="77777777">
        <w:trPr>
          <w:cantSplit/>
        </w:trPr>
        <w:tc>
          <w:tcPr>
            <w:tcW w:w="3196" w:type="dxa"/>
            <w:vAlign w:val="center"/>
          </w:tcPr>
          <w:p w14:paraId="3DEF32CA" w14:textId="77777777" w:rsidR="00577D08" w:rsidRDefault="00330FC0">
            <w:pPr>
              <w:ind w:right="5"/>
            </w:pPr>
            <w:r>
              <w:rPr>
                <w:rFonts w:hint="eastAsia"/>
              </w:rPr>
              <w:t>应收股利</w:t>
            </w:r>
          </w:p>
        </w:tc>
        <w:tc>
          <w:tcPr>
            <w:tcW w:w="2938" w:type="dxa"/>
            <w:vAlign w:val="center"/>
          </w:tcPr>
          <w:p w14:paraId="1C7C55D0" w14:textId="77777777" w:rsidR="00577D08" w:rsidRDefault="00577D08">
            <w:pPr>
              <w:ind w:right="5"/>
              <w:jc w:val="right"/>
            </w:pPr>
          </w:p>
        </w:tc>
        <w:tc>
          <w:tcPr>
            <w:tcW w:w="2924" w:type="dxa"/>
            <w:vAlign w:val="center"/>
          </w:tcPr>
          <w:p w14:paraId="68F4CBA6" w14:textId="77777777" w:rsidR="00577D08" w:rsidRDefault="00577D08">
            <w:pPr>
              <w:ind w:right="5"/>
              <w:jc w:val="right"/>
            </w:pPr>
          </w:p>
        </w:tc>
      </w:tr>
      <w:tr w:rsidR="00577D08" w14:paraId="2BAF98C3" w14:textId="77777777">
        <w:trPr>
          <w:cantSplit/>
        </w:trPr>
        <w:tc>
          <w:tcPr>
            <w:tcW w:w="3196" w:type="dxa"/>
            <w:vAlign w:val="center"/>
          </w:tcPr>
          <w:p w14:paraId="2DDED3C8" w14:textId="77777777" w:rsidR="00577D08" w:rsidRDefault="00330FC0">
            <w:pPr>
              <w:ind w:right="5"/>
            </w:pPr>
            <w:r>
              <w:rPr>
                <w:rFonts w:hint="eastAsia"/>
              </w:rPr>
              <w:t>其他应收款</w:t>
            </w:r>
          </w:p>
        </w:tc>
        <w:tc>
          <w:tcPr>
            <w:tcW w:w="2938" w:type="dxa"/>
          </w:tcPr>
          <w:p w14:paraId="586F5B39" w14:textId="77777777" w:rsidR="00577D08" w:rsidRDefault="00330FC0">
            <w:pPr>
              <w:ind w:right="5"/>
              <w:jc w:val="right"/>
            </w:pPr>
            <w:r>
              <w:t>122,669,436.29</w:t>
            </w:r>
          </w:p>
        </w:tc>
        <w:tc>
          <w:tcPr>
            <w:tcW w:w="2924" w:type="dxa"/>
          </w:tcPr>
          <w:p w14:paraId="430B830E" w14:textId="77777777" w:rsidR="00577D08" w:rsidRDefault="00330FC0">
            <w:pPr>
              <w:ind w:right="5"/>
              <w:jc w:val="right"/>
            </w:pPr>
            <w:r>
              <w:t>125,149,623.36</w:t>
            </w:r>
          </w:p>
        </w:tc>
      </w:tr>
      <w:tr w:rsidR="00577D08" w14:paraId="77A8D73F" w14:textId="77777777">
        <w:trPr>
          <w:cantSplit/>
        </w:trPr>
        <w:tc>
          <w:tcPr>
            <w:tcW w:w="3196" w:type="dxa"/>
            <w:vAlign w:val="center"/>
          </w:tcPr>
          <w:p w14:paraId="0A84412B" w14:textId="77777777" w:rsidR="00577D08" w:rsidRDefault="00330FC0">
            <w:pPr>
              <w:autoSpaceDE w:val="0"/>
              <w:autoSpaceDN w:val="0"/>
              <w:adjustRightInd w:val="0"/>
            </w:pPr>
            <w:r>
              <w:rPr>
                <w:rFonts w:hint="eastAsia"/>
              </w:rPr>
              <w:t>合计</w:t>
            </w:r>
          </w:p>
        </w:tc>
        <w:tc>
          <w:tcPr>
            <w:tcW w:w="2938" w:type="dxa"/>
          </w:tcPr>
          <w:p w14:paraId="0EC4B74F" w14:textId="77777777" w:rsidR="00577D08" w:rsidRDefault="00330FC0">
            <w:pPr>
              <w:jc w:val="right"/>
            </w:pPr>
            <w:r>
              <w:t>122,669,436.29</w:t>
            </w:r>
          </w:p>
        </w:tc>
        <w:tc>
          <w:tcPr>
            <w:tcW w:w="2924" w:type="dxa"/>
          </w:tcPr>
          <w:p w14:paraId="2BB91D61" w14:textId="77777777" w:rsidR="00577D08" w:rsidRDefault="00330FC0">
            <w:pPr>
              <w:jc w:val="right"/>
            </w:pPr>
            <w:r>
              <w:t>125,149,623.36</w:t>
            </w:r>
          </w:p>
        </w:tc>
      </w:tr>
    </w:tbl>
    <w:p w14:paraId="235670E4" w14:textId="77777777" w:rsidR="00577D08" w:rsidRDefault="00330FC0">
      <w:bookmarkStart w:id="355" w:name="_Hlk532906097"/>
      <w:bookmarkEnd w:id="354"/>
      <w:r>
        <w:rPr>
          <w:rFonts w:hint="eastAsia"/>
        </w:rPr>
        <w:t>其他说明</w:t>
      </w:r>
      <w:bookmarkEnd w:id="355"/>
      <w:r>
        <w:rPr>
          <w:rFonts w:hint="eastAsia"/>
        </w:rPr>
        <w:t>：</w:t>
      </w:r>
    </w:p>
    <w:sdt>
      <w:sdtPr>
        <w:alias w:val="是否适用：其他应收款分类列示其他说明[双击切换]"/>
        <w:tag w:val="_GBC_87a25d8043fc4fcfac6a8c802b58dfc7"/>
        <w:id w:val="1619786333"/>
        <w:placeholder>
          <w:docPart w:val="GBC22222222222222222222222222222"/>
        </w:placeholder>
      </w:sdtPr>
      <w:sdtContent>
        <w:p w14:paraId="4635AEF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4865FA0" w14:textId="77777777" w:rsidR="00577D08" w:rsidRDefault="00330FC0">
      <w:pPr>
        <w:pStyle w:val="4"/>
        <w:ind w:left="360" w:hanging="360"/>
        <w:rPr>
          <w:rFonts w:hint="eastAsia"/>
        </w:rPr>
      </w:pPr>
      <w:r>
        <w:rPr>
          <w:rFonts w:hint="eastAsia"/>
        </w:rPr>
        <w:t>应收利息</w:t>
      </w:r>
    </w:p>
    <w:p w14:paraId="020F3673" w14:textId="77777777" w:rsidR="00577D08" w:rsidRDefault="00330FC0">
      <w:pPr>
        <w:pStyle w:val="5"/>
        <w:numPr>
          <w:ilvl w:val="0"/>
          <w:numId w:val="67"/>
        </w:numPr>
        <w:ind w:leftChars="0"/>
      </w:pPr>
      <w:r>
        <w:rPr>
          <w:rFonts w:hint="eastAsia"/>
        </w:rPr>
        <w:t>应收利息分类</w:t>
      </w:r>
    </w:p>
    <w:sdt>
      <w:sdtPr>
        <w:alias w:val="是否适用：应收利息分类[双击切换]"/>
        <w:tag w:val="_GBC_83217ec91e3240eeb9ff337eca1b11bb"/>
        <w:id w:val="-1719820063"/>
        <w:placeholder>
          <w:docPart w:val="GBC22222222222222222222222222222"/>
        </w:placeholder>
      </w:sdtPr>
      <w:sdtContent>
        <w:p w14:paraId="1CA88B8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FDAB44" w14:textId="77777777" w:rsidR="00577D08" w:rsidRDefault="00330FC0">
      <w:pPr>
        <w:pStyle w:val="5"/>
        <w:numPr>
          <w:ilvl w:val="0"/>
          <w:numId w:val="67"/>
        </w:numPr>
        <w:ind w:leftChars="0"/>
      </w:pPr>
      <w:r>
        <w:rPr>
          <w:rFonts w:hint="eastAsia"/>
        </w:rPr>
        <w:t>重要逾期利息</w:t>
      </w:r>
    </w:p>
    <w:sdt>
      <w:sdtPr>
        <w:alias w:val="是否适用：重要逾期利息[双击切换]"/>
        <w:tag w:val="_GBC_4720cbb6fd9144c2b14ef7120e6159be"/>
        <w:id w:val="-1297524767"/>
        <w:placeholder>
          <w:docPart w:val="GBC22222222222222222222222222222"/>
        </w:placeholder>
      </w:sdtPr>
      <w:sdtContent>
        <w:p w14:paraId="06A0056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3FD0981" w14:textId="77777777" w:rsidR="00577D08" w:rsidRDefault="00330FC0">
      <w:pPr>
        <w:pStyle w:val="5"/>
        <w:numPr>
          <w:ilvl w:val="0"/>
          <w:numId w:val="67"/>
        </w:numPr>
        <w:ind w:leftChars="0"/>
        <w:rPr>
          <w:rFonts w:ascii="宋体" w:hAnsi="宋体" w:cs="宋体" w:hint="eastAsia"/>
          <w:kern w:val="0"/>
          <w:szCs w:val="24"/>
        </w:rPr>
      </w:pPr>
      <w:bookmarkStart w:id="356" w:name="_Hlk153374831"/>
      <w:r>
        <w:rPr>
          <w:rFonts w:ascii="宋体" w:hAnsi="宋体" w:cs="宋体" w:hint="eastAsia"/>
          <w:kern w:val="0"/>
          <w:szCs w:val="24"/>
        </w:rPr>
        <w:lastRenderedPageBreak/>
        <w:t>按</w:t>
      </w:r>
      <w:r>
        <w:rPr>
          <w:rFonts w:ascii="宋体" w:hAnsi="宋体" w:cs="宋体"/>
          <w:kern w:val="0"/>
          <w:szCs w:val="24"/>
        </w:rPr>
        <w:t>坏账计提方法分类披露</w:t>
      </w:r>
    </w:p>
    <w:sdt>
      <w:sdtPr>
        <w:alias w:val="是否适用：按坏账计提方法分类披露[双击切换]"/>
        <w:tag w:val="_GBC_4dfa1c3f378a461fb32dcc384b94c01c"/>
        <w:id w:val="-1788647546"/>
        <w:placeholder>
          <w:docPart w:val="GBC22222222222222222222222222222"/>
        </w:placeholder>
      </w:sdtPr>
      <w:sdtContent>
        <w:p w14:paraId="5D626AB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3A4A195" w14:textId="77777777" w:rsidR="00577D08" w:rsidRDefault="00330FC0">
      <w:r>
        <w:rPr>
          <w:rFonts w:hint="eastAsia"/>
        </w:rPr>
        <w:t>按单项计提坏账准备：</w:t>
      </w:r>
    </w:p>
    <w:sdt>
      <w:sdtPr>
        <w:alias w:val="是否适用：按单项计提坏账准备的详细情况[双击切换]"/>
        <w:tag w:val="_GBC_f555101264ef4acba1df68e54d30175a"/>
        <w:id w:val="-1025936486"/>
        <w:placeholder>
          <w:docPart w:val="GBC22222222222222222222222222222"/>
        </w:placeholder>
      </w:sdtPr>
      <w:sdtContent>
        <w:p w14:paraId="7DD7A65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1485C8" w14:textId="77777777" w:rsidR="00577D08" w:rsidRDefault="00330FC0">
      <w:r>
        <w:rPr>
          <w:rFonts w:hint="eastAsia"/>
        </w:rPr>
        <w:t>按单项计提坏账准备的说明：</w:t>
      </w:r>
    </w:p>
    <w:sdt>
      <w:sdtPr>
        <w:alias w:val="是否适用：按单项计提坏账准备的说明[双击切换]"/>
        <w:tag w:val="_GBC_e7140d40a6d84e56957900180d1e6af2"/>
        <w:id w:val="1284388578"/>
        <w:placeholder>
          <w:docPart w:val="GBC22222222222222222222222222222"/>
        </w:placeholder>
      </w:sdtPr>
      <w:sdtContent>
        <w:p w14:paraId="0F5D3C6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E1E5E0" w14:textId="77777777" w:rsidR="00577D08" w:rsidRDefault="00330FC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e220409efb74ad0a4dffa7172a6bdf0"/>
        <w:id w:val="-1036730781"/>
        <w:placeholder>
          <w:docPart w:val="GBC22222222222222222222222222222"/>
        </w:placeholder>
      </w:sdtPr>
      <w:sdtContent>
        <w:p w14:paraId="233C824A" w14:textId="77777777" w:rsidR="00577D08" w:rsidRDefault="00330FC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635F2866" w14:textId="77777777" w:rsidR="00577D08" w:rsidRDefault="00330FC0">
      <w:pPr>
        <w:pStyle w:val="5"/>
        <w:numPr>
          <w:ilvl w:val="0"/>
          <w:numId w:val="67"/>
        </w:numPr>
        <w:ind w:leftChars="0"/>
      </w:pPr>
      <w:bookmarkStart w:id="357" w:name="_Hlk533867290"/>
      <w:bookmarkEnd w:id="356"/>
      <w:r>
        <w:rPr>
          <w:rFonts w:ascii="宋体" w:hAnsi="宋体" w:cs="宋体" w:hint="eastAsia"/>
          <w:kern w:val="0"/>
          <w:szCs w:val="24"/>
        </w:rPr>
        <w:t>按预期信用损失一般模型计提坏账准备</w:t>
      </w:r>
    </w:p>
    <w:sdt>
      <w:sdtPr>
        <w:alias w:val="是否适用：应收利息坏账准备调节表[双击切换]"/>
        <w:tag w:val="_GBC_2926f106217b4c11a5fe606b79f60d83"/>
        <w:id w:val="118267715"/>
        <w:placeholder>
          <w:docPart w:val="GBC22222222222222222222222222222"/>
        </w:placeholder>
      </w:sdtPr>
      <w:sdtContent>
        <w:p w14:paraId="549DB0E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097DA84"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应收利息各阶段划分依据和坏账准备计提比例"/>
        <w:tag w:val="_GBC_59f57028d34346fc91962be3047fd594"/>
        <w:id w:val="-724530043"/>
        <w:placeholder>
          <w:docPart w:val="GBC22222222222222222222222222222"/>
        </w:placeholder>
      </w:sdtPr>
      <w:sdtContent>
        <w:p w14:paraId="1CA6E2EE" w14:textId="77777777" w:rsidR="00577D08" w:rsidRDefault="00330FC0">
          <w:pPr>
            <w:rPr>
              <w:bCs/>
              <w:szCs w:val="22"/>
            </w:rPr>
          </w:pPr>
          <w:r>
            <w:rPr>
              <w:rFonts w:hint="eastAsia"/>
              <w:bCs/>
              <w:szCs w:val="22"/>
            </w:rPr>
            <w:t>无</w:t>
          </w:r>
        </w:p>
      </w:sdtContent>
    </w:sdt>
    <w:p w14:paraId="495C8A4B" w14:textId="77777777" w:rsidR="00577D08" w:rsidRDefault="00330FC0">
      <w:pPr>
        <w:pStyle w:val="affc"/>
      </w:pPr>
      <w:r>
        <w:rPr>
          <w:rFonts w:hint="eastAsia"/>
        </w:rPr>
        <w:t>对本期发生损失准备变动的应收利息账面余额显著变动的情况说明：</w:t>
      </w:r>
    </w:p>
    <w:sdt>
      <w:sdtPr>
        <w:alias w:val="是否适用：应收利息本期发生损失准备变动且账面余额显著变动的情况说明[双击切换]"/>
        <w:tag w:val="_GBC_07d71685a64f4800b3e351083fc5c9ae"/>
        <w:id w:val="821540341"/>
        <w:placeholder>
          <w:docPart w:val="GBC22222222222222222222222222222"/>
        </w:placeholder>
      </w:sdtPr>
      <w:sdtContent>
        <w:p w14:paraId="7E32442C"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6E3F86" w14:textId="77777777" w:rsidR="00577D08" w:rsidRDefault="00330FC0">
      <w:pPr>
        <w:pStyle w:val="5"/>
        <w:numPr>
          <w:ilvl w:val="0"/>
          <w:numId w:val="67"/>
        </w:numPr>
        <w:ind w:leftChars="0"/>
        <w:rPr>
          <w:rFonts w:ascii="宋体" w:hAnsi="宋体" w:cs="宋体" w:hint="eastAsia"/>
          <w:kern w:val="0"/>
          <w:szCs w:val="24"/>
        </w:rPr>
      </w:pPr>
      <w:bookmarkStart w:id="358" w:name="_Hlk153375041"/>
      <w:bookmarkEnd w:id="357"/>
      <w:r>
        <w:rPr>
          <w:rFonts w:ascii="宋体" w:hAnsi="宋体" w:cs="宋体" w:hint="eastAsia"/>
          <w:kern w:val="0"/>
          <w:szCs w:val="24"/>
        </w:rPr>
        <w:t>坏账准备的情况</w:t>
      </w:r>
    </w:p>
    <w:sdt>
      <w:sdtPr>
        <w:alias w:val="是否适用：坏账准备情况[双击切换]"/>
        <w:tag w:val="_GBC_faf892fca7fd4a8ebcdef2231ff828bc"/>
        <w:id w:val="-122612453"/>
        <w:placeholder>
          <w:docPart w:val="GBC22222222222222222222222222222"/>
        </w:placeholder>
      </w:sdtPr>
      <w:sdtContent>
        <w:p w14:paraId="4587D51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707A6C9" w14:textId="77777777" w:rsidR="00577D08" w:rsidRDefault="00330FC0">
      <w:r>
        <w:rPr>
          <w:rFonts w:hint="eastAsia"/>
        </w:rPr>
        <w:t>其中本期坏账准备收回或转回金额重要的：</w:t>
      </w:r>
    </w:p>
    <w:sdt>
      <w:sdtPr>
        <w:alias w:val="是否适用：本期坏账准备收回或转回金额重要的[双击切换]"/>
        <w:tag w:val="_GBC_5a2d052a52b74bb7a867cb7ad62574c9"/>
        <w:id w:val="1243837846"/>
        <w:placeholder>
          <w:docPart w:val="GBC22222222222222222222222222222"/>
        </w:placeholder>
      </w:sdtPr>
      <w:sdtContent>
        <w:p w14:paraId="4B961A0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87244EE" w14:textId="77777777" w:rsidR="00577D08" w:rsidRDefault="00330FC0">
      <w:r>
        <w:rPr>
          <w:rFonts w:hint="eastAsia"/>
        </w:rPr>
        <w:t>其他说明：</w:t>
      </w:r>
    </w:p>
    <w:sdt>
      <w:sdtPr>
        <w:alias w:val="坏账准备情况的说明"/>
        <w:tag w:val="_GBC_79d8ee00a1ce479db5cb5285f72aaea4"/>
        <w:id w:val="1981870792"/>
        <w:placeholder>
          <w:docPart w:val="GBC22222222222222222222222222222"/>
        </w:placeholder>
      </w:sdtPr>
      <w:sdtContent>
        <w:p w14:paraId="32CB40FE" w14:textId="77777777" w:rsidR="00577D08" w:rsidRDefault="00330FC0">
          <w:pPr>
            <w:ind w:rightChars="20" w:right="42"/>
          </w:pPr>
          <w:r>
            <w:rPr>
              <w:rFonts w:hint="eastAsia"/>
            </w:rPr>
            <w:t>无</w:t>
          </w:r>
        </w:p>
      </w:sdtContent>
    </w:sdt>
    <w:p w14:paraId="3A8924A5" w14:textId="77777777" w:rsidR="00577D08" w:rsidRDefault="00330FC0">
      <w:pPr>
        <w:pStyle w:val="5"/>
        <w:numPr>
          <w:ilvl w:val="0"/>
          <w:numId w:val="67"/>
        </w:numPr>
        <w:ind w:leftChars="0"/>
        <w:rPr>
          <w:rFonts w:ascii="宋体" w:hAnsi="宋体" w:cs="宋体" w:hint="eastAsia"/>
          <w:kern w:val="0"/>
          <w:szCs w:val="24"/>
        </w:rPr>
      </w:pPr>
      <w:r>
        <w:rPr>
          <w:rFonts w:ascii="宋体" w:hAnsi="宋体" w:cs="宋体"/>
          <w:kern w:val="0"/>
          <w:szCs w:val="24"/>
        </w:rPr>
        <w:t>本期实际核销的应收</w:t>
      </w:r>
      <w:r>
        <w:rPr>
          <w:rFonts w:ascii="宋体" w:hAnsi="宋体" w:cs="宋体" w:hint="eastAsia"/>
          <w:kern w:val="0"/>
          <w:szCs w:val="24"/>
        </w:rPr>
        <w:t>利息</w:t>
      </w:r>
      <w:r>
        <w:rPr>
          <w:rFonts w:ascii="宋体" w:hAnsi="宋体" w:cs="宋体"/>
          <w:kern w:val="0"/>
          <w:szCs w:val="24"/>
        </w:rPr>
        <w:t>情况</w:t>
      </w:r>
    </w:p>
    <w:sdt>
      <w:sdtPr>
        <w:alias w:val="是否适用：实际核销的情况[双击切换]"/>
        <w:tag w:val="_GBC_d4fcf512bafe4a40a1f75d78eee0f333"/>
        <w:id w:val="1607930541"/>
        <w:placeholder>
          <w:docPart w:val="GBC22222222222222222222222222222"/>
        </w:placeholder>
      </w:sdtPr>
      <w:sdtContent>
        <w:p w14:paraId="3A4F95A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2CD4A1" w14:textId="77777777" w:rsidR="00577D08" w:rsidRDefault="00330FC0">
      <w:r>
        <w:rPr>
          <w:rFonts w:hint="eastAsia"/>
        </w:rPr>
        <w:t>其中重要的应收利息核销情况</w:t>
      </w:r>
    </w:p>
    <w:sdt>
      <w:sdtPr>
        <w:rPr>
          <w:rFonts w:hint="eastAsia"/>
        </w:rPr>
        <w:alias w:val="是否适用：重要的核销情况[双击切换]"/>
        <w:tag w:val="_GBC_2cc69a5549814fd6aee1164366f580ec"/>
        <w:id w:val="1133050082"/>
        <w:placeholder>
          <w:docPart w:val="GBC22222222222222222222222222222"/>
        </w:placeholder>
      </w:sdtPr>
      <w:sdtContent>
        <w:p w14:paraId="44E5D75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083F170" w14:textId="77777777" w:rsidR="00577D08" w:rsidRDefault="00330FC0">
      <w:pPr>
        <w:snapToGrid w:val="0"/>
        <w:spacing w:line="240" w:lineRule="atLeast"/>
      </w:pPr>
      <w:r>
        <w:rPr>
          <w:rFonts w:hint="eastAsia"/>
        </w:rPr>
        <w:t>核销说明：</w:t>
      </w:r>
    </w:p>
    <w:sdt>
      <w:sdtPr>
        <w:alias w:val="是否适用：核销说明[双击切换]"/>
        <w:tag w:val="_GBC_d8b86767c1604cb69ee84c043aa1b8dc"/>
        <w:id w:val="2112699503"/>
        <w:placeholder>
          <w:docPart w:val="GBC22222222222222222222222222222"/>
        </w:placeholder>
      </w:sdtPr>
      <w:sdtContent>
        <w:p w14:paraId="20D229AF"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58"/>
    <w:p w14:paraId="3995E9CE" w14:textId="77777777" w:rsidR="00577D08" w:rsidRDefault="00330FC0">
      <w:r>
        <w:rPr>
          <w:rFonts w:hint="eastAsia"/>
        </w:rPr>
        <w:t>其他说明：</w:t>
      </w:r>
    </w:p>
    <w:sdt>
      <w:sdtPr>
        <w:rPr>
          <w:rFonts w:hint="eastAsia"/>
        </w:rPr>
        <w:alias w:val="是否适用：应收利息的说明[双击切换]"/>
        <w:tag w:val="_GBC_353af20a1db84c639b0e03e660c37a48"/>
        <w:id w:val="415822441"/>
        <w:placeholder>
          <w:docPart w:val="GBC22222222222222222222222222222"/>
        </w:placeholder>
      </w:sdtPr>
      <w:sdtContent>
        <w:p w14:paraId="4737456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E6E316C" w14:textId="77777777" w:rsidR="00577D08" w:rsidRDefault="00330FC0">
      <w:pPr>
        <w:pStyle w:val="4"/>
        <w:ind w:left="360" w:hanging="360"/>
        <w:rPr>
          <w:rFonts w:hint="eastAsia"/>
        </w:rPr>
      </w:pPr>
      <w:r>
        <w:rPr>
          <w:rFonts w:hint="eastAsia"/>
        </w:rPr>
        <w:t>应收股利</w:t>
      </w:r>
    </w:p>
    <w:p w14:paraId="546ACE21" w14:textId="77777777" w:rsidR="00577D08" w:rsidRDefault="00330FC0">
      <w:pPr>
        <w:pStyle w:val="5"/>
        <w:numPr>
          <w:ilvl w:val="0"/>
          <w:numId w:val="68"/>
        </w:numPr>
        <w:ind w:leftChars="0"/>
      </w:pPr>
      <w:r>
        <w:rPr>
          <w:rFonts w:hint="eastAsia"/>
        </w:rPr>
        <w:t>应收股利</w:t>
      </w:r>
    </w:p>
    <w:sdt>
      <w:sdtPr>
        <w:alias w:val="是否适用：应收股利[双击切换]"/>
        <w:tag w:val="_GBC_c0f7b0360a644690b0472107042df17a"/>
        <w:id w:val="-161165596"/>
        <w:placeholder>
          <w:docPart w:val="GBC22222222222222222222222222222"/>
        </w:placeholder>
      </w:sdtPr>
      <w:sdtContent>
        <w:p w14:paraId="2072B64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BC7D061" w14:textId="77777777" w:rsidR="00577D08" w:rsidRDefault="00330FC0">
      <w:pPr>
        <w:pStyle w:val="5"/>
        <w:numPr>
          <w:ilvl w:val="0"/>
          <w:numId w:val="68"/>
        </w:numPr>
        <w:ind w:leftChars="0"/>
      </w:pPr>
      <w:r>
        <w:rPr>
          <w:rFonts w:hint="eastAsia"/>
        </w:rPr>
        <w:t>重要的账龄超过</w:t>
      </w:r>
      <w:r>
        <w:rPr>
          <w:rFonts w:hint="eastAsia"/>
        </w:rPr>
        <w:t>1</w:t>
      </w:r>
      <w:r>
        <w:rPr>
          <w:rFonts w:hint="eastAsia"/>
        </w:rPr>
        <w:t>年的应收股利</w:t>
      </w:r>
    </w:p>
    <w:p w14:paraId="6B920C7A" w14:textId="77777777" w:rsidR="00577D08" w:rsidRDefault="00000000">
      <w:sdt>
        <w:sdtPr>
          <w:rPr>
            <w:rFonts w:hint="eastAsia"/>
          </w:rPr>
          <w:alias w:val="是否适用：重要的账龄超过1年的应收股利[双击切换]"/>
          <w:tag w:val="_GBC_d46c4e6d2f2e4e20b430a619bde9abe8"/>
          <w:id w:val="-686905894"/>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5CF58C3F" w14:textId="77777777" w:rsidR="00577D08" w:rsidRDefault="00330FC0">
      <w:pPr>
        <w:pStyle w:val="5"/>
        <w:numPr>
          <w:ilvl w:val="0"/>
          <w:numId w:val="68"/>
        </w:numPr>
        <w:ind w:leftChars="0"/>
        <w:rPr>
          <w:rFonts w:ascii="宋体" w:hAnsi="宋体" w:cs="宋体" w:hint="eastAsia"/>
          <w:kern w:val="0"/>
          <w:szCs w:val="24"/>
        </w:rPr>
      </w:pPr>
      <w:bookmarkStart w:id="359" w:name="_Hlk153377225"/>
      <w:r>
        <w:rPr>
          <w:rFonts w:ascii="宋体" w:hAnsi="宋体" w:cs="宋体" w:hint="eastAsia"/>
          <w:kern w:val="0"/>
          <w:szCs w:val="24"/>
        </w:rPr>
        <w:t>按</w:t>
      </w:r>
      <w:r>
        <w:rPr>
          <w:rFonts w:ascii="宋体" w:hAnsi="宋体" w:cs="宋体"/>
          <w:kern w:val="0"/>
          <w:szCs w:val="24"/>
        </w:rPr>
        <w:t>坏账计提方法分类披露</w:t>
      </w:r>
    </w:p>
    <w:sdt>
      <w:sdtPr>
        <w:alias w:val="是否适用：按坏账计提方法分类披露[双击切换]"/>
        <w:tag w:val="_GBC_ad0add93fbe54bc5984d3fdcd19c4070"/>
        <w:id w:val="2007009660"/>
        <w:placeholder>
          <w:docPart w:val="GBC22222222222222222222222222222"/>
        </w:placeholder>
      </w:sdtPr>
      <w:sdtContent>
        <w:p w14:paraId="5312245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A088361" w14:textId="77777777" w:rsidR="00577D08" w:rsidRDefault="00330FC0">
      <w:r>
        <w:rPr>
          <w:rFonts w:hint="eastAsia"/>
        </w:rPr>
        <w:t>按单项计提坏账准备：</w:t>
      </w:r>
    </w:p>
    <w:sdt>
      <w:sdtPr>
        <w:alias w:val="是否适用：按单项计提坏账准备的详细情况[双击切换]"/>
        <w:tag w:val="_GBC_0715807534664009b6e06e12b5244cb0"/>
        <w:id w:val="-1983848696"/>
        <w:placeholder>
          <w:docPart w:val="GBC22222222222222222222222222222"/>
        </w:placeholder>
      </w:sdtPr>
      <w:sdtContent>
        <w:p w14:paraId="33A50A6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8D46D1" w14:textId="77777777" w:rsidR="00577D08" w:rsidRDefault="00330FC0">
      <w:r>
        <w:rPr>
          <w:rFonts w:hint="eastAsia"/>
        </w:rPr>
        <w:t>按单项计提坏账准备的说明：</w:t>
      </w:r>
    </w:p>
    <w:sdt>
      <w:sdtPr>
        <w:alias w:val="是否适用：按单项计提坏账准备的说明[双击切换]"/>
        <w:tag w:val="_GBC_22fd3e53fab548e0b8db7ad77d176da5"/>
        <w:id w:val="-580214876"/>
        <w:placeholder>
          <w:docPart w:val="GBC22222222222222222222222222222"/>
        </w:placeholder>
      </w:sdtPr>
      <w:sdtContent>
        <w:p w14:paraId="0FE2B69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7847417" w14:textId="77777777" w:rsidR="00577D08" w:rsidRDefault="00330FC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3fb2695da2d2471f82cd62f8736c521e"/>
        <w:id w:val="-289126206"/>
        <w:placeholder>
          <w:docPart w:val="GBC22222222222222222222222222222"/>
        </w:placeholder>
      </w:sdtPr>
      <w:sdtContent>
        <w:p w14:paraId="7F663BAB" w14:textId="77777777" w:rsidR="00577D08" w:rsidRDefault="00330FC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100BFA7F" w14:textId="77777777" w:rsidR="00577D08" w:rsidRDefault="00330FC0">
      <w:pPr>
        <w:pStyle w:val="5"/>
        <w:numPr>
          <w:ilvl w:val="0"/>
          <w:numId w:val="68"/>
        </w:numPr>
        <w:ind w:leftChars="0"/>
      </w:pPr>
      <w:bookmarkStart w:id="360" w:name="_Hlk533421146"/>
      <w:bookmarkEnd w:id="359"/>
      <w:r>
        <w:rPr>
          <w:rFonts w:hint="eastAsia"/>
        </w:rPr>
        <w:t>按预期信用损失一般模型计提坏账准备</w:t>
      </w:r>
    </w:p>
    <w:sdt>
      <w:sdtPr>
        <w:alias w:val="是否适用：应收股利坏账准备调节表[双击切换]"/>
        <w:tag w:val="_GBC_847cf15503744e02b8ac7395c17d2da6"/>
        <w:id w:val="2107312867"/>
        <w:placeholder>
          <w:docPart w:val="GBC22222222222222222222222222222"/>
        </w:placeholder>
      </w:sdtPr>
      <w:sdtContent>
        <w:p w14:paraId="369598D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415BE4F"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应收股利各阶段划分依据和坏账准备计提比例"/>
        <w:tag w:val="_GBC_0e68af3552e84111bee1ae1542bcf907"/>
        <w:id w:val="1819918403"/>
        <w:placeholder>
          <w:docPart w:val="GBC22222222222222222222222222222"/>
        </w:placeholder>
      </w:sdtPr>
      <w:sdtContent>
        <w:p w14:paraId="7132B1BD" w14:textId="77777777" w:rsidR="00577D08" w:rsidRDefault="00330FC0">
          <w:pPr>
            <w:rPr>
              <w:bCs/>
              <w:szCs w:val="22"/>
            </w:rPr>
          </w:pPr>
          <w:r>
            <w:rPr>
              <w:rFonts w:hint="eastAsia"/>
              <w:bCs/>
              <w:szCs w:val="22"/>
            </w:rPr>
            <w:t>无</w:t>
          </w:r>
        </w:p>
      </w:sdtContent>
    </w:sdt>
    <w:p w14:paraId="40D9A615" w14:textId="77777777" w:rsidR="00577D08" w:rsidRDefault="00330FC0">
      <w:pPr>
        <w:pStyle w:val="affc"/>
      </w:pPr>
      <w:r>
        <w:rPr>
          <w:rFonts w:hint="eastAsia"/>
        </w:rPr>
        <w:t>对本期发生损失准备变动的应收股利账面余额显著变动的情况说明：</w:t>
      </w:r>
    </w:p>
    <w:sdt>
      <w:sdtPr>
        <w:alias w:val="是否适用：应收股利本期发生损失准备变动且账面余额显著变动的情况说明[双击切换]"/>
        <w:tag w:val="_GBC_f431acf85fd94f1eb2cd4d70b0f69b2c"/>
        <w:id w:val="939104543"/>
        <w:placeholder>
          <w:docPart w:val="GBC22222222222222222222222222222"/>
        </w:placeholder>
      </w:sdtPr>
      <w:sdtContent>
        <w:p w14:paraId="78C5485F"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3764F0F" w14:textId="77777777" w:rsidR="00577D08" w:rsidRDefault="00330FC0">
      <w:pPr>
        <w:pStyle w:val="5"/>
        <w:numPr>
          <w:ilvl w:val="0"/>
          <w:numId w:val="68"/>
        </w:numPr>
        <w:ind w:leftChars="0"/>
        <w:rPr>
          <w:rFonts w:ascii="宋体" w:hAnsi="宋体" w:cs="宋体" w:hint="eastAsia"/>
          <w:kern w:val="0"/>
          <w:szCs w:val="24"/>
        </w:rPr>
      </w:pPr>
      <w:bookmarkStart w:id="361" w:name="_Hlk153377452"/>
      <w:bookmarkEnd w:id="360"/>
      <w:r>
        <w:rPr>
          <w:rFonts w:ascii="宋体" w:hAnsi="宋体" w:cs="宋体" w:hint="eastAsia"/>
          <w:kern w:val="0"/>
          <w:szCs w:val="24"/>
        </w:rPr>
        <w:t>坏账准备的情况</w:t>
      </w:r>
    </w:p>
    <w:sdt>
      <w:sdtPr>
        <w:alias w:val="是否适用：坏账准备情况[双击切换]"/>
        <w:tag w:val="_GBC_3425c1c233b1473ca1aaf53c81088091"/>
        <w:id w:val="1575005595"/>
        <w:placeholder>
          <w:docPart w:val="GBC22222222222222222222222222222"/>
        </w:placeholder>
      </w:sdtPr>
      <w:sdtContent>
        <w:p w14:paraId="2CC3D7A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035F0E5" w14:textId="77777777" w:rsidR="00577D08" w:rsidRDefault="00330FC0">
      <w:r>
        <w:rPr>
          <w:rFonts w:hint="eastAsia"/>
        </w:rPr>
        <w:t>其中本期坏账准备收回或转回金额重要的：</w:t>
      </w:r>
    </w:p>
    <w:sdt>
      <w:sdtPr>
        <w:alias w:val="是否适用：本期坏账准备收回或转回金额重要的[双击切换]"/>
        <w:tag w:val="_GBC_d8ca1b67740e4a2e8d7777b8dee9c902"/>
        <w:id w:val="2026053036"/>
        <w:placeholder>
          <w:docPart w:val="GBC22222222222222222222222222222"/>
        </w:placeholder>
      </w:sdtPr>
      <w:sdtContent>
        <w:p w14:paraId="6067745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BE7A7F0" w14:textId="77777777" w:rsidR="00577D08" w:rsidRDefault="00330FC0">
      <w:r>
        <w:rPr>
          <w:rFonts w:hint="eastAsia"/>
        </w:rPr>
        <w:t>其他说明：</w:t>
      </w:r>
    </w:p>
    <w:sdt>
      <w:sdtPr>
        <w:alias w:val="坏账准备情况的说明"/>
        <w:tag w:val="_GBC_104cb6ff4d2044ffaa8bbdd64dd76905"/>
        <w:id w:val="-1846084469"/>
        <w:placeholder>
          <w:docPart w:val="GBC22222222222222222222222222222"/>
        </w:placeholder>
      </w:sdtPr>
      <w:sdtContent>
        <w:p w14:paraId="01229D13" w14:textId="77777777" w:rsidR="00577D08" w:rsidRDefault="00330FC0">
          <w:pPr>
            <w:ind w:rightChars="20" w:right="42"/>
          </w:pPr>
          <w:r>
            <w:rPr>
              <w:rFonts w:hint="eastAsia"/>
            </w:rPr>
            <w:t>无</w:t>
          </w:r>
        </w:p>
      </w:sdtContent>
    </w:sdt>
    <w:p w14:paraId="27F0912F" w14:textId="77777777" w:rsidR="00577D08" w:rsidRDefault="00330FC0">
      <w:pPr>
        <w:pStyle w:val="5"/>
        <w:numPr>
          <w:ilvl w:val="0"/>
          <w:numId w:val="68"/>
        </w:numPr>
        <w:ind w:leftChars="0"/>
        <w:rPr>
          <w:rFonts w:ascii="宋体" w:hAnsi="宋体" w:cs="宋体" w:hint="eastAsia"/>
          <w:kern w:val="0"/>
          <w:szCs w:val="24"/>
        </w:rPr>
      </w:pPr>
      <w:r>
        <w:rPr>
          <w:rFonts w:ascii="宋体" w:hAnsi="宋体" w:cs="宋体"/>
          <w:kern w:val="0"/>
          <w:szCs w:val="24"/>
        </w:rPr>
        <w:t>本期实际核销的应收</w:t>
      </w:r>
      <w:r>
        <w:rPr>
          <w:rFonts w:ascii="宋体" w:hAnsi="宋体" w:cs="宋体" w:hint="eastAsia"/>
          <w:kern w:val="0"/>
          <w:szCs w:val="24"/>
        </w:rPr>
        <w:t>股利</w:t>
      </w:r>
      <w:r>
        <w:rPr>
          <w:rFonts w:ascii="宋体" w:hAnsi="宋体" w:cs="宋体"/>
          <w:kern w:val="0"/>
          <w:szCs w:val="24"/>
        </w:rPr>
        <w:t>情况</w:t>
      </w:r>
    </w:p>
    <w:sdt>
      <w:sdtPr>
        <w:alias w:val="是否适用：实际核销的情况[双击切换]"/>
        <w:tag w:val="_GBC_affd5e7be1cd4edaac5e7416308656eb"/>
        <w:id w:val="-1047529195"/>
        <w:placeholder>
          <w:docPart w:val="GBC22222222222222222222222222222"/>
        </w:placeholder>
      </w:sdtPr>
      <w:sdtContent>
        <w:p w14:paraId="52FE832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FA54A9" w14:textId="77777777" w:rsidR="00577D08" w:rsidRDefault="00330FC0">
      <w:r>
        <w:rPr>
          <w:rFonts w:hint="eastAsia"/>
        </w:rPr>
        <w:t>其中重要的应收股利核销情况</w:t>
      </w:r>
    </w:p>
    <w:sdt>
      <w:sdtPr>
        <w:rPr>
          <w:rFonts w:hint="eastAsia"/>
        </w:rPr>
        <w:alias w:val="是否适用：重要的核销情况[双击切换]"/>
        <w:tag w:val="_GBC_a09dafd42ae74d3fae2308963d62171e"/>
        <w:id w:val="-57174543"/>
        <w:placeholder>
          <w:docPart w:val="GBC22222222222222222222222222222"/>
        </w:placeholder>
      </w:sdtPr>
      <w:sdtContent>
        <w:p w14:paraId="068E9F5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8831B61" w14:textId="77777777" w:rsidR="00577D08" w:rsidRDefault="00330FC0">
      <w:pPr>
        <w:snapToGrid w:val="0"/>
        <w:spacing w:line="240" w:lineRule="atLeast"/>
      </w:pPr>
      <w:r>
        <w:rPr>
          <w:rFonts w:hint="eastAsia"/>
        </w:rPr>
        <w:t>核销说明：</w:t>
      </w:r>
    </w:p>
    <w:sdt>
      <w:sdtPr>
        <w:alias w:val="是否适用：核销说明[双击切换]"/>
        <w:tag w:val="_GBC_fd7a575bc84240be8d95e73a6c70d53d"/>
        <w:id w:val="28080182"/>
        <w:placeholder>
          <w:docPart w:val="GBC22222222222222222222222222222"/>
        </w:placeholder>
      </w:sdtPr>
      <w:sdtContent>
        <w:p w14:paraId="48BE251D"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61"/>
    <w:p w14:paraId="41A2B150" w14:textId="77777777" w:rsidR="00577D08" w:rsidRDefault="00330FC0">
      <w:r>
        <w:rPr>
          <w:rFonts w:hint="eastAsia"/>
        </w:rPr>
        <w:t>其他说明：</w:t>
      </w:r>
    </w:p>
    <w:p w14:paraId="1979137F" w14:textId="77777777" w:rsidR="00577D08" w:rsidRDefault="00000000">
      <w:sdt>
        <w:sdtPr>
          <w:alias w:val="是否适用：应收股利的说明[双击切换]"/>
          <w:tag w:val="_GBC_22314d2cdf794d5f90af92f13665da22"/>
          <w:id w:val="-1523780348"/>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54EDA2E9" w14:textId="77777777" w:rsidR="00577D08" w:rsidRDefault="00330FC0">
      <w:pPr>
        <w:pStyle w:val="4"/>
        <w:ind w:left="360" w:hanging="360"/>
        <w:rPr>
          <w:rFonts w:hint="eastAsia"/>
        </w:rPr>
      </w:pPr>
      <w:r>
        <w:rPr>
          <w:rFonts w:hint="eastAsia"/>
        </w:rPr>
        <w:t>其他应收款</w:t>
      </w:r>
    </w:p>
    <w:p w14:paraId="3B8FB231" w14:textId="77777777" w:rsidR="00577D08" w:rsidRDefault="00330FC0">
      <w:pPr>
        <w:pStyle w:val="5"/>
        <w:numPr>
          <w:ilvl w:val="0"/>
          <w:numId w:val="69"/>
        </w:numPr>
        <w:ind w:leftChars="0"/>
      </w:pPr>
      <w:bookmarkStart w:id="362" w:name="_Hlk533421204"/>
      <w:r>
        <w:rPr>
          <w:rFonts w:hint="eastAsia"/>
        </w:rPr>
        <w:t>按账龄披露</w:t>
      </w:r>
      <w:bookmarkEnd w:id="362"/>
    </w:p>
    <w:sdt>
      <w:sdtPr>
        <w:rPr>
          <w:rFonts w:hint="eastAsia"/>
        </w:rPr>
        <w:alias w:val="是否适用：组合中，按账龄分析法计提坏账准备的其他应收账款[双击切换]"/>
        <w:tag w:val="_GBC_b46a4e720a884c40b402c5b30a4f4432"/>
        <w:id w:val="314079259"/>
        <w:placeholder>
          <w:docPart w:val="GBC22222222222222222222222222222"/>
        </w:placeholder>
      </w:sdtPr>
      <w:sdtContent>
        <w:p w14:paraId="12B3CAB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674517B" w14:textId="4883B3D0" w:rsidR="00577D08" w:rsidRDefault="00330FC0">
      <w:pPr>
        <w:jc w:val="right"/>
      </w:pPr>
      <w:r>
        <w:rPr>
          <w:rFonts w:hint="eastAsia"/>
        </w:rPr>
        <w:t>单位：</w:t>
      </w:r>
      <w:sdt>
        <w:sdtPr>
          <w:rPr>
            <w:rFonts w:hint="eastAsia"/>
          </w:rPr>
          <w:alias w:val="单位：财务附注：单项金额不重大但按信用风险特征组合后该组合的风险较大的其他应收账款"/>
          <w:tag w:val="_GBC_6ca37718de0645da8a1de40ee1bb1597"/>
          <w:id w:val="-1763574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单项金额不重大但按信用风险特征组合后该组合的风险较大的其他应收账款"/>
          <w:tag w:val="_GBC_eccd3e1ac8d04ff882b9e0189e7dd629"/>
          <w:id w:val="16832477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072"/>
        <w:gridCol w:w="2993"/>
        <w:gridCol w:w="2993"/>
      </w:tblGrid>
      <w:tr w:rsidR="00577D08" w14:paraId="465BAAFA" w14:textId="77777777">
        <w:trPr>
          <w:cantSplit/>
        </w:trPr>
        <w:sdt>
          <w:sdtPr>
            <w:tag w:val="_PLD_3693c274d2774e098d4e6f0b6ce787c4"/>
            <w:id w:val="-1799285823"/>
          </w:sdtPr>
          <w:sdtContent>
            <w:tc>
              <w:tcPr>
                <w:tcW w:w="3072" w:type="dxa"/>
                <w:tcBorders>
                  <w:top w:val="single" w:sz="4" w:space="0" w:color="auto"/>
                  <w:left w:val="single" w:sz="4" w:space="0" w:color="auto"/>
                  <w:bottom w:val="single" w:sz="4" w:space="0" w:color="auto"/>
                  <w:right w:val="single" w:sz="4" w:space="0" w:color="auto"/>
                </w:tcBorders>
                <w:vAlign w:val="center"/>
              </w:tcPr>
              <w:p w14:paraId="0766995A" w14:textId="77777777" w:rsidR="00577D08" w:rsidRDefault="00330FC0">
                <w:pPr>
                  <w:jc w:val="center"/>
                </w:pPr>
                <w:r>
                  <w:rPr>
                    <w:rFonts w:hint="eastAsia"/>
                  </w:rPr>
                  <w:t>账龄</w:t>
                </w:r>
              </w:p>
            </w:tc>
          </w:sdtContent>
        </w:sdt>
        <w:sdt>
          <w:sdtPr>
            <w:tag w:val="_PLD_592d3cc76c64401da21e664b374ad045"/>
            <w:id w:val="638843568"/>
          </w:sdtPr>
          <w:sdtContent>
            <w:tc>
              <w:tcPr>
                <w:tcW w:w="2993" w:type="dxa"/>
                <w:tcBorders>
                  <w:top w:val="single" w:sz="4" w:space="0" w:color="auto"/>
                  <w:left w:val="single" w:sz="4" w:space="0" w:color="auto"/>
                  <w:bottom w:val="single" w:sz="4" w:space="0" w:color="auto"/>
                  <w:right w:val="single" w:sz="4" w:space="0" w:color="auto"/>
                </w:tcBorders>
                <w:vAlign w:val="center"/>
              </w:tcPr>
              <w:p w14:paraId="0615D7FB" w14:textId="77777777" w:rsidR="00577D08" w:rsidRDefault="00330FC0">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9bcf94b318874d63924c35d852b5b3c8"/>
              <w:id w:val="-1914391507"/>
            </w:sdtPr>
            <w:sdtContent>
              <w:p w14:paraId="0F0B7A33" w14:textId="77777777" w:rsidR="00577D08" w:rsidRDefault="00330FC0">
                <w:pPr>
                  <w:jc w:val="center"/>
                </w:pPr>
                <w:r>
                  <w:rPr>
                    <w:rFonts w:hint="eastAsia"/>
                  </w:rPr>
                  <w:t>期初账面余额</w:t>
                </w:r>
              </w:p>
            </w:sdtContent>
          </w:sdt>
        </w:tc>
      </w:tr>
      <w:tr w:rsidR="00577D08" w14:paraId="215B7050"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5BB185B" w14:textId="77777777" w:rsidR="00577D08" w:rsidRDefault="00330FC0">
            <w:r>
              <w:rPr>
                <w:rFonts w:hint="eastAsia"/>
              </w:rPr>
              <w:t>1</w:t>
            </w:r>
            <w:r>
              <w:rPr>
                <w:rFonts w:hint="eastAsia"/>
              </w:rPr>
              <w:t>年以内（含</w:t>
            </w:r>
            <w:r>
              <w:rPr>
                <w:rFonts w:hint="eastAsia"/>
              </w:rPr>
              <w:t>1</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35A2253D" w14:textId="77777777" w:rsidR="00577D08" w:rsidRDefault="00330FC0">
            <w:pPr>
              <w:jc w:val="right"/>
            </w:pPr>
            <w:r>
              <w:t>15,174,934.15</w:t>
            </w:r>
          </w:p>
        </w:tc>
        <w:tc>
          <w:tcPr>
            <w:tcW w:w="2993" w:type="dxa"/>
            <w:tcBorders>
              <w:top w:val="single" w:sz="4" w:space="0" w:color="auto"/>
              <w:left w:val="single" w:sz="4" w:space="0" w:color="auto"/>
              <w:bottom w:val="single" w:sz="4" w:space="0" w:color="auto"/>
              <w:right w:val="single" w:sz="4" w:space="0" w:color="auto"/>
            </w:tcBorders>
          </w:tcPr>
          <w:p w14:paraId="287B6842" w14:textId="77777777" w:rsidR="00577D08" w:rsidRDefault="00330FC0">
            <w:pPr>
              <w:jc w:val="right"/>
            </w:pPr>
            <w:r>
              <w:t>18,538,866.09</w:t>
            </w:r>
          </w:p>
        </w:tc>
      </w:tr>
      <w:tr w:rsidR="00577D08" w14:paraId="7B32326C"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BF079B7" w14:textId="77777777" w:rsidR="00577D08" w:rsidRDefault="00330FC0">
            <w:r>
              <w:rPr>
                <w:rFonts w:hint="eastAsia"/>
              </w:rPr>
              <w:t>1</w:t>
            </w:r>
            <w:r>
              <w:rPr>
                <w:rFonts w:hint="eastAsia"/>
              </w:rPr>
              <w:t>至</w:t>
            </w:r>
            <w:r>
              <w:rPr>
                <w:rFonts w:hint="eastAsia"/>
              </w:rPr>
              <w:t>2</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637A3459" w14:textId="77777777" w:rsidR="00577D08" w:rsidRDefault="00330FC0">
            <w:pPr>
              <w:jc w:val="right"/>
            </w:pPr>
            <w:r>
              <w:t>2,156,082.22</w:t>
            </w:r>
          </w:p>
        </w:tc>
        <w:tc>
          <w:tcPr>
            <w:tcW w:w="2993" w:type="dxa"/>
            <w:tcBorders>
              <w:top w:val="single" w:sz="4" w:space="0" w:color="auto"/>
              <w:left w:val="single" w:sz="4" w:space="0" w:color="auto"/>
              <w:bottom w:val="single" w:sz="4" w:space="0" w:color="auto"/>
              <w:right w:val="single" w:sz="4" w:space="0" w:color="auto"/>
            </w:tcBorders>
          </w:tcPr>
          <w:p w14:paraId="6237367D" w14:textId="77777777" w:rsidR="00577D08" w:rsidRDefault="00330FC0">
            <w:pPr>
              <w:jc w:val="right"/>
            </w:pPr>
            <w:r>
              <w:t>2,218,681.99</w:t>
            </w:r>
          </w:p>
        </w:tc>
      </w:tr>
      <w:tr w:rsidR="00577D08" w14:paraId="144C0EC8"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FC55158" w14:textId="77777777" w:rsidR="00577D08" w:rsidRDefault="00330FC0">
            <w:r>
              <w:rPr>
                <w:rFonts w:hint="eastAsia"/>
              </w:rPr>
              <w:t>2</w:t>
            </w:r>
            <w:r>
              <w:rPr>
                <w:rFonts w:hint="eastAsia"/>
              </w:rPr>
              <w:t>至</w:t>
            </w:r>
            <w:r>
              <w:rPr>
                <w:rFonts w:hint="eastAsia"/>
              </w:rPr>
              <w:t>3</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5FCE7D66" w14:textId="77777777" w:rsidR="00577D08" w:rsidRDefault="00330FC0">
            <w:pPr>
              <w:jc w:val="right"/>
            </w:pPr>
            <w:r>
              <w:t>1,693,864.30</w:t>
            </w:r>
          </w:p>
        </w:tc>
        <w:tc>
          <w:tcPr>
            <w:tcW w:w="2993" w:type="dxa"/>
            <w:tcBorders>
              <w:top w:val="single" w:sz="4" w:space="0" w:color="auto"/>
              <w:left w:val="single" w:sz="4" w:space="0" w:color="auto"/>
              <w:bottom w:val="single" w:sz="4" w:space="0" w:color="auto"/>
              <w:right w:val="single" w:sz="4" w:space="0" w:color="auto"/>
            </w:tcBorders>
          </w:tcPr>
          <w:p w14:paraId="0FADA97E" w14:textId="77777777" w:rsidR="00577D08" w:rsidRDefault="00330FC0">
            <w:pPr>
              <w:jc w:val="right"/>
            </w:pPr>
            <w:r>
              <w:t>129,473,329.51</w:t>
            </w:r>
          </w:p>
        </w:tc>
      </w:tr>
      <w:tr w:rsidR="00577D08" w14:paraId="4431E00D"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4DFD77D" w14:textId="77777777" w:rsidR="00577D08" w:rsidRDefault="00330FC0">
            <w:r>
              <w:rPr>
                <w:rFonts w:hint="eastAsia"/>
              </w:rPr>
              <w:t>3</w:t>
            </w:r>
            <w:r>
              <w:rPr>
                <w:rFonts w:hint="eastAsia"/>
              </w:rPr>
              <w:t>至</w:t>
            </w:r>
            <w:r>
              <w:rPr>
                <w:rFonts w:hint="eastAsia"/>
              </w:rPr>
              <w:t>4</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5A5A9F2A" w14:textId="77777777" w:rsidR="00577D08" w:rsidRDefault="00330FC0">
            <w:pPr>
              <w:jc w:val="right"/>
            </w:pPr>
            <w:r>
              <w:t>129,297,747.98</w:t>
            </w:r>
          </w:p>
        </w:tc>
        <w:tc>
          <w:tcPr>
            <w:tcW w:w="2993" w:type="dxa"/>
            <w:tcBorders>
              <w:top w:val="single" w:sz="4" w:space="0" w:color="auto"/>
              <w:left w:val="single" w:sz="4" w:space="0" w:color="auto"/>
              <w:bottom w:val="single" w:sz="4" w:space="0" w:color="auto"/>
              <w:right w:val="single" w:sz="4" w:space="0" w:color="auto"/>
            </w:tcBorders>
          </w:tcPr>
          <w:p w14:paraId="6198F668" w14:textId="77777777" w:rsidR="00577D08" w:rsidRDefault="00330FC0">
            <w:pPr>
              <w:jc w:val="right"/>
            </w:pPr>
            <w:r>
              <w:t>427,071.70</w:t>
            </w:r>
          </w:p>
        </w:tc>
      </w:tr>
      <w:tr w:rsidR="00577D08" w14:paraId="20A71B48"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86D3E9F" w14:textId="77777777" w:rsidR="00577D08" w:rsidRDefault="00330FC0">
            <w:r>
              <w:rPr>
                <w:rFonts w:hint="eastAsia"/>
              </w:rPr>
              <w:t>4</w:t>
            </w:r>
            <w:r>
              <w:rPr>
                <w:rFonts w:hint="eastAsia"/>
              </w:rPr>
              <w:t>至</w:t>
            </w:r>
            <w:r>
              <w:rPr>
                <w:rFonts w:hint="eastAsia"/>
              </w:rPr>
              <w:t>5</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220822D2" w14:textId="77777777" w:rsidR="00577D08" w:rsidRDefault="00330FC0">
            <w:pPr>
              <w:jc w:val="right"/>
            </w:pPr>
            <w:r>
              <w:t>350,204.62</w:t>
            </w:r>
          </w:p>
        </w:tc>
        <w:tc>
          <w:tcPr>
            <w:tcW w:w="2993" w:type="dxa"/>
            <w:tcBorders>
              <w:top w:val="single" w:sz="4" w:space="0" w:color="auto"/>
              <w:left w:val="single" w:sz="4" w:space="0" w:color="auto"/>
              <w:bottom w:val="single" w:sz="4" w:space="0" w:color="auto"/>
              <w:right w:val="single" w:sz="4" w:space="0" w:color="auto"/>
            </w:tcBorders>
          </w:tcPr>
          <w:p w14:paraId="2D2C8996" w14:textId="77777777" w:rsidR="00577D08" w:rsidRDefault="00330FC0">
            <w:pPr>
              <w:jc w:val="right"/>
            </w:pPr>
            <w:r>
              <w:t>617,430.92</w:t>
            </w:r>
          </w:p>
        </w:tc>
      </w:tr>
      <w:tr w:rsidR="00577D08" w14:paraId="7D670FAF"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5CE6030" w14:textId="77777777" w:rsidR="00577D08" w:rsidRDefault="00330FC0">
            <w:r>
              <w:rPr>
                <w:rFonts w:hint="eastAsia"/>
              </w:rPr>
              <w:t>5</w:t>
            </w:r>
            <w:r>
              <w:rPr>
                <w:rFonts w:hint="eastAsia"/>
              </w:rPr>
              <w:t>年以上</w:t>
            </w:r>
          </w:p>
        </w:tc>
        <w:tc>
          <w:tcPr>
            <w:tcW w:w="2993" w:type="dxa"/>
            <w:tcBorders>
              <w:top w:val="single" w:sz="4" w:space="0" w:color="auto"/>
              <w:left w:val="single" w:sz="4" w:space="0" w:color="auto"/>
              <w:bottom w:val="single" w:sz="4" w:space="0" w:color="auto"/>
              <w:right w:val="single" w:sz="4" w:space="0" w:color="auto"/>
            </w:tcBorders>
          </w:tcPr>
          <w:p w14:paraId="194CF2C6" w14:textId="77777777" w:rsidR="00577D08" w:rsidRDefault="00330FC0">
            <w:pPr>
              <w:jc w:val="right"/>
            </w:pPr>
            <w:r>
              <w:t>1,092,265.49</w:t>
            </w:r>
          </w:p>
        </w:tc>
        <w:tc>
          <w:tcPr>
            <w:tcW w:w="2993" w:type="dxa"/>
            <w:tcBorders>
              <w:top w:val="single" w:sz="4" w:space="0" w:color="auto"/>
              <w:left w:val="single" w:sz="4" w:space="0" w:color="auto"/>
              <w:bottom w:val="single" w:sz="4" w:space="0" w:color="auto"/>
              <w:right w:val="single" w:sz="4" w:space="0" w:color="auto"/>
            </w:tcBorders>
          </w:tcPr>
          <w:p w14:paraId="380A4788" w14:textId="77777777" w:rsidR="00577D08" w:rsidRDefault="00330FC0">
            <w:pPr>
              <w:jc w:val="right"/>
            </w:pPr>
            <w:r>
              <w:t>898,640.88</w:t>
            </w:r>
          </w:p>
        </w:tc>
      </w:tr>
      <w:tr w:rsidR="00577D08" w14:paraId="0780A180"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5D1A043" w14:textId="77777777" w:rsidR="00577D08" w:rsidRDefault="00330FC0">
            <w:pPr>
              <w:jc w:val="center"/>
            </w:pPr>
            <w:r>
              <w:rPr>
                <w:rFonts w:hint="eastAsia"/>
              </w:rPr>
              <w:t>合计</w:t>
            </w:r>
          </w:p>
        </w:tc>
        <w:tc>
          <w:tcPr>
            <w:tcW w:w="2993" w:type="dxa"/>
            <w:tcBorders>
              <w:top w:val="single" w:sz="4" w:space="0" w:color="auto"/>
              <w:left w:val="single" w:sz="4" w:space="0" w:color="auto"/>
              <w:bottom w:val="single" w:sz="4" w:space="0" w:color="auto"/>
              <w:right w:val="single" w:sz="4" w:space="0" w:color="auto"/>
            </w:tcBorders>
          </w:tcPr>
          <w:p w14:paraId="05FE1591" w14:textId="77777777" w:rsidR="00577D08" w:rsidRDefault="00330FC0">
            <w:pPr>
              <w:jc w:val="right"/>
            </w:pPr>
            <w:r>
              <w:t>149,765,098.76</w:t>
            </w:r>
          </w:p>
        </w:tc>
        <w:tc>
          <w:tcPr>
            <w:tcW w:w="2993" w:type="dxa"/>
            <w:tcBorders>
              <w:top w:val="single" w:sz="4" w:space="0" w:color="auto"/>
              <w:left w:val="single" w:sz="4" w:space="0" w:color="auto"/>
              <w:bottom w:val="single" w:sz="4" w:space="0" w:color="auto"/>
              <w:right w:val="single" w:sz="4" w:space="0" w:color="auto"/>
            </w:tcBorders>
          </w:tcPr>
          <w:p w14:paraId="7F8E0C73" w14:textId="77777777" w:rsidR="00577D08" w:rsidRDefault="00330FC0">
            <w:pPr>
              <w:jc w:val="right"/>
            </w:pPr>
            <w:r>
              <w:t>152,174,021.09</w:t>
            </w:r>
          </w:p>
        </w:tc>
      </w:tr>
    </w:tbl>
    <w:p w14:paraId="6CC05994" w14:textId="77777777" w:rsidR="00577D08" w:rsidRDefault="00330FC0">
      <w:pPr>
        <w:pStyle w:val="5"/>
        <w:numPr>
          <w:ilvl w:val="0"/>
          <w:numId w:val="69"/>
        </w:numPr>
        <w:ind w:leftChars="0"/>
      </w:pPr>
      <w:r>
        <w:rPr>
          <w:rFonts w:hint="eastAsia"/>
        </w:rPr>
        <w:t>按款项性质分类情况</w:t>
      </w:r>
    </w:p>
    <w:p w14:paraId="2A3977CE" w14:textId="77777777" w:rsidR="00577D08" w:rsidRDefault="00000000">
      <w:sdt>
        <w:sdtPr>
          <w:alias w:val="是否适用：其他应收款按款项性质分类情况[双击切换]"/>
          <w:tag w:val="_GBC_f8f8208812d5412eb0a2fdddf1a9d330"/>
          <w:id w:val="-1909147804"/>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79B5E92F" w14:textId="3E9571A5" w:rsidR="00577D08" w:rsidRDefault="00330FC0">
      <w:pPr>
        <w:jc w:val="right"/>
      </w:pPr>
      <w:r>
        <w:rPr>
          <w:rFonts w:hint="eastAsia"/>
        </w:rPr>
        <w:t>单位：</w:t>
      </w:r>
      <w:sdt>
        <w:sdtPr>
          <w:rPr>
            <w:rFonts w:hint="eastAsia"/>
          </w:rPr>
          <w:alias w:val="单位：财务附注：其他应收款按款项性质分类情况"/>
          <w:tag w:val="_GBC_6e3e3b79e1a6467e8f5cdcabc0a95e4a"/>
          <w:id w:val="-3578967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其他应收款按款项性质分类情况"/>
          <w:tag w:val="_GBC_09f3d6bcff8b483f9de34a3ddb25bad4"/>
          <w:id w:val="13365715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980"/>
        <w:gridCol w:w="2991"/>
      </w:tblGrid>
      <w:tr w:rsidR="00577D08" w14:paraId="73A1E60E" w14:textId="77777777">
        <w:sdt>
          <w:sdtPr>
            <w:tag w:val="_PLD_e3e4ae09c73a4371a49803278d537455"/>
            <w:id w:val="-2044815861"/>
          </w:sdtPr>
          <w:sdtContent>
            <w:tc>
              <w:tcPr>
                <w:tcW w:w="3076" w:type="dxa"/>
                <w:vAlign w:val="center"/>
              </w:tcPr>
              <w:p w14:paraId="52BF97A0" w14:textId="77777777" w:rsidR="00577D08" w:rsidRDefault="00330FC0">
                <w:pPr>
                  <w:jc w:val="center"/>
                </w:pPr>
                <w:r>
                  <w:rPr>
                    <w:rFonts w:hint="eastAsia"/>
                  </w:rPr>
                  <w:t>款项性质</w:t>
                </w:r>
              </w:p>
            </w:tc>
          </w:sdtContent>
        </w:sdt>
        <w:sdt>
          <w:sdtPr>
            <w:tag w:val="_PLD_166416173edb4a39b34c47c78d0dc766"/>
            <w:id w:val="1890686895"/>
          </w:sdtPr>
          <w:sdtContent>
            <w:tc>
              <w:tcPr>
                <w:tcW w:w="2980" w:type="dxa"/>
                <w:vAlign w:val="center"/>
              </w:tcPr>
              <w:p w14:paraId="1B28B02A" w14:textId="77777777" w:rsidR="00577D08" w:rsidRDefault="00330FC0">
                <w:pPr>
                  <w:jc w:val="center"/>
                </w:pPr>
                <w:r>
                  <w:rPr>
                    <w:rFonts w:hint="eastAsia"/>
                  </w:rPr>
                  <w:t>期末账面余额</w:t>
                </w:r>
              </w:p>
            </w:tc>
          </w:sdtContent>
        </w:sdt>
        <w:sdt>
          <w:sdtPr>
            <w:tag w:val="_PLD_a78baace40634aeaaff4786c955e1f60"/>
            <w:id w:val="1813747843"/>
          </w:sdtPr>
          <w:sdtContent>
            <w:tc>
              <w:tcPr>
                <w:tcW w:w="2991" w:type="dxa"/>
                <w:vAlign w:val="center"/>
              </w:tcPr>
              <w:p w14:paraId="02FB0956" w14:textId="77777777" w:rsidR="00577D08" w:rsidRDefault="00330FC0">
                <w:pPr>
                  <w:jc w:val="center"/>
                </w:pPr>
                <w:r>
                  <w:rPr>
                    <w:rFonts w:hint="eastAsia"/>
                  </w:rPr>
                  <w:t>期初账面余额</w:t>
                </w:r>
              </w:p>
            </w:tc>
          </w:sdtContent>
        </w:sdt>
      </w:tr>
      <w:tr w:rsidR="00577D08" w14:paraId="794B3729" w14:textId="77777777">
        <w:tc>
          <w:tcPr>
            <w:tcW w:w="3076" w:type="dxa"/>
          </w:tcPr>
          <w:p w14:paraId="2503A1AC" w14:textId="77777777" w:rsidR="00577D08" w:rsidRDefault="00330FC0">
            <w:r>
              <w:rPr>
                <w:rFonts w:hint="eastAsia"/>
              </w:rPr>
              <w:t>押金及保证金</w:t>
            </w:r>
          </w:p>
        </w:tc>
        <w:tc>
          <w:tcPr>
            <w:tcW w:w="2980" w:type="dxa"/>
          </w:tcPr>
          <w:p w14:paraId="175E1456" w14:textId="77777777" w:rsidR="00577D08" w:rsidRDefault="00330FC0">
            <w:pPr>
              <w:jc w:val="right"/>
            </w:pPr>
            <w:r>
              <w:t>19,034,581.86</w:t>
            </w:r>
          </w:p>
        </w:tc>
        <w:tc>
          <w:tcPr>
            <w:tcW w:w="2991" w:type="dxa"/>
          </w:tcPr>
          <w:p w14:paraId="0F3EDA59" w14:textId="77777777" w:rsidR="00577D08" w:rsidRDefault="00330FC0">
            <w:pPr>
              <w:jc w:val="right"/>
            </w:pPr>
            <w:r>
              <w:t>21,183,878.79</w:t>
            </w:r>
          </w:p>
        </w:tc>
      </w:tr>
      <w:tr w:rsidR="00577D08" w14:paraId="1A3C42D2" w14:textId="77777777">
        <w:tc>
          <w:tcPr>
            <w:tcW w:w="3076" w:type="dxa"/>
          </w:tcPr>
          <w:p w14:paraId="55900DE3" w14:textId="77777777" w:rsidR="00577D08" w:rsidRDefault="00330FC0">
            <w:r>
              <w:rPr>
                <w:rFonts w:hint="eastAsia"/>
              </w:rPr>
              <w:t>土地补偿款</w:t>
            </w:r>
          </w:p>
        </w:tc>
        <w:tc>
          <w:tcPr>
            <w:tcW w:w="2980" w:type="dxa"/>
          </w:tcPr>
          <w:p w14:paraId="1271B02F" w14:textId="77777777" w:rsidR="00577D08" w:rsidRDefault="00330FC0">
            <w:pPr>
              <w:jc w:val="right"/>
            </w:pPr>
            <w:r>
              <w:t>128,226,000.00</w:t>
            </w:r>
          </w:p>
        </w:tc>
        <w:tc>
          <w:tcPr>
            <w:tcW w:w="2991" w:type="dxa"/>
          </w:tcPr>
          <w:p w14:paraId="2E80B213" w14:textId="77777777" w:rsidR="00577D08" w:rsidRDefault="00330FC0">
            <w:pPr>
              <w:jc w:val="right"/>
            </w:pPr>
            <w:r>
              <w:t>128,226,000.00</w:t>
            </w:r>
          </w:p>
        </w:tc>
      </w:tr>
      <w:tr w:rsidR="00577D08" w14:paraId="26496225" w14:textId="77777777">
        <w:tc>
          <w:tcPr>
            <w:tcW w:w="3076" w:type="dxa"/>
          </w:tcPr>
          <w:p w14:paraId="14DC2372" w14:textId="77777777" w:rsidR="00577D08" w:rsidRDefault="00330FC0">
            <w:r>
              <w:rPr>
                <w:rFonts w:hint="eastAsia"/>
              </w:rPr>
              <w:t>往来及其他</w:t>
            </w:r>
          </w:p>
        </w:tc>
        <w:tc>
          <w:tcPr>
            <w:tcW w:w="2980" w:type="dxa"/>
          </w:tcPr>
          <w:p w14:paraId="5C4885E2" w14:textId="77777777" w:rsidR="00577D08" w:rsidRDefault="00330FC0">
            <w:pPr>
              <w:jc w:val="right"/>
            </w:pPr>
            <w:r>
              <w:t>2,504,516.90</w:t>
            </w:r>
          </w:p>
        </w:tc>
        <w:tc>
          <w:tcPr>
            <w:tcW w:w="2991" w:type="dxa"/>
          </w:tcPr>
          <w:p w14:paraId="65451527" w14:textId="77777777" w:rsidR="00577D08" w:rsidRDefault="00330FC0">
            <w:pPr>
              <w:jc w:val="right"/>
            </w:pPr>
            <w:r>
              <w:t>2,764,142.30</w:t>
            </w:r>
          </w:p>
        </w:tc>
      </w:tr>
      <w:tr w:rsidR="00577D08" w14:paraId="2EC0D1DE" w14:textId="77777777">
        <w:tc>
          <w:tcPr>
            <w:tcW w:w="3076" w:type="dxa"/>
            <w:vAlign w:val="center"/>
          </w:tcPr>
          <w:p w14:paraId="6846EB46" w14:textId="77777777" w:rsidR="00577D08" w:rsidRDefault="00330FC0">
            <w:pPr>
              <w:jc w:val="center"/>
            </w:pPr>
            <w:r>
              <w:t>合计</w:t>
            </w:r>
          </w:p>
        </w:tc>
        <w:tc>
          <w:tcPr>
            <w:tcW w:w="2980" w:type="dxa"/>
          </w:tcPr>
          <w:p w14:paraId="03BCC15D" w14:textId="77777777" w:rsidR="00577D08" w:rsidRDefault="00330FC0">
            <w:pPr>
              <w:jc w:val="right"/>
            </w:pPr>
            <w:r>
              <w:t>149,765,098.76</w:t>
            </w:r>
          </w:p>
        </w:tc>
        <w:tc>
          <w:tcPr>
            <w:tcW w:w="2991" w:type="dxa"/>
          </w:tcPr>
          <w:p w14:paraId="7B52B398" w14:textId="77777777" w:rsidR="00577D08" w:rsidRDefault="00330FC0">
            <w:pPr>
              <w:jc w:val="right"/>
            </w:pPr>
            <w:r>
              <w:t>152,174,021.09</w:t>
            </w:r>
          </w:p>
        </w:tc>
      </w:tr>
    </w:tbl>
    <w:p w14:paraId="36401108" w14:textId="77777777" w:rsidR="00577D08" w:rsidRDefault="00330FC0">
      <w:pPr>
        <w:pStyle w:val="5"/>
        <w:numPr>
          <w:ilvl w:val="0"/>
          <w:numId w:val="69"/>
        </w:numPr>
        <w:ind w:leftChars="0"/>
      </w:pPr>
      <w:bookmarkStart w:id="363" w:name="_Hlk533867880"/>
      <w:r>
        <w:rPr>
          <w:rFonts w:hint="eastAsia"/>
        </w:rPr>
        <w:t>坏账准备计提情况</w:t>
      </w:r>
    </w:p>
    <w:sdt>
      <w:sdtPr>
        <w:alias w:val="是否适用：其他应收款坏账准备调节表[双击切换]"/>
        <w:tag w:val="_GBC_89d7c1af9f504137a919fea1a314fa80"/>
        <w:id w:val="1042561150"/>
        <w:placeholder>
          <w:docPart w:val="GBC22222222222222222222222222222"/>
        </w:placeholder>
      </w:sdtPr>
      <w:sdtContent>
        <w:p w14:paraId="52DA4283"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A3676EE" w14:textId="1B815A73" w:rsidR="00577D08" w:rsidRDefault="00330FC0">
      <w:pPr>
        <w:autoSpaceDE w:val="0"/>
        <w:autoSpaceDN w:val="0"/>
        <w:adjustRightInd w:val="0"/>
        <w:ind w:rightChars="50" w:right="105"/>
        <w:jc w:val="right"/>
      </w:pPr>
      <w:r>
        <w:rPr>
          <w:rFonts w:hint="eastAsia"/>
        </w:rPr>
        <w:t>单位：</w:t>
      </w:r>
      <w:sdt>
        <w:sdtPr>
          <w:rPr>
            <w:rFonts w:hint="eastAsia"/>
          </w:rPr>
          <w:alias w:val="单位：其他应收款坏账准备调节表"/>
          <w:tag w:val="_GBC_1e902dc07fc44240af1ff69475733c28"/>
          <w:id w:val="-16995310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其他应收款坏账准备调节表"/>
          <w:tag w:val="_GBC_5e93354ddb8841df82a0d16f2f5b44ae"/>
          <w:id w:val="19293887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560"/>
        <w:gridCol w:w="1985"/>
        <w:gridCol w:w="1985"/>
        <w:gridCol w:w="1706"/>
      </w:tblGrid>
      <w:tr w:rsidR="00577D08" w14:paraId="4252E314" w14:textId="77777777">
        <w:sdt>
          <w:sdtPr>
            <w:tag w:val="_PLD_2f734c3456a843bda898d16924c52045"/>
            <w:id w:val="-2078963880"/>
          </w:sdtPr>
          <w:sdtContent>
            <w:tc>
              <w:tcPr>
                <w:tcW w:w="1811" w:type="dxa"/>
                <w:vMerge w:val="restart"/>
                <w:vAlign w:val="center"/>
              </w:tcPr>
              <w:p w14:paraId="367D4C0C"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1540817010"/>
          </w:sdtPr>
          <w:sdtContent>
            <w:tc>
              <w:tcPr>
                <w:tcW w:w="1560" w:type="dxa"/>
                <w:vAlign w:val="center"/>
              </w:tcPr>
              <w:p w14:paraId="7FDB3C0D"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1795492386"/>
          </w:sdtPr>
          <w:sdtContent>
            <w:tc>
              <w:tcPr>
                <w:tcW w:w="1985" w:type="dxa"/>
                <w:vAlign w:val="center"/>
              </w:tcPr>
              <w:p w14:paraId="189BBACE"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185055030"/>
          </w:sdtPr>
          <w:sdtContent>
            <w:tc>
              <w:tcPr>
                <w:tcW w:w="1985" w:type="dxa"/>
                <w:vAlign w:val="center"/>
              </w:tcPr>
              <w:p w14:paraId="295A42E2"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819187124"/>
          </w:sdtPr>
          <w:sdtContent>
            <w:tc>
              <w:tcPr>
                <w:tcW w:w="1706" w:type="dxa"/>
                <w:vMerge w:val="restart"/>
                <w:vAlign w:val="center"/>
              </w:tcPr>
              <w:p w14:paraId="06C4ADF9"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合计</w:t>
                </w:r>
              </w:p>
            </w:tc>
          </w:sdtContent>
        </w:sdt>
      </w:tr>
      <w:tr w:rsidR="00577D08" w14:paraId="0A52A187" w14:textId="77777777">
        <w:tc>
          <w:tcPr>
            <w:tcW w:w="1811" w:type="dxa"/>
            <w:vMerge/>
            <w:vAlign w:val="center"/>
          </w:tcPr>
          <w:p w14:paraId="00DE43E5" w14:textId="77777777" w:rsidR="00577D08" w:rsidRDefault="00577D08">
            <w:pPr>
              <w:jc w:val="center"/>
              <w:rPr>
                <w:color w:val="008000"/>
              </w:rPr>
            </w:pPr>
          </w:p>
        </w:tc>
        <w:sdt>
          <w:sdtPr>
            <w:tag w:val="_PLD_7158bbb0fd6b45478d53b382f0c1a5e9"/>
            <w:id w:val="-380792082"/>
          </w:sdtPr>
          <w:sdtContent>
            <w:tc>
              <w:tcPr>
                <w:tcW w:w="1560" w:type="dxa"/>
                <w:vAlign w:val="center"/>
              </w:tcPr>
              <w:p w14:paraId="69DF628F"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225806537"/>
          </w:sdtPr>
          <w:sdtContent>
            <w:tc>
              <w:tcPr>
                <w:tcW w:w="1985" w:type="dxa"/>
                <w:vAlign w:val="center"/>
              </w:tcPr>
              <w:p w14:paraId="39D4F4E6"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390649996"/>
          </w:sdtPr>
          <w:sdtContent>
            <w:tc>
              <w:tcPr>
                <w:tcW w:w="1985" w:type="dxa"/>
                <w:vAlign w:val="center"/>
              </w:tcPr>
              <w:p w14:paraId="39C3DE8B"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1706" w:type="dxa"/>
            <w:vMerge/>
            <w:vAlign w:val="center"/>
          </w:tcPr>
          <w:p w14:paraId="2A3D3CCF" w14:textId="77777777" w:rsidR="00577D08" w:rsidRDefault="00577D08">
            <w:pPr>
              <w:jc w:val="center"/>
              <w:rPr>
                <w:color w:val="008000"/>
              </w:rPr>
            </w:pPr>
          </w:p>
        </w:tc>
      </w:tr>
      <w:tr w:rsidR="00577D08" w14:paraId="1DC4889C" w14:textId="77777777">
        <w:tc>
          <w:tcPr>
            <w:tcW w:w="1811" w:type="dxa"/>
            <w:vAlign w:val="center"/>
          </w:tcPr>
          <w:p w14:paraId="1F0B60BB"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w:t>
            </w:r>
            <w:r>
              <w:rPr>
                <w:rFonts w:ascii="宋体" w:eastAsia="宋体" w:hAnsi="宋体" w:cs="宋体" w:hint="eastAsia"/>
                <w:sz w:val="21"/>
                <w:szCs w:val="21"/>
                <w:lang w:eastAsia="zh-CN"/>
              </w:rPr>
              <w:lastRenderedPageBreak/>
              <w:t>额</w:t>
            </w:r>
          </w:p>
        </w:tc>
        <w:tc>
          <w:tcPr>
            <w:tcW w:w="1560" w:type="dxa"/>
            <w:vAlign w:val="center"/>
          </w:tcPr>
          <w:p w14:paraId="128AB19D" w14:textId="77777777" w:rsidR="00577D08" w:rsidRDefault="00330FC0">
            <w:pPr>
              <w:jc w:val="right"/>
            </w:pPr>
            <w:r>
              <w:lastRenderedPageBreak/>
              <w:t>926,943.30</w:t>
            </w:r>
          </w:p>
        </w:tc>
        <w:tc>
          <w:tcPr>
            <w:tcW w:w="1985" w:type="dxa"/>
            <w:vAlign w:val="center"/>
          </w:tcPr>
          <w:p w14:paraId="6DCC990B" w14:textId="77777777" w:rsidR="00577D08" w:rsidRDefault="00330FC0">
            <w:pPr>
              <w:jc w:val="right"/>
            </w:pPr>
            <w:r>
              <w:t>220,868.20</w:t>
            </w:r>
          </w:p>
        </w:tc>
        <w:tc>
          <w:tcPr>
            <w:tcW w:w="1985" w:type="dxa"/>
            <w:vAlign w:val="center"/>
          </w:tcPr>
          <w:p w14:paraId="5D181FFF" w14:textId="77777777" w:rsidR="00577D08" w:rsidRDefault="00330FC0">
            <w:pPr>
              <w:jc w:val="right"/>
            </w:pPr>
            <w:r>
              <w:t>25,876,586.23</w:t>
            </w:r>
          </w:p>
        </w:tc>
        <w:tc>
          <w:tcPr>
            <w:tcW w:w="1706" w:type="dxa"/>
            <w:vAlign w:val="center"/>
          </w:tcPr>
          <w:p w14:paraId="01907426" w14:textId="77777777" w:rsidR="00577D08" w:rsidRDefault="00330FC0">
            <w:pPr>
              <w:jc w:val="right"/>
            </w:pPr>
            <w:r>
              <w:t>27,024,397.73</w:t>
            </w:r>
          </w:p>
        </w:tc>
      </w:tr>
      <w:tr w:rsidR="00577D08" w14:paraId="52D0870C" w14:textId="77777777">
        <w:tc>
          <w:tcPr>
            <w:tcW w:w="1811" w:type="dxa"/>
            <w:vAlign w:val="center"/>
          </w:tcPr>
          <w:p w14:paraId="17B981FF"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2025年1月1日余额在本期</w:t>
            </w:r>
          </w:p>
        </w:tc>
        <w:tc>
          <w:tcPr>
            <w:tcW w:w="1560" w:type="dxa"/>
            <w:vAlign w:val="center"/>
          </w:tcPr>
          <w:p w14:paraId="42BCD0E4" w14:textId="77777777" w:rsidR="00577D08" w:rsidRDefault="00577D08">
            <w:pPr>
              <w:jc w:val="right"/>
            </w:pPr>
          </w:p>
        </w:tc>
        <w:tc>
          <w:tcPr>
            <w:tcW w:w="1985" w:type="dxa"/>
            <w:vAlign w:val="center"/>
          </w:tcPr>
          <w:p w14:paraId="60A69454" w14:textId="77777777" w:rsidR="00577D08" w:rsidRDefault="00577D08">
            <w:pPr>
              <w:jc w:val="right"/>
            </w:pPr>
          </w:p>
        </w:tc>
        <w:tc>
          <w:tcPr>
            <w:tcW w:w="1985" w:type="dxa"/>
            <w:vAlign w:val="center"/>
          </w:tcPr>
          <w:p w14:paraId="71954669" w14:textId="77777777" w:rsidR="00577D08" w:rsidRDefault="00577D08">
            <w:pPr>
              <w:jc w:val="right"/>
            </w:pPr>
          </w:p>
        </w:tc>
        <w:tc>
          <w:tcPr>
            <w:tcW w:w="1706" w:type="dxa"/>
            <w:vAlign w:val="center"/>
          </w:tcPr>
          <w:p w14:paraId="06BB1991" w14:textId="77777777" w:rsidR="00577D08" w:rsidRDefault="00577D08">
            <w:pPr>
              <w:jc w:val="right"/>
            </w:pPr>
          </w:p>
        </w:tc>
      </w:tr>
      <w:tr w:rsidR="00577D08" w14:paraId="643C6EF4" w14:textId="77777777">
        <w:tc>
          <w:tcPr>
            <w:tcW w:w="1811" w:type="dxa"/>
            <w:vAlign w:val="center"/>
          </w:tcPr>
          <w:p w14:paraId="24D9BA1E"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--转入第二阶段</w:t>
            </w:r>
          </w:p>
        </w:tc>
        <w:tc>
          <w:tcPr>
            <w:tcW w:w="1560" w:type="dxa"/>
            <w:vAlign w:val="center"/>
          </w:tcPr>
          <w:p w14:paraId="4FC5D3CF" w14:textId="77777777" w:rsidR="00577D08" w:rsidRDefault="00330FC0">
            <w:pPr>
              <w:jc w:val="right"/>
            </w:pPr>
            <w:r>
              <w:t>-107,804.11</w:t>
            </w:r>
          </w:p>
        </w:tc>
        <w:tc>
          <w:tcPr>
            <w:tcW w:w="1985" w:type="dxa"/>
            <w:vAlign w:val="center"/>
          </w:tcPr>
          <w:p w14:paraId="735B8DE7" w14:textId="77777777" w:rsidR="00577D08" w:rsidRDefault="00330FC0">
            <w:pPr>
              <w:jc w:val="right"/>
            </w:pPr>
            <w:r>
              <w:t>107,804.11</w:t>
            </w:r>
          </w:p>
        </w:tc>
        <w:tc>
          <w:tcPr>
            <w:tcW w:w="1985" w:type="dxa"/>
            <w:vAlign w:val="center"/>
          </w:tcPr>
          <w:p w14:paraId="1A5FD1BA" w14:textId="77777777" w:rsidR="00577D08" w:rsidRDefault="00577D08">
            <w:pPr>
              <w:jc w:val="right"/>
            </w:pPr>
          </w:p>
        </w:tc>
        <w:tc>
          <w:tcPr>
            <w:tcW w:w="1706" w:type="dxa"/>
            <w:vAlign w:val="center"/>
          </w:tcPr>
          <w:p w14:paraId="68FD9B51" w14:textId="77777777" w:rsidR="00577D08" w:rsidRDefault="00577D08">
            <w:pPr>
              <w:jc w:val="right"/>
            </w:pPr>
          </w:p>
        </w:tc>
      </w:tr>
      <w:tr w:rsidR="00577D08" w14:paraId="5D894266" w14:textId="77777777">
        <w:tc>
          <w:tcPr>
            <w:tcW w:w="1811" w:type="dxa"/>
            <w:vAlign w:val="center"/>
          </w:tcPr>
          <w:p w14:paraId="7D79827E"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--转入第三阶段</w:t>
            </w:r>
          </w:p>
        </w:tc>
        <w:tc>
          <w:tcPr>
            <w:tcW w:w="1560" w:type="dxa"/>
            <w:vAlign w:val="center"/>
          </w:tcPr>
          <w:p w14:paraId="399025A4" w14:textId="77777777" w:rsidR="00577D08" w:rsidRDefault="00577D08">
            <w:pPr>
              <w:jc w:val="right"/>
            </w:pPr>
          </w:p>
        </w:tc>
        <w:tc>
          <w:tcPr>
            <w:tcW w:w="1985" w:type="dxa"/>
            <w:vAlign w:val="center"/>
          </w:tcPr>
          <w:p w14:paraId="6A00E6CF" w14:textId="77777777" w:rsidR="00577D08" w:rsidRDefault="00330FC0">
            <w:pPr>
              <w:jc w:val="right"/>
            </w:pPr>
            <w:r>
              <w:t>-168,386.43</w:t>
            </w:r>
          </w:p>
        </w:tc>
        <w:tc>
          <w:tcPr>
            <w:tcW w:w="1985" w:type="dxa"/>
            <w:vAlign w:val="center"/>
          </w:tcPr>
          <w:p w14:paraId="3FA3720F" w14:textId="77777777" w:rsidR="00577D08" w:rsidRDefault="00330FC0">
            <w:pPr>
              <w:jc w:val="right"/>
            </w:pPr>
            <w:r>
              <w:t>168,386.43</w:t>
            </w:r>
          </w:p>
        </w:tc>
        <w:tc>
          <w:tcPr>
            <w:tcW w:w="1706" w:type="dxa"/>
            <w:vAlign w:val="center"/>
          </w:tcPr>
          <w:p w14:paraId="7C5B81A3" w14:textId="77777777" w:rsidR="00577D08" w:rsidRDefault="00577D08">
            <w:pPr>
              <w:jc w:val="right"/>
            </w:pPr>
          </w:p>
        </w:tc>
      </w:tr>
      <w:tr w:rsidR="00577D08" w14:paraId="5D358C93" w14:textId="77777777">
        <w:tc>
          <w:tcPr>
            <w:tcW w:w="1811" w:type="dxa"/>
            <w:vAlign w:val="center"/>
          </w:tcPr>
          <w:p w14:paraId="75C52A61"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--转回第二阶段</w:t>
            </w:r>
          </w:p>
        </w:tc>
        <w:tc>
          <w:tcPr>
            <w:tcW w:w="1560" w:type="dxa"/>
            <w:vAlign w:val="center"/>
          </w:tcPr>
          <w:p w14:paraId="27F7B796" w14:textId="77777777" w:rsidR="00577D08" w:rsidRDefault="00577D08">
            <w:pPr>
              <w:jc w:val="right"/>
            </w:pPr>
          </w:p>
        </w:tc>
        <w:tc>
          <w:tcPr>
            <w:tcW w:w="1985" w:type="dxa"/>
            <w:vAlign w:val="center"/>
          </w:tcPr>
          <w:p w14:paraId="654AC224" w14:textId="77777777" w:rsidR="00577D08" w:rsidRDefault="00577D08">
            <w:pPr>
              <w:jc w:val="right"/>
            </w:pPr>
          </w:p>
        </w:tc>
        <w:tc>
          <w:tcPr>
            <w:tcW w:w="1985" w:type="dxa"/>
            <w:vAlign w:val="center"/>
          </w:tcPr>
          <w:p w14:paraId="0006D851" w14:textId="77777777" w:rsidR="00577D08" w:rsidRDefault="00577D08">
            <w:pPr>
              <w:jc w:val="right"/>
            </w:pPr>
          </w:p>
        </w:tc>
        <w:tc>
          <w:tcPr>
            <w:tcW w:w="1706" w:type="dxa"/>
            <w:vAlign w:val="center"/>
          </w:tcPr>
          <w:p w14:paraId="21A54ADC" w14:textId="77777777" w:rsidR="00577D08" w:rsidRDefault="00577D08">
            <w:pPr>
              <w:jc w:val="right"/>
            </w:pPr>
          </w:p>
        </w:tc>
      </w:tr>
      <w:tr w:rsidR="00577D08" w14:paraId="35BE067B" w14:textId="77777777">
        <w:tc>
          <w:tcPr>
            <w:tcW w:w="1811" w:type="dxa"/>
            <w:vAlign w:val="center"/>
          </w:tcPr>
          <w:p w14:paraId="6A5EC2C9"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--转回第一阶段</w:t>
            </w:r>
          </w:p>
        </w:tc>
        <w:tc>
          <w:tcPr>
            <w:tcW w:w="1560" w:type="dxa"/>
            <w:vAlign w:val="center"/>
          </w:tcPr>
          <w:p w14:paraId="50637BA0" w14:textId="77777777" w:rsidR="00577D08" w:rsidRDefault="00577D08">
            <w:pPr>
              <w:jc w:val="right"/>
            </w:pPr>
          </w:p>
        </w:tc>
        <w:tc>
          <w:tcPr>
            <w:tcW w:w="1985" w:type="dxa"/>
            <w:vAlign w:val="center"/>
          </w:tcPr>
          <w:p w14:paraId="138A8477" w14:textId="77777777" w:rsidR="00577D08" w:rsidRDefault="00577D08">
            <w:pPr>
              <w:jc w:val="right"/>
            </w:pPr>
          </w:p>
        </w:tc>
        <w:tc>
          <w:tcPr>
            <w:tcW w:w="1985" w:type="dxa"/>
            <w:vAlign w:val="center"/>
          </w:tcPr>
          <w:p w14:paraId="44088CD1" w14:textId="77777777" w:rsidR="00577D08" w:rsidRDefault="00577D08">
            <w:pPr>
              <w:jc w:val="right"/>
            </w:pPr>
          </w:p>
        </w:tc>
        <w:tc>
          <w:tcPr>
            <w:tcW w:w="1706" w:type="dxa"/>
            <w:vAlign w:val="center"/>
          </w:tcPr>
          <w:p w14:paraId="170F01A0" w14:textId="77777777" w:rsidR="00577D08" w:rsidRDefault="00577D08">
            <w:pPr>
              <w:jc w:val="right"/>
            </w:pPr>
          </w:p>
        </w:tc>
      </w:tr>
      <w:tr w:rsidR="00577D08" w14:paraId="1C8BE8CB" w14:textId="77777777">
        <w:tc>
          <w:tcPr>
            <w:tcW w:w="1811" w:type="dxa"/>
            <w:vAlign w:val="center"/>
          </w:tcPr>
          <w:p w14:paraId="560B6EBB"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本期计提</w:t>
            </w:r>
          </w:p>
        </w:tc>
        <w:tc>
          <w:tcPr>
            <w:tcW w:w="1560" w:type="dxa"/>
            <w:vAlign w:val="center"/>
          </w:tcPr>
          <w:p w14:paraId="0FA3D1CE" w14:textId="77777777" w:rsidR="00577D08" w:rsidRDefault="00330FC0">
            <w:pPr>
              <w:jc w:val="right"/>
            </w:pPr>
            <w:r>
              <w:t>-60,392.46</w:t>
            </w:r>
          </w:p>
        </w:tc>
        <w:tc>
          <w:tcPr>
            <w:tcW w:w="1985" w:type="dxa"/>
            <w:vAlign w:val="center"/>
          </w:tcPr>
          <w:p w14:paraId="1AB48575" w14:textId="77777777" w:rsidR="00577D08" w:rsidRDefault="00330FC0">
            <w:pPr>
              <w:jc w:val="right"/>
            </w:pPr>
            <w:r>
              <w:t>55,322.34</w:t>
            </w:r>
          </w:p>
        </w:tc>
        <w:tc>
          <w:tcPr>
            <w:tcW w:w="1985" w:type="dxa"/>
            <w:vAlign w:val="center"/>
          </w:tcPr>
          <w:p w14:paraId="1A70A722" w14:textId="77777777" w:rsidR="00577D08" w:rsidRDefault="00330FC0">
            <w:pPr>
              <w:jc w:val="right"/>
            </w:pPr>
            <w:r>
              <w:t>76,334.86</w:t>
            </w:r>
          </w:p>
        </w:tc>
        <w:tc>
          <w:tcPr>
            <w:tcW w:w="1706" w:type="dxa"/>
            <w:vAlign w:val="center"/>
          </w:tcPr>
          <w:p w14:paraId="6EC87DB8" w14:textId="77777777" w:rsidR="00577D08" w:rsidRDefault="00330FC0">
            <w:pPr>
              <w:jc w:val="right"/>
            </w:pPr>
            <w:r>
              <w:t>71,264.74</w:t>
            </w:r>
          </w:p>
        </w:tc>
      </w:tr>
      <w:tr w:rsidR="00577D08" w14:paraId="357C0389" w14:textId="77777777">
        <w:tc>
          <w:tcPr>
            <w:tcW w:w="1811" w:type="dxa"/>
            <w:vAlign w:val="center"/>
          </w:tcPr>
          <w:p w14:paraId="3E6E6B6B" w14:textId="77777777" w:rsidR="00577D08" w:rsidRDefault="00330FC0">
            <w:pPr>
              <w:pStyle w:val="TableParagraph"/>
              <w:spacing w:after="0" w:line="240" w:lineRule="auto"/>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lang w:eastAsia="zh-CN"/>
              </w:rPr>
              <w:t>本期转回</w:t>
            </w:r>
          </w:p>
        </w:tc>
        <w:tc>
          <w:tcPr>
            <w:tcW w:w="1560" w:type="dxa"/>
            <w:vAlign w:val="center"/>
          </w:tcPr>
          <w:p w14:paraId="2D1BC023" w14:textId="77777777" w:rsidR="00577D08" w:rsidRDefault="00577D08">
            <w:pPr>
              <w:jc w:val="right"/>
            </w:pPr>
          </w:p>
        </w:tc>
        <w:tc>
          <w:tcPr>
            <w:tcW w:w="1985" w:type="dxa"/>
            <w:vAlign w:val="center"/>
          </w:tcPr>
          <w:p w14:paraId="1CA6D782" w14:textId="77777777" w:rsidR="00577D08" w:rsidRDefault="00577D08">
            <w:pPr>
              <w:jc w:val="right"/>
            </w:pPr>
          </w:p>
        </w:tc>
        <w:tc>
          <w:tcPr>
            <w:tcW w:w="1985" w:type="dxa"/>
            <w:vAlign w:val="center"/>
          </w:tcPr>
          <w:p w14:paraId="47A65311" w14:textId="77777777" w:rsidR="00577D08" w:rsidRDefault="00577D08">
            <w:pPr>
              <w:jc w:val="right"/>
            </w:pPr>
          </w:p>
        </w:tc>
        <w:tc>
          <w:tcPr>
            <w:tcW w:w="1706" w:type="dxa"/>
            <w:vAlign w:val="center"/>
          </w:tcPr>
          <w:p w14:paraId="52CD9FE5" w14:textId="77777777" w:rsidR="00577D08" w:rsidRDefault="00577D08">
            <w:pPr>
              <w:jc w:val="right"/>
            </w:pPr>
          </w:p>
        </w:tc>
      </w:tr>
      <w:tr w:rsidR="00577D08" w14:paraId="1CC4F31A" w14:textId="77777777">
        <w:tc>
          <w:tcPr>
            <w:tcW w:w="1811" w:type="dxa"/>
            <w:vAlign w:val="center"/>
          </w:tcPr>
          <w:p w14:paraId="71A07575"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本期转销</w:t>
            </w:r>
          </w:p>
        </w:tc>
        <w:tc>
          <w:tcPr>
            <w:tcW w:w="1560" w:type="dxa"/>
            <w:vAlign w:val="center"/>
          </w:tcPr>
          <w:p w14:paraId="33C70FC7" w14:textId="77777777" w:rsidR="00577D08" w:rsidRDefault="00577D08">
            <w:pPr>
              <w:jc w:val="right"/>
            </w:pPr>
          </w:p>
        </w:tc>
        <w:tc>
          <w:tcPr>
            <w:tcW w:w="1985" w:type="dxa"/>
            <w:vAlign w:val="center"/>
          </w:tcPr>
          <w:p w14:paraId="76B50BF3" w14:textId="77777777" w:rsidR="00577D08" w:rsidRDefault="00577D08">
            <w:pPr>
              <w:jc w:val="right"/>
            </w:pPr>
          </w:p>
        </w:tc>
        <w:tc>
          <w:tcPr>
            <w:tcW w:w="1985" w:type="dxa"/>
            <w:vAlign w:val="center"/>
          </w:tcPr>
          <w:p w14:paraId="1A984E22" w14:textId="77777777" w:rsidR="00577D08" w:rsidRDefault="00577D08">
            <w:pPr>
              <w:jc w:val="right"/>
            </w:pPr>
          </w:p>
        </w:tc>
        <w:tc>
          <w:tcPr>
            <w:tcW w:w="1706" w:type="dxa"/>
            <w:vAlign w:val="center"/>
          </w:tcPr>
          <w:p w14:paraId="5FFA34B5" w14:textId="77777777" w:rsidR="00577D08" w:rsidRDefault="00577D08">
            <w:pPr>
              <w:jc w:val="right"/>
            </w:pPr>
          </w:p>
        </w:tc>
      </w:tr>
      <w:tr w:rsidR="00577D08" w14:paraId="2B53987F" w14:textId="77777777">
        <w:tc>
          <w:tcPr>
            <w:tcW w:w="1811" w:type="dxa"/>
            <w:vAlign w:val="center"/>
          </w:tcPr>
          <w:p w14:paraId="4AAEDCC6" w14:textId="77777777" w:rsidR="00577D08" w:rsidRDefault="00330FC0">
            <w:pPr>
              <w:pStyle w:val="TableParagraph"/>
              <w:spacing w:after="0" w:line="240" w:lineRule="auto"/>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lang w:eastAsia="zh-CN"/>
              </w:rPr>
              <w:t>本期核销</w:t>
            </w:r>
          </w:p>
        </w:tc>
        <w:tc>
          <w:tcPr>
            <w:tcW w:w="1560" w:type="dxa"/>
            <w:vAlign w:val="center"/>
          </w:tcPr>
          <w:p w14:paraId="315877D7" w14:textId="77777777" w:rsidR="00577D08" w:rsidRDefault="00577D08">
            <w:pPr>
              <w:jc w:val="right"/>
            </w:pPr>
          </w:p>
        </w:tc>
        <w:tc>
          <w:tcPr>
            <w:tcW w:w="1985" w:type="dxa"/>
            <w:vAlign w:val="center"/>
          </w:tcPr>
          <w:p w14:paraId="29FA39C4" w14:textId="77777777" w:rsidR="00577D08" w:rsidRDefault="00577D08">
            <w:pPr>
              <w:jc w:val="right"/>
            </w:pPr>
          </w:p>
        </w:tc>
        <w:tc>
          <w:tcPr>
            <w:tcW w:w="1985" w:type="dxa"/>
            <w:vAlign w:val="center"/>
          </w:tcPr>
          <w:p w14:paraId="7F86D2B1" w14:textId="77777777" w:rsidR="00577D08" w:rsidRDefault="00577D08">
            <w:pPr>
              <w:jc w:val="right"/>
            </w:pPr>
          </w:p>
        </w:tc>
        <w:tc>
          <w:tcPr>
            <w:tcW w:w="1706" w:type="dxa"/>
            <w:vAlign w:val="center"/>
          </w:tcPr>
          <w:p w14:paraId="724DBCDE" w14:textId="77777777" w:rsidR="00577D08" w:rsidRDefault="00577D08">
            <w:pPr>
              <w:jc w:val="right"/>
            </w:pPr>
          </w:p>
        </w:tc>
      </w:tr>
      <w:tr w:rsidR="00577D08" w14:paraId="189A2033" w14:textId="77777777">
        <w:tc>
          <w:tcPr>
            <w:tcW w:w="1811" w:type="dxa"/>
            <w:vAlign w:val="center"/>
          </w:tcPr>
          <w:p w14:paraId="410DFFC0"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其他变动</w:t>
            </w:r>
          </w:p>
        </w:tc>
        <w:tc>
          <w:tcPr>
            <w:tcW w:w="1560" w:type="dxa"/>
            <w:vAlign w:val="center"/>
          </w:tcPr>
          <w:p w14:paraId="51194AC1" w14:textId="77777777" w:rsidR="00577D08" w:rsidRDefault="00577D08">
            <w:pPr>
              <w:jc w:val="right"/>
            </w:pPr>
          </w:p>
        </w:tc>
        <w:tc>
          <w:tcPr>
            <w:tcW w:w="1985" w:type="dxa"/>
            <w:vAlign w:val="center"/>
          </w:tcPr>
          <w:p w14:paraId="5255BE6E" w14:textId="77777777" w:rsidR="00577D08" w:rsidRDefault="00577D08">
            <w:pPr>
              <w:jc w:val="right"/>
            </w:pPr>
          </w:p>
        </w:tc>
        <w:tc>
          <w:tcPr>
            <w:tcW w:w="1985" w:type="dxa"/>
            <w:vAlign w:val="center"/>
          </w:tcPr>
          <w:p w14:paraId="3E776684" w14:textId="77777777" w:rsidR="00577D08" w:rsidRDefault="00577D08">
            <w:pPr>
              <w:jc w:val="right"/>
            </w:pPr>
          </w:p>
        </w:tc>
        <w:tc>
          <w:tcPr>
            <w:tcW w:w="1706" w:type="dxa"/>
            <w:vAlign w:val="center"/>
          </w:tcPr>
          <w:p w14:paraId="05A4A6A8" w14:textId="77777777" w:rsidR="00577D08" w:rsidRDefault="00577D08">
            <w:pPr>
              <w:jc w:val="right"/>
            </w:pPr>
          </w:p>
        </w:tc>
      </w:tr>
      <w:tr w:rsidR="00577D08" w14:paraId="3A98DFBD" w14:textId="77777777">
        <w:tc>
          <w:tcPr>
            <w:tcW w:w="1811" w:type="dxa"/>
            <w:vAlign w:val="center"/>
          </w:tcPr>
          <w:p w14:paraId="6BD1FB99" w14:textId="77777777" w:rsidR="00577D08" w:rsidRDefault="00330FC0">
            <w:pPr>
              <w:pStyle w:val="TableParagraph"/>
              <w:spacing w:after="0" w:line="240" w:lineRule="auto"/>
              <w:rPr>
                <w:rFonts w:ascii="宋体" w:eastAsia="宋体" w:hAnsi="宋体" w:cs="宋体" w:hint="eastAsia"/>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tc>
          <w:tcPr>
            <w:tcW w:w="1560" w:type="dxa"/>
            <w:vAlign w:val="center"/>
          </w:tcPr>
          <w:p w14:paraId="71AE09D3" w14:textId="77777777" w:rsidR="00577D08" w:rsidRDefault="00330FC0">
            <w:pPr>
              <w:jc w:val="right"/>
            </w:pPr>
            <w:r>
              <w:t>758,746.73</w:t>
            </w:r>
          </w:p>
        </w:tc>
        <w:tc>
          <w:tcPr>
            <w:tcW w:w="1985" w:type="dxa"/>
            <w:vAlign w:val="center"/>
          </w:tcPr>
          <w:p w14:paraId="3CBBDD90" w14:textId="77777777" w:rsidR="00577D08" w:rsidRDefault="00330FC0">
            <w:pPr>
              <w:jc w:val="right"/>
            </w:pPr>
            <w:r>
              <w:t>215,608.22</w:t>
            </w:r>
          </w:p>
        </w:tc>
        <w:tc>
          <w:tcPr>
            <w:tcW w:w="1985" w:type="dxa"/>
            <w:vAlign w:val="center"/>
          </w:tcPr>
          <w:p w14:paraId="0E2FA52C" w14:textId="77777777" w:rsidR="00577D08" w:rsidRDefault="00330FC0">
            <w:pPr>
              <w:jc w:val="right"/>
            </w:pPr>
            <w:r>
              <w:t>26,121,307.52</w:t>
            </w:r>
          </w:p>
        </w:tc>
        <w:tc>
          <w:tcPr>
            <w:tcW w:w="1706" w:type="dxa"/>
            <w:vAlign w:val="center"/>
          </w:tcPr>
          <w:p w14:paraId="54E043E1" w14:textId="77777777" w:rsidR="00577D08" w:rsidRDefault="00330FC0">
            <w:pPr>
              <w:jc w:val="right"/>
            </w:pPr>
            <w:r>
              <w:t>27,095,662.47</w:t>
            </w:r>
          </w:p>
        </w:tc>
      </w:tr>
    </w:tbl>
    <w:p w14:paraId="15CC16B3"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其他应收款各阶段划分依据和坏账准备计提比例"/>
        <w:tag w:val="_GBC_d878dae05a464cf69eea4a309bb1cd21"/>
        <w:id w:val="-453483255"/>
        <w:placeholder>
          <w:docPart w:val="GBC22222222222222222222222222222"/>
        </w:placeholder>
      </w:sdtPr>
      <w:sdtContent>
        <w:p w14:paraId="518F9DFA" w14:textId="77777777" w:rsidR="00577D08" w:rsidRDefault="00330FC0">
          <w:pPr>
            <w:rPr>
              <w:bCs/>
              <w:szCs w:val="22"/>
            </w:rPr>
          </w:pPr>
          <w:r>
            <w:rPr>
              <w:rFonts w:hint="eastAsia"/>
              <w:bCs/>
              <w:szCs w:val="22"/>
            </w:rPr>
            <w:t>无</w:t>
          </w:r>
        </w:p>
      </w:sdtContent>
    </w:sdt>
    <w:p w14:paraId="0DAC6E91" w14:textId="77777777" w:rsidR="00577D08" w:rsidRDefault="00330FC0">
      <w:pPr>
        <w:pStyle w:val="affc"/>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1585030281"/>
        <w:placeholder>
          <w:docPart w:val="GBC22222222222222222222222222222"/>
        </w:placeholder>
      </w:sdtPr>
      <w:sdtContent>
        <w:p w14:paraId="2B1A75F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ascii="Times New Roman" w:hAnsi="Times New Roman"/>
          <w:sz w:val="21"/>
          <w:szCs w:val="21"/>
        </w:rPr>
        <w:alias w:val="其他应收款本期发生损失准备变动且账面余额显著变动的情况说明"/>
        <w:tag w:val="_GBC_7afa82b4e0d14131b147388b5e9d20f1"/>
        <w:id w:val="2000843124"/>
        <w:placeholder>
          <w:docPart w:val="5A2424315BFC4BB087B05781533C9AFA"/>
        </w:placeholder>
      </w:sdtPr>
      <w:sdtEndPr>
        <w:rPr>
          <w:rFonts w:asciiTheme="minorEastAsia" w:eastAsiaTheme="minorEastAsia" w:hAnsiTheme="minorEastAsia"/>
        </w:rPr>
      </w:sdtEndPr>
      <w:sdtContent>
        <w:p w14:paraId="312D1F10" w14:textId="77777777" w:rsidR="00577D08" w:rsidRDefault="00330FC0">
          <w:pPr>
            <w:pStyle w:val="Style151"/>
            <w:rPr>
              <w:rFonts w:asciiTheme="minorEastAsia" w:eastAsiaTheme="minorEastAsia" w:hAnsiTheme="minorEastAsia" w:hint="eastAsia"/>
            </w:rPr>
          </w:pPr>
          <w:r>
            <w:rPr>
              <w:rFonts w:asciiTheme="minorEastAsia" w:eastAsiaTheme="minorEastAsia" w:hAnsiTheme="minorEastAsia" w:hint="eastAsia"/>
            </w:rPr>
            <w:t>重要的单项计提坏账准备的其他应收款</w:t>
          </w:r>
        </w:p>
        <w:p w14:paraId="2B0D6C79" w14:textId="7350C614" w:rsidR="00577D08" w:rsidRDefault="00330FC0">
          <w:pPr>
            <w:pStyle w:val="Style151"/>
            <w:jc w:val="right"/>
            <w:rPr>
              <w:rFonts w:asciiTheme="minorEastAsia" w:eastAsiaTheme="minorEastAsia" w:hAnsiTheme="minorEastAsia" w:hint="eastAsia"/>
            </w:rPr>
          </w:pPr>
          <w:r>
            <w:rPr>
              <w:rFonts w:asciiTheme="minorEastAsia" w:eastAsiaTheme="minorEastAsia" w:hAnsiTheme="minorEastAsia" w:hint="eastAsia"/>
            </w:rPr>
            <w:t>单位：元</w:t>
          </w:r>
          <w:r w:rsidR="00CC5C32">
            <w:rPr>
              <w:rFonts w:asciiTheme="minorEastAsia" w:eastAsiaTheme="minorEastAsia" w:hAnsiTheme="minorEastAsia" w:hint="eastAsia"/>
            </w:rPr>
            <w:t xml:space="preserve"> </w:t>
          </w:r>
          <w:r w:rsidR="00CC5C32">
            <w:rPr>
              <w:rFonts w:asciiTheme="minorEastAsia" w:eastAsiaTheme="minorEastAsia" w:hAnsiTheme="minorEastAsia"/>
            </w:rPr>
            <w:t xml:space="preserve"> </w:t>
          </w:r>
          <w:r>
            <w:rPr>
              <w:rFonts w:asciiTheme="minorEastAsia" w:eastAsiaTheme="minorEastAsia" w:hAnsiTheme="minorEastAsia" w:hint="eastAsia"/>
            </w:rPr>
            <w:t>币种：人民币</w:t>
          </w:r>
        </w:p>
        <w:tbl>
          <w:tblPr>
            <w:tblStyle w:val="g5"/>
            <w:tblW w:w="5000" w:type="pct"/>
            <w:tblInd w:w="0" w:type="dxa"/>
            <w:tblLook w:val="04A0" w:firstRow="1" w:lastRow="0" w:firstColumn="1" w:lastColumn="0" w:noHBand="0" w:noVBand="1"/>
          </w:tblPr>
          <w:tblGrid>
            <w:gridCol w:w="741"/>
            <w:gridCol w:w="1616"/>
            <w:gridCol w:w="1516"/>
            <w:gridCol w:w="716"/>
            <w:gridCol w:w="1616"/>
            <w:gridCol w:w="1516"/>
            <w:gridCol w:w="1102"/>
          </w:tblGrid>
          <w:tr w:rsidR="00577D08" w14:paraId="23153161" w14:textId="77777777">
            <w:trPr>
              <w:trHeight w:val="288"/>
            </w:trPr>
            <w:tc>
              <w:tcPr>
                <w:tcW w:w="519" w:type="pct"/>
                <w:vMerge w:val="restart"/>
                <w:tcBorders>
                  <w:top w:val="single" w:sz="4" w:space="0" w:color="auto"/>
                  <w:left w:val="single" w:sz="4" w:space="0" w:color="auto"/>
                  <w:bottom w:val="single" w:sz="4" w:space="0" w:color="auto"/>
                  <w:right w:val="single" w:sz="4" w:space="0" w:color="auto"/>
                </w:tcBorders>
                <w:vAlign w:val="center"/>
              </w:tcPr>
              <w:p w14:paraId="3D07389F" w14:textId="77777777" w:rsidR="00577D08" w:rsidRDefault="00330FC0">
                <w:pPr>
                  <w:widowControl w:val="0"/>
                  <w:autoSpaceDE w:val="0"/>
                  <w:autoSpaceDN w:val="0"/>
                  <w:jc w:val="center"/>
                  <w:rPr>
                    <w:rFonts w:asciiTheme="minorEastAsia" w:eastAsiaTheme="minorEastAsia" w:hAnsiTheme="minorEastAsia" w:cs="Noto Sans CJK JP Regular" w:hint="eastAsia"/>
                    <w:color w:val="000000"/>
                    <w:sz w:val="20"/>
                    <w:szCs w:val="20"/>
                    <w:lang w:eastAsia="en-US"/>
                  </w:rPr>
                </w:pPr>
                <w:r>
                  <w:rPr>
                    <w:rFonts w:asciiTheme="minorEastAsia" w:eastAsiaTheme="minorEastAsia" w:hAnsiTheme="minorEastAsia" w:cs="Noto Sans CJK JP Regular" w:hint="eastAsia"/>
                    <w:sz w:val="20"/>
                    <w:szCs w:val="20"/>
                    <w:lang w:eastAsia="en-US"/>
                  </w:rPr>
                  <w:t>单位名称</w:t>
                </w:r>
              </w:p>
            </w:tc>
            <w:tc>
              <w:tcPr>
                <w:tcW w:w="2131" w:type="pct"/>
                <w:gridSpan w:val="3"/>
                <w:tcBorders>
                  <w:top w:val="single" w:sz="4" w:space="0" w:color="auto"/>
                  <w:left w:val="nil"/>
                  <w:bottom w:val="single" w:sz="4" w:space="0" w:color="auto"/>
                  <w:right w:val="single" w:sz="4" w:space="0" w:color="auto"/>
                </w:tcBorders>
                <w:vAlign w:val="center"/>
              </w:tcPr>
              <w:p w14:paraId="5913FD5C"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期末数</w:t>
                </w:r>
              </w:p>
            </w:tc>
            <w:tc>
              <w:tcPr>
                <w:tcW w:w="1565" w:type="pct"/>
                <w:gridSpan w:val="2"/>
                <w:tcBorders>
                  <w:top w:val="single" w:sz="4" w:space="0" w:color="auto"/>
                  <w:left w:val="nil"/>
                  <w:bottom w:val="single" w:sz="4" w:space="0" w:color="auto"/>
                  <w:right w:val="single" w:sz="4" w:space="0" w:color="auto"/>
                </w:tcBorders>
                <w:vAlign w:val="center"/>
              </w:tcPr>
              <w:p w14:paraId="6EEB84D7"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期初数</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5C5424D0"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计提依据</w:t>
                </w:r>
              </w:p>
            </w:tc>
          </w:tr>
          <w:tr w:rsidR="00577D08" w14:paraId="5613286A" w14:textId="77777777">
            <w:trPr>
              <w:trHeight w:val="288"/>
            </w:trPr>
            <w:tc>
              <w:tcPr>
                <w:tcW w:w="519" w:type="pct"/>
                <w:vMerge/>
                <w:tcBorders>
                  <w:top w:val="single" w:sz="4" w:space="0" w:color="auto"/>
                  <w:left w:val="single" w:sz="4" w:space="0" w:color="auto"/>
                  <w:bottom w:val="single" w:sz="4" w:space="0" w:color="auto"/>
                  <w:right w:val="single" w:sz="4" w:space="0" w:color="auto"/>
                </w:tcBorders>
                <w:vAlign w:val="center"/>
              </w:tcPr>
              <w:p w14:paraId="7F142CB4" w14:textId="77777777" w:rsidR="00577D08" w:rsidRDefault="00577D08">
                <w:pPr>
                  <w:outlineLvl w:val="0"/>
                  <w:rPr>
                    <w:rFonts w:asciiTheme="minorEastAsia" w:eastAsiaTheme="minorEastAsia" w:hAnsiTheme="minorEastAsia" w:hint="eastAsia"/>
                    <w:color w:val="000000"/>
                    <w:sz w:val="20"/>
                    <w:szCs w:val="20"/>
                  </w:rPr>
                </w:pPr>
              </w:p>
            </w:tc>
            <w:tc>
              <w:tcPr>
                <w:tcW w:w="844" w:type="pct"/>
                <w:tcBorders>
                  <w:top w:val="nil"/>
                  <w:left w:val="nil"/>
                  <w:bottom w:val="single" w:sz="4" w:space="0" w:color="auto"/>
                  <w:right w:val="single" w:sz="4" w:space="0" w:color="auto"/>
                </w:tcBorders>
                <w:vAlign w:val="center"/>
              </w:tcPr>
              <w:p w14:paraId="4403E6C2"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账面余额</w:t>
                </w:r>
              </w:p>
            </w:tc>
            <w:tc>
              <w:tcPr>
                <w:tcW w:w="844" w:type="pct"/>
                <w:tcBorders>
                  <w:top w:val="nil"/>
                  <w:left w:val="nil"/>
                  <w:bottom w:val="single" w:sz="4" w:space="0" w:color="auto"/>
                  <w:right w:val="single" w:sz="4" w:space="0" w:color="auto"/>
                </w:tcBorders>
                <w:vAlign w:val="center"/>
              </w:tcPr>
              <w:p w14:paraId="64B87392"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坏账准备</w:t>
                </w:r>
              </w:p>
            </w:tc>
            <w:tc>
              <w:tcPr>
                <w:tcW w:w="443" w:type="pct"/>
                <w:tcBorders>
                  <w:top w:val="nil"/>
                  <w:left w:val="nil"/>
                  <w:bottom w:val="single" w:sz="4" w:space="0" w:color="auto"/>
                  <w:right w:val="single" w:sz="4" w:space="0" w:color="auto"/>
                </w:tcBorders>
                <w:vAlign w:val="center"/>
              </w:tcPr>
              <w:p w14:paraId="133692BD"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计提比例（%）</w:t>
                </w:r>
              </w:p>
            </w:tc>
            <w:tc>
              <w:tcPr>
                <w:tcW w:w="810" w:type="pct"/>
                <w:tcBorders>
                  <w:top w:val="nil"/>
                  <w:left w:val="nil"/>
                  <w:bottom w:val="single" w:sz="4" w:space="0" w:color="auto"/>
                  <w:right w:val="single" w:sz="4" w:space="0" w:color="auto"/>
                </w:tcBorders>
                <w:vAlign w:val="center"/>
              </w:tcPr>
              <w:p w14:paraId="2FA82950"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账面余额</w:t>
                </w:r>
              </w:p>
            </w:tc>
            <w:tc>
              <w:tcPr>
                <w:tcW w:w="755" w:type="pct"/>
                <w:tcBorders>
                  <w:top w:val="nil"/>
                  <w:left w:val="nil"/>
                  <w:bottom w:val="single" w:sz="4" w:space="0" w:color="auto"/>
                  <w:right w:val="single" w:sz="4" w:space="0" w:color="auto"/>
                </w:tcBorders>
                <w:vAlign w:val="center"/>
              </w:tcPr>
              <w:p w14:paraId="6145B4EE"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lang w:eastAsia="en-US"/>
                  </w:rPr>
                </w:pPr>
                <w:r>
                  <w:rPr>
                    <w:rFonts w:asciiTheme="minorEastAsia" w:eastAsiaTheme="minorEastAsia" w:hAnsiTheme="minorEastAsia" w:cs="Noto Sans CJK JP Regular" w:hint="eastAsia"/>
                    <w:sz w:val="20"/>
                    <w:szCs w:val="20"/>
                    <w:lang w:eastAsia="en-US"/>
                  </w:rPr>
                  <w:t>坏账准备</w:t>
                </w:r>
              </w:p>
            </w:tc>
            <w:tc>
              <w:tcPr>
                <w:tcW w:w="785" w:type="pct"/>
                <w:vMerge/>
                <w:tcBorders>
                  <w:top w:val="single" w:sz="4" w:space="0" w:color="auto"/>
                  <w:left w:val="single" w:sz="4" w:space="0" w:color="auto"/>
                  <w:bottom w:val="single" w:sz="4" w:space="0" w:color="auto"/>
                  <w:right w:val="single" w:sz="4" w:space="0" w:color="auto"/>
                </w:tcBorders>
                <w:vAlign w:val="center"/>
              </w:tcPr>
              <w:p w14:paraId="4A3B0A9E" w14:textId="77777777" w:rsidR="00577D08" w:rsidRDefault="00577D08">
                <w:pPr>
                  <w:widowControl w:val="0"/>
                  <w:autoSpaceDE w:val="0"/>
                  <w:autoSpaceDN w:val="0"/>
                  <w:jc w:val="center"/>
                  <w:rPr>
                    <w:rFonts w:asciiTheme="minorEastAsia" w:eastAsiaTheme="minorEastAsia" w:hAnsiTheme="minorEastAsia" w:cs="Noto Sans CJK JP Regular" w:hint="eastAsia"/>
                    <w:sz w:val="20"/>
                    <w:szCs w:val="20"/>
                    <w:lang w:eastAsia="en-US"/>
                  </w:rPr>
                </w:pPr>
              </w:p>
            </w:tc>
          </w:tr>
          <w:tr w:rsidR="00577D08" w14:paraId="681A4C02" w14:textId="77777777">
            <w:trPr>
              <w:trHeight w:val="288"/>
            </w:trPr>
            <w:tc>
              <w:tcPr>
                <w:tcW w:w="519" w:type="pct"/>
                <w:tcBorders>
                  <w:top w:val="nil"/>
                  <w:left w:val="single" w:sz="4" w:space="0" w:color="auto"/>
                  <w:bottom w:val="single" w:sz="4" w:space="0" w:color="auto"/>
                  <w:right w:val="single" w:sz="4" w:space="0" w:color="auto"/>
                </w:tcBorders>
                <w:vAlign w:val="center"/>
              </w:tcPr>
              <w:p w14:paraId="38023C41" w14:textId="77777777" w:rsidR="00577D08" w:rsidRDefault="00330FC0">
                <w:pPr>
                  <w:widowControl w:val="0"/>
                  <w:autoSpaceDE w:val="0"/>
                  <w:autoSpaceDN w:val="0"/>
                  <w:rPr>
                    <w:rFonts w:asciiTheme="minorEastAsia" w:eastAsiaTheme="minorEastAsia" w:hAnsiTheme="minorEastAsia" w:hint="eastAsia"/>
                    <w:sz w:val="20"/>
                    <w:szCs w:val="20"/>
                  </w:rPr>
                </w:pPr>
                <w:r>
                  <w:rPr>
                    <w:rFonts w:asciiTheme="minorEastAsia" w:eastAsiaTheme="minorEastAsia" w:hAnsiTheme="minorEastAsia" w:hint="eastAsia"/>
                    <w:sz w:val="20"/>
                    <w:szCs w:val="20"/>
                  </w:rPr>
                  <w:t>昆明市西山区人民政府马街街道办事处</w:t>
                </w:r>
              </w:p>
            </w:tc>
            <w:tc>
              <w:tcPr>
                <w:tcW w:w="844" w:type="pct"/>
                <w:tcBorders>
                  <w:top w:val="nil"/>
                  <w:left w:val="nil"/>
                  <w:bottom w:val="single" w:sz="4" w:space="0" w:color="auto"/>
                  <w:right w:val="single" w:sz="4" w:space="0" w:color="auto"/>
                </w:tcBorders>
                <w:vAlign w:val="center"/>
              </w:tcPr>
              <w:p w14:paraId="48CE69F9"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128,226,000.00</w:t>
                </w:r>
              </w:p>
            </w:tc>
            <w:tc>
              <w:tcPr>
                <w:tcW w:w="844" w:type="pct"/>
                <w:tcBorders>
                  <w:top w:val="nil"/>
                  <w:left w:val="nil"/>
                  <w:bottom w:val="single" w:sz="4" w:space="0" w:color="auto"/>
                  <w:right w:val="single" w:sz="4" w:space="0" w:color="auto"/>
                </w:tcBorders>
                <w:vAlign w:val="center"/>
              </w:tcPr>
              <w:p w14:paraId="31C43F90"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24,185,642.47</w:t>
                </w:r>
              </w:p>
            </w:tc>
            <w:tc>
              <w:tcPr>
                <w:tcW w:w="443" w:type="pct"/>
                <w:tcBorders>
                  <w:top w:val="nil"/>
                  <w:left w:val="nil"/>
                  <w:bottom w:val="single" w:sz="4" w:space="0" w:color="auto"/>
                  <w:right w:val="single" w:sz="4" w:space="0" w:color="auto"/>
                </w:tcBorders>
                <w:vAlign w:val="center"/>
              </w:tcPr>
              <w:p w14:paraId="50C74370"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18.86</w:t>
                </w:r>
              </w:p>
            </w:tc>
            <w:tc>
              <w:tcPr>
                <w:tcW w:w="810" w:type="pct"/>
                <w:tcBorders>
                  <w:top w:val="nil"/>
                  <w:left w:val="nil"/>
                  <w:bottom w:val="single" w:sz="4" w:space="0" w:color="auto"/>
                  <w:right w:val="single" w:sz="4" w:space="0" w:color="auto"/>
                </w:tcBorders>
                <w:vAlign w:val="center"/>
              </w:tcPr>
              <w:p w14:paraId="07730E83"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128,226,000.00</w:t>
                </w:r>
              </w:p>
            </w:tc>
            <w:tc>
              <w:tcPr>
                <w:tcW w:w="755" w:type="pct"/>
                <w:tcBorders>
                  <w:top w:val="nil"/>
                  <w:left w:val="nil"/>
                  <w:bottom w:val="single" w:sz="4" w:space="0" w:color="auto"/>
                  <w:right w:val="single" w:sz="4" w:space="0" w:color="auto"/>
                </w:tcBorders>
                <w:vAlign w:val="center"/>
              </w:tcPr>
              <w:p w14:paraId="64005D80"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24,185,642.47</w:t>
                </w:r>
              </w:p>
            </w:tc>
            <w:tc>
              <w:tcPr>
                <w:tcW w:w="785" w:type="pct"/>
                <w:tcBorders>
                  <w:top w:val="nil"/>
                  <w:left w:val="nil"/>
                  <w:bottom w:val="single" w:sz="4" w:space="0" w:color="auto"/>
                  <w:right w:val="single" w:sz="4" w:space="0" w:color="auto"/>
                </w:tcBorders>
                <w:vAlign w:val="center"/>
              </w:tcPr>
              <w:p w14:paraId="7D0FF441" w14:textId="77777777" w:rsidR="00577D08" w:rsidRDefault="00330FC0">
                <w:pPr>
                  <w:widowControl w:val="0"/>
                  <w:autoSpaceDE w:val="0"/>
                  <w:autoSpaceDN w:val="0"/>
                  <w:jc w:val="center"/>
                  <w:rPr>
                    <w:rFonts w:asciiTheme="minorEastAsia" w:eastAsiaTheme="minorEastAsia" w:hAnsiTheme="minorEastAsia" w:cs="Noto Sans CJK JP Regular" w:hint="eastAsia"/>
                    <w:sz w:val="20"/>
                    <w:szCs w:val="20"/>
                  </w:rPr>
                </w:pPr>
                <w:r>
                  <w:rPr>
                    <w:rFonts w:asciiTheme="minorEastAsia" w:eastAsiaTheme="minorEastAsia" w:hAnsiTheme="minorEastAsia" w:cs="Noto Sans CJK JP Regular" w:hint="eastAsia"/>
                    <w:sz w:val="20"/>
                    <w:szCs w:val="20"/>
                  </w:rPr>
                  <w:t>预计未来可收回金额现值</w:t>
                </w:r>
              </w:p>
            </w:tc>
          </w:tr>
          <w:tr w:rsidR="00577D08" w14:paraId="3680D397" w14:textId="77777777">
            <w:trPr>
              <w:trHeight w:val="288"/>
            </w:trPr>
            <w:tc>
              <w:tcPr>
                <w:tcW w:w="519" w:type="pct"/>
                <w:tcBorders>
                  <w:top w:val="nil"/>
                  <w:left w:val="single" w:sz="4" w:space="0" w:color="auto"/>
                  <w:bottom w:val="single" w:sz="4" w:space="0" w:color="auto"/>
                  <w:right w:val="single" w:sz="4" w:space="0" w:color="auto"/>
                </w:tcBorders>
                <w:vAlign w:val="center"/>
              </w:tcPr>
              <w:p w14:paraId="53E2E63B" w14:textId="77777777" w:rsidR="00577D08" w:rsidRDefault="00330FC0">
                <w:pPr>
                  <w:widowControl w:val="0"/>
                  <w:autoSpaceDE w:val="0"/>
                  <w:autoSpaceDN w:val="0"/>
                  <w:jc w:val="center"/>
                  <w:rPr>
                    <w:rFonts w:asciiTheme="minorEastAsia" w:eastAsiaTheme="minorEastAsia" w:hAnsiTheme="minorEastAsia" w:hint="eastAsia"/>
                    <w:sz w:val="20"/>
                    <w:szCs w:val="20"/>
                  </w:rPr>
                </w:pPr>
                <w:r>
                  <w:rPr>
                    <w:rFonts w:asciiTheme="minorEastAsia" w:eastAsiaTheme="minorEastAsia" w:hAnsiTheme="minorEastAsia" w:hint="eastAsia"/>
                    <w:sz w:val="20"/>
                    <w:szCs w:val="20"/>
                  </w:rPr>
                  <w:t>合计</w:t>
                </w:r>
              </w:p>
            </w:tc>
            <w:tc>
              <w:tcPr>
                <w:tcW w:w="844" w:type="pct"/>
                <w:tcBorders>
                  <w:top w:val="nil"/>
                  <w:left w:val="nil"/>
                  <w:bottom w:val="single" w:sz="4" w:space="0" w:color="auto"/>
                  <w:right w:val="single" w:sz="4" w:space="0" w:color="auto"/>
                </w:tcBorders>
                <w:vAlign w:val="center"/>
              </w:tcPr>
              <w:p w14:paraId="42A748CA"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128,226,000.00</w:t>
                </w:r>
              </w:p>
            </w:tc>
            <w:tc>
              <w:tcPr>
                <w:tcW w:w="844" w:type="pct"/>
                <w:tcBorders>
                  <w:top w:val="nil"/>
                  <w:left w:val="nil"/>
                  <w:bottom w:val="single" w:sz="4" w:space="0" w:color="auto"/>
                  <w:right w:val="single" w:sz="4" w:space="0" w:color="auto"/>
                </w:tcBorders>
                <w:vAlign w:val="center"/>
              </w:tcPr>
              <w:p w14:paraId="26A041AE"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24,185,642.47</w:t>
                </w:r>
              </w:p>
            </w:tc>
            <w:tc>
              <w:tcPr>
                <w:tcW w:w="443" w:type="pct"/>
                <w:tcBorders>
                  <w:top w:val="nil"/>
                  <w:left w:val="nil"/>
                  <w:bottom w:val="single" w:sz="4" w:space="0" w:color="auto"/>
                  <w:right w:val="single" w:sz="4" w:space="0" w:color="auto"/>
                </w:tcBorders>
                <w:vAlign w:val="center"/>
              </w:tcPr>
              <w:p w14:paraId="6D0470F2"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18.86</w:t>
                </w:r>
              </w:p>
            </w:tc>
            <w:tc>
              <w:tcPr>
                <w:tcW w:w="810" w:type="pct"/>
                <w:tcBorders>
                  <w:top w:val="nil"/>
                  <w:left w:val="nil"/>
                  <w:bottom w:val="single" w:sz="4" w:space="0" w:color="auto"/>
                  <w:right w:val="single" w:sz="4" w:space="0" w:color="auto"/>
                </w:tcBorders>
                <w:vAlign w:val="center"/>
              </w:tcPr>
              <w:p w14:paraId="5E6DF1B8"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128,226,000.00</w:t>
                </w:r>
              </w:p>
            </w:tc>
            <w:tc>
              <w:tcPr>
                <w:tcW w:w="755" w:type="pct"/>
                <w:tcBorders>
                  <w:top w:val="nil"/>
                  <w:left w:val="nil"/>
                  <w:bottom w:val="single" w:sz="4" w:space="0" w:color="auto"/>
                  <w:right w:val="single" w:sz="4" w:space="0" w:color="auto"/>
                </w:tcBorders>
                <w:vAlign w:val="center"/>
              </w:tcPr>
              <w:p w14:paraId="3ADEF8C9" w14:textId="77777777" w:rsidR="00577D08" w:rsidRDefault="00330FC0">
                <w:pPr>
                  <w:jc w:val="right"/>
                  <w:rPr>
                    <w:rFonts w:asciiTheme="minorEastAsia" w:eastAsiaTheme="minorEastAsia" w:hAnsiTheme="minorEastAsia" w:hint="eastAsia"/>
                    <w:sz w:val="20"/>
                    <w:szCs w:val="20"/>
                  </w:rPr>
                </w:pPr>
                <w:r>
                  <w:rPr>
                    <w:rFonts w:asciiTheme="minorEastAsia" w:eastAsiaTheme="minorEastAsia" w:hAnsiTheme="minorEastAsia"/>
                    <w:sz w:val="20"/>
                    <w:szCs w:val="20"/>
                  </w:rPr>
                  <w:t>24,185,642.47</w:t>
                </w:r>
              </w:p>
            </w:tc>
            <w:tc>
              <w:tcPr>
                <w:tcW w:w="785" w:type="pct"/>
                <w:tcBorders>
                  <w:top w:val="nil"/>
                  <w:left w:val="nil"/>
                  <w:bottom w:val="single" w:sz="4" w:space="0" w:color="auto"/>
                  <w:right w:val="single" w:sz="4" w:space="0" w:color="auto"/>
                </w:tcBorders>
                <w:vAlign w:val="center"/>
              </w:tcPr>
              <w:p w14:paraId="16FB01CD" w14:textId="77777777" w:rsidR="00577D08" w:rsidRDefault="00330FC0">
                <w:pPr>
                  <w:outlineLvl w:val="0"/>
                  <w:rPr>
                    <w:rFonts w:asciiTheme="minorEastAsia" w:eastAsiaTheme="minorEastAsia" w:hAnsiTheme="minorEastAsia" w:hint="eastAsia"/>
                    <w:color w:val="000000"/>
                    <w:sz w:val="20"/>
                    <w:szCs w:val="20"/>
                  </w:rPr>
                </w:pPr>
                <w:r>
                  <w:rPr>
                    <w:rFonts w:asciiTheme="minorEastAsia" w:eastAsiaTheme="minorEastAsia" w:hAnsiTheme="minorEastAsia" w:hint="eastAsia"/>
                    <w:color w:val="000000"/>
                    <w:sz w:val="20"/>
                    <w:szCs w:val="20"/>
                  </w:rPr>
                  <w:t xml:space="preserve">　</w:t>
                </w:r>
              </w:p>
            </w:tc>
          </w:tr>
        </w:tbl>
        <w:p w14:paraId="07421197" w14:textId="77777777" w:rsidR="00577D08" w:rsidRDefault="00330FC0">
          <w:pPr>
            <w:spacing w:line="360" w:lineRule="exact"/>
            <w:ind w:firstLineChars="200" w:firstLine="420"/>
            <w:jc w:val="both"/>
            <w:rPr>
              <w:rFonts w:asciiTheme="minorEastAsia" w:eastAsiaTheme="minorEastAsia" w:hAnsiTheme="minorEastAsia" w:hint="eastAsia"/>
            </w:rPr>
          </w:pPr>
          <w:r>
            <w:rPr>
              <w:rFonts w:asciiTheme="minorEastAsia" w:eastAsiaTheme="minorEastAsia" w:hAnsiTheme="minorEastAsia" w:hint="eastAsia"/>
            </w:rPr>
            <w:t>根据云变电气与昆明市西山区自然资源局、昆明市西山区城市更新改造领导小组办公室、昆明市西山区人民政府马街街道办事处签订的《昆明市企业“退二进三”国有土地使用权收购协议》之补充协议（以下简称土地收购协议）,云变电气将位于昆明市西山区春雨路265号，证载面积122.12亩（81,214.07平方米）土地交由政府收储，确认的搬迁补偿费金额为256,452,000.00元。截至2025年12月31日，云变电气已完成土地收购协议所约定的相关义务，尚有128,226,000.00元土地补偿款未收回，该款项的收回时间存在不确定性，经管理层审慎评估，采用预计未来可收回金额的现值单项计提坏账准备。</w:t>
          </w:r>
        </w:p>
      </w:sdtContent>
    </w:sdt>
    <w:p w14:paraId="0CA97725" w14:textId="77777777" w:rsidR="00577D08" w:rsidRDefault="00330FC0">
      <w:bookmarkStart w:id="364" w:name="_Hlk534806817"/>
      <w:bookmarkEnd w:id="363"/>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912692665"/>
        <w:placeholder>
          <w:docPart w:val="GBC22222222222222222222222222222"/>
        </w:placeholder>
      </w:sdtPr>
      <w:sdtContent>
        <w:p w14:paraId="5C4C7D2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D69987A" w14:textId="77777777" w:rsidR="00577D08" w:rsidRDefault="00330FC0">
      <w:pPr>
        <w:pStyle w:val="5"/>
        <w:numPr>
          <w:ilvl w:val="0"/>
          <w:numId w:val="69"/>
        </w:numPr>
        <w:ind w:leftChars="0"/>
      </w:pPr>
      <w:bookmarkStart w:id="365" w:name="_Hlk532831394"/>
      <w:bookmarkEnd w:id="364"/>
      <w:r>
        <w:rPr>
          <w:rFonts w:hint="eastAsia"/>
        </w:rPr>
        <w:t>坏账准备的情况</w:t>
      </w:r>
    </w:p>
    <w:sdt>
      <w:sdtPr>
        <w:alias w:val="是否适用：其他应收款坏账准备[双击切换]"/>
        <w:tag w:val="_GBC_524ff4c8c6e549ef8e2bf00ca72ddbb6"/>
        <w:id w:val="-1586767427"/>
        <w:placeholder>
          <w:docPart w:val="GBC22222222222222222222222222222"/>
        </w:placeholder>
      </w:sdtPr>
      <w:sdtContent>
        <w:p w14:paraId="570B8EA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16DADE8" w14:textId="77777777" w:rsidR="00577D08" w:rsidRDefault="00330FC0">
      <w:bookmarkStart w:id="366" w:name="_Hlk154157836"/>
      <w:r>
        <w:rPr>
          <w:rFonts w:hint="eastAsia"/>
        </w:rPr>
        <w:t>其中本期坏账准备转回或收回金额重要的：</w:t>
      </w:r>
    </w:p>
    <w:sdt>
      <w:sdtPr>
        <w:alias w:val="是否适用：其中本期其他应收账款坏账准备收回或转回金额重要的[双击切换]"/>
        <w:tag w:val="_GBC_c99a80b9a36440d7b9ed3ce899868361"/>
        <w:id w:val="-394821600"/>
        <w:placeholder>
          <w:docPart w:val="GBC22222222222222222222222222222"/>
        </w:placeholder>
      </w:sdtPr>
      <w:sdtContent>
        <w:p w14:paraId="17B5916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98A4B1" w14:textId="77777777" w:rsidR="00577D08" w:rsidRDefault="00330FC0">
      <w:r>
        <w:rPr>
          <w:rFonts w:hint="eastAsia"/>
        </w:rPr>
        <w:lastRenderedPageBreak/>
        <w:t>其他说明：</w:t>
      </w:r>
    </w:p>
    <w:sdt>
      <w:sdtPr>
        <w:alias w:val="其他应收款坏账准备情况的说明"/>
        <w:tag w:val="_GBC_ea3d549b97f449188fd9e2f767cdcd6c"/>
        <w:id w:val="-1028247727"/>
        <w:placeholder>
          <w:docPart w:val="GBC22222222222222222222222222222"/>
        </w:placeholder>
      </w:sdtPr>
      <w:sdtContent>
        <w:p w14:paraId="19F2E695" w14:textId="77777777" w:rsidR="00577D08" w:rsidRDefault="00330FC0">
          <w:r>
            <w:rPr>
              <w:rFonts w:hint="eastAsia"/>
            </w:rPr>
            <w:t>无</w:t>
          </w:r>
        </w:p>
      </w:sdtContent>
    </w:sdt>
    <w:bookmarkEnd w:id="365"/>
    <w:bookmarkEnd w:id="366"/>
    <w:p w14:paraId="16849229" w14:textId="77777777" w:rsidR="00577D08" w:rsidRDefault="00330FC0">
      <w:pPr>
        <w:pStyle w:val="5"/>
        <w:numPr>
          <w:ilvl w:val="0"/>
          <w:numId w:val="69"/>
        </w:numPr>
        <w:ind w:leftChars="0"/>
      </w:pPr>
      <w:r>
        <w:rPr>
          <w:rFonts w:hint="eastAsia"/>
        </w:rPr>
        <w:t>本期实际核销的其他应收款情况</w:t>
      </w:r>
    </w:p>
    <w:sdt>
      <w:sdtPr>
        <w:alias w:val="是否适用：本期实际核销的其他应收款情况[双击切换]"/>
        <w:tag w:val="_GBC_2ce86125d6b94b148fa674141e6497b1"/>
        <w:id w:val="2038540038"/>
        <w:placeholder>
          <w:docPart w:val="GBC22222222222222222222222222222"/>
        </w:placeholder>
      </w:sdtPr>
      <w:sdtContent>
        <w:p w14:paraId="76E7F2ED"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5F6B9A" w14:textId="77777777" w:rsidR="00577D08" w:rsidRDefault="00330FC0">
      <w:r>
        <w:rPr>
          <w:rFonts w:hint="eastAsia"/>
        </w:rPr>
        <w:t>其中重要的其他应收款核销情况：</w:t>
      </w:r>
    </w:p>
    <w:sdt>
      <w:sdtPr>
        <w:alias w:val="是否适用：其中重要的其他应收款核销情况[双击切换]"/>
        <w:tag w:val="_GBC_6f3b8f9a05dc4f2082e4ad20a1930006"/>
        <w:id w:val="1563829675"/>
        <w:placeholder>
          <w:docPart w:val="GBC22222222222222222222222222222"/>
        </w:placeholder>
      </w:sdtPr>
      <w:sdtContent>
        <w:p w14:paraId="56AFD66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2BFFC24" w14:textId="77777777" w:rsidR="00577D08" w:rsidRDefault="00330FC0">
      <w:pPr>
        <w:snapToGrid w:val="0"/>
        <w:spacing w:line="240" w:lineRule="atLeast"/>
        <w:rPr>
          <w:b/>
          <w:bCs/>
        </w:rPr>
      </w:pPr>
      <w:r>
        <w:rPr>
          <w:rFonts w:hint="eastAsia"/>
        </w:rPr>
        <w:t>其他应收款核销说明：</w:t>
      </w:r>
    </w:p>
    <w:sdt>
      <w:sdtPr>
        <w:alias w:val="是否适用：其他应收款冲销坏帐明细的说明[双击切换]"/>
        <w:tag w:val="_GBC_c894606830c4440ba090ef98078b372b"/>
        <w:id w:val="-1371832277"/>
        <w:placeholder>
          <w:docPart w:val="GBC22222222222222222222222222222"/>
        </w:placeholder>
      </w:sdtPr>
      <w:sdtContent>
        <w:p w14:paraId="0A38ADB3"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6C5D7B" w14:textId="77777777" w:rsidR="00577D08" w:rsidRDefault="00330FC0">
      <w:pPr>
        <w:pStyle w:val="5"/>
        <w:numPr>
          <w:ilvl w:val="0"/>
          <w:numId w:val="69"/>
        </w:numPr>
        <w:ind w:leftChars="0"/>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9406366"/>
        <w:placeholder>
          <w:docPart w:val="GBC22222222222222222222222222222"/>
        </w:placeholder>
      </w:sdtPr>
      <w:sdtContent>
        <w:p w14:paraId="474B0D0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53F9B1D" w14:textId="201E4805" w:rsidR="00577D08" w:rsidRDefault="00330FC0">
      <w:pPr>
        <w:jc w:val="right"/>
      </w:pPr>
      <w:r>
        <w:rPr>
          <w:rFonts w:hint="eastAsia"/>
        </w:rPr>
        <w:t>单位：</w:t>
      </w:r>
      <w:sdt>
        <w:sdtPr>
          <w:rPr>
            <w:rFonts w:hint="eastAsia"/>
          </w:rPr>
          <w:alias w:val="单位财务附注：其他应收账款前五名欠款情况"/>
          <w:tag w:val="_GBC_06f7a71e039445228d80a5741df4c4f7"/>
          <w:id w:val="4151382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其他应收账款前五名欠款情况"/>
          <w:tag w:val="_GBC_54cf5f95e62e4f5f8ccb31731efadf32"/>
          <w:id w:val="-18471643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1559"/>
        <w:gridCol w:w="1701"/>
        <w:gridCol w:w="1276"/>
        <w:gridCol w:w="1425"/>
      </w:tblGrid>
      <w:tr w:rsidR="00577D08" w14:paraId="58CA9107" w14:textId="77777777">
        <w:trPr>
          <w:cantSplit/>
        </w:trPr>
        <w:sdt>
          <w:sdtPr>
            <w:tag w:val="_PLD_f30fc2dc8886472699c892f0395ab05e"/>
            <w:id w:val="-2032022443"/>
          </w:sdtPr>
          <w:sdtContent>
            <w:tc>
              <w:tcPr>
                <w:tcW w:w="1384" w:type="dxa"/>
                <w:vAlign w:val="center"/>
              </w:tcPr>
              <w:p w14:paraId="142E6BA6" w14:textId="77777777" w:rsidR="00577D08" w:rsidRDefault="00330FC0">
                <w:pPr>
                  <w:ind w:right="105"/>
                  <w:jc w:val="center"/>
                </w:pPr>
                <w:r>
                  <w:rPr>
                    <w:rFonts w:hint="eastAsia"/>
                  </w:rPr>
                  <w:t>单位名称</w:t>
                </w:r>
              </w:p>
            </w:tc>
          </w:sdtContent>
        </w:sdt>
        <w:sdt>
          <w:sdtPr>
            <w:tag w:val="_PLD_1bc905abb4bf4c679b9fbe0a7587d651"/>
            <w:id w:val="1259641686"/>
          </w:sdtPr>
          <w:sdtContent>
            <w:tc>
              <w:tcPr>
                <w:tcW w:w="1701" w:type="dxa"/>
                <w:vAlign w:val="center"/>
              </w:tcPr>
              <w:p w14:paraId="53E4770D" w14:textId="77777777" w:rsidR="00577D08" w:rsidRDefault="00330FC0">
                <w:pPr>
                  <w:ind w:right="73"/>
                  <w:jc w:val="center"/>
                </w:pPr>
                <w:r>
                  <w:rPr>
                    <w:rFonts w:hint="eastAsia"/>
                  </w:rPr>
                  <w:t>期末余额</w:t>
                </w:r>
              </w:p>
            </w:tc>
          </w:sdtContent>
        </w:sdt>
        <w:sdt>
          <w:sdtPr>
            <w:tag w:val="_PLD_055b75c0a3cf450e995ac7e13fdc0c08"/>
            <w:id w:val="-1717733449"/>
          </w:sdtPr>
          <w:sdtContent>
            <w:tc>
              <w:tcPr>
                <w:tcW w:w="1559" w:type="dxa"/>
                <w:vAlign w:val="center"/>
              </w:tcPr>
              <w:p w14:paraId="7EB80CF4" w14:textId="77777777" w:rsidR="00577D08" w:rsidRDefault="00330FC0">
                <w:pPr>
                  <w:jc w:val="center"/>
                </w:pPr>
                <w:r>
                  <w:rPr>
                    <w:rFonts w:hint="eastAsia"/>
                  </w:rPr>
                  <w:t>占其他应收款期末余额合计数的比例</w:t>
                </w:r>
                <w:r>
                  <w:rPr>
                    <w:rFonts w:hint="eastAsia"/>
                  </w:rPr>
                  <w:t>(</w:t>
                </w:r>
                <w:r>
                  <w:t>%)</w:t>
                </w:r>
              </w:p>
            </w:tc>
          </w:sdtContent>
        </w:sdt>
        <w:sdt>
          <w:sdtPr>
            <w:tag w:val="_PLD_44129b8132114de2a4d33c4acb8af98f"/>
            <w:id w:val="263118518"/>
          </w:sdtPr>
          <w:sdtContent>
            <w:tc>
              <w:tcPr>
                <w:tcW w:w="1701" w:type="dxa"/>
                <w:vAlign w:val="center"/>
              </w:tcPr>
              <w:p w14:paraId="75D5E7AC" w14:textId="77777777" w:rsidR="00577D08" w:rsidRDefault="00330FC0">
                <w:pPr>
                  <w:ind w:right="73"/>
                  <w:jc w:val="center"/>
                </w:pPr>
                <w:r>
                  <w:rPr>
                    <w:rFonts w:hint="eastAsia"/>
                  </w:rPr>
                  <w:t>款项的性质</w:t>
                </w:r>
              </w:p>
            </w:tc>
          </w:sdtContent>
        </w:sdt>
        <w:sdt>
          <w:sdtPr>
            <w:tag w:val="_PLD_d9231de346f74815b1bc7c82527b1ef5"/>
            <w:id w:val="1242216234"/>
          </w:sdtPr>
          <w:sdtContent>
            <w:tc>
              <w:tcPr>
                <w:tcW w:w="1276" w:type="dxa"/>
                <w:vAlign w:val="center"/>
              </w:tcPr>
              <w:p w14:paraId="2A259537" w14:textId="77777777" w:rsidR="00577D08" w:rsidRDefault="00330FC0">
                <w:pPr>
                  <w:ind w:right="73"/>
                  <w:jc w:val="center"/>
                </w:pPr>
                <w:r>
                  <w:rPr>
                    <w:rFonts w:hint="eastAsia"/>
                  </w:rPr>
                  <w:t>账龄</w:t>
                </w:r>
              </w:p>
            </w:tc>
          </w:sdtContent>
        </w:sdt>
        <w:sdt>
          <w:sdtPr>
            <w:tag w:val="_PLD_a7951a260c094fc8b8b64f2d1e6a933e"/>
            <w:id w:val="431551208"/>
          </w:sdtPr>
          <w:sdtContent>
            <w:tc>
              <w:tcPr>
                <w:tcW w:w="1425" w:type="dxa"/>
                <w:vAlign w:val="center"/>
              </w:tcPr>
              <w:p w14:paraId="7EDA2FD3" w14:textId="77777777" w:rsidR="00577D08" w:rsidRDefault="00330FC0">
                <w:pPr>
                  <w:jc w:val="center"/>
                </w:pPr>
                <w:r>
                  <w:rPr>
                    <w:rFonts w:hint="eastAsia"/>
                  </w:rPr>
                  <w:t>坏账准备</w:t>
                </w:r>
              </w:p>
              <w:p w14:paraId="1369B17C" w14:textId="77777777" w:rsidR="00577D08" w:rsidRDefault="00330FC0">
                <w:pPr>
                  <w:jc w:val="center"/>
                </w:pPr>
                <w:r>
                  <w:rPr>
                    <w:rFonts w:hint="eastAsia"/>
                  </w:rPr>
                  <w:t>期末余额</w:t>
                </w:r>
              </w:p>
            </w:tc>
          </w:sdtContent>
        </w:sdt>
      </w:tr>
      <w:tr w:rsidR="00577D08" w14:paraId="51F36BA8" w14:textId="77777777">
        <w:trPr>
          <w:cantSplit/>
        </w:trPr>
        <w:tc>
          <w:tcPr>
            <w:tcW w:w="1384" w:type="dxa"/>
          </w:tcPr>
          <w:p w14:paraId="6E2A8F1C" w14:textId="77777777" w:rsidR="00577D08" w:rsidRDefault="00330FC0">
            <w:pPr>
              <w:ind w:right="105"/>
            </w:pPr>
            <w:r>
              <w:rPr>
                <w:rFonts w:hint="eastAsia"/>
              </w:rPr>
              <w:t>昆明市西山区人民政府马街街道办事处</w:t>
            </w:r>
          </w:p>
        </w:tc>
        <w:tc>
          <w:tcPr>
            <w:tcW w:w="1701" w:type="dxa"/>
            <w:vAlign w:val="center"/>
          </w:tcPr>
          <w:p w14:paraId="71C10FA4" w14:textId="77777777" w:rsidR="00577D08" w:rsidRDefault="00330FC0">
            <w:pPr>
              <w:ind w:right="73"/>
              <w:jc w:val="right"/>
            </w:pPr>
            <w:r>
              <w:rPr>
                <w:rFonts w:hint="eastAsia"/>
              </w:rPr>
              <w:t>128,226,000.00</w:t>
            </w:r>
          </w:p>
        </w:tc>
        <w:tc>
          <w:tcPr>
            <w:tcW w:w="1559" w:type="dxa"/>
            <w:vAlign w:val="center"/>
          </w:tcPr>
          <w:p w14:paraId="16820B21" w14:textId="77777777" w:rsidR="00577D08" w:rsidRDefault="00330FC0">
            <w:pPr>
              <w:jc w:val="right"/>
            </w:pPr>
            <w:r>
              <w:rPr>
                <w:rFonts w:hint="eastAsia"/>
              </w:rPr>
              <w:t>85.62</w:t>
            </w:r>
          </w:p>
        </w:tc>
        <w:tc>
          <w:tcPr>
            <w:tcW w:w="1701" w:type="dxa"/>
            <w:vAlign w:val="center"/>
          </w:tcPr>
          <w:p w14:paraId="15F1B0E8" w14:textId="77777777" w:rsidR="00577D08" w:rsidRDefault="00330FC0">
            <w:pPr>
              <w:ind w:right="73"/>
              <w:jc w:val="center"/>
            </w:pPr>
            <w:r>
              <w:rPr>
                <w:rFonts w:hint="eastAsia"/>
              </w:rPr>
              <w:t>土地补偿款</w:t>
            </w:r>
          </w:p>
        </w:tc>
        <w:tc>
          <w:tcPr>
            <w:tcW w:w="1276" w:type="dxa"/>
            <w:vAlign w:val="center"/>
          </w:tcPr>
          <w:p w14:paraId="741C656E" w14:textId="77777777" w:rsidR="00577D08" w:rsidRDefault="00330FC0">
            <w:pPr>
              <w:ind w:right="73"/>
              <w:jc w:val="center"/>
            </w:pPr>
            <w:r>
              <w:rPr>
                <w:rFonts w:hint="eastAsia"/>
              </w:rPr>
              <w:t>3-4</w:t>
            </w:r>
            <w:r>
              <w:rPr>
                <w:rFonts w:hint="eastAsia"/>
              </w:rPr>
              <w:t>年</w:t>
            </w:r>
          </w:p>
        </w:tc>
        <w:tc>
          <w:tcPr>
            <w:tcW w:w="1425" w:type="dxa"/>
            <w:vAlign w:val="center"/>
          </w:tcPr>
          <w:p w14:paraId="006C3329" w14:textId="77777777" w:rsidR="00577D08" w:rsidRDefault="00330FC0">
            <w:pPr>
              <w:jc w:val="right"/>
            </w:pPr>
            <w:r>
              <w:rPr>
                <w:rFonts w:hint="eastAsia"/>
              </w:rPr>
              <w:t>24,185,642.47</w:t>
            </w:r>
          </w:p>
        </w:tc>
      </w:tr>
      <w:tr w:rsidR="00577D08" w14:paraId="66A04AA7" w14:textId="77777777">
        <w:trPr>
          <w:cantSplit/>
        </w:trPr>
        <w:tc>
          <w:tcPr>
            <w:tcW w:w="1384" w:type="dxa"/>
          </w:tcPr>
          <w:p w14:paraId="0275FBFB" w14:textId="77777777" w:rsidR="00577D08" w:rsidRDefault="00330FC0">
            <w:pPr>
              <w:ind w:right="105"/>
            </w:pPr>
            <w:r>
              <w:rPr>
                <w:rFonts w:hint="eastAsia"/>
              </w:rPr>
              <w:t>南方电网供应链集团有限公司</w:t>
            </w:r>
          </w:p>
        </w:tc>
        <w:tc>
          <w:tcPr>
            <w:tcW w:w="1701" w:type="dxa"/>
            <w:vAlign w:val="center"/>
          </w:tcPr>
          <w:p w14:paraId="03507300" w14:textId="77777777" w:rsidR="00577D08" w:rsidRDefault="00330FC0">
            <w:pPr>
              <w:ind w:right="73"/>
              <w:jc w:val="right"/>
            </w:pPr>
            <w:r>
              <w:rPr>
                <w:rFonts w:hint="eastAsia"/>
              </w:rPr>
              <w:t>1,600,000.00</w:t>
            </w:r>
          </w:p>
        </w:tc>
        <w:tc>
          <w:tcPr>
            <w:tcW w:w="1559" w:type="dxa"/>
            <w:vAlign w:val="center"/>
          </w:tcPr>
          <w:p w14:paraId="40587DED" w14:textId="77777777" w:rsidR="00577D08" w:rsidRDefault="00330FC0">
            <w:pPr>
              <w:jc w:val="right"/>
            </w:pPr>
            <w:r>
              <w:rPr>
                <w:rFonts w:hint="eastAsia"/>
              </w:rPr>
              <w:t>1.07</w:t>
            </w:r>
          </w:p>
        </w:tc>
        <w:tc>
          <w:tcPr>
            <w:tcW w:w="1701" w:type="dxa"/>
            <w:vAlign w:val="center"/>
          </w:tcPr>
          <w:p w14:paraId="1DE3BD0B" w14:textId="77777777" w:rsidR="00577D08" w:rsidRDefault="00330FC0">
            <w:pPr>
              <w:ind w:right="73"/>
              <w:jc w:val="center"/>
            </w:pPr>
            <w:r>
              <w:rPr>
                <w:rFonts w:hint="eastAsia"/>
              </w:rPr>
              <w:t>押金及保证金</w:t>
            </w:r>
          </w:p>
        </w:tc>
        <w:tc>
          <w:tcPr>
            <w:tcW w:w="1276" w:type="dxa"/>
            <w:vAlign w:val="center"/>
          </w:tcPr>
          <w:p w14:paraId="44D819ED" w14:textId="77777777" w:rsidR="00577D08" w:rsidRDefault="00330FC0">
            <w:pPr>
              <w:ind w:right="73"/>
              <w:jc w:val="center"/>
            </w:pPr>
            <w:r>
              <w:rPr>
                <w:rFonts w:hint="eastAsia"/>
              </w:rPr>
              <w:t>1</w:t>
            </w:r>
            <w:r>
              <w:rPr>
                <w:rFonts w:hint="eastAsia"/>
              </w:rPr>
              <w:t>年以内</w:t>
            </w:r>
          </w:p>
        </w:tc>
        <w:tc>
          <w:tcPr>
            <w:tcW w:w="1425" w:type="dxa"/>
            <w:vAlign w:val="center"/>
          </w:tcPr>
          <w:p w14:paraId="31676527" w14:textId="77777777" w:rsidR="00577D08" w:rsidRDefault="00330FC0">
            <w:pPr>
              <w:jc w:val="right"/>
            </w:pPr>
            <w:r>
              <w:rPr>
                <w:rFonts w:hint="eastAsia"/>
              </w:rPr>
              <w:t>80,000.00</w:t>
            </w:r>
          </w:p>
        </w:tc>
      </w:tr>
      <w:tr w:rsidR="00577D08" w14:paraId="4BBF6290" w14:textId="77777777">
        <w:trPr>
          <w:cantSplit/>
        </w:trPr>
        <w:tc>
          <w:tcPr>
            <w:tcW w:w="1384" w:type="dxa"/>
          </w:tcPr>
          <w:p w14:paraId="2E5CDF6E" w14:textId="77777777" w:rsidR="00577D08" w:rsidRDefault="00330FC0">
            <w:pPr>
              <w:ind w:right="105"/>
            </w:pPr>
            <w:r>
              <w:rPr>
                <w:rFonts w:hint="eastAsia"/>
              </w:rPr>
              <w:t>北京华科软科技有限公司</w:t>
            </w:r>
          </w:p>
        </w:tc>
        <w:tc>
          <w:tcPr>
            <w:tcW w:w="1701" w:type="dxa"/>
            <w:vAlign w:val="center"/>
          </w:tcPr>
          <w:p w14:paraId="3BF454FB" w14:textId="77777777" w:rsidR="00577D08" w:rsidRDefault="00330FC0">
            <w:pPr>
              <w:ind w:right="73"/>
              <w:jc w:val="right"/>
            </w:pPr>
            <w:r>
              <w:rPr>
                <w:rFonts w:hint="eastAsia"/>
              </w:rPr>
              <w:t>1,030,000.00</w:t>
            </w:r>
          </w:p>
        </w:tc>
        <w:tc>
          <w:tcPr>
            <w:tcW w:w="1559" w:type="dxa"/>
            <w:vAlign w:val="center"/>
          </w:tcPr>
          <w:p w14:paraId="276CE8BE" w14:textId="77777777" w:rsidR="00577D08" w:rsidRDefault="00330FC0">
            <w:pPr>
              <w:jc w:val="right"/>
            </w:pPr>
            <w:r>
              <w:rPr>
                <w:rFonts w:hint="eastAsia"/>
              </w:rPr>
              <w:t>0.69</w:t>
            </w:r>
          </w:p>
        </w:tc>
        <w:tc>
          <w:tcPr>
            <w:tcW w:w="1701" w:type="dxa"/>
            <w:vAlign w:val="center"/>
          </w:tcPr>
          <w:p w14:paraId="18298669" w14:textId="77777777" w:rsidR="00577D08" w:rsidRDefault="00330FC0">
            <w:pPr>
              <w:ind w:right="73"/>
              <w:jc w:val="center"/>
            </w:pPr>
            <w:r>
              <w:rPr>
                <w:rFonts w:hint="eastAsia"/>
              </w:rPr>
              <w:t>押金及保证金</w:t>
            </w:r>
          </w:p>
        </w:tc>
        <w:tc>
          <w:tcPr>
            <w:tcW w:w="1276" w:type="dxa"/>
            <w:vAlign w:val="center"/>
          </w:tcPr>
          <w:p w14:paraId="0C162544" w14:textId="77777777" w:rsidR="00577D08" w:rsidRDefault="00330FC0">
            <w:pPr>
              <w:ind w:right="73"/>
              <w:jc w:val="center"/>
            </w:pPr>
            <w:r>
              <w:rPr>
                <w:rFonts w:hint="eastAsia"/>
              </w:rPr>
              <w:t>1</w:t>
            </w:r>
            <w:r>
              <w:rPr>
                <w:rFonts w:hint="eastAsia"/>
              </w:rPr>
              <w:t>年以内</w:t>
            </w:r>
          </w:p>
        </w:tc>
        <w:tc>
          <w:tcPr>
            <w:tcW w:w="1425" w:type="dxa"/>
            <w:vAlign w:val="center"/>
          </w:tcPr>
          <w:p w14:paraId="48A0613E" w14:textId="77777777" w:rsidR="00577D08" w:rsidRDefault="00330FC0">
            <w:pPr>
              <w:jc w:val="right"/>
            </w:pPr>
            <w:r>
              <w:rPr>
                <w:rFonts w:hint="eastAsia"/>
              </w:rPr>
              <w:t>51,500.00</w:t>
            </w:r>
          </w:p>
        </w:tc>
      </w:tr>
      <w:tr w:rsidR="00577D08" w14:paraId="642F6B8B" w14:textId="77777777">
        <w:trPr>
          <w:cantSplit/>
        </w:trPr>
        <w:tc>
          <w:tcPr>
            <w:tcW w:w="1384" w:type="dxa"/>
          </w:tcPr>
          <w:p w14:paraId="0834FC64" w14:textId="77777777" w:rsidR="00577D08" w:rsidRDefault="00330FC0">
            <w:pPr>
              <w:ind w:right="105"/>
            </w:pPr>
            <w:r>
              <w:rPr>
                <w:rFonts w:hint="eastAsia"/>
              </w:rPr>
              <w:t>中交一公局交通工程有限公司</w:t>
            </w:r>
          </w:p>
        </w:tc>
        <w:tc>
          <w:tcPr>
            <w:tcW w:w="1701" w:type="dxa"/>
            <w:vAlign w:val="center"/>
          </w:tcPr>
          <w:p w14:paraId="73C34624" w14:textId="77777777" w:rsidR="00577D08" w:rsidRDefault="00330FC0">
            <w:pPr>
              <w:ind w:right="73"/>
              <w:jc w:val="right"/>
            </w:pPr>
            <w:r>
              <w:rPr>
                <w:rFonts w:hint="eastAsia"/>
              </w:rPr>
              <w:t>1,014,227.50</w:t>
            </w:r>
          </w:p>
        </w:tc>
        <w:tc>
          <w:tcPr>
            <w:tcW w:w="1559" w:type="dxa"/>
            <w:vAlign w:val="center"/>
          </w:tcPr>
          <w:p w14:paraId="2566CDAA" w14:textId="77777777" w:rsidR="00577D08" w:rsidRDefault="00330FC0">
            <w:pPr>
              <w:jc w:val="right"/>
            </w:pPr>
            <w:r>
              <w:rPr>
                <w:rFonts w:hint="eastAsia"/>
              </w:rPr>
              <w:t>0.68</w:t>
            </w:r>
          </w:p>
        </w:tc>
        <w:tc>
          <w:tcPr>
            <w:tcW w:w="1701" w:type="dxa"/>
            <w:vAlign w:val="center"/>
          </w:tcPr>
          <w:p w14:paraId="73ECAC86" w14:textId="77777777" w:rsidR="00577D08" w:rsidRDefault="00330FC0">
            <w:pPr>
              <w:ind w:right="73"/>
              <w:jc w:val="center"/>
            </w:pPr>
            <w:r>
              <w:rPr>
                <w:rFonts w:hint="eastAsia"/>
              </w:rPr>
              <w:t>押金及保证金</w:t>
            </w:r>
          </w:p>
        </w:tc>
        <w:tc>
          <w:tcPr>
            <w:tcW w:w="1276" w:type="dxa"/>
            <w:vAlign w:val="center"/>
          </w:tcPr>
          <w:p w14:paraId="59A3929B" w14:textId="77777777" w:rsidR="00577D08" w:rsidRDefault="00330FC0">
            <w:pPr>
              <w:ind w:right="73"/>
              <w:jc w:val="center"/>
            </w:pPr>
            <w:r>
              <w:rPr>
                <w:rFonts w:hint="eastAsia"/>
              </w:rPr>
              <w:t>2-3</w:t>
            </w:r>
            <w:r>
              <w:rPr>
                <w:rFonts w:hint="eastAsia"/>
              </w:rPr>
              <w:t>年、</w:t>
            </w:r>
            <w:r>
              <w:rPr>
                <w:rFonts w:hint="eastAsia"/>
              </w:rPr>
              <w:t>3-4</w:t>
            </w:r>
            <w:r>
              <w:rPr>
                <w:rFonts w:hint="eastAsia"/>
              </w:rPr>
              <w:t>年、</w:t>
            </w:r>
            <w:r>
              <w:rPr>
                <w:rFonts w:hint="eastAsia"/>
              </w:rPr>
              <w:t>4-5</w:t>
            </w:r>
            <w:r>
              <w:rPr>
                <w:rFonts w:hint="eastAsia"/>
              </w:rPr>
              <w:t>年、</w:t>
            </w:r>
            <w:r>
              <w:rPr>
                <w:rFonts w:hint="eastAsia"/>
              </w:rPr>
              <w:t>5</w:t>
            </w:r>
            <w:r>
              <w:rPr>
                <w:rFonts w:hint="eastAsia"/>
              </w:rPr>
              <w:t>年以上</w:t>
            </w:r>
          </w:p>
        </w:tc>
        <w:tc>
          <w:tcPr>
            <w:tcW w:w="1425" w:type="dxa"/>
            <w:vAlign w:val="center"/>
          </w:tcPr>
          <w:p w14:paraId="733C1CF2" w14:textId="77777777" w:rsidR="00577D08" w:rsidRDefault="00330FC0">
            <w:pPr>
              <w:jc w:val="right"/>
            </w:pPr>
            <w:r>
              <w:rPr>
                <w:rFonts w:hint="eastAsia"/>
              </w:rPr>
              <w:t>826,690.26</w:t>
            </w:r>
          </w:p>
        </w:tc>
      </w:tr>
      <w:tr w:rsidR="00577D08" w14:paraId="29273E12" w14:textId="77777777">
        <w:trPr>
          <w:cantSplit/>
        </w:trPr>
        <w:tc>
          <w:tcPr>
            <w:tcW w:w="1384" w:type="dxa"/>
          </w:tcPr>
          <w:p w14:paraId="0A3DA89D" w14:textId="77777777" w:rsidR="00577D08" w:rsidRDefault="00330FC0">
            <w:pPr>
              <w:ind w:right="105"/>
            </w:pPr>
            <w:r>
              <w:rPr>
                <w:rFonts w:hint="eastAsia"/>
              </w:rPr>
              <w:t>华电招标有限公司</w:t>
            </w:r>
          </w:p>
        </w:tc>
        <w:tc>
          <w:tcPr>
            <w:tcW w:w="1701" w:type="dxa"/>
            <w:vAlign w:val="center"/>
          </w:tcPr>
          <w:p w14:paraId="7A7A3ED6" w14:textId="77777777" w:rsidR="00577D08" w:rsidRDefault="00330FC0">
            <w:pPr>
              <w:ind w:right="73"/>
              <w:jc w:val="right"/>
            </w:pPr>
            <w:r>
              <w:rPr>
                <w:rFonts w:hint="eastAsia"/>
              </w:rPr>
              <w:t>900,000.00</w:t>
            </w:r>
          </w:p>
        </w:tc>
        <w:tc>
          <w:tcPr>
            <w:tcW w:w="1559" w:type="dxa"/>
            <w:vAlign w:val="center"/>
          </w:tcPr>
          <w:p w14:paraId="3EC99399" w14:textId="77777777" w:rsidR="00577D08" w:rsidRDefault="00330FC0">
            <w:pPr>
              <w:jc w:val="right"/>
            </w:pPr>
            <w:r>
              <w:rPr>
                <w:rFonts w:hint="eastAsia"/>
              </w:rPr>
              <w:t>0.60</w:t>
            </w:r>
          </w:p>
        </w:tc>
        <w:tc>
          <w:tcPr>
            <w:tcW w:w="1701" w:type="dxa"/>
            <w:vAlign w:val="center"/>
          </w:tcPr>
          <w:p w14:paraId="56303829" w14:textId="77777777" w:rsidR="00577D08" w:rsidRDefault="00330FC0">
            <w:pPr>
              <w:ind w:right="73"/>
              <w:jc w:val="center"/>
            </w:pPr>
            <w:r>
              <w:rPr>
                <w:rFonts w:hint="eastAsia"/>
              </w:rPr>
              <w:t>押金及保证金</w:t>
            </w:r>
          </w:p>
        </w:tc>
        <w:tc>
          <w:tcPr>
            <w:tcW w:w="1276" w:type="dxa"/>
            <w:vAlign w:val="center"/>
          </w:tcPr>
          <w:p w14:paraId="12E76619" w14:textId="77777777" w:rsidR="00577D08" w:rsidRDefault="00330FC0">
            <w:pPr>
              <w:ind w:right="73"/>
              <w:jc w:val="center"/>
            </w:pPr>
            <w:r>
              <w:rPr>
                <w:rFonts w:hint="eastAsia"/>
              </w:rPr>
              <w:t>1</w:t>
            </w:r>
            <w:r>
              <w:rPr>
                <w:rFonts w:hint="eastAsia"/>
              </w:rPr>
              <w:t>年以内</w:t>
            </w:r>
          </w:p>
        </w:tc>
        <w:tc>
          <w:tcPr>
            <w:tcW w:w="1425" w:type="dxa"/>
            <w:vAlign w:val="center"/>
          </w:tcPr>
          <w:p w14:paraId="52448175" w14:textId="77777777" w:rsidR="00577D08" w:rsidRDefault="00330FC0">
            <w:pPr>
              <w:jc w:val="right"/>
            </w:pPr>
            <w:r>
              <w:rPr>
                <w:rFonts w:hint="eastAsia"/>
              </w:rPr>
              <w:t>45,000.00</w:t>
            </w:r>
          </w:p>
        </w:tc>
      </w:tr>
      <w:tr w:rsidR="00577D08" w14:paraId="7B36DFB6" w14:textId="77777777">
        <w:trPr>
          <w:cantSplit/>
        </w:trPr>
        <w:tc>
          <w:tcPr>
            <w:tcW w:w="1384" w:type="dxa"/>
            <w:vAlign w:val="center"/>
          </w:tcPr>
          <w:p w14:paraId="618506D6" w14:textId="77777777" w:rsidR="00577D08" w:rsidRDefault="00330FC0">
            <w:pPr>
              <w:ind w:right="105"/>
              <w:jc w:val="center"/>
            </w:pPr>
            <w:r>
              <w:rPr>
                <w:rFonts w:hint="eastAsia"/>
              </w:rPr>
              <w:t>合计</w:t>
            </w:r>
          </w:p>
        </w:tc>
        <w:tc>
          <w:tcPr>
            <w:tcW w:w="1701" w:type="dxa"/>
            <w:vAlign w:val="center"/>
          </w:tcPr>
          <w:p w14:paraId="476438D4" w14:textId="77777777" w:rsidR="00577D08" w:rsidRDefault="00330FC0">
            <w:pPr>
              <w:ind w:right="73"/>
              <w:jc w:val="right"/>
            </w:pPr>
            <w:r>
              <w:t>132,770,227.50</w:t>
            </w:r>
          </w:p>
        </w:tc>
        <w:tc>
          <w:tcPr>
            <w:tcW w:w="1559" w:type="dxa"/>
            <w:vAlign w:val="center"/>
          </w:tcPr>
          <w:p w14:paraId="6AE4E4DF" w14:textId="77777777" w:rsidR="00577D08" w:rsidRDefault="00330FC0">
            <w:pPr>
              <w:jc w:val="right"/>
            </w:pPr>
            <w:r>
              <w:t>88.66</w:t>
            </w:r>
          </w:p>
        </w:tc>
        <w:tc>
          <w:tcPr>
            <w:tcW w:w="1701" w:type="dxa"/>
            <w:vAlign w:val="center"/>
          </w:tcPr>
          <w:p w14:paraId="6A2D2044" w14:textId="77777777" w:rsidR="00577D08" w:rsidRDefault="00330FC0">
            <w:pPr>
              <w:ind w:right="73"/>
              <w:jc w:val="center"/>
            </w:pPr>
            <w:r>
              <w:t>/</w:t>
            </w:r>
          </w:p>
        </w:tc>
        <w:tc>
          <w:tcPr>
            <w:tcW w:w="1276" w:type="dxa"/>
            <w:vAlign w:val="center"/>
          </w:tcPr>
          <w:p w14:paraId="603BC836" w14:textId="77777777" w:rsidR="00577D08" w:rsidRDefault="00330FC0">
            <w:pPr>
              <w:ind w:right="73"/>
              <w:jc w:val="center"/>
            </w:pPr>
            <w:r>
              <w:t>/</w:t>
            </w:r>
          </w:p>
        </w:tc>
        <w:tc>
          <w:tcPr>
            <w:tcW w:w="1425" w:type="dxa"/>
            <w:vAlign w:val="center"/>
          </w:tcPr>
          <w:p w14:paraId="707CB4F4" w14:textId="77777777" w:rsidR="00577D08" w:rsidRDefault="00330FC0">
            <w:pPr>
              <w:jc w:val="right"/>
            </w:pPr>
            <w:r>
              <w:t>25,188,832.73</w:t>
            </w:r>
          </w:p>
        </w:tc>
      </w:tr>
    </w:tbl>
    <w:p w14:paraId="033138B1" w14:textId="77777777" w:rsidR="00577D08" w:rsidRDefault="00330FC0">
      <w:pPr>
        <w:pStyle w:val="5"/>
        <w:numPr>
          <w:ilvl w:val="0"/>
          <w:numId w:val="69"/>
        </w:numPr>
        <w:ind w:leftChars="0"/>
        <w:rPr>
          <w:rFonts w:ascii="宋体" w:hAnsi="宋体" w:cs="宋体" w:hint="eastAsia"/>
          <w:kern w:val="0"/>
          <w:szCs w:val="24"/>
        </w:rPr>
      </w:pPr>
      <w:r>
        <w:rPr>
          <w:rFonts w:ascii="宋体" w:hAnsi="宋体" w:cs="宋体"/>
          <w:kern w:val="0"/>
          <w:szCs w:val="24"/>
        </w:rPr>
        <w:t>因资金集中管理而列报于其他应收款</w:t>
      </w:r>
    </w:p>
    <w:sdt>
      <w:sdtPr>
        <w:alias w:val="是否适用：因资金集中管理而列报于其他应收款[双击切换]"/>
        <w:tag w:val="_GBC_b8da09aaaa6f41fc9a0da9e70575d260"/>
        <w:id w:val="149257813"/>
        <w:placeholder>
          <w:docPart w:val="GBC22222222222222222222222222222"/>
        </w:placeholder>
      </w:sdtPr>
      <w:sdtContent>
        <w:p w14:paraId="12587D40"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C9B466" w14:textId="77777777" w:rsidR="00577D08" w:rsidRDefault="00330FC0">
      <w:r>
        <w:rPr>
          <w:rFonts w:hint="eastAsia"/>
        </w:rPr>
        <w:t>其他</w:t>
      </w:r>
      <w:r>
        <w:t>说明：</w:t>
      </w:r>
    </w:p>
    <w:sdt>
      <w:sdtPr>
        <w:rPr>
          <w:rFonts w:hint="eastAsia"/>
        </w:rPr>
        <w:alias w:val="是否适用：其他应收款的其他说明[双击切换]"/>
        <w:tag w:val="_GBC_f19370687b664bbeafd6d2809311f81e"/>
        <w:id w:val="-1868135612"/>
        <w:placeholder>
          <w:docPart w:val="GBC22222222222222222222222222222"/>
        </w:placeholder>
      </w:sdtPr>
      <w:sdtContent>
        <w:p w14:paraId="401AAE1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A952D39" w14:textId="77777777" w:rsidR="00577D08" w:rsidRDefault="00577D08"/>
    <w:p w14:paraId="27F4DC7E" w14:textId="77777777" w:rsidR="00577D08" w:rsidRDefault="00577D08">
      <w:pPr>
        <w:sectPr w:rsidR="00577D08">
          <w:pgSz w:w="11906" w:h="16838"/>
          <w:pgMar w:top="1440" w:right="1797" w:bottom="1525" w:left="1276" w:header="856" w:footer="992" w:gutter="0"/>
          <w:cols w:space="425"/>
          <w:docGrid w:linePitch="312"/>
        </w:sectPr>
      </w:pPr>
    </w:p>
    <w:p w14:paraId="77BBA01E" w14:textId="77777777" w:rsidR="00577D08" w:rsidRDefault="00330FC0">
      <w:pPr>
        <w:pStyle w:val="3"/>
        <w:numPr>
          <w:ilvl w:val="0"/>
          <w:numId w:val="61"/>
        </w:numPr>
      </w:pPr>
      <w:r>
        <w:rPr>
          <w:rFonts w:hint="eastAsia"/>
        </w:rPr>
        <w:lastRenderedPageBreak/>
        <w:t>存货</w:t>
      </w:r>
    </w:p>
    <w:p w14:paraId="73FA90A3" w14:textId="77777777" w:rsidR="00577D08" w:rsidRDefault="00330FC0">
      <w:pPr>
        <w:pStyle w:val="4"/>
        <w:numPr>
          <w:ilvl w:val="3"/>
          <w:numId w:val="70"/>
        </w:numPr>
        <w:ind w:left="426" w:hanging="426"/>
        <w:rPr>
          <w:rFonts w:hint="eastAsia"/>
        </w:rPr>
      </w:pPr>
      <w:bookmarkStart w:id="367" w:name="_Hlk24116366"/>
      <w:bookmarkStart w:id="368" w:name="_Hlk532992451"/>
      <w:r>
        <w:rPr>
          <w:rFonts w:hint="eastAsia"/>
        </w:rPr>
        <w:t>存货分类</w:t>
      </w:r>
    </w:p>
    <w:sdt>
      <w:sdtPr>
        <w:alias w:val="是否适用：存货分类[双击切换]"/>
        <w:tag w:val="_GBC_357bbe1b1f034d20ba175209243f1121"/>
        <w:id w:val="497151351"/>
        <w:placeholder>
          <w:docPart w:val="GBC22222222222222222222222222222"/>
        </w:placeholder>
      </w:sdtPr>
      <w:sdtContent>
        <w:p w14:paraId="6E8BB33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0679536" w14:textId="281E1B4E" w:rsidR="00577D08" w:rsidRDefault="00330FC0">
      <w:pPr>
        <w:jc w:val="right"/>
      </w:pPr>
      <w:r>
        <w:rPr>
          <w:rFonts w:hint="eastAsia"/>
        </w:rPr>
        <w:t>单位：</w:t>
      </w:r>
      <w:sdt>
        <w:sdtPr>
          <w:rPr>
            <w:rFonts w:hint="eastAsia"/>
          </w:rPr>
          <w:alias w:val="单位：财务附注：存货分类"/>
          <w:tag w:val="_GBC_d8d041ff281d42b2825673de12d9cf99"/>
          <w:id w:val="13297105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财务附注：存货分类"/>
          <w:tag w:val="_GBC_dfe02fee4d9a4b77b46c5afad867d464"/>
          <w:id w:val="-5846890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1857"/>
        <w:gridCol w:w="2135"/>
        <w:gridCol w:w="1927"/>
        <w:gridCol w:w="1908"/>
        <w:gridCol w:w="2127"/>
        <w:gridCol w:w="1686"/>
      </w:tblGrid>
      <w:tr w:rsidR="00577D08" w14:paraId="5350689A" w14:textId="77777777">
        <w:trPr>
          <w:cantSplit/>
        </w:trPr>
        <w:sdt>
          <w:sdtPr>
            <w:tag w:val="_PLD_c7ef81863f9f475b86b8ee43ac7e9274"/>
            <w:id w:val="2042161070"/>
          </w:sdtPr>
          <w:sdtContent>
            <w:tc>
              <w:tcPr>
                <w:tcW w:w="802" w:type="pct"/>
                <w:vMerge w:val="restart"/>
                <w:vAlign w:val="center"/>
              </w:tcPr>
              <w:p w14:paraId="20D3E3B4" w14:textId="77777777" w:rsidR="00577D08" w:rsidRDefault="00330FC0">
                <w:pPr>
                  <w:jc w:val="center"/>
                </w:pPr>
                <w:r>
                  <w:rPr>
                    <w:rFonts w:hint="eastAsia"/>
                  </w:rPr>
                  <w:t>项目</w:t>
                </w:r>
              </w:p>
            </w:tc>
          </w:sdtContent>
        </w:sdt>
        <w:sdt>
          <w:sdtPr>
            <w:tag w:val="_PLD_68fbd4316a69442d924038f565882f99"/>
            <w:id w:val="1722557572"/>
          </w:sdtPr>
          <w:sdtContent>
            <w:tc>
              <w:tcPr>
                <w:tcW w:w="2135" w:type="pct"/>
                <w:gridSpan w:val="3"/>
                <w:vAlign w:val="center"/>
              </w:tcPr>
              <w:p w14:paraId="7BD334E0" w14:textId="77777777" w:rsidR="00577D08" w:rsidRDefault="00330FC0">
                <w:pPr>
                  <w:jc w:val="center"/>
                </w:pPr>
                <w:r>
                  <w:rPr>
                    <w:rFonts w:hint="eastAsia"/>
                  </w:rPr>
                  <w:t>期末余额</w:t>
                </w:r>
              </w:p>
            </w:tc>
          </w:sdtContent>
        </w:sdt>
        <w:sdt>
          <w:sdtPr>
            <w:tag w:val="_PLD_39f6313de32c45ce95b6a2ef18238d4a"/>
            <w:id w:val="964543741"/>
          </w:sdtPr>
          <w:sdtContent>
            <w:tc>
              <w:tcPr>
                <w:tcW w:w="2063" w:type="pct"/>
                <w:gridSpan w:val="3"/>
                <w:vAlign w:val="center"/>
              </w:tcPr>
              <w:p w14:paraId="70A05E59" w14:textId="77777777" w:rsidR="00577D08" w:rsidRDefault="00330FC0">
                <w:pPr>
                  <w:jc w:val="center"/>
                </w:pPr>
                <w:r>
                  <w:rPr>
                    <w:rFonts w:hint="eastAsia"/>
                  </w:rPr>
                  <w:t>期初余额</w:t>
                </w:r>
              </w:p>
            </w:tc>
          </w:sdtContent>
        </w:sdt>
      </w:tr>
      <w:tr w:rsidR="00577D08" w14:paraId="19E6955D" w14:textId="77777777">
        <w:trPr>
          <w:cantSplit/>
        </w:trPr>
        <w:tc>
          <w:tcPr>
            <w:tcW w:w="802" w:type="pct"/>
            <w:vMerge/>
            <w:vAlign w:val="center"/>
          </w:tcPr>
          <w:p w14:paraId="4EC9C7EB" w14:textId="77777777" w:rsidR="00577D08" w:rsidRDefault="00577D08">
            <w:pPr>
              <w:ind w:right="5"/>
              <w:jc w:val="center"/>
            </w:pPr>
          </w:p>
        </w:tc>
        <w:sdt>
          <w:sdtPr>
            <w:tag w:val="_PLD_73436d894fc444d5b519a3b75a689324"/>
            <w:id w:val="-1803218197"/>
          </w:sdtPr>
          <w:sdtContent>
            <w:tc>
              <w:tcPr>
                <w:tcW w:w="670" w:type="pct"/>
                <w:vAlign w:val="center"/>
              </w:tcPr>
              <w:p w14:paraId="2E075265" w14:textId="77777777" w:rsidR="00577D08" w:rsidRDefault="00330FC0">
                <w:pPr>
                  <w:ind w:right="5"/>
                  <w:jc w:val="center"/>
                </w:pPr>
                <w:r>
                  <w:rPr>
                    <w:rFonts w:hint="eastAsia"/>
                  </w:rPr>
                  <w:t>账面余额</w:t>
                </w:r>
              </w:p>
            </w:tc>
          </w:sdtContent>
        </w:sdt>
        <w:tc>
          <w:tcPr>
            <w:tcW w:w="770" w:type="pct"/>
            <w:vAlign w:val="center"/>
          </w:tcPr>
          <w:p w14:paraId="69F0C63A" w14:textId="77777777" w:rsidR="00577D08" w:rsidRDefault="00000000">
            <w:pPr>
              <w:ind w:right="5"/>
              <w:jc w:val="center"/>
            </w:pPr>
            <w:sdt>
              <w:sdtPr>
                <w:tag w:val="_PLD_09cd496fa8624ad4a9538b5b209e6d5a"/>
                <w:id w:val="163906429"/>
              </w:sdtPr>
              <w:sdtContent>
                <w:r w:rsidR="00330FC0">
                  <w:rPr>
                    <w:rFonts w:hint="eastAsia"/>
                  </w:rPr>
                  <w:t>存货跌价准备</w:t>
                </w:r>
                <w:r w:rsidR="00330FC0">
                  <w:t>/</w:t>
                </w:r>
                <w:r w:rsidR="00330FC0">
                  <w:t>合同履约成本减值准备</w:t>
                </w:r>
              </w:sdtContent>
            </w:sdt>
          </w:p>
        </w:tc>
        <w:sdt>
          <w:sdtPr>
            <w:tag w:val="_PLD_2c7532c412cf491899c310ef9902157e"/>
            <w:id w:val="327406657"/>
          </w:sdtPr>
          <w:sdtContent>
            <w:tc>
              <w:tcPr>
                <w:tcW w:w="695" w:type="pct"/>
                <w:vAlign w:val="center"/>
              </w:tcPr>
              <w:p w14:paraId="54F1A198" w14:textId="77777777" w:rsidR="00577D08" w:rsidRDefault="00330FC0">
                <w:pPr>
                  <w:ind w:right="5"/>
                  <w:jc w:val="center"/>
                </w:pPr>
                <w:r>
                  <w:rPr>
                    <w:rFonts w:hint="eastAsia"/>
                  </w:rPr>
                  <w:t>账面价值</w:t>
                </w:r>
              </w:p>
            </w:tc>
          </w:sdtContent>
        </w:sdt>
        <w:sdt>
          <w:sdtPr>
            <w:tag w:val="_PLD_6c2924a6d3da466f96c5c2e2f2d81de1"/>
            <w:id w:val="570703115"/>
          </w:sdtPr>
          <w:sdtContent>
            <w:tc>
              <w:tcPr>
                <w:tcW w:w="688" w:type="pct"/>
                <w:vAlign w:val="center"/>
              </w:tcPr>
              <w:p w14:paraId="54D12E17" w14:textId="77777777" w:rsidR="00577D08" w:rsidRDefault="00330FC0">
                <w:pPr>
                  <w:ind w:right="5"/>
                  <w:jc w:val="center"/>
                </w:pPr>
                <w:r>
                  <w:rPr>
                    <w:rFonts w:hint="eastAsia"/>
                  </w:rPr>
                  <w:t>账面余额</w:t>
                </w:r>
              </w:p>
            </w:tc>
          </w:sdtContent>
        </w:sdt>
        <w:tc>
          <w:tcPr>
            <w:tcW w:w="767" w:type="pct"/>
            <w:vAlign w:val="center"/>
          </w:tcPr>
          <w:p w14:paraId="77E21B71" w14:textId="77777777" w:rsidR="00577D08" w:rsidRDefault="00000000">
            <w:pPr>
              <w:ind w:right="5"/>
              <w:jc w:val="center"/>
            </w:pPr>
            <w:sdt>
              <w:sdtPr>
                <w:tag w:val="_PLD_e5df78ba36d146dfb7eedab7ddd98031"/>
                <w:id w:val="617501066"/>
              </w:sdtPr>
              <w:sdtContent>
                <w:r w:rsidR="00330FC0">
                  <w:rPr>
                    <w:rFonts w:hint="eastAsia"/>
                  </w:rPr>
                  <w:t>存货跌价准备</w:t>
                </w:r>
                <w:r w:rsidR="00330FC0">
                  <w:t>/</w:t>
                </w:r>
                <w:r w:rsidR="00330FC0">
                  <w:t>合同履约成本减值准备</w:t>
                </w:r>
              </w:sdtContent>
            </w:sdt>
          </w:p>
        </w:tc>
        <w:sdt>
          <w:sdtPr>
            <w:tag w:val="_PLD_ba07e513b5504e03b2dcef7d8421fa16"/>
            <w:id w:val="2003233437"/>
          </w:sdtPr>
          <w:sdtContent>
            <w:tc>
              <w:tcPr>
                <w:tcW w:w="608" w:type="pct"/>
                <w:vAlign w:val="center"/>
              </w:tcPr>
              <w:p w14:paraId="3843BE41" w14:textId="77777777" w:rsidR="00577D08" w:rsidRDefault="00330FC0">
                <w:pPr>
                  <w:ind w:right="5"/>
                  <w:jc w:val="center"/>
                </w:pPr>
                <w:r>
                  <w:rPr>
                    <w:rFonts w:hint="eastAsia"/>
                  </w:rPr>
                  <w:t>账面价值</w:t>
                </w:r>
              </w:p>
            </w:tc>
          </w:sdtContent>
        </w:sdt>
      </w:tr>
      <w:tr w:rsidR="00577D08" w14:paraId="4F10B836" w14:textId="77777777">
        <w:trPr>
          <w:cantSplit/>
        </w:trPr>
        <w:tc>
          <w:tcPr>
            <w:tcW w:w="802" w:type="pct"/>
            <w:vAlign w:val="center"/>
          </w:tcPr>
          <w:p w14:paraId="3DFCCAC8" w14:textId="77777777" w:rsidR="00577D08" w:rsidRDefault="00330FC0">
            <w:pPr>
              <w:ind w:right="5"/>
            </w:pPr>
            <w:r>
              <w:rPr>
                <w:rFonts w:hint="eastAsia"/>
              </w:rPr>
              <w:t>原材料</w:t>
            </w:r>
          </w:p>
        </w:tc>
        <w:tc>
          <w:tcPr>
            <w:tcW w:w="670" w:type="pct"/>
          </w:tcPr>
          <w:p w14:paraId="25FC24C3" w14:textId="77777777" w:rsidR="00577D08" w:rsidRDefault="00330FC0">
            <w:pPr>
              <w:ind w:right="5"/>
              <w:jc w:val="right"/>
            </w:pPr>
            <w:r>
              <w:t xml:space="preserve"> 202,108,729.92 </w:t>
            </w:r>
          </w:p>
        </w:tc>
        <w:tc>
          <w:tcPr>
            <w:tcW w:w="770" w:type="pct"/>
          </w:tcPr>
          <w:p w14:paraId="551B18F7" w14:textId="77777777" w:rsidR="00577D08" w:rsidRDefault="00330FC0">
            <w:pPr>
              <w:ind w:right="5"/>
              <w:jc w:val="right"/>
            </w:pPr>
            <w:r>
              <w:t xml:space="preserve"> 2,312,737.87 </w:t>
            </w:r>
          </w:p>
        </w:tc>
        <w:tc>
          <w:tcPr>
            <w:tcW w:w="695" w:type="pct"/>
          </w:tcPr>
          <w:p w14:paraId="0B99AA8E" w14:textId="77777777" w:rsidR="00577D08" w:rsidRDefault="00330FC0">
            <w:pPr>
              <w:ind w:right="5"/>
              <w:jc w:val="right"/>
            </w:pPr>
            <w:r>
              <w:t xml:space="preserve"> 199,795,992.05 </w:t>
            </w:r>
          </w:p>
        </w:tc>
        <w:tc>
          <w:tcPr>
            <w:tcW w:w="688" w:type="pct"/>
          </w:tcPr>
          <w:p w14:paraId="2130AF80" w14:textId="77777777" w:rsidR="00577D08" w:rsidRDefault="00330FC0">
            <w:pPr>
              <w:ind w:right="5"/>
              <w:jc w:val="right"/>
            </w:pPr>
            <w:r>
              <w:t>161,338,826.31</w:t>
            </w:r>
          </w:p>
        </w:tc>
        <w:tc>
          <w:tcPr>
            <w:tcW w:w="767" w:type="pct"/>
          </w:tcPr>
          <w:p w14:paraId="63C997E4" w14:textId="77777777" w:rsidR="00577D08" w:rsidRDefault="00330FC0">
            <w:pPr>
              <w:ind w:right="5"/>
              <w:jc w:val="right"/>
            </w:pPr>
            <w:r>
              <w:t>1,960,647.67</w:t>
            </w:r>
          </w:p>
        </w:tc>
        <w:tc>
          <w:tcPr>
            <w:tcW w:w="608" w:type="pct"/>
          </w:tcPr>
          <w:p w14:paraId="47D4F03A" w14:textId="77777777" w:rsidR="00577D08" w:rsidRDefault="00330FC0">
            <w:pPr>
              <w:ind w:right="5"/>
              <w:jc w:val="right"/>
            </w:pPr>
            <w:r>
              <w:t>159,378,178.64</w:t>
            </w:r>
          </w:p>
        </w:tc>
      </w:tr>
      <w:tr w:rsidR="00577D08" w14:paraId="0D81E885" w14:textId="77777777">
        <w:trPr>
          <w:cantSplit/>
        </w:trPr>
        <w:tc>
          <w:tcPr>
            <w:tcW w:w="802" w:type="pct"/>
            <w:vAlign w:val="center"/>
          </w:tcPr>
          <w:p w14:paraId="4F77D2F9" w14:textId="77777777" w:rsidR="00577D08" w:rsidRDefault="00330FC0">
            <w:pPr>
              <w:ind w:right="5"/>
            </w:pPr>
            <w:r>
              <w:rPr>
                <w:rFonts w:hint="eastAsia"/>
              </w:rPr>
              <w:t>在产品</w:t>
            </w:r>
          </w:p>
        </w:tc>
        <w:tc>
          <w:tcPr>
            <w:tcW w:w="670" w:type="pct"/>
          </w:tcPr>
          <w:p w14:paraId="42E56EC0" w14:textId="77777777" w:rsidR="00577D08" w:rsidRDefault="00330FC0">
            <w:pPr>
              <w:ind w:right="5"/>
              <w:jc w:val="right"/>
            </w:pPr>
            <w:r>
              <w:t xml:space="preserve"> 209,421,495.97 </w:t>
            </w:r>
          </w:p>
        </w:tc>
        <w:tc>
          <w:tcPr>
            <w:tcW w:w="770" w:type="pct"/>
          </w:tcPr>
          <w:p w14:paraId="76D6A2D9" w14:textId="77777777" w:rsidR="00577D08" w:rsidRDefault="00330FC0">
            <w:pPr>
              <w:ind w:right="5"/>
              <w:jc w:val="right"/>
            </w:pPr>
            <w:r>
              <w:t xml:space="preserve"> 4,478,262.69 </w:t>
            </w:r>
          </w:p>
        </w:tc>
        <w:tc>
          <w:tcPr>
            <w:tcW w:w="695" w:type="pct"/>
          </w:tcPr>
          <w:p w14:paraId="23325CA4" w14:textId="77777777" w:rsidR="00577D08" w:rsidRDefault="00330FC0">
            <w:pPr>
              <w:ind w:right="5"/>
              <w:jc w:val="right"/>
            </w:pPr>
            <w:r>
              <w:t xml:space="preserve"> 204,943,233.28 </w:t>
            </w:r>
          </w:p>
        </w:tc>
        <w:tc>
          <w:tcPr>
            <w:tcW w:w="688" w:type="pct"/>
          </w:tcPr>
          <w:p w14:paraId="5E18B227" w14:textId="77777777" w:rsidR="00577D08" w:rsidRDefault="00330FC0">
            <w:pPr>
              <w:ind w:right="5"/>
              <w:jc w:val="right"/>
            </w:pPr>
            <w:r>
              <w:t>191,841,898.98</w:t>
            </w:r>
          </w:p>
        </w:tc>
        <w:tc>
          <w:tcPr>
            <w:tcW w:w="767" w:type="pct"/>
          </w:tcPr>
          <w:p w14:paraId="7477734F" w14:textId="77777777" w:rsidR="00577D08" w:rsidRDefault="00330FC0">
            <w:pPr>
              <w:ind w:right="5"/>
              <w:jc w:val="right"/>
            </w:pPr>
            <w:r>
              <w:t>2,264,860.24</w:t>
            </w:r>
          </w:p>
        </w:tc>
        <w:tc>
          <w:tcPr>
            <w:tcW w:w="608" w:type="pct"/>
          </w:tcPr>
          <w:p w14:paraId="258F822E" w14:textId="77777777" w:rsidR="00577D08" w:rsidRDefault="00330FC0">
            <w:pPr>
              <w:ind w:right="5"/>
              <w:jc w:val="right"/>
            </w:pPr>
            <w:r>
              <w:t>189,577,038.74</w:t>
            </w:r>
          </w:p>
        </w:tc>
      </w:tr>
      <w:tr w:rsidR="00577D08" w14:paraId="34DBF45E" w14:textId="77777777">
        <w:trPr>
          <w:cantSplit/>
        </w:trPr>
        <w:tc>
          <w:tcPr>
            <w:tcW w:w="802" w:type="pct"/>
            <w:vAlign w:val="center"/>
          </w:tcPr>
          <w:p w14:paraId="4BC1E692" w14:textId="77777777" w:rsidR="00577D08" w:rsidRDefault="00330FC0">
            <w:pPr>
              <w:ind w:right="5"/>
            </w:pPr>
            <w:r>
              <w:rPr>
                <w:rFonts w:hint="eastAsia"/>
              </w:rPr>
              <w:t>库存商品</w:t>
            </w:r>
          </w:p>
        </w:tc>
        <w:tc>
          <w:tcPr>
            <w:tcW w:w="670" w:type="pct"/>
          </w:tcPr>
          <w:p w14:paraId="68B747FA" w14:textId="77777777" w:rsidR="00577D08" w:rsidRDefault="00330FC0">
            <w:pPr>
              <w:ind w:right="5"/>
              <w:jc w:val="right"/>
            </w:pPr>
            <w:r>
              <w:t xml:space="preserve"> 443,134,828.09 </w:t>
            </w:r>
          </w:p>
        </w:tc>
        <w:tc>
          <w:tcPr>
            <w:tcW w:w="770" w:type="pct"/>
          </w:tcPr>
          <w:p w14:paraId="5A5132F6" w14:textId="77777777" w:rsidR="00577D08" w:rsidRDefault="00330FC0">
            <w:pPr>
              <w:ind w:right="5"/>
              <w:jc w:val="right"/>
            </w:pPr>
            <w:r>
              <w:t xml:space="preserve"> 10,072,048.05 </w:t>
            </w:r>
          </w:p>
        </w:tc>
        <w:tc>
          <w:tcPr>
            <w:tcW w:w="695" w:type="pct"/>
          </w:tcPr>
          <w:p w14:paraId="781CEBD8" w14:textId="77777777" w:rsidR="00577D08" w:rsidRDefault="00330FC0">
            <w:pPr>
              <w:ind w:right="5"/>
              <w:jc w:val="right"/>
            </w:pPr>
            <w:r>
              <w:t xml:space="preserve"> 433,062,780.04 </w:t>
            </w:r>
          </w:p>
        </w:tc>
        <w:tc>
          <w:tcPr>
            <w:tcW w:w="688" w:type="pct"/>
          </w:tcPr>
          <w:p w14:paraId="0890AD91" w14:textId="77777777" w:rsidR="00577D08" w:rsidRDefault="00330FC0">
            <w:pPr>
              <w:ind w:right="5"/>
              <w:jc w:val="right"/>
            </w:pPr>
            <w:r>
              <w:t>296,772,029.34</w:t>
            </w:r>
          </w:p>
        </w:tc>
        <w:tc>
          <w:tcPr>
            <w:tcW w:w="767" w:type="pct"/>
          </w:tcPr>
          <w:p w14:paraId="315F3CF6" w14:textId="77777777" w:rsidR="00577D08" w:rsidRDefault="00330FC0">
            <w:pPr>
              <w:ind w:right="5"/>
              <w:jc w:val="right"/>
            </w:pPr>
            <w:r>
              <w:t>5,755,280.37</w:t>
            </w:r>
          </w:p>
        </w:tc>
        <w:tc>
          <w:tcPr>
            <w:tcW w:w="608" w:type="pct"/>
          </w:tcPr>
          <w:p w14:paraId="2DB2866E" w14:textId="77777777" w:rsidR="00577D08" w:rsidRDefault="00330FC0">
            <w:pPr>
              <w:ind w:right="5"/>
              <w:jc w:val="right"/>
            </w:pPr>
            <w:r>
              <w:t>291,016,748.97</w:t>
            </w:r>
          </w:p>
        </w:tc>
      </w:tr>
      <w:tr w:rsidR="00577D08" w14:paraId="228878E8" w14:textId="77777777">
        <w:trPr>
          <w:cantSplit/>
        </w:trPr>
        <w:tc>
          <w:tcPr>
            <w:tcW w:w="802" w:type="pct"/>
            <w:vAlign w:val="center"/>
          </w:tcPr>
          <w:p w14:paraId="753A7BC8" w14:textId="77777777" w:rsidR="00577D08" w:rsidRDefault="00330FC0">
            <w:pPr>
              <w:ind w:right="5"/>
            </w:pPr>
            <w:r>
              <w:rPr>
                <w:rFonts w:hint="eastAsia"/>
              </w:rPr>
              <w:t>发出商品</w:t>
            </w:r>
          </w:p>
        </w:tc>
        <w:tc>
          <w:tcPr>
            <w:tcW w:w="670" w:type="pct"/>
          </w:tcPr>
          <w:p w14:paraId="5FABAC5A" w14:textId="77777777" w:rsidR="00577D08" w:rsidRDefault="00330FC0">
            <w:pPr>
              <w:ind w:right="5"/>
              <w:jc w:val="right"/>
            </w:pPr>
            <w:r>
              <w:t xml:space="preserve"> 159,045,365.05 </w:t>
            </w:r>
          </w:p>
        </w:tc>
        <w:tc>
          <w:tcPr>
            <w:tcW w:w="770" w:type="pct"/>
          </w:tcPr>
          <w:p w14:paraId="57FFECE8" w14:textId="77777777" w:rsidR="00577D08" w:rsidRDefault="00330FC0">
            <w:pPr>
              <w:ind w:right="5"/>
              <w:jc w:val="right"/>
            </w:pPr>
            <w:r>
              <w:t xml:space="preserve"> 4,273,015.48 </w:t>
            </w:r>
          </w:p>
        </w:tc>
        <w:tc>
          <w:tcPr>
            <w:tcW w:w="695" w:type="pct"/>
          </w:tcPr>
          <w:p w14:paraId="103075EC" w14:textId="77777777" w:rsidR="00577D08" w:rsidRDefault="00330FC0">
            <w:pPr>
              <w:ind w:right="5"/>
              <w:jc w:val="right"/>
            </w:pPr>
            <w:r>
              <w:t xml:space="preserve"> 154,772,349.57 </w:t>
            </w:r>
          </w:p>
        </w:tc>
        <w:tc>
          <w:tcPr>
            <w:tcW w:w="688" w:type="pct"/>
          </w:tcPr>
          <w:p w14:paraId="2E2898F4" w14:textId="77777777" w:rsidR="00577D08" w:rsidRDefault="00330FC0">
            <w:pPr>
              <w:ind w:right="5"/>
              <w:jc w:val="right"/>
            </w:pPr>
            <w:r>
              <w:t>233,779,793.99</w:t>
            </w:r>
          </w:p>
        </w:tc>
        <w:tc>
          <w:tcPr>
            <w:tcW w:w="767" w:type="pct"/>
          </w:tcPr>
          <w:p w14:paraId="6680A7A6" w14:textId="77777777" w:rsidR="00577D08" w:rsidRDefault="00330FC0">
            <w:pPr>
              <w:ind w:right="5"/>
              <w:jc w:val="right"/>
            </w:pPr>
            <w:r>
              <w:t>3,799,882.09</w:t>
            </w:r>
          </w:p>
        </w:tc>
        <w:tc>
          <w:tcPr>
            <w:tcW w:w="608" w:type="pct"/>
          </w:tcPr>
          <w:p w14:paraId="70AC716E" w14:textId="77777777" w:rsidR="00577D08" w:rsidRDefault="00330FC0">
            <w:pPr>
              <w:ind w:right="5"/>
              <w:jc w:val="right"/>
            </w:pPr>
            <w:r>
              <w:t>229,979,911.90</w:t>
            </w:r>
          </w:p>
        </w:tc>
      </w:tr>
      <w:tr w:rsidR="00577D08" w14:paraId="153FDEED" w14:textId="77777777">
        <w:trPr>
          <w:cantSplit/>
        </w:trPr>
        <w:tc>
          <w:tcPr>
            <w:tcW w:w="802" w:type="pct"/>
            <w:vAlign w:val="center"/>
          </w:tcPr>
          <w:p w14:paraId="68931E24" w14:textId="77777777" w:rsidR="00577D08" w:rsidRDefault="00330FC0">
            <w:pPr>
              <w:ind w:right="5"/>
              <w:jc w:val="center"/>
            </w:pPr>
            <w:r>
              <w:rPr>
                <w:rFonts w:hint="eastAsia"/>
              </w:rPr>
              <w:t>合计</w:t>
            </w:r>
          </w:p>
        </w:tc>
        <w:tc>
          <w:tcPr>
            <w:tcW w:w="670" w:type="pct"/>
          </w:tcPr>
          <w:p w14:paraId="6EF83E51" w14:textId="77777777" w:rsidR="00577D08" w:rsidRDefault="00330FC0">
            <w:pPr>
              <w:ind w:right="5"/>
              <w:jc w:val="right"/>
            </w:pPr>
            <w:r>
              <w:t xml:space="preserve"> 1,013,710,419.03 </w:t>
            </w:r>
          </w:p>
        </w:tc>
        <w:tc>
          <w:tcPr>
            <w:tcW w:w="770" w:type="pct"/>
          </w:tcPr>
          <w:p w14:paraId="447B9134" w14:textId="77777777" w:rsidR="00577D08" w:rsidRDefault="00330FC0">
            <w:pPr>
              <w:ind w:right="5"/>
              <w:jc w:val="right"/>
            </w:pPr>
            <w:r>
              <w:t xml:space="preserve"> 21,136,064.09 </w:t>
            </w:r>
          </w:p>
        </w:tc>
        <w:tc>
          <w:tcPr>
            <w:tcW w:w="695" w:type="pct"/>
          </w:tcPr>
          <w:p w14:paraId="537E4165" w14:textId="77777777" w:rsidR="00577D08" w:rsidRDefault="00330FC0">
            <w:pPr>
              <w:ind w:right="5"/>
              <w:jc w:val="right"/>
            </w:pPr>
            <w:r>
              <w:t xml:space="preserve"> 992,574,354.94 </w:t>
            </w:r>
          </w:p>
        </w:tc>
        <w:tc>
          <w:tcPr>
            <w:tcW w:w="688" w:type="pct"/>
          </w:tcPr>
          <w:p w14:paraId="2D9FA0CD" w14:textId="77777777" w:rsidR="00577D08" w:rsidRDefault="00330FC0">
            <w:pPr>
              <w:ind w:right="5"/>
              <w:jc w:val="right"/>
            </w:pPr>
            <w:r>
              <w:t>883,732,548.62</w:t>
            </w:r>
          </w:p>
        </w:tc>
        <w:tc>
          <w:tcPr>
            <w:tcW w:w="767" w:type="pct"/>
          </w:tcPr>
          <w:p w14:paraId="5FE89B88" w14:textId="77777777" w:rsidR="00577D08" w:rsidRDefault="00330FC0">
            <w:pPr>
              <w:ind w:right="5"/>
              <w:jc w:val="right"/>
            </w:pPr>
            <w:r>
              <w:t>13,780,670.37</w:t>
            </w:r>
          </w:p>
        </w:tc>
        <w:tc>
          <w:tcPr>
            <w:tcW w:w="608" w:type="pct"/>
          </w:tcPr>
          <w:p w14:paraId="79A3A00C" w14:textId="77777777" w:rsidR="00577D08" w:rsidRDefault="00330FC0">
            <w:pPr>
              <w:ind w:right="5"/>
              <w:jc w:val="right"/>
            </w:pPr>
            <w:r>
              <w:t>869,951,878.25</w:t>
            </w:r>
          </w:p>
        </w:tc>
      </w:tr>
    </w:tbl>
    <w:p w14:paraId="4E57F999" w14:textId="77777777" w:rsidR="00577D08" w:rsidRDefault="00330FC0">
      <w:pPr>
        <w:pStyle w:val="4"/>
        <w:numPr>
          <w:ilvl w:val="3"/>
          <w:numId w:val="70"/>
        </w:numPr>
        <w:ind w:left="426" w:hanging="426"/>
        <w:rPr>
          <w:rFonts w:asciiTheme="minorHAnsi" w:eastAsia="宋体" w:hAnsiTheme="minorHAnsi" w:cs="宋体"/>
          <w:kern w:val="0"/>
          <w:szCs w:val="22"/>
        </w:rPr>
      </w:pPr>
      <w:bookmarkStart w:id="369" w:name="_Hlk182484983"/>
      <w:bookmarkEnd w:id="367"/>
      <w:bookmarkEnd w:id="368"/>
      <w:r>
        <w:rPr>
          <w:rFonts w:asciiTheme="minorHAnsi" w:eastAsia="宋体" w:hAnsiTheme="minorHAnsi" w:cs="宋体" w:hint="eastAsia"/>
          <w:kern w:val="0"/>
          <w:szCs w:val="22"/>
        </w:rPr>
        <w:t>确认为存货的数据资源</w:t>
      </w:r>
    </w:p>
    <w:sdt>
      <w:sdtPr>
        <w:rPr>
          <w:rFonts w:hint="eastAsia"/>
          <w:color w:val="000000" w:themeColor="text1"/>
        </w:rPr>
        <w:alias w:val="是否适用：确认为存货的数据资源[双击切换]"/>
        <w:tag w:val="_GBC_a7d9b8c6ebca4003bf262295877405d7"/>
        <w:id w:val="-398823768"/>
        <w:placeholder>
          <w:docPart w:val="GBC22222222222222222222222222222"/>
        </w:placeholder>
      </w:sdtPr>
      <w:sdtContent>
        <w:p w14:paraId="200F31B5"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369" w:displacedByCustomXml="next"/>
    <w:bookmarkStart w:id="370" w:name="_Hlk533079150" w:displacedByCustomXml="next"/>
    <w:sdt>
      <w:sdtPr>
        <w:tag w:val="_PLD_b03e65bc536a43eab5570263a106c71d"/>
        <w:id w:val="1165133766"/>
      </w:sdtPr>
      <w:sdtContent>
        <w:p w14:paraId="01F2BF67" w14:textId="77777777" w:rsidR="00577D08" w:rsidRDefault="00330FC0">
          <w:pPr>
            <w:pStyle w:val="4"/>
            <w:numPr>
              <w:ilvl w:val="3"/>
              <w:numId w:val="70"/>
            </w:numPr>
            <w:ind w:left="426" w:hanging="426"/>
            <w:rPr>
              <w:rFonts w:hint="eastAsia"/>
              <w:b w:val="0"/>
              <w:bCs w:val="0"/>
            </w:rPr>
          </w:pPr>
          <w:r>
            <w:t>存货跌价准备及合同履约成本减值准备</w:t>
          </w:r>
        </w:p>
      </w:sdtContent>
    </w:sdt>
    <w:sdt>
      <w:sdtPr>
        <w:alias w:val="是否适用：存货跌价准备[双击切换]"/>
        <w:tag w:val="_GBC_c61866b530ae491eb21bee1edd36619e"/>
        <w:id w:val="358246035"/>
        <w:placeholder>
          <w:docPart w:val="GBC22222222222222222222222222222"/>
        </w:placeholder>
      </w:sdtPr>
      <w:sdtContent>
        <w:p w14:paraId="58A5934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310FCB7" w14:textId="7EE34A31" w:rsidR="00577D08" w:rsidRDefault="00330FC0">
      <w:pPr>
        <w:jc w:val="right"/>
      </w:pPr>
      <w:r>
        <w:rPr>
          <w:rFonts w:hint="eastAsia"/>
        </w:rPr>
        <w:t>单位：</w:t>
      </w:r>
      <w:sdt>
        <w:sdtPr>
          <w:rPr>
            <w:rFonts w:hint="eastAsia"/>
          </w:rPr>
          <w:alias w:val="单位：存货跌价准备"/>
          <w:tag w:val="_GBC_2d3e3a5e2ff44ef3bbef756054f246f3"/>
          <w:id w:val="16897170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t xml:space="preserve"> </w:t>
          </w:r>
        </w:sdtContent>
      </w:sdt>
      <w:r>
        <w:rPr>
          <w:rFonts w:hint="eastAsia"/>
        </w:rPr>
        <w:t>币种：</w:t>
      </w:r>
      <w:sdt>
        <w:sdtPr>
          <w:rPr>
            <w:rFonts w:hint="eastAsia"/>
          </w:rPr>
          <w:alias w:val="币种：存货跌价准备"/>
          <w:tag w:val="_GBC_c51bd05fe51f4b609e7e1904eb064d34"/>
          <w:id w:val="9717892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800"/>
        <w:gridCol w:w="1824"/>
        <w:gridCol w:w="1824"/>
        <w:gridCol w:w="1841"/>
        <w:gridCol w:w="1827"/>
        <w:gridCol w:w="1813"/>
      </w:tblGrid>
      <w:tr w:rsidR="00577D08" w14:paraId="21EDF9B5" w14:textId="77777777">
        <w:trPr>
          <w:trHeight w:val="238"/>
        </w:trPr>
        <w:sdt>
          <w:sdtPr>
            <w:tag w:val="_PLD_4ac7cc4fa4994c1db43ed3b367defc13"/>
            <w:id w:val="1555504335"/>
          </w:sdtPr>
          <w:sdtContent>
            <w:tc>
              <w:tcPr>
                <w:tcW w:w="1058" w:type="pct"/>
                <w:vMerge w:val="restart"/>
                <w:tcBorders>
                  <w:top w:val="single" w:sz="4" w:space="0" w:color="auto"/>
                  <w:left w:val="single" w:sz="4" w:space="0" w:color="auto"/>
                  <w:bottom w:val="single" w:sz="4" w:space="0" w:color="auto"/>
                  <w:right w:val="single" w:sz="4" w:space="0" w:color="auto"/>
                </w:tcBorders>
                <w:vAlign w:val="center"/>
              </w:tcPr>
              <w:p w14:paraId="1DBBE01C" w14:textId="77777777" w:rsidR="00577D08" w:rsidRDefault="00330FC0">
                <w:pPr>
                  <w:jc w:val="center"/>
                </w:pPr>
                <w:r>
                  <w:rPr>
                    <w:rFonts w:hint="eastAsia"/>
                  </w:rPr>
                  <w:t>项目</w:t>
                </w:r>
              </w:p>
            </w:tc>
          </w:sdtContent>
        </w:sdt>
        <w:sdt>
          <w:sdtPr>
            <w:tag w:val="_PLD_7a2e758257864908b13bf89a561f9b5a"/>
            <w:id w:val="2119791505"/>
          </w:sdtPr>
          <w:sdtContent>
            <w:tc>
              <w:tcPr>
                <w:tcW w:w="649" w:type="pct"/>
                <w:vMerge w:val="restart"/>
                <w:tcBorders>
                  <w:top w:val="single" w:sz="4" w:space="0" w:color="auto"/>
                  <w:left w:val="single" w:sz="4" w:space="0" w:color="auto"/>
                  <w:bottom w:val="single" w:sz="4" w:space="0" w:color="auto"/>
                  <w:right w:val="single" w:sz="4" w:space="0" w:color="auto"/>
                </w:tcBorders>
                <w:vAlign w:val="center"/>
              </w:tcPr>
              <w:p w14:paraId="4B914DAA" w14:textId="77777777" w:rsidR="00577D08" w:rsidRDefault="00330FC0">
                <w:pPr>
                  <w:jc w:val="center"/>
                </w:pPr>
                <w:r>
                  <w:rPr>
                    <w:rFonts w:hint="eastAsia"/>
                  </w:rPr>
                  <w:t>期初余额</w:t>
                </w:r>
              </w:p>
            </w:tc>
          </w:sdtContent>
        </w:sdt>
        <w:sdt>
          <w:sdtPr>
            <w:tag w:val="_PLD_d95d27d30a6440b5ba0d3798473f422e"/>
            <w:id w:val="-334772390"/>
          </w:sdtPr>
          <w:sdtContent>
            <w:tc>
              <w:tcPr>
                <w:tcW w:w="1316" w:type="pct"/>
                <w:gridSpan w:val="2"/>
                <w:tcBorders>
                  <w:top w:val="single" w:sz="4" w:space="0" w:color="auto"/>
                  <w:left w:val="single" w:sz="4" w:space="0" w:color="auto"/>
                  <w:right w:val="single" w:sz="4" w:space="0" w:color="auto"/>
                </w:tcBorders>
                <w:vAlign w:val="center"/>
              </w:tcPr>
              <w:p w14:paraId="205D5524" w14:textId="77777777" w:rsidR="00577D08" w:rsidRDefault="00330FC0">
                <w:pPr>
                  <w:jc w:val="center"/>
                </w:pPr>
                <w:r>
                  <w:rPr>
                    <w:rFonts w:hint="eastAsia"/>
                  </w:rPr>
                  <w:t>本期增加金额</w:t>
                </w:r>
              </w:p>
            </w:tc>
          </w:sdtContent>
        </w:sdt>
        <w:sdt>
          <w:sdtPr>
            <w:tag w:val="_PLD_cb7d37811bf944e4a7bb31b4366efaeb"/>
            <w:id w:val="466555975"/>
          </w:sdtPr>
          <w:sdtContent>
            <w:tc>
              <w:tcPr>
                <w:tcW w:w="1323" w:type="pct"/>
                <w:gridSpan w:val="2"/>
                <w:tcBorders>
                  <w:top w:val="single" w:sz="4" w:space="0" w:color="auto"/>
                  <w:left w:val="single" w:sz="4" w:space="0" w:color="auto"/>
                  <w:right w:val="single" w:sz="4" w:space="0" w:color="auto"/>
                </w:tcBorders>
                <w:vAlign w:val="center"/>
              </w:tcPr>
              <w:p w14:paraId="37980C83" w14:textId="77777777" w:rsidR="00577D08" w:rsidRDefault="00330FC0">
                <w:pPr>
                  <w:jc w:val="center"/>
                </w:pPr>
                <w:r>
                  <w:rPr>
                    <w:rFonts w:hint="eastAsia"/>
                  </w:rPr>
                  <w:t>本期减少金额</w:t>
                </w:r>
              </w:p>
            </w:tc>
          </w:sdtContent>
        </w:sdt>
        <w:sdt>
          <w:sdtPr>
            <w:tag w:val="_PLD_b2523ee7f028451790c9f2ef6e216a59"/>
            <w:id w:val="1116026575"/>
          </w:sdtPr>
          <w:sdtContent>
            <w:tc>
              <w:tcPr>
                <w:tcW w:w="654" w:type="pct"/>
                <w:vMerge w:val="restart"/>
                <w:tcBorders>
                  <w:top w:val="single" w:sz="4" w:space="0" w:color="auto"/>
                  <w:left w:val="single" w:sz="4" w:space="0" w:color="auto"/>
                  <w:bottom w:val="single" w:sz="4" w:space="0" w:color="auto"/>
                  <w:right w:val="single" w:sz="4" w:space="0" w:color="auto"/>
                </w:tcBorders>
                <w:vAlign w:val="center"/>
              </w:tcPr>
              <w:p w14:paraId="5F24CD89" w14:textId="77777777" w:rsidR="00577D08" w:rsidRDefault="00330FC0">
                <w:pPr>
                  <w:jc w:val="center"/>
                </w:pPr>
                <w:r>
                  <w:rPr>
                    <w:rFonts w:hint="eastAsia"/>
                  </w:rPr>
                  <w:t>期末余额</w:t>
                </w:r>
              </w:p>
            </w:tc>
          </w:sdtContent>
        </w:sdt>
      </w:tr>
      <w:tr w:rsidR="00577D08" w14:paraId="5E8A5501" w14:textId="77777777">
        <w:trPr>
          <w:trHeight w:val="301"/>
        </w:trPr>
        <w:tc>
          <w:tcPr>
            <w:tcW w:w="1058" w:type="pct"/>
            <w:vMerge/>
            <w:tcBorders>
              <w:top w:val="single" w:sz="4" w:space="0" w:color="auto"/>
              <w:left w:val="single" w:sz="4" w:space="0" w:color="auto"/>
              <w:bottom w:val="single" w:sz="4" w:space="0" w:color="auto"/>
              <w:right w:val="single" w:sz="4" w:space="0" w:color="auto"/>
            </w:tcBorders>
            <w:vAlign w:val="center"/>
          </w:tcPr>
          <w:p w14:paraId="41914EAC" w14:textId="77777777" w:rsidR="00577D08" w:rsidRDefault="00577D08">
            <w:pPr>
              <w:jc w:val="center"/>
            </w:pPr>
          </w:p>
        </w:tc>
        <w:tc>
          <w:tcPr>
            <w:tcW w:w="649" w:type="pct"/>
            <w:vMerge/>
            <w:tcBorders>
              <w:top w:val="single" w:sz="4" w:space="0" w:color="auto"/>
              <w:left w:val="single" w:sz="4" w:space="0" w:color="auto"/>
              <w:bottom w:val="single" w:sz="4" w:space="0" w:color="auto"/>
              <w:right w:val="single" w:sz="4" w:space="0" w:color="auto"/>
            </w:tcBorders>
            <w:vAlign w:val="center"/>
          </w:tcPr>
          <w:p w14:paraId="7E8405FB" w14:textId="77777777" w:rsidR="00577D08" w:rsidRDefault="00577D08">
            <w:pPr>
              <w:jc w:val="center"/>
            </w:pPr>
          </w:p>
        </w:tc>
        <w:sdt>
          <w:sdtPr>
            <w:tag w:val="_PLD_16a8dea59b924b23a28ea45988190955"/>
            <w:id w:val="-201244641"/>
          </w:sdtPr>
          <w:sdtContent>
            <w:tc>
              <w:tcPr>
                <w:tcW w:w="658" w:type="pct"/>
                <w:tcBorders>
                  <w:left w:val="single" w:sz="4" w:space="0" w:color="auto"/>
                  <w:bottom w:val="single" w:sz="4" w:space="0" w:color="auto"/>
                  <w:right w:val="single" w:sz="4" w:space="0" w:color="auto"/>
                </w:tcBorders>
                <w:vAlign w:val="center"/>
              </w:tcPr>
              <w:p w14:paraId="29E664CC" w14:textId="77777777" w:rsidR="00577D08" w:rsidRDefault="00330FC0">
                <w:pPr>
                  <w:jc w:val="center"/>
                </w:pPr>
                <w:r>
                  <w:rPr>
                    <w:rFonts w:hint="eastAsia"/>
                  </w:rPr>
                  <w:t>计提</w:t>
                </w:r>
              </w:p>
            </w:tc>
          </w:sdtContent>
        </w:sdt>
        <w:sdt>
          <w:sdtPr>
            <w:tag w:val="_PLD_621a418b64e54315a5981611a5504791"/>
            <w:id w:val="753709337"/>
          </w:sdtPr>
          <w:sdtContent>
            <w:tc>
              <w:tcPr>
                <w:tcW w:w="658" w:type="pct"/>
                <w:tcBorders>
                  <w:left w:val="single" w:sz="4" w:space="0" w:color="auto"/>
                  <w:bottom w:val="single" w:sz="4" w:space="0" w:color="auto"/>
                  <w:right w:val="single" w:sz="4" w:space="0" w:color="auto"/>
                </w:tcBorders>
                <w:vAlign w:val="center"/>
              </w:tcPr>
              <w:p w14:paraId="06B5AE45" w14:textId="77777777" w:rsidR="00577D08" w:rsidRDefault="00330FC0">
                <w:pPr>
                  <w:jc w:val="center"/>
                </w:pPr>
                <w:r>
                  <w:rPr>
                    <w:rFonts w:hint="eastAsia"/>
                  </w:rPr>
                  <w:t>其他</w:t>
                </w:r>
              </w:p>
            </w:tc>
          </w:sdtContent>
        </w:sdt>
        <w:sdt>
          <w:sdtPr>
            <w:tag w:val="_PLD_1928b16982a747c59a563fa4d086d9fc"/>
            <w:id w:val="1998613614"/>
          </w:sdtPr>
          <w:sdtContent>
            <w:tc>
              <w:tcPr>
                <w:tcW w:w="664" w:type="pct"/>
                <w:tcBorders>
                  <w:top w:val="single" w:sz="4" w:space="0" w:color="auto"/>
                  <w:left w:val="single" w:sz="4" w:space="0" w:color="auto"/>
                  <w:bottom w:val="single" w:sz="4" w:space="0" w:color="auto"/>
                  <w:right w:val="single" w:sz="4" w:space="0" w:color="auto"/>
                </w:tcBorders>
                <w:vAlign w:val="center"/>
              </w:tcPr>
              <w:p w14:paraId="02EB3D79" w14:textId="77777777" w:rsidR="00577D08" w:rsidRDefault="00330FC0">
                <w:pPr>
                  <w:jc w:val="center"/>
                </w:pPr>
                <w:r>
                  <w:rPr>
                    <w:rFonts w:hint="eastAsia"/>
                  </w:rPr>
                  <w:t>转回或转销</w:t>
                </w:r>
              </w:p>
            </w:tc>
          </w:sdtContent>
        </w:sdt>
        <w:sdt>
          <w:sdtPr>
            <w:tag w:val="_PLD_1472e7afb261461b8468e1969b080fd5"/>
            <w:id w:val="448819734"/>
          </w:sdtPr>
          <w:sdtContent>
            <w:tc>
              <w:tcPr>
                <w:tcW w:w="659" w:type="pct"/>
                <w:tcBorders>
                  <w:top w:val="single" w:sz="4" w:space="0" w:color="auto"/>
                  <w:left w:val="single" w:sz="4" w:space="0" w:color="auto"/>
                  <w:bottom w:val="single" w:sz="4" w:space="0" w:color="auto"/>
                  <w:right w:val="single" w:sz="4" w:space="0" w:color="auto"/>
                </w:tcBorders>
                <w:vAlign w:val="center"/>
              </w:tcPr>
              <w:p w14:paraId="15A20B79" w14:textId="77777777" w:rsidR="00577D08" w:rsidRDefault="00330FC0">
                <w:pPr>
                  <w:jc w:val="center"/>
                </w:pPr>
                <w:r>
                  <w:rPr>
                    <w:rFonts w:hint="eastAsia"/>
                  </w:rPr>
                  <w:t>其他</w:t>
                </w:r>
              </w:p>
            </w:tc>
          </w:sdtContent>
        </w:sdt>
        <w:tc>
          <w:tcPr>
            <w:tcW w:w="654" w:type="pct"/>
            <w:vMerge/>
            <w:tcBorders>
              <w:top w:val="single" w:sz="4" w:space="0" w:color="auto"/>
              <w:left w:val="single" w:sz="4" w:space="0" w:color="auto"/>
              <w:bottom w:val="single" w:sz="4" w:space="0" w:color="auto"/>
              <w:right w:val="single" w:sz="4" w:space="0" w:color="auto"/>
            </w:tcBorders>
            <w:vAlign w:val="center"/>
          </w:tcPr>
          <w:p w14:paraId="049EE380" w14:textId="77777777" w:rsidR="00577D08" w:rsidRDefault="00577D08">
            <w:pPr>
              <w:jc w:val="center"/>
            </w:pPr>
          </w:p>
        </w:tc>
      </w:tr>
      <w:tr w:rsidR="00577D08" w14:paraId="47CE165E" w14:textId="77777777">
        <w:trPr>
          <w:trHeight w:val="20"/>
        </w:trPr>
        <w:tc>
          <w:tcPr>
            <w:tcW w:w="1058" w:type="pct"/>
            <w:tcBorders>
              <w:top w:val="single" w:sz="4" w:space="0" w:color="auto"/>
              <w:left w:val="single" w:sz="4" w:space="0" w:color="auto"/>
              <w:bottom w:val="single" w:sz="4" w:space="0" w:color="auto"/>
              <w:right w:val="single" w:sz="4" w:space="0" w:color="auto"/>
            </w:tcBorders>
            <w:vAlign w:val="center"/>
          </w:tcPr>
          <w:p w14:paraId="7BEBE758" w14:textId="77777777" w:rsidR="00577D08" w:rsidRDefault="00330FC0">
            <w:r>
              <w:rPr>
                <w:rFonts w:hint="eastAsia"/>
              </w:rPr>
              <w:t>原材料</w:t>
            </w:r>
          </w:p>
        </w:tc>
        <w:tc>
          <w:tcPr>
            <w:tcW w:w="649" w:type="pct"/>
            <w:tcBorders>
              <w:top w:val="single" w:sz="4" w:space="0" w:color="auto"/>
              <w:left w:val="single" w:sz="4" w:space="0" w:color="auto"/>
              <w:bottom w:val="single" w:sz="4" w:space="0" w:color="auto"/>
              <w:right w:val="single" w:sz="4" w:space="0" w:color="auto"/>
            </w:tcBorders>
          </w:tcPr>
          <w:p w14:paraId="24170EF6" w14:textId="77777777" w:rsidR="00577D08" w:rsidRDefault="00330FC0">
            <w:pPr>
              <w:ind w:right="5"/>
              <w:jc w:val="right"/>
            </w:pPr>
            <w:r>
              <w:t xml:space="preserve"> 1,960,647.67 </w:t>
            </w:r>
          </w:p>
        </w:tc>
        <w:tc>
          <w:tcPr>
            <w:tcW w:w="658" w:type="pct"/>
            <w:tcBorders>
              <w:top w:val="single" w:sz="4" w:space="0" w:color="auto"/>
              <w:left w:val="single" w:sz="4" w:space="0" w:color="auto"/>
              <w:bottom w:val="single" w:sz="4" w:space="0" w:color="auto"/>
              <w:right w:val="single" w:sz="4" w:space="0" w:color="auto"/>
            </w:tcBorders>
          </w:tcPr>
          <w:p w14:paraId="23A5ADBD" w14:textId="77777777" w:rsidR="00577D08" w:rsidRDefault="00330FC0">
            <w:pPr>
              <w:jc w:val="right"/>
            </w:pPr>
            <w:r>
              <w:t xml:space="preserve"> 1,413,091.21 </w:t>
            </w:r>
          </w:p>
        </w:tc>
        <w:tc>
          <w:tcPr>
            <w:tcW w:w="658" w:type="pct"/>
            <w:tcBorders>
              <w:top w:val="single" w:sz="4" w:space="0" w:color="auto"/>
              <w:left w:val="single" w:sz="4" w:space="0" w:color="auto"/>
              <w:bottom w:val="single" w:sz="4" w:space="0" w:color="auto"/>
              <w:right w:val="single" w:sz="4" w:space="0" w:color="auto"/>
            </w:tcBorders>
          </w:tcPr>
          <w:p w14:paraId="2606F23F" w14:textId="77777777" w:rsidR="00577D08" w:rsidRDefault="00577D08">
            <w:pPr>
              <w:jc w:val="right"/>
            </w:pPr>
          </w:p>
        </w:tc>
        <w:tc>
          <w:tcPr>
            <w:tcW w:w="664" w:type="pct"/>
            <w:tcBorders>
              <w:top w:val="single" w:sz="4" w:space="0" w:color="auto"/>
              <w:left w:val="single" w:sz="4" w:space="0" w:color="auto"/>
              <w:bottom w:val="single" w:sz="4" w:space="0" w:color="auto"/>
              <w:right w:val="single" w:sz="4" w:space="0" w:color="auto"/>
            </w:tcBorders>
          </w:tcPr>
          <w:p w14:paraId="73881268" w14:textId="77777777" w:rsidR="00577D08" w:rsidRDefault="00330FC0">
            <w:pPr>
              <w:jc w:val="right"/>
            </w:pPr>
            <w:r>
              <w:t xml:space="preserve"> 1,061,001.01 </w:t>
            </w:r>
          </w:p>
        </w:tc>
        <w:tc>
          <w:tcPr>
            <w:tcW w:w="659" w:type="pct"/>
            <w:tcBorders>
              <w:top w:val="single" w:sz="4" w:space="0" w:color="auto"/>
              <w:left w:val="single" w:sz="4" w:space="0" w:color="auto"/>
              <w:bottom w:val="single" w:sz="4" w:space="0" w:color="auto"/>
              <w:right w:val="single" w:sz="4" w:space="0" w:color="auto"/>
            </w:tcBorders>
          </w:tcPr>
          <w:p w14:paraId="46371079" w14:textId="77777777" w:rsidR="00577D08" w:rsidRDefault="00577D08">
            <w:pPr>
              <w:jc w:val="right"/>
            </w:pPr>
          </w:p>
        </w:tc>
        <w:tc>
          <w:tcPr>
            <w:tcW w:w="654" w:type="pct"/>
            <w:tcBorders>
              <w:top w:val="single" w:sz="4" w:space="0" w:color="auto"/>
              <w:left w:val="single" w:sz="4" w:space="0" w:color="auto"/>
              <w:bottom w:val="single" w:sz="4" w:space="0" w:color="auto"/>
              <w:right w:val="single" w:sz="4" w:space="0" w:color="auto"/>
            </w:tcBorders>
          </w:tcPr>
          <w:p w14:paraId="497FD2FD" w14:textId="77777777" w:rsidR="00577D08" w:rsidRDefault="00330FC0">
            <w:pPr>
              <w:ind w:right="5"/>
              <w:jc w:val="right"/>
            </w:pPr>
            <w:r>
              <w:t xml:space="preserve"> 2,312,737.87 </w:t>
            </w:r>
          </w:p>
        </w:tc>
      </w:tr>
      <w:tr w:rsidR="00577D08" w14:paraId="6BB6A4EC" w14:textId="77777777">
        <w:trPr>
          <w:trHeight w:val="20"/>
        </w:trPr>
        <w:tc>
          <w:tcPr>
            <w:tcW w:w="1058" w:type="pct"/>
            <w:tcBorders>
              <w:top w:val="single" w:sz="4" w:space="0" w:color="auto"/>
              <w:left w:val="single" w:sz="4" w:space="0" w:color="auto"/>
              <w:bottom w:val="single" w:sz="4" w:space="0" w:color="auto"/>
              <w:right w:val="single" w:sz="4" w:space="0" w:color="auto"/>
            </w:tcBorders>
            <w:vAlign w:val="center"/>
          </w:tcPr>
          <w:p w14:paraId="483CE18D" w14:textId="77777777" w:rsidR="00577D08" w:rsidRDefault="00330FC0">
            <w:r>
              <w:rPr>
                <w:rFonts w:hint="eastAsia"/>
              </w:rPr>
              <w:t>在产品</w:t>
            </w:r>
          </w:p>
        </w:tc>
        <w:tc>
          <w:tcPr>
            <w:tcW w:w="649" w:type="pct"/>
            <w:tcBorders>
              <w:top w:val="single" w:sz="4" w:space="0" w:color="auto"/>
              <w:left w:val="single" w:sz="4" w:space="0" w:color="auto"/>
              <w:bottom w:val="single" w:sz="4" w:space="0" w:color="auto"/>
              <w:right w:val="single" w:sz="4" w:space="0" w:color="auto"/>
            </w:tcBorders>
          </w:tcPr>
          <w:p w14:paraId="62A5AA0C" w14:textId="77777777" w:rsidR="00577D08" w:rsidRDefault="00330FC0">
            <w:pPr>
              <w:ind w:right="5"/>
              <w:jc w:val="right"/>
            </w:pPr>
            <w:r>
              <w:t xml:space="preserve"> 2,264,860.24 </w:t>
            </w:r>
          </w:p>
        </w:tc>
        <w:tc>
          <w:tcPr>
            <w:tcW w:w="658" w:type="pct"/>
            <w:tcBorders>
              <w:top w:val="single" w:sz="4" w:space="0" w:color="auto"/>
              <w:left w:val="single" w:sz="4" w:space="0" w:color="auto"/>
              <w:bottom w:val="single" w:sz="4" w:space="0" w:color="auto"/>
              <w:right w:val="single" w:sz="4" w:space="0" w:color="auto"/>
            </w:tcBorders>
          </w:tcPr>
          <w:p w14:paraId="087987AC" w14:textId="77777777" w:rsidR="00577D08" w:rsidRDefault="00330FC0">
            <w:pPr>
              <w:jc w:val="right"/>
            </w:pPr>
            <w:r>
              <w:t xml:space="preserve"> 4,478,262.69 </w:t>
            </w:r>
          </w:p>
        </w:tc>
        <w:tc>
          <w:tcPr>
            <w:tcW w:w="658" w:type="pct"/>
            <w:tcBorders>
              <w:top w:val="single" w:sz="4" w:space="0" w:color="auto"/>
              <w:left w:val="single" w:sz="4" w:space="0" w:color="auto"/>
              <w:bottom w:val="single" w:sz="4" w:space="0" w:color="auto"/>
              <w:right w:val="single" w:sz="4" w:space="0" w:color="auto"/>
            </w:tcBorders>
          </w:tcPr>
          <w:p w14:paraId="395687E2" w14:textId="77777777" w:rsidR="00577D08" w:rsidRDefault="00577D08">
            <w:pPr>
              <w:jc w:val="right"/>
            </w:pPr>
          </w:p>
        </w:tc>
        <w:tc>
          <w:tcPr>
            <w:tcW w:w="664" w:type="pct"/>
            <w:tcBorders>
              <w:top w:val="single" w:sz="4" w:space="0" w:color="auto"/>
              <w:left w:val="single" w:sz="4" w:space="0" w:color="auto"/>
              <w:bottom w:val="single" w:sz="4" w:space="0" w:color="auto"/>
              <w:right w:val="single" w:sz="4" w:space="0" w:color="auto"/>
            </w:tcBorders>
          </w:tcPr>
          <w:p w14:paraId="47A7BDFF" w14:textId="77777777" w:rsidR="00577D08" w:rsidRDefault="00330FC0">
            <w:pPr>
              <w:jc w:val="right"/>
            </w:pPr>
            <w:r>
              <w:t xml:space="preserve"> 2,264,860.24 </w:t>
            </w:r>
          </w:p>
        </w:tc>
        <w:tc>
          <w:tcPr>
            <w:tcW w:w="659" w:type="pct"/>
            <w:tcBorders>
              <w:top w:val="single" w:sz="4" w:space="0" w:color="auto"/>
              <w:left w:val="single" w:sz="4" w:space="0" w:color="auto"/>
              <w:right w:val="single" w:sz="4" w:space="0" w:color="auto"/>
            </w:tcBorders>
          </w:tcPr>
          <w:p w14:paraId="0930B1C3" w14:textId="77777777" w:rsidR="00577D08" w:rsidRDefault="00577D08">
            <w:pPr>
              <w:jc w:val="right"/>
            </w:pPr>
          </w:p>
        </w:tc>
        <w:tc>
          <w:tcPr>
            <w:tcW w:w="654" w:type="pct"/>
            <w:tcBorders>
              <w:top w:val="single" w:sz="4" w:space="0" w:color="auto"/>
              <w:left w:val="single" w:sz="4" w:space="0" w:color="auto"/>
              <w:bottom w:val="single" w:sz="4" w:space="0" w:color="auto"/>
              <w:right w:val="single" w:sz="4" w:space="0" w:color="auto"/>
            </w:tcBorders>
          </w:tcPr>
          <w:p w14:paraId="2C203C50" w14:textId="77777777" w:rsidR="00577D08" w:rsidRDefault="00330FC0">
            <w:pPr>
              <w:ind w:right="5"/>
              <w:jc w:val="right"/>
            </w:pPr>
            <w:r>
              <w:t xml:space="preserve"> 4,478,262.69 </w:t>
            </w:r>
          </w:p>
        </w:tc>
      </w:tr>
      <w:tr w:rsidR="00577D08" w14:paraId="6D8A1C65" w14:textId="77777777">
        <w:trPr>
          <w:trHeight w:val="20"/>
        </w:trPr>
        <w:tc>
          <w:tcPr>
            <w:tcW w:w="1058" w:type="pct"/>
            <w:tcBorders>
              <w:top w:val="single" w:sz="4" w:space="0" w:color="auto"/>
              <w:left w:val="single" w:sz="4" w:space="0" w:color="auto"/>
              <w:bottom w:val="single" w:sz="4" w:space="0" w:color="auto"/>
              <w:right w:val="single" w:sz="4" w:space="0" w:color="auto"/>
            </w:tcBorders>
            <w:vAlign w:val="center"/>
          </w:tcPr>
          <w:p w14:paraId="58E1E619" w14:textId="77777777" w:rsidR="00577D08" w:rsidRDefault="00330FC0">
            <w:r>
              <w:rPr>
                <w:rFonts w:hint="eastAsia"/>
              </w:rPr>
              <w:t>库存商品</w:t>
            </w:r>
          </w:p>
        </w:tc>
        <w:tc>
          <w:tcPr>
            <w:tcW w:w="649" w:type="pct"/>
            <w:tcBorders>
              <w:top w:val="single" w:sz="4" w:space="0" w:color="auto"/>
              <w:left w:val="single" w:sz="4" w:space="0" w:color="auto"/>
              <w:bottom w:val="single" w:sz="4" w:space="0" w:color="auto"/>
              <w:right w:val="single" w:sz="4" w:space="0" w:color="auto"/>
            </w:tcBorders>
          </w:tcPr>
          <w:p w14:paraId="6D452A5E" w14:textId="77777777" w:rsidR="00577D08" w:rsidRDefault="00330FC0">
            <w:pPr>
              <w:ind w:right="5"/>
              <w:jc w:val="right"/>
            </w:pPr>
            <w:r>
              <w:t xml:space="preserve"> 5,755,280.37 </w:t>
            </w:r>
          </w:p>
        </w:tc>
        <w:tc>
          <w:tcPr>
            <w:tcW w:w="658" w:type="pct"/>
            <w:tcBorders>
              <w:top w:val="single" w:sz="4" w:space="0" w:color="auto"/>
              <w:left w:val="single" w:sz="4" w:space="0" w:color="auto"/>
              <w:bottom w:val="single" w:sz="4" w:space="0" w:color="auto"/>
              <w:right w:val="single" w:sz="4" w:space="0" w:color="auto"/>
            </w:tcBorders>
          </w:tcPr>
          <w:p w14:paraId="11773776" w14:textId="77777777" w:rsidR="00577D08" w:rsidRDefault="00330FC0">
            <w:pPr>
              <w:jc w:val="right"/>
            </w:pPr>
            <w:r>
              <w:t xml:space="preserve"> 9,371,106.11 </w:t>
            </w:r>
          </w:p>
        </w:tc>
        <w:tc>
          <w:tcPr>
            <w:tcW w:w="658" w:type="pct"/>
            <w:tcBorders>
              <w:top w:val="single" w:sz="4" w:space="0" w:color="auto"/>
              <w:left w:val="single" w:sz="4" w:space="0" w:color="auto"/>
              <w:bottom w:val="single" w:sz="4" w:space="0" w:color="auto"/>
              <w:right w:val="single" w:sz="4" w:space="0" w:color="auto"/>
            </w:tcBorders>
          </w:tcPr>
          <w:p w14:paraId="25975F25" w14:textId="77777777" w:rsidR="00577D08" w:rsidRDefault="00577D08">
            <w:pPr>
              <w:jc w:val="right"/>
            </w:pPr>
          </w:p>
        </w:tc>
        <w:tc>
          <w:tcPr>
            <w:tcW w:w="664" w:type="pct"/>
            <w:tcBorders>
              <w:top w:val="single" w:sz="4" w:space="0" w:color="auto"/>
              <w:left w:val="single" w:sz="4" w:space="0" w:color="auto"/>
              <w:bottom w:val="single" w:sz="4" w:space="0" w:color="auto"/>
              <w:right w:val="single" w:sz="4" w:space="0" w:color="auto"/>
            </w:tcBorders>
          </w:tcPr>
          <w:p w14:paraId="3B29C78A" w14:textId="77777777" w:rsidR="00577D08" w:rsidRDefault="00330FC0">
            <w:pPr>
              <w:jc w:val="right"/>
            </w:pPr>
            <w:r>
              <w:t xml:space="preserve"> 5,054,338.43 </w:t>
            </w:r>
          </w:p>
        </w:tc>
        <w:tc>
          <w:tcPr>
            <w:tcW w:w="659" w:type="pct"/>
            <w:tcBorders>
              <w:left w:val="single" w:sz="4" w:space="0" w:color="auto"/>
              <w:right w:val="single" w:sz="4" w:space="0" w:color="auto"/>
            </w:tcBorders>
          </w:tcPr>
          <w:p w14:paraId="4CD8BC58" w14:textId="77777777" w:rsidR="00577D08" w:rsidRDefault="00577D08">
            <w:pPr>
              <w:jc w:val="right"/>
            </w:pPr>
          </w:p>
        </w:tc>
        <w:tc>
          <w:tcPr>
            <w:tcW w:w="654" w:type="pct"/>
            <w:tcBorders>
              <w:top w:val="single" w:sz="4" w:space="0" w:color="auto"/>
              <w:left w:val="single" w:sz="4" w:space="0" w:color="auto"/>
              <w:bottom w:val="single" w:sz="4" w:space="0" w:color="auto"/>
              <w:right w:val="single" w:sz="4" w:space="0" w:color="auto"/>
            </w:tcBorders>
          </w:tcPr>
          <w:p w14:paraId="31BE5330" w14:textId="77777777" w:rsidR="00577D08" w:rsidRDefault="00330FC0">
            <w:pPr>
              <w:ind w:right="5"/>
              <w:jc w:val="right"/>
            </w:pPr>
            <w:r>
              <w:t xml:space="preserve"> 10,072,048.05 </w:t>
            </w:r>
          </w:p>
        </w:tc>
      </w:tr>
      <w:tr w:rsidR="00577D08" w14:paraId="3CD0AD5C" w14:textId="77777777">
        <w:trPr>
          <w:trHeight w:val="20"/>
        </w:trPr>
        <w:tc>
          <w:tcPr>
            <w:tcW w:w="1058" w:type="pct"/>
            <w:tcBorders>
              <w:top w:val="single" w:sz="4" w:space="0" w:color="auto"/>
              <w:left w:val="single" w:sz="4" w:space="0" w:color="auto"/>
              <w:bottom w:val="single" w:sz="4" w:space="0" w:color="auto"/>
              <w:right w:val="single" w:sz="4" w:space="0" w:color="auto"/>
            </w:tcBorders>
            <w:vAlign w:val="center"/>
          </w:tcPr>
          <w:p w14:paraId="6670453A" w14:textId="77777777" w:rsidR="00577D08" w:rsidRDefault="00330FC0">
            <w:r>
              <w:rPr>
                <w:rFonts w:hint="eastAsia"/>
              </w:rPr>
              <w:t>发出商品</w:t>
            </w:r>
          </w:p>
        </w:tc>
        <w:tc>
          <w:tcPr>
            <w:tcW w:w="649" w:type="pct"/>
            <w:tcBorders>
              <w:top w:val="single" w:sz="4" w:space="0" w:color="auto"/>
              <w:left w:val="single" w:sz="4" w:space="0" w:color="auto"/>
              <w:bottom w:val="single" w:sz="4" w:space="0" w:color="auto"/>
              <w:right w:val="single" w:sz="4" w:space="0" w:color="auto"/>
            </w:tcBorders>
          </w:tcPr>
          <w:p w14:paraId="7C1CA9B1" w14:textId="77777777" w:rsidR="00577D08" w:rsidRDefault="00330FC0">
            <w:pPr>
              <w:ind w:right="5"/>
              <w:jc w:val="right"/>
            </w:pPr>
            <w:r>
              <w:t xml:space="preserve"> 3,799,882.09 </w:t>
            </w:r>
          </w:p>
        </w:tc>
        <w:tc>
          <w:tcPr>
            <w:tcW w:w="658" w:type="pct"/>
            <w:tcBorders>
              <w:top w:val="single" w:sz="4" w:space="0" w:color="auto"/>
              <w:left w:val="single" w:sz="4" w:space="0" w:color="auto"/>
              <w:bottom w:val="single" w:sz="4" w:space="0" w:color="auto"/>
              <w:right w:val="single" w:sz="4" w:space="0" w:color="auto"/>
            </w:tcBorders>
          </w:tcPr>
          <w:p w14:paraId="72A6F385" w14:textId="77777777" w:rsidR="00577D08" w:rsidRDefault="00330FC0">
            <w:pPr>
              <w:jc w:val="right"/>
            </w:pPr>
            <w:r>
              <w:t xml:space="preserve"> 3,596,944.71 </w:t>
            </w:r>
          </w:p>
        </w:tc>
        <w:tc>
          <w:tcPr>
            <w:tcW w:w="658" w:type="pct"/>
            <w:tcBorders>
              <w:top w:val="single" w:sz="4" w:space="0" w:color="auto"/>
              <w:left w:val="single" w:sz="4" w:space="0" w:color="auto"/>
              <w:bottom w:val="single" w:sz="4" w:space="0" w:color="auto"/>
              <w:right w:val="single" w:sz="4" w:space="0" w:color="auto"/>
            </w:tcBorders>
          </w:tcPr>
          <w:p w14:paraId="09D917DA" w14:textId="77777777" w:rsidR="00577D08" w:rsidRDefault="00577D08">
            <w:pPr>
              <w:jc w:val="right"/>
            </w:pPr>
          </w:p>
        </w:tc>
        <w:tc>
          <w:tcPr>
            <w:tcW w:w="664" w:type="pct"/>
            <w:tcBorders>
              <w:top w:val="single" w:sz="4" w:space="0" w:color="auto"/>
              <w:left w:val="single" w:sz="4" w:space="0" w:color="auto"/>
              <w:bottom w:val="single" w:sz="4" w:space="0" w:color="auto"/>
              <w:right w:val="single" w:sz="4" w:space="0" w:color="auto"/>
            </w:tcBorders>
          </w:tcPr>
          <w:p w14:paraId="6874B446" w14:textId="77777777" w:rsidR="00577D08" w:rsidRDefault="00330FC0">
            <w:pPr>
              <w:jc w:val="right"/>
            </w:pPr>
            <w:r>
              <w:t xml:space="preserve"> 3,123,811.32 </w:t>
            </w:r>
          </w:p>
        </w:tc>
        <w:tc>
          <w:tcPr>
            <w:tcW w:w="659" w:type="pct"/>
            <w:tcBorders>
              <w:left w:val="single" w:sz="4" w:space="0" w:color="auto"/>
              <w:right w:val="single" w:sz="4" w:space="0" w:color="auto"/>
            </w:tcBorders>
          </w:tcPr>
          <w:p w14:paraId="6034D677" w14:textId="77777777" w:rsidR="00577D08" w:rsidRDefault="00577D08">
            <w:pPr>
              <w:jc w:val="right"/>
            </w:pPr>
          </w:p>
        </w:tc>
        <w:tc>
          <w:tcPr>
            <w:tcW w:w="654" w:type="pct"/>
            <w:tcBorders>
              <w:top w:val="single" w:sz="4" w:space="0" w:color="auto"/>
              <w:left w:val="single" w:sz="4" w:space="0" w:color="auto"/>
              <w:bottom w:val="single" w:sz="4" w:space="0" w:color="auto"/>
              <w:right w:val="single" w:sz="4" w:space="0" w:color="auto"/>
            </w:tcBorders>
          </w:tcPr>
          <w:p w14:paraId="661488CA" w14:textId="77777777" w:rsidR="00577D08" w:rsidRDefault="00330FC0">
            <w:pPr>
              <w:jc w:val="right"/>
            </w:pPr>
            <w:r>
              <w:t xml:space="preserve"> 4,273,015.48 </w:t>
            </w:r>
          </w:p>
        </w:tc>
      </w:tr>
      <w:tr w:rsidR="00577D08" w14:paraId="79CDCE70" w14:textId="77777777">
        <w:trPr>
          <w:trHeight w:val="20"/>
        </w:trPr>
        <w:tc>
          <w:tcPr>
            <w:tcW w:w="1058" w:type="pct"/>
            <w:tcBorders>
              <w:top w:val="single" w:sz="4" w:space="0" w:color="auto"/>
              <w:left w:val="single" w:sz="4" w:space="0" w:color="auto"/>
              <w:bottom w:val="single" w:sz="4" w:space="0" w:color="auto"/>
              <w:right w:val="single" w:sz="4" w:space="0" w:color="auto"/>
            </w:tcBorders>
            <w:vAlign w:val="center"/>
          </w:tcPr>
          <w:p w14:paraId="2C97858E" w14:textId="77777777" w:rsidR="00577D08" w:rsidRDefault="00330FC0">
            <w:pPr>
              <w:jc w:val="center"/>
            </w:pPr>
            <w:r>
              <w:rPr>
                <w:rFonts w:hint="eastAsia"/>
              </w:rPr>
              <w:t>合计</w:t>
            </w:r>
          </w:p>
        </w:tc>
        <w:tc>
          <w:tcPr>
            <w:tcW w:w="649" w:type="pct"/>
            <w:tcBorders>
              <w:top w:val="single" w:sz="4" w:space="0" w:color="auto"/>
              <w:left w:val="single" w:sz="4" w:space="0" w:color="auto"/>
              <w:bottom w:val="single" w:sz="4" w:space="0" w:color="auto"/>
              <w:right w:val="single" w:sz="4" w:space="0" w:color="auto"/>
            </w:tcBorders>
          </w:tcPr>
          <w:p w14:paraId="4BEB57FA" w14:textId="77777777" w:rsidR="00577D08" w:rsidRDefault="00330FC0">
            <w:pPr>
              <w:ind w:right="5"/>
              <w:jc w:val="right"/>
            </w:pPr>
            <w:r>
              <w:t xml:space="preserve"> 13,780,670.37 </w:t>
            </w:r>
          </w:p>
        </w:tc>
        <w:tc>
          <w:tcPr>
            <w:tcW w:w="658" w:type="pct"/>
            <w:tcBorders>
              <w:top w:val="single" w:sz="4" w:space="0" w:color="auto"/>
              <w:left w:val="single" w:sz="4" w:space="0" w:color="auto"/>
              <w:bottom w:val="single" w:sz="4" w:space="0" w:color="auto"/>
              <w:right w:val="single" w:sz="4" w:space="0" w:color="auto"/>
            </w:tcBorders>
          </w:tcPr>
          <w:p w14:paraId="1E9ADEED" w14:textId="77777777" w:rsidR="00577D08" w:rsidRDefault="00330FC0">
            <w:pPr>
              <w:jc w:val="right"/>
            </w:pPr>
            <w:r>
              <w:t xml:space="preserve"> 18,859,404.72 </w:t>
            </w:r>
          </w:p>
        </w:tc>
        <w:tc>
          <w:tcPr>
            <w:tcW w:w="658" w:type="pct"/>
            <w:tcBorders>
              <w:top w:val="single" w:sz="4" w:space="0" w:color="auto"/>
              <w:left w:val="single" w:sz="4" w:space="0" w:color="auto"/>
              <w:bottom w:val="single" w:sz="4" w:space="0" w:color="auto"/>
              <w:right w:val="single" w:sz="4" w:space="0" w:color="auto"/>
            </w:tcBorders>
          </w:tcPr>
          <w:p w14:paraId="3666DA0D" w14:textId="77777777" w:rsidR="00577D08" w:rsidRDefault="00577D08">
            <w:pPr>
              <w:ind w:right="210"/>
              <w:jc w:val="right"/>
            </w:pPr>
          </w:p>
        </w:tc>
        <w:tc>
          <w:tcPr>
            <w:tcW w:w="664" w:type="pct"/>
            <w:tcBorders>
              <w:top w:val="single" w:sz="4" w:space="0" w:color="auto"/>
              <w:left w:val="single" w:sz="4" w:space="0" w:color="auto"/>
              <w:bottom w:val="single" w:sz="4" w:space="0" w:color="auto"/>
              <w:right w:val="single" w:sz="4" w:space="0" w:color="auto"/>
            </w:tcBorders>
          </w:tcPr>
          <w:p w14:paraId="22C80828" w14:textId="77777777" w:rsidR="00577D08" w:rsidRDefault="00330FC0">
            <w:pPr>
              <w:jc w:val="right"/>
            </w:pPr>
            <w:r>
              <w:t xml:space="preserve"> 11,504,011.00 </w:t>
            </w:r>
          </w:p>
        </w:tc>
        <w:tc>
          <w:tcPr>
            <w:tcW w:w="659" w:type="pct"/>
            <w:tcBorders>
              <w:left w:val="single" w:sz="4" w:space="0" w:color="auto"/>
              <w:bottom w:val="single" w:sz="4" w:space="0" w:color="auto"/>
              <w:right w:val="single" w:sz="4" w:space="0" w:color="auto"/>
            </w:tcBorders>
          </w:tcPr>
          <w:p w14:paraId="6EED9B6E" w14:textId="77777777" w:rsidR="00577D08" w:rsidRDefault="00577D08">
            <w:pPr>
              <w:jc w:val="right"/>
            </w:pPr>
          </w:p>
        </w:tc>
        <w:tc>
          <w:tcPr>
            <w:tcW w:w="654" w:type="pct"/>
            <w:tcBorders>
              <w:top w:val="single" w:sz="4" w:space="0" w:color="auto"/>
              <w:left w:val="single" w:sz="4" w:space="0" w:color="auto"/>
              <w:bottom w:val="single" w:sz="4" w:space="0" w:color="auto"/>
              <w:right w:val="single" w:sz="4" w:space="0" w:color="auto"/>
            </w:tcBorders>
          </w:tcPr>
          <w:p w14:paraId="2C70ADF1" w14:textId="77777777" w:rsidR="00577D08" w:rsidRDefault="00330FC0">
            <w:pPr>
              <w:ind w:right="5"/>
              <w:jc w:val="right"/>
            </w:pPr>
            <w:r>
              <w:t xml:space="preserve"> 21,136,064.09 </w:t>
            </w:r>
          </w:p>
        </w:tc>
      </w:tr>
    </w:tbl>
    <w:bookmarkEnd w:id="370"/>
    <w:p w14:paraId="6775A15C" w14:textId="77777777" w:rsidR="00577D08" w:rsidRDefault="00330FC0">
      <w:r>
        <w:t>本期转回或转销存货跌价准备的原因</w:t>
      </w:r>
    </w:p>
    <w:sdt>
      <w:sdtPr>
        <w:alias w:val="是否适用：本期转回或转销存货跌价准备的原因[双击切换]"/>
        <w:tag w:val="_GBC_91edca895f07450c8e82d2352caede25"/>
        <w:id w:val="83580352"/>
        <w:placeholder>
          <w:docPart w:val="GBC22222222222222222222222222222"/>
        </w:placeholder>
      </w:sdtPr>
      <w:sdtContent>
        <w:p w14:paraId="26BC3E3C"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bCs w:val="0"/>
        </w:rPr>
        <w:alias w:val="本期转回或转销存货跌价准备的原因"/>
        <w:tag w:val="_GBC_fbdc95fc52944622930b173756172429"/>
        <w:id w:val="-101421612"/>
        <w:placeholder>
          <w:docPart w:val="GBC22222222222222222222222222222"/>
        </w:placeholder>
      </w:sdtPr>
      <w:sdtContent>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4A0" w:firstRow="1" w:lastRow="0" w:firstColumn="1" w:lastColumn="0" w:noHBand="0" w:noVBand="1"/>
          </w:tblPr>
          <w:tblGrid>
            <w:gridCol w:w="5784"/>
            <w:gridCol w:w="8079"/>
          </w:tblGrid>
          <w:tr w:rsidR="00577D08" w14:paraId="73848603" w14:textId="77777777">
            <w:trPr>
              <w:cantSplit/>
              <w:tblHeader/>
            </w:trPr>
            <w:tc>
              <w:tcPr>
                <w:tcW w:w="2086" w:type="pct"/>
              </w:tcPr>
              <w:p w14:paraId="1EAC4849" w14:textId="77777777" w:rsidR="00577D08" w:rsidRDefault="00330FC0">
                <w:pPr>
                  <w:ind w:right="73"/>
                  <w:jc w:val="center"/>
                  <w:rPr>
                    <w:sz w:val="20"/>
                    <w:szCs w:val="20"/>
                  </w:rPr>
                </w:pPr>
                <w:r>
                  <w:rPr>
                    <w:rFonts w:hint="eastAsia"/>
                    <w:sz w:val="20"/>
                    <w:szCs w:val="20"/>
                  </w:rPr>
                  <w:t>1</w:t>
                </w:r>
                <w:r>
                  <w:rPr>
                    <w:rFonts w:hint="eastAsia"/>
                    <w:sz w:val="20"/>
                    <w:szCs w:val="20"/>
                  </w:rPr>
                  <w:t>项目</w:t>
                </w:r>
              </w:p>
            </w:tc>
            <w:tc>
              <w:tcPr>
                <w:tcW w:w="2914" w:type="pct"/>
              </w:tcPr>
              <w:p w14:paraId="525DCCBE" w14:textId="77777777" w:rsidR="00577D08" w:rsidRDefault="00330FC0">
                <w:pPr>
                  <w:ind w:right="73"/>
                  <w:jc w:val="center"/>
                  <w:rPr>
                    <w:sz w:val="20"/>
                    <w:szCs w:val="20"/>
                  </w:rPr>
                </w:pPr>
                <w:r>
                  <w:rPr>
                    <w:rFonts w:hint="eastAsia"/>
                    <w:sz w:val="20"/>
                    <w:szCs w:val="20"/>
                  </w:rPr>
                  <w:t>转回或转销原因</w:t>
                </w:r>
              </w:p>
            </w:tc>
          </w:tr>
          <w:tr w:rsidR="00577D08" w14:paraId="45A6BC71" w14:textId="77777777">
            <w:trPr>
              <w:cantSplit/>
            </w:trPr>
            <w:tc>
              <w:tcPr>
                <w:tcW w:w="2086" w:type="pct"/>
                <w:vAlign w:val="center"/>
              </w:tcPr>
              <w:p w14:paraId="3E161DFF" w14:textId="77777777" w:rsidR="00577D08" w:rsidRDefault="00330FC0">
                <w:pPr>
                  <w:ind w:right="73"/>
                  <w:jc w:val="both"/>
                  <w:rPr>
                    <w:sz w:val="20"/>
                    <w:szCs w:val="20"/>
                  </w:rPr>
                </w:pPr>
                <w:r>
                  <w:rPr>
                    <w:rFonts w:hint="eastAsia"/>
                    <w:sz w:val="20"/>
                    <w:szCs w:val="20"/>
                  </w:rPr>
                  <w:t>原材料</w:t>
                </w:r>
              </w:p>
            </w:tc>
            <w:tc>
              <w:tcPr>
                <w:tcW w:w="2914" w:type="pct"/>
                <w:vAlign w:val="center"/>
              </w:tcPr>
              <w:p w14:paraId="718991AE" w14:textId="77777777" w:rsidR="00577D08" w:rsidRDefault="00330FC0">
                <w:pPr>
                  <w:ind w:right="73"/>
                  <w:jc w:val="center"/>
                  <w:rPr>
                    <w:sz w:val="20"/>
                    <w:szCs w:val="20"/>
                  </w:rPr>
                </w:pPr>
                <w:r>
                  <w:rPr>
                    <w:rFonts w:hint="eastAsia"/>
                    <w:sz w:val="20"/>
                    <w:szCs w:val="20"/>
                  </w:rPr>
                  <w:t>本期已将期初计提存货跌价准备的存货耗用</w:t>
                </w:r>
                <w:r>
                  <w:rPr>
                    <w:rFonts w:hint="eastAsia"/>
                    <w:sz w:val="20"/>
                    <w:szCs w:val="20"/>
                  </w:rPr>
                  <w:t>/</w:t>
                </w:r>
                <w:r>
                  <w:rPr>
                    <w:rFonts w:hint="eastAsia"/>
                    <w:sz w:val="20"/>
                    <w:szCs w:val="20"/>
                  </w:rPr>
                  <w:t>售出</w:t>
                </w:r>
              </w:p>
            </w:tc>
          </w:tr>
          <w:tr w:rsidR="00577D08" w14:paraId="35E006B5" w14:textId="77777777">
            <w:trPr>
              <w:cantSplit/>
            </w:trPr>
            <w:tc>
              <w:tcPr>
                <w:tcW w:w="2086" w:type="pct"/>
                <w:vAlign w:val="center"/>
              </w:tcPr>
              <w:p w14:paraId="28981B2F" w14:textId="77777777" w:rsidR="00577D08" w:rsidRDefault="00330FC0">
                <w:pPr>
                  <w:ind w:right="73"/>
                  <w:jc w:val="both"/>
                  <w:rPr>
                    <w:sz w:val="20"/>
                    <w:szCs w:val="20"/>
                  </w:rPr>
                </w:pPr>
                <w:r>
                  <w:rPr>
                    <w:rFonts w:hint="eastAsia"/>
                    <w:sz w:val="20"/>
                    <w:szCs w:val="20"/>
                  </w:rPr>
                  <w:lastRenderedPageBreak/>
                  <w:t>在产品</w:t>
                </w:r>
              </w:p>
            </w:tc>
            <w:tc>
              <w:tcPr>
                <w:tcW w:w="2914" w:type="pct"/>
                <w:vAlign w:val="center"/>
              </w:tcPr>
              <w:p w14:paraId="6E57B5A2" w14:textId="77777777" w:rsidR="00577D08" w:rsidRDefault="00330FC0">
                <w:pPr>
                  <w:ind w:right="73"/>
                  <w:jc w:val="center"/>
                  <w:rPr>
                    <w:sz w:val="20"/>
                    <w:szCs w:val="20"/>
                  </w:rPr>
                </w:pPr>
                <w:r>
                  <w:rPr>
                    <w:rFonts w:hint="eastAsia"/>
                    <w:sz w:val="20"/>
                    <w:szCs w:val="20"/>
                  </w:rPr>
                  <w:t>本期已将期初计提存货跌价准备的存货耗用</w:t>
                </w:r>
              </w:p>
            </w:tc>
          </w:tr>
          <w:tr w:rsidR="00577D08" w14:paraId="684B1A1D" w14:textId="77777777">
            <w:trPr>
              <w:cantSplit/>
            </w:trPr>
            <w:tc>
              <w:tcPr>
                <w:tcW w:w="2086" w:type="pct"/>
                <w:vAlign w:val="center"/>
              </w:tcPr>
              <w:p w14:paraId="6E6E1528" w14:textId="77777777" w:rsidR="00577D08" w:rsidRDefault="00330FC0">
                <w:pPr>
                  <w:ind w:right="73"/>
                  <w:jc w:val="both"/>
                  <w:rPr>
                    <w:sz w:val="20"/>
                    <w:szCs w:val="20"/>
                  </w:rPr>
                </w:pPr>
                <w:r>
                  <w:rPr>
                    <w:rFonts w:hint="eastAsia"/>
                    <w:sz w:val="20"/>
                    <w:szCs w:val="20"/>
                  </w:rPr>
                  <w:t>库存商品</w:t>
                </w:r>
              </w:p>
            </w:tc>
            <w:tc>
              <w:tcPr>
                <w:tcW w:w="2914" w:type="pct"/>
                <w:vAlign w:val="center"/>
              </w:tcPr>
              <w:p w14:paraId="102EA3B5" w14:textId="77777777" w:rsidR="00577D08" w:rsidRDefault="00330FC0">
                <w:pPr>
                  <w:ind w:right="73"/>
                  <w:jc w:val="center"/>
                  <w:rPr>
                    <w:sz w:val="20"/>
                    <w:szCs w:val="20"/>
                  </w:rPr>
                </w:pPr>
                <w:r>
                  <w:rPr>
                    <w:rFonts w:hint="eastAsia"/>
                    <w:sz w:val="20"/>
                    <w:szCs w:val="20"/>
                  </w:rPr>
                  <w:t>本期已将期初计提存货跌价准备的存货售出</w:t>
                </w:r>
              </w:p>
            </w:tc>
          </w:tr>
          <w:tr w:rsidR="00577D08" w14:paraId="6D75F1BD" w14:textId="77777777">
            <w:trPr>
              <w:cantSplit/>
            </w:trPr>
            <w:tc>
              <w:tcPr>
                <w:tcW w:w="2086" w:type="pct"/>
                <w:vAlign w:val="center"/>
              </w:tcPr>
              <w:p w14:paraId="2435AFB1" w14:textId="77777777" w:rsidR="00577D08" w:rsidRDefault="00330FC0">
                <w:pPr>
                  <w:ind w:right="73"/>
                  <w:jc w:val="both"/>
                  <w:rPr>
                    <w:sz w:val="20"/>
                    <w:szCs w:val="20"/>
                  </w:rPr>
                </w:pPr>
                <w:r>
                  <w:rPr>
                    <w:rFonts w:hint="eastAsia"/>
                    <w:sz w:val="20"/>
                    <w:szCs w:val="20"/>
                  </w:rPr>
                  <w:t>发出商品</w:t>
                </w:r>
              </w:p>
            </w:tc>
            <w:tc>
              <w:tcPr>
                <w:tcW w:w="2914" w:type="pct"/>
                <w:vAlign w:val="center"/>
              </w:tcPr>
              <w:p w14:paraId="3AA1D505" w14:textId="77777777" w:rsidR="00577D08" w:rsidRDefault="00330FC0">
                <w:pPr>
                  <w:ind w:right="73"/>
                  <w:jc w:val="center"/>
                  <w:rPr>
                    <w:sz w:val="20"/>
                    <w:szCs w:val="20"/>
                  </w:rPr>
                </w:pPr>
                <w:r>
                  <w:rPr>
                    <w:rFonts w:hint="eastAsia"/>
                    <w:sz w:val="20"/>
                    <w:szCs w:val="20"/>
                  </w:rPr>
                  <w:t>本期已将期初计提存货跌价准备的存货售出</w:t>
                </w:r>
              </w:p>
            </w:tc>
          </w:tr>
        </w:tbl>
        <w:p w14:paraId="60C7C017" w14:textId="77777777" w:rsidR="00577D08" w:rsidRDefault="00000000"/>
      </w:sdtContent>
    </w:sdt>
    <w:p w14:paraId="6A2129DD" w14:textId="77777777" w:rsidR="00577D08" w:rsidRDefault="00330FC0">
      <w:r>
        <w:rPr>
          <w:rFonts w:hint="eastAsia"/>
        </w:rPr>
        <w:t>按组合计提存货跌价准备</w:t>
      </w:r>
    </w:p>
    <w:sdt>
      <w:sdtPr>
        <w:alias w:val="是否适用：按组合计提存货跌价准备[双击切换]"/>
        <w:tag w:val="_GBC_7654282f8cf847d8a55f8274afb7a726"/>
        <w:id w:val="-1496638238"/>
        <w:placeholder>
          <w:docPart w:val="GBC22222222222222222222222222222"/>
        </w:placeholder>
      </w:sdtPr>
      <w:sdtContent>
        <w:p w14:paraId="154FF8A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801D6D6" w14:textId="77777777" w:rsidR="00577D08" w:rsidRDefault="00330FC0">
      <w:r>
        <w:rPr>
          <w:rFonts w:hint="eastAsia"/>
        </w:rPr>
        <w:t>按组合计提存货跌价准备的计提标准</w:t>
      </w:r>
    </w:p>
    <w:sdt>
      <w:sdtPr>
        <w:alias w:val="是否适用：按组合计提存货跌价准备的计提标准[双击切换]"/>
        <w:tag w:val="_GBC_5ff59a2951ec4f938d7af938cd197e63"/>
        <w:id w:val="1245455804"/>
        <w:placeholder>
          <w:docPart w:val="GBC22222222222222222222222222222"/>
        </w:placeholder>
      </w:sdtPr>
      <w:sdtContent>
        <w:p w14:paraId="399B98D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4487A5" w14:textId="77777777" w:rsidR="00577D08" w:rsidRDefault="00330FC0">
      <w:pPr>
        <w:pStyle w:val="4"/>
        <w:numPr>
          <w:ilvl w:val="3"/>
          <w:numId w:val="70"/>
        </w:numPr>
        <w:ind w:left="426" w:hanging="426"/>
        <w:rPr>
          <w:rFonts w:hint="eastAsia"/>
        </w:rPr>
      </w:pPr>
      <w:r>
        <w:rPr>
          <w:rFonts w:hint="eastAsia"/>
        </w:rPr>
        <w:t>存货期末余额含有的借款费用资本化金额及其计算标准和依据</w:t>
      </w:r>
    </w:p>
    <w:sdt>
      <w:sdtPr>
        <w:rPr>
          <w:rFonts w:hint="eastAsia"/>
        </w:rPr>
        <w:alias w:val="是否适用：存货期末余额含有借款费用资本化金额的说明[双击切换]"/>
        <w:tag w:val="_GBC_ff19f47f98f34678926b471a6f0d6b3f"/>
        <w:id w:val="-747263619"/>
        <w:placeholder>
          <w:docPart w:val="GBC22222222222222222222222222222"/>
        </w:placeholder>
      </w:sdtPr>
      <w:sdtContent>
        <w:p w14:paraId="5D14763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509164A" w14:textId="77777777" w:rsidR="00577D08" w:rsidRDefault="00330FC0">
      <w:pPr>
        <w:pStyle w:val="4"/>
        <w:numPr>
          <w:ilvl w:val="3"/>
          <w:numId w:val="70"/>
        </w:numPr>
        <w:ind w:left="426" w:hanging="426"/>
        <w:rPr>
          <w:rFonts w:hint="eastAsia"/>
        </w:rPr>
      </w:pPr>
      <w:r>
        <w:rPr>
          <w:rFonts w:hint="eastAsia"/>
        </w:rPr>
        <w:t>合同履约成本本期摊销金额的说明</w:t>
      </w:r>
    </w:p>
    <w:sdt>
      <w:sdtPr>
        <w:alias w:val="是否适用：合同履约成本本期摊销金额的说明[双击切换]"/>
        <w:tag w:val="_GBC_7532d5a15e3d45fa8d69ad2921659b13"/>
        <w:id w:val="1712463848"/>
        <w:placeholder>
          <w:docPart w:val="GBC22222222222222222222222222222"/>
        </w:placeholder>
      </w:sdtPr>
      <w:sdtContent>
        <w:p w14:paraId="78A9190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3317D0" w14:textId="77777777" w:rsidR="00577D08" w:rsidRDefault="00330FC0">
      <w:r>
        <w:rPr>
          <w:rFonts w:hint="eastAsia"/>
        </w:rPr>
        <w:t>其他说明：</w:t>
      </w:r>
    </w:p>
    <w:sdt>
      <w:sdtPr>
        <w:rPr>
          <w:rFonts w:hint="eastAsia"/>
        </w:rPr>
        <w:alias w:val="是否适用：建造合同形成的已完工未结算资产的其他说明[双击切换]"/>
        <w:tag w:val="_GBC_441099179b66496e99c8de04f24782ad"/>
        <w:id w:val="1575624521"/>
        <w:placeholder>
          <w:docPart w:val="GBC22222222222222222222222222222"/>
        </w:placeholder>
      </w:sdtPr>
      <w:sdtContent>
        <w:p w14:paraId="6525456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1E54FA5" w14:textId="77777777" w:rsidR="00577D08" w:rsidRDefault="00577D08"/>
    <w:p w14:paraId="352D601B" w14:textId="77777777" w:rsidR="00577D08" w:rsidRDefault="00577D08">
      <w:pPr>
        <w:sectPr w:rsidR="00577D08">
          <w:pgSz w:w="16838" w:h="11906" w:orient="landscape"/>
          <w:pgMar w:top="1276" w:right="1440" w:bottom="1797" w:left="1525" w:header="856" w:footer="992" w:gutter="0"/>
          <w:cols w:space="425"/>
          <w:docGrid w:linePitch="312"/>
        </w:sectPr>
      </w:pPr>
    </w:p>
    <w:p w14:paraId="28CCCC9E" w14:textId="77777777" w:rsidR="00577D08" w:rsidRDefault="00330FC0">
      <w:pPr>
        <w:pStyle w:val="3"/>
        <w:numPr>
          <w:ilvl w:val="0"/>
          <w:numId w:val="61"/>
        </w:numPr>
        <w:tabs>
          <w:tab w:val="left" w:pos="504"/>
        </w:tabs>
      </w:pPr>
      <w:bookmarkStart w:id="371" w:name="_Hlk24380621"/>
      <w:r>
        <w:rPr>
          <w:rFonts w:hint="eastAsia"/>
        </w:rPr>
        <w:lastRenderedPageBreak/>
        <w:t>持有待售资产</w:t>
      </w:r>
    </w:p>
    <w:sdt>
      <w:sdtPr>
        <w:alias w:val="是否适用：划分为持有待售的资产[双击切换]"/>
        <w:tag w:val="_GBC_78f2c13384374d8eb0edd5d62d86bc52"/>
        <w:id w:val="-1142805999"/>
        <w:placeholder>
          <w:docPart w:val="GBC22222222222222222222222222222"/>
        </w:placeholder>
      </w:sdtPr>
      <w:sdtContent>
        <w:p w14:paraId="53D296F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0F5C20A" w14:textId="77777777" w:rsidR="00577D08" w:rsidRDefault="00330FC0">
      <w:pPr>
        <w:pStyle w:val="3"/>
        <w:numPr>
          <w:ilvl w:val="0"/>
          <w:numId w:val="61"/>
        </w:numPr>
        <w:tabs>
          <w:tab w:val="left" w:pos="504"/>
        </w:tabs>
      </w:pPr>
      <w:bookmarkStart w:id="372" w:name="_Hlk533608872"/>
      <w:bookmarkEnd w:id="371"/>
      <w:r>
        <w:rPr>
          <w:rFonts w:hint="eastAsia"/>
        </w:rPr>
        <w:t>一年内到期的非流动资产</w:t>
      </w:r>
    </w:p>
    <w:sdt>
      <w:sdtPr>
        <w:alias w:val="是否适用：一年内到期的非流动资产[双击切换]"/>
        <w:tag w:val="_GBC_ed2c28c8d4014bbb85fa424cc20fe6d7"/>
        <w:id w:val="1654874076"/>
        <w:placeholder>
          <w:docPart w:val="GBC22222222222222222222222222222"/>
        </w:placeholder>
      </w:sdtPr>
      <w:sdtContent>
        <w:p w14:paraId="7F21EAB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35B289" w14:textId="77777777" w:rsidR="00577D08" w:rsidRDefault="00330FC0">
      <w:pPr>
        <w:pStyle w:val="4"/>
        <w:rPr>
          <w:rFonts w:hint="eastAsia"/>
        </w:rPr>
      </w:pPr>
      <w:r>
        <w:rPr>
          <w:rFonts w:hint="eastAsia"/>
        </w:rPr>
        <w:t>一年内到期的债权投资</w:t>
      </w:r>
    </w:p>
    <w:sdt>
      <w:sdtPr>
        <w:alias w:val="是否适用：一年内到期的债权投资[双击切换]"/>
        <w:tag w:val="_GBC_21106d2d4b32436eb1949dc414c4e6e2"/>
        <w:id w:val="2068610762"/>
        <w:placeholder>
          <w:docPart w:val="GBC22222222222222222222222222222"/>
        </w:placeholder>
      </w:sdtPr>
      <w:sdtContent>
        <w:p w14:paraId="4E0F25F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63103D2" w14:textId="77777777" w:rsidR="00577D08" w:rsidRDefault="00330FC0">
      <w:pPr>
        <w:pStyle w:val="4"/>
        <w:rPr>
          <w:rFonts w:hint="eastAsia"/>
        </w:rPr>
      </w:pPr>
      <w:r>
        <w:rPr>
          <w:rFonts w:hint="eastAsia"/>
        </w:rPr>
        <w:t>一年内到期的其他债权投资</w:t>
      </w:r>
    </w:p>
    <w:sdt>
      <w:sdtPr>
        <w:alias w:val="是否适用：一年内到期的其他债权投资[双击切换]"/>
        <w:tag w:val="_GBC_7e23007806f94dceb2b97ed0f5d1e010"/>
        <w:id w:val="336888667"/>
        <w:placeholder>
          <w:docPart w:val="GBC22222222222222222222222222222"/>
        </w:placeholder>
      </w:sdtPr>
      <w:sdtContent>
        <w:p w14:paraId="116C6FE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0C9D06" w14:textId="77777777" w:rsidR="00577D08" w:rsidRDefault="00330FC0">
      <w:pPr>
        <w:ind w:right="210"/>
      </w:pPr>
      <w:r>
        <w:rPr>
          <w:rFonts w:hint="eastAsia"/>
        </w:rPr>
        <w:t>一年内到期的非流动资产的其他说明：</w:t>
      </w:r>
    </w:p>
    <w:sdt>
      <w:sdtPr>
        <w:alias w:val="一年内到期的非流动资产其他说明"/>
        <w:tag w:val="_GBC_aebddb0e62fa4ec48ab98b4bc4575935"/>
        <w:id w:val="138076907"/>
        <w:placeholder>
          <w:docPart w:val="GBC22222222222222222222222222222"/>
        </w:placeholder>
      </w:sdtPr>
      <w:sdtContent>
        <w:p w14:paraId="66F0AEF1" w14:textId="77777777" w:rsidR="00577D08" w:rsidRDefault="00330FC0">
          <w:pPr>
            <w:ind w:right="210"/>
          </w:pPr>
          <w:r>
            <w:rPr>
              <w:rFonts w:hint="eastAsia"/>
            </w:rPr>
            <w:t>无</w:t>
          </w:r>
        </w:p>
      </w:sdtContent>
    </w:sdt>
    <w:p w14:paraId="3A74437F" w14:textId="77777777" w:rsidR="00577D08" w:rsidRDefault="00330FC0">
      <w:pPr>
        <w:pStyle w:val="3"/>
        <w:numPr>
          <w:ilvl w:val="0"/>
          <w:numId w:val="61"/>
        </w:numPr>
        <w:tabs>
          <w:tab w:val="left" w:pos="504"/>
        </w:tabs>
      </w:pPr>
      <w:bookmarkStart w:id="373" w:name="_Hlk533609053"/>
      <w:bookmarkEnd w:id="372"/>
      <w:r>
        <w:rPr>
          <w:rFonts w:hint="eastAsia"/>
        </w:rPr>
        <w:t>其他流动资产</w:t>
      </w:r>
    </w:p>
    <w:sdt>
      <w:sdtPr>
        <w:alias w:val="是否适用：其他流动资产[双击切换]"/>
        <w:tag w:val="_GBC_49fe7514f24d4f7fbf009ae51ff98d5a"/>
        <w:id w:val="-1418793991"/>
        <w:placeholder>
          <w:docPart w:val="GBC22222222222222222222222222222"/>
        </w:placeholder>
      </w:sdtPr>
      <w:sdtContent>
        <w:p w14:paraId="194E20D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54F0A22" w14:textId="3F090E53" w:rsidR="00577D08" w:rsidRDefault="00330FC0">
      <w:pPr>
        <w:jc w:val="right"/>
      </w:pPr>
      <w:r>
        <w:rPr>
          <w:rFonts w:hint="eastAsia"/>
        </w:rPr>
        <w:t>单位：</w:t>
      </w:r>
      <w:sdt>
        <w:sdtPr>
          <w:rPr>
            <w:rFonts w:hint="eastAsia"/>
          </w:rPr>
          <w:alias w:val="单位：其他流动资产"/>
          <w:tag w:val="_GBC_8aa27294471c4172ba97de2c15d029c6"/>
          <w:id w:val="5084081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r w:rsidR="00CC5C32">
            <w:t xml:space="preserve"> </w:t>
          </w:r>
        </w:sdtContent>
      </w:sdt>
      <w:r>
        <w:rPr>
          <w:rFonts w:hint="eastAsia"/>
        </w:rPr>
        <w:t>币种：</w:t>
      </w:r>
      <w:sdt>
        <w:sdtPr>
          <w:rPr>
            <w:rFonts w:hint="eastAsia"/>
          </w:rPr>
          <w:alias w:val="币种：其他流动资产"/>
          <w:tag w:val="_GBC_8e1e40ac44704231aa91fcfbbccbd924"/>
          <w:id w:val="-7380189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6"/>
        <w:gridCol w:w="2917"/>
        <w:gridCol w:w="2845"/>
      </w:tblGrid>
      <w:tr w:rsidR="00577D08" w14:paraId="5FEA24A6" w14:textId="77777777">
        <w:bookmarkStart w:id="374" w:name="_Hlk533421736" w:displacedByCustomXml="next"/>
        <w:sdt>
          <w:sdtPr>
            <w:tag w:val="_PLD_a34f889fb3794268b1f04c9534377486"/>
            <w:id w:val="399650987"/>
          </w:sdtPr>
          <w:sdtContent>
            <w:tc>
              <w:tcPr>
                <w:tcW w:w="3286" w:type="dxa"/>
                <w:vAlign w:val="center"/>
              </w:tcPr>
              <w:p w14:paraId="2444AA5F" w14:textId="77777777" w:rsidR="00577D08" w:rsidRDefault="00330FC0">
                <w:pPr>
                  <w:jc w:val="center"/>
                </w:pPr>
                <w:r>
                  <w:rPr>
                    <w:rFonts w:hint="eastAsia"/>
                  </w:rPr>
                  <w:t>项目</w:t>
                </w:r>
              </w:p>
            </w:tc>
          </w:sdtContent>
        </w:sdt>
        <w:sdt>
          <w:sdtPr>
            <w:tag w:val="_PLD_97b9b7e912e14a06b24f532e76914900"/>
            <w:id w:val="1817292198"/>
          </w:sdtPr>
          <w:sdtContent>
            <w:tc>
              <w:tcPr>
                <w:tcW w:w="2917" w:type="dxa"/>
                <w:vAlign w:val="center"/>
              </w:tcPr>
              <w:p w14:paraId="7948C730" w14:textId="77777777" w:rsidR="00577D08" w:rsidRDefault="00330FC0">
                <w:pPr>
                  <w:jc w:val="center"/>
                </w:pPr>
                <w:r>
                  <w:rPr>
                    <w:rFonts w:hint="eastAsia"/>
                  </w:rPr>
                  <w:t>期末余额</w:t>
                </w:r>
              </w:p>
            </w:tc>
          </w:sdtContent>
        </w:sdt>
        <w:sdt>
          <w:sdtPr>
            <w:tag w:val="_PLD_c02c94d4c7614f3cadd2972514fb87f4"/>
            <w:id w:val="676701911"/>
          </w:sdtPr>
          <w:sdtContent>
            <w:tc>
              <w:tcPr>
                <w:tcW w:w="2845" w:type="dxa"/>
                <w:vAlign w:val="center"/>
              </w:tcPr>
              <w:p w14:paraId="780E83FB" w14:textId="77777777" w:rsidR="00577D08" w:rsidRDefault="00330FC0">
                <w:pPr>
                  <w:jc w:val="center"/>
                </w:pPr>
                <w:r>
                  <w:rPr>
                    <w:rFonts w:hint="eastAsia"/>
                  </w:rPr>
                  <w:t>期初余额</w:t>
                </w:r>
              </w:p>
            </w:tc>
          </w:sdtContent>
        </w:sdt>
      </w:tr>
      <w:tr w:rsidR="00577D08" w14:paraId="42D88D3C" w14:textId="77777777">
        <w:tc>
          <w:tcPr>
            <w:tcW w:w="3286" w:type="dxa"/>
          </w:tcPr>
          <w:p w14:paraId="348CE6DF" w14:textId="77777777" w:rsidR="00577D08" w:rsidRDefault="00330FC0">
            <w:r>
              <w:rPr>
                <w:rFonts w:hint="eastAsia"/>
              </w:rPr>
              <w:t>预缴企业所得税款</w:t>
            </w:r>
          </w:p>
        </w:tc>
        <w:tc>
          <w:tcPr>
            <w:tcW w:w="2917" w:type="dxa"/>
          </w:tcPr>
          <w:p w14:paraId="1C81C870" w14:textId="77777777" w:rsidR="00577D08" w:rsidRDefault="00330FC0">
            <w:pPr>
              <w:jc w:val="right"/>
            </w:pPr>
            <w:r>
              <w:t>10,406.13</w:t>
            </w:r>
          </w:p>
        </w:tc>
        <w:tc>
          <w:tcPr>
            <w:tcW w:w="2845" w:type="dxa"/>
          </w:tcPr>
          <w:p w14:paraId="39F338D8" w14:textId="77777777" w:rsidR="00577D08" w:rsidRDefault="00330FC0">
            <w:pPr>
              <w:jc w:val="right"/>
            </w:pPr>
            <w:r>
              <w:t>1,778,100.97</w:t>
            </w:r>
          </w:p>
        </w:tc>
      </w:tr>
      <w:tr w:rsidR="00577D08" w14:paraId="5ECF6A10" w14:textId="77777777">
        <w:tc>
          <w:tcPr>
            <w:tcW w:w="3286" w:type="dxa"/>
          </w:tcPr>
          <w:p w14:paraId="08AF1DAD" w14:textId="77777777" w:rsidR="00577D08" w:rsidRDefault="00330FC0">
            <w:r>
              <w:rPr>
                <w:rFonts w:hint="eastAsia"/>
              </w:rPr>
              <w:t>待抵扣、待认证进项税额</w:t>
            </w:r>
          </w:p>
        </w:tc>
        <w:tc>
          <w:tcPr>
            <w:tcW w:w="2917" w:type="dxa"/>
          </w:tcPr>
          <w:p w14:paraId="41123862" w14:textId="77777777" w:rsidR="00577D08" w:rsidRDefault="00330FC0">
            <w:pPr>
              <w:jc w:val="right"/>
            </w:pPr>
            <w:r>
              <w:t>1,913,331.56</w:t>
            </w:r>
          </w:p>
        </w:tc>
        <w:tc>
          <w:tcPr>
            <w:tcW w:w="2845" w:type="dxa"/>
          </w:tcPr>
          <w:p w14:paraId="7309ECD4" w14:textId="77777777" w:rsidR="00577D08" w:rsidRDefault="00330FC0">
            <w:pPr>
              <w:jc w:val="right"/>
            </w:pPr>
            <w:r>
              <w:t>314,450.28</w:t>
            </w:r>
          </w:p>
        </w:tc>
      </w:tr>
      <w:tr w:rsidR="00577D08" w14:paraId="0E2F00CE" w14:textId="77777777">
        <w:tc>
          <w:tcPr>
            <w:tcW w:w="3286" w:type="dxa"/>
            <w:vAlign w:val="center"/>
          </w:tcPr>
          <w:p w14:paraId="5624DB20" w14:textId="77777777" w:rsidR="00577D08" w:rsidRDefault="00330FC0">
            <w:pPr>
              <w:snapToGrid w:val="0"/>
              <w:ind w:leftChars="-51" w:left="-107"/>
              <w:jc w:val="center"/>
            </w:pPr>
            <w:r>
              <w:rPr>
                <w:rFonts w:hint="eastAsia"/>
              </w:rPr>
              <w:t>合计</w:t>
            </w:r>
          </w:p>
        </w:tc>
        <w:tc>
          <w:tcPr>
            <w:tcW w:w="2917" w:type="dxa"/>
          </w:tcPr>
          <w:p w14:paraId="5EF7495E" w14:textId="77777777" w:rsidR="00577D08" w:rsidRDefault="00330FC0">
            <w:pPr>
              <w:snapToGrid w:val="0"/>
              <w:jc w:val="right"/>
            </w:pPr>
            <w:r>
              <w:t>1,923,737.69</w:t>
            </w:r>
          </w:p>
        </w:tc>
        <w:tc>
          <w:tcPr>
            <w:tcW w:w="2845" w:type="dxa"/>
          </w:tcPr>
          <w:p w14:paraId="4FC686D2" w14:textId="77777777" w:rsidR="00577D08" w:rsidRDefault="00330FC0">
            <w:pPr>
              <w:snapToGrid w:val="0"/>
              <w:jc w:val="right"/>
            </w:pPr>
            <w:r>
              <w:t>2,092,551.25</w:t>
            </w:r>
          </w:p>
        </w:tc>
      </w:tr>
    </w:tbl>
    <w:bookmarkEnd w:id="374"/>
    <w:p w14:paraId="3C3EA27F" w14:textId="77777777" w:rsidR="00577D08" w:rsidRDefault="00330FC0">
      <w:r>
        <w:rPr>
          <w:rFonts w:hint="eastAsia"/>
        </w:rPr>
        <w:t>其他说明：</w:t>
      </w:r>
    </w:p>
    <w:sdt>
      <w:sdtPr>
        <w:rPr>
          <w:rFonts w:hint="eastAsia"/>
        </w:rPr>
        <w:alias w:val="其他流动资产说明"/>
        <w:tag w:val="_GBC_6b66243025624716a85c25ca534f7d52"/>
        <w:id w:val="-447084983"/>
        <w:placeholder>
          <w:docPart w:val="GBC22222222222222222222222222222"/>
        </w:placeholder>
      </w:sdtPr>
      <w:sdtContent>
        <w:p w14:paraId="49ECBCCD" w14:textId="77777777" w:rsidR="00577D08" w:rsidRDefault="00330FC0">
          <w:r>
            <w:rPr>
              <w:rFonts w:hint="eastAsia"/>
            </w:rPr>
            <w:t>无</w:t>
          </w:r>
        </w:p>
      </w:sdtContent>
    </w:sdt>
    <w:p w14:paraId="1A13D612" w14:textId="77777777" w:rsidR="00577D08" w:rsidRDefault="00330FC0">
      <w:pPr>
        <w:pStyle w:val="3"/>
        <w:numPr>
          <w:ilvl w:val="0"/>
          <w:numId w:val="61"/>
        </w:numPr>
        <w:tabs>
          <w:tab w:val="left" w:pos="504"/>
        </w:tabs>
      </w:pPr>
      <w:bookmarkStart w:id="375" w:name="_Hlk533409588"/>
      <w:bookmarkEnd w:id="373"/>
      <w:r>
        <w:rPr>
          <w:rFonts w:hint="eastAsia"/>
        </w:rPr>
        <w:t>债权投资</w:t>
      </w:r>
    </w:p>
    <w:p w14:paraId="060842F7" w14:textId="77777777" w:rsidR="00577D08" w:rsidRDefault="00330FC0">
      <w:pPr>
        <w:pStyle w:val="4"/>
        <w:numPr>
          <w:ilvl w:val="3"/>
          <w:numId w:val="71"/>
        </w:numPr>
        <w:ind w:left="426" w:hanging="426"/>
        <w:rPr>
          <w:rFonts w:hint="eastAsia"/>
        </w:rPr>
      </w:pPr>
      <w:bookmarkStart w:id="376" w:name="_Hlk532993723"/>
      <w:r>
        <w:rPr>
          <w:rFonts w:hint="eastAsia"/>
        </w:rPr>
        <w:t>债权投资情况</w:t>
      </w:r>
    </w:p>
    <w:sdt>
      <w:sdtPr>
        <w:alias w:val="是否适用：以摊余成本计量的长期债权投资[双击切换]"/>
        <w:tag w:val="_GBC_dbc7f90615cc46578228904cb4aa1cff"/>
        <w:id w:val="2073152595"/>
        <w:placeholder>
          <w:docPart w:val="GBC22222222222222222222222222222"/>
        </w:placeholder>
      </w:sdtPr>
      <w:sdtContent>
        <w:p w14:paraId="05FDA9B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F649CDB" w14:textId="77777777" w:rsidR="00577D08" w:rsidRDefault="00330FC0">
      <w:bookmarkStart w:id="377" w:name="_Hlk153455457"/>
      <w:r>
        <w:rPr>
          <w:rFonts w:hint="eastAsia"/>
        </w:rPr>
        <w:t>债权投资减值准备本期变动情况</w:t>
      </w:r>
    </w:p>
    <w:sdt>
      <w:sdtPr>
        <w:alias w:val="是否适用：减值准备本期变动情况[双击切换]"/>
        <w:tag w:val="_GBC_87c0bbb5863948af834604c8aeaf814f"/>
        <w:id w:val="-45143163"/>
        <w:placeholder>
          <w:docPart w:val="GBC22222222222222222222222222222"/>
        </w:placeholder>
      </w:sdtPr>
      <w:sdtContent>
        <w:p w14:paraId="01E2736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72C56E" w14:textId="77777777" w:rsidR="00577D08" w:rsidRDefault="00330FC0">
      <w:pPr>
        <w:pStyle w:val="4"/>
        <w:numPr>
          <w:ilvl w:val="3"/>
          <w:numId w:val="71"/>
        </w:numPr>
        <w:ind w:left="426" w:hanging="426"/>
        <w:rPr>
          <w:rFonts w:hint="eastAsia"/>
        </w:rPr>
      </w:pPr>
      <w:bookmarkStart w:id="378" w:name="_Hlk532994191"/>
      <w:bookmarkEnd w:id="377"/>
      <w:r>
        <w:rPr>
          <w:rFonts w:hint="eastAsia"/>
        </w:rPr>
        <w:t>期末重要的债权投资</w:t>
      </w:r>
    </w:p>
    <w:sdt>
      <w:sdtPr>
        <w:alias w:val="是否适用：重要的债权投资[双击切换]"/>
        <w:tag w:val="_GBC_ca6db275ff8944c2900ec34693d6ebf6"/>
        <w:id w:val="419148969"/>
        <w:placeholder>
          <w:docPart w:val="GBC22222222222222222222222222222"/>
        </w:placeholder>
      </w:sdtPr>
      <w:sdtContent>
        <w:p w14:paraId="390D0CF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4B64D52" w14:textId="77777777" w:rsidR="00577D08" w:rsidRDefault="00330FC0">
      <w:pPr>
        <w:pStyle w:val="4"/>
        <w:numPr>
          <w:ilvl w:val="3"/>
          <w:numId w:val="71"/>
        </w:numPr>
        <w:ind w:left="426" w:hanging="426"/>
        <w:rPr>
          <w:rFonts w:hint="eastAsia"/>
        </w:rPr>
      </w:pPr>
      <w:bookmarkStart w:id="379" w:name="_Hlk533872317"/>
      <w:bookmarkEnd w:id="375"/>
      <w:bookmarkEnd w:id="376"/>
      <w:bookmarkEnd w:id="378"/>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49818143"/>
        <w:placeholder>
          <w:docPart w:val="GBC22222222222222222222222222222"/>
        </w:placeholder>
      </w:sdtPr>
      <w:sdtContent>
        <w:p w14:paraId="20C11F7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E1593F" w14:textId="77777777" w:rsidR="00577D08" w:rsidRDefault="00330FC0">
      <w:r>
        <w:rPr>
          <w:rFonts w:hint="eastAsia"/>
        </w:rPr>
        <w:t>各阶段划分依据和减值准备计提比例：</w:t>
      </w:r>
    </w:p>
    <w:sdt>
      <w:sdtPr>
        <w:alias w:val="债权投资各阶段划分依据和减值准备计提比例"/>
        <w:tag w:val="_GBC_60f5cb3d88a34c9d9e0fb015def585fa"/>
        <w:id w:val="-357347108"/>
        <w:placeholder>
          <w:docPart w:val="GBC22222222222222222222222222222"/>
        </w:placeholder>
      </w:sdtPr>
      <w:sdtContent>
        <w:p w14:paraId="7F299C20" w14:textId="77777777" w:rsidR="00577D08" w:rsidRDefault="00330FC0">
          <w:r>
            <w:rPr>
              <w:rFonts w:hint="eastAsia"/>
            </w:rPr>
            <w:t>无</w:t>
          </w:r>
        </w:p>
      </w:sdtContent>
    </w:sdt>
    <w:p w14:paraId="7A577A72" w14:textId="77777777" w:rsidR="00577D08" w:rsidRDefault="00330FC0">
      <w:pPr>
        <w:pStyle w:val="affc"/>
      </w:pPr>
      <w:r>
        <w:rPr>
          <w:rFonts w:hint="eastAsia"/>
        </w:rPr>
        <w:t>对本期发生损失准备变动的债权投资账面余额显著变动的情况说明：</w:t>
      </w:r>
    </w:p>
    <w:sdt>
      <w:sdtPr>
        <w:alias w:val="是否适用：债权投资本期发生损失准备变动且账面余额显著变动的情况说明[双击切换]"/>
        <w:tag w:val="_GBC_5f05e251eb914f049048988a9e9168df"/>
        <w:id w:val="1844664608"/>
        <w:placeholder>
          <w:docPart w:val="GBC22222222222222222222222222222"/>
        </w:placeholder>
      </w:sdtPr>
      <w:sdtContent>
        <w:p w14:paraId="09016D51"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79"/>
    <w:p w14:paraId="16CB6052" w14:textId="77777777" w:rsidR="00577D08" w:rsidRDefault="00330FC0">
      <w:pPr>
        <w:pStyle w:val="affc"/>
      </w:pPr>
      <w:r>
        <w:rPr>
          <w:rFonts w:hint="eastAsia"/>
        </w:rPr>
        <w:t>本</w:t>
      </w:r>
      <w:r>
        <w:t>期减</w:t>
      </w:r>
      <w:r>
        <w:rPr>
          <w:rFonts w:hint="eastAsia"/>
        </w:rPr>
        <w:t>值</w:t>
      </w:r>
      <w:r>
        <w:t>准备计提金额以及评估金融工具的</w:t>
      </w:r>
      <w:r>
        <w:rPr>
          <w:rFonts w:hint="eastAsia"/>
        </w:rPr>
        <w:t>信用风险是否显著增加的采用依据</w:t>
      </w:r>
    </w:p>
    <w:sdt>
      <w:sdtPr>
        <w:alias w:val="是否适用：债权投资减值准备计提金额以及评估金融工具的信用风险显著增加的采用依据[双击切换]"/>
        <w:tag w:val="_GBC_799f699e556f4272acd7681b17e4ede5"/>
        <w:id w:val="1967153681"/>
        <w:placeholder>
          <w:docPart w:val="GBC22222222222222222222222222222"/>
        </w:placeholder>
      </w:sdtPr>
      <w:sdtContent>
        <w:p w14:paraId="133ADD7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4FEAFC" w14:textId="77777777" w:rsidR="00577D08" w:rsidRDefault="00330FC0">
      <w:pPr>
        <w:pStyle w:val="4"/>
        <w:numPr>
          <w:ilvl w:val="3"/>
          <w:numId w:val="71"/>
        </w:numPr>
        <w:ind w:left="426" w:hanging="426"/>
        <w:rPr>
          <w:rFonts w:ascii="宋体" w:eastAsia="宋体" w:hAnsi="宋体" w:cs="宋体" w:hint="eastAsia"/>
          <w:kern w:val="0"/>
          <w:szCs w:val="24"/>
        </w:rPr>
      </w:pPr>
      <w:bookmarkStart w:id="380" w:name="_Hlk153455555"/>
      <w:r>
        <w:rPr>
          <w:rFonts w:ascii="宋体" w:eastAsia="宋体" w:hAnsi="宋体" w:cs="宋体"/>
          <w:kern w:val="0"/>
          <w:szCs w:val="24"/>
        </w:rPr>
        <w:t>本期实际</w:t>
      </w:r>
      <w:r>
        <w:rPr>
          <w:rFonts w:ascii="宋体" w:eastAsia="宋体" w:hAnsi="宋体" w:cs="宋体" w:hint="eastAsia"/>
          <w:kern w:val="0"/>
          <w:szCs w:val="24"/>
        </w:rPr>
        <w:t>的</w:t>
      </w:r>
      <w:r>
        <w:rPr>
          <w:rFonts w:ascii="宋体" w:eastAsia="宋体" w:hAnsi="宋体" w:cs="宋体"/>
          <w:kern w:val="0"/>
          <w:szCs w:val="24"/>
        </w:rPr>
        <w:t>核销</w:t>
      </w:r>
      <w:r>
        <w:rPr>
          <w:rFonts w:ascii="宋体" w:eastAsia="宋体" w:hAnsi="宋体" w:cs="宋体" w:hint="eastAsia"/>
          <w:kern w:val="0"/>
          <w:szCs w:val="24"/>
        </w:rPr>
        <w:t>债权投资</w:t>
      </w:r>
      <w:r>
        <w:rPr>
          <w:rFonts w:ascii="宋体" w:eastAsia="宋体" w:hAnsi="宋体" w:cs="宋体"/>
          <w:kern w:val="0"/>
          <w:szCs w:val="24"/>
        </w:rPr>
        <w:t>情况</w:t>
      </w:r>
    </w:p>
    <w:sdt>
      <w:sdtPr>
        <w:alias w:val="是否适用：实际核销的情况[双击切换]"/>
        <w:tag w:val="_GBC_fc91e5e5672d4b4eb2e0779a0867e84c"/>
        <w:id w:val="1819381716"/>
        <w:placeholder>
          <w:docPart w:val="GBC22222222222222222222222222222"/>
        </w:placeholder>
      </w:sdtPr>
      <w:sdtContent>
        <w:p w14:paraId="18F6B8F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C219E89" w14:textId="77777777" w:rsidR="00577D08" w:rsidRDefault="00330FC0">
      <w:r>
        <w:rPr>
          <w:rFonts w:hint="eastAsia"/>
        </w:rPr>
        <w:t>其中重要的债权投资</w:t>
      </w:r>
      <w:r>
        <w:t>情况</w:t>
      </w:r>
      <w:r>
        <w:rPr>
          <w:rFonts w:hint="eastAsia"/>
        </w:rPr>
        <w:t>核销情况</w:t>
      </w:r>
    </w:p>
    <w:sdt>
      <w:sdtPr>
        <w:rPr>
          <w:rFonts w:hint="eastAsia"/>
        </w:rPr>
        <w:alias w:val="是否适用：重要的核销情况[双击切换]"/>
        <w:tag w:val="_GBC_b1835377ab8f4324a0ddc492f3da304c"/>
        <w:id w:val="-1225981010"/>
        <w:placeholder>
          <w:docPart w:val="GBC22222222222222222222222222222"/>
        </w:placeholder>
      </w:sdtPr>
      <w:sdtContent>
        <w:p w14:paraId="40CBD55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6C385AD" w14:textId="77777777" w:rsidR="00577D08" w:rsidRDefault="00330FC0">
      <w:pPr>
        <w:snapToGrid w:val="0"/>
        <w:spacing w:line="240" w:lineRule="atLeast"/>
      </w:pPr>
      <w:r>
        <w:rPr>
          <w:rFonts w:hint="eastAsia"/>
        </w:rPr>
        <w:t>债权投资的核销说明：</w:t>
      </w:r>
    </w:p>
    <w:sdt>
      <w:sdtPr>
        <w:alias w:val="是否适用：核销说明[双击切换]"/>
        <w:tag w:val="_GBC_f135d5c946cc473182fa418ce9c408ae"/>
        <w:id w:val="-1001428865"/>
        <w:placeholder>
          <w:docPart w:val="GBC22222222222222222222222222222"/>
        </w:placeholder>
      </w:sdtPr>
      <w:sdtContent>
        <w:p w14:paraId="75EC2459"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80"/>
    <w:p w14:paraId="7F3B56C0" w14:textId="77777777" w:rsidR="00577D08" w:rsidRDefault="00330FC0">
      <w:r>
        <w:rPr>
          <w:rFonts w:hint="eastAsia"/>
        </w:rPr>
        <w:t>其他说明：</w:t>
      </w:r>
    </w:p>
    <w:sdt>
      <w:sdtPr>
        <w:alias w:val="是否适用：债权投资其他说明[双击切换]"/>
        <w:tag w:val="_GBC_17cf4c675aec4f36816c24c079df205c"/>
        <w:id w:val="-392882667"/>
        <w:placeholder>
          <w:docPart w:val="GBC22222222222222222222222222222"/>
        </w:placeholder>
      </w:sdtPr>
      <w:sdtContent>
        <w:p w14:paraId="227BFDA9" w14:textId="77777777" w:rsidR="00577D08" w:rsidRDefault="00330FC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9BF0441" w14:textId="77777777" w:rsidR="00577D08" w:rsidRDefault="00577D08">
      <w:pPr>
        <w:ind w:right="210"/>
      </w:pPr>
    </w:p>
    <w:p w14:paraId="0012EC83" w14:textId="77777777" w:rsidR="00577D08" w:rsidRDefault="00330FC0">
      <w:pPr>
        <w:pStyle w:val="3"/>
        <w:numPr>
          <w:ilvl w:val="0"/>
          <w:numId w:val="61"/>
        </w:numPr>
        <w:tabs>
          <w:tab w:val="left" w:pos="504"/>
        </w:tabs>
      </w:pPr>
      <w:r>
        <w:rPr>
          <w:rFonts w:hint="eastAsia"/>
        </w:rPr>
        <w:lastRenderedPageBreak/>
        <w:t>其他债权投资</w:t>
      </w:r>
    </w:p>
    <w:p w14:paraId="71080839" w14:textId="77777777" w:rsidR="00577D08" w:rsidRDefault="00330FC0">
      <w:pPr>
        <w:pStyle w:val="4"/>
        <w:numPr>
          <w:ilvl w:val="3"/>
          <w:numId w:val="72"/>
        </w:numPr>
        <w:ind w:left="426" w:hanging="426"/>
        <w:rPr>
          <w:rFonts w:hint="eastAsia"/>
        </w:rPr>
      </w:pPr>
      <w:r>
        <w:rPr>
          <w:rFonts w:hint="eastAsia"/>
        </w:rPr>
        <w:t>其他债权投资情况</w:t>
      </w:r>
    </w:p>
    <w:sdt>
      <w:sdtPr>
        <w:alias w:val="是否适用：其他债权投资情况[双击切换]"/>
        <w:tag w:val="_GBC_23599130a9db43be881f1fb4a46d3b7e"/>
        <w:id w:val="-717351600"/>
        <w:placeholder>
          <w:docPart w:val="GBC22222222222222222222222222222"/>
        </w:placeholder>
      </w:sdtPr>
      <w:sdtContent>
        <w:p w14:paraId="5C305A1C" w14:textId="77777777" w:rsidR="00577D08" w:rsidRDefault="00330FC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5FDBEE9" w14:textId="77777777" w:rsidR="00577D08" w:rsidRDefault="00330FC0">
      <w:bookmarkStart w:id="381" w:name="_Hlk153455695"/>
      <w:r>
        <w:rPr>
          <w:rFonts w:hint="eastAsia"/>
        </w:rPr>
        <w:t>其他债权投资减值准备本期变动情况</w:t>
      </w:r>
    </w:p>
    <w:sdt>
      <w:sdtPr>
        <w:alias w:val="是否适用：减值准备本期变动情况[双击切换]"/>
        <w:tag w:val="_GBC_3e5ec98f577f4409b379fbfcb3b1cc79"/>
        <w:id w:val="-1162622890"/>
        <w:placeholder>
          <w:docPart w:val="GBC22222222222222222222222222222"/>
        </w:placeholder>
      </w:sdtPr>
      <w:sdtContent>
        <w:p w14:paraId="3291C93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DE0EAEB" w14:textId="77777777" w:rsidR="00577D08" w:rsidRDefault="00330FC0">
      <w:pPr>
        <w:pStyle w:val="4"/>
        <w:numPr>
          <w:ilvl w:val="3"/>
          <w:numId w:val="72"/>
        </w:numPr>
        <w:ind w:left="426" w:hanging="426"/>
        <w:rPr>
          <w:rFonts w:hint="eastAsia"/>
        </w:rPr>
      </w:pPr>
      <w:bookmarkStart w:id="382" w:name="_Hlk533848078"/>
      <w:bookmarkEnd w:id="381"/>
      <w:r>
        <w:rPr>
          <w:rFonts w:hint="eastAsia"/>
        </w:rPr>
        <w:t>期末重要的其他债权投资</w:t>
      </w:r>
    </w:p>
    <w:sdt>
      <w:sdtPr>
        <w:alias w:val="是否适用：重要的其他债权投资[双击切换]"/>
        <w:tag w:val="_GBC_bb82f40f19284b2489199fbaa477b35c"/>
        <w:id w:val="-1252351493"/>
        <w:placeholder>
          <w:docPart w:val="GBC22222222222222222222222222222"/>
        </w:placeholder>
      </w:sdtPr>
      <w:sdtContent>
        <w:p w14:paraId="58A10C17" w14:textId="77777777" w:rsidR="00577D08" w:rsidRDefault="00330FC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559BC93" w14:textId="77777777" w:rsidR="00577D08" w:rsidRDefault="00330FC0">
      <w:pPr>
        <w:pStyle w:val="4"/>
        <w:numPr>
          <w:ilvl w:val="3"/>
          <w:numId w:val="72"/>
        </w:numPr>
        <w:ind w:left="426" w:hanging="426"/>
        <w:rPr>
          <w:rFonts w:hint="eastAsia"/>
        </w:rPr>
      </w:pPr>
      <w:bookmarkStart w:id="383" w:name="_Hlk533872678"/>
      <w:bookmarkEnd w:id="382"/>
      <w:r>
        <w:rPr>
          <w:rFonts w:ascii="宋体" w:eastAsia="宋体" w:hAnsi="宋体" w:cs="宋体" w:hint="eastAsia"/>
          <w:bCs w:val="0"/>
          <w:kern w:val="0"/>
          <w:szCs w:val="24"/>
        </w:rPr>
        <w:t>减值准备计提情况</w:t>
      </w:r>
    </w:p>
    <w:sdt>
      <w:sdtPr>
        <w:alias w:val="是否适用：其他债权投资减值准备调节表[双击切换]"/>
        <w:tag w:val="_GBC_4fb0e145a1004885abb87d20ed68a2ed"/>
        <w:id w:val="2009940210"/>
        <w:placeholder>
          <w:docPart w:val="GBC22222222222222222222222222222"/>
        </w:placeholder>
      </w:sdtPr>
      <w:sdtContent>
        <w:p w14:paraId="4EA434A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C850865" w14:textId="77777777" w:rsidR="00577D08" w:rsidRDefault="00330FC0">
      <w:r>
        <w:rPr>
          <w:rFonts w:hint="eastAsia"/>
        </w:rPr>
        <w:t>各阶段划分依据和减值准备计提比例：</w:t>
      </w:r>
    </w:p>
    <w:sdt>
      <w:sdtPr>
        <w:rPr>
          <w:rFonts w:hint="eastAsia"/>
        </w:rPr>
        <w:alias w:val="其他债权投资各阶段划分依据和减值准备计提比例"/>
        <w:tag w:val="_GBC_7a6f88a666dd4467adf9d3fa4f8e9354"/>
        <w:id w:val="-514232912"/>
        <w:placeholder>
          <w:docPart w:val="GBC22222222222222222222222222222"/>
        </w:placeholder>
      </w:sdtPr>
      <w:sdtContent>
        <w:p w14:paraId="669FCBBA" w14:textId="77777777" w:rsidR="00577D08" w:rsidRDefault="00330FC0">
          <w:r>
            <w:rPr>
              <w:rFonts w:hint="eastAsia"/>
            </w:rPr>
            <w:t>无</w:t>
          </w:r>
        </w:p>
      </w:sdtContent>
    </w:sdt>
    <w:p w14:paraId="1B5791E3" w14:textId="77777777" w:rsidR="00577D08" w:rsidRDefault="00330FC0">
      <w:pPr>
        <w:pStyle w:val="affc"/>
      </w:pPr>
      <w:r>
        <w:rPr>
          <w:rFonts w:hint="eastAsia"/>
        </w:rPr>
        <w:t>对本期发生损失准备变动的其他债权投资账面余额显著变动的情况说明：</w:t>
      </w:r>
    </w:p>
    <w:sdt>
      <w:sdtPr>
        <w:alias w:val="是否适用：其他债权投资本期发生损失准备变动且账面余额显著变动的情况说明[双击切换]"/>
        <w:tag w:val="_GBC_e9e1f5d4f63f46a18295ea4060322e59"/>
        <w:id w:val="1503780679"/>
        <w:placeholder>
          <w:docPart w:val="GBC22222222222222222222222222222"/>
        </w:placeholder>
      </w:sdtPr>
      <w:sdtContent>
        <w:p w14:paraId="098479D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A433F24" w14:textId="77777777" w:rsidR="00577D08" w:rsidRDefault="00330FC0">
      <w:pPr>
        <w:pStyle w:val="affc"/>
      </w:pPr>
      <w:bookmarkStart w:id="384" w:name="_Hlk533848073"/>
      <w:bookmarkEnd w:id="383"/>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362415615"/>
        <w:placeholder>
          <w:docPart w:val="GBC22222222222222222222222222222"/>
        </w:placeholder>
      </w:sdtPr>
      <w:sdtContent>
        <w:p w14:paraId="40DA2297" w14:textId="77777777" w:rsidR="00577D08" w:rsidRDefault="00330FC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B6DE4E2" w14:textId="77777777" w:rsidR="00577D08" w:rsidRDefault="00330FC0">
      <w:pPr>
        <w:pStyle w:val="4"/>
        <w:numPr>
          <w:ilvl w:val="3"/>
          <w:numId w:val="72"/>
        </w:numPr>
        <w:ind w:left="426" w:hanging="426"/>
        <w:rPr>
          <w:rFonts w:ascii="宋体" w:eastAsia="宋体" w:hAnsi="宋体" w:cs="宋体" w:hint="eastAsia"/>
          <w:kern w:val="0"/>
          <w:szCs w:val="24"/>
        </w:rPr>
      </w:pPr>
      <w:bookmarkStart w:id="385" w:name="_Hlk153456989"/>
      <w:bookmarkEnd w:id="384"/>
      <w:r>
        <w:rPr>
          <w:rFonts w:ascii="宋体" w:eastAsia="宋体" w:hAnsi="宋体" w:cs="宋体"/>
          <w:kern w:val="0"/>
          <w:szCs w:val="24"/>
        </w:rPr>
        <w:t>本期实际核销</w:t>
      </w:r>
      <w:r>
        <w:rPr>
          <w:rFonts w:ascii="宋体" w:eastAsia="宋体" w:hAnsi="宋体" w:cs="宋体" w:hint="eastAsia"/>
          <w:kern w:val="0"/>
          <w:szCs w:val="24"/>
        </w:rPr>
        <w:t>的其他债权投资</w:t>
      </w:r>
      <w:r>
        <w:rPr>
          <w:rFonts w:ascii="宋体" w:eastAsia="宋体" w:hAnsi="宋体" w:cs="宋体"/>
          <w:kern w:val="0"/>
          <w:szCs w:val="24"/>
        </w:rPr>
        <w:t>情况</w:t>
      </w:r>
    </w:p>
    <w:sdt>
      <w:sdtPr>
        <w:alias w:val="是否适用：实际核销的情况[双击切换]"/>
        <w:tag w:val="_GBC_7ae85c2d27ec44faaa716fc50cbdc0bf"/>
        <w:id w:val="-100804218"/>
        <w:placeholder>
          <w:docPart w:val="GBC22222222222222222222222222222"/>
        </w:placeholder>
      </w:sdtPr>
      <w:sdtContent>
        <w:p w14:paraId="11F2666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B4F4F04" w14:textId="77777777" w:rsidR="00577D08" w:rsidRDefault="00330FC0">
      <w:r>
        <w:rPr>
          <w:rFonts w:hint="eastAsia"/>
        </w:rPr>
        <w:t>其中重要的其他债权投资</w:t>
      </w:r>
      <w:r>
        <w:t>情况</w:t>
      </w:r>
      <w:r>
        <w:rPr>
          <w:rFonts w:hint="eastAsia"/>
        </w:rPr>
        <w:t>核销情况</w:t>
      </w:r>
    </w:p>
    <w:sdt>
      <w:sdtPr>
        <w:rPr>
          <w:rFonts w:hint="eastAsia"/>
        </w:rPr>
        <w:alias w:val="是否适用：重要的核销情况[双击切换]"/>
        <w:tag w:val="_GBC_d4c60ae51ff54b7399e4fd6edd2e8504"/>
        <w:id w:val="-1346326593"/>
        <w:placeholder>
          <w:docPart w:val="GBC22222222222222222222222222222"/>
        </w:placeholder>
      </w:sdtPr>
      <w:sdtContent>
        <w:p w14:paraId="4C971EE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C8849B8" w14:textId="77777777" w:rsidR="00577D08" w:rsidRDefault="00330FC0">
      <w:pPr>
        <w:snapToGrid w:val="0"/>
        <w:spacing w:line="240" w:lineRule="atLeast"/>
      </w:pPr>
      <w:r>
        <w:rPr>
          <w:rFonts w:hint="eastAsia"/>
        </w:rPr>
        <w:t>其他债权投资的核销说明：</w:t>
      </w:r>
    </w:p>
    <w:sdt>
      <w:sdtPr>
        <w:alias w:val="是否适用：核销说明[双击切换]"/>
        <w:tag w:val="_GBC_689ae117433c459c8a9722be4d19d604"/>
        <w:id w:val="1542867728"/>
        <w:placeholder>
          <w:docPart w:val="GBC22222222222222222222222222222"/>
        </w:placeholder>
      </w:sdtPr>
      <w:sdtContent>
        <w:p w14:paraId="73810995"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8598EFE" w14:textId="77777777" w:rsidR="00577D08" w:rsidRDefault="00330FC0">
      <w:bookmarkStart w:id="386" w:name="_Hlk533848097"/>
      <w:bookmarkEnd w:id="385"/>
      <w:r>
        <w:rPr>
          <w:rFonts w:hint="eastAsia"/>
        </w:rPr>
        <w:t>其他说明：</w:t>
      </w:r>
      <w:bookmarkEnd w:id="386"/>
    </w:p>
    <w:sdt>
      <w:sdtPr>
        <w:alias w:val="是否适用：其他债权投资其他说明[双击切换]"/>
        <w:tag w:val="_GBC_ce8084fd599f45febc44624db662adaa"/>
        <w:id w:val="505016167"/>
        <w:placeholder>
          <w:docPart w:val="GBC22222222222222222222222222222"/>
        </w:placeholder>
      </w:sdtPr>
      <w:sdtContent>
        <w:p w14:paraId="5ECF757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7DA7C92" w14:textId="77777777" w:rsidR="00577D08" w:rsidRDefault="00577D08"/>
    <w:p w14:paraId="73E9D02B" w14:textId="77777777" w:rsidR="00577D08" w:rsidRDefault="00577D08">
      <w:pPr>
        <w:sectPr w:rsidR="00577D08">
          <w:pgSz w:w="11906" w:h="16838"/>
          <w:pgMar w:top="1440" w:right="1797" w:bottom="1525" w:left="1276" w:header="856" w:footer="992" w:gutter="0"/>
          <w:cols w:space="425"/>
          <w:docGrid w:linePitch="312"/>
        </w:sectPr>
      </w:pPr>
    </w:p>
    <w:p w14:paraId="6BE3E75F"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lastRenderedPageBreak/>
        <w:t>长期应收款</w:t>
      </w:r>
    </w:p>
    <w:p w14:paraId="21301B21" w14:textId="77777777" w:rsidR="00577D08" w:rsidRDefault="00330FC0">
      <w:pPr>
        <w:pStyle w:val="4"/>
        <w:numPr>
          <w:ilvl w:val="3"/>
          <w:numId w:val="73"/>
        </w:numPr>
        <w:ind w:left="426" w:hanging="426"/>
        <w:rPr>
          <w:rFonts w:hint="eastAsia"/>
        </w:rPr>
      </w:pPr>
      <w:r>
        <w:rPr>
          <w:rFonts w:hint="eastAsia"/>
        </w:rPr>
        <w:t>长期应收款情况</w:t>
      </w:r>
    </w:p>
    <w:sdt>
      <w:sdtPr>
        <w:alias w:val="是否适用：长期应收款情况[双击切换]"/>
        <w:tag w:val="_GBC_0c54e576828240c482e58c8a9f7cd173"/>
        <w:id w:val="-1619680192"/>
        <w:placeholder>
          <w:docPart w:val="GBC22222222222222222222222222222"/>
        </w:placeholder>
      </w:sdtPr>
      <w:sdtContent>
        <w:p w14:paraId="4D8D7EF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84C38CC" w14:textId="504BAB2E" w:rsidR="00577D08" w:rsidRDefault="00330FC0">
      <w:pPr>
        <w:jc w:val="right"/>
      </w:pPr>
      <w:r>
        <w:rPr>
          <w:rFonts w:hint="eastAsia"/>
        </w:rPr>
        <w:t>单位：</w:t>
      </w:r>
      <w:sdt>
        <w:sdtPr>
          <w:rPr>
            <w:rFonts w:hint="eastAsia"/>
          </w:rPr>
          <w:alias w:val="单位：财务附注：长期应收款"/>
          <w:tag w:val="_GBC_83e90e099c524c00ad00f3262465133a"/>
          <w:id w:val="-18168002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长期应收款"/>
          <w:tag w:val="_GBC_1c013f993d584882abdce9005f6d0f21"/>
          <w:id w:val="-13359135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1578"/>
        <w:gridCol w:w="1539"/>
        <w:gridCol w:w="1519"/>
        <w:gridCol w:w="1536"/>
        <w:gridCol w:w="1539"/>
        <w:gridCol w:w="1567"/>
        <w:gridCol w:w="1422"/>
      </w:tblGrid>
      <w:tr w:rsidR="00577D08" w14:paraId="52702DA4" w14:textId="77777777">
        <w:sdt>
          <w:sdtPr>
            <w:tag w:val="_PLD_1579a5a5db414628bc47ed54fb917eb5"/>
            <w:id w:val="-673722907"/>
          </w:sdtPr>
          <w:sdtContent>
            <w:tc>
              <w:tcPr>
                <w:tcW w:w="1141" w:type="pct"/>
                <w:vMerge w:val="restart"/>
                <w:tcBorders>
                  <w:top w:val="single" w:sz="4" w:space="0" w:color="auto"/>
                  <w:left w:val="single" w:sz="4" w:space="0" w:color="auto"/>
                  <w:right w:val="single" w:sz="4" w:space="0" w:color="auto"/>
                </w:tcBorders>
                <w:vAlign w:val="center"/>
              </w:tcPr>
              <w:p w14:paraId="2F2BC200" w14:textId="77777777" w:rsidR="00577D08" w:rsidRDefault="00330FC0">
                <w:pPr>
                  <w:jc w:val="center"/>
                </w:pPr>
                <w:r>
                  <w:rPr>
                    <w:rFonts w:hint="eastAsia"/>
                  </w:rPr>
                  <w:t>项目</w:t>
                </w:r>
              </w:p>
            </w:tc>
          </w:sdtContent>
        </w:sdt>
        <w:sdt>
          <w:sdtPr>
            <w:tag w:val="_PLD_9a36ea2203424631bf208c9515121cc2"/>
            <w:id w:val="555130795"/>
          </w:sdtPr>
          <w:sdtContent>
            <w:tc>
              <w:tcPr>
                <w:tcW w:w="1672" w:type="pct"/>
                <w:gridSpan w:val="3"/>
                <w:tcBorders>
                  <w:top w:val="single" w:sz="4" w:space="0" w:color="auto"/>
                  <w:left w:val="single" w:sz="4" w:space="0" w:color="auto"/>
                  <w:bottom w:val="single" w:sz="4" w:space="0" w:color="auto"/>
                  <w:right w:val="single" w:sz="4" w:space="0" w:color="auto"/>
                </w:tcBorders>
                <w:vAlign w:val="center"/>
              </w:tcPr>
              <w:p w14:paraId="3CBE5650" w14:textId="77777777" w:rsidR="00577D08" w:rsidRDefault="00330FC0">
                <w:pPr>
                  <w:jc w:val="center"/>
                </w:pPr>
                <w:r>
                  <w:rPr>
                    <w:rFonts w:hint="eastAsia"/>
                  </w:rPr>
                  <w:t>期末余额</w:t>
                </w:r>
              </w:p>
            </w:tc>
          </w:sdtContent>
        </w:sdt>
        <w:sdt>
          <w:sdtPr>
            <w:tag w:val="_PLD_03d144ce33e04be682481d2a013c13af"/>
            <w:id w:val="-1061858263"/>
          </w:sdtPr>
          <w:sdtContent>
            <w:tc>
              <w:tcPr>
                <w:tcW w:w="1674" w:type="pct"/>
                <w:gridSpan w:val="3"/>
                <w:tcBorders>
                  <w:top w:val="single" w:sz="4" w:space="0" w:color="auto"/>
                  <w:left w:val="single" w:sz="4" w:space="0" w:color="auto"/>
                  <w:bottom w:val="single" w:sz="4" w:space="0" w:color="auto"/>
                  <w:right w:val="single" w:sz="4" w:space="0" w:color="auto"/>
                </w:tcBorders>
                <w:vAlign w:val="center"/>
              </w:tcPr>
              <w:p w14:paraId="6D020C82" w14:textId="77777777" w:rsidR="00577D08" w:rsidRDefault="00330FC0">
                <w:pPr>
                  <w:jc w:val="center"/>
                </w:pPr>
                <w:r>
                  <w:rPr>
                    <w:rFonts w:hint="eastAsia"/>
                  </w:rPr>
                  <w:t>期初余额</w:t>
                </w:r>
              </w:p>
            </w:tc>
          </w:sdtContent>
        </w:sdt>
        <w:sdt>
          <w:sdtPr>
            <w:tag w:val="_PLD_19a494fc04ce4efba377e98e304b04d0"/>
            <w:id w:val="-192149011"/>
          </w:sdtPr>
          <w:sdtContent>
            <w:tc>
              <w:tcPr>
                <w:tcW w:w="513" w:type="pct"/>
                <w:vMerge w:val="restart"/>
                <w:tcBorders>
                  <w:top w:val="single" w:sz="4" w:space="0" w:color="auto"/>
                  <w:left w:val="single" w:sz="4" w:space="0" w:color="auto"/>
                  <w:right w:val="single" w:sz="4" w:space="0" w:color="auto"/>
                </w:tcBorders>
                <w:vAlign w:val="center"/>
              </w:tcPr>
              <w:p w14:paraId="02A6C214" w14:textId="77777777" w:rsidR="00577D08" w:rsidRDefault="00330FC0">
                <w:pPr>
                  <w:jc w:val="center"/>
                </w:pPr>
                <w:r>
                  <w:rPr>
                    <w:rFonts w:hint="eastAsia"/>
                  </w:rPr>
                  <w:t>折现率区间</w:t>
                </w:r>
              </w:p>
            </w:tc>
          </w:sdtContent>
        </w:sdt>
      </w:tr>
      <w:tr w:rsidR="00577D08" w14:paraId="0438F28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vMerge/>
            <w:tcBorders>
              <w:left w:val="single" w:sz="4" w:space="0" w:color="auto"/>
              <w:bottom w:val="single" w:sz="6" w:space="0" w:color="auto"/>
              <w:right w:val="single" w:sz="4" w:space="0" w:color="auto"/>
            </w:tcBorders>
            <w:vAlign w:val="center"/>
          </w:tcPr>
          <w:p w14:paraId="3493C526" w14:textId="77777777" w:rsidR="00577D08" w:rsidRDefault="00577D08">
            <w:pPr>
              <w:jc w:val="center"/>
            </w:pPr>
          </w:p>
        </w:tc>
        <w:sdt>
          <w:sdtPr>
            <w:tag w:val="_PLD_c0fe744fa9744e57b65a03499c0b9370"/>
            <w:id w:val="325485760"/>
          </w:sdtPr>
          <w:sdtContent>
            <w:tc>
              <w:tcPr>
                <w:tcW w:w="569" w:type="pct"/>
                <w:tcBorders>
                  <w:left w:val="single" w:sz="4" w:space="0" w:color="auto"/>
                  <w:bottom w:val="single" w:sz="6" w:space="0" w:color="auto"/>
                </w:tcBorders>
                <w:vAlign w:val="center"/>
              </w:tcPr>
              <w:p w14:paraId="23FF01BF" w14:textId="77777777" w:rsidR="00577D08" w:rsidRDefault="00330FC0">
                <w:pPr>
                  <w:jc w:val="center"/>
                </w:pPr>
                <w:r>
                  <w:rPr>
                    <w:rFonts w:hint="eastAsia"/>
                  </w:rPr>
                  <w:t>账面余额</w:t>
                </w:r>
              </w:p>
            </w:tc>
          </w:sdtContent>
        </w:sdt>
        <w:sdt>
          <w:sdtPr>
            <w:tag w:val="_PLD_77ffaa95600c4c8d82666d2fa1a55587"/>
            <w:id w:val="197283892"/>
          </w:sdtPr>
          <w:sdtContent>
            <w:tc>
              <w:tcPr>
                <w:tcW w:w="555" w:type="pct"/>
                <w:tcBorders>
                  <w:bottom w:val="single" w:sz="6" w:space="0" w:color="auto"/>
                </w:tcBorders>
                <w:vAlign w:val="center"/>
              </w:tcPr>
              <w:p w14:paraId="08F2C60B" w14:textId="77777777" w:rsidR="00577D08" w:rsidRDefault="00330FC0">
                <w:pPr>
                  <w:jc w:val="center"/>
                </w:pPr>
                <w:r>
                  <w:rPr>
                    <w:rFonts w:hint="eastAsia"/>
                  </w:rPr>
                  <w:t>坏账准备</w:t>
                </w:r>
              </w:p>
            </w:tc>
          </w:sdtContent>
        </w:sdt>
        <w:sdt>
          <w:sdtPr>
            <w:tag w:val="_PLD_b4a8209a5fa445268b4557f9b0cea931"/>
            <w:id w:val="817384977"/>
          </w:sdtPr>
          <w:sdtContent>
            <w:tc>
              <w:tcPr>
                <w:tcW w:w="548" w:type="pct"/>
                <w:tcBorders>
                  <w:bottom w:val="single" w:sz="6" w:space="0" w:color="auto"/>
                </w:tcBorders>
                <w:vAlign w:val="center"/>
              </w:tcPr>
              <w:p w14:paraId="64A45CAD" w14:textId="77777777" w:rsidR="00577D08" w:rsidRDefault="00330FC0">
                <w:pPr>
                  <w:jc w:val="center"/>
                </w:pPr>
                <w:r>
                  <w:rPr>
                    <w:rFonts w:hint="eastAsia"/>
                  </w:rPr>
                  <w:t>账面价值</w:t>
                </w:r>
              </w:p>
            </w:tc>
          </w:sdtContent>
        </w:sdt>
        <w:sdt>
          <w:sdtPr>
            <w:tag w:val="_PLD_8f25a17bc1634cc893a4d67aa1847b6a"/>
            <w:id w:val="884525390"/>
          </w:sdtPr>
          <w:sdtContent>
            <w:tc>
              <w:tcPr>
                <w:tcW w:w="554" w:type="pct"/>
                <w:tcBorders>
                  <w:bottom w:val="single" w:sz="6" w:space="0" w:color="auto"/>
                </w:tcBorders>
                <w:vAlign w:val="center"/>
              </w:tcPr>
              <w:p w14:paraId="10843A08" w14:textId="77777777" w:rsidR="00577D08" w:rsidRDefault="00330FC0">
                <w:pPr>
                  <w:jc w:val="center"/>
                </w:pPr>
                <w:r>
                  <w:rPr>
                    <w:rFonts w:hint="eastAsia"/>
                  </w:rPr>
                  <w:t>账面余额</w:t>
                </w:r>
              </w:p>
            </w:tc>
          </w:sdtContent>
        </w:sdt>
        <w:sdt>
          <w:sdtPr>
            <w:tag w:val="_PLD_a654b9f6a8cf4e1797c1b5ccb7073aa0"/>
            <w:id w:val="606089357"/>
          </w:sdtPr>
          <w:sdtContent>
            <w:tc>
              <w:tcPr>
                <w:tcW w:w="555" w:type="pct"/>
                <w:tcBorders>
                  <w:bottom w:val="single" w:sz="6" w:space="0" w:color="auto"/>
                </w:tcBorders>
                <w:vAlign w:val="center"/>
              </w:tcPr>
              <w:p w14:paraId="3BB30EF0" w14:textId="77777777" w:rsidR="00577D08" w:rsidRDefault="00330FC0">
                <w:pPr>
                  <w:jc w:val="center"/>
                </w:pPr>
                <w:r>
                  <w:rPr>
                    <w:rFonts w:hint="eastAsia"/>
                  </w:rPr>
                  <w:t>坏账准备</w:t>
                </w:r>
              </w:p>
            </w:tc>
          </w:sdtContent>
        </w:sdt>
        <w:sdt>
          <w:sdtPr>
            <w:tag w:val="_PLD_bccad3095dd04c1e9d8e38cc94818670"/>
            <w:id w:val="-709648241"/>
          </w:sdtPr>
          <w:sdtContent>
            <w:tc>
              <w:tcPr>
                <w:tcW w:w="565" w:type="pct"/>
                <w:tcBorders>
                  <w:bottom w:val="single" w:sz="6" w:space="0" w:color="auto"/>
                  <w:right w:val="single" w:sz="4" w:space="0" w:color="auto"/>
                </w:tcBorders>
                <w:vAlign w:val="center"/>
              </w:tcPr>
              <w:p w14:paraId="5F50D258" w14:textId="77777777" w:rsidR="00577D08" w:rsidRDefault="00330FC0">
                <w:pPr>
                  <w:jc w:val="center"/>
                </w:pPr>
                <w:r>
                  <w:rPr>
                    <w:rFonts w:hint="eastAsia"/>
                  </w:rPr>
                  <w:t>账面价值</w:t>
                </w:r>
              </w:p>
            </w:tc>
          </w:sdtContent>
        </w:sdt>
        <w:tc>
          <w:tcPr>
            <w:tcW w:w="513" w:type="pct"/>
            <w:vMerge/>
            <w:tcBorders>
              <w:left w:val="single" w:sz="4" w:space="0" w:color="auto"/>
              <w:bottom w:val="single" w:sz="6" w:space="0" w:color="auto"/>
              <w:right w:val="single" w:sz="4" w:space="0" w:color="auto"/>
            </w:tcBorders>
            <w:vAlign w:val="center"/>
          </w:tcPr>
          <w:p w14:paraId="3AA26CE9" w14:textId="77777777" w:rsidR="00577D08" w:rsidRDefault="00577D08">
            <w:pPr>
              <w:jc w:val="center"/>
            </w:pPr>
          </w:p>
        </w:tc>
      </w:tr>
      <w:tr w:rsidR="00577D08" w14:paraId="06DEA0C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vAlign w:val="center"/>
          </w:tcPr>
          <w:p w14:paraId="17BDBEC7" w14:textId="77777777" w:rsidR="00577D08" w:rsidRDefault="00330FC0">
            <w:r>
              <w:rPr>
                <w:rFonts w:hint="eastAsia"/>
              </w:rPr>
              <w:t>融资租赁款</w:t>
            </w:r>
          </w:p>
        </w:tc>
        <w:tc>
          <w:tcPr>
            <w:tcW w:w="569" w:type="pct"/>
            <w:vAlign w:val="center"/>
          </w:tcPr>
          <w:p w14:paraId="654C8A91" w14:textId="77777777" w:rsidR="00577D08" w:rsidRDefault="00577D08">
            <w:pPr>
              <w:ind w:rightChars="50" w:right="105"/>
              <w:jc w:val="right"/>
            </w:pPr>
          </w:p>
        </w:tc>
        <w:tc>
          <w:tcPr>
            <w:tcW w:w="555" w:type="pct"/>
            <w:vAlign w:val="center"/>
          </w:tcPr>
          <w:p w14:paraId="446CD84F" w14:textId="77777777" w:rsidR="00577D08" w:rsidRDefault="00577D08">
            <w:pPr>
              <w:ind w:rightChars="50" w:right="105"/>
              <w:jc w:val="right"/>
            </w:pPr>
          </w:p>
        </w:tc>
        <w:tc>
          <w:tcPr>
            <w:tcW w:w="548" w:type="pct"/>
            <w:vAlign w:val="center"/>
          </w:tcPr>
          <w:p w14:paraId="1EB31D4D" w14:textId="77777777" w:rsidR="00577D08" w:rsidRDefault="00577D08">
            <w:pPr>
              <w:ind w:rightChars="50" w:right="105"/>
              <w:jc w:val="right"/>
            </w:pPr>
          </w:p>
        </w:tc>
        <w:tc>
          <w:tcPr>
            <w:tcW w:w="554" w:type="pct"/>
            <w:vAlign w:val="center"/>
          </w:tcPr>
          <w:p w14:paraId="5877DB34" w14:textId="77777777" w:rsidR="00577D08" w:rsidRDefault="00577D08">
            <w:pPr>
              <w:ind w:rightChars="50" w:right="105"/>
              <w:jc w:val="right"/>
            </w:pPr>
          </w:p>
        </w:tc>
        <w:tc>
          <w:tcPr>
            <w:tcW w:w="555" w:type="pct"/>
            <w:vAlign w:val="center"/>
          </w:tcPr>
          <w:p w14:paraId="092137A1" w14:textId="77777777" w:rsidR="00577D08" w:rsidRDefault="00577D08">
            <w:pPr>
              <w:ind w:rightChars="50" w:right="105"/>
              <w:jc w:val="right"/>
            </w:pPr>
          </w:p>
        </w:tc>
        <w:tc>
          <w:tcPr>
            <w:tcW w:w="565" w:type="pct"/>
            <w:tcBorders>
              <w:right w:val="single" w:sz="4" w:space="0" w:color="auto"/>
            </w:tcBorders>
            <w:vAlign w:val="center"/>
          </w:tcPr>
          <w:p w14:paraId="5A5FD7E1" w14:textId="77777777" w:rsidR="00577D08" w:rsidRDefault="00577D08">
            <w:pPr>
              <w:ind w:rightChars="50" w:right="105"/>
              <w:jc w:val="right"/>
            </w:pPr>
          </w:p>
        </w:tc>
        <w:tc>
          <w:tcPr>
            <w:tcW w:w="513" w:type="pct"/>
            <w:tcBorders>
              <w:left w:val="single" w:sz="4" w:space="0" w:color="auto"/>
            </w:tcBorders>
            <w:vAlign w:val="center"/>
          </w:tcPr>
          <w:p w14:paraId="29E9BC04" w14:textId="77777777" w:rsidR="00577D08" w:rsidRDefault="00577D08">
            <w:pPr>
              <w:ind w:rightChars="50" w:right="105"/>
            </w:pPr>
          </w:p>
        </w:tc>
      </w:tr>
      <w:tr w:rsidR="00577D08" w14:paraId="2B7D2ECE"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vAlign w:val="center"/>
          </w:tcPr>
          <w:p w14:paraId="25CB868E" w14:textId="77777777" w:rsidR="00577D08" w:rsidRDefault="00330FC0">
            <w:pPr>
              <w:ind w:firstLineChars="200" w:firstLine="420"/>
            </w:pPr>
            <w:r>
              <w:rPr>
                <w:rFonts w:hint="eastAsia"/>
              </w:rPr>
              <w:t>其中：未实现融资收益</w:t>
            </w:r>
          </w:p>
        </w:tc>
        <w:tc>
          <w:tcPr>
            <w:tcW w:w="569" w:type="pct"/>
            <w:vAlign w:val="center"/>
          </w:tcPr>
          <w:p w14:paraId="0BF5C444" w14:textId="77777777" w:rsidR="00577D08" w:rsidRDefault="00577D08">
            <w:pPr>
              <w:ind w:rightChars="50" w:right="105"/>
              <w:jc w:val="right"/>
            </w:pPr>
          </w:p>
        </w:tc>
        <w:tc>
          <w:tcPr>
            <w:tcW w:w="555" w:type="pct"/>
            <w:vAlign w:val="center"/>
          </w:tcPr>
          <w:p w14:paraId="6E770D89" w14:textId="77777777" w:rsidR="00577D08" w:rsidRDefault="00577D08">
            <w:pPr>
              <w:ind w:rightChars="50" w:right="105"/>
              <w:jc w:val="right"/>
            </w:pPr>
          </w:p>
        </w:tc>
        <w:tc>
          <w:tcPr>
            <w:tcW w:w="548" w:type="pct"/>
            <w:vAlign w:val="center"/>
          </w:tcPr>
          <w:p w14:paraId="684F40BF" w14:textId="77777777" w:rsidR="00577D08" w:rsidRDefault="00577D08">
            <w:pPr>
              <w:ind w:rightChars="50" w:right="105"/>
              <w:jc w:val="right"/>
            </w:pPr>
          </w:p>
        </w:tc>
        <w:tc>
          <w:tcPr>
            <w:tcW w:w="554" w:type="pct"/>
            <w:vAlign w:val="center"/>
          </w:tcPr>
          <w:p w14:paraId="4373C284" w14:textId="77777777" w:rsidR="00577D08" w:rsidRDefault="00577D08">
            <w:pPr>
              <w:ind w:rightChars="50" w:right="105"/>
              <w:jc w:val="right"/>
            </w:pPr>
          </w:p>
        </w:tc>
        <w:tc>
          <w:tcPr>
            <w:tcW w:w="555" w:type="pct"/>
            <w:vAlign w:val="center"/>
          </w:tcPr>
          <w:p w14:paraId="4AFA27B5" w14:textId="77777777" w:rsidR="00577D08" w:rsidRDefault="00577D08">
            <w:pPr>
              <w:ind w:rightChars="50" w:right="105"/>
              <w:jc w:val="right"/>
            </w:pPr>
          </w:p>
        </w:tc>
        <w:tc>
          <w:tcPr>
            <w:tcW w:w="565" w:type="pct"/>
            <w:tcBorders>
              <w:right w:val="single" w:sz="4" w:space="0" w:color="auto"/>
            </w:tcBorders>
            <w:vAlign w:val="center"/>
          </w:tcPr>
          <w:p w14:paraId="79D217DA" w14:textId="77777777" w:rsidR="00577D08" w:rsidRDefault="00577D08">
            <w:pPr>
              <w:ind w:rightChars="50" w:right="105"/>
              <w:jc w:val="right"/>
            </w:pPr>
          </w:p>
        </w:tc>
        <w:tc>
          <w:tcPr>
            <w:tcW w:w="513" w:type="pct"/>
            <w:tcBorders>
              <w:left w:val="single" w:sz="4" w:space="0" w:color="auto"/>
            </w:tcBorders>
            <w:vAlign w:val="center"/>
          </w:tcPr>
          <w:p w14:paraId="0BEA02E1" w14:textId="77777777" w:rsidR="00577D08" w:rsidRDefault="00577D08">
            <w:pPr>
              <w:ind w:rightChars="50" w:right="105"/>
            </w:pPr>
          </w:p>
        </w:tc>
      </w:tr>
      <w:tr w:rsidR="00577D08" w14:paraId="3F76F95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tcPr>
          <w:p w14:paraId="7C797018" w14:textId="77777777" w:rsidR="00577D08" w:rsidRDefault="00330FC0">
            <w:r>
              <w:rPr>
                <w:rFonts w:hint="eastAsia"/>
              </w:rPr>
              <w:t>长期应收款</w:t>
            </w:r>
          </w:p>
        </w:tc>
        <w:tc>
          <w:tcPr>
            <w:tcW w:w="569" w:type="pct"/>
          </w:tcPr>
          <w:p w14:paraId="59CE5210" w14:textId="77777777" w:rsidR="00577D08" w:rsidRDefault="00330FC0">
            <w:pPr>
              <w:ind w:rightChars="50" w:right="105"/>
              <w:jc w:val="right"/>
            </w:pPr>
            <w:r>
              <w:t>4,481,595.34</w:t>
            </w:r>
          </w:p>
        </w:tc>
        <w:tc>
          <w:tcPr>
            <w:tcW w:w="555" w:type="pct"/>
          </w:tcPr>
          <w:p w14:paraId="5B2F07B4" w14:textId="77777777" w:rsidR="00577D08" w:rsidRDefault="00330FC0">
            <w:pPr>
              <w:ind w:rightChars="50" w:right="105"/>
              <w:jc w:val="right"/>
            </w:pPr>
            <w:r>
              <w:t>839,509.75</w:t>
            </w:r>
          </w:p>
        </w:tc>
        <w:tc>
          <w:tcPr>
            <w:tcW w:w="548" w:type="pct"/>
          </w:tcPr>
          <w:p w14:paraId="364760B4" w14:textId="77777777" w:rsidR="00577D08" w:rsidRDefault="00330FC0">
            <w:pPr>
              <w:ind w:rightChars="50" w:right="105"/>
              <w:jc w:val="right"/>
            </w:pPr>
            <w:r>
              <w:t>3,642,085.59</w:t>
            </w:r>
          </w:p>
        </w:tc>
        <w:tc>
          <w:tcPr>
            <w:tcW w:w="554" w:type="pct"/>
          </w:tcPr>
          <w:p w14:paraId="6B55AAD6" w14:textId="77777777" w:rsidR="00577D08" w:rsidRDefault="00330FC0">
            <w:pPr>
              <w:ind w:rightChars="50" w:right="105"/>
              <w:jc w:val="right"/>
            </w:pPr>
            <w:r>
              <w:t>6,311,778.05</w:t>
            </w:r>
          </w:p>
        </w:tc>
        <w:tc>
          <w:tcPr>
            <w:tcW w:w="555" w:type="pct"/>
          </w:tcPr>
          <w:p w14:paraId="5087BE97" w14:textId="77777777" w:rsidR="00577D08" w:rsidRDefault="00330FC0">
            <w:pPr>
              <w:ind w:rightChars="50" w:right="105"/>
              <w:jc w:val="right"/>
            </w:pPr>
            <w:r>
              <w:t>628,053.16</w:t>
            </w:r>
          </w:p>
        </w:tc>
        <w:tc>
          <w:tcPr>
            <w:tcW w:w="565" w:type="pct"/>
            <w:tcBorders>
              <w:right w:val="single" w:sz="4" w:space="0" w:color="auto"/>
            </w:tcBorders>
          </w:tcPr>
          <w:p w14:paraId="02A78199" w14:textId="77777777" w:rsidR="00577D08" w:rsidRDefault="00330FC0">
            <w:pPr>
              <w:ind w:rightChars="50" w:right="105"/>
              <w:jc w:val="right"/>
            </w:pPr>
            <w:r>
              <w:t>5,683,724.89</w:t>
            </w:r>
          </w:p>
        </w:tc>
        <w:tc>
          <w:tcPr>
            <w:tcW w:w="513" w:type="pct"/>
            <w:tcBorders>
              <w:left w:val="single" w:sz="4" w:space="0" w:color="auto"/>
            </w:tcBorders>
            <w:vAlign w:val="center"/>
          </w:tcPr>
          <w:p w14:paraId="6F237CC8" w14:textId="77777777" w:rsidR="00577D08" w:rsidRDefault="00330FC0">
            <w:pPr>
              <w:ind w:rightChars="50" w:right="105"/>
              <w:jc w:val="center"/>
            </w:pPr>
            <w:r>
              <w:t>/</w:t>
            </w:r>
          </w:p>
        </w:tc>
      </w:tr>
      <w:tr w:rsidR="00577D08" w14:paraId="550D370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tcBorders>
              <w:bottom w:val="single" w:sz="6" w:space="0" w:color="auto"/>
            </w:tcBorders>
          </w:tcPr>
          <w:p w14:paraId="5247A883" w14:textId="77777777" w:rsidR="00577D08" w:rsidRDefault="00330FC0">
            <w:r>
              <w:rPr>
                <w:rFonts w:hint="eastAsia"/>
              </w:rPr>
              <w:t>减：一年内到期的长期应收款</w:t>
            </w:r>
          </w:p>
        </w:tc>
        <w:tc>
          <w:tcPr>
            <w:tcW w:w="569" w:type="pct"/>
          </w:tcPr>
          <w:p w14:paraId="22188EBF" w14:textId="77777777" w:rsidR="00577D08" w:rsidRDefault="00577D08">
            <w:pPr>
              <w:ind w:rightChars="50" w:right="105"/>
              <w:jc w:val="right"/>
            </w:pPr>
          </w:p>
        </w:tc>
        <w:tc>
          <w:tcPr>
            <w:tcW w:w="555" w:type="pct"/>
          </w:tcPr>
          <w:p w14:paraId="2328F11B" w14:textId="77777777" w:rsidR="00577D08" w:rsidRDefault="00577D08">
            <w:pPr>
              <w:ind w:rightChars="50" w:right="105"/>
              <w:jc w:val="right"/>
            </w:pPr>
          </w:p>
        </w:tc>
        <w:tc>
          <w:tcPr>
            <w:tcW w:w="548" w:type="pct"/>
          </w:tcPr>
          <w:p w14:paraId="74B669BA" w14:textId="77777777" w:rsidR="00577D08" w:rsidRDefault="00577D08">
            <w:pPr>
              <w:ind w:rightChars="50" w:right="105"/>
              <w:jc w:val="right"/>
            </w:pPr>
          </w:p>
        </w:tc>
        <w:tc>
          <w:tcPr>
            <w:tcW w:w="554" w:type="pct"/>
          </w:tcPr>
          <w:p w14:paraId="15030B5F" w14:textId="77777777" w:rsidR="00577D08" w:rsidRDefault="00577D08">
            <w:pPr>
              <w:ind w:rightChars="50" w:right="105"/>
              <w:jc w:val="right"/>
            </w:pPr>
          </w:p>
        </w:tc>
        <w:tc>
          <w:tcPr>
            <w:tcW w:w="555" w:type="pct"/>
          </w:tcPr>
          <w:p w14:paraId="30D7E64C" w14:textId="77777777" w:rsidR="00577D08" w:rsidRDefault="00577D08">
            <w:pPr>
              <w:ind w:rightChars="50" w:right="105"/>
              <w:jc w:val="right"/>
            </w:pPr>
          </w:p>
        </w:tc>
        <w:tc>
          <w:tcPr>
            <w:tcW w:w="565" w:type="pct"/>
            <w:tcBorders>
              <w:right w:val="single" w:sz="4" w:space="0" w:color="auto"/>
            </w:tcBorders>
          </w:tcPr>
          <w:p w14:paraId="65AAC095" w14:textId="77777777" w:rsidR="00577D08" w:rsidRDefault="00577D08">
            <w:pPr>
              <w:ind w:rightChars="50" w:right="105"/>
              <w:jc w:val="right"/>
            </w:pPr>
          </w:p>
        </w:tc>
        <w:tc>
          <w:tcPr>
            <w:tcW w:w="513" w:type="pct"/>
            <w:tcBorders>
              <w:left w:val="single" w:sz="4" w:space="0" w:color="auto"/>
            </w:tcBorders>
            <w:vAlign w:val="center"/>
          </w:tcPr>
          <w:p w14:paraId="62AAFF33" w14:textId="77777777" w:rsidR="00577D08" w:rsidRDefault="00577D08">
            <w:pPr>
              <w:ind w:rightChars="50" w:right="105"/>
            </w:pPr>
          </w:p>
        </w:tc>
      </w:tr>
      <w:tr w:rsidR="00577D08" w14:paraId="5979157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vAlign w:val="center"/>
          </w:tcPr>
          <w:p w14:paraId="77049F71" w14:textId="77777777" w:rsidR="00577D08" w:rsidRDefault="00330FC0">
            <w:pPr>
              <w:jc w:val="center"/>
            </w:pPr>
            <w:r>
              <w:rPr>
                <w:rFonts w:hint="eastAsia"/>
              </w:rPr>
              <w:t>合计</w:t>
            </w:r>
          </w:p>
        </w:tc>
        <w:tc>
          <w:tcPr>
            <w:tcW w:w="569" w:type="pct"/>
          </w:tcPr>
          <w:p w14:paraId="0765B015" w14:textId="77777777" w:rsidR="00577D08" w:rsidRDefault="00330FC0">
            <w:pPr>
              <w:ind w:rightChars="50" w:right="105"/>
              <w:jc w:val="right"/>
            </w:pPr>
            <w:r>
              <w:t>4,481,595.34</w:t>
            </w:r>
          </w:p>
        </w:tc>
        <w:tc>
          <w:tcPr>
            <w:tcW w:w="555" w:type="pct"/>
          </w:tcPr>
          <w:p w14:paraId="6320DD2F" w14:textId="77777777" w:rsidR="00577D08" w:rsidRDefault="00330FC0">
            <w:pPr>
              <w:ind w:rightChars="50" w:right="105"/>
              <w:jc w:val="right"/>
            </w:pPr>
            <w:r>
              <w:t>839,509.75</w:t>
            </w:r>
          </w:p>
        </w:tc>
        <w:tc>
          <w:tcPr>
            <w:tcW w:w="548" w:type="pct"/>
          </w:tcPr>
          <w:p w14:paraId="7ED23FD1" w14:textId="77777777" w:rsidR="00577D08" w:rsidRDefault="00330FC0">
            <w:pPr>
              <w:ind w:rightChars="50" w:right="105"/>
              <w:jc w:val="right"/>
            </w:pPr>
            <w:r>
              <w:t>3,642,085.59</w:t>
            </w:r>
          </w:p>
        </w:tc>
        <w:tc>
          <w:tcPr>
            <w:tcW w:w="554" w:type="pct"/>
          </w:tcPr>
          <w:p w14:paraId="62E73CC5" w14:textId="77777777" w:rsidR="00577D08" w:rsidRDefault="00330FC0">
            <w:pPr>
              <w:ind w:rightChars="50" w:right="105"/>
              <w:jc w:val="right"/>
            </w:pPr>
            <w:r>
              <w:t>6,311,778.05</w:t>
            </w:r>
          </w:p>
        </w:tc>
        <w:tc>
          <w:tcPr>
            <w:tcW w:w="555" w:type="pct"/>
          </w:tcPr>
          <w:p w14:paraId="5C13378B" w14:textId="77777777" w:rsidR="00577D08" w:rsidRDefault="00330FC0">
            <w:pPr>
              <w:ind w:rightChars="50" w:right="105"/>
              <w:jc w:val="right"/>
            </w:pPr>
            <w:r>
              <w:t>628,053.16</w:t>
            </w:r>
          </w:p>
        </w:tc>
        <w:tc>
          <w:tcPr>
            <w:tcW w:w="565" w:type="pct"/>
            <w:tcBorders>
              <w:right w:val="single" w:sz="4" w:space="0" w:color="auto"/>
            </w:tcBorders>
          </w:tcPr>
          <w:p w14:paraId="6846B180" w14:textId="77777777" w:rsidR="00577D08" w:rsidRDefault="00330FC0">
            <w:pPr>
              <w:ind w:rightChars="50" w:right="105"/>
              <w:jc w:val="right"/>
            </w:pPr>
            <w:r>
              <w:t>5,683,724.89</w:t>
            </w:r>
          </w:p>
        </w:tc>
        <w:tc>
          <w:tcPr>
            <w:tcW w:w="513" w:type="pct"/>
            <w:tcBorders>
              <w:left w:val="single" w:sz="4" w:space="0" w:color="auto"/>
            </w:tcBorders>
            <w:vAlign w:val="center"/>
          </w:tcPr>
          <w:p w14:paraId="7B146BD0" w14:textId="77777777" w:rsidR="00577D08" w:rsidRDefault="00330FC0">
            <w:pPr>
              <w:ind w:rightChars="50" w:right="105"/>
              <w:jc w:val="center"/>
            </w:pPr>
            <w:r>
              <w:rPr>
                <w:rFonts w:hint="eastAsia"/>
              </w:rPr>
              <w:t>/</w:t>
            </w:r>
          </w:p>
        </w:tc>
      </w:tr>
    </w:tbl>
    <w:p w14:paraId="1539E089" w14:textId="77777777" w:rsidR="00577D08" w:rsidRDefault="00330FC0">
      <w:pPr>
        <w:pStyle w:val="4"/>
        <w:numPr>
          <w:ilvl w:val="3"/>
          <w:numId w:val="73"/>
        </w:numPr>
        <w:ind w:left="426" w:hanging="426"/>
        <w:rPr>
          <w:rFonts w:ascii="宋体" w:eastAsia="宋体" w:hAnsi="宋体" w:cs="宋体" w:hint="eastAsia"/>
          <w:kern w:val="0"/>
          <w:szCs w:val="24"/>
        </w:rPr>
      </w:pPr>
      <w:bookmarkStart w:id="387" w:name="_Hlk153457348"/>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b88f58fcc61342f3b795c44388b6782b"/>
        <w:id w:val="33004904"/>
        <w:placeholder>
          <w:docPart w:val="GBC22222222222222222222222222222"/>
        </w:placeholder>
      </w:sdtPr>
      <w:sdtContent>
        <w:p w14:paraId="68679AD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9AD3234" w14:textId="67AAE414" w:rsidR="00577D08" w:rsidRDefault="00330FC0">
      <w:pPr>
        <w:pStyle w:val="aff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按坏账计提方法分类披露"/>
          <w:tag w:val="_GBC_bd420b8bfb1348be9783552f5fd7a05e"/>
          <w:id w:val="-14151314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r w:rsidR="00CC5C32">
            <w:rPr>
              <w:rFonts w:hint="eastAsia"/>
              <w:szCs w:val="21"/>
            </w:rPr>
            <w:t xml:space="preserve"> </w:t>
          </w:r>
        </w:sdtContent>
      </w:sdt>
      <w:r>
        <w:rPr>
          <w:rFonts w:hint="eastAsia"/>
          <w:szCs w:val="21"/>
        </w:rPr>
        <w:t>币种：</w:t>
      </w:r>
      <w:sdt>
        <w:sdtPr>
          <w:rPr>
            <w:rFonts w:hint="eastAsia"/>
            <w:szCs w:val="21"/>
          </w:rPr>
          <w:alias w:val="币种：按坏账计提方法分类披露"/>
          <w:tag w:val="_GBC_3ac94de7648b4b0f979b720c33955d79"/>
          <w:id w:val="6466343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319"/>
        <w:gridCol w:w="1049"/>
        <w:gridCol w:w="1161"/>
        <w:gridCol w:w="1005"/>
        <w:gridCol w:w="1319"/>
        <w:gridCol w:w="1319"/>
        <w:gridCol w:w="1079"/>
        <w:gridCol w:w="1161"/>
        <w:gridCol w:w="1082"/>
        <w:gridCol w:w="1319"/>
      </w:tblGrid>
      <w:tr w:rsidR="00577D08" w14:paraId="351BA3CC" w14:textId="77777777">
        <w:trPr>
          <w:cantSplit/>
          <w:trHeight w:val="259"/>
        </w:trPr>
        <w:sdt>
          <w:sdtPr>
            <w:tag w:val="_PLD_c1f44ed4b1a04d33962261a361bb9b1b"/>
            <w:id w:val="865415381"/>
          </w:sdtPr>
          <w:sdtContent>
            <w:tc>
              <w:tcPr>
                <w:tcW w:w="748" w:type="pct"/>
                <w:vMerge w:val="restart"/>
                <w:tcBorders>
                  <w:top w:val="single" w:sz="4" w:space="0" w:color="auto"/>
                  <w:left w:val="single" w:sz="4" w:space="0" w:color="auto"/>
                  <w:right w:val="single" w:sz="4" w:space="0" w:color="auto"/>
                </w:tcBorders>
                <w:vAlign w:val="center"/>
              </w:tcPr>
              <w:p w14:paraId="346BE2E3" w14:textId="77777777" w:rsidR="00577D08" w:rsidRDefault="00330FC0">
                <w:pPr>
                  <w:jc w:val="center"/>
                </w:pPr>
                <w:r>
                  <w:rPr>
                    <w:rFonts w:hint="eastAsia"/>
                  </w:rPr>
                  <w:t>类别</w:t>
                </w:r>
              </w:p>
            </w:tc>
          </w:sdtContent>
        </w:sdt>
        <w:sdt>
          <w:sdtPr>
            <w:tag w:val="_PLD_a9d390643c964401aa5f9b3500e0b907"/>
            <w:id w:val="-1622834649"/>
          </w:sdtPr>
          <w:sdtContent>
            <w:tc>
              <w:tcPr>
                <w:tcW w:w="2106" w:type="pct"/>
                <w:gridSpan w:val="5"/>
                <w:tcBorders>
                  <w:top w:val="single" w:sz="4" w:space="0" w:color="auto"/>
                  <w:left w:val="single" w:sz="4" w:space="0" w:color="auto"/>
                  <w:right w:val="single" w:sz="4" w:space="0" w:color="auto"/>
                </w:tcBorders>
                <w:vAlign w:val="center"/>
              </w:tcPr>
              <w:p w14:paraId="29EBEAD2"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1648e2d0a2e043a1b5e331d43977d521"/>
            <w:id w:val="-2140785795"/>
          </w:sdtPr>
          <w:sdtContent>
            <w:tc>
              <w:tcPr>
                <w:tcW w:w="2146" w:type="pct"/>
                <w:gridSpan w:val="5"/>
                <w:tcBorders>
                  <w:top w:val="single" w:sz="4" w:space="0" w:color="auto"/>
                  <w:left w:val="single" w:sz="4" w:space="0" w:color="auto"/>
                  <w:right w:val="single" w:sz="4" w:space="0" w:color="auto"/>
                </w:tcBorders>
                <w:vAlign w:val="center"/>
              </w:tcPr>
              <w:p w14:paraId="5A9C3149"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3668D873" w14:textId="77777777">
        <w:trPr>
          <w:cantSplit/>
          <w:trHeight w:val="227"/>
        </w:trPr>
        <w:tc>
          <w:tcPr>
            <w:tcW w:w="748" w:type="pct"/>
            <w:vMerge/>
            <w:tcBorders>
              <w:left w:val="single" w:sz="4" w:space="0" w:color="auto"/>
              <w:right w:val="single" w:sz="4" w:space="0" w:color="auto"/>
            </w:tcBorders>
            <w:vAlign w:val="center"/>
          </w:tcPr>
          <w:p w14:paraId="0067A0A1" w14:textId="77777777" w:rsidR="00577D08" w:rsidRDefault="00577D08"/>
        </w:tc>
        <w:sdt>
          <w:sdtPr>
            <w:tag w:val="_PLD_3728122722094c6c87dbbc3d1d8391b6"/>
            <w:id w:val="-1761757010"/>
          </w:sdtPr>
          <w:sdtContent>
            <w:tc>
              <w:tcPr>
                <w:tcW w:w="855" w:type="pct"/>
                <w:gridSpan w:val="2"/>
                <w:tcBorders>
                  <w:top w:val="single" w:sz="4" w:space="0" w:color="auto"/>
                  <w:left w:val="single" w:sz="4" w:space="0" w:color="auto"/>
                  <w:bottom w:val="single" w:sz="4" w:space="0" w:color="auto"/>
                  <w:right w:val="single" w:sz="4" w:space="0" w:color="auto"/>
                </w:tcBorders>
                <w:vAlign w:val="center"/>
              </w:tcPr>
              <w:p w14:paraId="2289F9F6" w14:textId="77777777" w:rsidR="00577D08" w:rsidRDefault="00330FC0">
                <w:pPr>
                  <w:jc w:val="center"/>
                </w:pPr>
                <w:r>
                  <w:rPr>
                    <w:rFonts w:hint="eastAsia"/>
                  </w:rPr>
                  <w:t>账面余额</w:t>
                </w:r>
              </w:p>
            </w:tc>
          </w:sdtContent>
        </w:sdt>
        <w:sdt>
          <w:sdtPr>
            <w:tag w:val="_PLD_45cda725567e44bf952a7c8d03586e93"/>
            <w:id w:val="1241364780"/>
          </w:sdtPr>
          <w:sdtContent>
            <w:tc>
              <w:tcPr>
                <w:tcW w:w="783" w:type="pct"/>
                <w:gridSpan w:val="2"/>
                <w:tcBorders>
                  <w:top w:val="single" w:sz="4" w:space="0" w:color="auto"/>
                  <w:left w:val="single" w:sz="4" w:space="0" w:color="auto"/>
                  <w:bottom w:val="single" w:sz="4" w:space="0" w:color="auto"/>
                  <w:right w:val="single" w:sz="4" w:space="0" w:color="auto"/>
                </w:tcBorders>
                <w:vAlign w:val="center"/>
              </w:tcPr>
              <w:p w14:paraId="2247120F" w14:textId="77777777" w:rsidR="00577D08" w:rsidRDefault="00330FC0">
                <w:pPr>
                  <w:jc w:val="center"/>
                </w:pPr>
                <w:r>
                  <w:rPr>
                    <w:rFonts w:hint="eastAsia"/>
                  </w:rPr>
                  <w:t>坏账准备</w:t>
                </w:r>
              </w:p>
            </w:tc>
          </w:sdtContent>
        </w:sdt>
        <w:sdt>
          <w:sdtPr>
            <w:tag w:val="_PLD_b5d693e10b584218a2fcb7c20c5f82d8"/>
            <w:id w:val="875129686"/>
          </w:sdtPr>
          <w:sdtContent>
            <w:tc>
              <w:tcPr>
                <w:tcW w:w="468" w:type="pct"/>
                <w:vMerge w:val="restart"/>
                <w:tcBorders>
                  <w:top w:val="single" w:sz="4" w:space="0" w:color="auto"/>
                  <w:left w:val="single" w:sz="4" w:space="0" w:color="auto"/>
                  <w:right w:val="single" w:sz="4" w:space="0" w:color="auto"/>
                </w:tcBorders>
                <w:vAlign w:val="center"/>
              </w:tcPr>
              <w:p w14:paraId="1B8C9A73" w14:textId="77777777" w:rsidR="00577D08" w:rsidRDefault="00330FC0">
                <w:pPr>
                  <w:jc w:val="center"/>
                </w:pPr>
                <w:r>
                  <w:rPr>
                    <w:rFonts w:hint="eastAsia"/>
                  </w:rPr>
                  <w:t>账面</w:t>
                </w:r>
              </w:p>
              <w:p w14:paraId="7C0DEED0" w14:textId="77777777" w:rsidR="00577D08" w:rsidRDefault="00330FC0">
                <w:pPr>
                  <w:jc w:val="center"/>
                </w:pPr>
                <w:r>
                  <w:rPr>
                    <w:rFonts w:hint="eastAsia"/>
                  </w:rPr>
                  <w:t>价值</w:t>
                </w:r>
              </w:p>
            </w:tc>
          </w:sdtContent>
        </w:sdt>
        <w:sdt>
          <w:sdtPr>
            <w:tag w:val="_PLD_91cf019e97d04cb7980e45e7ee7f25c6"/>
            <w:id w:val="387465129"/>
          </w:sdtPr>
          <w:sdtContent>
            <w:tc>
              <w:tcPr>
                <w:tcW w:w="866" w:type="pct"/>
                <w:gridSpan w:val="2"/>
                <w:tcBorders>
                  <w:top w:val="single" w:sz="4" w:space="0" w:color="auto"/>
                  <w:left w:val="single" w:sz="4" w:space="0" w:color="auto"/>
                  <w:right w:val="single" w:sz="4" w:space="0" w:color="auto"/>
                </w:tcBorders>
                <w:vAlign w:val="center"/>
              </w:tcPr>
              <w:p w14:paraId="3D8F94E1" w14:textId="77777777" w:rsidR="00577D08" w:rsidRDefault="00330FC0">
                <w:pPr>
                  <w:jc w:val="center"/>
                </w:pPr>
                <w:r>
                  <w:rPr>
                    <w:rFonts w:hint="eastAsia"/>
                  </w:rPr>
                  <w:t>账面余额</w:t>
                </w:r>
              </w:p>
            </w:tc>
          </w:sdtContent>
        </w:sdt>
        <w:sdt>
          <w:sdtPr>
            <w:tag w:val="_PLD_a0939ab7fd2844cda721292f9bdbe8a9"/>
            <w:id w:val="-1858256370"/>
          </w:sdtPr>
          <w:sdtContent>
            <w:tc>
              <w:tcPr>
                <w:tcW w:w="811" w:type="pct"/>
                <w:gridSpan w:val="2"/>
                <w:tcBorders>
                  <w:top w:val="single" w:sz="4" w:space="0" w:color="auto"/>
                  <w:left w:val="single" w:sz="4" w:space="0" w:color="auto"/>
                  <w:right w:val="single" w:sz="4" w:space="0" w:color="auto"/>
                </w:tcBorders>
                <w:vAlign w:val="center"/>
              </w:tcPr>
              <w:p w14:paraId="484F4432" w14:textId="77777777" w:rsidR="00577D08" w:rsidRDefault="00330FC0">
                <w:pPr>
                  <w:jc w:val="center"/>
                </w:pPr>
                <w:r>
                  <w:rPr>
                    <w:rFonts w:hint="eastAsia"/>
                  </w:rPr>
                  <w:t>坏账准备</w:t>
                </w:r>
              </w:p>
            </w:tc>
          </w:sdtContent>
        </w:sdt>
        <w:sdt>
          <w:sdtPr>
            <w:tag w:val="_PLD_57c2a684efce445789de9538ca62e055"/>
            <w:id w:val="1947734793"/>
          </w:sdtPr>
          <w:sdtContent>
            <w:tc>
              <w:tcPr>
                <w:tcW w:w="469" w:type="pct"/>
                <w:vMerge w:val="restart"/>
                <w:tcBorders>
                  <w:top w:val="single" w:sz="4" w:space="0" w:color="auto"/>
                  <w:left w:val="single" w:sz="4" w:space="0" w:color="auto"/>
                  <w:right w:val="single" w:sz="4" w:space="0" w:color="auto"/>
                </w:tcBorders>
                <w:vAlign w:val="center"/>
              </w:tcPr>
              <w:p w14:paraId="23F7FE71" w14:textId="77777777" w:rsidR="00577D08" w:rsidRDefault="00330FC0">
                <w:pPr>
                  <w:jc w:val="center"/>
                </w:pPr>
                <w:r>
                  <w:rPr>
                    <w:rFonts w:hint="eastAsia"/>
                  </w:rPr>
                  <w:t>账面</w:t>
                </w:r>
              </w:p>
              <w:p w14:paraId="7BE90B71" w14:textId="77777777" w:rsidR="00577D08" w:rsidRDefault="00330FC0">
                <w:pPr>
                  <w:jc w:val="center"/>
                </w:pPr>
                <w:r>
                  <w:rPr>
                    <w:rFonts w:hint="eastAsia"/>
                  </w:rPr>
                  <w:t>价值</w:t>
                </w:r>
              </w:p>
            </w:tc>
          </w:sdtContent>
        </w:sdt>
      </w:tr>
      <w:tr w:rsidR="00577D08" w14:paraId="1064764A" w14:textId="77777777">
        <w:trPr>
          <w:cantSplit/>
          <w:trHeight w:val="375"/>
        </w:trPr>
        <w:tc>
          <w:tcPr>
            <w:tcW w:w="748" w:type="pct"/>
            <w:vMerge/>
            <w:tcBorders>
              <w:left w:val="single" w:sz="4" w:space="0" w:color="auto"/>
              <w:bottom w:val="single" w:sz="4" w:space="0" w:color="auto"/>
              <w:right w:val="single" w:sz="4" w:space="0" w:color="auto"/>
            </w:tcBorders>
            <w:vAlign w:val="center"/>
          </w:tcPr>
          <w:p w14:paraId="6F448AEB" w14:textId="77777777" w:rsidR="00577D08" w:rsidRDefault="00577D08"/>
        </w:tc>
        <w:sdt>
          <w:sdtPr>
            <w:tag w:val="_PLD_79f42c5148e442c4896219a8569d3c88"/>
            <w:id w:val="2110690625"/>
          </w:sdtPr>
          <w:sdtContent>
            <w:tc>
              <w:tcPr>
                <w:tcW w:w="468" w:type="pct"/>
                <w:tcBorders>
                  <w:left w:val="single" w:sz="4" w:space="0" w:color="auto"/>
                  <w:bottom w:val="single" w:sz="4" w:space="0" w:color="auto"/>
                  <w:right w:val="single" w:sz="4" w:space="0" w:color="auto"/>
                </w:tcBorders>
                <w:vAlign w:val="center"/>
              </w:tcPr>
              <w:p w14:paraId="33923CBA" w14:textId="77777777" w:rsidR="00577D08" w:rsidRDefault="00330FC0">
                <w:pPr>
                  <w:jc w:val="center"/>
                </w:pPr>
                <w:r>
                  <w:rPr>
                    <w:rFonts w:hint="eastAsia"/>
                  </w:rPr>
                  <w:t>金额</w:t>
                </w:r>
              </w:p>
            </w:tc>
          </w:sdtContent>
        </w:sdt>
        <w:sdt>
          <w:sdtPr>
            <w:tag w:val="_PLD_b2812c729f8b42eb8ec4be1270c8bef7"/>
            <w:id w:val="899478958"/>
          </w:sdtPr>
          <w:sdtContent>
            <w:tc>
              <w:tcPr>
                <w:tcW w:w="387" w:type="pct"/>
                <w:tcBorders>
                  <w:left w:val="single" w:sz="4" w:space="0" w:color="auto"/>
                  <w:bottom w:val="single" w:sz="4" w:space="0" w:color="auto"/>
                  <w:right w:val="single" w:sz="4" w:space="0" w:color="auto"/>
                </w:tcBorders>
                <w:vAlign w:val="center"/>
              </w:tcPr>
              <w:p w14:paraId="0C308005" w14:textId="77777777" w:rsidR="00577D08" w:rsidRDefault="00330FC0">
                <w:pPr>
                  <w:jc w:val="center"/>
                </w:pPr>
                <w:r>
                  <w:rPr>
                    <w:rFonts w:hint="eastAsia"/>
                  </w:rPr>
                  <w:t>比例</w:t>
                </w:r>
                <w:r>
                  <w:t>(%)</w:t>
                </w:r>
              </w:p>
            </w:tc>
          </w:sdtContent>
        </w:sdt>
        <w:sdt>
          <w:sdtPr>
            <w:tag w:val="_PLD_e53419d2dc934e91bc0da11a8e5064ef"/>
            <w:id w:val="709607847"/>
          </w:sdtPr>
          <w:sdtContent>
            <w:tc>
              <w:tcPr>
                <w:tcW w:w="412" w:type="pct"/>
                <w:tcBorders>
                  <w:left w:val="single" w:sz="4" w:space="0" w:color="auto"/>
                  <w:bottom w:val="single" w:sz="4" w:space="0" w:color="auto"/>
                  <w:right w:val="single" w:sz="4" w:space="0" w:color="auto"/>
                </w:tcBorders>
                <w:vAlign w:val="center"/>
              </w:tcPr>
              <w:p w14:paraId="3BABE821" w14:textId="77777777" w:rsidR="00577D08" w:rsidRDefault="00330FC0">
                <w:pPr>
                  <w:jc w:val="center"/>
                </w:pPr>
                <w:r>
                  <w:rPr>
                    <w:rFonts w:hint="eastAsia"/>
                  </w:rPr>
                  <w:t>金额</w:t>
                </w:r>
              </w:p>
            </w:tc>
          </w:sdtContent>
        </w:sdt>
        <w:sdt>
          <w:sdtPr>
            <w:tag w:val="_PLD_8fc1623422b24a81b3dc15cd79f7512f"/>
            <w:id w:val="-2065479803"/>
          </w:sdtPr>
          <w:sdtContent>
            <w:tc>
              <w:tcPr>
                <w:tcW w:w="371" w:type="pct"/>
                <w:tcBorders>
                  <w:left w:val="single" w:sz="4" w:space="0" w:color="auto"/>
                  <w:bottom w:val="single" w:sz="4" w:space="0" w:color="auto"/>
                  <w:right w:val="single" w:sz="4" w:space="0" w:color="auto"/>
                </w:tcBorders>
                <w:vAlign w:val="center"/>
              </w:tcPr>
              <w:p w14:paraId="4CF50930" w14:textId="77777777" w:rsidR="00577D08" w:rsidRDefault="00330FC0">
                <w:pPr>
                  <w:jc w:val="center"/>
                </w:pPr>
                <w:r>
                  <w:rPr>
                    <w:rFonts w:hint="eastAsia"/>
                  </w:rPr>
                  <w:t>计提比例</w:t>
                </w:r>
                <w:r>
                  <w:t>(%)</w:t>
                </w:r>
              </w:p>
            </w:tc>
          </w:sdtContent>
        </w:sdt>
        <w:tc>
          <w:tcPr>
            <w:tcW w:w="468" w:type="pct"/>
            <w:vMerge/>
            <w:tcBorders>
              <w:left w:val="single" w:sz="4" w:space="0" w:color="auto"/>
              <w:bottom w:val="single" w:sz="4" w:space="0" w:color="auto"/>
              <w:right w:val="single" w:sz="4" w:space="0" w:color="auto"/>
            </w:tcBorders>
            <w:vAlign w:val="center"/>
          </w:tcPr>
          <w:p w14:paraId="6F6E500D" w14:textId="77777777" w:rsidR="00577D08" w:rsidRDefault="00577D08">
            <w:pPr>
              <w:jc w:val="center"/>
            </w:pPr>
          </w:p>
        </w:tc>
        <w:sdt>
          <w:sdtPr>
            <w:tag w:val="_PLD_9f3942e9c0ba424695638f4161f4e42d"/>
            <w:id w:val="408347552"/>
          </w:sdtPr>
          <w:sdtContent>
            <w:tc>
              <w:tcPr>
                <w:tcW w:w="468" w:type="pct"/>
                <w:tcBorders>
                  <w:left w:val="single" w:sz="4" w:space="0" w:color="auto"/>
                  <w:bottom w:val="single" w:sz="4" w:space="0" w:color="auto"/>
                  <w:right w:val="single" w:sz="4" w:space="0" w:color="auto"/>
                </w:tcBorders>
                <w:vAlign w:val="center"/>
              </w:tcPr>
              <w:p w14:paraId="7601E5DA" w14:textId="77777777" w:rsidR="00577D08" w:rsidRDefault="00330FC0">
                <w:pPr>
                  <w:jc w:val="center"/>
                </w:pPr>
                <w:r>
                  <w:rPr>
                    <w:rFonts w:hint="eastAsia"/>
                  </w:rPr>
                  <w:t>金额</w:t>
                </w:r>
              </w:p>
            </w:tc>
          </w:sdtContent>
        </w:sdt>
        <w:sdt>
          <w:sdtPr>
            <w:tag w:val="_PLD_f3235b18b60547df8e3d3385802089f4"/>
            <w:id w:val="-458265587"/>
          </w:sdtPr>
          <w:sdtContent>
            <w:tc>
              <w:tcPr>
                <w:tcW w:w="398" w:type="pct"/>
                <w:tcBorders>
                  <w:left w:val="single" w:sz="4" w:space="0" w:color="auto"/>
                  <w:bottom w:val="single" w:sz="4" w:space="0" w:color="auto"/>
                  <w:right w:val="single" w:sz="4" w:space="0" w:color="auto"/>
                </w:tcBorders>
                <w:vAlign w:val="center"/>
              </w:tcPr>
              <w:p w14:paraId="41DBC206" w14:textId="77777777" w:rsidR="00577D08" w:rsidRDefault="00330FC0">
                <w:pPr>
                  <w:jc w:val="center"/>
                </w:pPr>
                <w:r>
                  <w:rPr>
                    <w:rFonts w:hint="eastAsia"/>
                  </w:rPr>
                  <w:t>比例</w:t>
                </w:r>
                <w:r>
                  <w:t>(%)</w:t>
                </w:r>
              </w:p>
            </w:tc>
          </w:sdtContent>
        </w:sdt>
        <w:sdt>
          <w:sdtPr>
            <w:tag w:val="_PLD_95314b7a1e474331887eccdfdd39852f"/>
            <w:id w:val="-2072185499"/>
          </w:sdtPr>
          <w:sdtContent>
            <w:tc>
              <w:tcPr>
                <w:tcW w:w="412" w:type="pct"/>
                <w:tcBorders>
                  <w:left w:val="single" w:sz="4" w:space="0" w:color="auto"/>
                  <w:bottom w:val="single" w:sz="4" w:space="0" w:color="auto"/>
                  <w:right w:val="single" w:sz="4" w:space="0" w:color="auto"/>
                </w:tcBorders>
                <w:vAlign w:val="center"/>
              </w:tcPr>
              <w:p w14:paraId="26AF3453" w14:textId="77777777" w:rsidR="00577D08" w:rsidRDefault="00330FC0">
                <w:pPr>
                  <w:jc w:val="center"/>
                </w:pPr>
                <w:r>
                  <w:rPr>
                    <w:rFonts w:hint="eastAsia"/>
                  </w:rPr>
                  <w:t>金额</w:t>
                </w:r>
              </w:p>
            </w:tc>
          </w:sdtContent>
        </w:sdt>
        <w:sdt>
          <w:sdtPr>
            <w:tag w:val="_PLD_39204f5cc16e488ba0242450ae9e4aad"/>
            <w:id w:val="-2085057105"/>
          </w:sdtPr>
          <w:sdtContent>
            <w:tc>
              <w:tcPr>
                <w:tcW w:w="399" w:type="pct"/>
                <w:tcBorders>
                  <w:left w:val="single" w:sz="4" w:space="0" w:color="auto"/>
                  <w:bottom w:val="single" w:sz="4" w:space="0" w:color="auto"/>
                  <w:right w:val="single" w:sz="4" w:space="0" w:color="auto"/>
                </w:tcBorders>
                <w:vAlign w:val="center"/>
              </w:tcPr>
              <w:p w14:paraId="2A772D52" w14:textId="77777777" w:rsidR="00577D08" w:rsidRDefault="00330FC0">
                <w:pPr>
                  <w:jc w:val="center"/>
                </w:pPr>
                <w:r>
                  <w:rPr>
                    <w:rFonts w:hint="eastAsia"/>
                  </w:rPr>
                  <w:t>计提比例</w:t>
                </w:r>
                <w:r>
                  <w:t>(%)</w:t>
                </w:r>
              </w:p>
            </w:tc>
          </w:sdtContent>
        </w:sdt>
        <w:tc>
          <w:tcPr>
            <w:tcW w:w="469" w:type="pct"/>
            <w:vMerge/>
            <w:tcBorders>
              <w:left w:val="single" w:sz="4" w:space="0" w:color="auto"/>
              <w:bottom w:val="single" w:sz="4" w:space="0" w:color="auto"/>
              <w:right w:val="single" w:sz="4" w:space="0" w:color="auto"/>
            </w:tcBorders>
            <w:vAlign w:val="center"/>
          </w:tcPr>
          <w:p w14:paraId="39125C1C" w14:textId="77777777" w:rsidR="00577D08" w:rsidRDefault="00577D08">
            <w:pPr>
              <w:jc w:val="center"/>
            </w:pPr>
          </w:p>
        </w:tc>
      </w:tr>
      <w:tr w:rsidR="00577D08" w14:paraId="627ED0D5" w14:textId="77777777">
        <w:trPr>
          <w:cantSplit/>
        </w:trPr>
        <w:tc>
          <w:tcPr>
            <w:tcW w:w="748" w:type="pct"/>
            <w:tcBorders>
              <w:top w:val="single" w:sz="4" w:space="0" w:color="auto"/>
              <w:left w:val="single" w:sz="4" w:space="0" w:color="auto"/>
              <w:bottom w:val="single" w:sz="4" w:space="0" w:color="auto"/>
              <w:right w:val="single" w:sz="4" w:space="0" w:color="auto"/>
            </w:tcBorders>
            <w:vAlign w:val="center"/>
          </w:tcPr>
          <w:p w14:paraId="791ABFBC" w14:textId="77777777" w:rsidR="00577D08" w:rsidRDefault="00330FC0">
            <w:r>
              <w:rPr>
                <w:rFonts w:hint="eastAsia"/>
              </w:rPr>
              <w:t>按单项计提坏账准备</w:t>
            </w:r>
          </w:p>
        </w:tc>
        <w:tc>
          <w:tcPr>
            <w:tcW w:w="468" w:type="pct"/>
            <w:tcBorders>
              <w:top w:val="single" w:sz="4" w:space="0" w:color="auto"/>
              <w:left w:val="single" w:sz="4" w:space="0" w:color="auto"/>
              <w:bottom w:val="single" w:sz="4" w:space="0" w:color="auto"/>
              <w:right w:val="single" w:sz="4" w:space="0" w:color="auto"/>
            </w:tcBorders>
            <w:vAlign w:val="center"/>
          </w:tcPr>
          <w:p w14:paraId="123A7ABF" w14:textId="77777777" w:rsidR="00577D08" w:rsidRDefault="00577D08">
            <w:pPr>
              <w:jc w:val="right"/>
            </w:pPr>
          </w:p>
        </w:tc>
        <w:tc>
          <w:tcPr>
            <w:tcW w:w="387" w:type="pct"/>
            <w:tcBorders>
              <w:top w:val="single" w:sz="4" w:space="0" w:color="auto"/>
              <w:left w:val="single" w:sz="4" w:space="0" w:color="auto"/>
              <w:bottom w:val="single" w:sz="4" w:space="0" w:color="auto"/>
              <w:right w:val="single" w:sz="4" w:space="0" w:color="auto"/>
            </w:tcBorders>
            <w:vAlign w:val="center"/>
          </w:tcPr>
          <w:p w14:paraId="6883B725" w14:textId="77777777" w:rsidR="00577D08" w:rsidRDefault="00577D08">
            <w:pPr>
              <w:jc w:val="right"/>
            </w:pPr>
          </w:p>
        </w:tc>
        <w:tc>
          <w:tcPr>
            <w:tcW w:w="412" w:type="pct"/>
            <w:tcBorders>
              <w:top w:val="single" w:sz="4" w:space="0" w:color="auto"/>
              <w:left w:val="single" w:sz="4" w:space="0" w:color="auto"/>
              <w:bottom w:val="single" w:sz="4" w:space="0" w:color="auto"/>
              <w:right w:val="single" w:sz="4" w:space="0" w:color="auto"/>
            </w:tcBorders>
            <w:vAlign w:val="center"/>
          </w:tcPr>
          <w:p w14:paraId="2015E467" w14:textId="77777777" w:rsidR="00577D08" w:rsidRDefault="00577D08">
            <w:pPr>
              <w:jc w:val="right"/>
            </w:pPr>
          </w:p>
        </w:tc>
        <w:tc>
          <w:tcPr>
            <w:tcW w:w="371" w:type="pct"/>
            <w:tcBorders>
              <w:top w:val="single" w:sz="4" w:space="0" w:color="auto"/>
              <w:left w:val="single" w:sz="4" w:space="0" w:color="auto"/>
              <w:bottom w:val="single" w:sz="4" w:space="0" w:color="auto"/>
              <w:right w:val="single" w:sz="4" w:space="0" w:color="auto"/>
            </w:tcBorders>
            <w:vAlign w:val="center"/>
          </w:tcPr>
          <w:p w14:paraId="02E814B8" w14:textId="77777777" w:rsidR="00577D08" w:rsidRDefault="00577D08">
            <w:pPr>
              <w:jc w:val="right"/>
            </w:pPr>
          </w:p>
        </w:tc>
        <w:tc>
          <w:tcPr>
            <w:tcW w:w="468" w:type="pct"/>
            <w:tcBorders>
              <w:top w:val="single" w:sz="4" w:space="0" w:color="auto"/>
              <w:left w:val="single" w:sz="4" w:space="0" w:color="auto"/>
              <w:bottom w:val="single" w:sz="4" w:space="0" w:color="auto"/>
              <w:right w:val="single" w:sz="4" w:space="0" w:color="auto"/>
            </w:tcBorders>
            <w:vAlign w:val="center"/>
          </w:tcPr>
          <w:p w14:paraId="1C6F8D65" w14:textId="77777777" w:rsidR="00577D08" w:rsidRDefault="00577D08">
            <w:pPr>
              <w:jc w:val="right"/>
            </w:pPr>
          </w:p>
        </w:tc>
        <w:tc>
          <w:tcPr>
            <w:tcW w:w="468" w:type="pct"/>
            <w:tcBorders>
              <w:top w:val="single" w:sz="4" w:space="0" w:color="auto"/>
              <w:left w:val="single" w:sz="4" w:space="0" w:color="auto"/>
              <w:bottom w:val="single" w:sz="4" w:space="0" w:color="auto"/>
              <w:right w:val="single" w:sz="4" w:space="0" w:color="auto"/>
            </w:tcBorders>
            <w:vAlign w:val="center"/>
          </w:tcPr>
          <w:p w14:paraId="7E901828" w14:textId="77777777" w:rsidR="00577D08" w:rsidRDefault="00577D08">
            <w:pPr>
              <w:jc w:val="right"/>
            </w:pPr>
          </w:p>
        </w:tc>
        <w:tc>
          <w:tcPr>
            <w:tcW w:w="398" w:type="pct"/>
            <w:tcBorders>
              <w:top w:val="single" w:sz="4" w:space="0" w:color="auto"/>
              <w:left w:val="single" w:sz="4" w:space="0" w:color="auto"/>
              <w:bottom w:val="single" w:sz="4" w:space="0" w:color="auto"/>
              <w:right w:val="single" w:sz="4" w:space="0" w:color="auto"/>
            </w:tcBorders>
            <w:vAlign w:val="center"/>
          </w:tcPr>
          <w:p w14:paraId="78FBBDC6" w14:textId="77777777" w:rsidR="00577D08" w:rsidRDefault="00577D08">
            <w:pPr>
              <w:jc w:val="right"/>
            </w:pPr>
          </w:p>
        </w:tc>
        <w:tc>
          <w:tcPr>
            <w:tcW w:w="412" w:type="pct"/>
            <w:tcBorders>
              <w:top w:val="single" w:sz="4" w:space="0" w:color="auto"/>
              <w:left w:val="single" w:sz="4" w:space="0" w:color="auto"/>
              <w:bottom w:val="single" w:sz="4" w:space="0" w:color="auto"/>
              <w:right w:val="single" w:sz="4" w:space="0" w:color="auto"/>
            </w:tcBorders>
            <w:vAlign w:val="center"/>
          </w:tcPr>
          <w:p w14:paraId="6CAC4FE2" w14:textId="77777777" w:rsidR="00577D08" w:rsidRDefault="00577D08">
            <w:pPr>
              <w:jc w:val="right"/>
            </w:pPr>
          </w:p>
        </w:tc>
        <w:tc>
          <w:tcPr>
            <w:tcW w:w="399" w:type="pct"/>
            <w:tcBorders>
              <w:top w:val="single" w:sz="4" w:space="0" w:color="auto"/>
              <w:left w:val="single" w:sz="4" w:space="0" w:color="auto"/>
              <w:bottom w:val="single" w:sz="4" w:space="0" w:color="auto"/>
              <w:right w:val="single" w:sz="4" w:space="0" w:color="auto"/>
            </w:tcBorders>
            <w:vAlign w:val="center"/>
          </w:tcPr>
          <w:p w14:paraId="29819427" w14:textId="77777777" w:rsidR="00577D08" w:rsidRDefault="00577D08">
            <w:pPr>
              <w:jc w:val="right"/>
            </w:pPr>
          </w:p>
        </w:tc>
        <w:tc>
          <w:tcPr>
            <w:tcW w:w="469" w:type="pct"/>
            <w:tcBorders>
              <w:top w:val="single" w:sz="4" w:space="0" w:color="auto"/>
              <w:left w:val="single" w:sz="4" w:space="0" w:color="auto"/>
              <w:bottom w:val="single" w:sz="4" w:space="0" w:color="auto"/>
              <w:right w:val="single" w:sz="4" w:space="0" w:color="auto"/>
            </w:tcBorders>
            <w:vAlign w:val="center"/>
          </w:tcPr>
          <w:p w14:paraId="6B1D6A2B" w14:textId="77777777" w:rsidR="00577D08" w:rsidRDefault="00577D08">
            <w:pPr>
              <w:jc w:val="right"/>
            </w:pPr>
          </w:p>
        </w:tc>
      </w:tr>
      <w:tr w:rsidR="00577D08" w14:paraId="447E999A" w14:textId="77777777">
        <w:trPr>
          <w:cantSplit/>
        </w:trPr>
        <w:tc>
          <w:tcPr>
            <w:tcW w:w="5000" w:type="pct"/>
            <w:gridSpan w:val="11"/>
            <w:tcBorders>
              <w:top w:val="single" w:sz="4" w:space="0" w:color="auto"/>
              <w:left w:val="single" w:sz="4" w:space="0" w:color="auto"/>
              <w:bottom w:val="single" w:sz="4" w:space="0" w:color="auto"/>
              <w:right w:val="single" w:sz="4" w:space="0" w:color="auto"/>
            </w:tcBorders>
            <w:vAlign w:val="center"/>
          </w:tcPr>
          <w:sdt>
            <w:sdtPr>
              <w:tag w:val="_PLD_34974f3c7fb04e16a1fe7aa4186d9a25"/>
              <w:id w:val="-782487974"/>
            </w:sdtPr>
            <w:sdtContent>
              <w:p w14:paraId="361E53B8" w14:textId="77777777" w:rsidR="00577D08" w:rsidRDefault="00330FC0">
                <w:r>
                  <w:rPr>
                    <w:rFonts w:hint="eastAsia"/>
                  </w:rPr>
                  <w:t>其中：</w:t>
                </w:r>
              </w:p>
            </w:sdtContent>
          </w:sdt>
        </w:tc>
      </w:tr>
      <w:tr w:rsidR="00577D08" w14:paraId="6C63412D" w14:textId="77777777">
        <w:trPr>
          <w:cantSplit/>
        </w:trPr>
        <w:tc>
          <w:tcPr>
            <w:tcW w:w="748" w:type="pct"/>
            <w:tcBorders>
              <w:top w:val="single" w:sz="4" w:space="0" w:color="auto"/>
              <w:left w:val="single" w:sz="4" w:space="0" w:color="auto"/>
              <w:bottom w:val="single" w:sz="4" w:space="0" w:color="auto"/>
              <w:right w:val="single" w:sz="4" w:space="0" w:color="auto"/>
            </w:tcBorders>
            <w:vAlign w:val="center"/>
          </w:tcPr>
          <w:p w14:paraId="47D78807" w14:textId="77777777" w:rsidR="00577D08" w:rsidRDefault="00330FC0">
            <w:r>
              <w:rPr>
                <w:rFonts w:hint="eastAsia"/>
              </w:rPr>
              <w:t>按组合计提坏账准备</w:t>
            </w:r>
          </w:p>
        </w:tc>
        <w:tc>
          <w:tcPr>
            <w:tcW w:w="468" w:type="pct"/>
            <w:tcBorders>
              <w:top w:val="single" w:sz="4" w:space="0" w:color="auto"/>
              <w:left w:val="single" w:sz="4" w:space="0" w:color="auto"/>
              <w:bottom w:val="single" w:sz="4" w:space="0" w:color="auto"/>
              <w:right w:val="single" w:sz="4" w:space="0" w:color="auto"/>
            </w:tcBorders>
          </w:tcPr>
          <w:p w14:paraId="328A61A4" w14:textId="77777777" w:rsidR="00577D08" w:rsidRDefault="00330FC0">
            <w:pPr>
              <w:jc w:val="right"/>
            </w:pPr>
            <w:r>
              <w:t>4,481,595.34</w:t>
            </w:r>
          </w:p>
        </w:tc>
        <w:tc>
          <w:tcPr>
            <w:tcW w:w="387" w:type="pct"/>
            <w:tcBorders>
              <w:top w:val="single" w:sz="4" w:space="0" w:color="auto"/>
              <w:left w:val="single" w:sz="4" w:space="0" w:color="auto"/>
              <w:bottom w:val="single" w:sz="4" w:space="0" w:color="auto"/>
              <w:right w:val="single" w:sz="4" w:space="0" w:color="auto"/>
            </w:tcBorders>
          </w:tcPr>
          <w:p w14:paraId="01D0960A"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tcPr>
          <w:p w14:paraId="3A18BFB8" w14:textId="77777777" w:rsidR="00577D08" w:rsidRDefault="00330FC0">
            <w:pPr>
              <w:jc w:val="right"/>
            </w:pPr>
            <w:r>
              <w:t>839,509.75</w:t>
            </w:r>
          </w:p>
        </w:tc>
        <w:tc>
          <w:tcPr>
            <w:tcW w:w="371" w:type="pct"/>
            <w:tcBorders>
              <w:top w:val="single" w:sz="4" w:space="0" w:color="auto"/>
              <w:left w:val="single" w:sz="4" w:space="0" w:color="auto"/>
              <w:bottom w:val="single" w:sz="4" w:space="0" w:color="auto"/>
              <w:right w:val="single" w:sz="4" w:space="0" w:color="auto"/>
            </w:tcBorders>
          </w:tcPr>
          <w:p w14:paraId="627FD7A0" w14:textId="77777777" w:rsidR="00577D08" w:rsidRDefault="00330FC0">
            <w:pPr>
              <w:jc w:val="right"/>
            </w:pPr>
            <w:r>
              <w:t>18.73</w:t>
            </w:r>
          </w:p>
        </w:tc>
        <w:tc>
          <w:tcPr>
            <w:tcW w:w="468" w:type="pct"/>
            <w:tcBorders>
              <w:top w:val="single" w:sz="4" w:space="0" w:color="auto"/>
              <w:left w:val="single" w:sz="4" w:space="0" w:color="auto"/>
              <w:bottom w:val="single" w:sz="4" w:space="0" w:color="auto"/>
              <w:right w:val="single" w:sz="4" w:space="0" w:color="auto"/>
            </w:tcBorders>
          </w:tcPr>
          <w:p w14:paraId="5D80078A" w14:textId="77777777" w:rsidR="00577D08" w:rsidRDefault="00330FC0">
            <w:pPr>
              <w:jc w:val="right"/>
            </w:pPr>
            <w:r>
              <w:t>3,642,085.59</w:t>
            </w:r>
          </w:p>
        </w:tc>
        <w:tc>
          <w:tcPr>
            <w:tcW w:w="468" w:type="pct"/>
            <w:tcBorders>
              <w:top w:val="single" w:sz="4" w:space="0" w:color="auto"/>
              <w:left w:val="single" w:sz="4" w:space="0" w:color="auto"/>
              <w:bottom w:val="single" w:sz="4" w:space="0" w:color="auto"/>
              <w:right w:val="single" w:sz="4" w:space="0" w:color="auto"/>
            </w:tcBorders>
          </w:tcPr>
          <w:p w14:paraId="13AE20FD" w14:textId="77777777" w:rsidR="00577D08" w:rsidRDefault="00330FC0">
            <w:pPr>
              <w:jc w:val="right"/>
            </w:pPr>
            <w:r>
              <w:t>6,311,778.05</w:t>
            </w:r>
          </w:p>
        </w:tc>
        <w:tc>
          <w:tcPr>
            <w:tcW w:w="398" w:type="pct"/>
            <w:tcBorders>
              <w:top w:val="single" w:sz="4" w:space="0" w:color="auto"/>
              <w:left w:val="single" w:sz="4" w:space="0" w:color="auto"/>
              <w:bottom w:val="single" w:sz="4" w:space="0" w:color="auto"/>
              <w:right w:val="single" w:sz="4" w:space="0" w:color="auto"/>
            </w:tcBorders>
          </w:tcPr>
          <w:p w14:paraId="1A3433F3"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tcPr>
          <w:p w14:paraId="5FB9A0EE" w14:textId="77777777" w:rsidR="00577D08" w:rsidRDefault="00330FC0">
            <w:pPr>
              <w:jc w:val="right"/>
            </w:pPr>
            <w:r>
              <w:t>628,053.16</w:t>
            </w:r>
          </w:p>
        </w:tc>
        <w:tc>
          <w:tcPr>
            <w:tcW w:w="399" w:type="pct"/>
            <w:tcBorders>
              <w:top w:val="single" w:sz="4" w:space="0" w:color="auto"/>
              <w:left w:val="single" w:sz="4" w:space="0" w:color="auto"/>
              <w:bottom w:val="single" w:sz="4" w:space="0" w:color="auto"/>
              <w:right w:val="single" w:sz="4" w:space="0" w:color="auto"/>
            </w:tcBorders>
          </w:tcPr>
          <w:p w14:paraId="6F5FB861" w14:textId="77777777" w:rsidR="00577D08" w:rsidRDefault="00330FC0">
            <w:pPr>
              <w:jc w:val="right"/>
            </w:pPr>
            <w:r>
              <w:t>9.95</w:t>
            </w:r>
          </w:p>
        </w:tc>
        <w:tc>
          <w:tcPr>
            <w:tcW w:w="469" w:type="pct"/>
            <w:tcBorders>
              <w:top w:val="single" w:sz="4" w:space="0" w:color="auto"/>
              <w:left w:val="single" w:sz="4" w:space="0" w:color="auto"/>
              <w:bottom w:val="single" w:sz="4" w:space="0" w:color="auto"/>
              <w:right w:val="single" w:sz="4" w:space="0" w:color="auto"/>
            </w:tcBorders>
          </w:tcPr>
          <w:p w14:paraId="46314CFC" w14:textId="77777777" w:rsidR="00577D08" w:rsidRDefault="00330FC0">
            <w:pPr>
              <w:jc w:val="right"/>
            </w:pPr>
            <w:r>
              <w:t>5,683,724.89</w:t>
            </w:r>
          </w:p>
        </w:tc>
      </w:tr>
      <w:tr w:rsidR="00577D08" w14:paraId="3D92B762" w14:textId="77777777">
        <w:trPr>
          <w:cantSplit/>
        </w:trPr>
        <w:tc>
          <w:tcPr>
            <w:tcW w:w="5000" w:type="pct"/>
            <w:gridSpan w:val="11"/>
            <w:tcBorders>
              <w:top w:val="single" w:sz="4" w:space="0" w:color="auto"/>
              <w:left w:val="single" w:sz="4" w:space="0" w:color="auto"/>
              <w:bottom w:val="single" w:sz="4" w:space="0" w:color="auto"/>
              <w:right w:val="single" w:sz="4" w:space="0" w:color="auto"/>
            </w:tcBorders>
            <w:vAlign w:val="center"/>
          </w:tcPr>
          <w:sdt>
            <w:sdtPr>
              <w:tag w:val="_PLD_ad470efcf54b471d8dc2d7182e6ecb22"/>
              <w:id w:val="1933780334"/>
            </w:sdtPr>
            <w:sdtContent>
              <w:p w14:paraId="36C84F30" w14:textId="77777777" w:rsidR="00577D08" w:rsidRDefault="00330FC0">
                <w:r>
                  <w:rPr>
                    <w:rFonts w:hint="eastAsia"/>
                  </w:rPr>
                  <w:t>其中：</w:t>
                </w:r>
              </w:p>
            </w:sdtContent>
          </w:sdt>
        </w:tc>
      </w:tr>
      <w:tr w:rsidR="00577D08" w14:paraId="03A29ADB" w14:textId="77777777">
        <w:trPr>
          <w:cantSplit/>
        </w:trPr>
        <w:sdt>
          <w:sdtPr>
            <w:alias w:val="按组合计提坏账准备的明细-类别"/>
            <w:tag w:val="_GBC_e6d2224258b44ee19fe7c5d33300feb7"/>
            <w:id w:val="1029144283"/>
          </w:sdtPr>
          <w:sdtContent>
            <w:tc>
              <w:tcPr>
                <w:tcW w:w="748" w:type="pct"/>
                <w:tcBorders>
                  <w:top w:val="single" w:sz="4" w:space="0" w:color="auto"/>
                  <w:left w:val="single" w:sz="4" w:space="0" w:color="auto"/>
                  <w:bottom w:val="single" w:sz="4" w:space="0" w:color="auto"/>
                  <w:right w:val="single" w:sz="4" w:space="0" w:color="auto"/>
                </w:tcBorders>
                <w:vAlign w:val="center"/>
              </w:tcPr>
              <w:p w14:paraId="4092075D" w14:textId="77777777" w:rsidR="00577D08" w:rsidRDefault="00330FC0">
                <w:pPr>
                  <w:jc w:val="both"/>
                </w:pPr>
                <w:r>
                  <w:rPr>
                    <w:rFonts w:hint="eastAsia"/>
                  </w:rPr>
                  <w:t>账龄组合</w:t>
                </w:r>
              </w:p>
            </w:tc>
          </w:sdtContent>
        </w:sdt>
        <w:tc>
          <w:tcPr>
            <w:tcW w:w="468" w:type="pct"/>
            <w:tcBorders>
              <w:top w:val="single" w:sz="4" w:space="0" w:color="auto"/>
              <w:left w:val="single" w:sz="4" w:space="0" w:color="auto"/>
              <w:bottom w:val="single" w:sz="4" w:space="0" w:color="auto"/>
              <w:right w:val="single" w:sz="4" w:space="0" w:color="auto"/>
            </w:tcBorders>
          </w:tcPr>
          <w:p w14:paraId="3D314FAE" w14:textId="77777777" w:rsidR="00577D08" w:rsidRDefault="00330FC0">
            <w:pPr>
              <w:jc w:val="right"/>
            </w:pPr>
            <w:r>
              <w:t>4,481,595.34</w:t>
            </w:r>
          </w:p>
        </w:tc>
        <w:tc>
          <w:tcPr>
            <w:tcW w:w="387" w:type="pct"/>
            <w:tcBorders>
              <w:top w:val="single" w:sz="4" w:space="0" w:color="auto"/>
              <w:left w:val="single" w:sz="4" w:space="0" w:color="auto"/>
              <w:bottom w:val="single" w:sz="4" w:space="0" w:color="auto"/>
              <w:right w:val="single" w:sz="4" w:space="0" w:color="auto"/>
            </w:tcBorders>
          </w:tcPr>
          <w:p w14:paraId="27CA9856"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tcPr>
          <w:p w14:paraId="2242D1B8" w14:textId="77777777" w:rsidR="00577D08" w:rsidRDefault="00330FC0">
            <w:pPr>
              <w:jc w:val="right"/>
            </w:pPr>
            <w:r>
              <w:t>839,509.75</w:t>
            </w:r>
          </w:p>
        </w:tc>
        <w:tc>
          <w:tcPr>
            <w:tcW w:w="371" w:type="pct"/>
            <w:tcBorders>
              <w:top w:val="single" w:sz="4" w:space="0" w:color="auto"/>
              <w:left w:val="single" w:sz="4" w:space="0" w:color="auto"/>
              <w:bottom w:val="single" w:sz="4" w:space="0" w:color="auto"/>
              <w:right w:val="single" w:sz="4" w:space="0" w:color="auto"/>
            </w:tcBorders>
          </w:tcPr>
          <w:p w14:paraId="78743557" w14:textId="77777777" w:rsidR="00577D08" w:rsidRDefault="00330FC0">
            <w:pPr>
              <w:jc w:val="right"/>
            </w:pPr>
            <w:r>
              <w:t>18.73</w:t>
            </w:r>
          </w:p>
        </w:tc>
        <w:tc>
          <w:tcPr>
            <w:tcW w:w="468" w:type="pct"/>
            <w:tcBorders>
              <w:top w:val="single" w:sz="4" w:space="0" w:color="auto"/>
              <w:left w:val="single" w:sz="4" w:space="0" w:color="auto"/>
              <w:bottom w:val="single" w:sz="4" w:space="0" w:color="auto"/>
              <w:right w:val="single" w:sz="4" w:space="0" w:color="auto"/>
            </w:tcBorders>
          </w:tcPr>
          <w:p w14:paraId="1D2F3EF9" w14:textId="77777777" w:rsidR="00577D08" w:rsidRDefault="00330FC0">
            <w:pPr>
              <w:jc w:val="right"/>
            </w:pPr>
            <w:r>
              <w:t>3,642,085.59</w:t>
            </w:r>
          </w:p>
        </w:tc>
        <w:tc>
          <w:tcPr>
            <w:tcW w:w="468" w:type="pct"/>
            <w:tcBorders>
              <w:top w:val="single" w:sz="4" w:space="0" w:color="auto"/>
              <w:left w:val="single" w:sz="4" w:space="0" w:color="auto"/>
              <w:bottom w:val="single" w:sz="4" w:space="0" w:color="auto"/>
              <w:right w:val="single" w:sz="4" w:space="0" w:color="auto"/>
            </w:tcBorders>
          </w:tcPr>
          <w:p w14:paraId="388F8D61" w14:textId="77777777" w:rsidR="00577D08" w:rsidRDefault="00330FC0">
            <w:pPr>
              <w:jc w:val="right"/>
            </w:pPr>
            <w:r>
              <w:t>6,311,778.05</w:t>
            </w:r>
          </w:p>
        </w:tc>
        <w:tc>
          <w:tcPr>
            <w:tcW w:w="398" w:type="pct"/>
            <w:tcBorders>
              <w:top w:val="single" w:sz="4" w:space="0" w:color="auto"/>
              <w:left w:val="single" w:sz="4" w:space="0" w:color="auto"/>
              <w:bottom w:val="single" w:sz="4" w:space="0" w:color="auto"/>
              <w:right w:val="single" w:sz="4" w:space="0" w:color="auto"/>
            </w:tcBorders>
          </w:tcPr>
          <w:p w14:paraId="762FA18B"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tcPr>
          <w:p w14:paraId="1C555380" w14:textId="77777777" w:rsidR="00577D08" w:rsidRDefault="00330FC0">
            <w:pPr>
              <w:jc w:val="right"/>
            </w:pPr>
            <w:r>
              <w:t>628,053.16</w:t>
            </w:r>
          </w:p>
        </w:tc>
        <w:tc>
          <w:tcPr>
            <w:tcW w:w="399" w:type="pct"/>
            <w:tcBorders>
              <w:top w:val="single" w:sz="4" w:space="0" w:color="auto"/>
              <w:left w:val="single" w:sz="4" w:space="0" w:color="auto"/>
              <w:bottom w:val="single" w:sz="4" w:space="0" w:color="auto"/>
              <w:right w:val="single" w:sz="4" w:space="0" w:color="auto"/>
            </w:tcBorders>
          </w:tcPr>
          <w:p w14:paraId="10710EAC" w14:textId="77777777" w:rsidR="00577D08" w:rsidRDefault="00330FC0">
            <w:pPr>
              <w:jc w:val="right"/>
            </w:pPr>
            <w:r>
              <w:t>9.95</w:t>
            </w:r>
          </w:p>
        </w:tc>
        <w:tc>
          <w:tcPr>
            <w:tcW w:w="469" w:type="pct"/>
            <w:tcBorders>
              <w:top w:val="single" w:sz="4" w:space="0" w:color="auto"/>
              <w:left w:val="single" w:sz="4" w:space="0" w:color="auto"/>
              <w:bottom w:val="single" w:sz="4" w:space="0" w:color="auto"/>
              <w:right w:val="single" w:sz="4" w:space="0" w:color="auto"/>
            </w:tcBorders>
          </w:tcPr>
          <w:p w14:paraId="5C4CA6A9" w14:textId="77777777" w:rsidR="00577D08" w:rsidRDefault="00330FC0">
            <w:pPr>
              <w:jc w:val="right"/>
            </w:pPr>
            <w:r>
              <w:t>5,683,724.89</w:t>
            </w:r>
          </w:p>
        </w:tc>
      </w:tr>
      <w:tr w:rsidR="00577D08" w14:paraId="1ED6DB0A" w14:textId="77777777">
        <w:trPr>
          <w:cantSplit/>
        </w:trPr>
        <w:tc>
          <w:tcPr>
            <w:tcW w:w="748" w:type="pct"/>
            <w:tcBorders>
              <w:top w:val="single" w:sz="4" w:space="0" w:color="auto"/>
              <w:left w:val="single" w:sz="4" w:space="0" w:color="auto"/>
              <w:bottom w:val="single" w:sz="4" w:space="0" w:color="auto"/>
              <w:right w:val="single" w:sz="4" w:space="0" w:color="auto"/>
            </w:tcBorders>
            <w:vAlign w:val="center"/>
          </w:tcPr>
          <w:p w14:paraId="101B87E5" w14:textId="77777777" w:rsidR="00577D08" w:rsidRDefault="00330FC0">
            <w:pPr>
              <w:autoSpaceDE w:val="0"/>
              <w:autoSpaceDN w:val="0"/>
              <w:adjustRightInd w:val="0"/>
              <w:jc w:val="center"/>
            </w:pPr>
            <w:r>
              <w:rPr>
                <w:rFonts w:hint="eastAsia"/>
              </w:rPr>
              <w:t>合计</w:t>
            </w:r>
          </w:p>
        </w:tc>
        <w:tc>
          <w:tcPr>
            <w:tcW w:w="468" w:type="pct"/>
            <w:tcBorders>
              <w:top w:val="single" w:sz="4" w:space="0" w:color="auto"/>
              <w:left w:val="single" w:sz="4" w:space="0" w:color="auto"/>
              <w:bottom w:val="single" w:sz="4" w:space="0" w:color="auto"/>
              <w:right w:val="single" w:sz="4" w:space="0" w:color="auto"/>
            </w:tcBorders>
            <w:vAlign w:val="center"/>
          </w:tcPr>
          <w:p w14:paraId="0B3928D9" w14:textId="77777777" w:rsidR="00577D08" w:rsidRDefault="00330FC0">
            <w:pPr>
              <w:jc w:val="right"/>
            </w:pPr>
            <w:r>
              <w:t>4,481,595.34</w:t>
            </w:r>
          </w:p>
        </w:tc>
        <w:tc>
          <w:tcPr>
            <w:tcW w:w="387" w:type="pct"/>
            <w:tcBorders>
              <w:top w:val="single" w:sz="4" w:space="0" w:color="auto"/>
              <w:left w:val="single" w:sz="4" w:space="0" w:color="auto"/>
              <w:bottom w:val="single" w:sz="4" w:space="0" w:color="auto"/>
              <w:right w:val="single" w:sz="4" w:space="0" w:color="auto"/>
            </w:tcBorders>
            <w:vAlign w:val="center"/>
          </w:tcPr>
          <w:p w14:paraId="2AE0B957"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vAlign w:val="center"/>
          </w:tcPr>
          <w:p w14:paraId="0A331467" w14:textId="77777777" w:rsidR="00577D08" w:rsidRDefault="00330FC0">
            <w:pPr>
              <w:jc w:val="right"/>
            </w:pPr>
            <w:r>
              <w:t>839,509.75</w:t>
            </w:r>
          </w:p>
        </w:tc>
        <w:tc>
          <w:tcPr>
            <w:tcW w:w="371" w:type="pct"/>
            <w:tcBorders>
              <w:top w:val="single" w:sz="4" w:space="0" w:color="auto"/>
              <w:left w:val="single" w:sz="4" w:space="0" w:color="auto"/>
              <w:bottom w:val="single" w:sz="4" w:space="0" w:color="auto"/>
              <w:right w:val="single" w:sz="4" w:space="0" w:color="auto"/>
            </w:tcBorders>
            <w:vAlign w:val="center"/>
          </w:tcPr>
          <w:p w14:paraId="64A26611" w14:textId="77777777" w:rsidR="00577D08" w:rsidRDefault="00330FC0">
            <w:pPr>
              <w:jc w:val="right"/>
            </w:pPr>
            <w:r>
              <w:t>18.73</w:t>
            </w:r>
          </w:p>
        </w:tc>
        <w:tc>
          <w:tcPr>
            <w:tcW w:w="468" w:type="pct"/>
            <w:tcBorders>
              <w:top w:val="single" w:sz="4" w:space="0" w:color="auto"/>
              <w:left w:val="single" w:sz="4" w:space="0" w:color="auto"/>
              <w:bottom w:val="single" w:sz="4" w:space="0" w:color="auto"/>
              <w:right w:val="single" w:sz="4" w:space="0" w:color="auto"/>
            </w:tcBorders>
            <w:vAlign w:val="center"/>
          </w:tcPr>
          <w:p w14:paraId="45329249" w14:textId="77777777" w:rsidR="00577D08" w:rsidRDefault="00330FC0">
            <w:pPr>
              <w:jc w:val="right"/>
            </w:pPr>
            <w:r>
              <w:t>3,642,085.59</w:t>
            </w:r>
          </w:p>
        </w:tc>
        <w:tc>
          <w:tcPr>
            <w:tcW w:w="468" w:type="pct"/>
            <w:tcBorders>
              <w:top w:val="single" w:sz="4" w:space="0" w:color="auto"/>
              <w:left w:val="single" w:sz="4" w:space="0" w:color="auto"/>
              <w:bottom w:val="single" w:sz="4" w:space="0" w:color="auto"/>
              <w:right w:val="single" w:sz="4" w:space="0" w:color="auto"/>
            </w:tcBorders>
            <w:vAlign w:val="center"/>
          </w:tcPr>
          <w:p w14:paraId="4022DAE1" w14:textId="77777777" w:rsidR="00577D08" w:rsidRDefault="00330FC0">
            <w:pPr>
              <w:jc w:val="right"/>
            </w:pPr>
            <w:r>
              <w:t>6,311,778.05</w:t>
            </w:r>
          </w:p>
        </w:tc>
        <w:tc>
          <w:tcPr>
            <w:tcW w:w="398" w:type="pct"/>
            <w:tcBorders>
              <w:top w:val="single" w:sz="4" w:space="0" w:color="auto"/>
              <w:left w:val="single" w:sz="4" w:space="0" w:color="auto"/>
              <w:bottom w:val="single" w:sz="4" w:space="0" w:color="auto"/>
              <w:right w:val="single" w:sz="4" w:space="0" w:color="auto"/>
            </w:tcBorders>
            <w:vAlign w:val="center"/>
          </w:tcPr>
          <w:p w14:paraId="1433B3D8" w14:textId="77777777" w:rsidR="00577D08" w:rsidRDefault="00330FC0">
            <w:pPr>
              <w:jc w:val="right"/>
            </w:pPr>
            <w:r>
              <w:t>100.00</w:t>
            </w:r>
          </w:p>
        </w:tc>
        <w:tc>
          <w:tcPr>
            <w:tcW w:w="412" w:type="pct"/>
            <w:tcBorders>
              <w:top w:val="single" w:sz="4" w:space="0" w:color="auto"/>
              <w:left w:val="single" w:sz="4" w:space="0" w:color="auto"/>
              <w:bottom w:val="single" w:sz="4" w:space="0" w:color="auto"/>
              <w:right w:val="single" w:sz="4" w:space="0" w:color="auto"/>
            </w:tcBorders>
            <w:vAlign w:val="center"/>
          </w:tcPr>
          <w:p w14:paraId="1E873199" w14:textId="77777777" w:rsidR="00577D08" w:rsidRDefault="00330FC0">
            <w:pPr>
              <w:jc w:val="right"/>
            </w:pPr>
            <w:r>
              <w:t>628,053.16</w:t>
            </w:r>
          </w:p>
        </w:tc>
        <w:tc>
          <w:tcPr>
            <w:tcW w:w="399" w:type="pct"/>
            <w:tcBorders>
              <w:top w:val="single" w:sz="4" w:space="0" w:color="auto"/>
              <w:left w:val="single" w:sz="4" w:space="0" w:color="auto"/>
              <w:bottom w:val="single" w:sz="4" w:space="0" w:color="auto"/>
              <w:right w:val="single" w:sz="4" w:space="0" w:color="auto"/>
            </w:tcBorders>
            <w:vAlign w:val="center"/>
          </w:tcPr>
          <w:p w14:paraId="4386830A" w14:textId="77777777" w:rsidR="00577D08" w:rsidRDefault="00330FC0">
            <w:pPr>
              <w:jc w:val="right"/>
            </w:pPr>
            <w:r>
              <w:t>9.95</w:t>
            </w:r>
          </w:p>
        </w:tc>
        <w:tc>
          <w:tcPr>
            <w:tcW w:w="469" w:type="pct"/>
            <w:tcBorders>
              <w:top w:val="single" w:sz="4" w:space="0" w:color="auto"/>
              <w:left w:val="single" w:sz="4" w:space="0" w:color="auto"/>
              <w:bottom w:val="single" w:sz="4" w:space="0" w:color="auto"/>
              <w:right w:val="single" w:sz="4" w:space="0" w:color="auto"/>
            </w:tcBorders>
            <w:vAlign w:val="center"/>
          </w:tcPr>
          <w:p w14:paraId="1A5DE2EA" w14:textId="77777777" w:rsidR="00577D08" w:rsidRDefault="00330FC0">
            <w:pPr>
              <w:jc w:val="right"/>
            </w:pPr>
            <w:r>
              <w:t>5,683,724.89</w:t>
            </w:r>
          </w:p>
        </w:tc>
      </w:tr>
    </w:tbl>
    <w:p w14:paraId="339DD2AB" w14:textId="77777777" w:rsidR="00577D08" w:rsidRDefault="00330FC0">
      <w:r>
        <w:rPr>
          <w:rFonts w:hint="eastAsia"/>
        </w:rPr>
        <w:t>按单项计提坏账准备：</w:t>
      </w:r>
    </w:p>
    <w:sdt>
      <w:sdtPr>
        <w:alias w:val="是否适用：按单项计提坏账准备的详细情况[双击切换]"/>
        <w:tag w:val="_GBC_19243c464e23496a87380a02fccd7f4a"/>
        <w:id w:val="1627205141"/>
        <w:placeholder>
          <w:docPart w:val="GBC22222222222222222222222222222"/>
        </w:placeholder>
      </w:sdtPr>
      <w:sdtContent>
        <w:p w14:paraId="48A7C14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6AE0AB1" w14:textId="77777777" w:rsidR="00577D08" w:rsidRDefault="00330FC0">
      <w:r>
        <w:rPr>
          <w:rFonts w:hint="eastAsia"/>
        </w:rPr>
        <w:t>按单项计提坏账准备的说明：</w:t>
      </w:r>
    </w:p>
    <w:sdt>
      <w:sdtPr>
        <w:alias w:val="是否适用：按单项计提坏账准备的说明[双击切换]"/>
        <w:tag w:val="_GBC_ee6f2bb0912a4ff4a6aa0561400844a8"/>
        <w:id w:val="710849715"/>
        <w:placeholder>
          <w:docPart w:val="GBC22222222222222222222222222222"/>
        </w:placeholder>
      </w:sdtPr>
      <w:sdtContent>
        <w:p w14:paraId="3DDD22F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92F81A" w14:textId="77777777" w:rsidR="00577D08" w:rsidRDefault="00330FC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6c71fc91a6941b5af515956aed70086"/>
        <w:id w:val="827796358"/>
        <w:lock w:val="contentLocked"/>
        <w:placeholder>
          <w:docPart w:val="GBC22222222222222222222222222222"/>
        </w:placeholder>
      </w:sdtPr>
      <w:sdtContent>
        <w:p w14:paraId="0C44FB41" w14:textId="77777777" w:rsidR="00577D08" w:rsidRDefault="00330FC0">
          <w:pPr>
            <w:rPr>
              <w:rFonts w:ascii="Calibri" w:hAnsi="Calibri"/>
              <w:bCs/>
              <w:szCs w:val="22"/>
            </w:rPr>
          </w:pPr>
          <w:r>
            <w:rPr>
              <w:rFonts w:ascii="宋体" w:hAnsi="宋体"/>
              <w:bCs/>
              <w:szCs w:val="22"/>
            </w:rPr>
            <w:fldChar w:fldCharType="begin"/>
          </w:r>
          <w:r>
            <w:rPr>
              <w:rFonts w:ascii="宋体" w:hAnsi="宋体"/>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bCs/>
              <w:szCs w:val="22"/>
            </w:rPr>
            <w:instrText xml:space="preserve"> MACROBUTTON  SnrToggleCheckbox □不适用 </w:instrText>
          </w:r>
          <w:r>
            <w:rPr>
              <w:rFonts w:ascii="宋体" w:hAnsi="宋体"/>
              <w:bCs/>
              <w:szCs w:val="22"/>
            </w:rPr>
            <w:fldChar w:fldCharType="end"/>
          </w:r>
        </w:p>
      </w:sdtContent>
    </w:sdt>
    <w:p w14:paraId="4D679F1D" w14:textId="77777777" w:rsidR="00577D08" w:rsidRDefault="00330FC0">
      <w:pPr>
        <w:rPr>
          <w:rFonts w:ascii="Calibri" w:hAnsi="Calibri"/>
          <w:bCs/>
          <w:szCs w:val="22"/>
        </w:rPr>
      </w:pPr>
      <w:r>
        <w:rPr>
          <w:rFonts w:hint="eastAsia"/>
        </w:rPr>
        <w:t>组合计提项目</w:t>
      </w:r>
      <w:r>
        <w:rPr>
          <w:rFonts w:ascii="Calibri" w:hAnsi="Calibri" w:hint="eastAsia"/>
          <w:bCs/>
          <w:szCs w:val="22"/>
        </w:rPr>
        <w:t>：</w:t>
      </w:r>
      <w:sdt>
        <w:sdtPr>
          <w:rPr>
            <w:rFonts w:ascii="Calibri" w:hAnsi="Calibri" w:hint="eastAsia"/>
            <w:bCs/>
            <w:szCs w:val="22"/>
          </w:rPr>
          <w:alias w:val="按组合计提坏账准备的明细-类别"/>
          <w:tag w:val="_GBC_5a34b4b0f751449bbf61b61007c30748"/>
          <w:id w:val="-45988571"/>
          <w:placeholder>
            <w:docPart w:val="GBC22222222222222222222222222222"/>
          </w:placeholder>
          <w:comboBox>
            <w:listItem w:displayText="账龄组合" w:value="账龄组合"/>
          </w:comboBox>
        </w:sdtPr>
        <w:sdtContent>
          <w:r>
            <w:rPr>
              <w:rFonts w:ascii="Calibri" w:hAnsi="Calibri" w:hint="eastAsia"/>
              <w:bCs/>
              <w:szCs w:val="22"/>
            </w:rPr>
            <w:t>账龄组合</w:t>
          </w:r>
        </w:sdtContent>
      </w:sdt>
    </w:p>
    <w:p w14:paraId="1B5005B6" w14:textId="6AC8FA21" w:rsidR="00577D08" w:rsidRDefault="00330FC0">
      <w:pPr>
        <w:autoSpaceDE w:val="0"/>
        <w:autoSpaceDN w:val="0"/>
        <w:adjustRightInd w:val="0"/>
        <w:ind w:left="5880" w:right="105"/>
        <w:jc w:val="right"/>
      </w:pPr>
      <w:r>
        <w:rPr>
          <w:rFonts w:hint="eastAsia"/>
        </w:rPr>
        <w:t>单位：</w:t>
      </w:r>
      <w:sdt>
        <w:sdtPr>
          <w:rPr>
            <w:rFonts w:hint="eastAsia"/>
          </w:rPr>
          <w:alias w:val="单位：按组合计提坏账准备的详细名称"/>
          <w:tag w:val="_GBC_aba9e62fc6e24c4c8787552671b664f0"/>
          <w:id w:val="-47900896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按组合计提坏账准备的详细名称"/>
          <w:tag w:val="_GBC_8d266eb0aa3b45bcbc86a927ecdc2a43"/>
          <w:id w:val="-10789777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577D08" w14:paraId="638C52AD" w14:textId="77777777">
        <w:sdt>
          <w:sdtPr>
            <w:tag w:val="_PLD_cc8a445344dc4b2e8c37dea0da347164"/>
            <w:id w:val="1328025629"/>
          </w:sdtPr>
          <w:sdtContent>
            <w:tc>
              <w:tcPr>
                <w:tcW w:w="1158" w:type="pct"/>
                <w:vMerge w:val="restart"/>
                <w:vAlign w:val="center"/>
              </w:tcPr>
              <w:p w14:paraId="67F7D95A" w14:textId="77777777" w:rsidR="00577D08" w:rsidRDefault="00330FC0">
                <w:pPr>
                  <w:jc w:val="center"/>
                </w:pPr>
                <w:r>
                  <w:rPr>
                    <w:rFonts w:hint="eastAsia"/>
                  </w:rPr>
                  <w:t>名称</w:t>
                </w:r>
              </w:p>
            </w:tc>
          </w:sdtContent>
        </w:sdt>
        <w:sdt>
          <w:sdtPr>
            <w:tag w:val="_PLD_5c3a56726789430a84420ffc89325f16"/>
            <w:id w:val="1959146907"/>
          </w:sdtPr>
          <w:sdtContent>
            <w:tc>
              <w:tcPr>
                <w:tcW w:w="3842" w:type="pct"/>
                <w:gridSpan w:val="3"/>
                <w:vAlign w:val="center"/>
              </w:tcPr>
              <w:p w14:paraId="2A5A416A" w14:textId="77777777" w:rsidR="00577D08" w:rsidRDefault="00330FC0">
                <w:pPr>
                  <w:jc w:val="center"/>
                </w:pPr>
                <w:r>
                  <w:rPr>
                    <w:rFonts w:hint="eastAsia"/>
                  </w:rPr>
                  <w:t>期末余额</w:t>
                </w:r>
              </w:p>
            </w:tc>
          </w:sdtContent>
        </w:sdt>
      </w:tr>
      <w:tr w:rsidR="00577D08" w14:paraId="3FD8C5BA" w14:textId="77777777">
        <w:tc>
          <w:tcPr>
            <w:tcW w:w="1158" w:type="pct"/>
            <w:vMerge/>
            <w:vAlign w:val="center"/>
          </w:tcPr>
          <w:p w14:paraId="194CA884" w14:textId="77777777" w:rsidR="00577D08" w:rsidRDefault="00577D08">
            <w:pPr>
              <w:jc w:val="center"/>
            </w:pPr>
          </w:p>
        </w:tc>
        <w:sdt>
          <w:sdtPr>
            <w:tag w:val="_PLD_de84ce709bbe44e98299c25f8c9f3251"/>
            <w:id w:val="-919636359"/>
          </w:sdtPr>
          <w:sdtContent>
            <w:tc>
              <w:tcPr>
                <w:tcW w:w="1276" w:type="pct"/>
                <w:vAlign w:val="center"/>
              </w:tcPr>
              <w:p w14:paraId="2CE9987C" w14:textId="77777777" w:rsidR="00577D08" w:rsidRDefault="00330FC0">
                <w:pPr>
                  <w:jc w:val="center"/>
                </w:pPr>
                <w:r>
                  <w:rPr>
                    <w:rFonts w:hint="eastAsia"/>
                  </w:rPr>
                  <w:t>账面余额</w:t>
                </w:r>
              </w:p>
            </w:tc>
          </w:sdtContent>
        </w:sdt>
        <w:sdt>
          <w:sdtPr>
            <w:tag w:val="_PLD_524554fda3c8446ea63120695b5b835d"/>
            <w:id w:val="1483119754"/>
          </w:sdtPr>
          <w:sdtContent>
            <w:tc>
              <w:tcPr>
                <w:tcW w:w="1299" w:type="pct"/>
                <w:vAlign w:val="center"/>
              </w:tcPr>
              <w:p w14:paraId="188BA04C" w14:textId="77777777" w:rsidR="00577D08" w:rsidRDefault="00330FC0">
                <w:pPr>
                  <w:jc w:val="center"/>
                </w:pPr>
                <w:r>
                  <w:rPr>
                    <w:rFonts w:hint="eastAsia"/>
                  </w:rPr>
                  <w:t>坏账准备</w:t>
                </w:r>
              </w:p>
            </w:tc>
          </w:sdtContent>
        </w:sdt>
        <w:sdt>
          <w:sdtPr>
            <w:tag w:val="_PLD_d31f2327edec413883bd411f7c5a936c"/>
            <w:id w:val="-1187207553"/>
          </w:sdtPr>
          <w:sdtEndPr>
            <w:rPr>
              <w:rFonts w:hint="eastAsia"/>
            </w:rPr>
          </w:sdtEndPr>
          <w:sdtContent>
            <w:tc>
              <w:tcPr>
                <w:tcW w:w="1267" w:type="pct"/>
                <w:vAlign w:val="center"/>
              </w:tcPr>
              <w:p w14:paraId="3F912F85" w14:textId="77777777" w:rsidR="00577D08" w:rsidRDefault="00330FC0">
                <w:pPr>
                  <w:jc w:val="center"/>
                </w:pPr>
                <w:r>
                  <w:t>计提比例</w:t>
                </w:r>
                <w:r>
                  <w:rPr>
                    <w:rFonts w:hint="eastAsia"/>
                  </w:rPr>
                  <w:t>（</w:t>
                </w:r>
                <w:r>
                  <w:rPr>
                    <w:rFonts w:hint="eastAsia"/>
                  </w:rPr>
                  <w:t>%</w:t>
                </w:r>
                <w:r>
                  <w:rPr>
                    <w:rFonts w:hint="eastAsia"/>
                  </w:rPr>
                  <w:t>）</w:t>
                </w:r>
              </w:p>
            </w:tc>
          </w:sdtContent>
        </w:sdt>
      </w:tr>
      <w:tr w:rsidR="00577D08" w14:paraId="6347E3AF" w14:textId="77777777">
        <w:tc>
          <w:tcPr>
            <w:tcW w:w="1158" w:type="pct"/>
            <w:vAlign w:val="center"/>
          </w:tcPr>
          <w:p w14:paraId="7A264430" w14:textId="77777777" w:rsidR="00577D08" w:rsidRDefault="00330FC0">
            <w:r>
              <w:rPr>
                <w:rFonts w:hint="eastAsia"/>
              </w:rPr>
              <w:t>账龄组合</w:t>
            </w:r>
          </w:p>
        </w:tc>
        <w:tc>
          <w:tcPr>
            <w:tcW w:w="1276" w:type="pct"/>
          </w:tcPr>
          <w:p w14:paraId="2912DA8D" w14:textId="77777777" w:rsidR="00577D08" w:rsidRDefault="00330FC0">
            <w:pPr>
              <w:jc w:val="right"/>
            </w:pPr>
            <w:r>
              <w:t>4,481,595.34</w:t>
            </w:r>
          </w:p>
        </w:tc>
        <w:tc>
          <w:tcPr>
            <w:tcW w:w="1299" w:type="pct"/>
          </w:tcPr>
          <w:p w14:paraId="53572977" w14:textId="77777777" w:rsidR="00577D08" w:rsidRDefault="00330FC0">
            <w:pPr>
              <w:jc w:val="right"/>
            </w:pPr>
            <w:r>
              <w:t>839,509.75</w:t>
            </w:r>
          </w:p>
        </w:tc>
        <w:tc>
          <w:tcPr>
            <w:tcW w:w="1267" w:type="pct"/>
          </w:tcPr>
          <w:p w14:paraId="51DE96B1" w14:textId="77777777" w:rsidR="00577D08" w:rsidRDefault="00330FC0">
            <w:pPr>
              <w:jc w:val="right"/>
            </w:pPr>
            <w:r>
              <w:t>18.73</w:t>
            </w:r>
          </w:p>
        </w:tc>
      </w:tr>
      <w:tr w:rsidR="00577D08" w14:paraId="1C0E6369" w14:textId="77777777">
        <w:tc>
          <w:tcPr>
            <w:tcW w:w="1158" w:type="pct"/>
            <w:vAlign w:val="center"/>
          </w:tcPr>
          <w:p w14:paraId="57F6932E" w14:textId="77777777" w:rsidR="00577D08" w:rsidRDefault="00330FC0">
            <w:pPr>
              <w:jc w:val="center"/>
            </w:pPr>
            <w:r>
              <w:rPr>
                <w:rFonts w:hint="eastAsia"/>
              </w:rPr>
              <w:t>合计</w:t>
            </w:r>
          </w:p>
        </w:tc>
        <w:tc>
          <w:tcPr>
            <w:tcW w:w="1276" w:type="pct"/>
          </w:tcPr>
          <w:p w14:paraId="2979270D" w14:textId="77777777" w:rsidR="00577D08" w:rsidRDefault="00330FC0">
            <w:pPr>
              <w:jc w:val="right"/>
            </w:pPr>
            <w:r>
              <w:t>4,481,595.34</w:t>
            </w:r>
          </w:p>
        </w:tc>
        <w:tc>
          <w:tcPr>
            <w:tcW w:w="1299" w:type="pct"/>
          </w:tcPr>
          <w:p w14:paraId="27DBE14F" w14:textId="77777777" w:rsidR="00577D08" w:rsidRDefault="00330FC0">
            <w:pPr>
              <w:jc w:val="right"/>
            </w:pPr>
            <w:r>
              <w:t>839,509.75</w:t>
            </w:r>
          </w:p>
        </w:tc>
        <w:tc>
          <w:tcPr>
            <w:tcW w:w="1267" w:type="pct"/>
          </w:tcPr>
          <w:p w14:paraId="395F6765" w14:textId="77777777" w:rsidR="00577D08" w:rsidRDefault="00330FC0">
            <w:pPr>
              <w:jc w:val="right"/>
            </w:pPr>
            <w:r>
              <w:t>18.73</w:t>
            </w:r>
          </w:p>
        </w:tc>
      </w:tr>
    </w:tbl>
    <w:p w14:paraId="6F088530" w14:textId="77777777" w:rsidR="00577D08" w:rsidRDefault="00330FC0">
      <w:r>
        <w:rPr>
          <w:rFonts w:hint="eastAsia"/>
        </w:rPr>
        <w:t>按组合计提坏账准备的说明</w:t>
      </w:r>
    </w:p>
    <w:sdt>
      <w:sdtPr>
        <w:alias w:val="是否适用：按组合计提坏账准备的的说明[双击切换]"/>
        <w:tag w:val="_GBC_620a3d7141cf4520bcfc563c9e619000"/>
        <w:id w:val="-1519000528"/>
        <w:placeholder>
          <w:docPart w:val="GBC22222222222222222222222222222"/>
        </w:placeholder>
      </w:sdtPr>
      <w:sdtContent>
        <w:p w14:paraId="34EA7EA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30A4642" w14:textId="77777777" w:rsidR="00577D08" w:rsidRDefault="00330FC0">
      <w:pPr>
        <w:pStyle w:val="4"/>
        <w:numPr>
          <w:ilvl w:val="3"/>
          <w:numId w:val="73"/>
        </w:numPr>
        <w:ind w:left="426" w:hanging="426"/>
        <w:rPr>
          <w:rFonts w:ascii="宋体" w:eastAsia="宋体" w:hAnsi="宋体" w:cs="宋体" w:hint="eastAsia"/>
          <w:kern w:val="0"/>
          <w:szCs w:val="24"/>
        </w:rPr>
      </w:pPr>
      <w:bookmarkStart w:id="388" w:name="_Hlk533872428"/>
      <w:bookmarkEnd w:id="387"/>
      <w:r>
        <w:rPr>
          <w:rFonts w:ascii="宋体" w:eastAsia="宋体" w:hAnsi="宋体" w:cs="宋体" w:hint="eastAsia"/>
          <w:kern w:val="0"/>
          <w:szCs w:val="24"/>
        </w:rPr>
        <w:t>按预期信用损失一般模型计提坏账准备</w:t>
      </w:r>
    </w:p>
    <w:sdt>
      <w:sdtPr>
        <w:alias w:val="是否适用：长期应收款坏账准备调节表[双击切换]"/>
        <w:tag w:val="_GBC_83c414b79fa243258be4f4c6998e475c"/>
        <w:id w:val="1735207580"/>
        <w:placeholder>
          <w:docPart w:val="GBC22222222222222222222222222222"/>
        </w:placeholder>
      </w:sdtPr>
      <w:sdtContent>
        <w:p w14:paraId="5C36072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BE21D7"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长期应收款各阶段划分依据和减值准备计提比例"/>
        <w:tag w:val="_GBC_1ce93281b7234898b8b1b4056be89182"/>
        <w:id w:val="-810248817"/>
        <w:placeholder>
          <w:docPart w:val="GBC22222222222222222222222222222"/>
        </w:placeholder>
      </w:sdtPr>
      <w:sdtContent>
        <w:p w14:paraId="5C24FC70" w14:textId="77777777" w:rsidR="00577D08" w:rsidRDefault="00330FC0">
          <w:pPr>
            <w:rPr>
              <w:bCs/>
              <w:szCs w:val="22"/>
            </w:rPr>
          </w:pPr>
          <w:r>
            <w:rPr>
              <w:rFonts w:hint="eastAsia"/>
              <w:bCs/>
              <w:szCs w:val="22"/>
            </w:rPr>
            <w:t>无</w:t>
          </w:r>
        </w:p>
      </w:sdtContent>
    </w:sdt>
    <w:p w14:paraId="11F52B88" w14:textId="77777777" w:rsidR="00577D08" w:rsidRDefault="00330FC0">
      <w:pPr>
        <w:pStyle w:val="affc"/>
      </w:pPr>
      <w:r>
        <w:rPr>
          <w:rFonts w:hint="eastAsia"/>
        </w:rPr>
        <w:t>对本期发生损失准备变动的长期应收款账面余额显著变动的情况说明：</w:t>
      </w:r>
    </w:p>
    <w:sdt>
      <w:sdtPr>
        <w:alias w:val="是否适用：长期应收款本期发生损失准备变动且账面余额显著变动的情况说明[双击切换]"/>
        <w:tag w:val="_GBC_8e2c1b904a3a4c10829d424151d47109"/>
        <w:id w:val="-329527428"/>
        <w:placeholder>
          <w:docPart w:val="GBC22222222222222222222222222222"/>
        </w:placeholder>
      </w:sdtPr>
      <w:sdtContent>
        <w:p w14:paraId="0593C7E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88"/>
    <w:p w14:paraId="1168343F" w14:textId="77777777" w:rsidR="00577D08" w:rsidRDefault="00330FC0">
      <w:pPr>
        <w:pStyle w:val="affc"/>
      </w:pPr>
      <w:r>
        <w:rPr>
          <w:rFonts w:hint="eastAsia"/>
        </w:rPr>
        <w:t>本期坏账准备计提金额以及评估金融工具的信用风险是否显著增加的采用依据</w:t>
      </w:r>
    </w:p>
    <w:sdt>
      <w:sdtPr>
        <w:alias w:val="是否适用：长期应收款坏账准备计提金额以及评估金融工具的信用风险显著增加的采用依据[双击切换]"/>
        <w:tag w:val="_GBC_ceed52ae8ff44f9ca03fb80cb11f18fc"/>
        <w:id w:val="-1717496659"/>
        <w:placeholder>
          <w:docPart w:val="GBC22222222222222222222222222222"/>
        </w:placeholder>
      </w:sdtPr>
      <w:sdtContent>
        <w:p w14:paraId="65A9142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275F528" w14:textId="77777777" w:rsidR="00577D08" w:rsidRDefault="00330FC0">
      <w:pPr>
        <w:pStyle w:val="4"/>
        <w:numPr>
          <w:ilvl w:val="3"/>
          <w:numId w:val="73"/>
        </w:numPr>
        <w:ind w:left="426" w:hanging="426"/>
        <w:rPr>
          <w:rFonts w:ascii="宋体" w:eastAsia="宋体" w:hAnsi="宋体" w:cs="宋体" w:hint="eastAsia"/>
          <w:kern w:val="0"/>
          <w:szCs w:val="24"/>
        </w:rPr>
      </w:pPr>
      <w:bookmarkStart w:id="389" w:name="_Hlk154131356"/>
      <w:bookmarkStart w:id="390" w:name="_Hlk153457634"/>
      <w:r>
        <w:rPr>
          <w:rFonts w:ascii="宋体" w:eastAsia="宋体" w:hAnsi="宋体" w:cs="宋体" w:hint="eastAsia"/>
          <w:kern w:val="0"/>
          <w:szCs w:val="24"/>
        </w:rPr>
        <w:t>坏账准备的情况</w:t>
      </w:r>
    </w:p>
    <w:sdt>
      <w:sdtPr>
        <w:alias w:val="是否适用：坏账准备情况[双击切换]"/>
        <w:tag w:val="_GBC_1878fe8dd18b4d7f9eb1b263bc7833d1"/>
        <w:id w:val="-464120853"/>
        <w:placeholder>
          <w:docPart w:val="GBC22222222222222222222222222222"/>
        </w:placeholder>
      </w:sdtPr>
      <w:sdtContent>
        <w:p w14:paraId="224AB7BB"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7773D41" w14:textId="57576A71" w:rsidR="00577D08" w:rsidRDefault="00330FC0">
      <w:pPr>
        <w:pStyle w:val="aff9"/>
        <w:snapToGrid w:val="0"/>
        <w:spacing w:line="240" w:lineRule="atLeast"/>
        <w:ind w:left="425" w:firstLineChars="0" w:firstLine="0"/>
        <w:jc w:val="right"/>
        <w:rPr>
          <w:szCs w:val="21"/>
        </w:rPr>
      </w:pPr>
      <w:r>
        <w:rPr>
          <w:rFonts w:hint="eastAsia"/>
          <w:szCs w:val="21"/>
        </w:rPr>
        <w:t>单位：</w:t>
      </w:r>
      <w:sdt>
        <w:sdtPr>
          <w:rPr>
            <w:rFonts w:hint="eastAsia"/>
            <w:szCs w:val="21"/>
          </w:rPr>
          <w:alias w:val="单位：坏账准备情况"/>
          <w:tag w:val="_GBC_bc8d00c0d3174cfcb352620f1eb8a667"/>
          <w:id w:val="165433417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r w:rsidR="00CC5C32">
            <w:rPr>
              <w:rFonts w:hint="eastAsia"/>
              <w:szCs w:val="21"/>
            </w:rPr>
            <w:t xml:space="preserve"> </w:t>
          </w:r>
        </w:sdtContent>
      </w:sdt>
      <w:r>
        <w:rPr>
          <w:rFonts w:hint="eastAsia"/>
          <w:szCs w:val="21"/>
        </w:rPr>
        <w:t>币种：</w:t>
      </w:r>
      <w:sdt>
        <w:sdtPr>
          <w:rPr>
            <w:rFonts w:hint="eastAsia"/>
            <w:szCs w:val="21"/>
          </w:rPr>
          <w:alias w:val="币种：坏账准备情况"/>
          <w:tag w:val="_GBC_91b48dea1a804a74bee76eea04035acd"/>
          <w:id w:val="19440345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8"/>
        <w:gridCol w:w="1905"/>
        <w:gridCol w:w="2068"/>
        <w:gridCol w:w="1905"/>
        <w:gridCol w:w="1910"/>
        <w:gridCol w:w="1908"/>
        <w:gridCol w:w="1899"/>
      </w:tblGrid>
      <w:tr w:rsidR="00577D08" w14:paraId="18B56D2D" w14:textId="77777777">
        <w:sdt>
          <w:sdtPr>
            <w:tag w:val="_PLD_1b57eec9eb0c4064b8160bee3fcae2b4"/>
            <w:id w:val="-1238471008"/>
          </w:sdtPr>
          <w:sdtContent>
            <w:tc>
              <w:tcPr>
                <w:tcW w:w="818" w:type="pct"/>
                <w:vMerge w:val="restart"/>
                <w:shd w:val="clear" w:color="auto" w:fill="FFFFFF"/>
                <w:vAlign w:val="center"/>
              </w:tcPr>
              <w:p w14:paraId="2475A28F" w14:textId="77777777" w:rsidR="00577D08" w:rsidRDefault="00330FC0">
                <w:pPr>
                  <w:widowControl w:val="0"/>
                  <w:jc w:val="center"/>
                </w:pPr>
                <w:r>
                  <w:t>类别</w:t>
                </w:r>
              </w:p>
            </w:tc>
          </w:sdtContent>
        </w:sdt>
        <w:sdt>
          <w:sdtPr>
            <w:tag w:val="_PLD_35b59bfd9c7d401382d341cb7fd9f429"/>
            <w:id w:val="1427390179"/>
          </w:sdtPr>
          <w:sdtContent>
            <w:tc>
              <w:tcPr>
                <w:tcW w:w="687" w:type="pct"/>
                <w:vMerge w:val="restart"/>
                <w:shd w:val="clear" w:color="auto" w:fill="FFFFFF"/>
                <w:vAlign w:val="center"/>
              </w:tcPr>
              <w:p w14:paraId="4FEA076A" w14:textId="77777777" w:rsidR="00577D08" w:rsidRDefault="00330FC0">
                <w:pPr>
                  <w:widowControl w:val="0"/>
                  <w:jc w:val="center"/>
                </w:pPr>
                <w:r>
                  <w:t>期初余额</w:t>
                </w:r>
              </w:p>
            </w:tc>
          </w:sdtContent>
        </w:sdt>
        <w:sdt>
          <w:sdtPr>
            <w:tag w:val="_PLD_f832a927fbc74b77a4b316e48dd5b52d"/>
            <w:id w:val="-861657539"/>
          </w:sdtPr>
          <w:sdtContent>
            <w:tc>
              <w:tcPr>
                <w:tcW w:w="2810" w:type="pct"/>
                <w:gridSpan w:val="4"/>
                <w:shd w:val="clear" w:color="auto" w:fill="FFFFFF"/>
                <w:vAlign w:val="center"/>
              </w:tcPr>
              <w:p w14:paraId="602B4193" w14:textId="77777777" w:rsidR="00577D08" w:rsidRDefault="00330FC0">
                <w:pPr>
                  <w:widowControl w:val="0"/>
                  <w:jc w:val="center"/>
                </w:pPr>
                <w:r>
                  <w:rPr>
                    <w:rFonts w:hint="eastAsia"/>
                  </w:rPr>
                  <w:t>本期变动</w:t>
                </w:r>
                <w:r>
                  <w:t>金额</w:t>
                </w:r>
              </w:p>
            </w:tc>
          </w:sdtContent>
        </w:sdt>
        <w:tc>
          <w:tcPr>
            <w:tcW w:w="685" w:type="pct"/>
            <w:vMerge w:val="restart"/>
            <w:shd w:val="clear" w:color="auto" w:fill="FFFFFF"/>
            <w:vAlign w:val="center"/>
          </w:tcPr>
          <w:sdt>
            <w:sdtPr>
              <w:tag w:val="_PLD_ccc97add96524818a21d9404254ba0a1"/>
              <w:id w:val="849063178"/>
            </w:sdtPr>
            <w:sdtContent>
              <w:p w14:paraId="767F9CF5" w14:textId="77777777" w:rsidR="00577D08" w:rsidRDefault="00330FC0">
                <w:pPr>
                  <w:widowControl w:val="0"/>
                  <w:jc w:val="center"/>
                </w:pPr>
                <w:r>
                  <w:t>期末余额</w:t>
                </w:r>
              </w:p>
            </w:sdtContent>
          </w:sdt>
        </w:tc>
      </w:tr>
      <w:tr w:rsidR="00577D08" w14:paraId="0AB79A2C" w14:textId="77777777">
        <w:tc>
          <w:tcPr>
            <w:tcW w:w="818" w:type="pct"/>
            <w:vMerge/>
            <w:shd w:val="clear" w:color="auto" w:fill="FFFFFF"/>
            <w:vAlign w:val="center"/>
          </w:tcPr>
          <w:p w14:paraId="032A08BB" w14:textId="77777777" w:rsidR="00577D08" w:rsidRDefault="00577D08">
            <w:pPr>
              <w:widowControl w:val="0"/>
              <w:jc w:val="center"/>
            </w:pPr>
          </w:p>
        </w:tc>
        <w:tc>
          <w:tcPr>
            <w:tcW w:w="687" w:type="pct"/>
            <w:vMerge/>
            <w:shd w:val="clear" w:color="auto" w:fill="FFFFFF"/>
            <w:vAlign w:val="center"/>
          </w:tcPr>
          <w:p w14:paraId="7E9D95F1" w14:textId="77777777" w:rsidR="00577D08" w:rsidRDefault="00577D08">
            <w:pPr>
              <w:widowControl w:val="0"/>
              <w:jc w:val="center"/>
            </w:pPr>
          </w:p>
        </w:tc>
        <w:sdt>
          <w:sdtPr>
            <w:tag w:val="_PLD_8c73657619504c478224bb03d05744fb"/>
            <w:id w:val="-965892182"/>
          </w:sdtPr>
          <w:sdtContent>
            <w:tc>
              <w:tcPr>
                <w:tcW w:w="746" w:type="pct"/>
                <w:shd w:val="clear" w:color="auto" w:fill="FFFFFF"/>
                <w:vAlign w:val="center"/>
              </w:tcPr>
              <w:p w14:paraId="7E8E3E9A" w14:textId="77777777" w:rsidR="00577D08" w:rsidRDefault="00330FC0">
                <w:pPr>
                  <w:widowControl w:val="0"/>
                  <w:jc w:val="center"/>
                </w:pPr>
                <w:r>
                  <w:t>计提</w:t>
                </w:r>
              </w:p>
            </w:tc>
          </w:sdtContent>
        </w:sdt>
        <w:sdt>
          <w:sdtPr>
            <w:tag w:val="_PLD_022cda494f134770bf3ef208bf599998"/>
            <w:id w:val="-1713577013"/>
          </w:sdtPr>
          <w:sdtContent>
            <w:tc>
              <w:tcPr>
                <w:tcW w:w="687" w:type="pct"/>
                <w:shd w:val="clear" w:color="auto" w:fill="FFFFFF"/>
                <w:vAlign w:val="center"/>
              </w:tcPr>
              <w:p w14:paraId="32049B0C" w14:textId="77777777" w:rsidR="00577D08" w:rsidRDefault="00330FC0">
                <w:pPr>
                  <w:widowControl w:val="0"/>
                  <w:jc w:val="center"/>
                </w:pPr>
                <w:r>
                  <w:rPr>
                    <w:rFonts w:hint="eastAsia"/>
                  </w:rPr>
                  <w:t>收回或转回</w:t>
                </w:r>
              </w:p>
            </w:tc>
          </w:sdtContent>
        </w:sdt>
        <w:sdt>
          <w:sdtPr>
            <w:tag w:val="_PLD_3c73b120957a4df8af659b57c66c504b"/>
            <w:id w:val="1317080702"/>
          </w:sdtPr>
          <w:sdtContent>
            <w:tc>
              <w:tcPr>
                <w:tcW w:w="689" w:type="pct"/>
                <w:shd w:val="clear" w:color="auto" w:fill="FFFFFF"/>
                <w:vAlign w:val="center"/>
              </w:tcPr>
              <w:p w14:paraId="75BCF3FF" w14:textId="77777777" w:rsidR="00577D08" w:rsidRDefault="00330FC0">
                <w:pPr>
                  <w:widowControl w:val="0"/>
                  <w:jc w:val="center"/>
                </w:pPr>
                <w:r>
                  <w:rPr>
                    <w:rFonts w:hint="eastAsia"/>
                  </w:rPr>
                  <w:t>转销或核销</w:t>
                </w:r>
              </w:p>
            </w:tc>
          </w:sdtContent>
        </w:sdt>
        <w:sdt>
          <w:sdtPr>
            <w:tag w:val="_PLD_3a826535e5024414812e143b3ba426dc"/>
            <w:id w:val="1352917201"/>
          </w:sdtPr>
          <w:sdtContent>
            <w:tc>
              <w:tcPr>
                <w:tcW w:w="688" w:type="pct"/>
                <w:shd w:val="clear" w:color="auto" w:fill="FFFFFF"/>
                <w:vAlign w:val="center"/>
              </w:tcPr>
              <w:p w14:paraId="6CE97944" w14:textId="77777777" w:rsidR="00577D08" w:rsidRDefault="00330FC0">
                <w:pPr>
                  <w:widowControl w:val="0"/>
                  <w:jc w:val="center"/>
                </w:pPr>
                <w:r>
                  <w:rPr>
                    <w:rFonts w:hint="eastAsia"/>
                  </w:rPr>
                  <w:t>其他变动</w:t>
                </w:r>
              </w:p>
            </w:tc>
          </w:sdtContent>
        </w:sdt>
        <w:tc>
          <w:tcPr>
            <w:tcW w:w="685" w:type="pct"/>
            <w:vMerge/>
            <w:shd w:val="clear" w:color="auto" w:fill="FFFFFF"/>
            <w:vAlign w:val="center"/>
          </w:tcPr>
          <w:p w14:paraId="53DE1AD1" w14:textId="77777777" w:rsidR="00577D08" w:rsidRDefault="00577D08">
            <w:pPr>
              <w:widowControl w:val="0"/>
              <w:jc w:val="right"/>
            </w:pPr>
          </w:p>
        </w:tc>
      </w:tr>
      <w:tr w:rsidR="00577D08" w14:paraId="78E81A52" w14:textId="77777777">
        <w:tc>
          <w:tcPr>
            <w:tcW w:w="818" w:type="pct"/>
            <w:vAlign w:val="center"/>
          </w:tcPr>
          <w:p w14:paraId="40A24015" w14:textId="77777777" w:rsidR="00577D08" w:rsidRDefault="00330FC0">
            <w:pPr>
              <w:widowControl w:val="0"/>
            </w:pPr>
            <w:r>
              <w:rPr>
                <w:rFonts w:hint="eastAsia"/>
              </w:rPr>
              <w:t>长期应收款</w:t>
            </w:r>
          </w:p>
        </w:tc>
        <w:tc>
          <w:tcPr>
            <w:tcW w:w="687" w:type="pct"/>
          </w:tcPr>
          <w:p w14:paraId="2B814504" w14:textId="77777777" w:rsidR="00577D08" w:rsidRDefault="00330FC0">
            <w:pPr>
              <w:widowControl w:val="0"/>
              <w:jc w:val="right"/>
            </w:pPr>
            <w:r>
              <w:t>628,053.16</w:t>
            </w:r>
          </w:p>
        </w:tc>
        <w:tc>
          <w:tcPr>
            <w:tcW w:w="746" w:type="pct"/>
          </w:tcPr>
          <w:p w14:paraId="194166B3" w14:textId="77777777" w:rsidR="00577D08" w:rsidRDefault="00330FC0">
            <w:pPr>
              <w:widowControl w:val="0"/>
              <w:jc w:val="right"/>
            </w:pPr>
            <w:r>
              <w:t>211,456.59</w:t>
            </w:r>
          </w:p>
        </w:tc>
        <w:tc>
          <w:tcPr>
            <w:tcW w:w="687" w:type="pct"/>
          </w:tcPr>
          <w:p w14:paraId="7D0D9600" w14:textId="77777777" w:rsidR="00577D08" w:rsidRDefault="00577D08">
            <w:pPr>
              <w:widowControl w:val="0"/>
              <w:jc w:val="right"/>
            </w:pPr>
          </w:p>
        </w:tc>
        <w:tc>
          <w:tcPr>
            <w:tcW w:w="689" w:type="pct"/>
          </w:tcPr>
          <w:p w14:paraId="0D4067F4" w14:textId="77777777" w:rsidR="00577D08" w:rsidRDefault="00577D08">
            <w:pPr>
              <w:widowControl w:val="0"/>
              <w:jc w:val="right"/>
            </w:pPr>
          </w:p>
        </w:tc>
        <w:tc>
          <w:tcPr>
            <w:tcW w:w="688" w:type="pct"/>
          </w:tcPr>
          <w:p w14:paraId="7AE0A91E" w14:textId="77777777" w:rsidR="00577D08" w:rsidRDefault="00577D08">
            <w:pPr>
              <w:widowControl w:val="0"/>
              <w:jc w:val="right"/>
            </w:pPr>
          </w:p>
        </w:tc>
        <w:tc>
          <w:tcPr>
            <w:tcW w:w="685" w:type="pct"/>
          </w:tcPr>
          <w:p w14:paraId="17C4EDEB" w14:textId="77777777" w:rsidR="00577D08" w:rsidRDefault="00330FC0">
            <w:pPr>
              <w:widowControl w:val="0"/>
              <w:jc w:val="right"/>
            </w:pPr>
            <w:r>
              <w:t>839,509.75</w:t>
            </w:r>
          </w:p>
        </w:tc>
      </w:tr>
      <w:tr w:rsidR="00577D08" w14:paraId="24125677" w14:textId="77777777">
        <w:tc>
          <w:tcPr>
            <w:tcW w:w="818" w:type="pct"/>
            <w:vAlign w:val="center"/>
          </w:tcPr>
          <w:p w14:paraId="7B46C6B4" w14:textId="77777777" w:rsidR="00577D08" w:rsidRDefault="00330FC0">
            <w:pPr>
              <w:widowControl w:val="0"/>
              <w:jc w:val="center"/>
            </w:pPr>
            <w:r>
              <w:rPr>
                <w:rFonts w:hint="eastAsia"/>
              </w:rPr>
              <w:t>合计</w:t>
            </w:r>
          </w:p>
        </w:tc>
        <w:tc>
          <w:tcPr>
            <w:tcW w:w="687" w:type="pct"/>
          </w:tcPr>
          <w:p w14:paraId="6541DE99" w14:textId="77777777" w:rsidR="00577D08" w:rsidRDefault="00330FC0">
            <w:pPr>
              <w:widowControl w:val="0"/>
              <w:jc w:val="right"/>
            </w:pPr>
            <w:r>
              <w:t>628,053.16</w:t>
            </w:r>
          </w:p>
        </w:tc>
        <w:tc>
          <w:tcPr>
            <w:tcW w:w="746" w:type="pct"/>
          </w:tcPr>
          <w:p w14:paraId="2B05937C" w14:textId="77777777" w:rsidR="00577D08" w:rsidRDefault="00330FC0">
            <w:pPr>
              <w:widowControl w:val="0"/>
              <w:jc w:val="right"/>
            </w:pPr>
            <w:r>
              <w:t>211,456.59</w:t>
            </w:r>
          </w:p>
        </w:tc>
        <w:tc>
          <w:tcPr>
            <w:tcW w:w="687" w:type="pct"/>
          </w:tcPr>
          <w:p w14:paraId="0FF7D836" w14:textId="77777777" w:rsidR="00577D08" w:rsidRDefault="00577D08">
            <w:pPr>
              <w:widowControl w:val="0"/>
              <w:jc w:val="right"/>
            </w:pPr>
          </w:p>
        </w:tc>
        <w:tc>
          <w:tcPr>
            <w:tcW w:w="689" w:type="pct"/>
          </w:tcPr>
          <w:p w14:paraId="322E5321" w14:textId="77777777" w:rsidR="00577D08" w:rsidRDefault="00577D08">
            <w:pPr>
              <w:widowControl w:val="0"/>
              <w:jc w:val="right"/>
            </w:pPr>
          </w:p>
        </w:tc>
        <w:tc>
          <w:tcPr>
            <w:tcW w:w="688" w:type="pct"/>
          </w:tcPr>
          <w:p w14:paraId="3637E5B7" w14:textId="77777777" w:rsidR="00577D08" w:rsidRDefault="00577D08">
            <w:pPr>
              <w:widowControl w:val="0"/>
              <w:jc w:val="right"/>
            </w:pPr>
          </w:p>
        </w:tc>
        <w:tc>
          <w:tcPr>
            <w:tcW w:w="685" w:type="pct"/>
          </w:tcPr>
          <w:p w14:paraId="19747752" w14:textId="77777777" w:rsidR="00577D08" w:rsidRDefault="00330FC0">
            <w:pPr>
              <w:widowControl w:val="0"/>
              <w:jc w:val="right"/>
            </w:pPr>
            <w:r>
              <w:t>839,509.75</w:t>
            </w:r>
          </w:p>
        </w:tc>
      </w:tr>
    </w:tbl>
    <w:bookmarkEnd w:id="389"/>
    <w:p w14:paraId="6E8BC641" w14:textId="77777777" w:rsidR="00577D08" w:rsidRDefault="00330FC0">
      <w:r>
        <w:rPr>
          <w:rFonts w:hint="eastAsia"/>
        </w:rPr>
        <w:t>其中本期坏账准备收回或转回金额重要的：</w:t>
      </w:r>
    </w:p>
    <w:sdt>
      <w:sdtPr>
        <w:alias w:val="是否适用：本期坏账准备收回或转回金额重要的[双击切换]"/>
        <w:tag w:val="_GBC_b4e3b5deca584587a596a753699de6b7"/>
        <w:id w:val="753853816"/>
        <w:placeholder>
          <w:docPart w:val="GBC22222222222222222222222222222"/>
        </w:placeholder>
      </w:sdtPr>
      <w:sdtContent>
        <w:p w14:paraId="0341A03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7ABB6A6" w14:textId="77777777" w:rsidR="00577D08" w:rsidRDefault="00330FC0">
      <w:r>
        <w:rPr>
          <w:rFonts w:hint="eastAsia"/>
        </w:rPr>
        <w:t>其他说明：</w:t>
      </w:r>
    </w:p>
    <w:sdt>
      <w:sdtPr>
        <w:alias w:val="坏账准备情况的说明"/>
        <w:tag w:val="_GBC_b5a80a414fe14b5c9e4001ca8a0f4bbf"/>
        <w:id w:val="-2017372204"/>
        <w:placeholder>
          <w:docPart w:val="GBC22222222222222222222222222222"/>
        </w:placeholder>
      </w:sdtPr>
      <w:sdtContent>
        <w:p w14:paraId="618AA3EB" w14:textId="77777777" w:rsidR="00577D08" w:rsidRDefault="00330FC0">
          <w:pPr>
            <w:ind w:rightChars="20" w:right="42"/>
          </w:pPr>
          <w:r>
            <w:rPr>
              <w:rFonts w:hint="eastAsia"/>
            </w:rPr>
            <w:t>无</w:t>
          </w:r>
        </w:p>
      </w:sdtContent>
    </w:sdt>
    <w:p w14:paraId="1EBF6640" w14:textId="77777777" w:rsidR="00577D08" w:rsidRDefault="00330FC0">
      <w:pPr>
        <w:pStyle w:val="4"/>
        <w:numPr>
          <w:ilvl w:val="3"/>
          <w:numId w:val="73"/>
        </w:numPr>
        <w:ind w:left="426" w:hanging="426"/>
        <w:rPr>
          <w:rFonts w:ascii="宋体" w:eastAsia="宋体" w:hAnsi="宋体" w:cs="宋体" w:hint="eastAsia"/>
          <w:kern w:val="0"/>
          <w:szCs w:val="24"/>
        </w:rPr>
      </w:pPr>
      <w:r>
        <w:rPr>
          <w:rFonts w:ascii="宋体" w:eastAsia="宋体" w:hAnsi="宋体" w:cs="宋体"/>
          <w:kern w:val="0"/>
          <w:szCs w:val="24"/>
        </w:rPr>
        <w:lastRenderedPageBreak/>
        <w:t>本期实际核销的</w:t>
      </w:r>
      <w:r>
        <w:rPr>
          <w:rFonts w:ascii="宋体" w:eastAsia="宋体" w:hAnsi="宋体" w:cs="宋体" w:hint="eastAsia"/>
          <w:kern w:val="0"/>
          <w:szCs w:val="24"/>
        </w:rPr>
        <w:t>长期应收款</w:t>
      </w:r>
      <w:r>
        <w:rPr>
          <w:rFonts w:ascii="宋体" w:eastAsia="宋体" w:hAnsi="宋体" w:cs="宋体"/>
          <w:kern w:val="0"/>
          <w:szCs w:val="24"/>
        </w:rPr>
        <w:t>情况</w:t>
      </w:r>
    </w:p>
    <w:sdt>
      <w:sdtPr>
        <w:alias w:val="是否适用：实际核销的情况[双击切换]"/>
        <w:tag w:val="_GBC_e9d4e4f95df144d1beb521844e7c35e7"/>
        <w:id w:val="-1300604177"/>
        <w:placeholder>
          <w:docPart w:val="GBC22222222222222222222222222222"/>
        </w:placeholder>
      </w:sdtPr>
      <w:sdtContent>
        <w:p w14:paraId="2FC2616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F201A3D" w14:textId="77777777" w:rsidR="00577D08" w:rsidRDefault="00330FC0">
      <w:r>
        <w:rPr>
          <w:rFonts w:hint="eastAsia"/>
        </w:rPr>
        <w:t>其中重要的长期应收款核销情况</w:t>
      </w:r>
    </w:p>
    <w:sdt>
      <w:sdtPr>
        <w:rPr>
          <w:rFonts w:hint="eastAsia"/>
        </w:rPr>
        <w:alias w:val="是否适用：重要的核销情况[双击切换]"/>
        <w:tag w:val="_GBC_17fbcf123507404b9fc25df0517e3788"/>
        <w:id w:val="970332454"/>
        <w:placeholder>
          <w:docPart w:val="GBC22222222222222222222222222222"/>
        </w:placeholder>
      </w:sdtPr>
      <w:sdtContent>
        <w:p w14:paraId="1D9B843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22C9EC0" w14:textId="77777777" w:rsidR="00577D08" w:rsidRDefault="00330FC0">
      <w:pPr>
        <w:snapToGrid w:val="0"/>
        <w:spacing w:line="240" w:lineRule="atLeast"/>
      </w:pPr>
      <w:r>
        <w:rPr>
          <w:rFonts w:hint="eastAsia"/>
        </w:rPr>
        <w:t>长期应收款核销说明：</w:t>
      </w:r>
    </w:p>
    <w:sdt>
      <w:sdtPr>
        <w:alias w:val="是否适用：核销说明[双击切换]"/>
        <w:tag w:val="_GBC_b5e2283b2a954039b963ac2506245e4d"/>
        <w:id w:val="-1923557188"/>
        <w:placeholder>
          <w:docPart w:val="GBC22222222222222222222222222222"/>
        </w:placeholder>
      </w:sdtPr>
      <w:sdtContent>
        <w:p w14:paraId="34D32B5B"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90"/>
    <w:p w14:paraId="2433026D" w14:textId="77777777" w:rsidR="00577D08" w:rsidRDefault="00330FC0">
      <w:r>
        <w:rPr>
          <w:rFonts w:hint="eastAsia"/>
        </w:rPr>
        <w:t>其他说明：</w:t>
      </w:r>
    </w:p>
    <w:sdt>
      <w:sdtPr>
        <w:alias w:val="是否适用：长期应收款的其他说明[双击切换]"/>
        <w:tag w:val="_GBC_374ef9a861254142b9ef8519d87eb5ac"/>
        <w:id w:val="145398332"/>
        <w:placeholder>
          <w:docPart w:val="GBC22222222222222222222222222222"/>
        </w:placeholder>
      </w:sdtPr>
      <w:sdtContent>
        <w:p w14:paraId="53F0C43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A39FA2"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长期股权投资</w:t>
      </w:r>
    </w:p>
    <w:p w14:paraId="5E2FF226" w14:textId="77777777" w:rsidR="00577D08" w:rsidRDefault="00330FC0">
      <w:pPr>
        <w:pStyle w:val="4"/>
        <w:numPr>
          <w:ilvl w:val="0"/>
          <w:numId w:val="74"/>
        </w:numPr>
        <w:rPr>
          <w:rFonts w:hint="eastAsia"/>
        </w:rPr>
      </w:pPr>
      <w:bookmarkStart w:id="391" w:name="_Hlk152856977"/>
      <w:r>
        <w:rPr>
          <w:rFonts w:hint="eastAsia"/>
        </w:rPr>
        <w:t>长期股权投资情况</w:t>
      </w:r>
    </w:p>
    <w:p w14:paraId="70699603" w14:textId="77777777" w:rsidR="00577D08" w:rsidRDefault="00000000">
      <w:sdt>
        <w:sdtPr>
          <w:rPr>
            <w:rFonts w:hint="eastAsia"/>
          </w:rPr>
          <w:alias w:val="是否适用：长期股权投资[双击切换]"/>
          <w:tag w:val="_GBC_94e2c461d3d34280a0a5f1e908656d3e"/>
          <w:id w:val="332736752"/>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1DACD4BF" w14:textId="2ECBC9BA" w:rsidR="00577D08" w:rsidRDefault="00330FC0">
      <w:pPr>
        <w:jc w:val="right"/>
      </w:pPr>
      <w:r>
        <w:rPr>
          <w:rFonts w:hint="eastAsia"/>
        </w:rPr>
        <w:t>单位：</w:t>
      </w:r>
      <w:sdt>
        <w:sdtPr>
          <w:rPr>
            <w:rFonts w:hint="eastAsia"/>
          </w:rPr>
          <w:alias w:val="单位：财务附注：长期股权投资"/>
          <w:tag w:val="_GBC_9ef1128bd666425898c1d0386f4940f0"/>
          <w:id w:val="-7190521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长期股权投资"/>
          <w:tag w:val="_GBC_3839232c7f594f79a27ec799cde377b3"/>
          <w:id w:val="-12038585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24"/>
        <w:gridCol w:w="1319"/>
        <w:gridCol w:w="885"/>
        <w:gridCol w:w="1324"/>
        <w:gridCol w:w="939"/>
        <w:gridCol w:w="947"/>
        <w:gridCol w:w="1058"/>
        <w:gridCol w:w="1047"/>
        <w:gridCol w:w="1024"/>
        <w:gridCol w:w="1424"/>
        <w:gridCol w:w="1354"/>
      </w:tblGrid>
      <w:tr w:rsidR="00577D08" w14:paraId="3D9C8F5B" w14:textId="77777777">
        <w:sdt>
          <w:sdtPr>
            <w:tag w:val="_PLD_904000e8ce384d4988e09c22d5f8f725"/>
            <w:id w:val="683402769"/>
          </w:sdtPr>
          <w:sdtContent>
            <w:tc>
              <w:tcPr>
                <w:tcW w:w="419" w:type="pct"/>
                <w:vMerge w:val="restart"/>
                <w:tcBorders>
                  <w:top w:val="single" w:sz="4" w:space="0" w:color="auto"/>
                  <w:left w:val="single" w:sz="4" w:space="0" w:color="auto"/>
                  <w:right w:val="single" w:sz="4" w:space="0" w:color="auto"/>
                </w:tcBorders>
                <w:vAlign w:val="center"/>
              </w:tcPr>
              <w:p w14:paraId="0A6A6D58" w14:textId="77777777" w:rsidR="00577D08" w:rsidRDefault="00330FC0">
                <w:pPr>
                  <w:jc w:val="center"/>
                </w:pPr>
                <w:r>
                  <w:rPr>
                    <w:rFonts w:hint="eastAsia"/>
                  </w:rPr>
                  <w:t>被投资单位</w:t>
                </w:r>
              </w:p>
            </w:tc>
          </w:sdtContent>
        </w:sdt>
        <w:sdt>
          <w:sdtPr>
            <w:tag w:val="_PLD_2325481f20324f949b4d5af7cfe3ea45"/>
            <w:id w:val="-1997405979"/>
          </w:sdtPr>
          <w:sdtContent>
            <w:tc>
              <w:tcPr>
                <w:tcW w:w="505" w:type="pct"/>
                <w:vMerge w:val="restart"/>
                <w:tcBorders>
                  <w:top w:val="single" w:sz="4" w:space="0" w:color="auto"/>
                  <w:left w:val="single" w:sz="4" w:space="0" w:color="auto"/>
                  <w:right w:val="single" w:sz="4" w:space="0" w:color="auto"/>
                </w:tcBorders>
                <w:vAlign w:val="center"/>
              </w:tcPr>
              <w:p w14:paraId="2FF18729" w14:textId="77777777" w:rsidR="00577D08" w:rsidRDefault="00330FC0">
                <w:pPr>
                  <w:jc w:val="center"/>
                </w:pPr>
                <w:r>
                  <w:rPr>
                    <w:rFonts w:hint="eastAsia"/>
                  </w:rPr>
                  <w:t>期初</w:t>
                </w:r>
              </w:p>
              <w:p w14:paraId="5FDB0097" w14:textId="77777777" w:rsidR="00577D08" w:rsidRDefault="00330FC0">
                <w:pPr>
                  <w:jc w:val="center"/>
                </w:pPr>
                <w:r>
                  <w:rPr>
                    <w:rFonts w:hint="eastAsia"/>
                  </w:rPr>
                  <w:t>余额（账面价值）</w:t>
                </w:r>
              </w:p>
            </w:tc>
          </w:sdtContent>
        </w:sdt>
        <w:sdt>
          <w:sdtPr>
            <w:tag w:val="_PLD_62e0836260734d34965d8070b1a6f2dd"/>
            <w:id w:val="-1977754867"/>
          </w:sdtPr>
          <w:sdtContent>
            <w:tc>
              <w:tcPr>
                <w:tcW w:w="3180" w:type="pct"/>
                <w:gridSpan w:val="8"/>
                <w:tcBorders>
                  <w:top w:val="single" w:sz="4" w:space="0" w:color="auto"/>
                  <w:left w:val="single" w:sz="4" w:space="0" w:color="auto"/>
                  <w:bottom w:val="single" w:sz="4" w:space="0" w:color="auto"/>
                  <w:right w:val="single" w:sz="4" w:space="0" w:color="auto"/>
                </w:tcBorders>
                <w:vAlign w:val="center"/>
              </w:tcPr>
              <w:p w14:paraId="6FB292BE" w14:textId="77777777" w:rsidR="00577D08" w:rsidRDefault="00330FC0">
                <w:pPr>
                  <w:jc w:val="center"/>
                </w:pPr>
                <w:r>
                  <w:rPr>
                    <w:rFonts w:hint="eastAsia"/>
                  </w:rPr>
                  <w:t>本期增减变动</w:t>
                </w:r>
              </w:p>
            </w:tc>
          </w:sdtContent>
        </w:sdt>
        <w:sdt>
          <w:sdtPr>
            <w:tag w:val="_PLD_7b9429fc29b64f4c83eea02ed0cad7ba"/>
            <w:id w:val="-310717785"/>
          </w:sdtPr>
          <w:sdtContent>
            <w:tc>
              <w:tcPr>
                <w:tcW w:w="390" w:type="pct"/>
                <w:vMerge w:val="restart"/>
                <w:tcBorders>
                  <w:top w:val="single" w:sz="4" w:space="0" w:color="auto"/>
                  <w:left w:val="single" w:sz="4" w:space="0" w:color="auto"/>
                  <w:right w:val="single" w:sz="4" w:space="0" w:color="auto"/>
                </w:tcBorders>
                <w:vAlign w:val="center"/>
              </w:tcPr>
              <w:p w14:paraId="30B486D3" w14:textId="77777777" w:rsidR="00577D08" w:rsidRDefault="00330FC0">
                <w:pPr>
                  <w:jc w:val="center"/>
                </w:pPr>
                <w:r>
                  <w:rPr>
                    <w:rFonts w:hint="eastAsia"/>
                  </w:rPr>
                  <w:t>期末</w:t>
                </w:r>
              </w:p>
              <w:p w14:paraId="18A5139D" w14:textId="77777777" w:rsidR="00577D08" w:rsidRDefault="00330FC0">
                <w:pPr>
                  <w:jc w:val="center"/>
                </w:pPr>
                <w:r>
                  <w:rPr>
                    <w:rFonts w:hint="eastAsia"/>
                  </w:rPr>
                  <w:t>余额（账面价值）</w:t>
                </w:r>
              </w:p>
            </w:tc>
          </w:sdtContent>
        </w:sdt>
        <w:sdt>
          <w:sdtPr>
            <w:tag w:val="_PLD_79298dc466f54a239357520005d5d0d6"/>
            <w:id w:val="-1058471654"/>
          </w:sdtPr>
          <w:sdtContent>
            <w:tc>
              <w:tcPr>
                <w:tcW w:w="505" w:type="pct"/>
                <w:vMerge w:val="restart"/>
                <w:tcBorders>
                  <w:top w:val="single" w:sz="4" w:space="0" w:color="auto"/>
                  <w:left w:val="single" w:sz="4" w:space="0" w:color="auto"/>
                  <w:right w:val="single" w:sz="4" w:space="0" w:color="auto"/>
                </w:tcBorders>
                <w:vAlign w:val="center"/>
              </w:tcPr>
              <w:p w14:paraId="0FEE220A" w14:textId="77777777" w:rsidR="00577D08" w:rsidRDefault="00330FC0">
                <w:pPr>
                  <w:jc w:val="center"/>
                </w:pPr>
                <w:r>
                  <w:rPr>
                    <w:rFonts w:hint="eastAsia"/>
                  </w:rPr>
                  <w:t>减值准备期末余额</w:t>
                </w:r>
              </w:p>
            </w:tc>
          </w:sdtContent>
        </w:sdt>
      </w:tr>
      <w:tr w:rsidR="00577D08" w14:paraId="6E5232B5" w14:textId="77777777">
        <w:tc>
          <w:tcPr>
            <w:tcW w:w="419" w:type="pct"/>
            <w:vMerge/>
            <w:tcBorders>
              <w:left w:val="single" w:sz="4" w:space="0" w:color="auto"/>
              <w:bottom w:val="single" w:sz="4" w:space="0" w:color="auto"/>
              <w:right w:val="single" w:sz="4" w:space="0" w:color="auto"/>
            </w:tcBorders>
            <w:vAlign w:val="center"/>
          </w:tcPr>
          <w:p w14:paraId="3A3478F7" w14:textId="77777777" w:rsidR="00577D08" w:rsidRDefault="00577D08">
            <w:pPr>
              <w:jc w:val="center"/>
            </w:pPr>
          </w:p>
        </w:tc>
        <w:tc>
          <w:tcPr>
            <w:tcW w:w="505" w:type="pct"/>
            <w:vMerge/>
            <w:tcBorders>
              <w:left w:val="single" w:sz="4" w:space="0" w:color="auto"/>
              <w:bottom w:val="single" w:sz="4" w:space="0" w:color="auto"/>
              <w:right w:val="single" w:sz="4" w:space="0" w:color="auto"/>
            </w:tcBorders>
            <w:vAlign w:val="center"/>
          </w:tcPr>
          <w:p w14:paraId="0A116C95" w14:textId="77777777" w:rsidR="00577D08" w:rsidRDefault="00577D08">
            <w:pPr>
              <w:jc w:val="center"/>
            </w:pPr>
          </w:p>
        </w:tc>
        <w:sdt>
          <w:sdtPr>
            <w:tag w:val="_PLD_32174384d8204c80ab4f8eb2ee1b7c00"/>
            <w:id w:val="-1914854323"/>
          </w:sdtPr>
          <w:sdtContent>
            <w:tc>
              <w:tcPr>
                <w:tcW w:w="468" w:type="pct"/>
                <w:tcBorders>
                  <w:top w:val="single" w:sz="4" w:space="0" w:color="auto"/>
                  <w:left w:val="single" w:sz="4" w:space="0" w:color="auto"/>
                  <w:bottom w:val="single" w:sz="4" w:space="0" w:color="auto"/>
                  <w:right w:val="single" w:sz="4" w:space="0" w:color="auto"/>
                </w:tcBorders>
                <w:vAlign w:val="center"/>
              </w:tcPr>
              <w:p w14:paraId="597F433B" w14:textId="77777777" w:rsidR="00577D08" w:rsidRDefault="00330FC0">
                <w:pPr>
                  <w:jc w:val="center"/>
                </w:pPr>
                <w:r>
                  <w:rPr>
                    <w:rFonts w:hint="eastAsia"/>
                  </w:rPr>
                  <w:t>追加投资</w:t>
                </w:r>
              </w:p>
            </w:tc>
          </w:sdtContent>
        </w:sdt>
        <w:sdt>
          <w:sdtPr>
            <w:tag w:val="_PLD_095046b604db44b8b22c0d62f18b7d7b"/>
            <w:id w:val="-1958857441"/>
          </w:sdtPr>
          <w:sdtContent>
            <w:tc>
              <w:tcPr>
                <w:tcW w:w="335" w:type="pct"/>
                <w:tcBorders>
                  <w:top w:val="single" w:sz="4" w:space="0" w:color="auto"/>
                  <w:left w:val="single" w:sz="4" w:space="0" w:color="auto"/>
                  <w:bottom w:val="single" w:sz="4" w:space="0" w:color="auto"/>
                  <w:right w:val="single" w:sz="4" w:space="0" w:color="auto"/>
                </w:tcBorders>
                <w:vAlign w:val="center"/>
              </w:tcPr>
              <w:p w14:paraId="024303A2" w14:textId="77777777" w:rsidR="00577D08" w:rsidRDefault="00330FC0">
                <w:pPr>
                  <w:jc w:val="center"/>
                </w:pPr>
                <w:r>
                  <w:rPr>
                    <w:rFonts w:hint="eastAsia"/>
                  </w:rPr>
                  <w:t>减少投资</w:t>
                </w:r>
              </w:p>
            </w:tc>
          </w:sdtContent>
        </w:sdt>
        <w:sdt>
          <w:sdtPr>
            <w:tag w:val="_PLD_6b1aa2f12a4b43c9acfdfe03af1b69b5"/>
            <w:id w:val="1014504304"/>
          </w:sdtPr>
          <w:sdtContent>
            <w:tc>
              <w:tcPr>
                <w:tcW w:w="493" w:type="pct"/>
                <w:tcBorders>
                  <w:top w:val="single" w:sz="4" w:space="0" w:color="auto"/>
                  <w:left w:val="single" w:sz="4" w:space="0" w:color="auto"/>
                  <w:bottom w:val="single" w:sz="4" w:space="0" w:color="auto"/>
                  <w:right w:val="single" w:sz="4" w:space="0" w:color="auto"/>
                </w:tcBorders>
                <w:vAlign w:val="center"/>
              </w:tcPr>
              <w:p w14:paraId="5FEEFF1E" w14:textId="77777777" w:rsidR="00577D08" w:rsidRDefault="00330FC0">
                <w:pPr>
                  <w:jc w:val="center"/>
                </w:pPr>
                <w:r>
                  <w:rPr>
                    <w:rFonts w:hint="eastAsia"/>
                  </w:rPr>
                  <w:t>权益法下确认的投资损益</w:t>
                </w:r>
              </w:p>
            </w:tc>
          </w:sdtContent>
        </w:sdt>
        <w:sdt>
          <w:sdtPr>
            <w:tag w:val="_PLD_7843f54d0d14415a8d81c3e768bcd483"/>
            <w:id w:val="-403456506"/>
          </w:sdtPr>
          <w:sdtContent>
            <w:tc>
              <w:tcPr>
                <w:tcW w:w="354" w:type="pct"/>
                <w:tcBorders>
                  <w:top w:val="single" w:sz="4" w:space="0" w:color="auto"/>
                  <w:left w:val="single" w:sz="4" w:space="0" w:color="auto"/>
                  <w:bottom w:val="single" w:sz="4" w:space="0" w:color="auto"/>
                  <w:right w:val="single" w:sz="4" w:space="0" w:color="auto"/>
                </w:tcBorders>
                <w:vAlign w:val="center"/>
              </w:tcPr>
              <w:p w14:paraId="6EBE149D" w14:textId="77777777" w:rsidR="00577D08" w:rsidRDefault="00330FC0">
                <w:pPr>
                  <w:jc w:val="center"/>
                </w:pPr>
                <w:r>
                  <w:rPr>
                    <w:rFonts w:hint="eastAsia"/>
                  </w:rPr>
                  <w:t>其他综合收益调整</w:t>
                </w:r>
              </w:p>
            </w:tc>
          </w:sdtContent>
        </w:sdt>
        <w:sdt>
          <w:sdtPr>
            <w:tag w:val="_PLD_dd698127723b4ea0815eca9ac49240a1"/>
            <w:id w:val="-712198353"/>
          </w:sdtPr>
          <w:sdtContent>
            <w:tc>
              <w:tcPr>
                <w:tcW w:w="357" w:type="pct"/>
                <w:tcBorders>
                  <w:top w:val="single" w:sz="4" w:space="0" w:color="auto"/>
                  <w:left w:val="single" w:sz="4" w:space="0" w:color="auto"/>
                  <w:bottom w:val="single" w:sz="4" w:space="0" w:color="auto"/>
                  <w:right w:val="single" w:sz="4" w:space="0" w:color="auto"/>
                </w:tcBorders>
                <w:vAlign w:val="center"/>
              </w:tcPr>
              <w:p w14:paraId="0D29BF67" w14:textId="77777777" w:rsidR="00577D08" w:rsidRDefault="00330FC0">
                <w:pPr>
                  <w:jc w:val="center"/>
                </w:pPr>
                <w:r>
                  <w:rPr>
                    <w:rFonts w:hint="eastAsia"/>
                  </w:rPr>
                  <w:t>其他权益变动</w:t>
                </w:r>
              </w:p>
            </w:tc>
          </w:sdtContent>
        </w:sdt>
        <w:sdt>
          <w:sdtPr>
            <w:tag w:val="_PLD_6d37a876ad014b7ba59d452d3d7f5f15"/>
            <w:id w:val="-160927551"/>
          </w:sdtPr>
          <w:sdtContent>
            <w:tc>
              <w:tcPr>
                <w:tcW w:w="397" w:type="pct"/>
                <w:tcBorders>
                  <w:top w:val="single" w:sz="4" w:space="0" w:color="auto"/>
                  <w:left w:val="single" w:sz="4" w:space="0" w:color="auto"/>
                  <w:bottom w:val="single" w:sz="4" w:space="0" w:color="auto"/>
                  <w:right w:val="single" w:sz="4" w:space="0" w:color="auto"/>
                </w:tcBorders>
                <w:vAlign w:val="center"/>
              </w:tcPr>
              <w:p w14:paraId="15A08958" w14:textId="77777777" w:rsidR="00577D08" w:rsidRDefault="00330FC0">
                <w:pPr>
                  <w:jc w:val="center"/>
                </w:pPr>
                <w:r>
                  <w:rPr>
                    <w:rFonts w:hint="eastAsia"/>
                  </w:rPr>
                  <w:t>宣告发放现金股利或利润</w:t>
                </w:r>
              </w:p>
            </w:tc>
          </w:sdtContent>
        </w:sdt>
        <w:sdt>
          <w:sdtPr>
            <w:tag w:val="_PLD_050d96d5e62f42b9bb4f13a2ca047503"/>
            <w:id w:val="-365985009"/>
          </w:sdtPr>
          <w:sdtContent>
            <w:tc>
              <w:tcPr>
                <w:tcW w:w="393" w:type="pct"/>
                <w:tcBorders>
                  <w:top w:val="single" w:sz="4" w:space="0" w:color="auto"/>
                  <w:left w:val="single" w:sz="4" w:space="0" w:color="auto"/>
                  <w:bottom w:val="single" w:sz="4" w:space="0" w:color="auto"/>
                  <w:right w:val="single" w:sz="4" w:space="0" w:color="auto"/>
                </w:tcBorders>
                <w:vAlign w:val="center"/>
              </w:tcPr>
              <w:p w14:paraId="4AC1ADEA" w14:textId="77777777" w:rsidR="00577D08" w:rsidRDefault="00330FC0">
                <w:pPr>
                  <w:jc w:val="center"/>
                </w:pPr>
                <w:r>
                  <w:rPr>
                    <w:rFonts w:hint="eastAsia"/>
                  </w:rPr>
                  <w:t>计提减值准备</w:t>
                </w:r>
              </w:p>
            </w:tc>
          </w:sdtContent>
        </w:sdt>
        <w:sdt>
          <w:sdtPr>
            <w:tag w:val="_PLD_add111e25b4543c48121d495919f2030"/>
            <w:id w:val="625272982"/>
          </w:sdtPr>
          <w:sdtContent>
            <w:tc>
              <w:tcPr>
                <w:tcW w:w="385" w:type="pct"/>
                <w:tcBorders>
                  <w:top w:val="single" w:sz="4" w:space="0" w:color="auto"/>
                  <w:left w:val="single" w:sz="4" w:space="0" w:color="auto"/>
                  <w:bottom w:val="single" w:sz="4" w:space="0" w:color="auto"/>
                  <w:right w:val="single" w:sz="4" w:space="0" w:color="auto"/>
                </w:tcBorders>
                <w:vAlign w:val="center"/>
              </w:tcPr>
              <w:p w14:paraId="0339C5A6" w14:textId="77777777" w:rsidR="00577D08" w:rsidRDefault="00330FC0">
                <w:pPr>
                  <w:jc w:val="center"/>
                </w:pPr>
                <w:r>
                  <w:rPr>
                    <w:rFonts w:hint="eastAsia"/>
                  </w:rPr>
                  <w:t>其他</w:t>
                </w:r>
              </w:p>
            </w:tc>
          </w:sdtContent>
        </w:sdt>
        <w:tc>
          <w:tcPr>
            <w:tcW w:w="390" w:type="pct"/>
            <w:vMerge/>
            <w:tcBorders>
              <w:left w:val="single" w:sz="4" w:space="0" w:color="auto"/>
              <w:bottom w:val="single" w:sz="4" w:space="0" w:color="auto"/>
              <w:right w:val="single" w:sz="4" w:space="0" w:color="auto"/>
            </w:tcBorders>
            <w:vAlign w:val="center"/>
          </w:tcPr>
          <w:p w14:paraId="5A602A66" w14:textId="77777777" w:rsidR="00577D08" w:rsidRDefault="00577D08">
            <w:pPr>
              <w:jc w:val="center"/>
            </w:pPr>
          </w:p>
        </w:tc>
        <w:tc>
          <w:tcPr>
            <w:tcW w:w="505" w:type="pct"/>
            <w:vMerge/>
            <w:tcBorders>
              <w:left w:val="single" w:sz="4" w:space="0" w:color="auto"/>
              <w:bottom w:val="single" w:sz="4" w:space="0" w:color="auto"/>
              <w:right w:val="single" w:sz="4" w:space="0" w:color="auto"/>
            </w:tcBorders>
            <w:vAlign w:val="center"/>
          </w:tcPr>
          <w:p w14:paraId="364774A2" w14:textId="77777777" w:rsidR="00577D08" w:rsidRDefault="00577D08">
            <w:pPr>
              <w:jc w:val="center"/>
            </w:pPr>
          </w:p>
        </w:tc>
      </w:tr>
      <w:tr w:rsidR="00577D08" w14:paraId="042EE33E" w14:textId="77777777">
        <w:sdt>
          <w:sdtPr>
            <w:tag w:val="_PLD_35b755e14b594e4c91e0b7c9ecb32e60"/>
            <w:id w:val="582575188"/>
          </w:sdtPr>
          <w:sdtContent>
            <w:tc>
              <w:tcPr>
                <w:tcW w:w="5000" w:type="pct"/>
                <w:gridSpan w:val="12"/>
                <w:tcBorders>
                  <w:top w:val="single" w:sz="4" w:space="0" w:color="auto"/>
                  <w:left w:val="single" w:sz="4" w:space="0" w:color="auto"/>
                  <w:bottom w:val="single" w:sz="4" w:space="0" w:color="auto"/>
                  <w:right w:val="single" w:sz="4" w:space="0" w:color="auto"/>
                </w:tcBorders>
                <w:vAlign w:val="center"/>
              </w:tcPr>
              <w:p w14:paraId="62702B02" w14:textId="77777777" w:rsidR="00577D08" w:rsidRDefault="00330FC0">
                <w:pPr>
                  <w:jc w:val="both"/>
                </w:pPr>
                <w:r>
                  <w:rPr>
                    <w:rFonts w:hint="eastAsia"/>
                  </w:rPr>
                  <w:t>一、合营企业</w:t>
                </w:r>
              </w:p>
            </w:tc>
          </w:sdtContent>
        </w:sdt>
      </w:tr>
      <w:tr w:rsidR="00577D08" w14:paraId="18B760E3" w14:textId="77777777">
        <w:tc>
          <w:tcPr>
            <w:tcW w:w="419" w:type="pct"/>
            <w:tcBorders>
              <w:top w:val="single" w:sz="4" w:space="0" w:color="auto"/>
              <w:left w:val="single" w:sz="4" w:space="0" w:color="auto"/>
              <w:bottom w:val="single" w:sz="4" w:space="0" w:color="auto"/>
              <w:right w:val="single" w:sz="4" w:space="0" w:color="auto"/>
            </w:tcBorders>
            <w:vAlign w:val="center"/>
          </w:tcPr>
          <w:p w14:paraId="15D06A23" w14:textId="77777777" w:rsidR="00577D08" w:rsidRDefault="00330FC0">
            <w:pPr>
              <w:jc w:val="both"/>
            </w:pPr>
            <w:r>
              <w:rPr>
                <w:rFonts w:hint="eastAsia"/>
              </w:rPr>
              <w:t>小计</w:t>
            </w:r>
          </w:p>
        </w:tc>
        <w:tc>
          <w:tcPr>
            <w:tcW w:w="505" w:type="pct"/>
            <w:tcBorders>
              <w:top w:val="single" w:sz="4" w:space="0" w:color="auto"/>
              <w:left w:val="single" w:sz="4" w:space="0" w:color="auto"/>
              <w:bottom w:val="single" w:sz="4" w:space="0" w:color="auto"/>
              <w:right w:val="single" w:sz="4" w:space="0" w:color="auto"/>
            </w:tcBorders>
            <w:vAlign w:val="center"/>
          </w:tcPr>
          <w:p w14:paraId="7784856C" w14:textId="77777777" w:rsidR="00577D08" w:rsidRDefault="00577D08">
            <w:pPr>
              <w:jc w:val="right"/>
            </w:pPr>
          </w:p>
        </w:tc>
        <w:tc>
          <w:tcPr>
            <w:tcW w:w="468" w:type="pct"/>
            <w:tcBorders>
              <w:top w:val="single" w:sz="4" w:space="0" w:color="auto"/>
              <w:left w:val="single" w:sz="4" w:space="0" w:color="auto"/>
              <w:bottom w:val="single" w:sz="4" w:space="0" w:color="auto"/>
              <w:right w:val="single" w:sz="4" w:space="0" w:color="auto"/>
            </w:tcBorders>
            <w:vAlign w:val="center"/>
          </w:tcPr>
          <w:p w14:paraId="31FF6FBB" w14:textId="77777777" w:rsidR="00577D08" w:rsidRDefault="00577D08">
            <w:pPr>
              <w:jc w:val="right"/>
            </w:pPr>
          </w:p>
        </w:tc>
        <w:tc>
          <w:tcPr>
            <w:tcW w:w="335" w:type="pct"/>
            <w:tcBorders>
              <w:top w:val="single" w:sz="4" w:space="0" w:color="auto"/>
              <w:left w:val="single" w:sz="4" w:space="0" w:color="auto"/>
              <w:bottom w:val="single" w:sz="4" w:space="0" w:color="auto"/>
              <w:right w:val="single" w:sz="4" w:space="0" w:color="auto"/>
            </w:tcBorders>
            <w:vAlign w:val="center"/>
          </w:tcPr>
          <w:p w14:paraId="2F6E1733"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2D7CD732" w14:textId="77777777" w:rsidR="00577D08" w:rsidRDefault="00577D08">
            <w:pPr>
              <w:jc w:val="right"/>
            </w:pPr>
          </w:p>
        </w:tc>
        <w:tc>
          <w:tcPr>
            <w:tcW w:w="354" w:type="pct"/>
            <w:tcBorders>
              <w:top w:val="single" w:sz="4" w:space="0" w:color="auto"/>
              <w:left w:val="single" w:sz="4" w:space="0" w:color="auto"/>
              <w:bottom w:val="single" w:sz="4" w:space="0" w:color="auto"/>
              <w:right w:val="single" w:sz="4" w:space="0" w:color="auto"/>
            </w:tcBorders>
            <w:vAlign w:val="center"/>
          </w:tcPr>
          <w:p w14:paraId="29586093"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3E7D9EDA" w14:textId="77777777" w:rsidR="00577D08" w:rsidRDefault="00577D08">
            <w:pPr>
              <w:jc w:val="right"/>
            </w:pPr>
          </w:p>
        </w:tc>
        <w:tc>
          <w:tcPr>
            <w:tcW w:w="397" w:type="pct"/>
            <w:tcBorders>
              <w:top w:val="single" w:sz="4" w:space="0" w:color="auto"/>
              <w:left w:val="single" w:sz="4" w:space="0" w:color="auto"/>
              <w:bottom w:val="single" w:sz="4" w:space="0" w:color="auto"/>
              <w:right w:val="single" w:sz="4" w:space="0" w:color="auto"/>
            </w:tcBorders>
            <w:vAlign w:val="center"/>
          </w:tcPr>
          <w:p w14:paraId="7443D48E" w14:textId="77777777" w:rsidR="00577D08" w:rsidRDefault="00577D08">
            <w:pPr>
              <w:jc w:val="right"/>
            </w:pPr>
          </w:p>
        </w:tc>
        <w:tc>
          <w:tcPr>
            <w:tcW w:w="393" w:type="pct"/>
            <w:tcBorders>
              <w:top w:val="single" w:sz="4" w:space="0" w:color="auto"/>
              <w:left w:val="single" w:sz="4" w:space="0" w:color="auto"/>
              <w:bottom w:val="single" w:sz="4" w:space="0" w:color="auto"/>
              <w:right w:val="single" w:sz="4" w:space="0" w:color="auto"/>
            </w:tcBorders>
            <w:vAlign w:val="center"/>
          </w:tcPr>
          <w:p w14:paraId="693E30BD"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11E0A4E5" w14:textId="77777777" w:rsidR="00577D08" w:rsidRDefault="00577D08">
            <w:pPr>
              <w:jc w:val="right"/>
            </w:pPr>
          </w:p>
        </w:tc>
        <w:tc>
          <w:tcPr>
            <w:tcW w:w="390" w:type="pct"/>
            <w:tcBorders>
              <w:top w:val="single" w:sz="4" w:space="0" w:color="auto"/>
              <w:left w:val="single" w:sz="4" w:space="0" w:color="auto"/>
              <w:bottom w:val="single" w:sz="4" w:space="0" w:color="auto"/>
              <w:right w:val="single" w:sz="4" w:space="0" w:color="auto"/>
            </w:tcBorders>
            <w:vAlign w:val="center"/>
          </w:tcPr>
          <w:p w14:paraId="72229DAF"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35084121" w14:textId="77777777" w:rsidR="00577D08" w:rsidRDefault="00577D08">
            <w:pPr>
              <w:jc w:val="right"/>
            </w:pPr>
          </w:p>
        </w:tc>
      </w:tr>
      <w:tr w:rsidR="00577D08" w14:paraId="573E86EA" w14:textId="77777777">
        <w:sdt>
          <w:sdtPr>
            <w:tag w:val="_PLD_2c448562bca04f23a9ec97848768cd82"/>
            <w:id w:val="966317196"/>
          </w:sdtPr>
          <w:sdtContent>
            <w:tc>
              <w:tcPr>
                <w:tcW w:w="5000" w:type="pct"/>
                <w:gridSpan w:val="12"/>
                <w:tcBorders>
                  <w:top w:val="single" w:sz="4" w:space="0" w:color="auto"/>
                  <w:left w:val="single" w:sz="4" w:space="0" w:color="auto"/>
                  <w:bottom w:val="single" w:sz="4" w:space="0" w:color="auto"/>
                  <w:right w:val="single" w:sz="4" w:space="0" w:color="auto"/>
                </w:tcBorders>
                <w:vAlign w:val="center"/>
              </w:tcPr>
              <w:p w14:paraId="4E0CAC65" w14:textId="77777777" w:rsidR="00577D08" w:rsidRDefault="00330FC0">
                <w:pPr>
                  <w:jc w:val="both"/>
                </w:pPr>
                <w:r>
                  <w:rPr>
                    <w:rFonts w:hint="eastAsia"/>
                  </w:rPr>
                  <w:t>二、联营企业</w:t>
                </w:r>
              </w:p>
            </w:tc>
          </w:sdtContent>
        </w:sdt>
      </w:tr>
      <w:tr w:rsidR="00577D08" w14:paraId="4CFFF552" w14:textId="77777777">
        <w:tc>
          <w:tcPr>
            <w:tcW w:w="419" w:type="pct"/>
            <w:tcBorders>
              <w:top w:val="single" w:sz="4" w:space="0" w:color="auto"/>
              <w:left w:val="single" w:sz="4" w:space="0" w:color="auto"/>
              <w:bottom w:val="single" w:sz="4" w:space="0" w:color="auto"/>
              <w:right w:val="single" w:sz="4" w:space="0" w:color="auto"/>
            </w:tcBorders>
          </w:tcPr>
          <w:p w14:paraId="14CAB240" w14:textId="77777777" w:rsidR="00577D08" w:rsidRDefault="00330FC0">
            <w:pPr>
              <w:jc w:val="both"/>
            </w:pPr>
            <w:r>
              <w:rPr>
                <w:rFonts w:hint="eastAsia"/>
              </w:rPr>
              <w:t>重庆能投长寿经开区售电有限公司</w:t>
            </w:r>
          </w:p>
        </w:tc>
        <w:tc>
          <w:tcPr>
            <w:tcW w:w="505" w:type="pct"/>
            <w:tcBorders>
              <w:top w:val="single" w:sz="4" w:space="0" w:color="auto"/>
              <w:left w:val="single" w:sz="4" w:space="0" w:color="auto"/>
              <w:bottom w:val="single" w:sz="4" w:space="0" w:color="auto"/>
              <w:right w:val="single" w:sz="4" w:space="0" w:color="auto"/>
            </w:tcBorders>
            <w:vAlign w:val="center"/>
          </w:tcPr>
          <w:p w14:paraId="3F2502AA" w14:textId="77777777" w:rsidR="00577D08" w:rsidRDefault="00330FC0">
            <w:pPr>
              <w:jc w:val="right"/>
            </w:pPr>
            <w:r>
              <w:t>14,718,479.56</w:t>
            </w:r>
          </w:p>
        </w:tc>
        <w:tc>
          <w:tcPr>
            <w:tcW w:w="468" w:type="pct"/>
            <w:tcBorders>
              <w:top w:val="single" w:sz="4" w:space="0" w:color="auto"/>
              <w:left w:val="single" w:sz="4" w:space="0" w:color="auto"/>
              <w:bottom w:val="single" w:sz="4" w:space="0" w:color="auto"/>
              <w:right w:val="single" w:sz="4" w:space="0" w:color="auto"/>
            </w:tcBorders>
            <w:vAlign w:val="center"/>
          </w:tcPr>
          <w:p w14:paraId="09E3FD31" w14:textId="77777777" w:rsidR="00577D08" w:rsidRDefault="00577D08">
            <w:pPr>
              <w:jc w:val="right"/>
            </w:pPr>
          </w:p>
        </w:tc>
        <w:tc>
          <w:tcPr>
            <w:tcW w:w="335" w:type="pct"/>
            <w:tcBorders>
              <w:top w:val="single" w:sz="4" w:space="0" w:color="auto"/>
              <w:left w:val="single" w:sz="4" w:space="0" w:color="auto"/>
              <w:bottom w:val="single" w:sz="4" w:space="0" w:color="auto"/>
              <w:right w:val="single" w:sz="4" w:space="0" w:color="auto"/>
            </w:tcBorders>
            <w:vAlign w:val="center"/>
          </w:tcPr>
          <w:p w14:paraId="0A74F494"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43D798F3" w14:textId="77777777" w:rsidR="00577D08" w:rsidRDefault="00330FC0">
            <w:pPr>
              <w:jc w:val="right"/>
            </w:pPr>
            <w:r>
              <w:t>-813,839.54</w:t>
            </w:r>
          </w:p>
        </w:tc>
        <w:tc>
          <w:tcPr>
            <w:tcW w:w="354" w:type="pct"/>
            <w:tcBorders>
              <w:top w:val="single" w:sz="4" w:space="0" w:color="auto"/>
              <w:left w:val="single" w:sz="4" w:space="0" w:color="auto"/>
              <w:bottom w:val="single" w:sz="4" w:space="0" w:color="auto"/>
              <w:right w:val="single" w:sz="4" w:space="0" w:color="auto"/>
            </w:tcBorders>
            <w:vAlign w:val="center"/>
          </w:tcPr>
          <w:p w14:paraId="41136B2F"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2103B9CD" w14:textId="77777777" w:rsidR="00577D08" w:rsidRDefault="00577D08">
            <w:pPr>
              <w:jc w:val="right"/>
            </w:pPr>
          </w:p>
        </w:tc>
        <w:tc>
          <w:tcPr>
            <w:tcW w:w="397" w:type="pct"/>
            <w:tcBorders>
              <w:top w:val="single" w:sz="4" w:space="0" w:color="auto"/>
              <w:left w:val="single" w:sz="4" w:space="0" w:color="auto"/>
              <w:bottom w:val="single" w:sz="4" w:space="0" w:color="auto"/>
              <w:right w:val="single" w:sz="4" w:space="0" w:color="auto"/>
            </w:tcBorders>
            <w:vAlign w:val="center"/>
          </w:tcPr>
          <w:p w14:paraId="26FBAB24" w14:textId="77777777" w:rsidR="00577D08" w:rsidRDefault="00577D08">
            <w:pPr>
              <w:jc w:val="right"/>
            </w:pPr>
          </w:p>
        </w:tc>
        <w:tc>
          <w:tcPr>
            <w:tcW w:w="393" w:type="pct"/>
            <w:tcBorders>
              <w:top w:val="single" w:sz="4" w:space="0" w:color="auto"/>
              <w:left w:val="single" w:sz="4" w:space="0" w:color="auto"/>
              <w:bottom w:val="single" w:sz="4" w:space="0" w:color="auto"/>
              <w:right w:val="single" w:sz="4" w:space="0" w:color="auto"/>
            </w:tcBorders>
            <w:vAlign w:val="center"/>
          </w:tcPr>
          <w:p w14:paraId="1FE14A5D"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20EE93CD" w14:textId="77777777" w:rsidR="00577D08" w:rsidRDefault="00577D08">
            <w:pPr>
              <w:jc w:val="right"/>
            </w:pPr>
          </w:p>
        </w:tc>
        <w:tc>
          <w:tcPr>
            <w:tcW w:w="390" w:type="pct"/>
            <w:tcBorders>
              <w:top w:val="single" w:sz="4" w:space="0" w:color="auto"/>
              <w:left w:val="single" w:sz="4" w:space="0" w:color="auto"/>
              <w:bottom w:val="single" w:sz="4" w:space="0" w:color="auto"/>
              <w:right w:val="single" w:sz="4" w:space="0" w:color="auto"/>
            </w:tcBorders>
            <w:vAlign w:val="center"/>
          </w:tcPr>
          <w:p w14:paraId="7BA8D3EB" w14:textId="77777777" w:rsidR="00577D08" w:rsidRDefault="00330FC0">
            <w:pPr>
              <w:jc w:val="right"/>
            </w:pPr>
            <w:r>
              <w:t>13,904,640.02</w:t>
            </w:r>
          </w:p>
        </w:tc>
        <w:tc>
          <w:tcPr>
            <w:tcW w:w="505" w:type="pct"/>
            <w:tcBorders>
              <w:top w:val="single" w:sz="4" w:space="0" w:color="auto"/>
              <w:left w:val="single" w:sz="4" w:space="0" w:color="auto"/>
              <w:bottom w:val="single" w:sz="4" w:space="0" w:color="auto"/>
              <w:right w:val="single" w:sz="4" w:space="0" w:color="auto"/>
            </w:tcBorders>
            <w:vAlign w:val="center"/>
          </w:tcPr>
          <w:p w14:paraId="16D6E445" w14:textId="77777777" w:rsidR="00577D08" w:rsidRDefault="00577D08">
            <w:pPr>
              <w:jc w:val="right"/>
            </w:pPr>
          </w:p>
        </w:tc>
      </w:tr>
      <w:tr w:rsidR="00577D08" w14:paraId="16C2A62D" w14:textId="77777777">
        <w:tc>
          <w:tcPr>
            <w:tcW w:w="419" w:type="pct"/>
            <w:tcBorders>
              <w:top w:val="single" w:sz="4" w:space="0" w:color="auto"/>
              <w:left w:val="single" w:sz="4" w:space="0" w:color="auto"/>
              <w:bottom w:val="single" w:sz="4" w:space="0" w:color="auto"/>
              <w:right w:val="single" w:sz="4" w:space="0" w:color="auto"/>
            </w:tcBorders>
          </w:tcPr>
          <w:p w14:paraId="127324DB" w14:textId="77777777" w:rsidR="00577D08" w:rsidRDefault="00330FC0">
            <w:pPr>
              <w:jc w:val="both"/>
            </w:pPr>
            <w:r>
              <w:rPr>
                <w:rFonts w:hint="eastAsia"/>
              </w:rPr>
              <w:t>深圳南海电气科技有限公司</w:t>
            </w:r>
          </w:p>
        </w:tc>
        <w:tc>
          <w:tcPr>
            <w:tcW w:w="505" w:type="pct"/>
            <w:tcBorders>
              <w:top w:val="single" w:sz="4" w:space="0" w:color="auto"/>
              <w:left w:val="single" w:sz="4" w:space="0" w:color="auto"/>
              <w:bottom w:val="single" w:sz="4" w:space="0" w:color="auto"/>
              <w:right w:val="single" w:sz="4" w:space="0" w:color="auto"/>
            </w:tcBorders>
            <w:vAlign w:val="center"/>
          </w:tcPr>
          <w:p w14:paraId="6659A5C5" w14:textId="77777777" w:rsidR="00577D08" w:rsidRDefault="00577D08">
            <w:pPr>
              <w:jc w:val="right"/>
            </w:pPr>
          </w:p>
        </w:tc>
        <w:tc>
          <w:tcPr>
            <w:tcW w:w="468" w:type="pct"/>
            <w:tcBorders>
              <w:top w:val="single" w:sz="4" w:space="0" w:color="auto"/>
              <w:left w:val="single" w:sz="4" w:space="0" w:color="auto"/>
              <w:bottom w:val="single" w:sz="4" w:space="0" w:color="auto"/>
              <w:right w:val="single" w:sz="4" w:space="0" w:color="auto"/>
            </w:tcBorders>
            <w:vAlign w:val="center"/>
          </w:tcPr>
          <w:p w14:paraId="183969F5" w14:textId="77777777" w:rsidR="00577D08" w:rsidRDefault="00330FC0">
            <w:pPr>
              <w:jc w:val="right"/>
            </w:pPr>
            <w:r>
              <w:t>4,000,000.00</w:t>
            </w:r>
          </w:p>
        </w:tc>
        <w:tc>
          <w:tcPr>
            <w:tcW w:w="335" w:type="pct"/>
            <w:tcBorders>
              <w:top w:val="single" w:sz="4" w:space="0" w:color="auto"/>
              <w:left w:val="single" w:sz="4" w:space="0" w:color="auto"/>
              <w:bottom w:val="single" w:sz="4" w:space="0" w:color="auto"/>
              <w:right w:val="single" w:sz="4" w:space="0" w:color="auto"/>
            </w:tcBorders>
            <w:vAlign w:val="center"/>
          </w:tcPr>
          <w:p w14:paraId="6DA2AB5A"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14948340" w14:textId="77777777" w:rsidR="00577D08" w:rsidRDefault="00330FC0">
            <w:pPr>
              <w:jc w:val="right"/>
            </w:pPr>
            <w:r>
              <w:t>-1,800,291.41</w:t>
            </w:r>
          </w:p>
        </w:tc>
        <w:tc>
          <w:tcPr>
            <w:tcW w:w="354" w:type="pct"/>
            <w:tcBorders>
              <w:top w:val="single" w:sz="4" w:space="0" w:color="auto"/>
              <w:left w:val="single" w:sz="4" w:space="0" w:color="auto"/>
              <w:bottom w:val="single" w:sz="4" w:space="0" w:color="auto"/>
              <w:right w:val="single" w:sz="4" w:space="0" w:color="auto"/>
            </w:tcBorders>
            <w:vAlign w:val="center"/>
          </w:tcPr>
          <w:p w14:paraId="207BE2ED"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4BBD6C2C" w14:textId="77777777" w:rsidR="00577D08" w:rsidRDefault="00577D08">
            <w:pPr>
              <w:jc w:val="right"/>
            </w:pPr>
          </w:p>
        </w:tc>
        <w:tc>
          <w:tcPr>
            <w:tcW w:w="397" w:type="pct"/>
            <w:tcBorders>
              <w:top w:val="single" w:sz="4" w:space="0" w:color="auto"/>
              <w:left w:val="single" w:sz="4" w:space="0" w:color="auto"/>
              <w:bottom w:val="single" w:sz="4" w:space="0" w:color="auto"/>
              <w:right w:val="single" w:sz="4" w:space="0" w:color="auto"/>
            </w:tcBorders>
            <w:vAlign w:val="center"/>
          </w:tcPr>
          <w:p w14:paraId="3CEBB82A" w14:textId="77777777" w:rsidR="00577D08" w:rsidRDefault="00577D08">
            <w:pPr>
              <w:jc w:val="right"/>
            </w:pPr>
          </w:p>
        </w:tc>
        <w:tc>
          <w:tcPr>
            <w:tcW w:w="393" w:type="pct"/>
            <w:tcBorders>
              <w:top w:val="single" w:sz="4" w:space="0" w:color="auto"/>
              <w:left w:val="single" w:sz="4" w:space="0" w:color="auto"/>
              <w:bottom w:val="single" w:sz="4" w:space="0" w:color="auto"/>
              <w:right w:val="single" w:sz="4" w:space="0" w:color="auto"/>
            </w:tcBorders>
            <w:vAlign w:val="center"/>
          </w:tcPr>
          <w:p w14:paraId="3A04F77A"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6B96E373" w14:textId="77777777" w:rsidR="00577D08" w:rsidRDefault="00577D08">
            <w:pPr>
              <w:jc w:val="right"/>
            </w:pPr>
          </w:p>
        </w:tc>
        <w:tc>
          <w:tcPr>
            <w:tcW w:w="390" w:type="pct"/>
            <w:tcBorders>
              <w:top w:val="single" w:sz="4" w:space="0" w:color="auto"/>
              <w:left w:val="single" w:sz="4" w:space="0" w:color="auto"/>
              <w:bottom w:val="single" w:sz="4" w:space="0" w:color="auto"/>
              <w:right w:val="single" w:sz="4" w:space="0" w:color="auto"/>
            </w:tcBorders>
            <w:vAlign w:val="center"/>
          </w:tcPr>
          <w:p w14:paraId="16A0B4B5" w14:textId="77777777" w:rsidR="00577D08" w:rsidRDefault="00330FC0">
            <w:pPr>
              <w:jc w:val="right"/>
            </w:pPr>
            <w:r>
              <w:t>2,199,708.59</w:t>
            </w:r>
          </w:p>
        </w:tc>
        <w:tc>
          <w:tcPr>
            <w:tcW w:w="505" w:type="pct"/>
            <w:tcBorders>
              <w:top w:val="single" w:sz="4" w:space="0" w:color="auto"/>
              <w:left w:val="single" w:sz="4" w:space="0" w:color="auto"/>
              <w:bottom w:val="single" w:sz="4" w:space="0" w:color="auto"/>
              <w:right w:val="single" w:sz="4" w:space="0" w:color="auto"/>
            </w:tcBorders>
            <w:vAlign w:val="center"/>
          </w:tcPr>
          <w:p w14:paraId="2E413608" w14:textId="77777777" w:rsidR="00577D08" w:rsidRDefault="00577D08">
            <w:pPr>
              <w:jc w:val="right"/>
            </w:pPr>
          </w:p>
        </w:tc>
      </w:tr>
      <w:tr w:rsidR="00577D08" w14:paraId="3F4EDA21" w14:textId="77777777">
        <w:tc>
          <w:tcPr>
            <w:tcW w:w="419" w:type="pct"/>
            <w:tcBorders>
              <w:top w:val="single" w:sz="4" w:space="0" w:color="auto"/>
              <w:left w:val="single" w:sz="4" w:space="0" w:color="auto"/>
              <w:bottom w:val="single" w:sz="4" w:space="0" w:color="auto"/>
              <w:right w:val="single" w:sz="4" w:space="0" w:color="auto"/>
            </w:tcBorders>
            <w:vAlign w:val="center"/>
          </w:tcPr>
          <w:p w14:paraId="446DDAF3" w14:textId="77777777" w:rsidR="00577D08" w:rsidRDefault="00330FC0">
            <w:pPr>
              <w:jc w:val="both"/>
            </w:pPr>
            <w:r>
              <w:rPr>
                <w:rFonts w:hint="eastAsia"/>
              </w:rPr>
              <w:t>小计</w:t>
            </w:r>
          </w:p>
        </w:tc>
        <w:tc>
          <w:tcPr>
            <w:tcW w:w="505" w:type="pct"/>
            <w:tcBorders>
              <w:top w:val="single" w:sz="4" w:space="0" w:color="auto"/>
              <w:left w:val="single" w:sz="4" w:space="0" w:color="auto"/>
              <w:bottom w:val="single" w:sz="4" w:space="0" w:color="auto"/>
              <w:right w:val="single" w:sz="4" w:space="0" w:color="auto"/>
            </w:tcBorders>
            <w:vAlign w:val="center"/>
          </w:tcPr>
          <w:p w14:paraId="45756482" w14:textId="77777777" w:rsidR="00577D08" w:rsidRDefault="00330FC0">
            <w:pPr>
              <w:jc w:val="right"/>
            </w:pPr>
            <w:r>
              <w:t>14,718,479.56</w:t>
            </w:r>
          </w:p>
        </w:tc>
        <w:tc>
          <w:tcPr>
            <w:tcW w:w="468" w:type="pct"/>
            <w:tcBorders>
              <w:top w:val="single" w:sz="4" w:space="0" w:color="auto"/>
              <w:left w:val="single" w:sz="4" w:space="0" w:color="auto"/>
              <w:bottom w:val="single" w:sz="4" w:space="0" w:color="auto"/>
              <w:right w:val="single" w:sz="4" w:space="0" w:color="auto"/>
            </w:tcBorders>
            <w:vAlign w:val="center"/>
          </w:tcPr>
          <w:p w14:paraId="439DACF6" w14:textId="77777777" w:rsidR="00577D08" w:rsidRDefault="00330FC0">
            <w:pPr>
              <w:jc w:val="right"/>
            </w:pPr>
            <w:r>
              <w:t>4,000,000.00</w:t>
            </w:r>
          </w:p>
        </w:tc>
        <w:tc>
          <w:tcPr>
            <w:tcW w:w="335" w:type="pct"/>
            <w:tcBorders>
              <w:top w:val="single" w:sz="4" w:space="0" w:color="auto"/>
              <w:left w:val="single" w:sz="4" w:space="0" w:color="auto"/>
              <w:bottom w:val="single" w:sz="4" w:space="0" w:color="auto"/>
              <w:right w:val="single" w:sz="4" w:space="0" w:color="auto"/>
            </w:tcBorders>
            <w:vAlign w:val="center"/>
          </w:tcPr>
          <w:p w14:paraId="13013C20"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316C5A8A" w14:textId="77777777" w:rsidR="00577D08" w:rsidRDefault="00330FC0">
            <w:pPr>
              <w:jc w:val="right"/>
            </w:pPr>
            <w:r>
              <w:t>-2,614,130.95</w:t>
            </w:r>
          </w:p>
        </w:tc>
        <w:tc>
          <w:tcPr>
            <w:tcW w:w="354" w:type="pct"/>
            <w:tcBorders>
              <w:top w:val="single" w:sz="4" w:space="0" w:color="auto"/>
              <w:left w:val="single" w:sz="4" w:space="0" w:color="auto"/>
              <w:bottom w:val="single" w:sz="4" w:space="0" w:color="auto"/>
              <w:right w:val="single" w:sz="4" w:space="0" w:color="auto"/>
            </w:tcBorders>
            <w:vAlign w:val="center"/>
          </w:tcPr>
          <w:p w14:paraId="24DA1B7A"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5E5CEBC3" w14:textId="77777777" w:rsidR="00577D08" w:rsidRDefault="00577D08">
            <w:pPr>
              <w:jc w:val="right"/>
            </w:pPr>
          </w:p>
        </w:tc>
        <w:tc>
          <w:tcPr>
            <w:tcW w:w="397" w:type="pct"/>
            <w:tcBorders>
              <w:top w:val="single" w:sz="4" w:space="0" w:color="auto"/>
              <w:left w:val="single" w:sz="4" w:space="0" w:color="auto"/>
              <w:bottom w:val="single" w:sz="4" w:space="0" w:color="auto"/>
              <w:right w:val="single" w:sz="4" w:space="0" w:color="auto"/>
            </w:tcBorders>
            <w:vAlign w:val="center"/>
          </w:tcPr>
          <w:p w14:paraId="2DCD8CE1" w14:textId="77777777" w:rsidR="00577D08" w:rsidRDefault="00577D08">
            <w:pPr>
              <w:jc w:val="right"/>
            </w:pPr>
          </w:p>
        </w:tc>
        <w:tc>
          <w:tcPr>
            <w:tcW w:w="393" w:type="pct"/>
            <w:tcBorders>
              <w:top w:val="single" w:sz="4" w:space="0" w:color="auto"/>
              <w:left w:val="single" w:sz="4" w:space="0" w:color="auto"/>
              <w:bottom w:val="single" w:sz="4" w:space="0" w:color="auto"/>
              <w:right w:val="single" w:sz="4" w:space="0" w:color="auto"/>
            </w:tcBorders>
            <w:vAlign w:val="center"/>
          </w:tcPr>
          <w:p w14:paraId="41A262F0"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0DBA6ACE" w14:textId="77777777" w:rsidR="00577D08" w:rsidRDefault="00577D08">
            <w:pPr>
              <w:jc w:val="right"/>
            </w:pPr>
          </w:p>
        </w:tc>
        <w:tc>
          <w:tcPr>
            <w:tcW w:w="390" w:type="pct"/>
            <w:tcBorders>
              <w:top w:val="single" w:sz="4" w:space="0" w:color="auto"/>
              <w:left w:val="single" w:sz="4" w:space="0" w:color="auto"/>
              <w:bottom w:val="single" w:sz="4" w:space="0" w:color="auto"/>
              <w:right w:val="single" w:sz="4" w:space="0" w:color="auto"/>
            </w:tcBorders>
            <w:vAlign w:val="center"/>
          </w:tcPr>
          <w:p w14:paraId="43A01D9A" w14:textId="77777777" w:rsidR="00577D08" w:rsidRDefault="00330FC0">
            <w:pPr>
              <w:jc w:val="right"/>
            </w:pPr>
            <w:r>
              <w:t>16,104,348.61</w:t>
            </w:r>
          </w:p>
        </w:tc>
        <w:tc>
          <w:tcPr>
            <w:tcW w:w="505" w:type="pct"/>
            <w:tcBorders>
              <w:top w:val="single" w:sz="4" w:space="0" w:color="auto"/>
              <w:left w:val="single" w:sz="4" w:space="0" w:color="auto"/>
              <w:bottom w:val="single" w:sz="4" w:space="0" w:color="auto"/>
              <w:right w:val="single" w:sz="4" w:space="0" w:color="auto"/>
            </w:tcBorders>
            <w:vAlign w:val="center"/>
          </w:tcPr>
          <w:p w14:paraId="709C82B2" w14:textId="77777777" w:rsidR="00577D08" w:rsidRDefault="00577D08">
            <w:pPr>
              <w:jc w:val="right"/>
            </w:pPr>
          </w:p>
        </w:tc>
      </w:tr>
      <w:tr w:rsidR="00577D08" w14:paraId="615C2E5B" w14:textId="77777777">
        <w:tc>
          <w:tcPr>
            <w:tcW w:w="419" w:type="pct"/>
            <w:tcBorders>
              <w:top w:val="single" w:sz="4" w:space="0" w:color="auto"/>
              <w:left w:val="single" w:sz="4" w:space="0" w:color="auto"/>
              <w:bottom w:val="single" w:sz="4" w:space="0" w:color="auto"/>
              <w:right w:val="single" w:sz="4" w:space="0" w:color="auto"/>
            </w:tcBorders>
            <w:vAlign w:val="center"/>
          </w:tcPr>
          <w:p w14:paraId="4F12FA61" w14:textId="77777777" w:rsidR="00577D08" w:rsidRDefault="00330FC0">
            <w:pPr>
              <w:jc w:val="center"/>
            </w:pPr>
            <w:r>
              <w:rPr>
                <w:rFonts w:hint="eastAsia"/>
              </w:rPr>
              <w:t>合计</w:t>
            </w:r>
          </w:p>
        </w:tc>
        <w:tc>
          <w:tcPr>
            <w:tcW w:w="505" w:type="pct"/>
            <w:tcBorders>
              <w:top w:val="single" w:sz="4" w:space="0" w:color="auto"/>
              <w:left w:val="single" w:sz="4" w:space="0" w:color="auto"/>
              <w:bottom w:val="single" w:sz="4" w:space="0" w:color="auto"/>
              <w:right w:val="single" w:sz="4" w:space="0" w:color="auto"/>
            </w:tcBorders>
            <w:vAlign w:val="center"/>
          </w:tcPr>
          <w:p w14:paraId="261C45A3" w14:textId="77777777" w:rsidR="00577D08" w:rsidRDefault="00330FC0">
            <w:pPr>
              <w:jc w:val="right"/>
            </w:pPr>
            <w:r>
              <w:t>14,718,479.56</w:t>
            </w:r>
          </w:p>
        </w:tc>
        <w:tc>
          <w:tcPr>
            <w:tcW w:w="468" w:type="pct"/>
            <w:tcBorders>
              <w:top w:val="single" w:sz="4" w:space="0" w:color="auto"/>
              <w:left w:val="single" w:sz="4" w:space="0" w:color="auto"/>
              <w:bottom w:val="single" w:sz="4" w:space="0" w:color="auto"/>
              <w:right w:val="single" w:sz="4" w:space="0" w:color="auto"/>
            </w:tcBorders>
            <w:vAlign w:val="center"/>
          </w:tcPr>
          <w:p w14:paraId="25A8555C" w14:textId="77777777" w:rsidR="00577D08" w:rsidRDefault="00330FC0">
            <w:pPr>
              <w:jc w:val="right"/>
            </w:pPr>
            <w:r>
              <w:t>4,000,000.00</w:t>
            </w:r>
          </w:p>
        </w:tc>
        <w:tc>
          <w:tcPr>
            <w:tcW w:w="335" w:type="pct"/>
            <w:tcBorders>
              <w:top w:val="single" w:sz="4" w:space="0" w:color="auto"/>
              <w:left w:val="single" w:sz="4" w:space="0" w:color="auto"/>
              <w:bottom w:val="single" w:sz="4" w:space="0" w:color="auto"/>
              <w:right w:val="single" w:sz="4" w:space="0" w:color="auto"/>
            </w:tcBorders>
            <w:vAlign w:val="center"/>
          </w:tcPr>
          <w:p w14:paraId="45DF676A"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268F21CE" w14:textId="77777777" w:rsidR="00577D08" w:rsidRDefault="00330FC0">
            <w:pPr>
              <w:jc w:val="right"/>
            </w:pPr>
            <w:r>
              <w:t>-2,614,130.95</w:t>
            </w:r>
          </w:p>
        </w:tc>
        <w:tc>
          <w:tcPr>
            <w:tcW w:w="354" w:type="pct"/>
            <w:tcBorders>
              <w:top w:val="single" w:sz="4" w:space="0" w:color="auto"/>
              <w:left w:val="single" w:sz="4" w:space="0" w:color="auto"/>
              <w:bottom w:val="single" w:sz="4" w:space="0" w:color="auto"/>
              <w:right w:val="single" w:sz="4" w:space="0" w:color="auto"/>
            </w:tcBorders>
            <w:vAlign w:val="center"/>
          </w:tcPr>
          <w:p w14:paraId="5C109C93"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04538AD9" w14:textId="77777777" w:rsidR="00577D08" w:rsidRDefault="00577D08">
            <w:pPr>
              <w:jc w:val="right"/>
            </w:pPr>
          </w:p>
        </w:tc>
        <w:tc>
          <w:tcPr>
            <w:tcW w:w="397" w:type="pct"/>
            <w:tcBorders>
              <w:top w:val="single" w:sz="4" w:space="0" w:color="auto"/>
              <w:left w:val="single" w:sz="4" w:space="0" w:color="auto"/>
              <w:bottom w:val="single" w:sz="4" w:space="0" w:color="auto"/>
              <w:right w:val="single" w:sz="4" w:space="0" w:color="auto"/>
            </w:tcBorders>
            <w:vAlign w:val="center"/>
          </w:tcPr>
          <w:p w14:paraId="14025956" w14:textId="77777777" w:rsidR="00577D08" w:rsidRDefault="00577D08">
            <w:pPr>
              <w:jc w:val="right"/>
            </w:pPr>
          </w:p>
        </w:tc>
        <w:tc>
          <w:tcPr>
            <w:tcW w:w="393" w:type="pct"/>
            <w:tcBorders>
              <w:top w:val="single" w:sz="4" w:space="0" w:color="auto"/>
              <w:left w:val="single" w:sz="4" w:space="0" w:color="auto"/>
              <w:bottom w:val="single" w:sz="4" w:space="0" w:color="auto"/>
              <w:right w:val="single" w:sz="4" w:space="0" w:color="auto"/>
            </w:tcBorders>
            <w:vAlign w:val="center"/>
          </w:tcPr>
          <w:p w14:paraId="3929FC0E"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1AB76753" w14:textId="77777777" w:rsidR="00577D08" w:rsidRDefault="00577D08">
            <w:pPr>
              <w:jc w:val="right"/>
            </w:pPr>
          </w:p>
        </w:tc>
        <w:tc>
          <w:tcPr>
            <w:tcW w:w="390" w:type="pct"/>
            <w:tcBorders>
              <w:top w:val="single" w:sz="4" w:space="0" w:color="auto"/>
              <w:left w:val="single" w:sz="4" w:space="0" w:color="auto"/>
              <w:bottom w:val="single" w:sz="4" w:space="0" w:color="auto"/>
              <w:right w:val="single" w:sz="4" w:space="0" w:color="auto"/>
            </w:tcBorders>
            <w:vAlign w:val="center"/>
          </w:tcPr>
          <w:p w14:paraId="0903A483" w14:textId="77777777" w:rsidR="00577D08" w:rsidRDefault="00330FC0">
            <w:pPr>
              <w:jc w:val="right"/>
            </w:pPr>
            <w:r>
              <w:t>16,104,348.61</w:t>
            </w:r>
          </w:p>
        </w:tc>
        <w:tc>
          <w:tcPr>
            <w:tcW w:w="505" w:type="pct"/>
            <w:tcBorders>
              <w:top w:val="single" w:sz="4" w:space="0" w:color="auto"/>
              <w:left w:val="single" w:sz="4" w:space="0" w:color="auto"/>
              <w:bottom w:val="single" w:sz="4" w:space="0" w:color="auto"/>
              <w:right w:val="single" w:sz="4" w:space="0" w:color="auto"/>
            </w:tcBorders>
            <w:vAlign w:val="center"/>
          </w:tcPr>
          <w:p w14:paraId="6BCAE265" w14:textId="77777777" w:rsidR="00577D08" w:rsidRDefault="00577D08">
            <w:pPr>
              <w:jc w:val="right"/>
            </w:pPr>
          </w:p>
        </w:tc>
      </w:tr>
    </w:tbl>
    <w:bookmarkEnd w:id="391"/>
    <w:p w14:paraId="286B4807" w14:textId="77777777" w:rsidR="00577D08" w:rsidRDefault="00330FC0">
      <w:pPr>
        <w:pStyle w:val="4"/>
        <w:numPr>
          <w:ilvl w:val="0"/>
          <w:numId w:val="74"/>
        </w:numPr>
        <w:rPr>
          <w:rFonts w:hint="eastAsia"/>
        </w:rPr>
      </w:pPr>
      <w:r>
        <w:rPr>
          <w:rFonts w:hint="eastAsia"/>
        </w:rPr>
        <w:lastRenderedPageBreak/>
        <w:t>长期股权投资的减值测试情况</w:t>
      </w:r>
    </w:p>
    <w:sdt>
      <w:sdtPr>
        <w:alias w:val="是否适用：减值测试情况[双击切换]"/>
        <w:tag w:val="_GBC_869bca5d4169451086ae6ff386220647"/>
        <w:id w:val="1803498572"/>
        <w:placeholder>
          <w:docPart w:val="GBC22222222222222222222222222222"/>
        </w:placeholder>
      </w:sdtPr>
      <w:sdtContent>
        <w:p w14:paraId="36B70EC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7BDF6A1" w14:textId="77777777" w:rsidR="00577D08" w:rsidRDefault="00330FC0">
      <w:pPr>
        <w:snapToGrid w:val="0"/>
        <w:spacing w:line="240" w:lineRule="atLeast"/>
      </w:pPr>
      <w:r>
        <w:rPr>
          <w:rFonts w:hint="eastAsia"/>
        </w:rPr>
        <w:t>其他说明：</w:t>
      </w:r>
    </w:p>
    <w:p w14:paraId="3DAB4346" w14:textId="77777777" w:rsidR="00577D08" w:rsidRDefault="00000000">
      <w:pPr>
        <w:snapToGrid w:val="0"/>
        <w:spacing w:line="240" w:lineRule="atLeast"/>
      </w:pPr>
      <w:sdt>
        <w:sdtPr>
          <w:alias w:val="长期股票投资的说明"/>
          <w:tag w:val="_GBC_4023b747651f4831814ee17f68bb62d6"/>
          <w:id w:val="1983200054"/>
          <w:placeholder>
            <w:docPart w:val="GBC22222222222222222222222222222"/>
          </w:placeholder>
        </w:sdtPr>
        <w:sdtContent>
          <w:r w:rsidR="00330FC0">
            <w:rPr>
              <w:rFonts w:hint="eastAsia"/>
            </w:rPr>
            <w:t>无</w:t>
          </w:r>
        </w:sdtContent>
      </w:sdt>
    </w:p>
    <w:p w14:paraId="6E40A487" w14:textId="77777777" w:rsidR="00577D08" w:rsidRDefault="00330FC0">
      <w:pPr>
        <w:pStyle w:val="3"/>
        <w:numPr>
          <w:ilvl w:val="0"/>
          <w:numId w:val="61"/>
        </w:numPr>
        <w:tabs>
          <w:tab w:val="left" w:pos="504"/>
        </w:tabs>
        <w:rPr>
          <w:szCs w:val="21"/>
        </w:rPr>
      </w:pPr>
      <w:bookmarkStart w:id="392" w:name="_Hlk152858292"/>
      <w:bookmarkStart w:id="393" w:name="_Hlk533409746"/>
      <w:bookmarkStart w:id="394" w:name="_Hlk533409702"/>
      <w:r>
        <w:rPr>
          <w:rFonts w:hint="eastAsia"/>
          <w:szCs w:val="21"/>
        </w:rPr>
        <w:t>其他权益工具投资</w:t>
      </w:r>
    </w:p>
    <w:p w14:paraId="40F4AF8D" w14:textId="77777777" w:rsidR="00577D08" w:rsidRDefault="00330FC0">
      <w:pPr>
        <w:pStyle w:val="4"/>
        <w:numPr>
          <w:ilvl w:val="3"/>
          <w:numId w:val="75"/>
        </w:numPr>
        <w:ind w:left="426" w:hanging="426"/>
        <w:rPr>
          <w:rFonts w:hint="eastAsia"/>
        </w:rPr>
      </w:pPr>
      <w:bookmarkStart w:id="395" w:name="_Hlk532994936"/>
      <w:r>
        <w:rPr>
          <w:rFonts w:hint="eastAsia"/>
        </w:rPr>
        <w:t>其他权益工具投资情况</w:t>
      </w:r>
    </w:p>
    <w:sdt>
      <w:sdtPr>
        <w:alias w:val="是否适用：其他权益工具投资情况[双击切换]"/>
        <w:tag w:val="_GBC_d086d5c38ce84090b98eac90481c97aa"/>
        <w:id w:val="-339469050"/>
        <w:placeholder>
          <w:docPart w:val="GBC22222222222222222222222222222"/>
        </w:placeholder>
      </w:sdtPr>
      <w:sdtContent>
        <w:p w14:paraId="05FF8C4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7B4D097" w14:textId="242F395D" w:rsidR="00577D08" w:rsidRDefault="00330FC0">
      <w:pPr>
        <w:autoSpaceDE w:val="0"/>
        <w:autoSpaceDN w:val="0"/>
        <w:adjustRightInd w:val="0"/>
        <w:ind w:left="5880" w:right="105"/>
        <w:jc w:val="right"/>
      </w:pPr>
      <w:r>
        <w:rPr>
          <w:rFonts w:hint="eastAsia"/>
        </w:rPr>
        <w:t>单位：</w:t>
      </w:r>
      <w:sdt>
        <w:sdtPr>
          <w:rPr>
            <w:rFonts w:hint="eastAsia"/>
          </w:rPr>
          <w:alias w:val="单位：其他权益工具投资情况"/>
          <w:tag w:val="_GBC_afada4c07d144e589675aeac548ff1d0"/>
          <w:id w:val="-8745389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其他权益工具投资情况"/>
          <w:tag w:val="_GBC_b0fd0da2e6914f91b6f9923463f182a5"/>
          <w:id w:val="13241626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424"/>
        <w:gridCol w:w="1014"/>
        <w:gridCol w:w="875"/>
        <w:gridCol w:w="1141"/>
        <w:gridCol w:w="1319"/>
        <w:gridCol w:w="839"/>
        <w:gridCol w:w="1424"/>
        <w:gridCol w:w="1319"/>
        <w:gridCol w:w="1424"/>
        <w:gridCol w:w="992"/>
        <w:gridCol w:w="984"/>
      </w:tblGrid>
      <w:tr w:rsidR="00577D08" w14:paraId="6304B0D5" w14:textId="77777777">
        <w:bookmarkEnd w:id="395" w:displacedByCustomXml="next"/>
        <w:bookmarkEnd w:id="394" w:displacedByCustomXml="next"/>
        <w:sdt>
          <w:sdtPr>
            <w:tag w:val="_PLD_0f1e4cd012be4666a6aee1d8ddb3d5fc"/>
            <w:id w:val="288087917"/>
          </w:sdtPr>
          <w:sdtContent>
            <w:tc>
              <w:tcPr>
                <w:tcW w:w="461" w:type="pct"/>
                <w:vMerge w:val="restart"/>
                <w:tcBorders>
                  <w:top w:val="single" w:sz="4" w:space="0" w:color="auto"/>
                  <w:left w:val="single" w:sz="4" w:space="0" w:color="auto"/>
                  <w:right w:val="single" w:sz="4" w:space="0" w:color="auto"/>
                </w:tcBorders>
                <w:vAlign w:val="center"/>
              </w:tcPr>
              <w:p w14:paraId="2EB2FA10" w14:textId="77777777" w:rsidR="00577D08" w:rsidRDefault="00330FC0">
                <w:pPr>
                  <w:jc w:val="center"/>
                </w:pPr>
                <w:r>
                  <w:rPr>
                    <w:rFonts w:hint="eastAsia"/>
                  </w:rPr>
                  <w:t>项目</w:t>
                </w:r>
              </w:p>
            </w:tc>
          </w:sdtContent>
        </w:sdt>
        <w:sdt>
          <w:sdtPr>
            <w:tag w:val="_PLD_cd86550f752a4870b5ecfa3ace922f6d"/>
            <w:id w:val="-1129623681"/>
          </w:sdtPr>
          <w:sdtContent>
            <w:tc>
              <w:tcPr>
                <w:tcW w:w="425" w:type="pct"/>
                <w:vMerge w:val="restart"/>
                <w:tcBorders>
                  <w:top w:val="single" w:sz="4" w:space="0" w:color="auto"/>
                  <w:left w:val="single" w:sz="4" w:space="0" w:color="auto"/>
                  <w:right w:val="single" w:sz="4" w:space="0" w:color="auto"/>
                </w:tcBorders>
                <w:vAlign w:val="center"/>
              </w:tcPr>
              <w:p w14:paraId="232FFD0C" w14:textId="77777777" w:rsidR="00577D08" w:rsidRDefault="00330FC0">
                <w:pPr>
                  <w:jc w:val="center"/>
                </w:pPr>
                <w:r>
                  <w:rPr>
                    <w:rFonts w:hint="eastAsia"/>
                  </w:rPr>
                  <w:t>期初</w:t>
                </w:r>
              </w:p>
              <w:p w14:paraId="030B88E9" w14:textId="77777777" w:rsidR="00577D08" w:rsidRDefault="00330FC0">
                <w:pPr>
                  <w:jc w:val="center"/>
                </w:pPr>
                <w:r>
                  <w:rPr>
                    <w:rFonts w:hint="eastAsia"/>
                  </w:rPr>
                  <w:t>余额</w:t>
                </w:r>
              </w:p>
            </w:tc>
          </w:sdtContent>
        </w:sdt>
        <w:sdt>
          <w:sdtPr>
            <w:tag w:val="_PLD_379e5b07c94943c082f8141e69827eb8"/>
            <w:id w:val="509493750"/>
          </w:sdtPr>
          <w:sdtContent>
            <w:tc>
              <w:tcPr>
                <w:tcW w:w="2078" w:type="pct"/>
                <w:gridSpan w:val="5"/>
                <w:tcBorders>
                  <w:top w:val="single" w:sz="4" w:space="0" w:color="auto"/>
                  <w:left w:val="single" w:sz="4" w:space="0" w:color="auto"/>
                  <w:bottom w:val="single" w:sz="4" w:space="0" w:color="auto"/>
                  <w:right w:val="single" w:sz="4" w:space="0" w:color="auto"/>
                </w:tcBorders>
                <w:vAlign w:val="center"/>
              </w:tcPr>
              <w:p w14:paraId="6C8FF40F" w14:textId="77777777" w:rsidR="00577D08" w:rsidRDefault="00330FC0">
                <w:pPr>
                  <w:jc w:val="center"/>
                </w:pPr>
                <w:r>
                  <w:rPr>
                    <w:rFonts w:hint="eastAsia"/>
                  </w:rPr>
                  <w:t>本期增减变动</w:t>
                </w:r>
              </w:p>
            </w:tc>
          </w:sdtContent>
        </w:sdt>
        <w:sdt>
          <w:sdtPr>
            <w:tag w:val="_PLD_ac415aedc9c6446485bac805332ca59b"/>
            <w:id w:val="-790586093"/>
          </w:sdtPr>
          <w:sdtContent>
            <w:tc>
              <w:tcPr>
                <w:tcW w:w="363" w:type="pct"/>
                <w:vMerge w:val="restart"/>
                <w:tcBorders>
                  <w:top w:val="single" w:sz="4" w:space="0" w:color="auto"/>
                  <w:left w:val="single" w:sz="4" w:space="0" w:color="auto"/>
                  <w:right w:val="single" w:sz="4" w:space="0" w:color="auto"/>
                </w:tcBorders>
                <w:vAlign w:val="center"/>
              </w:tcPr>
              <w:p w14:paraId="6992E41A" w14:textId="77777777" w:rsidR="00577D08" w:rsidRDefault="00330FC0">
                <w:pPr>
                  <w:jc w:val="center"/>
                </w:pPr>
                <w:r>
                  <w:rPr>
                    <w:rFonts w:hint="eastAsia"/>
                  </w:rPr>
                  <w:t>期末</w:t>
                </w:r>
              </w:p>
              <w:p w14:paraId="4345A591" w14:textId="77777777" w:rsidR="00577D08" w:rsidRDefault="00330FC0">
                <w:pPr>
                  <w:jc w:val="center"/>
                </w:pPr>
                <w:r>
                  <w:rPr>
                    <w:rFonts w:hint="eastAsia"/>
                  </w:rPr>
                  <w:t>余额</w:t>
                </w:r>
              </w:p>
            </w:tc>
          </w:sdtContent>
        </w:sdt>
        <w:sdt>
          <w:sdtPr>
            <w:tag w:val="_PLD_d139f6e8adbe4eb2bd13c29bba65a2f9"/>
            <w:id w:val="1359855625"/>
          </w:sdtPr>
          <w:sdtContent>
            <w:tc>
              <w:tcPr>
                <w:tcW w:w="419" w:type="pct"/>
                <w:vMerge w:val="restart"/>
                <w:tcBorders>
                  <w:top w:val="single" w:sz="4" w:space="0" w:color="auto"/>
                  <w:left w:val="single" w:sz="4" w:space="0" w:color="auto"/>
                  <w:right w:val="single" w:sz="4" w:space="0" w:color="auto"/>
                </w:tcBorders>
                <w:vAlign w:val="center"/>
              </w:tcPr>
              <w:p w14:paraId="61ED89A2" w14:textId="77777777" w:rsidR="00577D08" w:rsidRDefault="00330FC0">
                <w:pPr>
                  <w:jc w:val="center"/>
                </w:pPr>
                <w:r>
                  <w:rPr>
                    <w:rFonts w:hint="eastAsia"/>
                  </w:rPr>
                  <w:t>本期确认的股利收入</w:t>
                </w:r>
              </w:p>
            </w:tc>
          </w:sdtContent>
        </w:sdt>
        <w:sdt>
          <w:sdtPr>
            <w:tag w:val="_PLD_0bed6b4465254f08b9b73b5b113c87f5"/>
            <w:id w:val="-1907295594"/>
          </w:sdtPr>
          <w:sdtContent>
            <w:tc>
              <w:tcPr>
                <w:tcW w:w="419" w:type="pct"/>
                <w:vMerge w:val="restart"/>
                <w:tcBorders>
                  <w:top w:val="single" w:sz="4" w:space="0" w:color="auto"/>
                  <w:left w:val="single" w:sz="4" w:space="0" w:color="auto"/>
                  <w:right w:val="single" w:sz="4" w:space="0" w:color="auto"/>
                </w:tcBorders>
                <w:vAlign w:val="center"/>
              </w:tcPr>
              <w:p w14:paraId="70C60382" w14:textId="77777777" w:rsidR="00577D08" w:rsidRDefault="00330FC0">
                <w:pPr>
                  <w:jc w:val="center"/>
                </w:pPr>
                <w:r>
                  <w:rPr>
                    <w:rFonts w:hint="eastAsia"/>
                  </w:rPr>
                  <w:t>累计计入其他综合收益的利得</w:t>
                </w:r>
              </w:p>
            </w:tc>
          </w:sdtContent>
        </w:sdt>
        <w:sdt>
          <w:sdtPr>
            <w:tag w:val="_PLD_e1975ba88e6f4c8d8d6ca2c971af1701"/>
            <w:id w:val="-1274083362"/>
          </w:sdtPr>
          <w:sdtContent>
            <w:tc>
              <w:tcPr>
                <w:tcW w:w="419" w:type="pct"/>
                <w:vMerge w:val="restart"/>
                <w:tcBorders>
                  <w:top w:val="single" w:sz="4" w:space="0" w:color="auto"/>
                  <w:left w:val="single" w:sz="4" w:space="0" w:color="auto"/>
                  <w:right w:val="single" w:sz="4" w:space="0" w:color="auto"/>
                </w:tcBorders>
                <w:vAlign w:val="center"/>
              </w:tcPr>
              <w:p w14:paraId="7781957F" w14:textId="77777777" w:rsidR="00577D08" w:rsidRDefault="00330FC0">
                <w:pPr>
                  <w:jc w:val="center"/>
                </w:pPr>
                <w:r>
                  <w:rPr>
                    <w:rFonts w:hint="eastAsia"/>
                  </w:rPr>
                  <w:t>累计计入其他综合收益的损失</w:t>
                </w:r>
              </w:p>
            </w:tc>
          </w:sdtContent>
        </w:sdt>
        <w:sdt>
          <w:sdtPr>
            <w:tag w:val="_PLD_22e80ab64b37459ebc83e5b928d25051"/>
            <w:id w:val="491077146"/>
          </w:sdtPr>
          <w:sdtContent>
            <w:tc>
              <w:tcPr>
                <w:tcW w:w="416" w:type="pct"/>
                <w:vMerge w:val="restart"/>
                <w:tcBorders>
                  <w:top w:val="single" w:sz="4" w:space="0" w:color="auto"/>
                  <w:left w:val="single" w:sz="4" w:space="0" w:color="auto"/>
                  <w:right w:val="single" w:sz="4" w:space="0" w:color="auto"/>
                </w:tcBorders>
                <w:vAlign w:val="center"/>
              </w:tcPr>
              <w:p w14:paraId="41513255" w14:textId="77777777" w:rsidR="00577D08" w:rsidRDefault="00330FC0">
                <w:pPr>
                  <w:jc w:val="center"/>
                </w:pPr>
                <w:r>
                  <w:rPr>
                    <w:rFonts w:hint="eastAsia"/>
                  </w:rPr>
                  <w:t>指定为以公允价值计量且其变动计入其他综合收益的原因</w:t>
                </w:r>
              </w:p>
            </w:tc>
          </w:sdtContent>
        </w:sdt>
      </w:tr>
      <w:tr w:rsidR="00577D08" w14:paraId="4F9BD3FA" w14:textId="77777777">
        <w:tc>
          <w:tcPr>
            <w:tcW w:w="461" w:type="pct"/>
            <w:vMerge/>
            <w:tcBorders>
              <w:left w:val="single" w:sz="4" w:space="0" w:color="auto"/>
              <w:bottom w:val="single" w:sz="4" w:space="0" w:color="auto"/>
              <w:right w:val="single" w:sz="4" w:space="0" w:color="auto"/>
            </w:tcBorders>
            <w:vAlign w:val="center"/>
          </w:tcPr>
          <w:p w14:paraId="4600BFEF" w14:textId="77777777" w:rsidR="00577D08" w:rsidRDefault="00577D08">
            <w:pPr>
              <w:jc w:val="center"/>
            </w:pPr>
          </w:p>
        </w:tc>
        <w:tc>
          <w:tcPr>
            <w:tcW w:w="425" w:type="pct"/>
            <w:vMerge/>
            <w:tcBorders>
              <w:left w:val="single" w:sz="4" w:space="0" w:color="auto"/>
              <w:bottom w:val="single" w:sz="4" w:space="0" w:color="auto"/>
              <w:right w:val="single" w:sz="4" w:space="0" w:color="auto"/>
            </w:tcBorders>
            <w:vAlign w:val="center"/>
          </w:tcPr>
          <w:p w14:paraId="25D00486" w14:textId="77777777" w:rsidR="00577D08" w:rsidRDefault="00577D08">
            <w:pPr>
              <w:jc w:val="center"/>
            </w:pPr>
          </w:p>
        </w:tc>
        <w:sdt>
          <w:sdtPr>
            <w:tag w:val="_PLD_dcfe2e1d36cd40b9af799c21d5b8002d"/>
            <w:id w:val="-1287812436"/>
          </w:sdtPr>
          <w:sdtContent>
            <w:tc>
              <w:tcPr>
                <w:tcW w:w="427" w:type="pct"/>
                <w:tcBorders>
                  <w:top w:val="single" w:sz="4" w:space="0" w:color="auto"/>
                  <w:left w:val="single" w:sz="4" w:space="0" w:color="auto"/>
                  <w:bottom w:val="single" w:sz="4" w:space="0" w:color="auto"/>
                  <w:right w:val="single" w:sz="4" w:space="0" w:color="auto"/>
                </w:tcBorders>
                <w:vAlign w:val="center"/>
              </w:tcPr>
              <w:p w14:paraId="384A5435" w14:textId="77777777" w:rsidR="00577D08" w:rsidRDefault="00330FC0">
                <w:pPr>
                  <w:jc w:val="center"/>
                </w:pPr>
                <w:r>
                  <w:rPr>
                    <w:rFonts w:hint="eastAsia"/>
                  </w:rPr>
                  <w:t>追加投资</w:t>
                </w:r>
              </w:p>
            </w:tc>
          </w:sdtContent>
        </w:sdt>
        <w:sdt>
          <w:sdtPr>
            <w:tag w:val="_PLD_35b99bcd41834275ae207d04ef825953"/>
            <w:id w:val="1208069662"/>
          </w:sdtPr>
          <w:sdtContent>
            <w:tc>
              <w:tcPr>
                <w:tcW w:w="377" w:type="pct"/>
                <w:tcBorders>
                  <w:top w:val="single" w:sz="4" w:space="0" w:color="auto"/>
                  <w:left w:val="single" w:sz="4" w:space="0" w:color="auto"/>
                  <w:bottom w:val="single" w:sz="4" w:space="0" w:color="auto"/>
                  <w:right w:val="single" w:sz="4" w:space="0" w:color="auto"/>
                </w:tcBorders>
                <w:vAlign w:val="center"/>
              </w:tcPr>
              <w:p w14:paraId="168D52B1" w14:textId="77777777" w:rsidR="00577D08" w:rsidRDefault="00330FC0">
                <w:pPr>
                  <w:jc w:val="center"/>
                </w:pPr>
                <w:r>
                  <w:rPr>
                    <w:rFonts w:hint="eastAsia"/>
                  </w:rPr>
                  <w:t>减少投资</w:t>
                </w:r>
              </w:p>
            </w:tc>
          </w:sdtContent>
        </w:sdt>
        <w:sdt>
          <w:sdtPr>
            <w:tag w:val="_PLD_8a4bbeebcb134d688741468780d5bbd1"/>
            <w:id w:val="209773642"/>
          </w:sdtPr>
          <w:sdtContent>
            <w:tc>
              <w:tcPr>
                <w:tcW w:w="473" w:type="pct"/>
                <w:tcBorders>
                  <w:top w:val="single" w:sz="4" w:space="0" w:color="auto"/>
                  <w:left w:val="single" w:sz="4" w:space="0" w:color="auto"/>
                  <w:bottom w:val="single" w:sz="4" w:space="0" w:color="auto"/>
                  <w:right w:val="single" w:sz="4" w:space="0" w:color="auto"/>
                </w:tcBorders>
                <w:vAlign w:val="center"/>
              </w:tcPr>
              <w:p w14:paraId="46AA172F" w14:textId="77777777" w:rsidR="00577D08" w:rsidRDefault="00330FC0">
                <w:pPr>
                  <w:jc w:val="center"/>
                </w:pPr>
                <w:r>
                  <w:rPr>
                    <w:rFonts w:hint="eastAsia"/>
                  </w:rPr>
                  <w:t>本期计入其他综合收益的利得</w:t>
                </w:r>
              </w:p>
            </w:tc>
          </w:sdtContent>
        </w:sdt>
        <w:sdt>
          <w:sdtPr>
            <w:tag w:val="_PLD_34c6f06bd6ce4dec84766a6723567bb2"/>
            <w:id w:val="1347742733"/>
          </w:sdtPr>
          <w:sdtContent>
            <w:tc>
              <w:tcPr>
                <w:tcW w:w="437" w:type="pct"/>
                <w:tcBorders>
                  <w:top w:val="single" w:sz="4" w:space="0" w:color="auto"/>
                  <w:left w:val="single" w:sz="4" w:space="0" w:color="auto"/>
                  <w:bottom w:val="single" w:sz="4" w:space="0" w:color="auto"/>
                  <w:right w:val="single" w:sz="4" w:space="0" w:color="auto"/>
                </w:tcBorders>
                <w:vAlign w:val="center"/>
              </w:tcPr>
              <w:p w14:paraId="06483979" w14:textId="77777777" w:rsidR="00577D08" w:rsidRDefault="00330FC0">
                <w:pPr>
                  <w:jc w:val="center"/>
                </w:pPr>
                <w:r>
                  <w:rPr>
                    <w:rFonts w:hint="eastAsia"/>
                  </w:rPr>
                  <w:t>本期计入其他综合收益的损失</w:t>
                </w:r>
              </w:p>
            </w:tc>
          </w:sdtContent>
        </w:sdt>
        <w:sdt>
          <w:sdtPr>
            <w:tag w:val="_PLD_10fb3a2b23634dbcb6ec64725618b767"/>
            <w:id w:val="650488402"/>
          </w:sdtPr>
          <w:sdtContent>
            <w:tc>
              <w:tcPr>
                <w:tcW w:w="364" w:type="pct"/>
                <w:tcBorders>
                  <w:left w:val="single" w:sz="4" w:space="0" w:color="auto"/>
                  <w:bottom w:val="single" w:sz="4" w:space="0" w:color="auto"/>
                  <w:right w:val="single" w:sz="4" w:space="0" w:color="auto"/>
                </w:tcBorders>
                <w:vAlign w:val="center"/>
              </w:tcPr>
              <w:p w14:paraId="1BD190CE" w14:textId="77777777" w:rsidR="00577D08" w:rsidRDefault="00330FC0">
                <w:pPr>
                  <w:jc w:val="center"/>
                </w:pPr>
                <w:r>
                  <w:rPr>
                    <w:rFonts w:hint="eastAsia"/>
                  </w:rPr>
                  <w:t>其他</w:t>
                </w:r>
              </w:p>
            </w:tc>
          </w:sdtContent>
        </w:sdt>
        <w:tc>
          <w:tcPr>
            <w:tcW w:w="363" w:type="pct"/>
            <w:vMerge/>
            <w:tcBorders>
              <w:left w:val="single" w:sz="4" w:space="0" w:color="auto"/>
              <w:bottom w:val="single" w:sz="4" w:space="0" w:color="auto"/>
              <w:right w:val="single" w:sz="4" w:space="0" w:color="auto"/>
            </w:tcBorders>
            <w:vAlign w:val="center"/>
          </w:tcPr>
          <w:p w14:paraId="51ACEB01" w14:textId="77777777" w:rsidR="00577D08" w:rsidRDefault="00577D08">
            <w:pPr>
              <w:jc w:val="center"/>
            </w:pPr>
          </w:p>
        </w:tc>
        <w:tc>
          <w:tcPr>
            <w:tcW w:w="419" w:type="pct"/>
            <w:vMerge/>
            <w:tcBorders>
              <w:left w:val="single" w:sz="4" w:space="0" w:color="auto"/>
              <w:bottom w:val="single" w:sz="4" w:space="0" w:color="auto"/>
              <w:right w:val="single" w:sz="4" w:space="0" w:color="auto"/>
            </w:tcBorders>
            <w:vAlign w:val="center"/>
          </w:tcPr>
          <w:p w14:paraId="71C059BB" w14:textId="77777777" w:rsidR="00577D08" w:rsidRDefault="00577D08">
            <w:pPr>
              <w:jc w:val="center"/>
            </w:pPr>
          </w:p>
        </w:tc>
        <w:tc>
          <w:tcPr>
            <w:tcW w:w="419" w:type="pct"/>
            <w:vMerge/>
            <w:tcBorders>
              <w:left w:val="single" w:sz="4" w:space="0" w:color="auto"/>
              <w:bottom w:val="single" w:sz="4" w:space="0" w:color="auto"/>
              <w:right w:val="single" w:sz="4" w:space="0" w:color="auto"/>
            </w:tcBorders>
            <w:vAlign w:val="center"/>
          </w:tcPr>
          <w:p w14:paraId="7B3F4900" w14:textId="77777777" w:rsidR="00577D08" w:rsidRDefault="00577D08">
            <w:pPr>
              <w:jc w:val="center"/>
            </w:pPr>
          </w:p>
        </w:tc>
        <w:tc>
          <w:tcPr>
            <w:tcW w:w="419" w:type="pct"/>
            <w:vMerge/>
            <w:tcBorders>
              <w:left w:val="single" w:sz="4" w:space="0" w:color="auto"/>
              <w:bottom w:val="single" w:sz="4" w:space="0" w:color="auto"/>
              <w:right w:val="single" w:sz="4" w:space="0" w:color="auto"/>
            </w:tcBorders>
            <w:vAlign w:val="center"/>
          </w:tcPr>
          <w:p w14:paraId="45E07EC2" w14:textId="77777777" w:rsidR="00577D08" w:rsidRDefault="00577D08">
            <w:pPr>
              <w:jc w:val="center"/>
            </w:pPr>
          </w:p>
        </w:tc>
        <w:tc>
          <w:tcPr>
            <w:tcW w:w="416" w:type="pct"/>
            <w:vMerge/>
            <w:tcBorders>
              <w:left w:val="single" w:sz="4" w:space="0" w:color="auto"/>
              <w:bottom w:val="single" w:sz="4" w:space="0" w:color="auto"/>
              <w:right w:val="single" w:sz="4" w:space="0" w:color="auto"/>
            </w:tcBorders>
            <w:vAlign w:val="center"/>
          </w:tcPr>
          <w:p w14:paraId="506BB8C2" w14:textId="77777777" w:rsidR="00577D08" w:rsidRDefault="00577D08">
            <w:pPr>
              <w:jc w:val="center"/>
            </w:pPr>
          </w:p>
        </w:tc>
      </w:tr>
      <w:tr w:rsidR="00577D08" w14:paraId="1B0E1878" w14:textId="77777777">
        <w:tc>
          <w:tcPr>
            <w:tcW w:w="461" w:type="pct"/>
            <w:tcBorders>
              <w:top w:val="single" w:sz="4" w:space="0" w:color="auto"/>
              <w:left w:val="single" w:sz="4" w:space="0" w:color="auto"/>
              <w:bottom w:val="single" w:sz="4" w:space="0" w:color="auto"/>
              <w:right w:val="single" w:sz="4" w:space="0" w:color="auto"/>
            </w:tcBorders>
            <w:vAlign w:val="center"/>
          </w:tcPr>
          <w:p w14:paraId="281FEE12" w14:textId="77777777" w:rsidR="00577D08" w:rsidRDefault="00330FC0">
            <w:r>
              <w:rPr>
                <w:rFonts w:hint="eastAsia"/>
              </w:rPr>
              <w:t>指定为以公允价值计量且其变动计入其他综合收益的金融资产</w:t>
            </w:r>
          </w:p>
        </w:tc>
        <w:tc>
          <w:tcPr>
            <w:tcW w:w="425" w:type="pct"/>
            <w:tcBorders>
              <w:top w:val="single" w:sz="4" w:space="0" w:color="auto"/>
              <w:left w:val="single" w:sz="4" w:space="0" w:color="auto"/>
              <w:bottom w:val="single" w:sz="4" w:space="0" w:color="auto"/>
              <w:right w:val="single" w:sz="4" w:space="0" w:color="auto"/>
            </w:tcBorders>
            <w:vAlign w:val="center"/>
          </w:tcPr>
          <w:p w14:paraId="6BFCF09E" w14:textId="77777777" w:rsidR="00577D08" w:rsidRDefault="00330FC0">
            <w:pPr>
              <w:jc w:val="right"/>
            </w:pPr>
            <w:r>
              <w:t>16,207,676.10</w:t>
            </w:r>
          </w:p>
        </w:tc>
        <w:tc>
          <w:tcPr>
            <w:tcW w:w="427" w:type="pct"/>
            <w:tcBorders>
              <w:top w:val="single" w:sz="4" w:space="0" w:color="auto"/>
              <w:left w:val="single" w:sz="4" w:space="0" w:color="auto"/>
              <w:bottom w:val="single" w:sz="4" w:space="0" w:color="auto"/>
              <w:right w:val="single" w:sz="4" w:space="0" w:color="auto"/>
            </w:tcBorders>
            <w:vAlign w:val="center"/>
          </w:tcPr>
          <w:p w14:paraId="61A7D38F" w14:textId="77777777" w:rsidR="00577D08" w:rsidRDefault="00577D08">
            <w:pPr>
              <w:jc w:val="right"/>
            </w:pPr>
          </w:p>
        </w:tc>
        <w:tc>
          <w:tcPr>
            <w:tcW w:w="377" w:type="pct"/>
            <w:tcBorders>
              <w:top w:val="single" w:sz="4" w:space="0" w:color="auto"/>
              <w:left w:val="single" w:sz="4" w:space="0" w:color="auto"/>
              <w:bottom w:val="single" w:sz="4" w:space="0" w:color="auto"/>
              <w:right w:val="single" w:sz="4" w:space="0" w:color="auto"/>
            </w:tcBorders>
            <w:vAlign w:val="center"/>
          </w:tcPr>
          <w:p w14:paraId="7E6C0005" w14:textId="77777777" w:rsidR="00577D08" w:rsidRDefault="00577D08">
            <w:pPr>
              <w:jc w:val="right"/>
            </w:pPr>
          </w:p>
        </w:tc>
        <w:tc>
          <w:tcPr>
            <w:tcW w:w="473" w:type="pct"/>
            <w:tcBorders>
              <w:top w:val="single" w:sz="4" w:space="0" w:color="auto"/>
              <w:left w:val="single" w:sz="4" w:space="0" w:color="auto"/>
              <w:bottom w:val="single" w:sz="4" w:space="0" w:color="auto"/>
              <w:right w:val="single" w:sz="4" w:space="0" w:color="auto"/>
            </w:tcBorders>
            <w:vAlign w:val="center"/>
          </w:tcPr>
          <w:p w14:paraId="1049AF50" w14:textId="77777777" w:rsidR="00577D08" w:rsidRDefault="00577D08">
            <w:pPr>
              <w:jc w:val="right"/>
            </w:pPr>
          </w:p>
        </w:tc>
        <w:tc>
          <w:tcPr>
            <w:tcW w:w="437" w:type="pct"/>
            <w:tcBorders>
              <w:top w:val="single" w:sz="4" w:space="0" w:color="auto"/>
              <w:left w:val="single" w:sz="4" w:space="0" w:color="auto"/>
              <w:bottom w:val="single" w:sz="4" w:space="0" w:color="auto"/>
              <w:right w:val="single" w:sz="4" w:space="0" w:color="auto"/>
            </w:tcBorders>
            <w:vAlign w:val="center"/>
          </w:tcPr>
          <w:p w14:paraId="75D74E53" w14:textId="77777777" w:rsidR="00577D08" w:rsidRDefault="00330FC0">
            <w:pPr>
              <w:jc w:val="right"/>
            </w:pPr>
            <w:r>
              <w:t>1,084,683.60</w:t>
            </w:r>
          </w:p>
        </w:tc>
        <w:tc>
          <w:tcPr>
            <w:tcW w:w="364" w:type="pct"/>
            <w:tcBorders>
              <w:top w:val="single" w:sz="4" w:space="0" w:color="auto"/>
              <w:left w:val="single" w:sz="4" w:space="0" w:color="auto"/>
              <w:bottom w:val="single" w:sz="4" w:space="0" w:color="auto"/>
              <w:right w:val="single" w:sz="4" w:space="0" w:color="auto"/>
            </w:tcBorders>
            <w:vAlign w:val="center"/>
          </w:tcPr>
          <w:p w14:paraId="5FE4C42E" w14:textId="77777777" w:rsidR="00577D08" w:rsidRDefault="00577D08">
            <w:pPr>
              <w:jc w:val="right"/>
            </w:pPr>
          </w:p>
        </w:tc>
        <w:tc>
          <w:tcPr>
            <w:tcW w:w="363" w:type="pct"/>
            <w:tcBorders>
              <w:top w:val="single" w:sz="4" w:space="0" w:color="auto"/>
              <w:left w:val="single" w:sz="4" w:space="0" w:color="auto"/>
              <w:bottom w:val="single" w:sz="4" w:space="0" w:color="auto"/>
              <w:right w:val="single" w:sz="4" w:space="0" w:color="auto"/>
            </w:tcBorders>
            <w:vAlign w:val="center"/>
          </w:tcPr>
          <w:p w14:paraId="664706A1" w14:textId="77777777" w:rsidR="00577D08" w:rsidRDefault="00330FC0">
            <w:pPr>
              <w:jc w:val="right"/>
            </w:pPr>
            <w:r>
              <w:t>15,122,992.50</w:t>
            </w:r>
          </w:p>
        </w:tc>
        <w:tc>
          <w:tcPr>
            <w:tcW w:w="419" w:type="pct"/>
            <w:tcBorders>
              <w:top w:val="single" w:sz="4" w:space="0" w:color="auto"/>
              <w:left w:val="single" w:sz="4" w:space="0" w:color="auto"/>
              <w:bottom w:val="single" w:sz="4" w:space="0" w:color="auto"/>
              <w:right w:val="single" w:sz="4" w:space="0" w:color="auto"/>
            </w:tcBorders>
            <w:vAlign w:val="center"/>
          </w:tcPr>
          <w:p w14:paraId="4DD63A3C" w14:textId="77777777" w:rsidR="00577D08" w:rsidRDefault="00330FC0">
            <w:pPr>
              <w:jc w:val="right"/>
            </w:pPr>
            <w:r>
              <w:t>1,116,598.33</w:t>
            </w:r>
          </w:p>
        </w:tc>
        <w:tc>
          <w:tcPr>
            <w:tcW w:w="419" w:type="pct"/>
            <w:tcBorders>
              <w:top w:val="single" w:sz="4" w:space="0" w:color="auto"/>
              <w:left w:val="single" w:sz="4" w:space="0" w:color="auto"/>
              <w:bottom w:val="single" w:sz="4" w:space="0" w:color="auto"/>
              <w:right w:val="single" w:sz="4" w:space="0" w:color="auto"/>
            </w:tcBorders>
            <w:vAlign w:val="center"/>
          </w:tcPr>
          <w:p w14:paraId="2E84F148" w14:textId="77777777" w:rsidR="00577D08" w:rsidRDefault="00330FC0">
            <w:pPr>
              <w:jc w:val="right"/>
            </w:pPr>
            <w:r>
              <w:t>12,847,432.50</w:t>
            </w:r>
          </w:p>
        </w:tc>
        <w:tc>
          <w:tcPr>
            <w:tcW w:w="419" w:type="pct"/>
            <w:tcBorders>
              <w:top w:val="single" w:sz="4" w:space="0" w:color="auto"/>
              <w:left w:val="single" w:sz="4" w:space="0" w:color="auto"/>
              <w:bottom w:val="single" w:sz="4" w:space="0" w:color="auto"/>
              <w:right w:val="single" w:sz="4" w:space="0" w:color="auto"/>
            </w:tcBorders>
            <w:vAlign w:val="center"/>
          </w:tcPr>
          <w:p w14:paraId="3D2916B2" w14:textId="77777777" w:rsidR="00577D08" w:rsidRDefault="00577D08">
            <w:pPr>
              <w:jc w:val="right"/>
            </w:pPr>
          </w:p>
        </w:tc>
        <w:tc>
          <w:tcPr>
            <w:tcW w:w="416" w:type="pct"/>
            <w:tcBorders>
              <w:top w:val="single" w:sz="4" w:space="0" w:color="auto"/>
              <w:left w:val="single" w:sz="4" w:space="0" w:color="auto"/>
              <w:bottom w:val="single" w:sz="4" w:space="0" w:color="auto"/>
              <w:right w:val="single" w:sz="4" w:space="0" w:color="auto"/>
            </w:tcBorders>
            <w:vAlign w:val="center"/>
          </w:tcPr>
          <w:p w14:paraId="6C5885B3" w14:textId="77777777" w:rsidR="00577D08" w:rsidRDefault="00577D08"/>
        </w:tc>
      </w:tr>
      <w:tr w:rsidR="00577D08" w14:paraId="00FD74C4" w14:textId="77777777">
        <w:tc>
          <w:tcPr>
            <w:tcW w:w="461" w:type="pct"/>
            <w:tcBorders>
              <w:top w:val="single" w:sz="4" w:space="0" w:color="auto"/>
              <w:left w:val="single" w:sz="4" w:space="0" w:color="auto"/>
              <w:bottom w:val="single" w:sz="4" w:space="0" w:color="auto"/>
              <w:right w:val="single" w:sz="4" w:space="0" w:color="auto"/>
            </w:tcBorders>
            <w:vAlign w:val="center"/>
          </w:tcPr>
          <w:p w14:paraId="06CD7190" w14:textId="77777777" w:rsidR="00577D08" w:rsidRDefault="00330FC0">
            <w:pPr>
              <w:jc w:val="center"/>
            </w:pPr>
            <w:r>
              <w:rPr>
                <w:rFonts w:hint="eastAsia"/>
              </w:rPr>
              <w:t>合计</w:t>
            </w:r>
          </w:p>
        </w:tc>
        <w:tc>
          <w:tcPr>
            <w:tcW w:w="425" w:type="pct"/>
            <w:tcBorders>
              <w:top w:val="single" w:sz="4" w:space="0" w:color="auto"/>
              <w:left w:val="single" w:sz="4" w:space="0" w:color="auto"/>
              <w:bottom w:val="single" w:sz="4" w:space="0" w:color="auto"/>
              <w:right w:val="single" w:sz="4" w:space="0" w:color="auto"/>
            </w:tcBorders>
            <w:vAlign w:val="center"/>
          </w:tcPr>
          <w:p w14:paraId="128A5D1C" w14:textId="77777777" w:rsidR="00577D08" w:rsidRDefault="00330FC0">
            <w:pPr>
              <w:jc w:val="right"/>
            </w:pPr>
            <w:r>
              <w:t>16,207,676.10</w:t>
            </w:r>
          </w:p>
        </w:tc>
        <w:tc>
          <w:tcPr>
            <w:tcW w:w="427" w:type="pct"/>
            <w:tcBorders>
              <w:top w:val="single" w:sz="4" w:space="0" w:color="auto"/>
              <w:left w:val="single" w:sz="4" w:space="0" w:color="auto"/>
              <w:bottom w:val="single" w:sz="4" w:space="0" w:color="auto"/>
              <w:right w:val="single" w:sz="4" w:space="0" w:color="auto"/>
            </w:tcBorders>
            <w:vAlign w:val="center"/>
          </w:tcPr>
          <w:p w14:paraId="6122ACB3" w14:textId="77777777" w:rsidR="00577D08" w:rsidRDefault="00577D08">
            <w:pPr>
              <w:jc w:val="right"/>
            </w:pPr>
          </w:p>
        </w:tc>
        <w:tc>
          <w:tcPr>
            <w:tcW w:w="377" w:type="pct"/>
            <w:tcBorders>
              <w:top w:val="single" w:sz="4" w:space="0" w:color="auto"/>
              <w:left w:val="single" w:sz="4" w:space="0" w:color="auto"/>
              <w:bottom w:val="single" w:sz="4" w:space="0" w:color="auto"/>
              <w:right w:val="single" w:sz="4" w:space="0" w:color="auto"/>
            </w:tcBorders>
            <w:vAlign w:val="center"/>
          </w:tcPr>
          <w:p w14:paraId="0A482B58" w14:textId="77777777" w:rsidR="00577D08" w:rsidRDefault="00577D08">
            <w:pPr>
              <w:jc w:val="right"/>
            </w:pPr>
          </w:p>
        </w:tc>
        <w:tc>
          <w:tcPr>
            <w:tcW w:w="473" w:type="pct"/>
            <w:tcBorders>
              <w:top w:val="single" w:sz="4" w:space="0" w:color="auto"/>
              <w:left w:val="single" w:sz="4" w:space="0" w:color="auto"/>
              <w:bottom w:val="single" w:sz="4" w:space="0" w:color="auto"/>
              <w:right w:val="single" w:sz="4" w:space="0" w:color="auto"/>
            </w:tcBorders>
            <w:vAlign w:val="center"/>
          </w:tcPr>
          <w:p w14:paraId="0DB37A0E" w14:textId="77777777" w:rsidR="00577D08" w:rsidRDefault="00577D08">
            <w:pPr>
              <w:jc w:val="right"/>
            </w:pPr>
          </w:p>
        </w:tc>
        <w:tc>
          <w:tcPr>
            <w:tcW w:w="437" w:type="pct"/>
            <w:tcBorders>
              <w:top w:val="single" w:sz="4" w:space="0" w:color="auto"/>
              <w:left w:val="single" w:sz="4" w:space="0" w:color="auto"/>
              <w:bottom w:val="single" w:sz="4" w:space="0" w:color="auto"/>
              <w:right w:val="single" w:sz="4" w:space="0" w:color="auto"/>
            </w:tcBorders>
            <w:vAlign w:val="center"/>
          </w:tcPr>
          <w:p w14:paraId="395E2F92" w14:textId="77777777" w:rsidR="00577D08" w:rsidRDefault="00330FC0">
            <w:pPr>
              <w:jc w:val="right"/>
            </w:pPr>
            <w:r>
              <w:t>1,084,683.60</w:t>
            </w:r>
          </w:p>
        </w:tc>
        <w:tc>
          <w:tcPr>
            <w:tcW w:w="364" w:type="pct"/>
            <w:tcBorders>
              <w:top w:val="single" w:sz="4" w:space="0" w:color="auto"/>
              <w:left w:val="single" w:sz="4" w:space="0" w:color="auto"/>
              <w:bottom w:val="single" w:sz="4" w:space="0" w:color="auto"/>
              <w:right w:val="single" w:sz="4" w:space="0" w:color="auto"/>
            </w:tcBorders>
            <w:vAlign w:val="center"/>
          </w:tcPr>
          <w:p w14:paraId="6D53CEA0" w14:textId="77777777" w:rsidR="00577D08" w:rsidRDefault="00577D08">
            <w:pPr>
              <w:jc w:val="right"/>
            </w:pPr>
          </w:p>
        </w:tc>
        <w:tc>
          <w:tcPr>
            <w:tcW w:w="363" w:type="pct"/>
            <w:tcBorders>
              <w:top w:val="single" w:sz="4" w:space="0" w:color="auto"/>
              <w:left w:val="single" w:sz="4" w:space="0" w:color="auto"/>
              <w:bottom w:val="single" w:sz="4" w:space="0" w:color="auto"/>
              <w:right w:val="single" w:sz="4" w:space="0" w:color="auto"/>
            </w:tcBorders>
            <w:vAlign w:val="center"/>
          </w:tcPr>
          <w:p w14:paraId="432AC11E" w14:textId="77777777" w:rsidR="00577D08" w:rsidRDefault="00330FC0">
            <w:pPr>
              <w:jc w:val="right"/>
            </w:pPr>
            <w:r>
              <w:t>15,122,992.50</w:t>
            </w:r>
          </w:p>
        </w:tc>
        <w:tc>
          <w:tcPr>
            <w:tcW w:w="419" w:type="pct"/>
            <w:tcBorders>
              <w:top w:val="single" w:sz="4" w:space="0" w:color="auto"/>
              <w:left w:val="single" w:sz="4" w:space="0" w:color="auto"/>
              <w:bottom w:val="single" w:sz="4" w:space="0" w:color="auto"/>
              <w:right w:val="single" w:sz="4" w:space="0" w:color="auto"/>
            </w:tcBorders>
            <w:vAlign w:val="center"/>
          </w:tcPr>
          <w:p w14:paraId="5A3F7270" w14:textId="77777777" w:rsidR="00577D08" w:rsidRDefault="00330FC0">
            <w:pPr>
              <w:jc w:val="right"/>
            </w:pPr>
            <w:r>
              <w:t>1,116,598.33</w:t>
            </w:r>
          </w:p>
        </w:tc>
        <w:tc>
          <w:tcPr>
            <w:tcW w:w="419" w:type="pct"/>
            <w:tcBorders>
              <w:top w:val="single" w:sz="4" w:space="0" w:color="auto"/>
              <w:left w:val="single" w:sz="4" w:space="0" w:color="auto"/>
              <w:bottom w:val="single" w:sz="4" w:space="0" w:color="auto"/>
              <w:right w:val="single" w:sz="4" w:space="0" w:color="auto"/>
            </w:tcBorders>
            <w:vAlign w:val="center"/>
          </w:tcPr>
          <w:p w14:paraId="4F162B06" w14:textId="77777777" w:rsidR="00577D08" w:rsidRDefault="00330FC0">
            <w:pPr>
              <w:jc w:val="right"/>
            </w:pPr>
            <w:r>
              <w:t>12,847,432.50</w:t>
            </w:r>
          </w:p>
        </w:tc>
        <w:tc>
          <w:tcPr>
            <w:tcW w:w="419" w:type="pct"/>
            <w:tcBorders>
              <w:top w:val="single" w:sz="4" w:space="0" w:color="auto"/>
              <w:left w:val="single" w:sz="4" w:space="0" w:color="auto"/>
              <w:bottom w:val="single" w:sz="4" w:space="0" w:color="auto"/>
              <w:right w:val="single" w:sz="4" w:space="0" w:color="auto"/>
            </w:tcBorders>
            <w:vAlign w:val="center"/>
          </w:tcPr>
          <w:p w14:paraId="207D5415" w14:textId="77777777" w:rsidR="00577D08" w:rsidRDefault="00577D08">
            <w:pPr>
              <w:jc w:val="right"/>
            </w:pPr>
          </w:p>
        </w:tc>
        <w:tc>
          <w:tcPr>
            <w:tcW w:w="416" w:type="pct"/>
            <w:tcBorders>
              <w:top w:val="single" w:sz="4" w:space="0" w:color="auto"/>
              <w:left w:val="single" w:sz="4" w:space="0" w:color="auto"/>
              <w:bottom w:val="single" w:sz="4" w:space="0" w:color="auto"/>
              <w:right w:val="single" w:sz="4" w:space="0" w:color="auto"/>
            </w:tcBorders>
            <w:vAlign w:val="center"/>
          </w:tcPr>
          <w:p w14:paraId="030F6760" w14:textId="77777777" w:rsidR="00577D08" w:rsidRDefault="00330FC0">
            <w:r>
              <w:rPr>
                <w:rFonts w:hint="eastAsia"/>
              </w:rPr>
              <w:t>/</w:t>
            </w:r>
          </w:p>
        </w:tc>
      </w:tr>
    </w:tbl>
    <w:bookmarkEnd w:id="392"/>
    <w:p w14:paraId="16754119" w14:textId="77777777" w:rsidR="00577D08" w:rsidRDefault="00330FC0">
      <w:pPr>
        <w:pStyle w:val="4"/>
        <w:numPr>
          <w:ilvl w:val="3"/>
          <w:numId w:val="75"/>
        </w:numPr>
        <w:ind w:left="426" w:hanging="426"/>
        <w:rPr>
          <w:rFonts w:hint="eastAsia"/>
        </w:rPr>
      </w:pPr>
      <w:r>
        <w:rPr>
          <w:rFonts w:hint="eastAsia"/>
        </w:rPr>
        <w:t>本期存在终止确认的情况说明</w:t>
      </w:r>
    </w:p>
    <w:sdt>
      <w:sdtPr>
        <w:alias w:val="是否适用：本期存在终止确认的情况说明[双击切换]"/>
        <w:tag w:val="_GBC_27e93a66690f439284ed9d6df3a9bd6c"/>
        <w:id w:val="1591274884"/>
        <w:placeholder>
          <w:docPart w:val="GBC22222222222222222222222222222"/>
        </w:placeholder>
      </w:sdtPr>
      <w:sdtContent>
        <w:p w14:paraId="2B4F27E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BAAF1B" w14:textId="77777777" w:rsidR="00577D08" w:rsidRDefault="00330FC0">
      <w:r>
        <w:rPr>
          <w:rFonts w:hint="eastAsia"/>
        </w:rPr>
        <w:t>其他</w:t>
      </w:r>
      <w:r>
        <w:t>说明</w:t>
      </w:r>
      <w:r>
        <w:rPr>
          <w:rFonts w:hint="eastAsia"/>
        </w:rPr>
        <w:t>：</w:t>
      </w:r>
    </w:p>
    <w:sdt>
      <w:sdtPr>
        <w:alias w:val="是否适用：其他权益工具投资其他说明[双击切换]"/>
        <w:tag w:val="_GBC_217dff5073ff4a12b86d342292038452"/>
        <w:id w:val="-140966006"/>
        <w:placeholder>
          <w:docPart w:val="GBC22222222222222222222222222222"/>
        </w:placeholder>
      </w:sdtPr>
      <w:sdtContent>
        <w:p w14:paraId="12DC50D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916EEA6" w14:textId="77777777" w:rsidR="00577D08" w:rsidRDefault="00330FC0">
      <w:pPr>
        <w:pStyle w:val="3"/>
        <w:numPr>
          <w:ilvl w:val="0"/>
          <w:numId w:val="61"/>
        </w:numPr>
        <w:tabs>
          <w:tab w:val="left" w:pos="504"/>
        </w:tabs>
        <w:rPr>
          <w:szCs w:val="21"/>
        </w:rPr>
      </w:pPr>
      <w:r>
        <w:rPr>
          <w:rFonts w:hint="eastAsia"/>
          <w:szCs w:val="21"/>
        </w:rPr>
        <w:lastRenderedPageBreak/>
        <w:t>其他非流动金融资产</w:t>
      </w:r>
    </w:p>
    <w:sdt>
      <w:sdtPr>
        <w:alias w:val="是否适用：其他非流动金融资产[双击切换]"/>
        <w:tag w:val="_GBC_6b599068045d444b87b686a3b6690bf1"/>
        <w:id w:val="844054492"/>
        <w:placeholder>
          <w:docPart w:val="GBC22222222222222222222222222222"/>
        </w:placeholder>
      </w:sdtPr>
      <w:sdtContent>
        <w:p w14:paraId="6FCE314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44EB2C" w14:textId="77777777" w:rsidR="00577D08" w:rsidRDefault="00577D08"/>
    <w:bookmarkEnd w:id="393"/>
    <w:p w14:paraId="72FEDF5B" w14:textId="77777777" w:rsidR="00577D08" w:rsidRDefault="00330FC0">
      <w:r>
        <w:rPr>
          <w:rFonts w:hint="eastAsia"/>
        </w:rPr>
        <w:t>其他</w:t>
      </w:r>
      <w:r>
        <w:t>说明</w:t>
      </w:r>
      <w:r>
        <w:rPr>
          <w:rFonts w:hint="eastAsia"/>
        </w:rPr>
        <w:t>：</w:t>
      </w:r>
    </w:p>
    <w:sdt>
      <w:sdtPr>
        <w:alias w:val="是否适用：其他非流动金融资产其他说明[双击切换]"/>
        <w:tag w:val="_GBC_037912ebdd3b4e80b4b66cf88f8cb3e7"/>
        <w:id w:val="-1235005813"/>
        <w:placeholder>
          <w:docPart w:val="GBC22222222222222222222222222222"/>
        </w:placeholder>
      </w:sdtPr>
      <w:sdtContent>
        <w:p w14:paraId="36CBA73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DDB8855"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投资性房地产</w:t>
      </w:r>
    </w:p>
    <w:p w14:paraId="2A09EF0F" w14:textId="77777777" w:rsidR="00577D08" w:rsidRDefault="00330FC0">
      <w:r>
        <w:t>投资性房地产</w:t>
      </w:r>
      <w:r>
        <w:rPr>
          <w:rFonts w:hint="eastAsia"/>
        </w:rPr>
        <w:t>计量模式</w:t>
      </w:r>
    </w:p>
    <w:p w14:paraId="5A24E58B" w14:textId="77777777" w:rsidR="00577D08" w:rsidRDefault="00330FC0">
      <w:pPr>
        <w:ind w:right="283"/>
        <w:rPr>
          <w:rFonts w:cstheme="minorBidi"/>
          <w:kern w:val="2"/>
        </w:rPr>
      </w:pPr>
      <w:r>
        <w:rPr>
          <w:rFonts w:cstheme="minorBidi" w:hint="eastAsia"/>
          <w:kern w:val="2"/>
        </w:rPr>
        <w:t>不</w:t>
      </w:r>
      <w:sdt>
        <w:sdtPr>
          <w:tag w:val="_PLD_04923bd149fe463fabfad2e2d6108628"/>
          <w:id w:val="-750422443"/>
          <w:placeholder>
            <w:docPart w:val="GBC22222222222222222222222222222"/>
          </w:placeholder>
        </w:sdtPr>
        <w:sdtContent>
          <w:r>
            <w:rPr>
              <w:rFonts w:cstheme="minorBidi" w:hint="eastAsia"/>
              <w:kern w:val="2"/>
              <w:shd w:val="solid" w:color="FFFFFF" w:fill="auto"/>
            </w:rPr>
            <w:t>适</w:t>
          </w:r>
          <w:r>
            <w:rPr>
              <w:rFonts w:cstheme="minorBidi" w:hint="eastAsia"/>
              <w:kern w:val="2"/>
            </w:rPr>
            <w:t>用</w:t>
          </w:r>
        </w:sdtContent>
      </w:sdt>
    </w:p>
    <w:p w14:paraId="5486F031" w14:textId="77777777" w:rsidR="00577D08" w:rsidRDefault="00330FC0">
      <w:pPr>
        <w:pStyle w:val="3"/>
        <w:numPr>
          <w:ilvl w:val="0"/>
          <w:numId w:val="61"/>
        </w:numPr>
        <w:tabs>
          <w:tab w:val="left" w:pos="504"/>
        </w:tabs>
        <w:rPr>
          <w:rFonts w:ascii="宋体" w:hAnsi="宋体" w:hint="eastAsia"/>
          <w:szCs w:val="21"/>
        </w:rPr>
      </w:pPr>
      <w:bookmarkStart w:id="396" w:name="_Hlk153460290"/>
      <w:bookmarkStart w:id="397" w:name="_Hlk152860822"/>
      <w:bookmarkEnd w:id="396"/>
      <w:bookmarkEnd w:id="397"/>
      <w:r>
        <w:rPr>
          <w:rFonts w:ascii="宋体" w:hAnsi="宋体" w:hint="eastAsia"/>
          <w:szCs w:val="21"/>
        </w:rPr>
        <w:t>固定资产</w:t>
      </w:r>
    </w:p>
    <w:p w14:paraId="57B97AD1" w14:textId="77777777" w:rsidR="00577D08" w:rsidRDefault="00330FC0">
      <w:pPr>
        <w:pStyle w:val="4"/>
        <w:rPr>
          <w:rFonts w:hint="eastAsia"/>
        </w:rPr>
      </w:pPr>
      <w:bookmarkStart w:id="398" w:name="_Hlk532907583"/>
      <w:r>
        <w:rPr>
          <w:rFonts w:hint="eastAsia"/>
        </w:rPr>
        <w:t>项目列示</w:t>
      </w:r>
    </w:p>
    <w:sdt>
      <w:sdtPr>
        <w:alias w:val="是否适用：固定资产分类列示[双击切换]"/>
        <w:tag w:val="_GBC_aa56cf68790e4b9d866b3ea7d6d8073d"/>
        <w:id w:val="-212668905"/>
        <w:placeholder>
          <w:docPart w:val="GBC22222222222222222222222222222"/>
        </w:placeholder>
      </w:sdtPr>
      <w:sdtContent>
        <w:p w14:paraId="01A976C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D3F45E7" w14:textId="72C7D1CB" w:rsidR="00577D08" w:rsidRDefault="00330FC0">
      <w:pPr>
        <w:jc w:val="right"/>
      </w:pPr>
      <w:r>
        <w:rPr>
          <w:rFonts w:hint="eastAsia"/>
        </w:rPr>
        <w:t>单位：</w:t>
      </w:r>
      <w:sdt>
        <w:sdtPr>
          <w:rPr>
            <w:rFonts w:hint="eastAsia"/>
          </w:rPr>
          <w:alias w:val="单位：固定资产分类列示"/>
          <w:tag w:val="_GBC_857b5f6755c84b5aa235351580358065"/>
          <w:id w:val="16289718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固定资产分类列示"/>
          <w:tag w:val="_GBC_726c882708c540a4a7832f00029fe5d4"/>
          <w:id w:val="11733764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4386"/>
        <w:gridCol w:w="4408"/>
      </w:tblGrid>
      <w:tr w:rsidR="00577D08" w14:paraId="39C84E82" w14:textId="77777777">
        <w:sdt>
          <w:sdtPr>
            <w:tag w:val="_PLD_a1c8e68343ee4b7fa02f5422a7fad5c0"/>
            <w:id w:val="1125430860"/>
          </w:sdtPr>
          <w:sdtContent>
            <w:tc>
              <w:tcPr>
                <w:tcW w:w="1828" w:type="pct"/>
                <w:vAlign w:val="center"/>
              </w:tcPr>
              <w:p w14:paraId="5F6987EF" w14:textId="77777777" w:rsidR="00577D08" w:rsidRDefault="00330FC0">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a7d9e039146b4c3ab8e71ba63a4ca55d"/>
            <w:id w:val="-245113345"/>
          </w:sdtPr>
          <w:sdtContent>
            <w:tc>
              <w:tcPr>
                <w:tcW w:w="1582" w:type="pct"/>
                <w:vAlign w:val="center"/>
              </w:tcPr>
              <w:p w14:paraId="6E90B908" w14:textId="77777777" w:rsidR="00577D08" w:rsidRDefault="00330FC0">
                <w:pPr>
                  <w:jc w:val="center"/>
                </w:pPr>
                <w:r>
                  <w:rPr>
                    <w:rFonts w:hint="eastAsia"/>
                  </w:rPr>
                  <w:t>期末余额</w:t>
                </w:r>
              </w:p>
            </w:tc>
          </w:sdtContent>
        </w:sdt>
        <w:sdt>
          <w:sdtPr>
            <w:tag w:val="_PLD_a075f0130f1f4334b8370490adf71764"/>
            <w:id w:val="-567813524"/>
          </w:sdtPr>
          <w:sdtContent>
            <w:tc>
              <w:tcPr>
                <w:tcW w:w="1590" w:type="pct"/>
                <w:vAlign w:val="center"/>
              </w:tcPr>
              <w:p w14:paraId="4117669C" w14:textId="77777777" w:rsidR="00577D08" w:rsidRDefault="00330FC0">
                <w:pPr>
                  <w:jc w:val="center"/>
                </w:pPr>
                <w:r>
                  <w:rPr>
                    <w:rFonts w:hint="eastAsia"/>
                  </w:rPr>
                  <w:t>期初余额</w:t>
                </w:r>
              </w:p>
            </w:tc>
          </w:sdtContent>
        </w:sdt>
      </w:tr>
      <w:tr w:rsidR="00577D08" w14:paraId="0E27842C" w14:textId="77777777">
        <w:tc>
          <w:tcPr>
            <w:tcW w:w="1828" w:type="pct"/>
            <w:vAlign w:val="center"/>
          </w:tcPr>
          <w:p w14:paraId="547890EA" w14:textId="77777777" w:rsidR="00577D08" w:rsidRDefault="00330FC0">
            <w:pPr>
              <w:tabs>
                <w:tab w:val="right" w:pos="3690"/>
                <w:tab w:val="right" w:pos="5130"/>
                <w:tab w:val="right" w:pos="6030"/>
                <w:tab w:val="right" w:pos="7650"/>
                <w:tab w:val="right" w:pos="9270"/>
              </w:tabs>
              <w:adjustRightInd w:val="0"/>
              <w:snapToGrid w:val="0"/>
            </w:pPr>
            <w:r>
              <w:rPr>
                <w:rFonts w:hint="eastAsia"/>
              </w:rPr>
              <w:t>固定资产</w:t>
            </w:r>
          </w:p>
        </w:tc>
        <w:tc>
          <w:tcPr>
            <w:tcW w:w="1582" w:type="pct"/>
          </w:tcPr>
          <w:p w14:paraId="305C49FC" w14:textId="77777777" w:rsidR="00577D08" w:rsidRDefault="00330FC0">
            <w:pPr>
              <w:tabs>
                <w:tab w:val="right" w:pos="3690"/>
                <w:tab w:val="right" w:pos="5130"/>
                <w:tab w:val="right" w:pos="6030"/>
                <w:tab w:val="right" w:pos="7650"/>
                <w:tab w:val="right" w:pos="9270"/>
              </w:tabs>
              <w:adjustRightInd w:val="0"/>
              <w:snapToGrid w:val="0"/>
              <w:jc w:val="right"/>
            </w:pPr>
            <w:r>
              <w:t>1,923,504,168.59</w:t>
            </w:r>
          </w:p>
        </w:tc>
        <w:tc>
          <w:tcPr>
            <w:tcW w:w="1590" w:type="pct"/>
          </w:tcPr>
          <w:p w14:paraId="5F8F0E61" w14:textId="77777777" w:rsidR="00577D08" w:rsidRDefault="00330FC0">
            <w:pPr>
              <w:tabs>
                <w:tab w:val="right" w:pos="3690"/>
                <w:tab w:val="right" w:pos="5130"/>
                <w:tab w:val="right" w:pos="6030"/>
                <w:tab w:val="right" w:pos="7650"/>
                <w:tab w:val="right" w:pos="9270"/>
              </w:tabs>
              <w:adjustRightInd w:val="0"/>
              <w:snapToGrid w:val="0"/>
              <w:jc w:val="right"/>
            </w:pPr>
            <w:r>
              <w:t>2,016,902,943.58</w:t>
            </w:r>
          </w:p>
        </w:tc>
      </w:tr>
      <w:tr w:rsidR="00577D08" w14:paraId="71C1B6A2" w14:textId="77777777">
        <w:tc>
          <w:tcPr>
            <w:tcW w:w="1828" w:type="pct"/>
            <w:vAlign w:val="center"/>
          </w:tcPr>
          <w:p w14:paraId="1D0632CD" w14:textId="77777777" w:rsidR="00577D08" w:rsidRDefault="00330FC0">
            <w:pPr>
              <w:tabs>
                <w:tab w:val="right" w:pos="3690"/>
                <w:tab w:val="right" w:pos="5130"/>
                <w:tab w:val="right" w:pos="6030"/>
                <w:tab w:val="right" w:pos="7650"/>
                <w:tab w:val="right" w:pos="9270"/>
              </w:tabs>
              <w:adjustRightInd w:val="0"/>
              <w:snapToGrid w:val="0"/>
            </w:pPr>
            <w:r>
              <w:rPr>
                <w:rFonts w:hint="eastAsia"/>
              </w:rPr>
              <w:t>固定资产清理</w:t>
            </w:r>
          </w:p>
        </w:tc>
        <w:tc>
          <w:tcPr>
            <w:tcW w:w="1582" w:type="pct"/>
          </w:tcPr>
          <w:p w14:paraId="11D79966" w14:textId="77777777" w:rsidR="00577D08" w:rsidRDefault="00577D08">
            <w:pPr>
              <w:tabs>
                <w:tab w:val="right" w:pos="3690"/>
                <w:tab w:val="right" w:pos="5130"/>
                <w:tab w:val="right" w:pos="6030"/>
                <w:tab w:val="right" w:pos="7650"/>
                <w:tab w:val="right" w:pos="9270"/>
              </w:tabs>
              <w:adjustRightInd w:val="0"/>
              <w:snapToGrid w:val="0"/>
              <w:jc w:val="right"/>
            </w:pPr>
          </w:p>
        </w:tc>
        <w:tc>
          <w:tcPr>
            <w:tcW w:w="1590" w:type="pct"/>
          </w:tcPr>
          <w:p w14:paraId="17249701" w14:textId="77777777" w:rsidR="00577D08" w:rsidRDefault="00577D08">
            <w:pPr>
              <w:tabs>
                <w:tab w:val="right" w:pos="3690"/>
                <w:tab w:val="right" w:pos="5130"/>
                <w:tab w:val="right" w:pos="6030"/>
                <w:tab w:val="right" w:pos="7650"/>
                <w:tab w:val="right" w:pos="9270"/>
              </w:tabs>
              <w:adjustRightInd w:val="0"/>
              <w:snapToGrid w:val="0"/>
              <w:jc w:val="right"/>
            </w:pPr>
          </w:p>
        </w:tc>
      </w:tr>
      <w:tr w:rsidR="00577D08" w14:paraId="193C77DD" w14:textId="77777777">
        <w:tc>
          <w:tcPr>
            <w:tcW w:w="1828" w:type="pct"/>
            <w:vAlign w:val="center"/>
          </w:tcPr>
          <w:p w14:paraId="2F886AAD" w14:textId="77777777" w:rsidR="00577D08" w:rsidRDefault="00330FC0">
            <w:pPr>
              <w:tabs>
                <w:tab w:val="right" w:pos="3690"/>
                <w:tab w:val="right" w:pos="5130"/>
                <w:tab w:val="right" w:pos="6030"/>
                <w:tab w:val="right" w:pos="7650"/>
                <w:tab w:val="right" w:pos="9270"/>
              </w:tabs>
              <w:adjustRightInd w:val="0"/>
              <w:snapToGrid w:val="0"/>
              <w:jc w:val="center"/>
            </w:pPr>
            <w:r>
              <w:rPr>
                <w:rFonts w:hint="eastAsia"/>
              </w:rPr>
              <w:t>合计</w:t>
            </w:r>
          </w:p>
        </w:tc>
        <w:tc>
          <w:tcPr>
            <w:tcW w:w="1582" w:type="pct"/>
          </w:tcPr>
          <w:p w14:paraId="1F713236" w14:textId="77777777" w:rsidR="00577D08" w:rsidRDefault="00330FC0">
            <w:pPr>
              <w:tabs>
                <w:tab w:val="right" w:pos="3690"/>
                <w:tab w:val="right" w:pos="5130"/>
                <w:tab w:val="right" w:pos="6030"/>
                <w:tab w:val="right" w:pos="7650"/>
                <w:tab w:val="right" w:pos="9270"/>
              </w:tabs>
              <w:adjustRightInd w:val="0"/>
              <w:snapToGrid w:val="0"/>
              <w:jc w:val="right"/>
            </w:pPr>
            <w:r>
              <w:t>1,923,504,168.59</w:t>
            </w:r>
          </w:p>
        </w:tc>
        <w:tc>
          <w:tcPr>
            <w:tcW w:w="1590" w:type="pct"/>
          </w:tcPr>
          <w:p w14:paraId="54A00068" w14:textId="77777777" w:rsidR="00577D08" w:rsidRDefault="00330FC0">
            <w:pPr>
              <w:tabs>
                <w:tab w:val="right" w:pos="3690"/>
                <w:tab w:val="right" w:pos="5130"/>
                <w:tab w:val="right" w:pos="6030"/>
                <w:tab w:val="right" w:pos="7650"/>
                <w:tab w:val="right" w:pos="9270"/>
              </w:tabs>
              <w:adjustRightInd w:val="0"/>
              <w:snapToGrid w:val="0"/>
              <w:jc w:val="right"/>
            </w:pPr>
            <w:r>
              <w:t>2,016,902,943.58</w:t>
            </w:r>
          </w:p>
        </w:tc>
      </w:tr>
    </w:tbl>
    <w:bookmarkEnd w:id="398"/>
    <w:p w14:paraId="3FCF2A35" w14:textId="77777777" w:rsidR="00577D08" w:rsidRDefault="00330FC0">
      <w:r>
        <w:rPr>
          <w:rFonts w:hint="eastAsia"/>
        </w:rPr>
        <w:t>其他说明：</w:t>
      </w:r>
    </w:p>
    <w:sdt>
      <w:sdtPr>
        <w:alias w:val="是否适用：固定资产分类列示其他说明[双击切换]"/>
        <w:tag w:val="_GBC_242c272ba3a1435aacea1f45ade5a2e0"/>
        <w:id w:val="-1201087693"/>
        <w:placeholder>
          <w:docPart w:val="GBC22222222222222222222222222222"/>
        </w:placeholder>
      </w:sdtPr>
      <w:sdtContent>
        <w:p w14:paraId="099313B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A671802" w14:textId="77777777" w:rsidR="00577D08" w:rsidRDefault="00330FC0">
      <w:pPr>
        <w:pStyle w:val="4"/>
        <w:ind w:left="360" w:hanging="360"/>
        <w:rPr>
          <w:rFonts w:hint="eastAsia"/>
        </w:rPr>
      </w:pPr>
      <w:r>
        <w:rPr>
          <w:rFonts w:hint="eastAsia"/>
        </w:rPr>
        <w:t>固定资产</w:t>
      </w:r>
    </w:p>
    <w:p w14:paraId="1010F319" w14:textId="77777777" w:rsidR="00577D08" w:rsidRDefault="00330FC0">
      <w:pPr>
        <w:pStyle w:val="5"/>
        <w:numPr>
          <w:ilvl w:val="0"/>
          <w:numId w:val="76"/>
        </w:numPr>
        <w:ind w:leftChars="0"/>
      </w:pPr>
      <w:r>
        <w:rPr>
          <w:rFonts w:hint="eastAsia"/>
        </w:rPr>
        <w:t>固定资产情况</w:t>
      </w:r>
    </w:p>
    <w:sdt>
      <w:sdtPr>
        <w:alias w:val="是否适用：固定资产情况[双击切换]"/>
        <w:tag w:val="_GBC_a44afb7019ae43b7a273970cf76154a3"/>
        <w:id w:val="-243954307"/>
        <w:placeholder>
          <w:docPart w:val="GBC22222222222222222222222222222"/>
        </w:placeholder>
      </w:sdtPr>
      <w:sdtContent>
        <w:p w14:paraId="754ACEE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1F0AFC3" w14:textId="656775FD" w:rsidR="00577D08" w:rsidRDefault="00330FC0">
      <w:pPr>
        <w:autoSpaceDE w:val="0"/>
        <w:autoSpaceDN w:val="0"/>
        <w:adjustRightInd w:val="0"/>
        <w:jc w:val="right"/>
      </w:pPr>
      <w:r>
        <w:rPr>
          <w:rFonts w:hint="eastAsia"/>
        </w:rPr>
        <w:t>单位：</w:t>
      </w:r>
      <w:sdt>
        <w:sdtPr>
          <w:rPr>
            <w:rFonts w:hint="eastAsia"/>
          </w:rPr>
          <w:alias w:val="单位：财务附注：固定资产情况"/>
          <w:tag w:val="_GBC_6aff6dff3e7c47e2891bcccce5ef5b8c"/>
          <w:id w:val="15292253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固定资产情况"/>
          <w:tag w:val="_GBC_acfb726ad8bc4e37a6326a98b903d495"/>
          <w:id w:val="979085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599"/>
        <w:gridCol w:w="1999"/>
        <w:gridCol w:w="1999"/>
        <w:gridCol w:w="1999"/>
        <w:gridCol w:w="2085"/>
        <w:gridCol w:w="2182"/>
      </w:tblGrid>
      <w:tr w:rsidR="00577D08" w14:paraId="2CD1B3E5" w14:textId="77777777">
        <w:sdt>
          <w:sdtPr>
            <w:tag w:val="_PLD_0431b88b9ff14ebb90e5715c273e1c1d"/>
            <w:id w:val="840736294"/>
          </w:sdtPr>
          <w:sdtContent>
            <w:tc>
              <w:tcPr>
                <w:tcW w:w="1298" w:type="pct"/>
                <w:vAlign w:val="center"/>
              </w:tcPr>
              <w:p w14:paraId="1993B411" w14:textId="77777777" w:rsidR="00577D08" w:rsidRDefault="00330FC0">
                <w:pPr>
                  <w:jc w:val="center"/>
                </w:pPr>
                <w:r>
                  <w:rPr>
                    <w:rFonts w:hint="eastAsia"/>
                  </w:rPr>
                  <w:t>项目</w:t>
                </w:r>
              </w:p>
            </w:tc>
          </w:sdtContent>
        </w:sdt>
        <w:sdt>
          <w:sdtPr>
            <w:rPr>
              <w:rFonts w:hint="eastAsia"/>
            </w:rPr>
            <w:alias w:val="固定资产情况明细-项目名称"/>
            <w:tag w:val="_GBC_d421638fcfb34bbba0e548b4cb719a06"/>
            <w:id w:val="-2073111069"/>
            <w:text/>
          </w:sdtPr>
          <w:sdtContent>
            <w:tc>
              <w:tcPr>
                <w:tcW w:w="721" w:type="pct"/>
                <w:vAlign w:val="center"/>
              </w:tcPr>
              <w:p w14:paraId="526FBD0D" w14:textId="77777777" w:rsidR="00577D08" w:rsidRDefault="00330FC0">
                <w:pPr>
                  <w:jc w:val="center"/>
                </w:pPr>
                <w:r>
                  <w:rPr>
                    <w:rFonts w:hint="eastAsia"/>
                  </w:rPr>
                  <w:t>房屋及建筑物</w:t>
                </w:r>
              </w:p>
            </w:tc>
          </w:sdtContent>
        </w:sdt>
        <w:sdt>
          <w:sdtPr>
            <w:rPr>
              <w:rFonts w:hint="eastAsia"/>
            </w:rPr>
            <w:alias w:val="固定资产情况明细-项目名称"/>
            <w:tag w:val="_GBC_d421638fcfb34bbba0e548b4cb719a06"/>
            <w:id w:val="-796057564"/>
            <w:text/>
          </w:sdtPr>
          <w:sdtContent>
            <w:tc>
              <w:tcPr>
                <w:tcW w:w="721" w:type="pct"/>
                <w:vAlign w:val="center"/>
              </w:tcPr>
              <w:p w14:paraId="23B48380" w14:textId="77777777" w:rsidR="00577D08" w:rsidRDefault="00330FC0">
                <w:pPr>
                  <w:jc w:val="center"/>
                </w:pPr>
                <w:r>
                  <w:rPr>
                    <w:rFonts w:hint="eastAsia"/>
                  </w:rPr>
                  <w:t>机器设备</w:t>
                </w:r>
              </w:p>
            </w:tc>
          </w:sdtContent>
        </w:sdt>
        <w:sdt>
          <w:sdtPr>
            <w:rPr>
              <w:rFonts w:hint="eastAsia"/>
            </w:rPr>
            <w:alias w:val="固定资产情况明细-项目名称"/>
            <w:tag w:val="_GBC_d421638fcfb34bbba0e548b4cb719a06"/>
            <w:id w:val="1327635790"/>
            <w:text/>
          </w:sdtPr>
          <w:sdtContent>
            <w:tc>
              <w:tcPr>
                <w:tcW w:w="721" w:type="pct"/>
                <w:vAlign w:val="center"/>
              </w:tcPr>
              <w:p w14:paraId="5F258EEE" w14:textId="77777777" w:rsidR="00577D08" w:rsidRDefault="00330FC0">
                <w:pPr>
                  <w:jc w:val="center"/>
                </w:pPr>
                <w:r>
                  <w:rPr>
                    <w:rFonts w:hint="eastAsia"/>
                  </w:rPr>
                  <w:t>运输工具</w:t>
                </w:r>
              </w:p>
            </w:tc>
          </w:sdtContent>
        </w:sdt>
        <w:sdt>
          <w:sdtPr>
            <w:rPr>
              <w:rFonts w:hint="eastAsia"/>
            </w:rPr>
            <w:alias w:val="固定资产情况明细-项目名称"/>
            <w:tag w:val="_GBC_d421638fcfb34bbba0e548b4cb719a06"/>
            <w:id w:val="-1885708084"/>
            <w:text/>
          </w:sdtPr>
          <w:sdtContent>
            <w:tc>
              <w:tcPr>
                <w:tcW w:w="752" w:type="pct"/>
                <w:vAlign w:val="center"/>
              </w:tcPr>
              <w:p w14:paraId="3EE91A9A" w14:textId="77777777" w:rsidR="00577D08" w:rsidRDefault="00330FC0">
                <w:pPr>
                  <w:jc w:val="center"/>
                </w:pPr>
                <w:r>
                  <w:rPr>
                    <w:rFonts w:hint="eastAsia"/>
                  </w:rPr>
                  <w:t>电子设备及办公设备</w:t>
                </w:r>
              </w:p>
            </w:tc>
          </w:sdtContent>
        </w:sdt>
        <w:sdt>
          <w:sdtPr>
            <w:tag w:val="_PLD_44989fc4cd3d46cc990c4d1941405a11"/>
            <w:id w:val="-1137026523"/>
          </w:sdtPr>
          <w:sdtContent>
            <w:tc>
              <w:tcPr>
                <w:tcW w:w="787" w:type="pct"/>
                <w:vAlign w:val="center"/>
              </w:tcPr>
              <w:p w14:paraId="0FAE4D21" w14:textId="77777777" w:rsidR="00577D08" w:rsidRDefault="00330FC0">
                <w:pPr>
                  <w:jc w:val="center"/>
                </w:pPr>
                <w:r>
                  <w:rPr>
                    <w:rFonts w:hint="eastAsia"/>
                  </w:rPr>
                  <w:t>合计</w:t>
                </w:r>
              </w:p>
            </w:tc>
          </w:sdtContent>
        </w:sdt>
      </w:tr>
      <w:tr w:rsidR="00577D08" w14:paraId="08DB200A" w14:textId="77777777">
        <w:sdt>
          <w:sdtPr>
            <w:tag w:val="_PLD_baa91289996942f0a3579319b339b24d"/>
            <w:id w:val="-1891645200"/>
          </w:sdtPr>
          <w:sdtContent>
            <w:tc>
              <w:tcPr>
                <w:tcW w:w="5000" w:type="pct"/>
                <w:gridSpan w:val="6"/>
                <w:vAlign w:val="center"/>
              </w:tcPr>
              <w:p w14:paraId="03EF27EB" w14:textId="77777777" w:rsidR="00577D08" w:rsidRDefault="00330FC0">
                <w:r>
                  <w:rPr>
                    <w:rFonts w:hint="eastAsia"/>
                  </w:rPr>
                  <w:t>一、账面原值：</w:t>
                </w:r>
              </w:p>
            </w:tc>
          </w:sdtContent>
        </w:sdt>
      </w:tr>
      <w:tr w:rsidR="00577D08" w14:paraId="3D7ACCC0" w14:textId="77777777">
        <w:tc>
          <w:tcPr>
            <w:tcW w:w="1298" w:type="pct"/>
            <w:vAlign w:val="center"/>
          </w:tcPr>
          <w:p w14:paraId="5968E5EA" w14:textId="77777777" w:rsidR="00577D08" w:rsidRDefault="00330FC0">
            <w:pPr>
              <w:ind w:firstLineChars="200" w:firstLine="420"/>
            </w:pPr>
            <w:r>
              <w:t>1.</w:t>
            </w:r>
            <w:r>
              <w:rPr>
                <w:rFonts w:hint="eastAsia"/>
              </w:rPr>
              <w:t>期初余额</w:t>
            </w:r>
          </w:p>
        </w:tc>
        <w:tc>
          <w:tcPr>
            <w:tcW w:w="721" w:type="pct"/>
          </w:tcPr>
          <w:p w14:paraId="28492A62" w14:textId="77777777" w:rsidR="00577D08" w:rsidRDefault="00330FC0">
            <w:pPr>
              <w:jc w:val="right"/>
            </w:pPr>
            <w:r>
              <w:t xml:space="preserve"> 1,221,166,275.17 </w:t>
            </w:r>
          </w:p>
        </w:tc>
        <w:tc>
          <w:tcPr>
            <w:tcW w:w="721" w:type="pct"/>
          </w:tcPr>
          <w:p w14:paraId="19EBCC6B" w14:textId="77777777" w:rsidR="00577D08" w:rsidRDefault="00330FC0">
            <w:pPr>
              <w:jc w:val="right"/>
            </w:pPr>
            <w:r>
              <w:t xml:space="preserve"> 1,265,550,711.74 </w:t>
            </w:r>
          </w:p>
        </w:tc>
        <w:tc>
          <w:tcPr>
            <w:tcW w:w="721" w:type="pct"/>
          </w:tcPr>
          <w:p w14:paraId="060DDE0C" w14:textId="77777777" w:rsidR="00577D08" w:rsidRDefault="00330FC0">
            <w:pPr>
              <w:jc w:val="right"/>
            </w:pPr>
            <w:r>
              <w:t xml:space="preserve"> 16,019,071.58 </w:t>
            </w:r>
          </w:p>
        </w:tc>
        <w:tc>
          <w:tcPr>
            <w:tcW w:w="752" w:type="pct"/>
          </w:tcPr>
          <w:p w14:paraId="5D0C162C" w14:textId="77777777" w:rsidR="00577D08" w:rsidRDefault="00330FC0">
            <w:pPr>
              <w:jc w:val="right"/>
            </w:pPr>
            <w:r>
              <w:t xml:space="preserve"> 42,279,276.57 </w:t>
            </w:r>
          </w:p>
        </w:tc>
        <w:tc>
          <w:tcPr>
            <w:tcW w:w="787" w:type="pct"/>
          </w:tcPr>
          <w:p w14:paraId="33BB8F72" w14:textId="77777777" w:rsidR="00577D08" w:rsidRDefault="00330FC0">
            <w:pPr>
              <w:jc w:val="right"/>
            </w:pPr>
            <w:r>
              <w:t xml:space="preserve"> 2,545,015,335.06 </w:t>
            </w:r>
          </w:p>
        </w:tc>
      </w:tr>
      <w:tr w:rsidR="00577D08" w14:paraId="33C3EECF" w14:textId="77777777">
        <w:tc>
          <w:tcPr>
            <w:tcW w:w="1298" w:type="pct"/>
            <w:vAlign w:val="center"/>
          </w:tcPr>
          <w:p w14:paraId="2B0DAE67" w14:textId="77777777" w:rsidR="00577D08" w:rsidRDefault="00330FC0">
            <w:pPr>
              <w:ind w:firstLineChars="200" w:firstLine="420"/>
            </w:pPr>
            <w:r>
              <w:t>2.</w:t>
            </w:r>
            <w:r>
              <w:rPr>
                <w:rFonts w:hint="eastAsia"/>
              </w:rPr>
              <w:t>本期增加金额</w:t>
            </w:r>
          </w:p>
        </w:tc>
        <w:tc>
          <w:tcPr>
            <w:tcW w:w="721" w:type="pct"/>
          </w:tcPr>
          <w:p w14:paraId="46E8784A" w14:textId="77777777" w:rsidR="00577D08" w:rsidRDefault="00330FC0">
            <w:pPr>
              <w:jc w:val="right"/>
            </w:pPr>
            <w:r>
              <w:t xml:space="preserve"> 38,561,641.07 </w:t>
            </w:r>
          </w:p>
        </w:tc>
        <w:tc>
          <w:tcPr>
            <w:tcW w:w="721" w:type="pct"/>
          </w:tcPr>
          <w:p w14:paraId="5F5B84AD" w14:textId="77777777" w:rsidR="00577D08" w:rsidRDefault="00330FC0">
            <w:pPr>
              <w:jc w:val="right"/>
            </w:pPr>
            <w:r>
              <w:t xml:space="preserve"> 49,780,446.76 </w:t>
            </w:r>
          </w:p>
        </w:tc>
        <w:tc>
          <w:tcPr>
            <w:tcW w:w="721" w:type="pct"/>
          </w:tcPr>
          <w:p w14:paraId="54FDB9DD" w14:textId="77777777" w:rsidR="00577D08" w:rsidRDefault="00330FC0">
            <w:pPr>
              <w:jc w:val="right"/>
            </w:pPr>
            <w:r>
              <w:t xml:space="preserve"> 22,543,097.34 </w:t>
            </w:r>
          </w:p>
        </w:tc>
        <w:tc>
          <w:tcPr>
            <w:tcW w:w="752" w:type="pct"/>
          </w:tcPr>
          <w:p w14:paraId="24D02509" w14:textId="77777777" w:rsidR="00577D08" w:rsidRDefault="00330FC0">
            <w:pPr>
              <w:jc w:val="right"/>
            </w:pPr>
            <w:r>
              <w:t xml:space="preserve"> 581,689.65 </w:t>
            </w:r>
          </w:p>
        </w:tc>
        <w:tc>
          <w:tcPr>
            <w:tcW w:w="787" w:type="pct"/>
          </w:tcPr>
          <w:p w14:paraId="60298443" w14:textId="77777777" w:rsidR="00577D08" w:rsidRDefault="00330FC0">
            <w:pPr>
              <w:jc w:val="right"/>
            </w:pPr>
            <w:r>
              <w:t xml:space="preserve"> 111,466,874.82 </w:t>
            </w:r>
          </w:p>
        </w:tc>
      </w:tr>
      <w:tr w:rsidR="00577D08" w14:paraId="10D8D133" w14:textId="77777777">
        <w:tc>
          <w:tcPr>
            <w:tcW w:w="1298" w:type="pct"/>
            <w:vAlign w:val="center"/>
          </w:tcPr>
          <w:p w14:paraId="7EAD4753" w14:textId="77777777" w:rsidR="00577D08" w:rsidRDefault="00330FC0">
            <w:pPr>
              <w:ind w:firstLineChars="200" w:firstLine="420"/>
            </w:pPr>
            <w:r>
              <w:rPr>
                <w:rFonts w:hint="eastAsia"/>
              </w:rPr>
              <w:t>（</w:t>
            </w:r>
            <w:r>
              <w:rPr>
                <w:rFonts w:hint="eastAsia"/>
              </w:rPr>
              <w:t>1</w:t>
            </w:r>
            <w:r>
              <w:rPr>
                <w:rFonts w:hint="eastAsia"/>
              </w:rPr>
              <w:t>）购置</w:t>
            </w:r>
          </w:p>
        </w:tc>
        <w:tc>
          <w:tcPr>
            <w:tcW w:w="721" w:type="pct"/>
          </w:tcPr>
          <w:p w14:paraId="589629F8" w14:textId="77777777" w:rsidR="00577D08" w:rsidRDefault="00330FC0">
            <w:pPr>
              <w:jc w:val="right"/>
            </w:pPr>
            <w:r>
              <w:t xml:space="preserve"> 6,321,375.68 </w:t>
            </w:r>
          </w:p>
        </w:tc>
        <w:tc>
          <w:tcPr>
            <w:tcW w:w="721" w:type="pct"/>
          </w:tcPr>
          <w:p w14:paraId="13D501D0" w14:textId="77777777" w:rsidR="00577D08" w:rsidRDefault="00330FC0">
            <w:pPr>
              <w:jc w:val="right"/>
            </w:pPr>
            <w:r>
              <w:t xml:space="preserve"> 25,260,007.41 </w:t>
            </w:r>
          </w:p>
        </w:tc>
        <w:tc>
          <w:tcPr>
            <w:tcW w:w="721" w:type="pct"/>
          </w:tcPr>
          <w:p w14:paraId="6DB33F8F" w14:textId="77777777" w:rsidR="00577D08" w:rsidRDefault="00330FC0">
            <w:pPr>
              <w:jc w:val="right"/>
            </w:pPr>
            <w:r>
              <w:t xml:space="preserve"> 22,543,097.34 </w:t>
            </w:r>
          </w:p>
        </w:tc>
        <w:tc>
          <w:tcPr>
            <w:tcW w:w="752" w:type="pct"/>
          </w:tcPr>
          <w:p w14:paraId="109A373B" w14:textId="77777777" w:rsidR="00577D08" w:rsidRDefault="00330FC0">
            <w:pPr>
              <w:jc w:val="right"/>
            </w:pPr>
            <w:r>
              <w:t xml:space="preserve"> 244,013.57 </w:t>
            </w:r>
          </w:p>
        </w:tc>
        <w:tc>
          <w:tcPr>
            <w:tcW w:w="787" w:type="pct"/>
          </w:tcPr>
          <w:p w14:paraId="074583AA" w14:textId="77777777" w:rsidR="00577D08" w:rsidRDefault="00330FC0">
            <w:pPr>
              <w:jc w:val="right"/>
            </w:pPr>
            <w:r>
              <w:t xml:space="preserve"> 54,368,494.00 </w:t>
            </w:r>
          </w:p>
        </w:tc>
      </w:tr>
      <w:tr w:rsidR="00577D08" w14:paraId="13DEA607" w14:textId="77777777">
        <w:tc>
          <w:tcPr>
            <w:tcW w:w="1298" w:type="pct"/>
            <w:vAlign w:val="center"/>
          </w:tcPr>
          <w:p w14:paraId="68DE4D18" w14:textId="77777777" w:rsidR="00577D08" w:rsidRDefault="00330FC0">
            <w:pPr>
              <w:ind w:firstLineChars="200" w:firstLine="420"/>
            </w:pPr>
            <w:r>
              <w:rPr>
                <w:rFonts w:hint="eastAsia"/>
              </w:rPr>
              <w:lastRenderedPageBreak/>
              <w:t>（</w:t>
            </w:r>
            <w:r>
              <w:rPr>
                <w:rFonts w:hint="eastAsia"/>
              </w:rPr>
              <w:t>2</w:t>
            </w:r>
            <w:r>
              <w:rPr>
                <w:rFonts w:hint="eastAsia"/>
              </w:rPr>
              <w:t>）在建工程转入</w:t>
            </w:r>
          </w:p>
        </w:tc>
        <w:tc>
          <w:tcPr>
            <w:tcW w:w="721" w:type="pct"/>
          </w:tcPr>
          <w:p w14:paraId="33407B12" w14:textId="77777777" w:rsidR="00577D08" w:rsidRDefault="00330FC0">
            <w:pPr>
              <w:jc w:val="right"/>
            </w:pPr>
            <w:r>
              <w:t xml:space="preserve"> 32,240,265.39 </w:t>
            </w:r>
          </w:p>
        </w:tc>
        <w:tc>
          <w:tcPr>
            <w:tcW w:w="721" w:type="pct"/>
          </w:tcPr>
          <w:p w14:paraId="4BBE23DA" w14:textId="77777777" w:rsidR="00577D08" w:rsidRDefault="00330FC0">
            <w:pPr>
              <w:jc w:val="right"/>
            </w:pPr>
            <w:r>
              <w:t xml:space="preserve"> 24,520,439.35 </w:t>
            </w:r>
          </w:p>
        </w:tc>
        <w:tc>
          <w:tcPr>
            <w:tcW w:w="721" w:type="pct"/>
          </w:tcPr>
          <w:p w14:paraId="58723284" w14:textId="77777777" w:rsidR="00577D08" w:rsidRDefault="00577D08">
            <w:pPr>
              <w:jc w:val="right"/>
            </w:pPr>
          </w:p>
        </w:tc>
        <w:tc>
          <w:tcPr>
            <w:tcW w:w="752" w:type="pct"/>
          </w:tcPr>
          <w:p w14:paraId="3008E75E" w14:textId="77777777" w:rsidR="00577D08" w:rsidRDefault="00330FC0">
            <w:pPr>
              <w:jc w:val="right"/>
            </w:pPr>
            <w:r>
              <w:t xml:space="preserve"> 337,676.08 </w:t>
            </w:r>
          </w:p>
        </w:tc>
        <w:tc>
          <w:tcPr>
            <w:tcW w:w="787" w:type="pct"/>
          </w:tcPr>
          <w:p w14:paraId="60A0CCD3" w14:textId="77777777" w:rsidR="00577D08" w:rsidRDefault="00330FC0">
            <w:pPr>
              <w:jc w:val="right"/>
            </w:pPr>
            <w:r>
              <w:t xml:space="preserve"> 57,098,380.82 </w:t>
            </w:r>
          </w:p>
        </w:tc>
      </w:tr>
      <w:tr w:rsidR="00577D08" w14:paraId="229FB7A4" w14:textId="77777777">
        <w:tc>
          <w:tcPr>
            <w:tcW w:w="1298" w:type="pct"/>
            <w:vAlign w:val="center"/>
          </w:tcPr>
          <w:p w14:paraId="5F94192E" w14:textId="77777777" w:rsidR="00577D08" w:rsidRDefault="00330FC0">
            <w:pPr>
              <w:ind w:firstLineChars="202" w:firstLine="424"/>
            </w:pPr>
            <w:r>
              <w:rPr>
                <w:rFonts w:hint="eastAsia"/>
              </w:rPr>
              <w:t>3.</w:t>
            </w:r>
            <w:r>
              <w:rPr>
                <w:rFonts w:hint="eastAsia"/>
              </w:rPr>
              <w:t>本期减少金额</w:t>
            </w:r>
          </w:p>
        </w:tc>
        <w:tc>
          <w:tcPr>
            <w:tcW w:w="721" w:type="pct"/>
          </w:tcPr>
          <w:p w14:paraId="4F96F438" w14:textId="77777777" w:rsidR="00577D08" w:rsidRDefault="00330FC0">
            <w:pPr>
              <w:jc w:val="right"/>
            </w:pPr>
            <w:r>
              <w:t xml:space="preserve"> 458,494.59 </w:t>
            </w:r>
          </w:p>
        </w:tc>
        <w:tc>
          <w:tcPr>
            <w:tcW w:w="721" w:type="pct"/>
          </w:tcPr>
          <w:p w14:paraId="6D23E182" w14:textId="77777777" w:rsidR="00577D08" w:rsidRDefault="00330FC0">
            <w:pPr>
              <w:jc w:val="right"/>
            </w:pPr>
            <w:r>
              <w:t xml:space="preserve"> 260,560.79 </w:t>
            </w:r>
          </w:p>
        </w:tc>
        <w:tc>
          <w:tcPr>
            <w:tcW w:w="721" w:type="pct"/>
          </w:tcPr>
          <w:p w14:paraId="148F17EA" w14:textId="77777777" w:rsidR="00577D08" w:rsidRDefault="00330FC0">
            <w:pPr>
              <w:jc w:val="right"/>
            </w:pPr>
            <w:r>
              <w:t xml:space="preserve"> 1,720,458.69 </w:t>
            </w:r>
          </w:p>
        </w:tc>
        <w:tc>
          <w:tcPr>
            <w:tcW w:w="752" w:type="pct"/>
          </w:tcPr>
          <w:p w14:paraId="50951DD6" w14:textId="77777777" w:rsidR="00577D08" w:rsidRDefault="00330FC0">
            <w:pPr>
              <w:jc w:val="right"/>
            </w:pPr>
            <w:r>
              <w:t xml:space="preserve"> 432,437.26 </w:t>
            </w:r>
          </w:p>
        </w:tc>
        <w:tc>
          <w:tcPr>
            <w:tcW w:w="787" w:type="pct"/>
          </w:tcPr>
          <w:p w14:paraId="03A66C91" w14:textId="77777777" w:rsidR="00577D08" w:rsidRDefault="00330FC0">
            <w:pPr>
              <w:jc w:val="right"/>
            </w:pPr>
            <w:r>
              <w:t xml:space="preserve"> 2,871,951.33 </w:t>
            </w:r>
          </w:p>
        </w:tc>
      </w:tr>
      <w:tr w:rsidR="00577D08" w14:paraId="1010C1C4" w14:textId="77777777">
        <w:tc>
          <w:tcPr>
            <w:tcW w:w="1298" w:type="pct"/>
            <w:vAlign w:val="center"/>
          </w:tcPr>
          <w:p w14:paraId="6454D48F" w14:textId="77777777" w:rsidR="00577D08" w:rsidRDefault="00330FC0">
            <w:pPr>
              <w:ind w:firstLineChars="200" w:firstLine="420"/>
            </w:pPr>
            <w:r>
              <w:rPr>
                <w:rFonts w:hint="eastAsia"/>
              </w:rPr>
              <w:t>（</w:t>
            </w:r>
            <w:r>
              <w:rPr>
                <w:rFonts w:hint="eastAsia"/>
              </w:rPr>
              <w:t>1</w:t>
            </w:r>
            <w:r>
              <w:rPr>
                <w:rFonts w:hint="eastAsia"/>
              </w:rPr>
              <w:t>）处置或报废</w:t>
            </w:r>
          </w:p>
        </w:tc>
        <w:tc>
          <w:tcPr>
            <w:tcW w:w="721" w:type="pct"/>
          </w:tcPr>
          <w:p w14:paraId="256B64D1" w14:textId="77777777" w:rsidR="00577D08" w:rsidRDefault="00330FC0">
            <w:pPr>
              <w:jc w:val="right"/>
            </w:pPr>
            <w:r>
              <w:t xml:space="preserve"> 458,494.59 </w:t>
            </w:r>
          </w:p>
        </w:tc>
        <w:tc>
          <w:tcPr>
            <w:tcW w:w="721" w:type="pct"/>
          </w:tcPr>
          <w:p w14:paraId="24076ADD" w14:textId="77777777" w:rsidR="00577D08" w:rsidRDefault="00330FC0">
            <w:pPr>
              <w:jc w:val="right"/>
            </w:pPr>
            <w:r>
              <w:t xml:space="preserve"> 260,560.79 </w:t>
            </w:r>
          </w:p>
        </w:tc>
        <w:tc>
          <w:tcPr>
            <w:tcW w:w="721" w:type="pct"/>
          </w:tcPr>
          <w:p w14:paraId="4B9B57F5" w14:textId="77777777" w:rsidR="00577D08" w:rsidRDefault="00330FC0">
            <w:pPr>
              <w:jc w:val="right"/>
            </w:pPr>
            <w:r>
              <w:t xml:space="preserve"> 1,720,458.69 </w:t>
            </w:r>
          </w:p>
        </w:tc>
        <w:tc>
          <w:tcPr>
            <w:tcW w:w="752" w:type="pct"/>
          </w:tcPr>
          <w:p w14:paraId="218A2A46" w14:textId="77777777" w:rsidR="00577D08" w:rsidRDefault="00330FC0">
            <w:pPr>
              <w:jc w:val="right"/>
            </w:pPr>
            <w:r>
              <w:t xml:space="preserve"> 432,437.26 </w:t>
            </w:r>
          </w:p>
        </w:tc>
        <w:tc>
          <w:tcPr>
            <w:tcW w:w="787" w:type="pct"/>
          </w:tcPr>
          <w:p w14:paraId="4C8471DB" w14:textId="77777777" w:rsidR="00577D08" w:rsidRDefault="00330FC0">
            <w:pPr>
              <w:jc w:val="right"/>
            </w:pPr>
            <w:r>
              <w:t xml:space="preserve"> 2,871,951.33 </w:t>
            </w:r>
          </w:p>
        </w:tc>
      </w:tr>
      <w:tr w:rsidR="00577D08" w14:paraId="111FE5E7" w14:textId="77777777">
        <w:tc>
          <w:tcPr>
            <w:tcW w:w="1298" w:type="pct"/>
            <w:vAlign w:val="center"/>
          </w:tcPr>
          <w:p w14:paraId="6DE6428F" w14:textId="77777777" w:rsidR="00577D08" w:rsidRDefault="00330FC0">
            <w:pPr>
              <w:ind w:firstLineChars="200" w:firstLine="420"/>
            </w:pPr>
            <w:r>
              <w:rPr>
                <w:rFonts w:hint="eastAsia"/>
              </w:rPr>
              <w:t>（</w:t>
            </w:r>
            <w:r>
              <w:rPr>
                <w:rFonts w:hint="eastAsia"/>
              </w:rPr>
              <w:t>2</w:t>
            </w:r>
            <w:r>
              <w:rPr>
                <w:rFonts w:hint="eastAsia"/>
              </w:rPr>
              <w:t>）其他</w:t>
            </w:r>
          </w:p>
        </w:tc>
        <w:tc>
          <w:tcPr>
            <w:tcW w:w="721" w:type="pct"/>
          </w:tcPr>
          <w:p w14:paraId="3594574B" w14:textId="77777777" w:rsidR="00577D08" w:rsidRDefault="00577D08">
            <w:pPr>
              <w:jc w:val="right"/>
            </w:pPr>
          </w:p>
        </w:tc>
        <w:tc>
          <w:tcPr>
            <w:tcW w:w="721" w:type="pct"/>
          </w:tcPr>
          <w:p w14:paraId="16E5AF17" w14:textId="77777777" w:rsidR="00577D08" w:rsidRDefault="00577D08">
            <w:pPr>
              <w:jc w:val="right"/>
            </w:pPr>
          </w:p>
        </w:tc>
        <w:tc>
          <w:tcPr>
            <w:tcW w:w="721" w:type="pct"/>
          </w:tcPr>
          <w:p w14:paraId="047ACCD7" w14:textId="77777777" w:rsidR="00577D08" w:rsidRDefault="00577D08">
            <w:pPr>
              <w:jc w:val="right"/>
            </w:pPr>
          </w:p>
        </w:tc>
        <w:tc>
          <w:tcPr>
            <w:tcW w:w="752" w:type="pct"/>
          </w:tcPr>
          <w:p w14:paraId="76111285" w14:textId="77777777" w:rsidR="00577D08" w:rsidRDefault="00577D08">
            <w:pPr>
              <w:jc w:val="right"/>
            </w:pPr>
          </w:p>
        </w:tc>
        <w:tc>
          <w:tcPr>
            <w:tcW w:w="787" w:type="pct"/>
          </w:tcPr>
          <w:p w14:paraId="08005DEC" w14:textId="77777777" w:rsidR="00577D08" w:rsidRDefault="00577D08">
            <w:pPr>
              <w:jc w:val="right"/>
            </w:pPr>
          </w:p>
        </w:tc>
      </w:tr>
      <w:tr w:rsidR="00577D08" w14:paraId="02B787BC" w14:textId="77777777">
        <w:tc>
          <w:tcPr>
            <w:tcW w:w="1298" w:type="pct"/>
            <w:vAlign w:val="center"/>
          </w:tcPr>
          <w:p w14:paraId="0FC3871E" w14:textId="77777777" w:rsidR="00577D08" w:rsidRDefault="00330FC0">
            <w:pPr>
              <w:ind w:firstLineChars="200" w:firstLine="420"/>
            </w:pPr>
            <w:r>
              <w:rPr>
                <w:rFonts w:hint="eastAsia"/>
              </w:rPr>
              <w:t>4.</w:t>
            </w:r>
            <w:r>
              <w:rPr>
                <w:rFonts w:hint="eastAsia"/>
              </w:rPr>
              <w:t>期末余额</w:t>
            </w:r>
          </w:p>
        </w:tc>
        <w:tc>
          <w:tcPr>
            <w:tcW w:w="721" w:type="pct"/>
          </w:tcPr>
          <w:p w14:paraId="5B234637" w14:textId="77777777" w:rsidR="00577D08" w:rsidRDefault="00330FC0">
            <w:pPr>
              <w:jc w:val="right"/>
            </w:pPr>
            <w:r>
              <w:t xml:space="preserve"> 1,259,269,421.65 </w:t>
            </w:r>
          </w:p>
        </w:tc>
        <w:tc>
          <w:tcPr>
            <w:tcW w:w="721" w:type="pct"/>
          </w:tcPr>
          <w:p w14:paraId="73498E49" w14:textId="77777777" w:rsidR="00577D08" w:rsidRDefault="00330FC0">
            <w:pPr>
              <w:jc w:val="right"/>
            </w:pPr>
            <w:r>
              <w:t xml:space="preserve"> 1,315,070,597.71 </w:t>
            </w:r>
          </w:p>
        </w:tc>
        <w:tc>
          <w:tcPr>
            <w:tcW w:w="721" w:type="pct"/>
          </w:tcPr>
          <w:p w14:paraId="67E46C58" w14:textId="77777777" w:rsidR="00577D08" w:rsidRDefault="00330FC0">
            <w:pPr>
              <w:jc w:val="right"/>
            </w:pPr>
            <w:r>
              <w:t xml:space="preserve"> 36,841,710.23 </w:t>
            </w:r>
          </w:p>
        </w:tc>
        <w:tc>
          <w:tcPr>
            <w:tcW w:w="752" w:type="pct"/>
          </w:tcPr>
          <w:p w14:paraId="411D667A" w14:textId="77777777" w:rsidR="00577D08" w:rsidRDefault="00330FC0">
            <w:pPr>
              <w:jc w:val="right"/>
            </w:pPr>
            <w:r>
              <w:t xml:space="preserve"> 42,428,528.96 </w:t>
            </w:r>
          </w:p>
        </w:tc>
        <w:tc>
          <w:tcPr>
            <w:tcW w:w="787" w:type="pct"/>
          </w:tcPr>
          <w:p w14:paraId="1FF12F7D" w14:textId="77777777" w:rsidR="00577D08" w:rsidRDefault="00330FC0">
            <w:pPr>
              <w:jc w:val="right"/>
            </w:pPr>
            <w:r>
              <w:t xml:space="preserve"> 2,653,610,258.55 </w:t>
            </w:r>
          </w:p>
        </w:tc>
      </w:tr>
      <w:tr w:rsidR="00577D08" w14:paraId="639F6294" w14:textId="77777777">
        <w:sdt>
          <w:sdtPr>
            <w:tag w:val="_PLD_14f44e7a4341414ca27a4047f9622e44"/>
            <w:id w:val="-5750065"/>
          </w:sdtPr>
          <w:sdtContent>
            <w:tc>
              <w:tcPr>
                <w:tcW w:w="5000" w:type="pct"/>
                <w:gridSpan w:val="6"/>
                <w:vAlign w:val="center"/>
              </w:tcPr>
              <w:p w14:paraId="55DEE90C" w14:textId="77777777" w:rsidR="00577D08" w:rsidRDefault="00330FC0">
                <w:r>
                  <w:rPr>
                    <w:rFonts w:hint="eastAsia"/>
                  </w:rPr>
                  <w:t>二、累计折旧</w:t>
                </w:r>
              </w:p>
            </w:tc>
          </w:sdtContent>
        </w:sdt>
      </w:tr>
      <w:tr w:rsidR="00577D08" w14:paraId="07B34505" w14:textId="77777777">
        <w:tc>
          <w:tcPr>
            <w:tcW w:w="1298" w:type="pct"/>
            <w:vAlign w:val="center"/>
          </w:tcPr>
          <w:p w14:paraId="7495A3DA" w14:textId="77777777" w:rsidR="00577D08" w:rsidRDefault="00330FC0">
            <w:pPr>
              <w:ind w:firstLineChars="200" w:firstLine="420"/>
            </w:pPr>
            <w:r>
              <w:t>1.</w:t>
            </w:r>
            <w:r>
              <w:rPr>
                <w:rFonts w:hint="eastAsia"/>
              </w:rPr>
              <w:t>期初余额</w:t>
            </w:r>
          </w:p>
        </w:tc>
        <w:tc>
          <w:tcPr>
            <w:tcW w:w="721" w:type="pct"/>
          </w:tcPr>
          <w:p w14:paraId="2BBBC51A" w14:textId="77777777" w:rsidR="00577D08" w:rsidRDefault="00330FC0">
            <w:pPr>
              <w:jc w:val="right"/>
            </w:pPr>
            <w:r>
              <w:t xml:space="preserve"> 188,972,931.97 </w:t>
            </w:r>
          </w:p>
        </w:tc>
        <w:tc>
          <w:tcPr>
            <w:tcW w:w="721" w:type="pct"/>
          </w:tcPr>
          <w:p w14:paraId="5D85474B" w14:textId="77777777" w:rsidR="00577D08" w:rsidRDefault="00330FC0">
            <w:pPr>
              <w:jc w:val="right"/>
            </w:pPr>
            <w:r>
              <w:t xml:space="preserve"> 314,864,210.64 </w:t>
            </w:r>
          </w:p>
        </w:tc>
        <w:tc>
          <w:tcPr>
            <w:tcW w:w="721" w:type="pct"/>
          </w:tcPr>
          <w:p w14:paraId="5D0CE1B6" w14:textId="77777777" w:rsidR="00577D08" w:rsidRDefault="00330FC0">
            <w:pPr>
              <w:jc w:val="right"/>
            </w:pPr>
            <w:r>
              <w:t xml:space="preserve"> 10,746,241.67 </w:t>
            </w:r>
          </w:p>
        </w:tc>
        <w:tc>
          <w:tcPr>
            <w:tcW w:w="752" w:type="pct"/>
          </w:tcPr>
          <w:p w14:paraId="523BD84F" w14:textId="77777777" w:rsidR="00577D08" w:rsidRDefault="00330FC0">
            <w:pPr>
              <w:jc w:val="right"/>
            </w:pPr>
            <w:r>
              <w:t xml:space="preserve"> 13,529,007.20 </w:t>
            </w:r>
          </w:p>
        </w:tc>
        <w:tc>
          <w:tcPr>
            <w:tcW w:w="787" w:type="pct"/>
          </w:tcPr>
          <w:p w14:paraId="5CE63CB1" w14:textId="77777777" w:rsidR="00577D08" w:rsidRDefault="00330FC0">
            <w:pPr>
              <w:jc w:val="right"/>
            </w:pPr>
            <w:r>
              <w:t xml:space="preserve"> 528,112,391.48 </w:t>
            </w:r>
          </w:p>
        </w:tc>
      </w:tr>
      <w:tr w:rsidR="00577D08" w14:paraId="74962AD4" w14:textId="77777777">
        <w:tc>
          <w:tcPr>
            <w:tcW w:w="1298" w:type="pct"/>
            <w:vAlign w:val="center"/>
          </w:tcPr>
          <w:p w14:paraId="036B87D1" w14:textId="77777777" w:rsidR="00577D08" w:rsidRDefault="00330FC0">
            <w:pPr>
              <w:ind w:firstLineChars="200" w:firstLine="420"/>
            </w:pPr>
            <w:r>
              <w:t>2.</w:t>
            </w:r>
            <w:r>
              <w:rPr>
                <w:rFonts w:hint="eastAsia"/>
              </w:rPr>
              <w:t>本期增加金额</w:t>
            </w:r>
          </w:p>
        </w:tc>
        <w:tc>
          <w:tcPr>
            <w:tcW w:w="721" w:type="pct"/>
          </w:tcPr>
          <w:p w14:paraId="4F461CD7" w14:textId="77777777" w:rsidR="00577D08" w:rsidRDefault="00330FC0">
            <w:pPr>
              <w:jc w:val="right"/>
            </w:pPr>
            <w:r>
              <w:t xml:space="preserve"> 64,521,715.88 </w:t>
            </w:r>
          </w:p>
        </w:tc>
        <w:tc>
          <w:tcPr>
            <w:tcW w:w="721" w:type="pct"/>
          </w:tcPr>
          <w:p w14:paraId="4FCD3B9F" w14:textId="77777777" w:rsidR="00577D08" w:rsidRDefault="00330FC0">
            <w:pPr>
              <w:jc w:val="right"/>
            </w:pPr>
            <w:r>
              <w:t xml:space="preserve"> 130,091,004.15 </w:t>
            </w:r>
          </w:p>
        </w:tc>
        <w:tc>
          <w:tcPr>
            <w:tcW w:w="721" w:type="pct"/>
          </w:tcPr>
          <w:p w14:paraId="0F752299" w14:textId="77777777" w:rsidR="00577D08" w:rsidRDefault="00330FC0">
            <w:pPr>
              <w:jc w:val="right"/>
            </w:pPr>
            <w:r>
              <w:t xml:space="preserve"> 1,507,520.51 </w:t>
            </w:r>
          </w:p>
        </w:tc>
        <w:tc>
          <w:tcPr>
            <w:tcW w:w="752" w:type="pct"/>
          </w:tcPr>
          <w:p w14:paraId="1BBD0746" w14:textId="77777777" w:rsidR="00577D08" w:rsidRDefault="00330FC0">
            <w:pPr>
              <w:jc w:val="right"/>
            </w:pPr>
            <w:r>
              <w:t xml:space="preserve"> 7,630,761.01 </w:t>
            </w:r>
          </w:p>
        </w:tc>
        <w:tc>
          <w:tcPr>
            <w:tcW w:w="787" w:type="pct"/>
          </w:tcPr>
          <w:p w14:paraId="3DCCCB0B" w14:textId="77777777" w:rsidR="00577D08" w:rsidRDefault="00330FC0">
            <w:pPr>
              <w:jc w:val="right"/>
            </w:pPr>
            <w:r>
              <w:t xml:space="preserve"> 203,751,001.55 </w:t>
            </w:r>
          </w:p>
        </w:tc>
      </w:tr>
      <w:tr w:rsidR="00577D08" w14:paraId="77B44765" w14:textId="77777777">
        <w:tc>
          <w:tcPr>
            <w:tcW w:w="1298" w:type="pct"/>
            <w:vAlign w:val="center"/>
          </w:tcPr>
          <w:p w14:paraId="3FF5EBF2" w14:textId="77777777" w:rsidR="00577D08" w:rsidRDefault="00330FC0">
            <w:pPr>
              <w:ind w:firstLineChars="200" w:firstLine="420"/>
            </w:pPr>
            <w:r>
              <w:rPr>
                <w:rFonts w:hint="eastAsia"/>
              </w:rPr>
              <w:t>（</w:t>
            </w:r>
            <w:r>
              <w:rPr>
                <w:rFonts w:hint="eastAsia"/>
              </w:rPr>
              <w:t>1</w:t>
            </w:r>
            <w:r>
              <w:rPr>
                <w:rFonts w:hint="eastAsia"/>
              </w:rPr>
              <w:t>）计提</w:t>
            </w:r>
          </w:p>
        </w:tc>
        <w:tc>
          <w:tcPr>
            <w:tcW w:w="721" w:type="pct"/>
          </w:tcPr>
          <w:p w14:paraId="5869702A" w14:textId="77777777" w:rsidR="00577D08" w:rsidRDefault="00330FC0">
            <w:pPr>
              <w:jc w:val="right"/>
            </w:pPr>
            <w:r>
              <w:t xml:space="preserve"> 64,521,715.88 </w:t>
            </w:r>
          </w:p>
        </w:tc>
        <w:tc>
          <w:tcPr>
            <w:tcW w:w="721" w:type="pct"/>
          </w:tcPr>
          <w:p w14:paraId="6000DF83" w14:textId="77777777" w:rsidR="00577D08" w:rsidRDefault="00330FC0">
            <w:pPr>
              <w:jc w:val="right"/>
            </w:pPr>
            <w:r>
              <w:t xml:space="preserve"> 130,091,004.15 </w:t>
            </w:r>
          </w:p>
        </w:tc>
        <w:tc>
          <w:tcPr>
            <w:tcW w:w="721" w:type="pct"/>
          </w:tcPr>
          <w:p w14:paraId="1C8B7FC8" w14:textId="77777777" w:rsidR="00577D08" w:rsidRDefault="00330FC0">
            <w:pPr>
              <w:jc w:val="right"/>
            </w:pPr>
            <w:r>
              <w:t xml:space="preserve"> 1,507,520.51 </w:t>
            </w:r>
          </w:p>
        </w:tc>
        <w:tc>
          <w:tcPr>
            <w:tcW w:w="752" w:type="pct"/>
          </w:tcPr>
          <w:p w14:paraId="2EB1D14E" w14:textId="77777777" w:rsidR="00577D08" w:rsidRDefault="00330FC0">
            <w:pPr>
              <w:jc w:val="right"/>
            </w:pPr>
            <w:r>
              <w:t xml:space="preserve"> 7,630,761.01 </w:t>
            </w:r>
          </w:p>
        </w:tc>
        <w:tc>
          <w:tcPr>
            <w:tcW w:w="787" w:type="pct"/>
          </w:tcPr>
          <w:p w14:paraId="76B77945" w14:textId="77777777" w:rsidR="00577D08" w:rsidRDefault="00330FC0">
            <w:pPr>
              <w:jc w:val="right"/>
            </w:pPr>
            <w:r>
              <w:t xml:space="preserve"> 203,751,001.55 </w:t>
            </w:r>
          </w:p>
        </w:tc>
      </w:tr>
      <w:tr w:rsidR="00577D08" w14:paraId="2E589548" w14:textId="77777777">
        <w:tc>
          <w:tcPr>
            <w:tcW w:w="1298" w:type="pct"/>
            <w:vAlign w:val="center"/>
          </w:tcPr>
          <w:p w14:paraId="5A23ED4B" w14:textId="77777777" w:rsidR="00577D08" w:rsidRDefault="00330FC0">
            <w:pPr>
              <w:ind w:firstLineChars="200" w:firstLine="420"/>
            </w:pPr>
            <w:r>
              <w:rPr>
                <w:rFonts w:hint="eastAsia"/>
              </w:rPr>
              <w:t>3.</w:t>
            </w:r>
            <w:r>
              <w:rPr>
                <w:rFonts w:hint="eastAsia"/>
              </w:rPr>
              <w:t>本期减少金额</w:t>
            </w:r>
          </w:p>
        </w:tc>
        <w:tc>
          <w:tcPr>
            <w:tcW w:w="721" w:type="pct"/>
          </w:tcPr>
          <w:p w14:paraId="2F533CF9" w14:textId="77777777" w:rsidR="00577D08" w:rsidRDefault="00330FC0">
            <w:pPr>
              <w:jc w:val="right"/>
            </w:pPr>
            <w:r>
              <w:t xml:space="preserve"> 47,404.14 </w:t>
            </w:r>
          </w:p>
        </w:tc>
        <w:tc>
          <w:tcPr>
            <w:tcW w:w="721" w:type="pct"/>
          </w:tcPr>
          <w:p w14:paraId="2756F76C" w14:textId="77777777" w:rsidR="00577D08" w:rsidRDefault="00330FC0">
            <w:pPr>
              <w:jc w:val="right"/>
            </w:pPr>
            <w:r>
              <w:t xml:space="preserve"> 859,995.31 </w:t>
            </w:r>
          </w:p>
        </w:tc>
        <w:tc>
          <w:tcPr>
            <w:tcW w:w="721" w:type="pct"/>
          </w:tcPr>
          <w:p w14:paraId="4E5EB157" w14:textId="77777777" w:rsidR="00577D08" w:rsidRDefault="00330FC0">
            <w:pPr>
              <w:jc w:val="right"/>
            </w:pPr>
            <w:r>
              <w:t xml:space="preserve"> 440,438.89 </w:t>
            </w:r>
          </w:p>
        </w:tc>
        <w:tc>
          <w:tcPr>
            <w:tcW w:w="752" w:type="pct"/>
          </w:tcPr>
          <w:p w14:paraId="21C63EE8" w14:textId="77777777" w:rsidR="00577D08" w:rsidRDefault="00330FC0">
            <w:pPr>
              <w:jc w:val="right"/>
            </w:pPr>
            <w:r>
              <w:t xml:space="preserve"> 409,464.73 </w:t>
            </w:r>
          </w:p>
        </w:tc>
        <w:tc>
          <w:tcPr>
            <w:tcW w:w="787" w:type="pct"/>
          </w:tcPr>
          <w:p w14:paraId="4D681E20" w14:textId="77777777" w:rsidR="00577D08" w:rsidRDefault="00330FC0">
            <w:pPr>
              <w:jc w:val="right"/>
            </w:pPr>
            <w:r>
              <w:t xml:space="preserve"> 1,757,303.07 </w:t>
            </w:r>
          </w:p>
        </w:tc>
      </w:tr>
      <w:tr w:rsidR="00577D08" w14:paraId="2DC2D418" w14:textId="77777777">
        <w:tc>
          <w:tcPr>
            <w:tcW w:w="1298" w:type="pct"/>
            <w:vAlign w:val="center"/>
          </w:tcPr>
          <w:p w14:paraId="1763B4F7" w14:textId="77777777" w:rsidR="00577D08" w:rsidRDefault="00330FC0">
            <w:pPr>
              <w:ind w:firstLineChars="200" w:firstLine="420"/>
            </w:pPr>
            <w:r>
              <w:rPr>
                <w:rFonts w:hint="eastAsia"/>
              </w:rPr>
              <w:t>（</w:t>
            </w:r>
            <w:r>
              <w:rPr>
                <w:rFonts w:hint="eastAsia"/>
              </w:rPr>
              <w:t>1</w:t>
            </w:r>
            <w:r>
              <w:rPr>
                <w:rFonts w:hint="eastAsia"/>
              </w:rPr>
              <w:t>）处置或报废</w:t>
            </w:r>
          </w:p>
        </w:tc>
        <w:tc>
          <w:tcPr>
            <w:tcW w:w="721" w:type="pct"/>
          </w:tcPr>
          <w:p w14:paraId="672217FB" w14:textId="77777777" w:rsidR="00577D08" w:rsidRDefault="00330FC0">
            <w:pPr>
              <w:jc w:val="right"/>
            </w:pPr>
            <w:r>
              <w:t xml:space="preserve"> 47,404.14 </w:t>
            </w:r>
          </w:p>
        </w:tc>
        <w:tc>
          <w:tcPr>
            <w:tcW w:w="721" w:type="pct"/>
          </w:tcPr>
          <w:p w14:paraId="21FEF77D" w14:textId="77777777" w:rsidR="00577D08" w:rsidRDefault="00330FC0">
            <w:pPr>
              <w:jc w:val="right"/>
            </w:pPr>
            <w:r>
              <w:t xml:space="preserve"> 859,995.31 </w:t>
            </w:r>
          </w:p>
        </w:tc>
        <w:tc>
          <w:tcPr>
            <w:tcW w:w="721" w:type="pct"/>
          </w:tcPr>
          <w:p w14:paraId="4D694130" w14:textId="77777777" w:rsidR="00577D08" w:rsidRDefault="00330FC0">
            <w:pPr>
              <w:jc w:val="right"/>
            </w:pPr>
            <w:r>
              <w:t xml:space="preserve"> 440,438.89 </w:t>
            </w:r>
          </w:p>
        </w:tc>
        <w:tc>
          <w:tcPr>
            <w:tcW w:w="752" w:type="pct"/>
          </w:tcPr>
          <w:p w14:paraId="59F6B2EA" w14:textId="77777777" w:rsidR="00577D08" w:rsidRDefault="00330FC0">
            <w:pPr>
              <w:jc w:val="right"/>
            </w:pPr>
            <w:r>
              <w:t xml:space="preserve"> 409,464.73 </w:t>
            </w:r>
          </w:p>
        </w:tc>
        <w:tc>
          <w:tcPr>
            <w:tcW w:w="787" w:type="pct"/>
          </w:tcPr>
          <w:p w14:paraId="683AAB19" w14:textId="77777777" w:rsidR="00577D08" w:rsidRDefault="00330FC0">
            <w:pPr>
              <w:jc w:val="right"/>
            </w:pPr>
            <w:r>
              <w:t xml:space="preserve"> 1,757,303.07 </w:t>
            </w:r>
          </w:p>
        </w:tc>
      </w:tr>
      <w:tr w:rsidR="00577D08" w14:paraId="32B112EE" w14:textId="77777777">
        <w:tc>
          <w:tcPr>
            <w:tcW w:w="1298" w:type="pct"/>
            <w:vAlign w:val="center"/>
          </w:tcPr>
          <w:p w14:paraId="264F79C8" w14:textId="77777777" w:rsidR="00577D08" w:rsidRDefault="00330FC0">
            <w:pPr>
              <w:ind w:firstLineChars="200" w:firstLine="420"/>
            </w:pPr>
            <w:r>
              <w:rPr>
                <w:rFonts w:hint="eastAsia"/>
              </w:rPr>
              <w:t>4.</w:t>
            </w:r>
            <w:r>
              <w:rPr>
                <w:rFonts w:hint="eastAsia"/>
              </w:rPr>
              <w:t>期末余额</w:t>
            </w:r>
          </w:p>
        </w:tc>
        <w:tc>
          <w:tcPr>
            <w:tcW w:w="721" w:type="pct"/>
          </w:tcPr>
          <w:p w14:paraId="51FFB80F" w14:textId="77777777" w:rsidR="00577D08" w:rsidRDefault="00330FC0">
            <w:pPr>
              <w:jc w:val="right"/>
            </w:pPr>
            <w:r>
              <w:t xml:space="preserve"> 253,447,243.71 </w:t>
            </w:r>
          </w:p>
        </w:tc>
        <w:tc>
          <w:tcPr>
            <w:tcW w:w="721" w:type="pct"/>
          </w:tcPr>
          <w:p w14:paraId="5A44FF73" w14:textId="77777777" w:rsidR="00577D08" w:rsidRDefault="00330FC0">
            <w:pPr>
              <w:jc w:val="right"/>
            </w:pPr>
            <w:r>
              <w:t xml:space="preserve"> 444,095,219.48 </w:t>
            </w:r>
          </w:p>
        </w:tc>
        <w:tc>
          <w:tcPr>
            <w:tcW w:w="721" w:type="pct"/>
          </w:tcPr>
          <w:p w14:paraId="2408BD1D" w14:textId="77777777" w:rsidR="00577D08" w:rsidRDefault="00330FC0">
            <w:pPr>
              <w:jc w:val="right"/>
            </w:pPr>
            <w:r>
              <w:t xml:space="preserve"> 11,813,323.29 </w:t>
            </w:r>
          </w:p>
        </w:tc>
        <w:tc>
          <w:tcPr>
            <w:tcW w:w="752" w:type="pct"/>
          </w:tcPr>
          <w:p w14:paraId="7E4BCF4F" w14:textId="77777777" w:rsidR="00577D08" w:rsidRDefault="00330FC0">
            <w:pPr>
              <w:jc w:val="right"/>
            </w:pPr>
            <w:r>
              <w:t xml:space="preserve"> 20,750,303.48 </w:t>
            </w:r>
          </w:p>
        </w:tc>
        <w:tc>
          <w:tcPr>
            <w:tcW w:w="787" w:type="pct"/>
          </w:tcPr>
          <w:p w14:paraId="3D5CF85E" w14:textId="77777777" w:rsidR="00577D08" w:rsidRDefault="00330FC0">
            <w:pPr>
              <w:jc w:val="right"/>
            </w:pPr>
            <w:r>
              <w:t xml:space="preserve"> 730,106,089.96 </w:t>
            </w:r>
          </w:p>
        </w:tc>
      </w:tr>
      <w:tr w:rsidR="00577D08" w14:paraId="20A4FF8F" w14:textId="77777777">
        <w:sdt>
          <w:sdtPr>
            <w:tag w:val="_PLD_b98cd9e8075a44b28b16fc9fd4c3c81f"/>
            <w:id w:val="1280834192"/>
          </w:sdtPr>
          <w:sdtContent>
            <w:tc>
              <w:tcPr>
                <w:tcW w:w="5000" w:type="pct"/>
                <w:gridSpan w:val="6"/>
                <w:vAlign w:val="center"/>
              </w:tcPr>
              <w:p w14:paraId="4E2FF3B3" w14:textId="77777777" w:rsidR="00577D08" w:rsidRDefault="00330FC0">
                <w:r>
                  <w:rPr>
                    <w:rFonts w:hint="eastAsia"/>
                  </w:rPr>
                  <w:t>三、减值准备</w:t>
                </w:r>
              </w:p>
            </w:tc>
          </w:sdtContent>
        </w:sdt>
      </w:tr>
      <w:tr w:rsidR="00577D08" w14:paraId="2FE7E7FE" w14:textId="77777777">
        <w:tc>
          <w:tcPr>
            <w:tcW w:w="1298" w:type="pct"/>
            <w:vAlign w:val="center"/>
          </w:tcPr>
          <w:p w14:paraId="74ECC924" w14:textId="77777777" w:rsidR="00577D08" w:rsidRDefault="00330FC0">
            <w:pPr>
              <w:ind w:firstLineChars="200" w:firstLine="420"/>
            </w:pPr>
            <w:r>
              <w:t>1.</w:t>
            </w:r>
            <w:r>
              <w:rPr>
                <w:rFonts w:hint="eastAsia"/>
              </w:rPr>
              <w:t>期初余额</w:t>
            </w:r>
          </w:p>
        </w:tc>
        <w:tc>
          <w:tcPr>
            <w:tcW w:w="721" w:type="pct"/>
            <w:vAlign w:val="center"/>
          </w:tcPr>
          <w:p w14:paraId="3AED731F" w14:textId="77777777" w:rsidR="00577D08" w:rsidRDefault="00577D08">
            <w:pPr>
              <w:jc w:val="right"/>
            </w:pPr>
          </w:p>
        </w:tc>
        <w:tc>
          <w:tcPr>
            <w:tcW w:w="721" w:type="pct"/>
            <w:vAlign w:val="center"/>
          </w:tcPr>
          <w:p w14:paraId="42664EA5" w14:textId="77777777" w:rsidR="00577D08" w:rsidRDefault="00577D08">
            <w:pPr>
              <w:jc w:val="right"/>
            </w:pPr>
          </w:p>
        </w:tc>
        <w:tc>
          <w:tcPr>
            <w:tcW w:w="721" w:type="pct"/>
            <w:vAlign w:val="center"/>
          </w:tcPr>
          <w:p w14:paraId="69E3D65F" w14:textId="77777777" w:rsidR="00577D08" w:rsidRDefault="00577D08">
            <w:pPr>
              <w:jc w:val="right"/>
            </w:pPr>
          </w:p>
        </w:tc>
        <w:tc>
          <w:tcPr>
            <w:tcW w:w="752" w:type="pct"/>
            <w:vAlign w:val="center"/>
          </w:tcPr>
          <w:p w14:paraId="64A3F0D2" w14:textId="77777777" w:rsidR="00577D08" w:rsidRDefault="00577D08">
            <w:pPr>
              <w:jc w:val="right"/>
            </w:pPr>
          </w:p>
        </w:tc>
        <w:tc>
          <w:tcPr>
            <w:tcW w:w="787" w:type="pct"/>
            <w:vAlign w:val="center"/>
          </w:tcPr>
          <w:p w14:paraId="005AA13A" w14:textId="77777777" w:rsidR="00577D08" w:rsidRDefault="00577D08">
            <w:pPr>
              <w:jc w:val="right"/>
            </w:pPr>
          </w:p>
        </w:tc>
      </w:tr>
      <w:tr w:rsidR="00577D08" w14:paraId="169976FC" w14:textId="77777777">
        <w:tc>
          <w:tcPr>
            <w:tcW w:w="1298" w:type="pct"/>
            <w:vAlign w:val="center"/>
          </w:tcPr>
          <w:p w14:paraId="6EBBBE68" w14:textId="77777777" w:rsidR="00577D08" w:rsidRDefault="00330FC0">
            <w:pPr>
              <w:ind w:firstLineChars="200" w:firstLine="420"/>
            </w:pPr>
            <w:r>
              <w:t>2.</w:t>
            </w:r>
            <w:r>
              <w:rPr>
                <w:rFonts w:hint="eastAsia"/>
              </w:rPr>
              <w:t>本期增加金额</w:t>
            </w:r>
          </w:p>
        </w:tc>
        <w:tc>
          <w:tcPr>
            <w:tcW w:w="721" w:type="pct"/>
            <w:vAlign w:val="center"/>
          </w:tcPr>
          <w:p w14:paraId="3384A0C8" w14:textId="77777777" w:rsidR="00577D08" w:rsidRDefault="00577D08">
            <w:pPr>
              <w:jc w:val="right"/>
            </w:pPr>
          </w:p>
        </w:tc>
        <w:tc>
          <w:tcPr>
            <w:tcW w:w="721" w:type="pct"/>
            <w:vAlign w:val="center"/>
          </w:tcPr>
          <w:p w14:paraId="0218DC05" w14:textId="77777777" w:rsidR="00577D08" w:rsidRDefault="00577D08">
            <w:pPr>
              <w:jc w:val="right"/>
            </w:pPr>
          </w:p>
        </w:tc>
        <w:tc>
          <w:tcPr>
            <w:tcW w:w="721" w:type="pct"/>
            <w:vAlign w:val="center"/>
          </w:tcPr>
          <w:p w14:paraId="0EBD6A9C" w14:textId="77777777" w:rsidR="00577D08" w:rsidRDefault="00577D08">
            <w:pPr>
              <w:jc w:val="right"/>
            </w:pPr>
          </w:p>
        </w:tc>
        <w:tc>
          <w:tcPr>
            <w:tcW w:w="752" w:type="pct"/>
            <w:vAlign w:val="center"/>
          </w:tcPr>
          <w:p w14:paraId="13AF9E65" w14:textId="77777777" w:rsidR="00577D08" w:rsidRDefault="00577D08">
            <w:pPr>
              <w:jc w:val="right"/>
            </w:pPr>
          </w:p>
        </w:tc>
        <w:tc>
          <w:tcPr>
            <w:tcW w:w="787" w:type="pct"/>
            <w:vAlign w:val="center"/>
          </w:tcPr>
          <w:p w14:paraId="535C4A41" w14:textId="77777777" w:rsidR="00577D08" w:rsidRDefault="00577D08">
            <w:pPr>
              <w:jc w:val="right"/>
            </w:pPr>
          </w:p>
        </w:tc>
      </w:tr>
      <w:tr w:rsidR="00577D08" w14:paraId="31FCA576" w14:textId="77777777">
        <w:tc>
          <w:tcPr>
            <w:tcW w:w="1298" w:type="pct"/>
            <w:vAlign w:val="center"/>
          </w:tcPr>
          <w:p w14:paraId="18764D15" w14:textId="77777777" w:rsidR="00577D08" w:rsidRDefault="00330FC0">
            <w:pPr>
              <w:ind w:firstLineChars="200" w:firstLine="420"/>
            </w:pPr>
            <w:r>
              <w:rPr>
                <w:rFonts w:hint="eastAsia"/>
              </w:rPr>
              <w:t>（</w:t>
            </w:r>
            <w:r>
              <w:rPr>
                <w:rFonts w:hint="eastAsia"/>
              </w:rPr>
              <w:t>1</w:t>
            </w:r>
            <w:r>
              <w:rPr>
                <w:rFonts w:hint="eastAsia"/>
              </w:rPr>
              <w:t>）计提</w:t>
            </w:r>
          </w:p>
        </w:tc>
        <w:tc>
          <w:tcPr>
            <w:tcW w:w="721" w:type="pct"/>
            <w:vAlign w:val="center"/>
          </w:tcPr>
          <w:p w14:paraId="0D77E690" w14:textId="77777777" w:rsidR="00577D08" w:rsidRDefault="00577D08">
            <w:pPr>
              <w:jc w:val="right"/>
            </w:pPr>
          </w:p>
        </w:tc>
        <w:tc>
          <w:tcPr>
            <w:tcW w:w="721" w:type="pct"/>
            <w:vAlign w:val="center"/>
          </w:tcPr>
          <w:p w14:paraId="4BD4E42D" w14:textId="77777777" w:rsidR="00577D08" w:rsidRDefault="00577D08">
            <w:pPr>
              <w:jc w:val="right"/>
            </w:pPr>
          </w:p>
        </w:tc>
        <w:tc>
          <w:tcPr>
            <w:tcW w:w="721" w:type="pct"/>
            <w:vAlign w:val="center"/>
          </w:tcPr>
          <w:p w14:paraId="41425F39" w14:textId="77777777" w:rsidR="00577D08" w:rsidRDefault="00577D08">
            <w:pPr>
              <w:jc w:val="right"/>
            </w:pPr>
          </w:p>
        </w:tc>
        <w:tc>
          <w:tcPr>
            <w:tcW w:w="752" w:type="pct"/>
            <w:vAlign w:val="center"/>
          </w:tcPr>
          <w:p w14:paraId="2A4BF57C" w14:textId="77777777" w:rsidR="00577D08" w:rsidRDefault="00577D08">
            <w:pPr>
              <w:jc w:val="right"/>
            </w:pPr>
          </w:p>
        </w:tc>
        <w:tc>
          <w:tcPr>
            <w:tcW w:w="787" w:type="pct"/>
            <w:vAlign w:val="center"/>
          </w:tcPr>
          <w:p w14:paraId="3F155F7A" w14:textId="77777777" w:rsidR="00577D08" w:rsidRDefault="00577D08">
            <w:pPr>
              <w:jc w:val="right"/>
            </w:pPr>
          </w:p>
        </w:tc>
      </w:tr>
      <w:tr w:rsidR="00577D08" w14:paraId="3C601489" w14:textId="77777777">
        <w:tc>
          <w:tcPr>
            <w:tcW w:w="1298" w:type="pct"/>
            <w:vAlign w:val="center"/>
          </w:tcPr>
          <w:p w14:paraId="4464670D" w14:textId="77777777" w:rsidR="00577D08" w:rsidRDefault="00330FC0">
            <w:pPr>
              <w:ind w:firstLineChars="200" w:firstLine="420"/>
            </w:pPr>
            <w:r>
              <w:rPr>
                <w:rFonts w:hint="eastAsia"/>
              </w:rPr>
              <w:t>3.</w:t>
            </w:r>
            <w:r>
              <w:rPr>
                <w:rFonts w:hint="eastAsia"/>
              </w:rPr>
              <w:t>本期减少金额</w:t>
            </w:r>
          </w:p>
        </w:tc>
        <w:tc>
          <w:tcPr>
            <w:tcW w:w="721" w:type="pct"/>
            <w:vAlign w:val="center"/>
          </w:tcPr>
          <w:p w14:paraId="5AD226A0" w14:textId="77777777" w:rsidR="00577D08" w:rsidRDefault="00577D08">
            <w:pPr>
              <w:jc w:val="right"/>
            </w:pPr>
          </w:p>
        </w:tc>
        <w:tc>
          <w:tcPr>
            <w:tcW w:w="721" w:type="pct"/>
            <w:vAlign w:val="center"/>
          </w:tcPr>
          <w:p w14:paraId="4B20BE36" w14:textId="77777777" w:rsidR="00577D08" w:rsidRDefault="00577D08">
            <w:pPr>
              <w:jc w:val="right"/>
            </w:pPr>
          </w:p>
        </w:tc>
        <w:tc>
          <w:tcPr>
            <w:tcW w:w="721" w:type="pct"/>
            <w:vAlign w:val="center"/>
          </w:tcPr>
          <w:p w14:paraId="422E01A6" w14:textId="77777777" w:rsidR="00577D08" w:rsidRDefault="00577D08">
            <w:pPr>
              <w:jc w:val="right"/>
            </w:pPr>
          </w:p>
        </w:tc>
        <w:tc>
          <w:tcPr>
            <w:tcW w:w="752" w:type="pct"/>
            <w:vAlign w:val="center"/>
          </w:tcPr>
          <w:p w14:paraId="7A020396" w14:textId="77777777" w:rsidR="00577D08" w:rsidRDefault="00577D08">
            <w:pPr>
              <w:jc w:val="right"/>
            </w:pPr>
          </w:p>
        </w:tc>
        <w:tc>
          <w:tcPr>
            <w:tcW w:w="787" w:type="pct"/>
            <w:vAlign w:val="center"/>
          </w:tcPr>
          <w:p w14:paraId="3A5079DE" w14:textId="77777777" w:rsidR="00577D08" w:rsidRDefault="00577D08">
            <w:pPr>
              <w:jc w:val="right"/>
            </w:pPr>
          </w:p>
        </w:tc>
      </w:tr>
      <w:tr w:rsidR="00577D08" w14:paraId="5230CE95" w14:textId="77777777">
        <w:tc>
          <w:tcPr>
            <w:tcW w:w="1298" w:type="pct"/>
            <w:vAlign w:val="center"/>
          </w:tcPr>
          <w:p w14:paraId="4D00B245" w14:textId="77777777" w:rsidR="00577D08" w:rsidRDefault="00330FC0">
            <w:pPr>
              <w:ind w:firstLineChars="200" w:firstLine="420"/>
            </w:pPr>
            <w:r>
              <w:rPr>
                <w:rFonts w:hint="eastAsia"/>
              </w:rPr>
              <w:t>（</w:t>
            </w:r>
            <w:r>
              <w:rPr>
                <w:rFonts w:hint="eastAsia"/>
              </w:rPr>
              <w:t>1</w:t>
            </w:r>
            <w:r>
              <w:rPr>
                <w:rFonts w:hint="eastAsia"/>
              </w:rPr>
              <w:t>）处置或报废</w:t>
            </w:r>
          </w:p>
        </w:tc>
        <w:tc>
          <w:tcPr>
            <w:tcW w:w="721" w:type="pct"/>
            <w:vAlign w:val="center"/>
          </w:tcPr>
          <w:p w14:paraId="2EC3ED7D" w14:textId="77777777" w:rsidR="00577D08" w:rsidRDefault="00577D08">
            <w:pPr>
              <w:jc w:val="right"/>
            </w:pPr>
          </w:p>
        </w:tc>
        <w:tc>
          <w:tcPr>
            <w:tcW w:w="721" w:type="pct"/>
            <w:vAlign w:val="center"/>
          </w:tcPr>
          <w:p w14:paraId="2D7AA7E2" w14:textId="77777777" w:rsidR="00577D08" w:rsidRDefault="00577D08">
            <w:pPr>
              <w:jc w:val="right"/>
            </w:pPr>
          </w:p>
        </w:tc>
        <w:tc>
          <w:tcPr>
            <w:tcW w:w="721" w:type="pct"/>
            <w:vAlign w:val="center"/>
          </w:tcPr>
          <w:p w14:paraId="558749EA" w14:textId="77777777" w:rsidR="00577D08" w:rsidRDefault="00577D08">
            <w:pPr>
              <w:jc w:val="right"/>
            </w:pPr>
          </w:p>
        </w:tc>
        <w:tc>
          <w:tcPr>
            <w:tcW w:w="752" w:type="pct"/>
            <w:vAlign w:val="center"/>
          </w:tcPr>
          <w:p w14:paraId="422B746B" w14:textId="77777777" w:rsidR="00577D08" w:rsidRDefault="00577D08">
            <w:pPr>
              <w:jc w:val="right"/>
            </w:pPr>
          </w:p>
        </w:tc>
        <w:tc>
          <w:tcPr>
            <w:tcW w:w="787" w:type="pct"/>
            <w:vAlign w:val="center"/>
          </w:tcPr>
          <w:p w14:paraId="181E019E" w14:textId="77777777" w:rsidR="00577D08" w:rsidRDefault="00577D08">
            <w:pPr>
              <w:jc w:val="right"/>
            </w:pPr>
          </w:p>
        </w:tc>
      </w:tr>
      <w:tr w:rsidR="00577D08" w14:paraId="587BD2D6" w14:textId="77777777">
        <w:tc>
          <w:tcPr>
            <w:tcW w:w="1298" w:type="pct"/>
            <w:vAlign w:val="center"/>
          </w:tcPr>
          <w:p w14:paraId="35720F35" w14:textId="77777777" w:rsidR="00577D08" w:rsidRDefault="00330FC0">
            <w:pPr>
              <w:ind w:firstLineChars="200" w:firstLine="420"/>
            </w:pPr>
            <w:r>
              <w:rPr>
                <w:rFonts w:hint="eastAsia"/>
              </w:rPr>
              <w:t>4.</w:t>
            </w:r>
            <w:r>
              <w:rPr>
                <w:rFonts w:hint="eastAsia"/>
              </w:rPr>
              <w:t>期末余额</w:t>
            </w:r>
          </w:p>
        </w:tc>
        <w:tc>
          <w:tcPr>
            <w:tcW w:w="721" w:type="pct"/>
            <w:vAlign w:val="center"/>
          </w:tcPr>
          <w:p w14:paraId="73BE3F5D" w14:textId="77777777" w:rsidR="00577D08" w:rsidRDefault="00577D08">
            <w:pPr>
              <w:jc w:val="right"/>
            </w:pPr>
          </w:p>
        </w:tc>
        <w:tc>
          <w:tcPr>
            <w:tcW w:w="721" w:type="pct"/>
            <w:vAlign w:val="center"/>
          </w:tcPr>
          <w:p w14:paraId="6491CE31" w14:textId="77777777" w:rsidR="00577D08" w:rsidRDefault="00577D08">
            <w:pPr>
              <w:jc w:val="right"/>
            </w:pPr>
          </w:p>
        </w:tc>
        <w:tc>
          <w:tcPr>
            <w:tcW w:w="721" w:type="pct"/>
            <w:vAlign w:val="center"/>
          </w:tcPr>
          <w:p w14:paraId="48A00DEF" w14:textId="77777777" w:rsidR="00577D08" w:rsidRDefault="00577D08">
            <w:pPr>
              <w:jc w:val="right"/>
            </w:pPr>
          </w:p>
        </w:tc>
        <w:tc>
          <w:tcPr>
            <w:tcW w:w="752" w:type="pct"/>
            <w:vAlign w:val="center"/>
          </w:tcPr>
          <w:p w14:paraId="3F436563" w14:textId="77777777" w:rsidR="00577D08" w:rsidRDefault="00577D08">
            <w:pPr>
              <w:jc w:val="right"/>
            </w:pPr>
          </w:p>
        </w:tc>
        <w:tc>
          <w:tcPr>
            <w:tcW w:w="787" w:type="pct"/>
            <w:vAlign w:val="center"/>
          </w:tcPr>
          <w:p w14:paraId="17955F75" w14:textId="77777777" w:rsidR="00577D08" w:rsidRDefault="00577D08">
            <w:pPr>
              <w:jc w:val="right"/>
            </w:pPr>
          </w:p>
        </w:tc>
      </w:tr>
      <w:tr w:rsidR="00577D08" w14:paraId="36256BFA" w14:textId="77777777">
        <w:sdt>
          <w:sdtPr>
            <w:tag w:val="_PLD_e1d51c426bd84ffbb9a1a19b00d3b374"/>
            <w:id w:val="-758831122"/>
          </w:sdtPr>
          <w:sdtContent>
            <w:tc>
              <w:tcPr>
                <w:tcW w:w="5000" w:type="pct"/>
                <w:gridSpan w:val="6"/>
                <w:vAlign w:val="center"/>
              </w:tcPr>
              <w:p w14:paraId="21543296" w14:textId="77777777" w:rsidR="00577D08" w:rsidRDefault="00330FC0">
                <w:r>
                  <w:rPr>
                    <w:rFonts w:hint="eastAsia"/>
                  </w:rPr>
                  <w:t>四、账面价值</w:t>
                </w:r>
              </w:p>
            </w:tc>
          </w:sdtContent>
        </w:sdt>
      </w:tr>
      <w:tr w:rsidR="00577D08" w14:paraId="4E822717" w14:textId="77777777">
        <w:tc>
          <w:tcPr>
            <w:tcW w:w="1298" w:type="pct"/>
            <w:vAlign w:val="center"/>
          </w:tcPr>
          <w:p w14:paraId="54AC143C" w14:textId="77777777" w:rsidR="00577D08" w:rsidRDefault="00330FC0">
            <w:pPr>
              <w:ind w:firstLineChars="200" w:firstLine="420"/>
            </w:pPr>
            <w:r>
              <w:rPr>
                <w:rFonts w:hint="eastAsia"/>
              </w:rPr>
              <w:t>1.</w:t>
            </w:r>
            <w:r>
              <w:rPr>
                <w:rFonts w:hint="eastAsia"/>
              </w:rPr>
              <w:t>期末账面价值</w:t>
            </w:r>
          </w:p>
        </w:tc>
        <w:tc>
          <w:tcPr>
            <w:tcW w:w="721" w:type="pct"/>
          </w:tcPr>
          <w:p w14:paraId="68912766" w14:textId="77777777" w:rsidR="00577D08" w:rsidRDefault="00330FC0">
            <w:pPr>
              <w:jc w:val="right"/>
            </w:pPr>
            <w:r>
              <w:t xml:space="preserve"> 1,005,822,177.94 </w:t>
            </w:r>
          </w:p>
        </w:tc>
        <w:tc>
          <w:tcPr>
            <w:tcW w:w="721" w:type="pct"/>
          </w:tcPr>
          <w:p w14:paraId="23A15996" w14:textId="77777777" w:rsidR="00577D08" w:rsidRDefault="00330FC0">
            <w:pPr>
              <w:jc w:val="right"/>
            </w:pPr>
            <w:r>
              <w:t xml:space="preserve"> 870,975,378.23 </w:t>
            </w:r>
          </w:p>
        </w:tc>
        <w:tc>
          <w:tcPr>
            <w:tcW w:w="721" w:type="pct"/>
          </w:tcPr>
          <w:p w14:paraId="7FF687AF" w14:textId="77777777" w:rsidR="00577D08" w:rsidRDefault="00330FC0">
            <w:pPr>
              <w:jc w:val="right"/>
            </w:pPr>
            <w:r>
              <w:t xml:space="preserve"> 25,028,386.94 </w:t>
            </w:r>
          </w:p>
        </w:tc>
        <w:tc>
          <w:tcPr>
            <w:tcW w:w="752" w:type="pct"/>
          </w:tcPr>
          <w:p w14:paraId="2FC04D9F" w14:textId="77777777" w:rsidR="00577D08" w:rsidRDefault="00330FC0">
            <w:pPr>
              <w:jc w:val="right"/>
            </w:pPr>
            <w:r>
              <w:t xml:space="preserve"> 21,678,225.48 </w:t>
            </w:r>
          </w:p>
        </w:tc>
        <w:tc>
          <w:tcPr>
            <w:tcW w:w="787" w:type="pct"/>
          </w:tcPr>
          <w:p w14:paraId="7F6E88C7" w14:textId="77777777" w:rsidR="00577D08" w:rsidRDefault="00330FC0">
            <w:pPr>
              <w:jc w:val="right"/>
            </w:pPr>
            <w:r>
              <w:t xml:space="preserve"> 1,923,504,168.59 </w:t>
            </w:r>
          </w:p>
        </w:tc>
      </w:tr>
      <w:tr w:rsidR="00577D08" w14:paraId="0A1EBA43" w14:textId="77777777">
        <w:tc>
          <w:tcPr>
            <w:tcW w:w="1298" w:type="pct"/>
            <w:vAlign w:val="center"/>
          </w:tcPr>
          <w:p w14:paraId="72226D4D" w14:textId="77777777" w:rsidR="00577D08" w:rsidRDefault="00330FC0">
            <w:pPr>
              <w:ind w:firstLineChars="200" w:firstLine="420"/>
            </w:pPr>
            <w:r>
              <w:rPr>
                <w:rFonts w:hint="eastAsia"/>
              </w:rPr>
              <w:t>2.</w:t>
            </w:r>
            <w:r>
              <w:rPr>
                <w:rFonts w:hint="eastAsia"/>
              </w:rPr>
              <w:t>期初账面价值</w:t>
            </w:r>
          </w:p>
        </w:tc>
        <w:tc>
          <w:tcPr>
            <w:tcW w:w="721" w:type="pct"/>
          </w:tcPr>
          <w:p w14:paraId="2DC81BE9" w14:textId="77777777" w:rsidR="00577D08" w:rsidRDefault="00330FC0">
            <w:pPr>
              <w:jc w:val="right"/>
            </w:pPr>
            <w:r>
              <w:t>1,032,193,343.20</w:t>
            </w:r>
          </w:p>
        </w:tc>
        <w:tc>
          <w:tcPr>
            <w:tcW w:w="721" w:type="pct"/>
          </w:tcPr>
          <w:p w14:paraId="70E373B6" w14:textId="77777777" w:rsidR="00577D08" w:rsidRDefault="00330FC0">
            <w:pPr>
              <w:jc w:val="right"/>
            </w:pPr>
            <w:r>
              <w:t>950,686,501.10</w:t>
            </w:r>
          </w:p>
        </w:tc>
        <w:tc>
          <w:tcPr>
            <w:tcW w:w="721" w:type="pct"/>
          </w:tcPr>
          <w:p w14:paraId="60DB048D" w14:textId="77777777" w:rsidR="00577D08" w:rsidRDefault="00330FC0">
            <w:pPr>
              <w:jc w:val="right"/>
            </w:pPr>
            <w:r>
              <w:t>5,272,829.91</w:t>
            </w:r>
          </w:p>
        </w:tc>
        <w:tc>
          <w:tcPr>
            <w:tcW w:w="752" w:type="pct"/>
          </w:tcPr>
          <w:p w14:paraId="4D4A83BE" w14:textId="77777777" w:rsidR="00577D08" w:rsidRDefault="00330FC0">
            <w:pPr>
              <w:jc w:val="right"/>
            </w:pPr>
            <w:r>
              <w:t>28,750,269.37</w:t>
            </w:r>
          </w:p>
        </w:tc>
        <w:tc>
          <w:tcPr>
            <w:tcW w:w="787" w:type="pct"/>
          </w:tcPr>
          <w:p w14:paraId="3EACE6CA" w14:textId="77777777" w:rsidR="00577D08" w:rsidRDefault="00330FC0">
            <w:pPr>
              <w:jc w:val="right"/>
            </w:pPr>
            <w:r>
              <w:t>2,016,902,943.58</w:t>
            </w:r>
          </w:p>
        </w:tc>
      </w:tr>
    </w:tbl>
    <w:p w14:paraId="57DC5EE0" w14:textId="77777777" w:rsidR="00577D08" w:rsidRDefault="00330FC0">
      <w:pPr>
        <w:pStyle w:val="5"/>
        <w:numPr>
          <w:ilvl w:val="0"/>
          <w:numId w:val="76"/>
        </w:numPr>
        <w:ind w:leftChars="0"/>
        <w:rPr>
          <w:rFonts w:ascii="宋体" w:hAnsi="宋体" w:cs="宋体" w:hint="eastAsia"/>
          <w:kern w:val="0"/>
          <w:szCs w:val="24"/>
        </w:rPr>
      </w:pPr>
      <w:r>
        <w:rPr>
          <w:rFonts w:ascii="宋体" w:hAnsi="宋体" w:cs="宋体" w:hint="eastAsia"/>
          <w:kern w:val="0"/>
          <w:szCs w:val="24"/>
        </w:rPr>
        <w:t>暂时闲置的固定资产情况</w:t>
      </w:r>
    </w:p>
    <w:sdt>
      <w:sdtPr>
        <w:alias w:val="是否适用：暂时闲置的固定资产情况[双击切换]"/>
        <w:tag w:val="_GBC_2fdfdf37e427442eb50e14c905c59fbe"/>
        <w:id w:val="490064957"/>
        <w:placeholder>
          <w:docPart w:val="GBC22222222222222222222222222222"/>
        </w:placeholder>
      </w:sdtPr>
      <w:sdtContent>
        <w:p w14:paraId="3C309C9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F4A8FF" w14:textId="77777777" w:rsidR="00577D08" w:rsidRDefault="00330FC0">
      <w:pPr>
        <w:pStyle w:val="5"/>
        <w:numPr>
          <w:ilvl w:val="0"/>
          <w:numId w:val="76"/>
        </w:numPr>
        <w:ind w:leftChars="0"/>
        <w:rPr>
          <w:rFonts w:ascii="宋体" w:hAnsi="宋体" w:cs="宋体" w:hint="eastAsia"/>
          <w:kern w:val="0"/>
          <w:szCs w:val="24"/>
        </w:rPr>
      </w:pPr>
      <w:r>
        <w:rPr>
          <w:rFonts w:ascii="宋体" w:hAnsi="宋体" w:cs="宋体" w:hint="eastAsia"/>
          <w:kern w:val="0"/>
          <w:szCs w:val="24"/>
        </w:rPr>
        <w:t>通过经营租赁租出的固定资产</w:t>
      </w:r>
    </w:p>
    <w:sdt>
      <w:sdtPr>
        <w:alias w:val="是否适用：通过经营租赁租出的固定资产[双击切换]"/>
        <w:tag w:val="_GBC_c2ddde62aad742b6997b43c9077b5c4b"/>
        <w:id w:val="-1718728437"/>
        <w:placeholder>
          <w:docPart w:val="GBC22222222222222222222222222222"/>
        </w:placeholder>
      </w:sdtPr>
      <w:sdtContent>
        <w:p w14:paraId="58040B7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E37A87F" w14:textId="77777777" w:rsidR="00577D08" w:rsidRDefault="00330FC0">
      <w:pPr>
        <w:jc w:val="right"/>
        <w:rPr>
          <w:color w:val="FF0000"/>
        </w:rPr>
      </w:pPr>
      <w:r>
        <w:rPr>
          <w:rFonts w:hint="eastAsia"/>
        </w:rPr>
        <w:t>单位：</w:t>
      </w:r>
      <w:sdt>
        <w:sdtPr>
          <w:rPr>
            <w:rFonts w:hint="eastAsia"/>
          </w:rPr>
          <w:alias w:val="单位：财务附注：通过经营租赁租出的固定资产"/>
          <w:tag w:val="_GBC_a5639cab25124e40a3a709f767bb31f5"/>
          <w:id w:val="21462282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通过经营租赁租出的固定资产"/>
          <w:tag w:val="_GBC_86c375c2858c4fd3a9a1149366376325"/>
          <w:id w:val="-362826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3"/>
        <w:gridCol w:w="7500"/>
      </w:tblGrid>
      <w:tr w:rsidR="00577D08" w14:paraId="5C72FE18" w14:textId="77777777">
        <w:sdt>
          <w:sdtPr>
            <w:tag w:val="_PLD_f35f56116f2549ddbf0e3623eed6359d"/>
            <w:id w:val="1404112637"/>
          </w:sdtPr>
          <w:sdtContent>
            <w:tc>
              <w:tcPr>
                <w:tcW w:w="2295" w:type="pct"/>
                <w:tcBorders>
                  <w:top w:val="single" w:sz="4" w:space="0" w:color="auto"/>
                  <w:left w:val="single" w:sz="4" w:space="0" w:color="auto"/>
                  <w:bottom w:val="single" w:sz="4" w:space="0" w:color="auto"/>
                  <w:right w:val="single" w:sz="4" w:space="0" w:color="auto"/>
                </w:tcBorders>
                <w:vAlign w:val="center"/>
              </w:tcPr>
              <w:p w14:paraId="2847DDB0" w14:textId="77777777" w:rsidR="00577D08" w:rsidRDefault="00330FC0">
                <w:pPr>
                  <w:jc w:val="center"/>
                </w:pPr>
                <w:r>
                  <w:rPr>
                    <w:rFonts w:hint="eastAsia"/>
                  </w:rPr>
                  <w:t>项目</w:t>
                </w:r>
              </w:p>
            </w:tc>
          </w:sdtContent>
        </w:sdt>
        <w:sdt>
          <w:sdtPr>
            <w:tag w:val="_PLD_b998d1682a784108a43b71971c110733"/>
            <w:id w:val="1073549631"/>
          </w:sdtPr>
          <w:sdtContent>
            <w:tc>
              <w:tcPr>
                <w:tcW w:w="2705" w:type="pct"/>
                <w:tcBorders>
                  <w:top w:val="single" w:sz="4" w:space="0" w:color="auto"/>
                  <w:left w:val="single" w:sz="4" w:space="0" w:color="auto"/>
                  <w:bottom w:val="single" w:sz="4" w:space="0" w:color="auto"/>
                  <w:right w:val="single" w:sz="4" w:space="0" w:color="auto"/>
                </w:tcBorders>
                <w:vAlign w:val="center"/>
              </w:tcPr>
              <w:p w14:paraId="681082B3" w14:textId="77777777" w:rsidR="00577D08" w:rsidRDefault="00330FC0">
                <w:pPr>
                  <w:jc w:val="center"/>
                </w:pPr>
                <w:r>
                  <w:rPr>
                    <w:rFonts w:hint="eastAsia"/>
                  </w:rPr>
                  <w:t>期末账面价值</w:t>
                </w:r>
              </w:p>
            </w:tc>
          </w:sdtContent>
        </w:sdt>
      </w:tr>
      <w:tr w:rsidR="00577D08" w14:paraId="182C4CCC" w14:textId="77777777">
        <w:tc>
          <w:tcPr>
            <w:tcW w:w="2295" w:type="pct"/>
            <w:tcBorders>
              <w:top w:val="single" w:sz="4" w:space="0" w:color="auto"/>
              <w:left w:val="single" w:sz="4" w:space="0" w:color="auto"/>
              <w:bottom w:val="single" w:sz="4" w:space="0" w:color="auto"/>
              <w:right w:val="single" w:sz="4" w:space="0" w:color="auto"/>
            </w:tcBorders>
            <w:vAlign w:val="center"/>
          </w:tcPr>
          <w:p w14:paraId="428ABC3B" w14:textId="77777777" w:rsidR="00577D08" w:rsidRDefault="00330FC0">
            <w:r>
              <w:rPr>
                <w:rFonts w:hint="eastAsia"/>
              </w:rPr>
              <w:t>房屋及建筑物</w:t>
            </w:r>
          </w:p>
        </w:tc>
        <w:tc>
          <w:tcPr>
            <w:tcW w:w="2705" w:type="pct"/>
            <w:tcBorders>
              <w:top w:val="single" w:sz="4" w:space="0" w:color="auto"/>
              <w:left w:val="single" w:sz="4" w:space="0" w:color="auto"/>
              <w:bottom w:val="single" w:sz="4" w:space="0" w:color="auto"/>
              <w:right w:val="single" w:sz="4" w:space="0" w:color="auto"/>
            </w:tcBorders>
          </w:tcPr>
          <w:p w14:paraId="5F63F148" w14:textId="77777777" w:rsidR="00577D08" w:rsidRDefault="00330FC0">
            <w:pPr>
              <w:jc w:val="right"/>
            </w:pPr>
            <w:r>
              <w:t>7,556,225.83</w:t>
            </w:r>
          </w:p>
        </w:tc>
      </w:tr>
      <w:tr w:rsidR="00577D08" w14:paraId="7316A3CE" w14:textId="77777777">
        <w:tc>
          <w:tcPr>
            <w:tcW w:w="2295" w:type="pct"/>
            <w:tcBorders>
              <w:top w:val="single" w:sz="4" w:space="0" w:color="auto"/>
              <w:left w:val="single" w:sz="4" w:space="0" w:color="auto"/>
              <w:bottom w:val="single" w:sz="4" w:space="0" w:color="auto"/>
              <w:right w:val="single" w:sz="4" w:space="0" w:color="auto"/>
            </w:tcBorders>
            <w:vAlign w:val="center"/>
          </w:tcPr>
          <w:p w14:paraId="768AE853" w14:textId="77777777" w:rsidR="00577D08" w:rsidRDefault="00577D08"/>
        </w:tc>
        <w:tc>
          <w:tcPr>
            <w:tcW w:w="2705" w:type="pct"/>
            <w:tcBorders>
              <w:top w:val="single" w:sz="4" w:space="0" w:color="auto"/>
              <w:left w:val="single" w:sz="4" w:space="0" w:color="auto"/>
              <w:bottom w:val="single" w:sz="4" w:space="0" w:color="auto"/>
              <w:right w:val="single" w:sz="4" w:space="0" w:color="auto"/>
            </w:tcBorders>
          </w:tcPr>
          <w:p w14:paraId="49FFBD86" w14:textId="77777777" w:rsidR="00577D08" w:rsidRDefault="00330FC0">
            <w:pPr>
              <w:jc w:val="right"/>
            </w:pPr>
            <w:r>
              <w:t>7,556,225.83</w:t>
            </w:r>
          </w:p>
        </w:tc>
      </w:tr>
    </w:tbl>
    <w:p w14:paraId="469705C7" w14:textId="77777777" w:rsidR="00577D08" w:rsidRDefault="00330FC0">
      <w:pPr>
        <w:pStyle w:val="5"/>
        <w:numPr>
          <w:ilvl w:val="0"/>
          <w:numId w:val="76"/>
        </w:numPr>
        <w:ind w:leftChars="0"/>
        <w:rPr>
          <w:rFonts w:ascii="宋体" w:hAnsi="宋体" w:cs="宋体" w:hint="eastAsia"/>
          <w:kern w:val="0"/>
          <w:szCs w:val="24"/>
        </w:rPr>
      </w:pPr>
      <w:r>
        <w:rPr>
          <w:rFonts w:ascii="宋体" w:hAnsi="宋体" w:cs="宋体" w:hint="eastAsia"/>
          <w:kern w:val="0"/>
          <w:szCs w:val="24"/>
        </w:rPr>
        <w:lastRenderedPageBreak/>
        <w:t>未办妥产权证书的固定资产情况</w:t>
      </w:r>
    </w:p>
    <w:p w14:paraId="2AC58B85" w14:textId="77777777" w:rsidR="00577D08" w:rsidRDefault="00000000">
      <w:sdt>
        <w:sdtPr>
          <w:alias w:val="是否适用：未办妥产权证书的固定资产情况[双击切换]"/>
          <w:tag w:val="_GBC_46625a97c34c4326af56ee4f005058fb"/>
          <w:id w:val="-163623385"/>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77863A31" w14:textId="5D078A1D" w:rsidR="00577D08" w:rsidRDefault="00330FC0">
      <w:pPr>
        <w:jc w:val="right"/>
      </w:pPr>
      <w:r>
        <w:rPr>
          <w:rFonts w:hint="eastAsia"/>
        </w:rPr>
        <w:t>单位：</w:t>
      </w:r>
      <w:sdt>
        <w:sdtPr>
          <w:rPr>
            <w:rFonts w:hint="eastAsia"/>
          </w:rPr>
          <w:alias w:val="单位：财务附注：未办妥产权证书的固定资产情况"/>
          <w:tag w:val="_GBC_af0b65f779a444509a345fcc235c4e13"/>
          <w:id w:val="-19981025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未办妥产权证书的固定资产情况"/>
          <w:tag w:val="_GBC_8b4f91db9e314b61ac2d85b092fd5832"/>
          <w:id w:val="-5486092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661"/>
        <w:gridCol w:w="4686"/>
      </w:tblGrid>
      <w:tr w:rsidR="00577D08" w14:paraId="682D3D47" w14:textId="77777777">
        <w:sdt>
          <w:sdtPr>
            <w:tag w:val="_PLD_3112d13ed7a04a10bce803acc672660e"/>
            <w:id w:val="-1012909140"/>
          </w:sdtPr>
          <w:sdtContent>
            <w:tc>
              <w:tcPr>
                <w:tcW w:w="1629" w:type="pct"/>
                <w:vAlign w:val="center"/>
              </w:tcPr>
              <w:p w14:paraId="73735193" w14:textId="77777777" w:rsidR="00577D08" w:rsidRDefault="00330FC0">
                <w:pPr>
                  <w:jc w:val="center"/>
                </w:pPr>
                <w:r>
                  <w:rPr>
                    <w:rFonts w:hint="eastAsia"/>
                  </w:rPr>
                  <w:t>项目</w:t>
                </w:r>
              </w:p>
            </w:tc>
          </w:sdtContent>
        </w:sdt>
        <w:sdt>
          <w:sdtPr>
            <w:tag w:val="_PLD_5fca73223de74724a06b56d07c06e26b"/>
            <w:id w:val="-1769455885"/>
          </w:sdtPr>
          <w:sdtContent>
            <w:tc>
              <w:tcPr>
                <w:tcW w:w="1681" w:type="pct"/>
                <w:vAlign w:val="center"/>
              </w:tcPr>
              <w:p w14:paraId="2A0D6446" w14:textId="77777777" w:rsidR="00577D08" w:rsidRDefault="00330FC0">
                <w:pPr>
                  <w:jc w:val="center"/>
                </w:pPr>
                <w:r>
                  <w:rPr>
                    <w:rFonts w:hint="eastAsia"/>
                  </w:rPr>
                  <w:t>账面价值</w:t>
                </w:r>
              </w:p>
            </w:tc>
          </w:sdtContent>
        </w:sdt>
        <w:sdt>
          <w:sdtPr>
            <w:tag w:val="_PLD_0f07869ee4694758ae54754a2afb45dd"/>
            <w:id w:val="1299493664"/>
          </w:sdtPr>
          <w:sdtContent>
            <w:tc>
              <w:tcPr>
                <w:tcW w:w="1690" w:type="pct"/>
                <w:vAlign w:val="center"/>
              </w:tcPr>
              <w:p w14:paraId="5ECC8C3F" w14:textId="77777777" w:rsidR="00577D08" w:rsidRDefault="00330FC0">
                <w:pPr>
                  <w:jc w:val="center"/>
                </w:pPr>
                <w:r>
                  <w:rPr>
                    <w:rFonts w:hint="eastAsia"/>
                  </w:rPr>
                  <w:t>未办妥产权证书的原因</w:t>
                </w:r>
              </w:p>
            </w:tc>
          </w:sdtContent>
        </w:sdt>
      </w:tr>
      <w:tr w:rsidR="00577D08" w14:paraId="4722FC9E" w14:textId="77777777">
        <w:tc>
          <w:tcPr>
            <w:tcW w:w="1629" w:type="pct"/>
            <w:vAlign w:val="center"/>
          </w:tcPr>
          <w:p w14:paraId="2A94B851" w14:textId="77777777" w:rsidR="00577D08" w:rsidRDefault="00330FC0">
            <w:r>
              <w:rPr>
                <w:rFonts w:hint="eastAsia"/>
              </w:rPr>
              <w:t>房屋及建筑物</w:t>
            </w:r>
          </w:p>
        </w:tc>
        <w:tc>
          <w:tcPr>
            <w:tcW w:w="1681" w:type="pct"/>
          </w:tcPr>
          <w:p w14:paraId="266FC801" w14:textId="77777777" w:rsidR="00577D08" w:rsidRDefault="00330FC0">
            <w:pPr>
              <w:jc w:val="right"/>
            </w:pPr>
            <w:r>
              <w:t>32,613,120.15</w:t>
            </w:r>
          </w:p>
        </w:tc>
        <w:tc>
          <w:tcPr>
            <w:tcW w:w="1690" w:type="pct"/>
          </w:tcPr>
          <w:p w14:paraId="29589A44" w14:textId="77777777" w:rsidR="00577D08" w:rsidRDefault="00330FC0">
            <w:r>
              <w:rPr>
                <w:rFonts w:hint="eastAsia"/>
              </w:rPr>
              <w:t>正在办理中</w:t>
            </w:r>
          </w:p>
        </w:tc>
      </w:tr>
      <w:tr w:rsidR="00577D08" w14:paraId="2D01408C" w14:textId="77777777">
        <w:tc>
          <w:tcPr>
            <w:tcW w:w="1629" w:type="pct"/>
            <w:vAlign w:val="center"/>
          </w:tcPr>
          <w:p w14:paraId="2442120A" w14:textId="77777777" w:rsidR="00577D08" w:rsidRDefault="00577D08"/>
        </w:tc>
        <w:tc>
          <w:tcPr>
            <w:tcW w:w="1681" w:type="pct"/>
          </w:tcPr>
          <w:p w14:paraId="15BADEE7" w14:textId="77777777" w:rsidR="00577D08" w:rsidRDefault="00330FC0">
            <w:pPr>
              <w:jc w:val="right"/>
            </w:pPr>
            <w:r>
              <w:t>32,613,120.15</w:t>
            </w:r>
          </w:p>
        </w:tc>
        <w:tc>
          <w:tcPr>
            <w:tcW w:w="1690" w:type="pct"/>
          </w:tcPr>
          <w:p w14:paraId="3D061285" w14:textId="77777777" w:rsidR="00577D08" w:rsidRDefault="00577D08"/>
        </w:tc>
      </w:tr>
    </w:tbl>
    <w:p w14:paraId="24161899" w14:textId="77777777" w:rsidR="00577D08" w:rsidRDefault="00330FC0">
      <w:pPr>
        <w:pStyle w:val="5"/>
        <w:numPr>
          <w:ilvl w:val="0"/>
          <w:numId w:val="76"/>
        </w:numPr>
        <w:ind w:leftChars="0"/>
        <w:rPr>
          <w:rFonts w:ascii="宋体" w:hAnsi="宋体" w:cs="宋体" w:hint="eastAsia"/>
          <w:kern w:val="0"/>
          <w:szCs w:val="24"/>
        </w:rPr>
      </w:pPr>
      <w:bookmarkStart w:id="399" w:name="_Hlk153460880"/>
      <w:r>
        <w:rPr>
          <w:rFonts w:ascii="宋体" w:hAnsi="宋体" w:cs="宋体" w:hint="eastAsia"/>
          <w:kern w:val="0"/>
          <w:szCs w:val="24"/>
        </w:rPr>
        <w:t>固定资产的减值测试情况</w:t>
      </w:r>
    </w:p>
    <w:sdt>
      <w:sdtPr>
        <w:alias w:val="是否适用：减值测试情况[双击切换]"/>
        <w:tag w:val="_GBC_d1f21a00be1347f697689e4105263cab"/>
        <w:id w:val="995995228"/>
        <w:placeholder>
          <w:docPart w:val="GBC22222222222222222222222222222"/>
        </w:placeholder>
      </w:sdtPr>
      <w:sdtContent>
        <w:p w14:paraId="7EBA61F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99"/>
    <w:p w14:paraId="4F4D76BB" w14:textId="77777777" w:rsidR="00577D08" w:rsidRDefault="00330FC0">
      <w:r>
        <w:rPr>
          <w:rFonts w:hint="eastAsia"/>
        </w:rPr>
        <w:t>其他说明：</w:t>
      </w:r>
    </w:p>
    <w:sdt>
      <w:sdtPr>
        <w:alias w:val="是否适用：固定资产的说明[双击切换]"/>
        <w:tag w:val="_GBC_a7ec4df8fd354d7d9980e0f731a85e12"/>
        <w:id w:val="666064326"/>
        <w:placeholder>
          <w:docPart w:val="GBC22222222222222222222222222222"/>
        </w:placeholder>
      </w:sdtPr>
      <w:sdtContent>
        <w:p w14:paraId="69D0C5B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93DD8E6" w14:textId="77777777" w:rsidR="00577D08" w:rsidRDefault="00330FC0">
      <w:pPr>
        <w:pStyle w:val="4"/>
        <w:ind w:left="360" w:hanging="360"/>
        <w:rPr>
          <w:rFonts w:hint="eastAsia"/>
        </w:rPr>
      </w:pPr>
      <w:r>
        <w:rPr>
          <w:rFonts w:hint="eastAsia"/>
        </w:rPr>
        <w:t>固定资产清理</w:t>
      </w:r>
    </w:p>
    <w:sdt>
      <w:sdtPr>
        <w:alias w:val="是否适用：固定资产清理[双击切换]"/>
        <w:tag w:val="_GBC_e3c92a1042004e36882d16145109bd0e"/>
        <w:id w:val="-1001119349"/>
        <w:placeholder>
          <w:docPart w:val="GBC22222222222222222222222222222"/>
        </w:placeholder>
      </w:sdtPr>
      <w:sdtContent>
        <w:p w14:paraId="24B693B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B4ED5F7"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在建工程</w:t>
      </w:r>
    </w:p>
    <w:p w14:paraId="6A731475" w14:textId="77777777" w:rsidR="00577D08" w:rsidRDefault="00330FC0">
      <w:pPr>
        <w:pStyle w:val="4"/>
        <w:rPr>
          <w:rFonts w:ascii="宋体" w:hAnsi="宋体" w:hint="eastAsia"/>
          <w:szCs w:val="21"/>
        </w:rPr>
      </w:pPr>
      <w:bookmarkStart w:id="400" w:name="_Hlk532914352"/>
      <w:r>
        <w:rPr>
          <w:rFonts w:hint="eastAsia"/>
        </w:rPr>
        <w:t>项目列示</w:t>
      </w:r>
    </w:p>
    <w:sdt>
      <w:sdtPr>
        <w:alias w:val="是否适用：在建工程分类列示[双击切换]"/>
        <w:tag w:val="_GBC_c1e2db0ea96a470497d3e7b3545f11ff"/>
        <w:id w:val="708706"/>
        <w:placeholder>
          <w:docPart w:val="GBC22222222222222222222222222222"/>
        </w:placeholder>
      </w:sdtPr>
      <w:sdtContent>
        <w:p w14:paraId="5BE4C16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1DC00F4" w14:textId="264E87BB" w:rsidR="00577D08" w:rsidRDefault="00330FC0">
      <w:pPr>
        <w:jc w:val="right"/>
      </w:pPr>
      <w:r>
        <w:rPr>
          <w:rFonts w:hint="eastAsia"/>
        </w:rPr>
        <w:t>单位：</w:t>
      </w:r>
      <w:sdt>
        <w:sdtPr>
          <w:rPr>
            <w:rFonts w:hint="eastAsia"/>
          </w:rPr>
          <w:alias w:val="单位：在建工程分类列示"/>
          <w:tag w:val="_GBC_c3fc0d9041a1447580d30c51269288ae"/>
          <w:id w:val="-15208462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在建工程分类列示"/>
          <w:tag w:val="_GBC_1bdb2a3deae044179993a80635469bb5"/>
          <w:id w:val="5642238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4891"/>
        <w:gridCol w:w="4497"/>
        <w:gridCol w:w="4475"/>
      </w:tblGrid>
      <w:tr w:rsidR="00577D08" w14:paraId="36C3C17B" w14:textId="77777777">
        <w:trPr>
          <w:cantSplit/>
        </w:trPr>
        <w:sdt>
          <w:sdtPr>
            <w:tag w:val="_PLD_e3fac3cdac65475ca8ba6bb772e3b841"/>
            <w:id w:val="231195861"/>
          </w:sdtPr>
          <w:sdtContent>
            <w:tc>
              <w:tcPr>
                <w:tcW w:w="1764" w:type="pct"/>
                <w:vAlign w:val="center"/>
              </w:tcPr>
              <w:p w14:paraId="201D7280" w14:textId="77777777" w:rsidR="00577D08" w:rsidRDefault="00330FC0">
                <w:pPr>
                  <w:jc w:val="center"/>
                </w:pPr>
                <w:r>
                  <w:rPr>
                    <w:rFonts w:hint="eastAsia"/>
                  </w:rPr>
                  <w:t>项目</w:t>
                </w:r>
              </w:p>
            </w:tc>
          </w:sdtContent>
        </w:sdt>
        <w:sdt>
          <w:sdtPr>
            <w:tag w:val="_PLD_4e98919cdcd84191b541b2ee895e77bf"/>
            <w:id w:val="1949729700"/>
          </w:sdtPr>
          <w:sdtContent>
            <w:tc>
              <w:tcPr>
                <w:tcW w:w="1622" w:type="pct"/>
                <w:vAlign w:val="center"/>
              </w:tcPr>
              <w:p w14:paraId="24BE54AB" w14:textId="77777777" w:rsidR="00577D08" w:rsidRDefault="00330FC0">
                <w:pPr>
                  <w:jc w:val="center"/>
                </w:pPr>
                <w:r>
                  <w:rPr>
                    <w:rFonts w:hint="eastAsia"/>
                  </w:rPr>
                  <w:t>期末余额</w:t>
                </w:r>
              </w:p>
            </w:tc>
          </w:sdtContent>
        </w:sdt>
        <w:sdt>
          <w:sdtPr>
            <w:tag w:val="_PLD_4ce0928269bc47149a98320193bd0b0a"/>
            <w:id w:val="2113853255"/>
          </w:sdtPr>
          <w:sdtContent>
            <w:tc>
              <w:tcPr>
                <w:tcW w:w="1614" w:type="pct"/>
                <w:vAlign w:val="center"/>
              </w:tcPr>
              <w:p w14:paraId="34C2F87E" w14:textId="77777777" w:rsidR="00577D08" w:rsidRDefault="00330FC0">
                <w:pPr>
                  <w:jc w:val="center"/>
                </w:pPr>
                <w:r>
                  <w:rPr>
                    <w:rFonts w:hint="eastAsia"/>
                  </w:rPr>
                  <w:t>期初余额</w:t>
                </w:r>
              </w:p>
            </w:tc>
          </w:sdtContent>
        </w:sdt>
      </w:tr>
      <w:tr w:rsidR="00577D08" w14:paraId="566CA593" w14:textId="77777777">
        <w:trPr>
          <w:cantSplit/>
        </w:trPr>
        <w:tc>
          <w:tcPr>
            <w:tcW w:w="1764" w:type="pct"/>
            <w:vAlign w:val="center"/>
          </w:tcPr>
          <w:p w14:paraId="0EE25F02" w14:textId="77777777" w:rsidR="00577D08" w:rsidRDefault="00330FC0">
            <w:pPr>
              <w:tabs>
                <w:tab w:val="right" w:pos="3690"/>
                <w:tab w:val="right" w:pos="5130"/>
                <w:tab w:val="right" w:pos="6030"/>
                <w:tab w:val="right" w:pos="7650"/>
                <w:tab w:val="right" w:pos="9270"/>
              </w:tabs>
              <w:adjustRightInd w:val="0"/>
              <w:snapToGrid w:val="0"/>
            </w:pPr>
            <w:r>
              <w:rPr>
                <w:rFonts w:hint="eastAsia"/>
              </w:rPr>
              <w:t>在建工程</w:t>
            </w:r>
          </w:p>
        </w:tc>
        <w:tc>
          <w:tcPr>
            <w:tcW w:w="1622" w:type="pct"/>
          </w:tcPr>
          <w:p w14:paraId="1D63829B" w14:textId="77777777" w:rsidR="00577D08" w:rsidRDefault="00330FC0">
            <w:pPr>
              <w:ind w:right="5"/>
              <w:jc w:val="right"/>
            </w:pPr>
            <w:r>
              <w:t>34,835,289.06</w:t>
            </w:r>
          </w:p>
        </w:tc>
        <w:tc>
          <w:tcPr>
            <w:tcW w:w="1614" w:type="pct"/>
          </w:tcPr>
          <w:p w14:paraId="0D96349A" w14:textId="77777777" w:rsidR="00577D08" w:rsidRDefault="00330FC0">
            <w:pPr>
              <w:ind w:right="5"/>
              <w:jc w:val="right"/>
            </w:pPr>
            <w:r>
              <w:t>25,034,215.15</w:t>
            </w:r>
          </w:p>
        </w:tc>
      </w:tr>
      <w:tr w:rsidR="00577D08" w14:paraId="26831717" w14:textId="77777777">
        <w:trPr>
          <w:cantSplit/>
        </w:trPr>
        <w:tc>
          <w:tcPr>
            <w:tcW w:w="1764" w:type="pct"/>
            <w:vAlign w:val="center"/>
          </w:tcPr>
          <w:p w14:paraId="2118E9FF" w14:textId="77777777" w:rsidR="00577D08" w:rsidRDefault="00330FC0">
            <w:pPr>
              <w:tabs>
                <w:tab w:val="right" w:pos="3690"/>
                <w:tab w:val="right" w:pos="5130"/>
                <w:tab w:val="right" w:pos="6030"/>
                <w:tab w:val="right" w:pos="7650"/>
                <w:tab w:val="right" w:pos="9270"/>
              </w:tabs>
              <w:adjustRightInd w:val="0"/>
              <w:snapToGrid w:val="0"/>
            </w:pPr>
            <w:r>
              <w:rPr>
                <w:rFonts w:hint="eastAsia"/>
              </w:rPr>
              <w:t>工程物资</w:t>
            </w:r>
          </w:p>
        </w:tc>
        <w:tc>
          <w:tcPr>
            <w:tcW w:w="1622" w:type="pct"/>
          </w:tcPr>
          <w:p w14:paraId="53D59D33" w14:textId="77777777" w:rsidR="00577D08" w:rsidRDefault="00577D08">
            <w:pPr>
              <w:ind w:right="5"/>
              <w:jc w:val="right"/>
            </w:pPr>
          </w:p>
        </w:tc>
        <w:tc>
          <w:tcPr>
            <w:tcW w:w="1614" w:type="pct"/>
          </w:tcPr>
          <w:p w14:paraId="44FC84E5" w14:textId="77777777" w:rsidR="00577D08" w:rsidRDefault="00577D08">
            <w:pPr>
              <w:ind w:right="5"/>
              <w:jc w:val="right"/>
            </w:pPr>
          </w:p>
        </w:tc>
      </w:tr>
      <w:tr w:rsidR="00577D08" w14:paraId="3943AF1E" w14:textId="77777777">
        <w:trPr>
          <w:cantSplit/>
        </w:trPr>
        <w:tc>
          <w:tcPr>
            <w:tcW w:w="1764" w:type="pct"/>
            <w:vAlign w:val="center"/>
          </w:tcPr>
          <w:p w14:paraId="0E19954A" w14:textId="77777777" w:rsidR="00577D08" w:rsidRDefault="00330FC0">
            <w:pPr>
              <w:autoSpaceDE w:val="0"/>
              <w:autoSpaceDN w:val="0"/>
              <w:adjustRightInd w:val="0"/>
              <w:jc w:val="center"/>
            </w:pPr>
            <w:r>
              <w:rPr>
                <w:rFonts w:hint="eastAsia"/>
              </w:rPr>
              <w:t>合计</w:t>
            </w:r>
          </w:p>
        </w:tc>
        <w:tc>
          <w:tcPr>
            <w:tcW w:w="1622" w:type="pct"/>
          </w:tcPr>
          <w:p w14:paraId="0680F9C0" w14:textId="77777777" w:rsidR="00577D08" w:rsidRDefault="00330FC0">
            <w:pPr>
              <w:jc w:val="right"/>
            </w:pPr>
            <w:r>
              <w:t>34,835,289.06</w:t>
            </w:r>
          </w:p>
        </w:tc>
        <w:tc>
          <w:tcPr>
            <w:tcW w:w="1614" w:type="pct"/>
          </w:tcPr>
          <w:p w14:paraId="1CF9E144" w14:textId="77777777" w:rsidR="00577D08" w:rsidRDefault="00330FC0">
            <w:pPr>
              <w:ind w:right="5"/>
              <w:jc w:val="right"/>
            </w:pPr>
            <w:r>
              <w:t>25,034,215.15</w:t>
            </w:r>
          </w:p>
        </w:tc>
      </w:tr>
    </w:tbl>
    <w:p w14:paraId="74A1DB53" w14:textId="77777777" w:rsidR="00577D08" w:rsidRDefault="00330FC0">
      <w:bookmarkStart w:id="401" w:name="_Hlk532915382"/>
      <w:bookmarkEnd w:id="400"/>
      <w:r>
        <w:rPr>
          <w:rFonts w:hint="eastAsia"/>
        </w:rPr>
        <w:t>其他说明：</w:t>
      </w:r>
    </w:p>
    <w:sdt>
      <w:sdtPr>
        <w:alias w:val="是否适用：在建工程分类列示其他说明[双击切换]"/>
        <w:tag w:val="_GBC_97da24841dd24220bc5206311fc28039"/>
        <w:id w:val="979504404"/>
        <w:placeholder>
          <w:docPart w:val="GBC22222222222222222222222222222"/>
        </w:placeholder>
      </w:sdtPr>
      <w:sdtContent>
        <w:p w14:paraId="0067FFA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01"/>
    <w:p w14:paraId="30C7974A" w14:textId="77777777" w:rsidR="00577D08" w:rsidRDefault="00330FC0">
      <w:pPr>
        <w:pStyle w:val="4"/>
        <w:ind w:left="360" w:hanging="360"/>
        <w:rPr>
          <w:rFonts w:hint="eastAsia"/>
        </w:rPr>
      </w:pPr>
      <w:r>
        <w:rPr>
          <w:rFonts w:hint="eastAsia"/>
        </w:rPr>
        <w:t>在建工程</w:t>
      </w:r>
    </w:p>
    <w:p w14:paraId="7403C1C1" w14:textId="77777777" w:rsidR="00577D08" w:rsidRDefault="00330FC0">
      <w:pPr>
        <w:pStyle w:val="5"/>
        <w:numPr>
          <w:ilvl w:val="0"/>
          <w:numId w:val="77"/>
        </w:numPr>
        <w:ind w:leftChars="0"/>
      </w:pPr>
      <w:r>
        <w:rPr>
          <w:rFonts w:hint="eastAsia"/>
        </w:rPr>
        <w:t>在建工程情况</w:t>
      </w:r>
    </w:p>
    <w:sdt>
      <w:sdtPr>
        <w:alias w:val="是否适用：在建工程情况[双击切换]"/>
        <w:tag w:val="_GBC_3d1e0f4f19d8472c9f5250b0ba025185"/>
        <w:id w:val="1524594911"/>
        <w:placeholder>
          <w:docPart w:val="GBC22222222222222222222222222222"/>
        </w:placeholder>
      </w:sdtPr>
      <w:sdtContent>
        <w:p w14:paraId="4F2D097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DD0F9EB" w14:textId="77777777" w:rsidR="00577D08" w:rsidRDefault="00330FC0">
      <w:pPr>
        <w:jc w:val="right"/>
      </w:pPr>
      <w:r>
        <w:rPr>
          <w:rFonts w:hint="eastAsia"/>
        </w:rPr>
        <w:t>单位：</w:t>
      </w:r>
      <w:sdt>
        <w:sdtPr>
          <w:rPr>
            <w:rFonts w:hint="eastAsia"/>
          </w:rPr>
          <w:alias w:val="单位：财务附注：在建工程"/>
          <w:tag w:val="_GBC_c20f70bc9d1e4476bd65c1988111664f"/>
          <w:id w:val="17788314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在建工程"/>
          <w:tag w:val="_GBC_8057969f154445809d2bd47ba3a4ee1d"/>
          <w:id w:val="1296042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0"/>
        <w:gridCol w:w="1801"/>
        <w:gridCol w:w="1392"/>
        <w:gridCol w:w="1765"/>
        <w:gridCol w:w="1682"/>
        <w:gridCol w:w="1566"/>
        <w:gridCol w:w="1677"/>
      </w:tblGrid>
      <w:tr w:rsidR="00577D08" w14:paraId="3A606E53" w14:textId="77777777">
        <w:trPr>
          <w:cantSplit/>
        </w:trPr>
        <w:sdt>
          <w:sdtPr>
            <w:tag w:val="_PLD_64c6d788b0564cf39dd83135bd94fa33"/>
            <w:id w:val="994925562"/>
          </w:sdtPr>
          <w:sdtContent>
            <w:tc>
              <w:tcPr>
                <w:tcW w:w="1448" w:type="pct"/>
                <w:vMerge w:val="restart"/>
                <w:vAlign w:val="center"/>
              </w:tcPr>
              <w:p w14:paraId="25105E20" w14:textId="77777777" w:rsidR="00577D08" w:rsidRDefault="00330FC0">
                <w:pPr>
                  <w:jc w:val="center"/>
                </w:pPr>
                <w:r>
                  <w:rPr>
                    <w:rFonts w:hint="eastAsia"/>
                  </w:rPr>
                  <w:t>项目</w:t>
                </w:r>
              </w:p>
            </w:tc>
          </w:sdtContent>
        </w:sdt>
        <w:sdt>
          <w:sdtPr>
            <w:tag w:val="_PLD_0f8aeba685c643d8bbe995cb6221e768"/>
            <w:id w:val="-361833218"/>
          </w:sdtPr>
          <w:sdtContent>
            <w:tc>
              <w:tcPr>
                <w:tcW w:w="1739" w:type="pct"/>
                <w:gridSpan w:val="3"/>
                <w:vAlign w:val="center"/>
              </w:tcPr>
              <w:p w14:paraId="7FF7BC7A" w14:textId="77777777" w:rsidR="00577D08" w:rsidRDefault="00330FC0">
                <w:pPr>
                  <w:jc w:val="center"/>
                </w:pPr>
                <w:r>
                  <w:rPr>
                    <w:rFonts w:hint="eastAsia"/>
                  </w:rPr>
                  <w:t>期末余额</w:t>
                </w:r>
              </w:p>
            </w:tc>
          </w:sdtContent>
        </w:sdt>
        <w:sdt>
          <w:sdtPr>
            <w:tag w:val="_PLD_87e3270219434e9f8494ce0079d505fd"/>
            <w:id w:val="1607082768"/>
          </w:sdtPr>
          <w:sdtContent>
            <w:tc>
              <w:tcPr>
                <w:tcW w:w="1813" w:type="pct"/>
                <w:gridSpan w:val="3"/>
                <w:vAlign w:val="center"/>
              </w:tcPr>
              <w:p w14:paraId="5E067FC4" w14:textId="77777777" w:rsidR="00577D08" w:rsidRDefault="00330FC0">
                <w:pPr>
                  <w:jc w:val="center"/>
                </w:pPr>
                <w:r>
                  <w:rPr>
                    <w:rFonts w:hint="eastAsia"/>
                  </w:rPr>
                  <w:t>期初余额</w:t>
                </w:r>
              </w:p>
            </w:tc>
          </w:sdtContent>
        </w:sdt>
      </w:tr>
      <w:tr w:rsidR="00577D08" w14:paraId="5C38C9CB" w14:textId="77777777">
        <w:trPr>
          <w:cantSplit/>
        </w:trPr>
        <w:tc>
          <w:tcPr>
            <w:tcW w:w="1448" w:type="pct"/>
            <w:vMerge/>
            <w:vAlign w:val="center"/>
          </w:tcPr>
          <w:p w14:paraId="2075441D" w14:textId="77777777" w:rsidR="00577D08" w:rsidRDefault="00577D08">
            <w:pPr>
              <w:tabs>
                <w:tab w:val="left" w:pos="420"/>
              </w:tabs>
              <w:ind w:left="420" w:hanging="420"/>
              <w:jc w:val="center"/>
            </w:pPr>
          </w:p>
        </w:tc>
        <w:sdt>
          <w:sdtPr>
            <w:tag w:val="_PLD_38fd2fe6396a41ae994e421a6ad8573a"/>
            <w:id w:val="1493450904"/>
          </w:sdtPr>
          <w:sdtContent>
            <w:tc>
              <w:tcPr>
                <w:tcW w:w="662" w:type="pct"/>
                <w:vAlign w:val="center"/>
              </w:tcPr>
              <w:p w14:paraId="4DC2DDD5" w14:textId="77777777" w:rsidR="00577D08" w:rsidRDefault="00330FC0">
                <w:pPr>
                  <w:tabs>
                    <w:tab w:val="left" w:pos="420"/>
                  </w:tabs>
                  <w:ind w:left="420" w:hanging="420"/>
                  <w:jc w:val="center"/>
                </w:pPr>
                <w:r>
                  <w:rPr>
                    <w:rFonts w:hint="eastAsia"/>
                  </w:rPr>
                  <w:t>账面余额</w:t>
                </w:r>
              </w:p>
            </w:tc>
          </w:sdtContent>
        </w:sdt>
        <w:sdt>
          <w:sdtPr>
            <w:tag w:val="_PLD_efb5f565ae7d43338576e6ba69d207b2"/>
            <w:id w:val="1807192732"/>
          </w:sdtPr>
          <w:sdtContent>
            <w:tc>
              <w:tcPr>
                <w:tcW w:w="428" w:type="pct"/>
                <w:vAlign w:val="center"/>
              </w:tcPr>
              <w:p w14:paraId="47C5114A" w14:textId="77777777" w:rsidR="00577D08" w:rsidRDefault="00330FC0">
                <w:pPr>
                  <w:pStyle w:val="TOC1"/>
                  <w:spacing w:line="240" w:lineRule="auto"/>
                  <w:jc w:val="center"/>
                </w:pPr>
                <w:r>
                  <w:rPr>
                    <w:rFonts w:hint="eastAsia"/>
                  </w:rPr>
                  <w:t>减值准备</w:t>
                </w:r>
              </w:p>
            </w:tc>
          </w:sdtContent>
        </w:sdt>
        <w:sdt>
          <w:sdtPr>
            <w:tag w:val="_PLD_74e2fff2faeb4e10b56ba612a8b3b4e8"/>
            <w:id w:val="-591629959"/>
          </w:sdtPr>
          <w:sdtContent>
            <w:tc>
              <w:tcPr>
                <w:tcW w:w="649" w:type="pct"/>
                <w:vAlign w:val="center"/>
              </w:tcPr>
              <w:p w14:paraId="6E3526B6" w14:textId="77777777" w:rsidR="00577D08" w:rsidRDefault="00330FC0">
                <w:pPr>
                  <w:pStyle w:val="TOC1"/>
                  <w:spacing w:line="240" w:lineRule="auto"/>
                  <w:jc w:val="center"/>
                </w:pPr>
                <w:r>
                  <w:rPr>
                    <w:rFonts w:hint="eastAsia"/>
                  </w:rPr>
                  <w:t>账面价值</w:t>
                </w:r>
              </w:p>
            </w:tc>
          </w:sdtContent>
        </w:sdt>
        <w:sdt>
          <w:sdtPr>
            <w:tag w:val="_PLD_320b5c6e751a40cb8f8d6cb989669680"/>
            <w:id w:val="-2039883185"/>
          </w:sdtPr>
          <w:sdtContent>
            <w:tc>
              <w:tcPr>
                <w:tcW w:w="619" w:type="pct"/>
                <w:vAlign w:val="center"/>
              </w:tcPr>
              <w:p w14:paraId="081B045D" w14:textId="77777777" w:rsidR="00577D08" w:rsidRDefault="00330FC0">
                <w:pPr>
                  <w:tabs>
                    <w:tab w:val="left" w:pos="420"/>
                  </w:tabs>
                  <w:ind w:left="420" w:hanging="420"/>
                  <w:jc w:val="center"/>
                </w:pPr>
                <w:r>
                  <w:rPr>
                    <w:rFonts w:hint="eastAsia"/>
                  </w:rPr>
                  <w:t>账面余额</w:t>
                </w:r>
              </w:p>
            </w:tc>
          </w:sdtContent>
        </w:sdt>
        <w:sdt>
          <w:sdtPr>
            <w:tag w:val="_PLD_887f924a18a14763b7d38b336e4eca91"/>
            <w:id w:val="2060980223"/>
          </w:sdtPr>
          <w:sdtContent>
            <w:tc>
              <w:tcPr>
                <w:tcW w:w="577" w:type="pct"/>
                <w:vAlign w:val="center"/>
              </w:tcPr>
              <w:p w14:paraId="0F831B29" w14:textId="77777777" w:rsidR="00577D08" w:rsidRDefault="00330FC0">
                <w:pPr>
                  <w:pStyle w:val="TOC1"/>
                  <w:spacing w:line="240" w:lineRule="auto"/>
                  <w:jc w:val="center"/>
                </w:pPr>
                <w:r>
                  <w:rPr>
                    <w:rFonts w:hint="eastAsia"/>
                  </w:rPr>
                  <w:t>减值准备</w:t>
                </w:r>
              </w:p>
            </w:tc>
          </w:sdtContent>
        </w:sdt>
        <w:sdt>
          <w:sdtPr>
            <w:tag w:val="_PLD_56d3163c60044998bf2f3d80a83c26a6"/>
            <w:id w:val="-484251727"/>
          </w:sdtPr>
          <w:sdtContent>
            <w:tc>
              <w:tcPr>
                <w:tcW w:w="617" w:type="pct"/>
                <w:vAlign w:val="center"/>
              </w:tcPr>
              <w:p w14:paraId="33B5B04A" w14:textId="77777777" w:rsidR="00577D08" w:rsidRDefault="00330FC0">
                <w:pPr>
                  <w:pStyle w:val="TOC1"/>
                  <w:spacing w:line="240" w:lineRule="auto"/>
                  <w:jc w:val="center"/>
                </w:pPr>
                <w:r>
                  <w:rPr>
                    <w:rFonts w:hint="eastAsia"/>
                  </w:rPr>
                  <w:t>账面价值</w:t>
                </w:r>
              </w:p>
            </w:tc>
          </w:sdtContent>
        </w:sdt>
      </w:tr>
      <w:tr w:rsidR="00577D08" w14:paraId="53B282C9" w14:textId="77777777">
        <w:trPr>
          <w:cantSplit/>
        </w:trPr>
        <w:tc>
          <w:tcPr>
            <w:tcW w:w="1448" w:type="pct"/>
          </w:tcPr>
          <w:p w14:paraId="09A25275" w14:textId="77777777" w:rsidR="00577D08" w:rsidRDefault="00330FC0">
            <w:r>
              <w:rPr>
                <w:rFonts w:hint="eastAsia"/>
              </w:rPr>
              <w:t>长寿</w:t>
            </w:r>
            <w:r>
              <w:rPr>
                <w:rFonts w:hint="eastAsia"/>
              </w:rPr>
              <w:t>1</w:t>
            </w:r>
            <w:r>
              <w:rPr>
                <w:rFonts w:hint="eastAsia"/>
              </w:rPr>
              <w:t>号电动重卡快速充电站</w:t>
            </w:r>
          </w:p>
        </w:tc>
        <w:tc>
          <w:tcPr>
            <w:tcW w:w="662" w:type="pct"/>
          </w:tcPr>
          <w:p w14:paraId="33420096" w14:textId="77777777" w:rsidR="00577D08" w:rsidRDefault="00330FC0">
            <w:pPr>
              <w:ind w:right="105"/>
              <w:jc w:val="right"/>
            </w:pPr>
            <w:r>
              <w:t xml:space="preserve"> 25,919,911.92 </w:t>
            </w:r>
          </w:p>
        </w:tc>
        <w:tc>
          <w:tcPr>
            <w:tcW w:w="428" w:type="pct"/>
          </w:tcPr>
          <w:p w14:paraId="061D492C" w14:textId="77777777" w:rsidR="00577D08" w:rsidRDefault="00577D08">
            <w:pPr>
              <w:ind w:right="73"/>
              <w:jc w:val="right"/>
            </w:pPr>
          </w:p>
        </w:tc>
        <w:tc>
          <w:tcPr>
            <w:tcW w:w="649" w:type="pct"/>
          </w:tcPr>
          <w:p w14:paraId="2C8CC5D2" w14:textId="77777777" w:rsidR="00577D08" w:rsidRDefault="00330FC0">
            <w:pPr>
              <w:ind w:right="73"/>
              <w:jc w:val="right"/>
            </w:pPr>
            <w:r>
              <w:t xml:space="preserve"> 25,919,911.92 </w:t>
            </w:r>
          </w:p>
        </w:tc>
        <w:tc>
          <w:tcPr>
            <w:tcW w:w="619" w:type="pct"/>
          </w:tcPr>
          <w:p w14:paraId="2F8DE2E8" w14:textId="77777777" w:rsidR="00577D08" w:rsidRDefault="00577D08">
            <w:pPr>
              <w:jc w:val="right"/>
            </w:pPr>
          </w:p>
        </w:tc>
        <w:tc>
          <w:tcPr>
            <w:tcW w:w="577" w:type="pct"/>
          </w:tcPr>
          <w:p w14:paraId="71469B0C" w14:textId="77777777" w:rsidR="00577D08" w:rsidRDefault="00577D08">
            <w:pPr>
              <w:jc w:val="right"/>
            </w:pPr>
          </w:p>
        </w:tc>
        <w:tc>
          <w:tcPr>
            <w:tcW w:w="617" w:type="pct"/>
          </w:tcPr>
          <w:p w14:paraId="3CB7011D" w14:textId="77777777" w:rsidR="00577D08" w:rsidRDefault="00577D08">
            <w:pPr>
              <w:jc w:val="right"/>
            </w:pPr>
          </w:p>
        </w:tc>
      </w:tr>
      <w:tr w:rsidR="00577D08" w14:paraId="2F340874" w14:textId="77777777">
        <w:trPr>
          <w:cantSplit/>
        </w:trPr>
        <w:tc>
          <w:tcPr>
            <w:tcW w:w="1448" w:type="pct"/>
          </w:tcPr>
          <w:p w14:paraId="02503D47" w14:textId="77777777" w:rsidR="00577D08" w:rsidRDefault="00330FC0">
            <w:r>
              <w:rPr>
                <w:rFonts w:hint="eastAsia"/>
              </w:rPr>
              <w:t>铁路牵引供电设备技术升级改造项目</w:t>
            </w:r>
          </w:p>
        </w:tc>
        <w:tc>
          <w:tcPr>
            <w:tcW w:w="662" w:type="pct"/>
          </w:tcPr>
          <w:p w14:paraId="5B4B819E" w14:textId="77777777" w:rsidR="00577D08" w:rsidRDefault="00577D08">
            <w:pPr>
              <w:ind w:right="105"/>
              <w:jc w:val="right"/>
            </w:pPr>
          </w:p>
        </w:tc>
        <w:tc>
          <w:tcPr>
            <w:tcW w:w="428" w:type="pct"/>
          </w:tcPr>
          <w:p w14:paraId="7AB86669" w14:textId="77777777" w:rsidR="00577D08" w:rsidRDefault="00577D08">
            <w:pPr>
              <w:ind w:right="73"/>
              <w:jc w:val="right"/>
            </w:pPr>
          </w:p>
        </w:tc>
        <w:tc>
          <w:tcPr>
            <w:tcW w:w="649" w:type="pct"/>
          </w:tcPr>
          <w:p w14:paraId="0F3DBD16" w14:textId="77777777" w:rsidR="00577D08" w:rsidRDefault="00330FC0">
            <w:pPr>
              <w:ind w:right="73"/>
              <w:jc w:val="right"/>
            </w:pPr>
            <w:r>
              <w:t xml:space="preserve">  </w:t>
            </w:r>
          </w:p>
        </w:tc>
        <w:tc>
          <w:tcPr>
            <w:tcW w:w="619" w:type="pct"/>
          </w:tcPr>
          <w:p w14:paraId="4E8BC10B" w14:textId="77777777" w:rsidR="00577D08" w:rsidRDefault="00330FC0">
            <w:pPr>
              <w:jc w:val="right"/>
            </w:pPr>
            <w:r>
              <w:t>17,620,882.68</w:t>
            </w:r>
          </w:p>
        </w:tc>
        <w:tc>
          <w:tcPr>
            <w:tcW w:w="577" w:type="pct"/>
          </w:tcPr>
          <w:p w14:paraId="6279AAD8" w14:textId="77777777" w:rsidR="00577D08" w:rsidRDefault="00577D08">
            <w:pPr>
              <w:jc w:val="right"/>
            </w:pPr>
          </w:p>
        </w:tc>
        <w:tc>
          <w:tcPr>
            <w:tcW w:w="617" w:type="pct"/>
          </w:tcPr>
          <w:p w14:paraId="709C173A" w14:textId="77777777" w:rsidR="00577D08" w:rsidRDefault="00330FC0">
            <w:pPr>
              <w:jc w:val="right"/>
            </w:pPr>
            <w:r>
              <w:t>17,620,882.68</w:t>
            </w:r>
          </w:p>
        </w:tc>
      </w:tr>
      <w:tr w:rsidR="00577D08" w14:paraId="7CC24A91" w14:textId="77777777">
        <w:trPr>
          <w:cantSplit/>
        </w:trPr>
        <w:tc>
          <w:tcPr>
            <w:tcW w:w="1448" w:type="pct"/>
          </w:tcPr>
          <w:p w14:paraId="7A3511B2" w14:textId="77777777" w:rsidR="00577D08" w:rsidRDefault="00330FC0">
            <w:r>
              <w:rPr>
                <w:rFonts w:hint="eastAsia"/>
              </w:rPr>
              <w:t>其他项目</w:t>
            </w:r>
          </w:p>
        </w:tc>
        <w:tc>
          <w:tcPr>
            <w:tcW w:w="662" w:type="pct"/>
          </w:tcPr>
          <w:p w14:paraId="60F4C569" w14:textId="77777777" w:rsidR="00577D08" w:rsidRDefault="00330FC0">
            <w:pPr>
              <w:ind w:right="105"/>
              <w:jc w:val="right"/>
            </w:pPr>
            <w:r>
              <w:t xml:space="preserve"> 11,075,847.05 </w:t>
            </w:r>
          </w:p>
        </w:tc>
        <w:tc>
          <w:tcPr>
            <w:tcW w:w="428" w:type="pct"/>
          </w:tcPr>
          <w:p w14:paraId="29462EC7" w14:textId="77777777" w:rsidR="00577D08" w:rsidRDefault="00330FC0">
            <w:pPr>
              <w:ind w:right="73"/>
              <w:jc w:val="right"/>
            </w:pPr>
            <w:r>
              <w:t xml:space="preserve">2,160,469.91 </w:t>
            </w:r>
          </w:p>
        </w:tc>
        <w:tc>
          <w:tcPr>
            <w:tcW w:w="649" w:type="pct"/>
          </w:tcPr>
          <w:p w14:paraId="047D55C6" w14:textId="77777777" w:rsidR="00577D08" w:rsidRDefault="00330FC0">
            <w:pPr>
              <w:ind w:right="73"/>
              <w:jc w:val="right"/>
            </w:pPr>
            <w:r>
              <w:t xml:space="preserve"> 8,915,377.14 </w:t>
            </w:r>
          </w:p>
        </w:tc>
        <w:tc>
          <w:tcPr>
            <w:tcW w:w="619" w:type="pct"/>
          </w:tcPr>
          <w:p w14:paraId="5750395C" w14:textId="77777777" w:rsidR="00577D08" w:rsidRDefault="00330FC0">
            <w:pPr>
              <w:jc w:val="right"/>
            </w:pPr>
            <w:r>
              <w:t>8,856,014.77</w:t>
            </w:r>
          </w:p>
        </w:tc>
        <w:tc>
          <w:tcPr>
            <w:tcW w:w="577" w:type="pct"/>
          </w:tcPr>
          <w:p w14:paraId="3BB5739C" w14:textId="77777777" w:rsidR="00577D08" w:rsidRDefault="00330FC0">
            <w:pPr>
              <w:jc w:val="right"/>
            </w:pPr>
            <w:r>
              <w:t>1,442,682.30</w:t>
            </w:r>
          </w:p>
        </w:tc>
        <w:tc>
          <w:tcPr>
            <w:tcW w:w="617" w:type="pct"/>
          </w:tcPr>
          <w:p w14:paraId="3B2104CF" w14:textId="77777777" w:rsidR="00577D08" w:rsidRDefault="00330FC0">
            <w:pPr>
              <w:jc w:val="right"/>
            </w:pPr>
            <w:r>
              <w:t>7,413,332.47</w:t>
            </w:r>
          </w:p>
        </w:tc>
      </w:tr>
      <w:tr w:rsidR="00577D08" w14:paraId="2C513703" w14:textId="77777777">
        <w:trPr>
          <w:cantSplit/>
        </w:trPr>
        <w:tc>
          <w:tcPr>
            <w:tcW w:w="1448" w:type="pct"/>
            <w:vAlign w:val="center"/>
          </w:tcPr>
          <w:p w14:paraId="44B3A6EB" w14:textId="77777777" w:rsidR="00577D08" w:rsidRDefault="00330FC0">
            <w:pPr>
              <w:jc w:val="center"/>
            </w:pPr>
            <w:r>
              <w:rPr>
                <w:rFonts w:hint="eastAsia"/>
              </w:rPr>
              <w:t>合计</w:t>
            </w:r>
          </w:p>
        </w:tc>
        <w:tc>
          <w:tcPr>
            <w:tcW w:w="662" w:type="pct"/>
          </w:tcPr>
          <w:p w14:paraId="3B176428" w14:textId="77777777" w:rsidR="00577D08" w:rsidRDefault="00330FC0">
            <w:pPr>
              <w:ind w:right="105"/>
              <w:jc w:val="right"/>
            </w:pPr>
            <w:r>
              <w:t xml:space="preserve"> 36,995,758.97 </w:t>
            </w:r>
          </w:p>
        </w:tc>
        <w:tc>
          <w:tcPr>
            <w:tcW w:w="428" w:type="pct"/>
          </w:tcPr>
          <w:p w14:paraId="0B6A23C2" w14:textId="77777777" w:rsidR="00577D08" w:rsidRDefault="00330FC0">
            <w:pPr>
              <w:ind w:right="73"/>
              <w:jc w:val="right"/>
            </w:pPr>
            <w:r>
              <w:t xml:space="preserve">2,160,469.91 </w:t>
            </w:r>
          </w:p>
        </w:tc>
        <w:tc>
          <w:tcPr>
            <w:tcW w:w="649" w:type="pct"/>
          </w:tcPr>
          <w:p w14:paraId="01EA790F" w14:textId="77777777" w:rsidR="00577D08" w:rsidRDefault="00330FC0">
            <w:pPr>
              <w:ind w:right="73"/>
              <w:jc w:val="right"/>
            </w:pPr>
            <w:r>
              <w:t xml:space="preserve"> 34,835,289.06 </w:t>
            </w:r>
          </w:p>
        </w:tc>
        <w:tc>
          <w:tcPr>
            <w:tcW w:w="619" w:type="pct"/>
          </w:tcPr>
          <w:p w14:paraId="1B32F50A" w14:textId="77777777" w:rsidR="00577D08" w:rsidRDefault="00330FC0">
            <w:pPr>
              <w:jc w:val="right"/>
            </w:pPr>
            <w:r>
              <w:t>26,476,897.45</w:t>
            </w:r>
          </w:p>
        </w:tc>
        <w:tc>
          <w:tcPr>
            <w:tcW w:w="577" w:type="pct"/>
          </w:tcPr>
          <w:p w14:paraId="0CEF4A25" w14:textId="77777777" w:rsidR="00577D08" w:rsidRDefault="00330FC0">
            <w:pPr>
              <w:jc w:val="right"/>
            </w:pPr>
            <w:r>
              <w:t>1,442,682.30</w:t>
            </w:r>
          </w:p>
        </w:tc>
        <w:tc>
          <w:tcPr>
            <w:tcW w:w="617" w:type="pct"/>
          </w:tcPr>
          <w:p w14:paraId="52FC18D3" w14:textId="77777777" w:rsidR="00577D08" w:rsidRDefault="00330FC0">
            <w:pPr>
              <w:jc w:val="right"/>
            </w:pPr>
            <w:r>
              <w:t>25,034,215.15</w:t>
            </w:r>
          </w:p>
        </w:tc>
      </w:tr>
    </w:tbl>
    <w:p w14:paraId="42B83832" w14:textId="77777777" w:rsidR="00577D08" w:rsidRDefault="00330FC0">
      <w:pPr>
        <w:pStyle w:val="5"/>
        <w:numPr>
          <w:ilvl w:val="0"/>
          <w:numId w:val="77"/>
        </w:numPr>
        <w:ind w:leftChars="0"/>
        <w:rPr>
          <w:rFonts w:ascii="宋体" w:hAnsi="宋体" w:cs="宋体" w:hint="eastAsia"/>
          <w:kern w:val="0"/>
          <w:szCs w:val="24"/>
        </w:rPr>
      </w:pPr>
      <w:r>
        <w:rPr>
          <w:rFonts w:ascii="宋体" w:hAnsi="宋体" w:cs="宋体" w:hint="eastAsia"/>
          <w:kern w:val="0"/>
          <w:szCs w:val="24"/>
        </w:rPr>
        <w:t>重要在建工程项目本期变动情况</w:t>
      </w:r>
    </w:p>
    <w:sdt>
      <w:sdtPr>
        <w:alias w:val="是否适用：重要在建工程项目本期变动情况[双击切换]"/>
        <w:tag w:val="_GBC_964f4529e8234c358a8541e8c4754ec8"/>
        <w:id w:val="-813716073"/>
        <w:placeholder>
          <w:docPart w:val="GBC22222222222222222222222222222"/>
        </w:placeholder>
      </w:sdtPr>
      <w:sdtContent>
        <w:p w14:paraId="3050A24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06EDFB4" w14:textId="6B096D43" w:rsidR="00577D08" w:rsidRDefault="00330FC0">
      <w:pPr>
        <w:jc w:val="right"/>
      </w:pPr>
      <w:r>
        <w:rPr>
          <w:rFonts w:hint="eastAsia"/>
        </w:rPr>
        <w:t>单位：</w:t>
      </w:r>
      <w:sdt>
        <w:sdtPr>
          <w:rPr>
            <w:rFonts w:hint="eastAsia"/>
          </w:rPr>
          <w:alias w:val="单位：财务附注：在建工程项目变动情况"/>
          <w:tag w:val="_GBC_9057dff5be8544c398fdbd55cff334f7"/>
          <w:id w:val="-4451540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在建工程项目变动情况"/>
          <w:tag w:val="_GBC_110e0fe0dd4f471bae83a62e58e88d74"/>
          <w:id w:val="-11991530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276"/>
        <w:gridCol w:w="1417"/>
        <w:gridCol w:w="1276"/>
        <w:gridCol w:w="992"/>
        <w:gridCol w:w="1276"/>
        <w:gridCol w:w="1134"/>
        <w:gridCol w:w="851"/>
        <w:gridCol w:w="850"/>
        <w:gridCol w:w="992"/>
        <w:gridCol w:w="851"/>
        <w:gridCol w:w="656"/>
      </w:tblGrid>
      <w:tr w:rsidR="00577D08" w14:paraId="2BC60E74" w14:textId="77777777">
        <w:trPr>
          <w:cantSplit/>
        </w:trPr>
        <w:sdt>
          <w:sdtPr>
            <w:rPr>
              <w:sz w:val="18"/>
              <w:szCs w:val="18"/>
            </w:rPr>
            <w:tag w:val="_PLD_0072ffbc51294cefbe17dde844d0e5ed"/>
            <w:id w:val="-1493402338"/>
          </w:sdtPr>
          <w:sdtContent>
            <w:tc>
              <w:tcPr>
                <w:tcW w:w="1242" w:type="dxa"/>
                <w:vAlign w:val="center"/>
              </w:tcPr>
              <w:p w14:paraId="5888C8AB" w14:textId="77777777" w:rsidR="00577D08" w:rsidRDefault="00330FC0">
                <w:pPr>
                  <w:jc w:val="center"/>
                  <w:rPr>
                    <w:sz w:val="18"/>
                    <w:szCs w:val="18"/>
                  </w:rPr>
                </w:pPr>
                <w:r>
                  <w:rPr>
                    <w:rFonts w:hint="eastAsia"/>
                    <w:sz w:val="18"/>
                    <w:szCs w:val="18"/>
                  </w:rPr>
                  <w:t>项目名称</w:t>
                </w:r>
              </w:p>
            </w:tc>
          </w:sdtContent>
        </w:sdt>
        <w:sdt>
          <w:sdtPr>
            <w:rPr>
              <w:sz w:val="18"/>
              <w:szCs w:val="18"/>
            </w:rPr>
            <w:tag w:val="_PLD_6349ea6a696f4d27b00b071275a38ea5"/>
            <w:id w:val="965548110"/>
          </w:sdtPr>
          <w:sdtContent>
            <w:tc>
              <w:tcPr>
                <w:tcW w:w="1276" w:type="dxa"/>
                <w:vAlign w:val="center"/>
              </w:tcPr>
              <w:p w14:paraId="12871E84" w14:textId="77777777" w:rsidR="00577D08" w:rsidRDefault="00330FC0">
                <w:pPr>
                  <w:jc w:val="center"/>
                  <w:rPr>
                    <w:sz w:val="18"/>
                    <w:szCs w:val="18"/>
                  </w:rPr>
                </w:pPr>
                <w:r>
                  <w:rPr>
                    <w:rFonts w:hint="eastAsia"/>
                    <w:sz w:val="18"/>
                    <w:szCs w:val="18"/>
                  </w:rPr>
                  <w:t>预算数</w:t>
                </w:r>
              </w:p>
            </w:tc>
          </w:sdtContent>
        </w:sdt>
        <w:sdt>
          <w:sdtPr>
            <w:rPr>
              <w:sz w:val="18"/>
              <w:szCs w:val="18"/>
            </w:rPr>
            <w:tag w:val="_PLD_392420deb7e94f0a8026947a325da4f4"/>
            <w:id w:val="-1481295937"/>
          </w:sdtPr>
          <w:sdtContent>
            <w:tc>
              <w:tcPr>
                <w:tcW w:w="1276" w:type="dxa"/>
                <w:vAlign w:val="center"/>
              </w:tcPr>
              <w:p w14:paraId="64AA71FC" w14:textId="77777777" w:rsidR="00577D08" w:rsidRDefault="00330FC0">
                <w:pPr>
                  <w:jc w:val="center"/>
                  <w:rPr>
                    <w:sz w:val="18"/>
                    <w:szCs w:val="18"/>
                  </w:rPr>
                </w:pPr>
                <w:r>
                  <w:rPr>
                    <w:rFonts w:hint="eastAsia"/>
                    <w:sz w:val="18"/>
                    <w:szCs w:val="18"/>
                  </w:rPr>
                  <w:t>期初</w:t>
                </w:r>
              </w:p>
              <w:p w14:paraId="79E3CE0C" w14:textId="77777777" w:rsidR="00577D08" w:rsidRDefault="00330FC0">
                <w:pPr>
                  <w:jc w:val="center"/>
                  <w:rPr>
                    <w:sz w:val="18"/>
                    <w:szCs w:val="18"/>
                  </w:rPr>
                </w:pPr>
                <w:r>
                  <w:rPr>
                    <w:rFonts w:hint="eastAsia"/>
                    <w:sz w:val="18"/>
                    <w:szCs w:val="18"/>
                  </w:rPr>
                  <w:t>余额</w:t>
                </w:r>
              </w:p>
            </w:tc>
          </w:sdtContent>
        </w:sdt>
        <w:sdt>
          <w:sdtPr>
            <w:rPr>
              <w:sz w:val="18"/>
              <w:szCs w:val="18"/>
            </w:rPr>
            <w:tag w:val="_PLD_de4faed3465b4da6b8ac35d7e677431c"/>
            <w:id w:val="-495182359"/>
          </w:sdtPr>
          <w:sdtContent>
            <w:tc>
              <w:tcPr>
                <w:tcW w:w="1417" w:type="dxa"/>
                <w:vAlign w:val="center"/>
              </w:tcPr>
              <w:p w14:paraId="3364AC14" w14:textId="77777777" w:rsidR="00577D08" w:rsidRDefault="00330FC0">
                <w:pPr>
                  <w:jc w:val="center"/>
                  <w:rPr>
                    <w:sz w:val="18"/>
                    <w:szCs w:val="18"/>
                  </w:rPr>
                </w:pPr>
                <w:r>
                  <w:rPr>
                    <w:rFonts w:hint="eastAsia"/>
                    <w:sz w:val="18"/>
                    <w:szCs w:val="18"/>
                  </w:rPr>
                  <w:t>本期增加金额</w:t>
                </w:r>
              </w:p>
            </w:tc>
          </w:sdtContent>
        </w:sdt>
        <w:sdt>
          <w:sdtPr>
            <w:rPr>
              <w:sz w:val="18"/>
              <w:szCs w:val="18"/>
            </w:rPr>
            <w:tag w:val="_PLD_51ce4224316b4f4b99a8fb0c8e4500a5"/>
            <w:id w:val="-796144587"/>
          </w:sdtPr>
          <w:sdtContent>
            <w:tc>
              <w:tcPr>
                <w:tcW w:w="1276" w:type="dxa"/>
                <w:vAlign w:val="center"/>
              </w:tcPr>
              <w:p w14:paraId="382A4FB6" w14:textId="77777777" w:rsidR="00577D08" w:rsidRDefault="00330FC0">
                <w:pPr>
                  <w:jc w:val="center"/>
                  <w:rPr>
                    <w:sz w:val="18"/>
                    <w:szCs w:val="18"/>
                  </w:rPr>
                </w:pPr>
                <w:r>
                  <w:rPr>
                    <w:rFonts w:hint="eastAsia"/>
                    <w:sz w:val="18"/>
                    <w:szCs w:val="18"/>
                  </w:rPr>
                  <w:t>本期转入固定资产金额</w:t>
                </w:r>
              </w:p>
            </w:tc>
          </w:sdtContent>
        </w:sdt>
        <w:sdt>
          <w:sdtPr>
            <w:rPr>
              <w:sz w:val="18"/>
              <w:szCs w:val="18"/>
            </w:rPr>
            <w:tag w:val="_PLD_d80ffbe10b944f57a31723041ffbcbdf"/>
            <w:id w:val="2036304467"/>
          </w:sdtPr>
          <w:sdtContent>
            <w:tc>
              <w:tcPr>
                <w:tcW w:w="992" w:type="dxa"/>
                <w:vAlign w:val="center"/>
              </w:tcPr>
              <w:p w14:paraId="4A40C7CB" w14:textId="77777777" w:rsidR="00577D08" w:rsidRDefault="00330FC0">
                <w:pPr>
                  <w:jc w:val="center"/>
                  <w:rPr>
                    <w:sz w:val="18"/>
                    <w:szCs w:val="18"/>
                  </w:rPr>
                </w:pPr>
                <w:r>
                  <w:rPr>
                    <w:rFonts w:hint="eastAsia"/>
                    <w:sz w:val="18"/>
                    <w:szCs w:val="18"/>
                  </w:rPr>
                  <w:t>本期其他减少金额</w:t>
                </w:r>
              </w:p>
            </w:tc>
          </w:sdtContent>
        </w:sdt>
        <w:sdt>
          <w:sdtPr>
            <w:rPr>
              <w:sz w:val="18"/>
              <w:szCs w:val="18"/>
            </w:rPr>
            <w:tag w:val="_PLD_c8b617c64ad64a03834695d9bc0b8d2f"/>
            <w:id w:val="-226915779"/>
          </w:sdtPr>
          <w:sdtContent>
            <w:tc>
              <w:tcPr>
                <w:tcW w:w="1276" w:type="dxa"/>
                <w:vAlign w:val="center"/>
              </w:tcPr>
              <w:p w14:paraId="323D85F2" w14:textId="77777777" w:rsidR="00577D08" w:rsidRDefault="00330FC0">
                <w:pPr>
                  <w:jc w:val="center"/>
                  <w:rPr>
                    <w:sz w:val="18"/>
                    <w:szCs w:val="18"/>
                  </w:rPr>
                </w:pPr>
                <w:r>
                  <w:rPr>
                    <w:rFonts w:hint="eastAsia"/>
                    <w:sz w:val="18"/>
                    <w:szCs w:val="18"/>
                  </w:rPr>
                  <w:t>期末</w:t>
                </w:r>
              </w:p>
              <w:p w14:paraId="7D486E86" w14:textId="77777777" w:rsidR="00577D08" w:rsidRDefault="00330FC0">
                <w:pPr>
                  <w:jc w:val="center"/>
                  <w:rPr>
                    <w:sz w:val="18"/>
                    <w:szCs w:val="18"/>
                  </w:rPr>
                </w:pPr>
                <w:r>
                  <w:rPr>
                    <w:rFonts w:hint="eastAsia"/>
                    <w:sz w:val="18"/>
                    <w:szCs w:val="18"/>
                  </w:rPr>
                  <w:t>余额</w:t>
                </w:r>
              </w:p>
            </w:tc>
          </w:sdtContent>
        </w:sdt>
        <w:sdt>
          <w:sdtPr>
            <w:rPr>
              <w:sz w:val="18"/>
              <w:szCs w:val="18"/>
            </w:rPr>
            <w:tag w:val="_PLD_738551d97ef741f093f852402c423e47"/>
            <w:id w:val="-1295826304"/>
          </w:sdtPr>
          <w:sdtContent>
            <w:tc>
              <w:tcPr>
                <w:tcW w:w="1134" w:type="dxa"/>
                <w:vAlign w:val="center"/>
              </w:tcPr>
              <w:p w14:paraId="5EC5142C" w14:textId="77777777" w:rsidR="00577D08" w:rsidRDefault="00330FC0">
                <w:pPr>
                  <w:jc w:val="center"/>
                  <w:rPr>
                    <w:sz w:val="18"/>
                    <w:szCs w:val="18"/>
                  </w:rPr>
                </w:pPr>
                <w:r>
                  <w:rPr>
                    <w:rFonts w:hint="eastAsia"/>
                    <w:sz w:val="18"/>
                    <w:szCs w:val="18"/>
                  </w:rPr>
                  <w:t>工程累计投入占预算比例</w:t>
                </w:r>
                <w:r>
                  <w:rPr>
                    <w:rFonts w:hint="eastAsia"/>
                    <w:sz w:val="18"/>
                    <w:szCs w:val="18"/>
                  </w:rPr>
                  <w:t>(%)</w:t>
                </w:r>
              </w:p>
            </w:tc>
          </w:sdtContent>
        </w:sdt>
        <w:sdt>
          <w:sdtPr>
            <w:rPr>
              <w:sz w:val="18"/>
              <w:szCs w:val="18"/>
            </w:rPr>
            <w:tag w:val="_PLD_0f7f749f98e74f33ae9032c17002d136"/>
            <w:id w:val="1760482445"/>
          </w:sdtPr>
          <w:sdtContent>
            <w:tc>
              <w:tcPr>
                <w:tcW w:w="851" w:type="dxa"/>
                <w:vAlign w:val="center"/>
              </w:tcPr>
              <w:p w14:paraId="49A3C1D0" w14:textId="77777777" w:rsidR="00577D08" w:rsidRDefault="00330FC0">
                <w:pPr>
                  <w:jc w:val="center"/>
                  <w:rPr>
                    <w:sz w:val="18"/>
                    <w:szCs w:val="18"/>
                  </w:rPr>
                </w:pPr>
                <w:r>
                  <w:rPr>
                    <w:rFonts w:hint="eastAsia"/>
                    <w:sz w:val="18"/>
                    <w:szCs w:val="18"/>
                  </w:rPr>
                  <w:t>工程进度</w:t>
                </w:r>
              </w:p>
            </w:tc>
          </w:sdtContent>
        </w:sdt>
        <w:sdt>
          <w:sdtPr>
            <w:rPr>
              <w:sz w:val="18"/>
              <w:szCs w:val="18"/>
            </w:rPr>
            <w:tag w:val="_PLD_0b58d44121d2475586a13d1ce8eaed0a"/>
            <w:id w:val="-1980909913"/>
          </w:sdtPr>
          <w:sdtContent>
            <w:tc>
              <w:tcPr>
                <w:tcW w:w="850" w:type="dxa"/>
                <w:vAlign w:val="center"/>
              </w:tcPr>
              <w:p w14:paraId="2A4F1CA2" w14:textId="77777777" w:rsidR="00577D08" w:rsidRDefault="00330FC0">
                <w:pPr>
                  <w:jc w:val="center"/>
                  <w:rPr>
                    <w:sz w:val="18"/>
                    <w:szCs w:val="18"/>
                  </w:rPr>
                </w:pPr>
                <w:r>
                  <w:rPr>
                    <w:rFonts w:hint="eastAsia"/>
                    <w:sz w:val="18"/>
                    <w:szCs w:val="18"/>
                  </w:rPr>
                  <w:t>利息资本化累计金额</w:t>
                </w:r>
              </w:p>
            </w:tc>
          </w:sdtContent>
        </w:sdt>
        <w:sdt>
          <w:sdtPr>
            <w:rPr>
              <w:sz w:val="18"/>
              <w:szCs w:val="18"/>
            </w:rPr>
            <w:tag w:val="_PLD_2250f692e957437687c2cafcae1d7f81"/>
            <w:id w:val="-1738159791"/>
          </w:sdtPr>
          <w:sdtContent>
            <w:tc>
              <w:tcPr>
                <w:tcW w:w="992" w:type="dxa"/>
                <w:vAlign w:val="center"/>
              </w:tcPr>
              <w:p w14:paraId="380A450C" w14:textId="77777777" w:rsidR="00577D08" w:rsidRDefault="00330FC0">
                <w:pPr>
                  <w:jc w:val="center"/>
                  <w:rPr>
                    <w:sz w:val="18"/>
                    <w:szCs w:val="18"/>
                  </w:rPr>
                </w:pPr>
                <w:r>
                  <w:rPr>
                    <w:rFonts w:hint="eastAsia"/>
                    <w:sz w:val="18"/>
                    <w:szCs w:val="18"/>
                  </w:rPr>
                  <w:t>其中：本期利息资本化金额</w:t>
                </w:r>
              </w:p>
            </w:tc>
          </w:sdtContent>
        </w:sdt>
        <w:sdt>
          <w:sdtPr>
            <w:rPr>
              <w:sz w:val="18"/>
              <w:szCs w:val="18"/>
            </w:rPr>
            <w:tag w:val="_PLD_7a9834f354d948e19f071bbf4b5baafe"/>
            <w:id w:val="-2142408169"/>
          </w:sdtPr>
          <w:sdtContent>
            <w:tc>
              <w:tcPr>
                <w:tcW w:w="851" w:type="dxa"/>
                <w:vAlign w:val="center"/>
              </w:tcPr>
              <w:p w14:paraId="7D07C129" w14:textId="77777777" w:rsidR="00577D08" w:rsidRDefault="00330FC0">
                <w:pPr>
                  <w:jc w:val="center"/>
                  <w:rPr>
                    <w:sz w:val="18"/>
                    <w:szCs w:val="18"/>
                  </w:rPr>
                </w:pPr>
                <w:r>
                  <w:rPr>
                    <w:rFonts w:hint="eastAsia"/>
                    <w:sz w:val="18"/>
                    <w:szCs w:val="18"/>
                  </w:rPr>
                  <w:t>本期利息资本化率</w:t>
                </w:r>
                <w:r>
                  <w:rPr>
                    <w:rFonts w:hint="eastAsia"/>
                    <w:sz w:val="18"/>
                    <w:szCs w:val="18"/>
                  </w:rPr>
                  <w:t>(%)</w:t>
                </w:r>
              </w:p>
            </w:tc>
          </w:sdtContent>
        </w:sdt>
        <w:sdt>
          <w:sdtPr>
            <w:rPr>
              <w:sz w:val="18"/>
              <w:szCs w:val="18"/>
            </w:rPr>
            <w:tag w:val="_PLD_6015e39597424a7ea59d45da3ff56e99"/>
            <w:id w:val="966017528"/>
          </w:sdtPr>
          <w:sdtContent>
            <w:tc>
              <w:tcPr>
                <w:tcW w:w="656" w:type="dxa"/>
                <w:vAlign w:val="center"/>
              </w:tcPr>
              <w:p w14:paraId="2D8A4000" w14:textId="77777777" w:rsidR="00577D08" w:rsidRDefault="00330FC0">
                <w:pPr>
                  <w:jc w:val="center"/>
                  <w:rPr>
                    <w:sz w:val="18"/>
                    <w:szCs w:val="18"/>
                  </w:rPr>
                </w:pPr>
                <w:r>
                  <w:rPr>
                    <w:rFonts w:hint="eastAsia"/>
                    <w:sz w:val="18"/>
                    <w:szCs w:val="18"/>
                  </w:rPr>
                  <w:t>资金来源</w:t>
                </w:r>
              </w:p>
            </w:tc>
          </w:sdtContent>
        </w:sdt>
      </w:tr>
      <w:tr w:rsidR="00577D08" w14:paraId="7D1BED96" w14:textId="77777777">
        <w:trPr>
          <w:cantSplit/>
        </w:trPr>
        <w:tc>
          <w:tcPr>
            <w:tcW w:w="1242" w:type="dxa"/>
          </w:tcPr>
          <w:p w14:paraId="6825326F" w14:textId="77777777" w:rsidR="00577D08" w:rsidRDefault="00330FC0">
            <w:pPr>
              <w:rPr>
                <w:sz w:val="18"/>
                <w:szCs w:val="18"/>
              </w:rPr>
            </w:pPr>
            <w:r>
              <w:rPr>
                <w:rFonts w:hint="eastAsia"/>
                <w:sz w:val="18"/>
                <w:szCs w:val="18"/>
              </w:rPr>
              <w:t>长寿</w:t>
            </w:r>
            <w:r>
              <w:rPr>
                <w:rFonts w:hint="eastAsia"/>
                <w:sz w:val="18"/>
                <w:szCs w:val="18"/>
              </w:rPr>
              <w:t>1</w:t>
            </w:r>
            <w:r>
              <w:rPr>
                <w:rFonts w:hint="eastAsia"/>
                <w:sz w:val="18"/>
                <w:szCs w:val="18"/>
              </w:rPr>
              <w:t>号电动重卡快速充电站</w:t>
            </w:r>
          </w:p>
        </w:tc>
        <w:tc>
          <w:tcPr>
            <w:tcW w:w="1276" w:type="dxa"/>
            <w:vAlign w:val="center"/>
          </w:tcPr>
          <w:p w14:paraId="760CB24C" w14:textId="77777777" w:rsidR="00577D08" w:rsidRDefault="00330FC0">
            <w:pPr>
              <w:jc w:val="right"/>
              <w:rPr>
                <w:sz w:val="18"/>
                <w:szCs w:val="18"/>
              </w:rPr>
            </w:pPr>
            <w:r>
              <w:rPr>
                <w:rFonts w:hint="eastAsia"/>
                <w:sz w:val="18"/>
                <w:szCs w:val="18"/>
              </w:rPr>
              <w:t>27,283,300.00</w:t>
            </w:r>
          </w:p>
        </w:tc>
        <w:tc>
          <w:tcPr>
            <w:tcW w:w="1276" w:type="dxa"/>
            <w:vAlign w:val="center"/>
          </w:tcPr>
          <w:p w14:paraId="602115FA" w14:textId="77777777" w:rsidR="00577D08" w:rsidRDefault="00577D08">
            <w:pPr>
              <w:jc w:val="right"/>
              <w:rPr>
                <w:sz w:val="18"/>
                <w:szCs w:val="18"/>
              </w:rPr>
            </w:pPr>
          </w:p>
        </w:tc>
        <w:tc>
          <w:tcPr>
            <w:tcW w:w="1417" w:type="dxa"/>
            <w:vAlign w:val="center"/>
          </w:tcPr>
          <w:p w14:paraId="70550823" w14:textId="77777777" w:rsidR="00577D08" w:rsidRDefault="00330FC0">
            <w:pPr>
              <w:jc w:val="right"/>
              <w:rPr>
                <w:sz w:val="18"/>
                <w:szCs w:val="18"/>
              </w:rPr>
            </w:pPr>
            <w:r>
              <w:rPr>
                <w:rFonts w:hint="eastAsia"/>
                <w:sz w:val="18"/>
                <w:szCs w:val="18"/>
              </w:rPr>
              <w:t>25,919,911.92</w:t>
            </w:r>
          </w:p>
        </w:tc>
        <w:tc>
          <w:tcPr>
            <w:tcW w:w="1276" w:type="dxa"/>
            <w:vAlign w:val="center"/>
          </w:tcPr>
          <w:p w14:paraId="09260B46" w14:textId="77777777" w:rsidR="00577D08" w:rsidRDefault="00577D08">
            <w:pPr>
              <w:jc w:val="right"/>
              <w:rPr>
                <w:sz w:val="18"/>
                <w:szCs w:val="18"/>
              </w:rPr>
            </w:pPr>
          </w:p>
        </w:tc>
        <w:tc>
          <w:tcPr>
            <w:tcW w:w="992" w:type="dxa"/>
            <w:vAlign w:val="center"/>
          </w:tcPr>
          <w:p w14:paraId="138B26EB" w14:textId="77777777" w:rsidR="00577D08" w:rsidRDefault="00577D08">
            <w:pPr>
              <w:jc w:val="right"/>
              <w:rPr>
                <w:sz w:val="18"/>
                <w:szCs w:val="18"/>
              </w:rPr>
            </w:pPr>
          </w:p>
        </w:tc>
        <w:tc>
          <w:tcPr>
            <w:tcW w:w="1276" w:type="dxa"/>
            <w:vAlign w:val="center"/>
          </w:tcPr>
          <w:p w14:paraId="5C60B879" w14:textId="77777777" w:rsidR="00577D08" w:rsidRDefault="00330FC0">
            <w:pPr>
              <w:jc w:val="right"/>
              <w:rPr>
                <w:sz w:val="18"/>
                <w:szCs w:val="18"/>
              </w:rPr>
            </w:pPr>
            <w:r>
              <w:rPr>
                <w:rFonts w:hint="eastAsia"/>
                <w:sz w:val="18"/>
                <w:szCs w:val="18"/>
              </w:rPr>
              <w:t>25,919,911.92</w:t>
            </w:r>
          </w:p>
        </w:tc>
        <w:tc>
          <w:tcPr>
            <w:tcW w:w="1134" w:type="dxa"/>
            <w:vAlign w:val="center"/>
          </w:tcPr>
          <w:p w14:paraId="0591CF28" w14:textId="77777777" w:rsidR="00577D08" w:rsidRDefault="00330FC0">
            <w:pPr>
              <w:jc w:val="right"/>
              <w:rPr>
                <w:sz w:val="18"/>
                <w:szCs w:val="18"/>
              </w:rPr>
            </w:pPr>
            <w:r>
              <w:rPr>
                <w:rFonts w:hint="eastAsia"/>
                <w:sz w:val="18"/>
                <w:szCs w:val="18"/>
              </w:rPr>
              <w:t>95.00</w:t>
            </w:r>
          </w:p>
        </w:tc>
        <w:tc>
          <w:tcPr>
            <w:tcW w:w="851" w:type="dxa"/>
            <w:vAlign w:val="center"/>
          </w:tcPr>
          <w:p w14:paraId="45C4D2CD" w14:textId="77777777" w:rsidR="00577D08" w:rsidRDefault="00330FC0">
            <w:pPr>
              <w:jc w:val="right"/>
              <w:rPr>
                <w:sz w:val="18"/>
                <w:szCs w:val="18"/>
              </w:rPr>
            </w:pPr>
            <w:r>
              <w:rPr>
                <w:rFonts w:hint="eastAsia"/>
                <w:sz w:val="18"/>
                <w:szCs w:val="18"/>
              </w:rPr>
              <w:t>95.00</w:t>
            </w:r>
          </w:p>
        </w:tc>
        <w:tc>
          <w:tcPr>
            <w:tcW w:w="850" w:type="dxa"/>
          </w:tcPr>
          <w:p w14:paraId="2AD7CED4" w14:textId="77777777" w:rsidR="00577D08" w:rsidRDefault="00577D08">
            <w:pPr>
              <w:jc w:val="right"/>
              <w:rPr>
                <w:sz w:val="18"/>
                <w:szCs w:val="18"/>
              </w:rPr>
            </w:pPr>
          </w:p>
        </w:tc>
        <w:tc>
          <w:tcPr>
            <w:tcW w:w="992" w:type="dxa"/>
          </w:tcPr>
          <w:p w14:paraId="34265204" w14:textId="77777777" w:rsidR="00577D08" w:rsidRDefault="00577D08">
            <w:pPr>
              <w:jc w:val="right"/>
              <w:rPr>
                <w:sz w:val="18"/>
                <w:szCs w:val="18"/>
              </w:rPr>
            </w:pPr>
          </w:p>
        </w:tc>
        <w:tc>
          <w:tcPr>
            <w:tcW w:w="851" w:type="dxa"/>
          </w:tcPr>
          <w:p w14:paraId="3D25235E" w14:textId="77777777" w:rsidR="00577D08" w:rsidRDefault="00577D08">
            <w:pPr>
              <w:jc w:val="right"/>
              <w:rPr>
                <w:sz w:val="18"/>
                <w:szCs w:val="18"/>
              </w:rPr>
            </w:pPr>
          </w:p>
        </w:tc>
        <w:tc>
          <w:tcPr>
            <w:tcW w:w="656" w:type="dxa"/>
            <w:vAlign w:val="center"/>
          </w:tcPr>
          <w:p w14:paraId="54CAA4AA" w14:textId="77777777" w:rsidR="00577D08" w:rsidRDefault="00330FC0">
            <w:pPr>
              <w:jc w:val="center"/>
              <w:rPr>
                <w:sz w:val="18"/>
                <w:szCs w:val="18"/>
              </w:rPr>
            </w:pPr>
            <w:r>
              <w:rPr>
                <w:rFonts w:hint="eastAsia"/>
                <w:sz w:val="18"/>
                <w:szCs w:val="18"/>
              </w:rPr>
              <w:t>自筹资金</w:t>
            </w:r>
          </w:p>
        </w:tc>
      </w:tr>
      <w:tr w:rsidR="00577D08" w14:paraId="05481B6B" w14:textId="77777777">
        <w:trPr>
          <w:cantSplit/>
        </w:trPr>
        <w:tc>
          <w:tcPr>
            <w:tcW w:w="1242" w:type="dxa"/>
          </w:tcPr>
          <w:p w14:paraId="33769FE9" w14:textId="77777777" w:rsidR="00577D08" w:rsidRDefault="00330FC0">
            <w:pPr>
              <w:rPr>
                <w:sz w:val="18"/>
                <w:szCs w:val="18"/>
              </w:rPr>
            </w:pPr>
            <w:r>
              <w:rPr>
                <w:rFonts w:hint="eastAsia"/>
                <w:sz w:val="18"/>
                <w:szCs w:val="18"/>
              </w:rPr>
              <w:t>铁路牵引供电设备技术升级改造项目</w:t>
            </w:r>
          </w:p>
        </w:tc>
        <w:tc>
          <w:tcPr>
            <w:tcW w:w="1276" w:type="dxa"/>
            <w:vAlign w:val="center"/>
          </w:tcPr>
          <w:p w14:paraId="68E17067" w14:textId="77777777" w:rsidR="00577D08" w:rsidRDefault="00330FC0">
            <w:pPr>
              <w:jc w:val="right"/>
              <w:rPr>
                <w:sz w:val="18"/>
                <w:szCs w:val="18"/>
              </w:rPr>
            </w:pPr>
            <w:r>
              <w:rPr>
                <w:rFonts w:hint="eastAsia"/>
                <w:sz w:val="18"/>
                <w:szCs w:val="18"/>
              </w:rPr>
              <w:t>61,110,000.00</w:t>
            </w:r>
          </w:p>
        </w:tc>
        <w:tc>
          <w:tcPr>
            <w:tcW w:w="1276" w:type="dxa"/>
            <w:vAlign w:val="center"/>
          </w:tcPr>
          <w:p w14:paraId="2BA2198D" w14:textId="77777777" w:rsidR="00577D08" w:rsidRDefault="00330FC0">
            <w:pPr>
              <w:jc w:val="right"/>
              <w:rPr>
                <w:sz w:val="18"/>
                <w:szCs w:val="18"/>
              </w:rPr>
            </w:pPr>
            <w:r>
              <w:rPr>
                <w:rFonts w:hint="eastAsia"/>
                <w:sz w:val="18"/>
                <w:szCs w:val="18"/>
              </w:rPr>
              <w:t>17,620,882.68</w:t>
            </w:r>
          </w:p>
        </w:tc>
        <w:tc>
          <w:tcPr>
            <w:tcW w:w="1417" w:type="dxa"/>
            <w:vAlign w:val="center"/>
          </w:tcPr>
          <w:p w14:paraId="04BB12EA" w14:textId="77777777" w:rsidR="00577D08" w:rsidRDefault="00330FC0">
            <w:pPr>
              <w:jc w:val="right"/>
              <w:rPr>
                <w:sz w:val="18"/>
                <w:szCs w:val="18"/>
              </w:rPr>
            </w:pPr>
            <w:r>
              <w:rPr>
                <w:rFonts w:hint="eastAsia"/>
                <w:sz w:val="18"/>
                <w:szCs w:val="18"/>
              </w:rPr>
              <w:t>24,837,370.27</w:t>
            </w:r>
          </w:p>
        </w:tc>
        <w:tc>
          <w:tcPr>
            <w:tcW w:w="1276" w:type="dxa"/>
            <w:vAlign w:val="center"/>
          </w:tcPr>
          <w:p w14:paraId="17D14293" w14:textId="77777777" w:rsidR="00577D08" w:rsidRDefault="00330FC0">
            <w:pPr>
              <w:jc w:val="right"/>
              <w:rPr>
                <w:sz w:val="18"/>
                <w:szCs w:val="18"/>
              </w:rPr>
            </w:pPr>
            <w:r>
              <w:rPr>
                <w:rFonts w:hint="eastAsia"/>
                <w:sz w:val="18"/>
                <w:szCs w:val="18"/>
              </w:rPr>
              <w:t>42,458,252.95</w:t>
            </w:r>
          </w:p>
        </w:tc>
        <w:tc>
          <w:tcPr>
            <w:tcW w:w="992" w:type="dxa"/>
            <w:vAlign w:val="center"/>
          </w:tcPr>
          <w:p w14:paraId="51F3B148" w14:textId="77777777" w:rsidR="00577D08" w:rsidRDefault="00577D08">
            <w:pPr>
              <w:jc w:val="right"/>
              <w:rPr>
                <w:sz w:val="18"/>
                <w:szCs w:val="18"/>
              </w:rPr>
            </w:pPr>
          </w:p>
        </w:tc>
        <w:tc>
          <w:tcPr>
            <w:tcW w:w="1276" w:type="dxa"/>
            <w:vAlign w:val="center"/>
          </w:tcPr>
          <w:p w14:paraId="0CE4F39F" w14:textId="77777777" w:rsidR="00577D08" w:rsidRDefault="00577D08">
            <w:pPr>
              <w:jc w:val="right"/>
              <w:rPr>
                <w:sz w:val="18"/>
                <w:szCs w:val="18"/>
              </w:rPr>
            </w:pPr>
          </w:p>
        </w:tc>
        <w:tc>
          <w:tcPr>
            <w:tcW w:w="1134" w:type="dxa"/>
            <w:vAlign w:val="center"/>
          </w:tcPr>
          <w:p w14:paraId="4662D3C8" w14:textId="77777777" w:rsidR="00577D08" w:rsidRDefault="00330FC0">
            <w:pPr>
              <w:jc w:val="right"/>
              <w:rPr>
                <w:sz w:val="18"/>
                <w:szCs w:val="18"/>
              </w:rPr>
            </w:pPr>
            <w:r>
              <w:rPr>
                <w:rFonts w:hint="eastAsia"/>
                <w:sz w:val="18"/>
                <w:szCs w:val="18"/>
              </w:rPr>
              <w:t>69.48</w:t>
            </w:r>
          </w:p>
        </w:tc>
        <w:tc>
          <w:tcPr>
            <w:tcW w:w="851" w:type="dxa"/>
            <w:vAlign w:val="center"/>
          </w:tcPr>
          <w:p w14:paraId="58638243" w14:textId="77777777" w:rsidR="00577D08" w:rsidRDefault="00330FC0">
            <w:pPr>
              <w:jc w:val="right"/>
              <w:rPr>
                <w:sz w:val="18"/>
                <w:szCs w:val="18"/>
              </w:rPr>
            </w:pPr>
            <w:r>
              <w:rPr>
                <w:rFonts w:hint="eastAsia"/>
                <w:sz w:val="18"/>
                <w:szCs w:val="18"/>
              </w:rPr>
              <w:t>100.00</w:t>
            </w:r>
          </w:p>
        </w:tc>
        <w:tc>
          <w:tcPr>
            <w:tcW w:w="850" w:type="dxa"/>
          </w:tcPr>
          <w:p w14:paraId="7C891FAD" w14:textId="77777777" w:rsidR="00577D08" w:rsidRDefault="00577D08">
            <w:pPr>
              <w:jc w:val="right"/>
              <w:rPr>
                <w:sz w:val="18"/>
                <w:szCs w:val="18"/>
              </w:rPr>
            </w:pPr>
          </w:p>
        </w:tc>
        <w:tc>
          <w:tcPr>
            <w:tcW w:w="992" w:type="dxa"/>
          </w:tcPr>
          <w:p w14:paraId="339119CC" w14:textId="77777777" w:rsidR="00577D08" w:rsidRDefault="00577D08">
            <w:pPr>
              <w:jc w:val="right"/>
              <w:rPr>
                <w:sz w:val="18"/>
                <w:szCs w:val="18"/>
              </w:rPr>
            </w:pPr>
          </w:p>
        </w:tc>
        <w:tc>
          <w:tcPr>
            <w:tcW w:w="851" w:type="dxa"/>
          </w:tcPr>
          <w:p w14:paraId="60977AF4" w14:textId="77777777" w:rsidR="00577D08" w:rsidRDefault="00577D08">
            <w:pPr>
              <w:jc w:val="right"/>
              <w:rPr>
                <w:sz w:val="18"/>
                <w:szCs w:val="18"/>
              </w:rPr>
            </w:pPr>
          </w:p>
        </w:tc>
        <w:tc>
          <w:tcPr>
            <w:tcW w:w="656" w:type="dxa"/>
            <w:vAlign w:val="center"/>
          </w:tcPr>
          <w:p w14:paraId="2E54C64C" w14:textId="77777777" w:rsidR="00577D08" w:rsidRDefault="00330FC0">
            <w:pPr>
              <w:jc w:val="center"/>
              <w:rPr>
                <w:sz w:val="18"/>
                <w:szCs w:val="18"/>
              </w:rPr>
            </w:pPr>
            <w:r>
              <w:rPr>
                <w:rFonts w:hint="eastAsia"/>
                <w:sz w:val="18"/>
                <w:szCs w:val="18"/>
              </w:rPr>
              <w:t>自筹资金</w:t>
            </w:r>
          </w:p>
        </w:tc>
      </w:tr>
      <w:tr w:rsidR="00577D08" w14:paraId="3E553C78" w14:textId="77777777">
        <w:trPr>
          <w:cantSplit/>
        </w:trPr>
        <w:tc>
          <w:tcPr>
            <w:tcW w:w="1242" w:type="dxa"/>
            <w:vAlign w:val="center"/>
          </w:tcPr>
          <w:p w14:paraId="3A508820" w14:textId="77777777" w:rsidR="00577D08" w:rsidRDefault="00330FC0">
            <w:pPr>
              <w:jc w:val="center"/>
              <w:rPr>
                <w:sz w:val="18"/>
                <w:szCs w:val="18"/>
              </w:rPr>
            </w:pPr>
            <w:r>
              <w:rPr>
                <w:rFonts w:hint="eastAsia"/>
                <w:sz w:val="18"/>
                <w:szCs w:val="18"/>
              </w:rPr>
              <w:t>合计</w:t>
            </w:r>
          </w:p>
        </w:tc>
        <w:tc>
          <w:tcPr>
            <w:tcW w:w="1276" w:type="dxa"/>
            <w:vAlign w:val="center"/>
          </w:tcPr>
          <w:p w14:paraId="3E830C91" w14:textId="77777777" w:rsidR="00577D08" w:rsidRDefault="00330FC0">
            <w:pPr>
              <w:jc w:val="right"/>
              <w:rPr>
                <w:sz w:val="18"/>
                <w:szCs w:val="18"/>
              </w:rPr>
            </w:pPr>
            <w:r>
              <w:rPr>
                <w:sz w:val="18"/>
                <w:szCs w:val="18"/>
              </w:rPr>
              <w:t>88,393,300.00</w:t>
            </w:r>
          </w:p>
        </w:tc>
        <w:tc>
          <w:tcPr>
            <w:tcW w:w="1276" w:type="dxa"/>
            <w:vAlign w:val="center"/>
          </w:tcPr>
          <w:p w14:paraId="4485E174" w14:textId="77777777" w:rsidR="00577D08" w:rsidRDefault="00330FC0">
            <w:pPr>
              <w:jc w:val="right"/>
              <w:rPr>
                <w:sz w:val="18"/>
                <w:szCs w:val="18"/>
              </w:rPr>
            </w:pPr>
            <w:r>
              <w:rPr>
                <w:sz w:val="18"/>
                <w:szCs w:val="18"/>
              </w:rPr>
              <w:t>17,620,882.68</w:t>
            </w:r>
          </w:p>
        </w:tc>
        <w:tc>
          <w:tcPr>
            <w:tcW w:w="1417" w:type="dxa"/>
            <w:vAlign w:val="center"/>
          </w:tcPr>
          <w:p w14:paraId="5F27039E" w14:textId="77777777" w:rsidR="00577D08" w:rsidRDefault="00330FC0">
            <w:pPr>
              <w:jc w:val="right"/>
              <w:rPr>
                <w:sz w:val="18"/>
                <w:szCs w:val="18"/>
              </w:rPr>
            </w:pPr>
            <w:r>
              <w:rPr>
                <w:sz w:val="18"/>
                <w:szCs w:val="18"/>
              </w:rPr>
              <w:t>50,757,282.19</w:t>
            </w:r>
          </w:p>
        </w:tc>
        <w:tc>
          <w:tcPr>
            <w:tcW w:w="1276" w:type="dxa"/>
            <w:vAlign w:val="center"/>
          </w:tcPr>
          <w:p w14:paraId="76C2B47D" w14:textId="77777777" w:rsidR="00577D08" w:rsidRDefault="00330FC0">
            <w:pPr>
              <w:jc w:val="right"/>
              <w:rPr>
                <w:sz w:val="18"/>
                <w:szCs w:val="18"/>
              </w:rPr>
            </w:pPr>
            <w:r>
              <w:rPr>
                <w:sz w:val="18"/>
                <w:szCs w:val="18"/>
              </w:rPr>
              <w:t>42,458,252.95</w:t>
            </w:r>
          </w:p>
        </w:tc>
        <w:tc>
          <w:tcPr>
            <w:tcW w:w="992" w:type="dxa"/>
            <w:vAlign w:val="center"/>
          </w:tcPr>
          <w:p w14:paraId="2693156D" w14:textId="77777777" w:rsidR="00577D08" w:rsidRDefault="00577D08">
            <w:pPr>
              <w:jc w:val="right"/>
              <w:rPr>
                <w:sz w:val="18"/>
                <w:szCs w:val="18"/>
              </w:rPr>
            </w:pPr>
          </w:p>
        </w:tc>
        <w:tc>
          <w:tcPr>
            <w:tcW w:w="1276" w:type="dxa"/>
            <w:vAlign w:val="center"/>
          </w:tcPr>
          <w:p w14:paraId="73A9AD5E" w14:textId="77777777" w:rsidR="00577D08" w:rsidRDefault="00330FC0">
            <w:pPr>
              <w:jc w:val="right"/>
              <w:rPr>
                <w:sz w:val="18"/>
                <w:szCs w:val="18"/>
              </w:rPr>
            </w:pPr>
            <w:r>
              <w:rPr>
                <w:sz w:val="18"/>
                <w:szCs w:val="18"/>
              </w:rPr>
              <w:t>25,919,911.92</w:t>
            </w:r>
          </w:p>
        </w:tc>
        <w:tc>
          <w:tcPr>
            <w:tcW w:w="1134" w:type="dxa"/>
          </w:tcPr>
          <w:p w14:paraId="4F6CE6E2" w14:textId="77777777" w:rsidR="00577D08" w:rsidRDefault="00330FC0">
            <w:pPr>
              <w:jc w:val="center"/>
              <w:rPr>
                <w:sz w:val="18"/>
                <w:szCs w:val="18"/>
              </w:rPr>
            </w:pPr>
            <w:r>
              <w:rPr>
                <w:sz w:val="18"/>
                <w:szCs w:val="18"/>
              </w:rPr>
              <w:t>/</w:t>
            </w:r>
          </w:p>
        </w:tc>
        <w:tc>
          <w:tcPr>
            <w:tcW w:w="851" w:type="dxa"/>
          </w:tcPr>
          <w:p w14:paraId="1FE25022" w14:textId="77777777" w:rsidR="00577D08" w:rsidRDefault="00330FC0">
            <w:pPr>
              <w:jc w:val="center"/>
              <w:rPr>
                <w:sz w:val="18"/>
                <w:szCs w:val="18"/>
              </w:rPr>
            </w:pPr>
            <w:r>
              <w:rPr>
                <w:sz w:val="18"/>
                <w:szCs w:val="18"/>
              </w:rPr>
              <w:t>/</w:t>
            </w:r>
          </w:p>
        </w:tc>
        <w:tc>
          <w:tcPr>
            <w:tcW w:w="850" w:type="dxa"/>
          </w:tcPr>
          <w:p w14:paraId="4828EEA2" w14:textId="77777777" w:rsidR="00577D08" w:rsidRDefault="00577D08">
            <w:pPr>
              <w:jc w:val="right"/>
              <w:rPr>
                <w:sz w:val="18"/>
                <w:szCs w:val="18"/>
              </w:rPr>
            </w:pPr>
          </w:p>
        </w:tc>
        <w:tc>
          <w:tcPr>
            <w:tcW w:w="992" w:type="dxa"/>
          </w:tcPr>
          <w:p w14:paraId="6557A53A" w14:textId="77777777" w:rsidR="00577D08" w:rsidRDefault="00577D08">
            <w:pPr>
              <w:jc w:val="right"/>
              <w:rPr>
                <w:sz w:val="18"/>
                <w:szCs w:val="18"/>
              </w:rPr>
            </w:pPr>
          </w:p>
        </w:tc>
        <w:tc>
          <w:tcPr>
            <w:tcW w:w="851" w:type="dxa"/>
          </w:tcPr>
          <w:p w14:paraId="6E6A7CE2" w14:textId="77777777" w:rsidR="00577D08" w:rsidRDefault="00330FC0">
            <w:pPr>
              <w:jc w:val="center"/>
              <w:rPr>
                <w:sz w:val="18"/>
                <w:szCs w:val="18"/>
              </w:rPr>
            </w:pPr>
            <w:r>
              <w:rPr>
                <w:sz w:val="18"/>
                <w:szCs w:val="18"/>
              </w:rPr>
              <w:t>/</w:t>
            </w:r>
          </w:p>
        </w:tc>
        <w:tc>
          <w:tcPr>
            <w:tcW w:w="656" w:type="dxa"/>
          </w:tcPr>
          <w:p w14:paraId="0645C9A4" w14:textId="77777777" w:rsidR="00577D08" w:rsidRDefault="00330FC0">
            <w:pPr>
              <w:jc w:val="center"/>
              <w:rPr>
                <w:sz w:val="18"/>
                <w:szCs w:val="18"/>
              </w:rPr>
            </w:pPr>
            <w:r>
              <w:rPr>
                <w:sz w:val="18"/>
                <w:szCs w:val="18"/>
              </w:rPr>
              <w:t>/</w:t>
            </w:r>
          </w:p>
        </w:tc>
      </w:tr>
    </w:tbl>
    <w:p w14:paraId="66FDA1A8" w14:textId="77777777" w:rsidR="00577D08" w:rsidRDefault="00330FC0">
      <w:pPr>
        <w:pStyle w:val="5"/>
        <w:numPr>
          <w:ilvl w:val="0"/>
          <w:numId w:val="77"/>
        </w:numPr>
        <w:ind w:leftChars="0"/>
        <w:rPr>
          <w:rFonts w:ascii="宋体" w:hAnsi="宋体" w:cs="宋体" w:hint="eastAsia"/>
          <w:kern w:val="0"/>
          <w:szCs w:val="24"/>
        </w:rPr>
      </w:pPr>
      <w:r>
        <w:rPr>
          <w:rFonts w:ascii="宋体" w:hAnsi="宋体" w:cs="宋体" w:hint="eastAsia"/>
          <w:kern w:val="0"/>
          <w:szCs w:val="24"/>
        </w:rPr>
        <w:t>本期计提在建工程减值准备情况</w:t>
      </w:r>
    </w:p>
    <w:sdt>
      <w:sdtPr>
        <w:alias w:val="是否适用：本期计提在建工程减值准备情况[双击切换]"/>
        <w:tag w:val="_GBC_f0a78e682a314d34a7b55dd88c219307"/>
        <w:id w:val="618030638"/>
        <w:placeholder>
          <w:docPart w:val="GBC22222222222222222222222222222"/>
        </w:placeholder>
      </w:sdtPr>
      <w:sdtContent>
        <w:p w14:paraId="2B2F909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ACB7DB2" w14:textId="0FD569F1" w:rsidR="00577D08" w:rsidRDefault="00330FC0">
      <w:pPr>
        <w:spacing w:line="360" w:lineRule="exact"/>
        <w:jc w:val="right"/>
      </w:pPr>
      <w:r>
        <w:rPr>
          <w:rFonts w:hint="eastAsia"/>
        </w:rPr>
        <w:t>单位：</w:t>
      </w:r>
      <w:sdt>
        <w:sdtPr>
          <w:rPr>
            <w:rFonts w:hint="eastAsia"/>
          </w:rPr>
          <w:alias w:val="单位：财务附注：在建工程减值准备"/>
          <w:tag w:val="_GBC_8d07728a10e04fe8975346f691b08703"/>
          <w:id w:val="15600562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在建工程减值准备"/>
          <w:tag w:val="_GBC_dcac5a7bb0554146902fd010b31997cd"/>
          <w:id w:val="-20620848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3" w:type="dxa"/>
          <w:right w:w="113" w:type="dxa"/>
        </w:tblCellMar>
        <w:tblLook w:val="04A0" w:firstRow="1" w:lastRow="0" w:firstColumn="1" w:lastColumn="0" w:noHBand="0" w:noVBand="1"/>
      </w:tblPr>
      <w:tblGrid>
        <w:gridCol w:w="1939"/>
        <w:gridCol w:w="2388"/>
        <w:gridCol w:w="2385"/>
        <w:gridCol w:w="2385"/>
        <w:gridCol w:w="2385"/>
        <w:gridCol w:w="2385"/>
      </w:tblGrid>
      <w:tr w:rsidR="00577D08" w14:paraId="35687574" w14:textId="77777777">
        <w:trPr>
          <w:cantSplit/>
          <w:trHeight w:val="280"/>
          <w:tblHeader/>
        </w:trPr>
        <w:bookmarkStart w:id="402" w:name="_Hlk153461314" w:displacedByCustomXml="next"/>
        <w:sdt>
          <w:sdtPr>
            <w:tag w:val="_PLD_ca5fca2bcae54c8d81b3befb48b8bf1c"/>
            <w:id w:val="-272788824"/>
          </w:sdtPr>
          <w:sdtContent>
            <w:tc>
              <w:tcPr>
                <w:tcW w:w="699" w:type="pct"/>
                <w:tcBorders>
                  <w:top w:val="single" w:sz="2" w:space="0" w:color="auto"/>
                  <w:left w:val="single" w:sz="2" w:space="0" w:color="auto"/>
                  <w:bottom w:val="single" w:sz="2" w:space="0" w:color="auto"/>
                  <w:right w:val="single" w:sz="2" w:space="0" w:color="auto"/>
                </w:tcBorders>
                <w:vAlign w:val="center"/>
              </w:tcPr>
              <w:p w14:paraId="4BA20B60" w14:textId="77777777" w:rsidR="00577D08" w:rsidRDefault="00330FC0">
                <w:pPr>
                  <w:jc w:val="center"/>
                </w:pPr>
                <w:r>
                  <w:rPr>
                    <w:rFonts w:hint="eastAsia"/>
                  </w:rPr>
                  <w:t>项目</w:t>
                </w:r>
              </w:p>
            </w:tc>
          </w:sdtContent>
        </w:sdt>
        <w:sdt>
          <w:sdtPr>
            <w:tag w:val="_PLD_28dd15af0114424f8f5185950c3635bc"/>
            <w:id w:val="-1876611303"/>
          </w:sdtPr>
          <w:sdtContent>
            <w:tc>
              <w:tcPr>
                <w:tcW w:w="861" w:type="pct"/>
                <w:tcBorders>
                  <w:top w:val="single" w:sz="2" w:space="0" w:color="auto"/>
                  <w:left w:val="single" w:sz="2" w:space="0" w:color="auto"/>
                  <w:bottom w:val="single" w:sz="2" w:space="0" w:color="auto"/>
                  <w:right w:val="single" w:sz="2" w:space="0" w:color="auto"/>
                </w:tcBorders>
                <w:vAlign w:val="center"/>
              </w:tcPr>
              <w:p w14:paraId="229B496E" w14:textId="77777777" w:rsidR="00577D08" w:rsidRDefault="00330FC0">
                <w:pPr>
                  <w:jc w:val="center"/>
                </w:pPr>
                <w:r>
                  <w:t>期初余额</w:t>
                </w:r>
              </w:p>
            </w:tc>
          </w:sdtContent>
        </w:sdt>
        <w:sdt>
          <w:sdtPr>
            <w:tag w:val="_PLD_ec3d7160e0da43cdacd9d2ec22f977da"/>
            <w:id w:val="652179287"/>
          </w:sdtPr>
          <w:sdtContent>
            <w:tc>
              <w:tcPr>
                <w:tcW w:w="860" w:type="pct"/>
                <w:tcBorders>
                  <w:top w:val="single" w:sz="2" w:space="0" w:color="auto"/>
                  <w:left w:val="single" w:sz="2" w:space="0" w:color="auto"/>
                  <w:bottom w:val="single" w:sz="2" w:space="0" w:color="auto"/>
                  <w:right w:val="single" w:sz="2" w:space="0" w:color="auto"/>
                </w:tcBorders>
                <w:vAlign w:val="center"/>
              </w:tcPr>
              <w:p w14:paraId="3A5CB57D" w14:textId="77777777" w:rsidR="00577D08" w:rsidRDefault="00330FC0">
                <w:pPr>
                  <w:jc w:val="center"/>
                </w:pPr>
                <w:r>
                  <w:t>本期增加</w:t>
                </w:r>
              </w:p>
            </w:tc>
          </w:sdtContent>
        </w:sdt>
        <w:sdt>
          <w:sdtPr>
            <w:tag w:val="_PLD_2a4dec9242fb44d7bd2cf9053d3ffd92"/>
            <w:id w:val="-1633704425"/>
          </w:sdtPr>
          <w:sdtContent>
            <w:tc>
              <w:tcPr>
                <w:tcW w:w="860" w:type="pct"/>
                <w:tcBorders>
                  <w:top w:val="single" w:sz="2" w:space="0" w:color="auto"/>
                  <w:left w:val="single" w:sz="2" w:space="0" w:color="auto"/>
                  <w:bottom w:val="single" w:sz="2" w:space="0" w:color="auto"/>
                  <w:right w:val="single" w:sz="2" w:space="0" w:color="auto"/>
                </w:tcBorders>
                <w:vAlign w:val="center"/>
              </w:tcPr>
              <w:p w14:paraId="11AB3C8D" w14:textId="77777777" w:rsidR="00577D08" w:rsidRDefault="00330FC0">
                <w:pPr>
                  <w:jc w:val="center"/>
                </w:pPr>
                <w:r>
                  <w:t>本期减少</w:t>
                </w:r>
              </w:p>
            </w:tc>
          </w:sdtContent>
        </w:sdt>
        <w:sdt>
          <w:sdtPr>
            <w:tag w:val="_PLD_a48d3febdc3b43778ed5bbd8e0c30ba0"/>
            <w:id w:val="473874467"/>
          </w:sdtPr>
          <w:sdtContent>
            <w:tc>
              <w:tcPr>
                <w:tcW w:w="860" w:type="pct"/>
                <w:tcBorders>
                  <w:top w:val="single" w:sz="2" w:space="0" w:color="auto"/>
                  <w:left w:val="single" w:sz="2" w:space="0" w:color="auto"/>
                  <w:bottom w:val="single" w:sz="2" w:space="0" w:color="auto"/>
                  <w:right w:val="single" w:sz="2" w:space="0" w:color="auto"/>
                </w:tcBorders>
                <w:vAlign w:val="center"/>
              </w:tcPr>
              <w:p w14:paraId="713EB347" w14:textId="77777777" w:rsidR="00577D08" w:rsidRDefault="00330FC0">
                <w:pPr>
                  <w:jc w:val="center"/>
                </w:pPr>
                <w:r>
                  <w:rPr>
                    <w:rFonts w:hint="eastAsia"/>
                  </w:rPr>
                  <w:t>期末余额</w:t>
                </w:r>
              </w:p>
            </w:tc>
          </w:sdtContent>
        </w:sdt>
        <w:sdt>
          <w:sdtPr>
            <w:tag w:val="_PLD_671763ef665249248712c4c3426bd61e"/>
            <w:id w:val="1719556953"/>
          </w:sdtPr>
          <w:sdtContent>
            <w:tc>
              <w:tcPr>
                <w:tcW w:w="860" w:type="pct"/>
                <w:tcBorders>
                  <w:top w:val="single" w:sz="2" w:space="0" w:color="auto"/>
                  <w:left w:val="single" w:sz="2" w:space="0" w:color="auto"/>
                  <w:bottom w:val="single" w:sz="2" w:space="0" w:color="auto"/>
                  <w:right w:val="single" w:sz="2" w:space="0" w:color="auto"/>
                </w:tcBorders>
                <w:vAlign w:val="center"/>
              </w:tcPr>
              <w:p w14:paraId="0D70A4A1" w14:textId="77777777" w:rsidR="00577D08" w:rsidRDefault="00330FC0">
                <w:pPr>
                  <w:jc w:val="center"/>
                </w:pPr>
                <w:r>
                  <w:rPr>
                    <w:rFonts w:hint="eastAsia"/>
                  </w:rPr>
                  <w:t>计提原因</w:t>
                </w:r>
              </w:p>
            </w:tc>
          </w:sdtContent>
        </w:sdt>
      </w:tr>
      <w:tr w:rsidR="00577D08" w14:paraId="451B83D3" w14:textId="77777777">
        <w:trPr>
          <w:cantSplit/>
        </w:trPr>
        <w:tc>
          <w:tcPr>
            <w:tcW w:w="699" w:type="pct"/>
            <w:tcBorders>
              <w:top w:val="single" w:sz="2" w:space="0" w:color="auto"/>
              <w:left w:val="single" w:sz="2" w:space="0" w:color="auto"/>
              <w:bottom w:val="single" w:sz="2" w:space="0" w:color="auto"/>
              <w:right w:val="single" w:sz="2" w:space="0" w:color="auto"/>
            </w:tcBorders>
            <w:vAlign w:val="center"/>
          </w:tcPr>
          <w:p w14:paraId="036EA921" w14:textId="77777777" w:rsidR="00577D08" w:rsidRDefault="00330FC0">
            <w:r>
              <w:t>其他项目</w:t>
            </w:r>
          </w:p>
        </w:tc>
        <w:tc>
          <w:tcPr>
            <w:tcW w:w="861" w:type="pct"/>
            <w:tcBorders>
              <w:top w:val="single" w:sz="2" w:space="0" w:color="auto"/>
              <w:left w:val="single" w:sz="2" w:space="0" w:color="auto"/>
              <w:bottom w:val="single" w:sz="2" w:space="0" w:color="auto"/>
              <w:right w:val="single" w:sz="2" w:space="0" w:color="auto"/>
            </w:tcBorders>
          </w:tcPr>
          <w:p w14:paraId="475AFD20" w14:textId="77777777" w:rsidR="00577D08" w:rsidRDefault="00330FC0">
            <w:pPr>
              <w:jc w:val="right"/>
            </w:pPr>
            <w:r>
              <w:t>1,442,682.30</w:t>
            </w:r>
          </w:p>
        </w:tc>
        <w:tc>
          <w:tcPr>
            <w:tcW w:w="860" w:type="pct"/>
            <w:tcBorders>
              <w:top w:val="single" w:sz="2" w:space="0" w:color="auto"/>
              <w:left w:val="single" w:sz="2" w:space="0" w:color="auto"/>
              <w:bottom w:val="single" w:sz="2" w:space="0" w:color="auto"/>
              <w:right w:val="single" w:sz="2" w:space="0" w:color="auto"/>
            </w:tcBorders>
          </w:tcPr>
          <w:p w14:paraId="08AD9FED" w14:textId="77777777" w:rsidR="00577D08" w:rsidRDefault="00330FC0">
            <w:pPr>
              <w:jc w:val="right"/>
            </w:pPr>
            <w:r>
              <w:t>717,787.61</w:t>
            </w:r>
          </w:p>
        </w:tc>
        <w:tc>
          <w:tcPr>
            <w:tcW w:w="860" w:type="pct"/>
            <w:tcBorders>
              <w:top w:val="single" w:sz="2" w:space="0" w:color="auto"/>
              <w:left w:val="single" w:sz="2" w:space="0" w:color="auto"/>
              <w:bottom w:val="single" w:sz="2" w:space="0" w:color="auto"/>
              <w:right w:val="single" w:sz="2" w:space="0" w:color="auto"/>
            </w:tcBorders>
          </w:tcPr>
          <w:p w14:paraId="07DCFEC6" w14:textId="77777777" w:rsidR="00577D08" w:rsidRDefault="00577D08">
            <w:pPr>
              <w:jc w:val="right"/>
            </w:pPr>
          </w:p>
        </w:tc>
        <w:tc>
          <w:tcPr>
            <w:tcW w:w="860" w:type="pct"/>
            <w:tcBorders>
              <w:top w:val="single" w:sz="2" w:space="0" w:color="auto"/>
              <w:left w:val="single" w:sz="2" w:space="0" w:color="auto"/>
              <w:bottom w:val="single" w:sz="2" w:space="0" w:color="auto"/>
              <w:right w:val="single" w:sz="2" w:space="0" w:color="auto"/>
            </w:tcBorders>
          </w:tcPr>
          <w:p w14:paraId="4426A3D5" w14:textId="77777777" w:rsidR="00577D08" w:rsidRDefault="00330FC0">
            <w:pPr>
              <w:jc w:val="right"/>
            </w:pPr>
            <w:r>
              <w:t>2,160,469.91</w:t>
            </w:r>
          </w:p>
        </w:tc>
        <w:tc>
          <w:tcPr>
            <w:tcW w:w="860" w:type="pct"/>
            <w:tcBorders>
              <w:top w:val="single" w:sz="2" w:space="0" w:color="auto"/>
              <w:left w:val="single" w:sz="2" w:space="0" w:color="auto"/>
              <w:bottom w:val="single" w:sz="2" w:space="0" w:color="auto"/>
              <w:right w:val="single" w:sz="2" w:space="0" w:color="auto"/>
            </w:tcBorders>
            <w:vAlign w:val="center"/>
          </w:tcPr>
          <w:p w14:paraId="1967FB2C" w14:textId="77777777" w:rsidR="00577D08" w:rsidRDefault="00330FC0">
            <w:r>
              <w:t>/</w:t>
            </w:r>
          </w:p>
        </w:tc>
      </w:tr>
      <w:tr w:rsidR="00577D08" w14:paraId="47A5F258" w14:textId="77777777">
        <w:trPr>
          <w:cantSplit/>
        </w:trPr>
        <w:tc>
          <w:tcPr>
            <w:tcW w:w="699" w:type="pct"/>
            <w:tcBorders>
              <w:top w:val="single" w:sz="2" w:space="0" w:color="auto"/>
              <w:left w:val="single" w:sz="2" w:space="0" w:color="auto"/>
              <w:bottom w:val="single" w:sz="2" w:space="0" w:color="auto"/>
              <w:right w:val="single" w:sz="2" w:space="0" w:color="auto"/>
            </w:tcBorders>
            <w:vAlign w:val="center"/>
          </w:tcPr>
          <w:p w14:paraId="4B9D225F" w14:textId="77777777" w:rsidR="00577D08" w:rsidRDefault="00330FC0">
            <w:pPr>
              <w:jc w:val="center"/>
            </w:pPr>
            <w:r>
              <w:rPr>
                <w:rFonts w:hint="eastAsia"/>
              </w:rPr>
              <w:t>合计</w:t>
            </w:r>
          </w:p>
        </w:tc>
        <w:tc>
          <w:tcPr>
            <w:tcW w:w="861" w:type="pct"/>
            <w:tcBorders>
              <w:top w:val="single" w:sz="2" w:space="0" w:color="auto"/>
              <w:left w:val="single" w:sz="2" w:space="0" w:color="auto"/>
              <w:bottom w:val="single" w:sz="2" w:space="0" w:color="auto"/>
              <w:right w:val="single" w:sz="2" w:space="0" w:color="auto"/>
            </w:tcBorders>
          </w:tcPr>
          <w:p w14:paraId="663C85DA" w14:textId="77777777" w:rsidR="00577D08" w:rsidRDefault="00330FC0">
            <w:pPr>
              <w:jc w:val="right"/>
            </w:pPr>
            <w:r>
              <w:t>1,442,682.30</w:t>
            </w:r>
          </w:p>
        </w:tc>
        <w:tc>
          <w:tcPr>
            <w:tcW w:w="860" w:type="pct"/>
            <w:tcBorders>
              <w:top w:val="single" w:sz="2" w:space="0" w:color="auto"/>
              <w:left w:val="single" w:sz="2" w:space="0" w:color="auto"/>
              <w:bottom w:val="single" w:sz="2" w:space="0" w:color="auto"/>
              <w:right w:val="single" w:sz="2" w:space="0" w:color="auto"/>
            </w:tcBorders>
          </w:tcPr>
          <w:p w14:paraId="3AE7F940" w14:textId="77777777" w:rsidR="00577D08" w:rsidRDefault="00330FC0">
            <w:pPr>
              <w:jc w:val="right"/>
            </w:pPr>
            <w:r>
              <w:t>717,787.61</w:t>
            </w:r>
          </w:p>
        </w:tc>
        <w:tc>
          <w:tcPr>
            <w:tcW w:w="860" w:type="pct"/>
            <w:tcBorders>
              <w:top w:val="single" w:sz="2" w:space="0" w:color="auto"/>
              <w:left w:val="single" w:sz="2" w:space="0" w:color="auto"/>
              <w:bottom w:val="single" w:sz="2" w:space="0" w:color="auto"/>
              <w:right w:val="single" w:sz="2" w:space="0" w:color="auto"/>
            </w:tcBorders>
          </w:tcPr>
          <w:p w14:paraId="7051EC28" w14:textId="77777777" w:rsidR="00577D08" w:rsidRDefault="00577D08">
            <w:pPr>
              <w:jc w:val="right"/>
            </w:pPr>
          </w:p>
        </w:tc>
        <w:tc>
          <w:tcPr>
            <w:tcW w:w="860" w:type="pct"/>
            <w:tcBorders>
              <w:top w:val="single" w:sz="2" w:space="0" w:color="auto"/>
              <w:left w:val="single" w:sz="2" w:space="0" w:color="auto"/>
              <w:bottom w:val="single" w:sz="2" w:space="0" w:color="auto"/>
              <w:right w:val="single" w:sz="2" w:space="0" w:color="auto"/>
            </w:tcBorders>
          </w:tcPr>
          <w:p w14:paraId="11DDA78E" w14:textId="77777777" w:rsidR="00577D08" w:rsidRDefault="00330FC0">
            <w:pPr>
              <w:jc w:val="right"/>
            </w:pPr>
            <w:r>
              <w:t>2,160,469.91</w:t>
            </w:r>
          </w:p>
        </w:tc>
        <w:tc>
          <w:tcPr>
            <w:tcW w:w="860" w:type="pct"/>
            <w:tcBorders>
              <w:top w:val="single" w:sz="2" w:space="0" w:color="auto"/>
              <w:left w:val="single" w:sz="2" w:space="0" w:color="auto"/>
              <w:bottom w:val="single" w:sz="2" w:space="0" w:color="auto"/>
              <w:right w:val="single" w:sz="2" w:space="0" w:color="auto"/>
            </w:tcBorders>
            <w:vAlign w:val="center"/>
          </w:tcPr>
          <w:p w14:paraId="7F71B126" w14:textId="77777777" w:rsidR="00577D08" w:rsidRDefault="00330FC0">
            <w:pPr>
              <w:jc w:val="center"/>
            </w:pPr>
            <w:r>
              <w:t>/</w:t>
            </w:r>
          </w:p>
        </w:tc>
      </w:tr>
    </w:tbl>
    <w:p w14:paraId="444EF768" w14:textId="77777777" w:rsidR="00577D08" w:rsidRDefault="00330FC0">
      <w:pPr>
        <w:pStyle w:val="5"/>
        <w:numPr>
          <w:ilvl w:val="0"/>
          <w:numId w:val="77"/>
        </w:numPr>
        <w:ind w:leftChars="0"/>
        <w:rPr>
          <w:rFonts w:ascii="宋体" w:hAnsi="宋体" w:cs="宋体" w:hint="eastAsia"/>
          <w:kern w:val="0"/>
          <w:szCs w:val="24"/>
        </w:rPr>
      </w:pPr>
      <w:r>
        <w:rPr>
          <w:rFonts w:ascii="宋体" w:hAnsi="宋体" w:cs="宋体" w:hint="eastAsia"/>
          <w:kern w:val="0"/>
          <w:szCs w:val="24"/>
        </w:rPr>
        <w:t>在建工程的减值测试情况</w:t>
      </w:r>
    </w:p>
    <w:sdt>
      <w:sdtPr>
        <w:alias w:val="是否适用：减值测试情况[双击切换]"/>
        <w:tag w:val="_GBC_d3e3ceb3450d42e8a3d61da2c2d7d3cb"/>
        <w:id w:val="1249153012"/>
        <w:placeholder>
          <w:docPart w:val="GBC22222222222222222222222222222"/>
        </w:placeholder>
      </w:sdtPr>
      <w:sdtContent>
        <w:p w14:paraId="247617AA"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176A827" w14:textId="77777777" w:rsidR="00577D08" w:rsidRDefault="00330FC0">
      <w:pPr>
        <w:pStyle w:val="6"/>
        <w:ind w:left="105"/>
      </w:pPr>
      <w:r>
        <w:rPr>
          <w:rFonts w:hint="eastAsia"/>
        </w:rPr>
        <w:t>可收回金额按公允价值减去处置费用后的净额确定</w:t>
      </w:r>
    </w:p>
    <w:sdt>
      <w:sdtPr>
        <w:alias w:val="是否适用：可收回金额按公允价值减去处置费用后的净额确定[双击切换]"/>
        <w:tag w:val="_GBC_5d3bced30472464198eed0ab56e1e93b"/>
        <w:id w:val="-344870769"/>
        <w:placeholder>
          <w:docPart w:val="GBC22222222222222222222222222222"/>
        </w:placeholder>
      </w:sdtPr>
      <w:sdtContent>
        <w:p w14:paraId="201DC06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06A0568" w14:textId="77777777" w:rsidR="00577D08" w:rsidRDefault="00330FC0">
      <w:pPr>
        <w:jc w:val="right"/>
      </w:pPr>
      <w:r>
        <w:rPr>
          <w:rFonts w:hint="eastAsia"/>
        </w:rPr>
        <w:t>单位：</w:t>
      </w:r>
      <w:sdt>
        <w:sdtPr>
          <w:rPr>
            <w:rFonts w:hint="eastAsia"/>
          </w:rPr>
          <w:alias w:val="单位：可收回金额按公允价值减去处置费用后的净额确定"/>
          <w:tag w:val="_GBC_3cd145868ff3490f8a376ebb1a943ace"/>
          <w:id w:val="-123870765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币种：</w:t>
      </w:r>
      <w:sdt>
        <w:sdtPr>
          <w:rPr>
            <w:rFonts w:hint="eastAsia"/>
          </w:rPr>
          <w:alias w:val="币种：可收回金额按公允价值减去处置费用后的净额确定"/>
          <w:tag w:val="_GBC_1dde991923cf4bfe84fa40213687fc88"/>
          <w:id w:val="13526907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814"/>
        <w:gridCol w:w="1672"/>
        <w:gridCol w:w="1395"/>
        <w:gridCol w:w="2093"/>
        <w:gridCol w:w="1811"/>
        <w:gridCol w:w="3993"/>
      </w:tblGrid>
      <w:tr w:rsidR="00577D08" w14:paraId="25103EC9" w14:textId="77777777">
        <w:sdt>
          <w:sdtPr>
            <w:tag w:val="_PLD_88f8d54b88e5468785e0b7c12ddce21d"/>
            <w:id w:val="-481392074"/>
          </w:sdtPr>
          <w:sdtContent>
            <w:tc>
              <w:tcPr>
                <w:tcW w:w="391" w:type="pct"/>
                <w:vAlign w:val="center"/>
              </w:tcPr>
              <w:p w14:paraId="6E5E3B26" w14:textId="77777777" w:rsidR="00577D08" w:rsidRDefault="00330FC0">
                <w:pPr>
                  <w:widowControl w:val="0"/>
                  <w:snapToGrid w:val="0"/>
                  <w:spacing w:line="240" w:lineRule="atLeast"/>
                  <w:jc w:val="center"/>
                </w:pPr>
                <w:r>
                  <w:rPr>
                    <w:rFonts w:hint="eastAsia"/>
                  </w:rPr>
                  <w:t>项目</w:t>
                </w:r>
              </w:p>
            </w:tc>
          </w:sdtContent>
        </w:sdt>
        <w:sdt>
          <w:sdtPr>
            <w:tag w:val="_PLD_009827f9d29b405eab229d0b13086ac5"/>
            <w:id w:val="-1829509838"/>
          </w:sdtPr>
          <w:sdtContent>
            <w:tc>
              <w:tcPr>
                <w:tcW w:w="654" w:type="pct"/>
                <w:vAlign w:val="center"/>
              </w:tcPr>
              <w:p w14:paraId="30100EE0" w14:textId="77777777" w:rsidR="00577D08" w:rsidRDefault="00330FC0">
                <w:pPr>
                  <w:widowControl w:val="0"/>
                  <w:snapToGrid w:val="0"/>
                  <w:spacing w:line="240" w:lineRule="atLeast"/>
                  <w:jc w:val="center"/>
                </w:pPr>
                <w:r>
                  <w:rPr>
                    <w:rFonts w:hint="eastAsia"/>
                  </w:rPr>
                  <w:t>账面价值</w:t>
                </w:r>
              </w:p>
            </w:tc>
          </w:sdtContent>
        </w:sdt>
        <w:sdt>
          <w:sdtPr>
            <w:tag w:val="_PLD_e4abfaf63399454481002c5b6c563ab6"/>
            <w:id w:val="727660636"/>
          </w:sdtPr>
          <w:sdtContent>
            <w:tc>
              <w:tcPr>
                <w:tcW w:w="603" w:type="pct"/>
                <w:vAlign w:val="center"/>
              </w:tcPr>
              <w:p w14:paraId="73177AC4" w14:textId="77777777" w:rsidR="00577D08" w:rsidRDefault="00330FC0">
                <w:pPr>
                  <w:widowControl w:val="0"/>
                  <w:snapToGrid w:val="0"/>
                  <w:spacing w:line="240" w:lineRule="atLeast"/>
                  <w:jc w:val="center"/>
                </w:pPr>
                <w:r>
                  <w:rPr>
                    <w:rFonts w:hint="eastAsia"/>
                  </w:rPr>
                  <w:t>可收回金额</w:t>
                </w:r>
              </w:p>
            </w:tc>
          </w:sdtContent>
        </w:sdt>
        <w:sdt>
          <w:sdtPr>
            <w:tag w:val="_PLD_9f018510ed2a4aefa42ca831a177c280"/>
            <w:id w:val="1819225312"/>
          </w:sdtPr>
          <w:sdtContent>
            <w:tc>
              <w:tcPr>
                <w:tcW w:w="503" w:type="pct"/>
                <w:vAlign w:val="center"/>
              </w:tcPr>
              <w:p w14:paraId="66CDB7C6" w14:textId="77777777" w:rsidR="00577D08" w:rsidRDefault="00330FC0">
                <w:pPr>
                  <w:widowControl w:val="0"/>
                  <w:snapToGrid w:val="0"/>
                  <w:spacing w:line="240" w:lineRule="atLeast"/>
                  <w:jc w:val="center"/>
                </w:pPr>
                <w:r>
                  <w:rPr>
                    <w:rFonts w:hint="eastAsia"/>
                  </w:rPr>
                  <w:t>减值金额</w:t>
                </w:r>
              </w:p>
            </w:tc>
          </w:sdtContent>
        </w:sdt>
        <w:sdt>
          <w:sdtPr>
            <w:tag w:val="_PLD_e2ddddf1a8254cfaa6e99b7515598bce"/>
            <w:id w:val="-614604581"/>
          </w:sdtPr>
          <w:sdtContent>
            <w:tc>
              <w:tcPr>
                <w:tcW w:w="755" w:type="pct"/>
                <w:vAlign w:val="center"/>
              </w:tcPr>
              <w:p w14:paraId="7D100975" w14:textId="77777777" w:rsidR="00577D08" w:rsidRDefault="00330FC0">
                <w:pPr>
                  <w:widowControl w:val="0"/>
                  <w:snapToGrid w:val="0"/>
                  <w:spacing w:line="240" w:lineRule="atLeast"/>
                  <w:jc w:val="center"/>
                </w:pPr>
                <w:r>
                  <w:rPr>
                    <w:rFonts w:hint="eastAsia"/>
                  </w:rPr>
                  <w:t>公允价值和处置费用的确定方式</w:t>
                </w:r>
              </w:p>
            </w:tc>
          </w:sdtContent>
        </w:sdt>
        <w:sdt>
          <w:sdtPr>
            <w:tag w:val="_PLD_b35699979a964a9a8ed41f1ce25ce991"/>
            <w:id w:val="-1889025011"/>
          </w:sdtPr>
          <w:sdtContent>
            <w:tc>
              <w:tcPr>
                <w:tcW w:w="653" w:type="pct"/>
                <w:vAlign w:val="center"/>
              </w:tcPr>
              <w:p w14:paraId="6B47C83C" w14:textId="77777777" w:rsidR="00577D08" w:rsidRDefault="00330FC0">
                <w:pPr>
                  <w:widowControl w:val="0"/>
                  <w:snapToGrid w:val="0"/>
                  <w:spacing w:line="240" w:lineRule="atLeast"/>
                  <w:jc w:val="center"/>
                </w:pPr>
                <w:r>
                  <w:rPr>
                    <w:rFonts w:hint="eastAsia"/>
                  </w:rPr>
                  <w:t>关键参数</w:t>
                </w:r>
              </w:p>
            </w:tc>
          </w:sdtContent>
        </w:sdt>
        <w:sdt>
          <w:sdtPr>
            <w:tag w:val="_PLD_21b7bf972095486480aa93c77320f7c5"/>
            <w:id w:val="-1777860524"/>
          </w:sdtPr>
          <w:sdtContent>
            <w:tc>
              <w:tcPr>
                <w:tcW w:w="1440" w:type="pct"/>
                <w:vAlign w:val="center"/>
              </w:tcPr>
              <w:p w14:paraId="3BD99404" w14:textId="77777777" w:rsidR="00577D08" w:rsidRDefault="00330FC0">
                <w:pPr>
                  <w:widowControl w:val="0"/>
                  <w:snapToGrid w:val="0"/>
                  <w:spacing w:line="240" w:lineRule="atLeast"/>
                  <w:jc w:val="center"/>
                </w:pPr>
                <w:r>
                  <w:rPr>
                    <w:rFonts w:hint="eastAsia"/>
                  </w:rPr>
                  <w:t>关键参数的确定依据</w:t>
                </w:r>
              </w:p>
            </w:tc>
          </w:sdtContent>
        </w:sdt>
      </w:tr>
      <w:tr w:rsidR="00577D08" w14:paraId="4CD44FC6" w14:textId="77777777">
        <w:tc>
          <w:tcPr>
            <w:tcW w:w="391" w:type="pct"/>
            <w:vAlign w:val="center"/>
          </w:tcPr>
          <w:p w14:paraId="7B457CFB" w14:textId="77777777" w:rsidR="00577D08" w:rsidRDefault="00330FC0">
            <w:pPr>
              <w:widowControl w:val="0"/>
              <w:snapToGrid w:val="0"/>
              <w:spacing w:line="240" w:lineRule="atLeast"/>
              <w:jc w:val="both"/>
            </w:pPr>
            <w:r>
              <w:rPr>
                <w:rFonts w:hint="eastAsia"/>
              </w:rPr>
              <w:t>其他项目</w:t>
            </w:r>
          </w:p>
        </w:tc>
        <w:tc>
          <w:tcPr>
            <w:tcW w:w="654" w:type="pct"/>
            <w:vAlign w:val="center"/>
          </w:tcPr>
          <w:p w14:paraId="33D8B2D4" w14:textId="77777777" w:rsidR="00577D08" w:rsidRDefault="00330FC0">
            <w:pPr>
              <w:widowControl w:val="0"/>
              <w:snapToGrid w:val="0"/>
              <w:spacing w:line="240" w:lineRule="atLeast"/>
              <w:jc w:val="right"/>
            </w:pPr>
            <w:r>
              <w:t>2,885,383.18</w:t>
            </w:r>
          </w:p>
        </w:tc>
        <w:tc>
          <w:tcPr>
            <w:tcW w:w="603" w:type="pct"/>
            <w:vAlign w:val="center"/>
          </w:tcPr>
          <w:p w14:paraId="1B513C6B" w14:textId="77777777" w:rsidR="00577D08" w:rsidRDefault="00330FC0">
            <w:pPr>
              <w:widowControl w:val="0"/>
              <w:snapToGrid w:val="0"/>
              <w:spacing w:line="240" w:lineRule="atLeast"/>
              <w:jc w:val="right"/>
            </w:pPr>
            <w:r>
              <w:t>2,167,595.57</w:t>
            </w:r>
          </w:p>
        </w:tc>
        <w:tc>
          <w:tcPr>
            <w:tcW w:w="503" w:type="pct"/>
            <w:vAlign w:val="center"/>
          </w:tcPr>
          <w:p w14:paraId="1687A0B4" w14:textId="77777777" w:rsidR="00577D08" w:rsidRDefault="00330FC0">
            <w:pPr>
              <w:widowControl w:val="0"/>
              <w:snapToGrid w:val="0"/>
              <w:spacing w:line="240" w:lineRule="atLeast"/>
              <w:jc w:val="right"/>
            </w:pPr>
            <w:r>
              <w:t>717,787.61</w:t>
            </w:r>
          </w:p>
        </w:tc>
        <w:tc>
          <w:tcPr>
            <w:tcW w:w="755" w:type="pct"/>
            <w:vAlign w:val="center"/>
          </w:tcPr>
          <w:p w14:paraId="6C2CC5F8" w14:textId="77777777" w:rsidR="00577D08" w:rsidRDefault="00330FC0">
            <w:pPr>
              <w:widowControl w:val="0"/>
              <w:snapToGrid w:val="0"/>
              <w:spacing w:line="240" w:lineRule="atLeast"/>
              <w:jc w:val="both"/>
            </w:pPr>
            <w:r>
              <w:rPr>
                <w:rFonts w:hint="eastAsia"/>
              </w:rPr>
              <w:t>公允价值采用重置成本法、处置费用为与处置资产有关的费用</w:t>
            </w:r>
          </w:p>
        </w:tc>
        <w:tc>
          <w:tcPr>
            <w:tcW w:w="653" w:type="pct"/>
            <w:vAlign w:val="center"/>
          </w:tcPr>
          <w:p w14:paraId="0CB3BE39" w14:textId="77777777" w:rsidR="00577D08" w:rsidRDefault="00330FC0">
            <w:pPr>
              <w:widowControl w:val="0"/>
              <w:snapToGrid w:val="0"/>
              <w:spacing w:line="240" w:lineRule="atLeast"/>
              <w:jc w:val="both"/>
            </w:pPr>
            <w:r>
              <w:rPr>
                <w:rFonts w:hint="eastAsia"/>
              </w:rPr>
              <w:t>重置成本、处置费用</w:t>
            </w:r>
          </w:p>
        </w:tc>
        <w:tc>
          <w:tcPr>
            <w:tcW w:w="1440" w:type="pct"/>
            <w:vAlign w:val="center"/>
          </w:tcPr>
          <w:p w14:paraId="66953F63" w14:textId="77777777" w:rsidR="00577D08" w:rsidRDefault="00330FC0">
            <w:pPr>
              <w:widowControl w:val="0"/>
              <w:snapToGrid w:val="0"/>
              <w:spacing w:line="240" w:lineRule="atLeast"/>
              <w:jc w:val="both"/>
            </w:pPr>
            <w:r>
              <w:rPr>
                <w:rFonts w:hint="eastAsia"/>
              </w:rPr>
              <w:t>①重置成本：以建设工程造价、其前期及其他费用及资金成本之和估算</w:t>
            </w:r>
          </w:p>
          <w:p w14:paraId="06AD9907" w14:textId="77777777" w:rsidR="00577D08" w:rsidRDefault="00330FC0">
            <w:pPr>
              <w:widowControl w:val="0"/>
              <w:snapToGrid w:val="0"/>
              <w:spacing w:line="240" w:lineRule="atLeast"/>
              <w:jc w:val="both"/>
            </w:pPr>
            <w:r>
              <w:rPr>
                <w:rFonts w:hint="eastAsia"/>
              </w:rPr>
              <w:t>②处置费用：包括与资产处置有关的法律费用、相关税费、搬运费以及为使资产达到可销售状态所发生的直接费用等</w:t>
            </w:r>
          </w:p>
        </w:tc>
      </w:tr>
      <w:tr w:rsidR="00577D08" w14:paraId="67A69EB8" w14:textId="77777777">
        <w:tc>
          <w:tcPr>
            <w:tcW w:w="391" w:type="pct"/>
            <w:vAlign w:val="center"/>
          </w:tcPr>
          <w:p w14:paraId="08053B8B" w14:textId="77777777" w:rsidR="00577D08" w:rsidRDefault="00330FC0">
            <w:pPr>
              <w:widowControl w:val="0"/>
              <w:snapToGrid w:val="0"/>
              <w:spacing w:line="240" w:lineRule="atLeast"/>
              <w:jc w:val="center"/>
            </w:pPr>
            <w:r>
              <w:t>合计</w:t>
            </w:r>
          </w:p>
        </w:tc>
        <w:tc>
          <w:tcPr>
            <w:tcW w:w="654" w:type="pct"/>
            <w:vAlign w:val="center"/>
          </w:tcPr>
          <w:p w14:paraId="4BCA0A74" w14:textId="77777777" w:rsidR="00577D08" w:rsidRDefault="00330FC0">
            <w:pPr>
              <w:widowControl w:val="0"/>
              <w:snapToGrid w:val="0"/>
              <w:spacing w:line="240" w:lineRule="atLeast"/>
              <w:jc w:val="right"/>
            </w:pPr>
            <w:r>
              <w:t>2,885,383.18</w:t>
            </w:r>
          </w:p>
        </w:tc>
        <w:tc>
          <w:tcPr>
            <w:tcW w:w="603" w:type="pct"/>
            <w:vAlign w:val="center"/>
          </w:tcPr>
          <w:p w14:paraId="20FFDE82" w14:textId="77777777" w:rsidR="00577D08" w:rsidRDefault="00330FC0">
            <w:pPr>
              <w:widowControl w:val="0"/>
              <w:snapToGrid w:val="0"/>
              <w:spacing w:line="240" w:lineRule="atLeast"/>
              <w:jc w:val="right"/>
            </w:pPr>
            <w:r>
              <w:t>2,167,595.57</w:t>
            </w:r>
          </w:p>
        </w:tc>
        <w:tc>
          <w:tcPr>
            <w:tcW w:w="503" w:type="pct"/>
            <w:vAlign w:val="center"/>
          </w:tcPr>
          <w:p w14:paraId="1307D6F4" w14:textId="77777777" w:rsidR="00577D08" w:rsidRDefault="00330FC0">
            <w:pPr>
              <w:widowControl w:val="0"/>
              <w:snapToGrid w:val="0"/>
              <w:spacing w:line="240" w:lineRule="atLeast"/>
              <w:jc w:val="right"/>
            </w:pPr>
            <w:r>
              <w:t>717,787.61</w:t>
            </w:r>
          </w:p>
        </w:tc>
        <w:tc>
          <w:tcPr>
            <w:tcW w:w="755" w:type="pct"/>
            <w:vAlign w:val="center"/>
          </w:tcPr>
          <w:p w14:paraId="2ECE0B2F" w14:textId="77777777" w:rsidR="00577D08" w:rsidRDefault="00330FC0">
            <w:pPr>
              <w:widowControl w:val="0"/>
              <w:snapToGrid w:val="0"/>
              <w:spacing w:line="240" w:lineRule="atLeast"/>
              <w:jc w:val="center"/>
            </w:pPr>
            <w:r>
              <w:rPr>
                <w:rFonts w:hint="eastAsia"/>
              </w:rPr>
              <w:t>/</w:t>
            </w:r>
          </w:p>
        </w:tc>
        <w:tc>
          <w:tcPr>
            <w:tcW w:w="653" w:type="pct"/>
            <w:vAlign w:val="center"/>
          </w:tcPr>
          <w:p w14:paraId="318FDAEC" w14:textId="77777777" w:rsidR="00577D08" w:rsidRDefault="00330FC0">
            <w:pPr>
              <w:widowControl w:val="0"/>
              <w:snapToGrid w:val="0"/>
              <w:spacing w:line="240" w:lineRule="atLeast"/>
              <w:jc w:val="center"/>
            </w:pPr>
            <w:r>
              <w:rPr>
                <w:rFonts w:hint="eastAsia"/>
              </w:rPr>
              <w:t>/</w:t>
            </w:r>
          </w:p>
        </w:tc>
        <w:tc>
          <w:tcPr>
            <w:tcW w:w="1440" w:type="pct"/>
            <w:vAlign w:val="center"/>
          </w:tcPr>
          <w:p w14:paraId="76CE6932" w14:textId="77777777" w:rsidR="00577D08" w:rsidRDefault="00330FC0">
            <w:pPr>
              <w:widowControl w:val="0"/>
              <w:snapToGrid w:val="0"/>
              <w:spacing w:line="240" w:lineRule="atLeast"/>
              <w:jc w:val="center"/>
            </w:pPr>
            <w:r>
              <w:rPr>
                <w:rFonts w:hint="eastAsia"/>
              </w:rPr>
              <w:t>/</w:t>
            </w:r>
          </w:p>
        </w:tc>
      </w:tr>
    </w:tbl>
    <w:p w14:paraId="7E23E6E9" w14:textId="77777777" w:rsidR="00577D08" w:rsidRDefault="00330FC0">
      <w:pPr>
        <w:pStyle w:val="6"/>
        <w:ind w:left="105"/>
      </w:pPr>
      <w:r>
        <w:rPr>
          <w:rFonts w:hint="eastAsia"/>
        </w:rPr>
        <w:t>可收回金额按预计未来现金流量的现值确定</w:t>
      </w:r>
    </w:p>
    <w:sdt>
      <w:sdtPr>
        <w:rPr>
          <w:rFonts w:hint="eastAsia"/>
        </w:rPr>
        <w:alias w:val="是否适用：可收回金额按预计未来现金流量的现值确定[双击切换]"/>
        <w:tag w:val="_GBC_ea285cba95d04aae86fc950e09c04394"/>
        <w:id w:val="-453332985"/>
        <w:placeholder>
          <w:docPart w:val="GBC22222222222222222222222222222"/>
        </w:placeholder>
      </w:sdtPr>
      <w:sdtContent>
        <w:p w14:paraId="425E725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C54D9C1" w14:textId="77777777" w:rsidR="00577D08" w:rsidRDefault="00330FC0">
      <w:pPr>
        <w:pStyle w:val="6"/>
        <w:ind w:left="105"/>
      </w:pPr>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773ceb30e8424e53bb816ca62cef3995"/>
        <w:id w:val="2085642741"/>
        <w:placeholder>
          <w:docPart w:val="GBC22222222222222222222222222222"/>
        </w:placeholder>
      </w:sdtPr>
      <w:sdtContent>
        <w:p w14:paraId="1E32A7C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85ADE33" w14:textId="77777777" w:rsidR="00577D08" w:rsidRDefault="00330FC0">
      <w:pPr>
        <w:pStyle w:val="6"/>
        <w:ind w:left="105"/>
      </w:pPr>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92dac75ad56344d69181c076d6d1699a"/>
        <w:id w:val="2121720680"/>
        <w:placeholder>
          <w:docPart w:val="GBC22222222222222222222222222222"/>
        </w:placeholder>
      </w:sdtPr>
      <w:sdtContent>
        <w:p w14:paraId="710B15C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02"/>
    <w:p w14:paraId="514E750A" w14:textId="77777777" w:rsidR="00577D08" w:rsidRDefault="00330FC0">
      <w:r>
        <w:rPr>
          <w:rFonts w:hint="eastAsia"/>
        </w:rPr>
        <w:t>其他说明：</w:t>
      </w:r>
    </w:p>
    <w:sdt>
      <w:sdtPr>
        <w:alias w:val="是否适用：在建工程的说明[双击切换]"/>
        <w:tag w:val="_GBC_e6220a45d928426882f5c3ad23ff2098"/>
        <w:id w:val="-101349290"/>
        <w:placeholder>
          <w:docPart w:val="GBC22222222222222222222222222222"/>
        </w:placeholder>
      </w:sdtPr>
      <w:sdtContent>
        <w:p w14:paraId="49ECD813" w14:textId="77777777" w:rsidR="00577D08" w:rsidRDefault="00330FC0">
          <w:pPr>
            <w:rPr>
              <w:color w:val="FF0000"/>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E2A29C5" w14:textId="77777777" w:rsidR="00577D08" w:rsidRDefault="00330FC0">
      <w:pPr>
        <w:pStyle w:val="4"/>
        <w:ind w:left="360" w:hanging="360"/>
        <w:rPr>
          <w:rFonts w:hint="eastAsia"/>
        </w:rPr>
      </w:pPr>
      <w:bookmarkStart w:id="403" w:name="_Hlk532903321"/>
      <w:r>
        <w:rPr>
          <w:rFonts w:hint="eastAsia"/>
        </w:rPr>
        <w:t>工程物资</w:t>
      </w:r>
    </w:p>
    <w:p w14:paraId="52912E60" w14:textId="77777777" w:rsidR="00577D08" w:rsidRDefault="00330FC0">
      <w:pPr>
        <w:pStyle w:val="5"/>
        <w:numPr>
          <w:ilvl w:val="0"/>
          <w:numId w:val="78"/>
        </w:numPr>
        <w:ind w:leftChars="0"/>
      </w:pPr>
      <w:r>
        <w:rPr>
          <w:rFonts w:hint="eastAsia"/>
        </w:rPr>
        <w:t>工程物资情况</w:t>
      </w:r>
    </w:p>
    <w:sdt>
      <w:sdtPr>
        <w:alias w:val="是否适用：工程物资[双击切换]"/>
        <w:tag w:val="_GBC_91916c11fa864423a1c0e6a4024fdda5"/>
        <w:id w:val="1335428089"/>
        <w:placeholder>
          <w:docPart w:val="GBC22222222222222222222222222222"/>
        </w:placeholder>
      </w:sdtPr>
      <w:sdtContent>
        <w:p w14:paraId="26AD017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1E6EAD" w14:textId="77777777" w:rsidR="00577D08" w:rsidRDefault="00577D08"/>
    <w:p w14:paraId="6888B604" w14:textId="77777777" w:rsidR="00577D08" w:rsidRDefault="00577D08">
      <w:pPr>
        <w:rPr>
          <w:rFonts w:cstheme="minorBidi"/>
        </w:rPr>
        <w:sectPr w:rsidR="00577D08">
          <w:pgSz w:w="16838" w:h="11906" w:orient="landscape"/>
          <w:pgMar w:top="1276" w:right="1440" w:bottom="1797" w:left="1525" w:header="856" w:footer="992" w:gutter="0"/>
          <w:cols w:space="425"/>
          <w:docGrid w:linePitch="312"/>
        </w:sectPr>
      </w:pPr>
    </w:p>
    <w:bookmarkEnd w:id="403"/>
    <w:p w14:paraId="5FBBA91E"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lastRenderedPageBreak/>
        <w:t>生产性生物资产</w:t>
      </w:r>
    </w:p>
    <w:p w14:paraId="3D53D2CB" w14:textId="77777777" w:rsidR="00577D08" w:rsidRDefault="00330FC0">
      <w:pPr>
        <w:pStyle w:val="4"/>
        <w:numPr>
          <w:ilvl w:val="3"/>
          <w:numId w:val="79"/>
        </w:numPr>
        <w:ind w:left="426" w:hanging="426"/>
        <w:rPr>
          <w:rFonts w:hint="eastAsia"/>
        </w:rPr>
      </w:pPr>
      <w:r>
        <w:rPr>
          <w:rFonts w:hint="eastAsia"/>
        </w:rPr>
        <w:t>采用成本计量模式的生产性生物资产</w:t>
      </w:r>
    </w:p>
    <w:sdt>
      <w:sdtPr>
        <w:rPr>
          <w:rFonts w:hint="eastAsia"/>
        </w:rPr>
        <w:alias w:val="是否适用：财务附注：以成本计量的生产性生物资产[双击切换]"/>
        <w:tag w:val="_GBC_925c2a7345d74ba1bae908f2c1695459"/>
        <w:id w:val="-1125928794"/>
        <w:placeholder>
          <w:docPart w:val="GBC22222222222222222222222222222"/>
        </w:placeholder>
      </w:sdtPr>
      <w:sdtContent>
        <w:p w14:paraId="53CA88F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BF64A8C" w14:textId="77777777" w:rsidR="00577D08" w:rsidRDefault="00330FC0">
      <w:pPr>
        <w:pStyle w:val="4"/>
        <w:numPr>
          <w:ilvl w:val="3"/>
          <w:numId w:val="79"/>
        </w:numPr>
        <w:ind w:left="426" w:hanging="426"/>
        <w:rPr>
          <w:rFonts w:ascii="宋体" w:eastAsia="宋体" w:hAnsi="宋体" w:cstheme="minorBidi" w:hint="eastAsia"/>
          <w:kern w:val="0"/>
          <w:szCs w:val="24"/>
        </w:rPr>
      </w:pPr>
      <w:bookmarkStart w:id="404" w:name="_Hlk153461442"/>
      <w:r>
        <w:rPr>
          <w:rFonts w:ascii="宋体" w:eastAsia="宋体" w:hAnsi="宋体" w:cstheme="minorBidi" w:hint="eastAsia"/>
          <w:kern w:val="0"/>
          <w:szCs w:val="24"/>
        </w:rPr>
        <w:t>采用成本计量模式的生产性生物资产的减值测试情况</w:t>
      </w:r>
    </w:p>
    <w:sdt>
      <w:sdtPr>
        <w:alias w:val="是否适用：减值测试情况[双击切换]"/>
        <w:tag w:val="_GBC_1463ca9b414a4cb28d5d13fd1d3b8486"/>
        <w:id w:val="1714610961"/>
        <w:placeholder>
          <w:docPart w:val="GBC22222222222222222222222222222"/>
        </w:placeholder>
      </w:sdtPr>
      <w:sdtContent>
        <w:p w14:paraId="5296A14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04"/>
    <w:p w14:paraId="77B5A7AF" w14:textId="77777777" w:rsidR="00577D08" w:rsidRDefault="00330FC0">
      <w:pPr>
        <w:pStyle w:val="4"/>
        <w:numPr>
          <w:ilvl w:val="3"/>
          <w:numId w:val="79"/>
        </w:numPr>
        <w:ind w:left="426" w:hanging="426"/>
        <w:rPr>
          <w:rFonts w:hint="eastAsia"/>
        </w:rPr>
      </w:pPr>
      <w:r>
        <w:rPr>
          <w:rFonts w:hint="eastAsia"/>
        </w:rPr>
        <w:t>采用公允价值计量模式的生产性生物资产</w:t>
      </w:r>
    </w:p>
    <w:sdt>
      <w:sdtPr>
        <w:alias w:val="是否适用：财务附注：以公允价值计量的生产性生物资产[双击切换]"/>
        <w:tag w:val="_GBC_9b7a21a74fee4d22abc99ad9ee747e07"/>
        <w:id w:val="-1003973520"/>
        <w:placeholder>
          <w:docPart w:val="GBC22222222222222222222222222222"/>
        </w:placeholder>
      </w:sdtPr>
      <w:sdtContent>
        <w:p w14:paraId="0EEED9B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C220B2D" w14:textId="77777777" w:rsidR="00577D08" w:rsidRDefault="00330FC0">
      <w:pPr>
        <w:autoSpaceDE w:val="0"/>
        <w:autoSpaceDN w:val="0"/>
        <w:adjustRightInd w:val="0"/>
      </w:pPr>
      <w:r>
        <w:rPr>
          <w:rFonts w:hint="eastAsia"/>
        </w:rPr>
        <w:t>其他说明：</w:t>
      </w:r>
    </w:p>
    <w:sdt>
      <w:sdtPr>
        <w:alias w:val="是否适用：生产性生物资产的说明[双击切换]"/>
        <w:tag w:val="_GBC_d3e0f749d04b4097a0886c38dadda8f4"/>
        <w:id w:val="-1894655111"/>
        <w:placeholder>
          <w:docPart w:val="GBC22222222222222222222222222222"/>
        </w:placeholder>
      </w:sdtPr>
      <w:sdtContent>
        <w:p w14:paraId="4113C02C" w14:textId="77777777" w:rsidR="00577D08" w:rsidRDefault="00330FC0">
          <w:pPr>
            <w:autoSpaceDE w:val="0"/>
            <w:autoSpaceDN w:val="0"/>
            <w:adjustRightInd w:val="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C03785"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油气资产</w:t>
      </w:r>
    </w:p>
    <w:p w14:paraId="421EB37F" w14:textId="77777777" w:rsidR="00577D08" w:rsidRDefault="00330FC0">
      <w:pPr>
        <w:pStyle w:val="4"/>
        <w:numPr>
          <w:ilvl w:val="0"/>
          <w:numId w:val="80"/>
        </w:numPr>
        <w:ind w:left="450" w:hanging="450"/>
        <w:rPr>
          <w:rFonts w:hint="eastAsia"/>
        </w:rPr>
      </w:pPr>
      <w:r>
        <w:rPr>
          <w:rFonts w:hint="eastAsia"/>
        </w:rPr>
        <w:t>油气资产情况</w:t>
      </w:r>
    </w:p>
    <w:sdt>
      <w:sdtPr>
        <w:alias w:val="是否适用：油气资产[双击切换]"/>
        <w:tag w:val="_GBC_a587239cd6ac4d96b99f6fe496e97c34"/>
        <w:id w:val="-953557925"/>
        <w:placeholder>
          <w:docPart w:val="GBC22222222222222222222222222222"/>
        </w:placeholder>
      </w:sdtPr>
      <w:sdtContent>
        <w:p w14:paraId="2ED8E23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6BDC21" w14:textId="77777777" w:rsidR="00577D08" w:rsidRDefault="00330FC0">
      <w:pPr>
        <w:pStyle w:val="4"/>
        <w:numPr>
          <w:ilvl w:val="0"/>
          <w:numId w:val="80"/>
        </w:numPr>
        <w:ind w:left="450" w:hanging="450"/>
        <w:rPr>
          <w:rFonts w:hint="eastAsia"/>
        </w:rPr>
      </w:pPr>
      <w:bookmarkStart w:id="405" w:name="_Hlk153461604"/>
      <w:r>
        <w:rPr>
          <w:rFonts w:hint="eastAsia"/>
        </w:rPr>
        <w:t>油气资产的减值测试情况</w:t>
      </w:r>
    </w:p>
    <w:sdt>
      <w:sdtPr>
        <w:alias w:val="是否适用：减值测试情况[双击切换]"/>
        <w:tag w:val="_GBC_c658db7dbb96462dbe4ab745ca73e3ca"/>
        <w:id w:val="1182239893"/>
        <w:placeholder>
          <w:docPart w:val="GBC22222222222222222222222222222"/>
        </w:placeholder>
      </w:sdtPr>
      <w:sdtContent>
        <w:p w14:paraId="31E8D10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A6E63C" w14:textId="77777777" w:rsidR="00577D08" w:rsidRDefault="00330FC0">
      <w:pPr>
        <w:autoSpaceDE w:val="0"/>
        <w:autoSpaceDN w:val="0"/>
        <w:adjustRightInd w:val="0"/>
      </w:pPr>
      <w:bookmarkStart w:id="406" w:name="_Hlk152863119"/>
      <w:bookmarkEnd w:id="405"/>
      <w:r>
        <w:rPr>
          <w:rFonts w:hint="eastAsia"/>
        </w:rPr>
        <w:t>其他说明：</w:t>
      </w:r>
    </w:p>
    <w:p w14:paraId="5CDB6197" w14:textId="77777777" w:rsidR="00577D08" w:rsidRDefault="00000000">
      <w:sdt>
        <w:sdtPr>
          <w:alias w:val="油气资产的说明"/>
          <w:tag w:val="_GBC_4766b2b071af48e7aaf22a35a082671e"/>
          <w:id w:val="-1113209736"/>
          <w:placeholder>
            <w:docPart w:val="GBC22222222222222222222222222222"/>
          </w:placeholder>
        </w:sdtPr>
        <w:sdtContent>
          <w:r w:rsidR="00330FC0">
            <w:rPr>
              <w:rFonts w:hint="eastAsia"/>
            </w:rPr>
            <w:t>无</w:t>
          </w:r>
        </w:sdtContent>
      </w:sdt>
    </w:p>
    <w:bookmarkEnd w:id="406" w:displacedByCustomXml="next"/>
    <w:bookmarkStart w:id="407" w:name="_Hlk121390344" w:displacedByCustomXml="next"/>
    <w:bookmarkStart w:id="408" w:name="_Hlk24026112" w:displacedByCustomXml="next"/>
    <w:sdt>
      <w:sdtPr>
        <w:rPr>
          <w:rFonts w:ascii="宋体" w:hAnsi="宋体" w:cs="宋体" w:hint="eastAsia"/>
          <w:b w:val="0"/>
          <w:bCs w:val="0"/>
          <w:kern w:val="0"/>
          <w:szCs w:val="21"/>
        </w:rPr>
        <w:alias w:val="模块:使用权资产"/>
        <w:tag w:val="_SEC_56ef077439914c3f97ba31c1af9eef32"/>
        <w:id w:val="-225836857"/>
        <w:placeholder>
          <w:docPart w:val="GBC22222222222222222222222222222"/>
        </w:placeholder>
      </w:sdtPr>
      <w:sdtEndPr>
        <w:rPr>
          <w:rFonts w:ascii="Times New Roman" w:hAnsi="Times New Roman" w:cs="Times New Roman"/>
          <w:szCs w:val="20"/>
        </w:rPr>
      </w:sdtEndPr>
      <w:sdtContent>
        <w:sdt>
          <w:sdtPr>
            <w:tag w:val="_PLD_711cc8de7e9f47e8bf0e59a53059ca2e"/>
            <w:id w:val="-1559245775"/>
          </w:sdtPr>
          <w:sdtContent>
            <w:p w14:paraId="673BB6DE" w14:textId="77777777" w:rsidR="00577D08" w:rsidRDefault="00330FC0">
              <w:pPr>
                <w:pStyle w:val="3"/>
                <w:numPr>
                  <w:ilvl w:val="0"/>
                  <w:numId w:val="61"/>
                </w:numPr>
                <w:tabs>
                  <w:tab w:val="left" w:pos="504"/>
                </w:tabs>
                <w:rPr>
                  <w:szCs w:val="21"/>
                </w:rPr>
              </w:pPr>
              <w:r>
                <w:rPr>
                  <w:rFonts w:hint="eastAsia"/>
                  <w:szCs w:val="21"/>
                </w:rPr>
                <w:t>使用权资产</w:t>
              </w:r>
            </w:p>
          </w:sdtContent>
        </w:sdt>
        <w:p w14:paraId="78E35AC1" w14:textId="77777777" w:rsidR="00577D08" w:rsidRDefault="00330FC0">
          <w:pPr>
            <w:pStyle w:val="4"/>
            <w:numPr>
              <w:ilvl w:val="0"/>
              <w:numId w:val="81"/>
            </w:numPr>
            <w:rPr>
              <w:rFonts w:hint="eastAsia"/>
            </w:rPr>
          </w:pPr>
          <w:r>
            <w:rPr>
              <w:rFonts w:hint="eastAsia"/>
            </w:rPr>
            <w:t>使用权资产情况</w:t>
          </w:r>
        </w:p>
        <w:sdt>
          <w:sdtPr>
            <w:alias w:val="是否适用：使用权资产[双击切换]"/>
            <w:tag w:val="_GBC_0d86ed9789d84ef592fcb1556e3f676f"/>
            <w:id w:val="-388028994"/>
            <w:placeholder>
              <w:docPart w:val="GBC22222222222222222222222222222"/>
            </w:placeholder>
          </w:sdtPr>
          <w:sdtContent>
            <w:p w14:paraId="451DA4D6"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497000" w14:textId="11858590" w:rsidR="00577D08" w:rsidRDefault="00330FC0">
          <w:pPr>
            <w:autoSpaceDE w:val="0"/>
            <w:autoSpaceDN w:val="0"/>
            <w:adjustRightInd w:val="0"/>
            <w:jc w:val="right"/>
          </w:pPr>
          <w:r>
            <w:rPr>
              <w:rFonts w:hint="eastAsia"/>
            </w:rPr>
            <w:t>单位：</w:t>
          </w:r>
          <w:sdt>
            <w:sdtPr>
              <w:rPr>
                <w:rFonts w:hint="eastAsia"/>
              </w:rPr>
              <w:alias w:val="单位：使用权资产"/>
              <w:tag w:val="_GBC_f958637710fb400c8900b59a67a7bfeb"/>
              <w:id w:val="83080125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使用权资产"/>
              <w:tag w:val="_GBC_52957ed8d1644c96801bc28a57ac0486"/>
              <w:id w:val="-20044238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424"/>
            <w:gridCol w:w="1424"/>
            <w:gridCol w:w="1361"/>
            <w:gridCol w:w="1377"/>
            <w:gridCol w:w="1424"/>
          </w:tblGrid>
          <w:tr w:rsidR="00577D08" w14:paraId="1A1FDF5E" w14:textId="77777777">
            <w:trPr>
              <w:trHeight w:val="284"/>
            </w:trPr>
            <w:sdt>
              <w:sdtPr>
                <w:tag w:val="_PLD_6e52ac1447e040bbbee6d5db3fc1c995"/>
                <w:id w:val="216868098"/>
              </w:sdtPr>
              <w:sdtContent>
                <w:tc>
                  <w:tcPr>
                    <w:tcW w:w="1040" w:type="pct"/>
                    <w:vAlign w:val="center"/>
                  </w:tcPr>
                  <w:p w14:paraId="255A63B4" w14:textId="77777777" w:rsidR="00577D08" w:rsidRDefault="00330FC0">
                    <w:pPr>
                      <w:spacing w:line="240" w:lineRule="atLeast"/>
                      <w:jc w:val="center"/>
                    </w:pPr>
                    <w:r>
                      <w:rPr>
                        <w:rFonts w:hint="eastAsia"/>
                      </w:rPr>
                      <w:t>项目</w:t>
                    </w:r>
                  </w:p>
                </w:tc>
              </w:sdtContent>
            </w:sdt>
            <w:tc>
              <w:tcPr>
                <w:tcW w:w="787" w:type="pct"/>
              </w:tcPr>
              <w:p w14:paraId="17AFB09B" w14:textId="77777777" w:rsidR="00577D08" w:rsidRDefault="00330FC0">
                <w:pPr>
                  <w:spacing w:line="240" w:lineRule="atLeast"/>
                  <w:jc w:val="center"/>
                </w:pPr>
                <w:r>
                  <w:rPr>
                    <w:rFonts w:hint="eastAsia"/>
                  </w:rPr>
                  <w:t>房屋建筑物</w:t>
                </w:r>
              </w:p>
            </w:tc>
            <w:tc>
              <w:tcPr>
                <w:tcW w:w="787" w:type="pct"/>
              </w:tcPr>
              <w:p w14:paraId="4A16F756" w14:textId="77777777" w:rsidR="00577D08" w:rsidRDefault="00330FC0">
                <w:pPr>
                  <w:spacing w:line="240" w:lineRule="atLeast"/>
                  <w:jc w:val="center"/>
                </w:pPr>
                <w:r>
                  <w:rPr>
                    <w:rFonts w:hint="eastAsia"/>
                  </w:rPr>
                  <w:t>机器设备</w:t>
                </w:r>
              </w:p>
            </w:tc>
            <w:tc>
              <w:tcPr>
                <w:tcW w:w="783" w:type="pct"/>
              </w:tcPr>
              <w:p w14:paraId="6E1B6D97" w14:textId="77777777" w:rsidR="00577D08" w:rsidRDefault="00330FC0">
                <w:pPr>
                  <w:spacing w:line="240" w:lineRule="atLeast"/>
                  <w:jc w:val="center"/>
                </w:pPr>
                <w:r>
                  <w:rPr>
                    <w:rFonts w:hint="eastAsia"/>
                  </w:rPr>
                  <w:t>运输工具</w:t>
                </w:r>
              </w:p>
            </w:tc>
            <w:tc>
              <w:tcPr>
                <w:tcW w:w="792" w:type="pct"/>
              </w:tcPr>
              <w:p w14:paraId="2D482168" w14:textId="77777777" w:rsidR="00577D08" w:rsidRDefault="00330FC0">
                <w:pPr>
                  <w:spacing w:line="240" w:lineRule="atLeast"/>
                  <w:jc w:val="center"/>
                </w:pPr>
                <w:r>
                  <w:rPr>
                    <w:rFonts w:hint="eastAsia"/>
                  </w:rPr>
                  <w:t>土地</w:t>
                </w:r>
              </w:p>
            </w:tc>
            <w:sdt>
              <w:sdtPr>
                <w:tag w:val="_PLD_9c5be9b6ed044311be8a2370c18f35f0"/>
                <w:id w:val="-1501963777"/>
              </w:sdtPr>
              <w:sdtContent>
                <w:tc>
                  <w:tcPr>
                    <w:tcW w:w="811" w:type="pct"/>
                    <w:vAlign w:val="center"/>
                  </w:tcPr>
                  <w:p w14:paraId="43366DD2" w14:textId="77777777" w:rsidR="00577D08" w:rsidRDefault="00330FC0">
                    <w:pPr>
                      <w:spacing w:line="240" w:lineRule="atLeast"/>
                      <w:jc w:val="center"/>
                    </w:pPr>
                    <w:r>
                      <w:t>合计</w:t>
                    </w:r>
                  </w:p>
                </w:tc>
              </w:sdtContent>
            </w:sdt>
          </w:tr>
          <w:tr w:rsidR="00577D08" w14:paraId="5AEB95F3" w14:textId="77777777">
            <w:trPr>
              <w:trHeight w:val="284"/>
            </w:trPr>
            <w:sdt>
              <w:sdtPr>
                <w:tag w:val="_PLD_3548dba12ab44fffb8352baf0a2432b0"/>
                <w:id w:val="-2075185973"/>
              </w:sdtPr>
              <w:sdtContent>
                <w:tc>
                  <w:tcPr>
                    <w:tcW w:w="5000" w:type="pct"/>
                    <w:gridSpan w:val="6"/>
                    <w:vAlign w:val="center"/>
                  </w:tcPr>
                  <w:p w14:paraId="53C8D6F7" w14:textId="77777777" w:rsidR="00577D08" w:rsidRDefault="00330FC0">
                    <w:pPr>
                      <w:spacing w:line="240" w:lineRule="atLeast"/>
                    </w:pPr>
                    <w:r>
                      <w:t>一、</w:t>
                    </w:r>
                    <w:r>
                      <w:rPr>
                        <w:rFonts w:hint="eastAsia"/>
                      </w:rPr>
                      <w:t>账面</w:t>
                    </w:r>
                    <w:r>
                      <w:t>原</w:t>
                    </w:r>
                    <w:r>
                      <w:rPr>
                        <w:rFonts w:hint="eastAsia"/>
                      </w:rPr>
                      <w:t>值</w:t>
                    </w:r>
                  </w:p>
                </w:tc>
              </w:sdtContent>
            </w:sdt>
          </w:tr>
          <w:tr w:rsidR="00577D08" w14:paraId="31AE5527" w14:textId="77777777">
            <w:trPr>
              <w:trHeight w:val="284"/>
            </w:trPr>
            <w:tc>
              <w:tcPr>
                <w:tcW w:w="1040" w:type="pct"/>
                <w:vAlign w:val="center"/>
              </w:tcPr>
              <w:p w14:paraId="1AE46B6A" w14:textId="77777777" w:rsidR="00577D08" w:rsidRDefault="00330FC0">
                <w:pPr>
                  <w:spacing w:line="240" w:lineRule="atLeast"/>
                  <w:ind w:firstLineChars="200" w:firstLine="420"/>
                </w:pPr>
                <w:r>
                  <w:t>1.</w:t>
                </w:r>
                <w:r>
                  <w:rPr>
                    <w:rFonts w:hint="eastAsia"/>
                  </w:rPr>
                  <w:t>期</w:t>
                </w:r>
                <w:r>
                  <w:t>初余额</w:t>
                </w:r>
              </w:p>
            </w:tc>
            <w:tc>
              <w:tcPr>
                <w:tcW w:w="787" w:type="pct"/>
                <w:vAlign w:val="center"/>
              </w:tcPr>
              <w:p w14:paraId="47F976B5" w14:textId="77777777" w:rsidR="00577D08" w:rsidRDefault="00330FC0">
                <w:pPr>
                  <w:spacing w:line="240" w:lineRule="atLeast"/>
                  <w:jc w:val="right"/>
                </w:pPr>
                <w:r>
                  <w:t>11,426,535.08</w:t>
                </w:r>
              </w:p>
            </w:tc>
            <w:tc>
              <w:tcPr>
                <w:tcW w:w="787" w:type="pct"/>
                <w:vAlign w:val="center"/>
              </w:tcPr>
              <w:p w14:paraId="484BD63E" w14:textId="77777777" w:rsidR="00577D08" w:rsidRDefault="00577D08">
                <w:pPr>
                  <w:spacing w:line="240" w:lineRule="atLeast"/>
                  <w:jc w:val="right"/>
                </w:pPr>
              </w:p>
            </w:tc>
            <w:tc>
              <w:tcPr>
                <w:tcW w:w="783" w:type="pct"/>
                <w:vAlign w:val="center"/>
              </w:tcPr>
              <w:p w14:paraId="2066F639" w14:textId="77777777" w:rsidR="00577D08" w:rsidRDefault="00330FC0">
                <w:pPr>
                  <w:spacing w:line="240" w:lineRule="atLeast"/>
                  <w:jc w:val="right"/>
                </w:pPr>
                <w:r>
                  <w:t>807,105.21</w:t>
                </w:r>
              </w:p>
            </w:tc>
            <w:tc>
              <w:tcPr>
                <w:tcW w:w="792" w:type="pct"/>
                <w:vAlign w:val="center"/>
              </w:tcPr>
              <w:p w14:paraId="29009930" w14:textId="77777777" w:rsidR="00577D08" w:rsidRDefault="00577D08">
                <w:pPr>
                  <w:spacing w:line="240" w:lineRule="atLeast"/>
                  <w:jc w:val="right"/>
                </w:pPr>
              </w:p>
            </w:tc>
            <w:tc>
              <w:tcPr>
                <w:tcW w:w="811" w:type="pct"/>
                <w:vAlign w:val="center"/>
              </w:tcPr>
              <w:p w14:paraId="17018DEC" w14:textId="77777777" w:rsidR="00577D08" w:rsidRDefault="00330FC0">
                <w:pPr>
                  <w:spacing w:line="240" w:lineRule="atLeast"/>
                  <w:jc w:val="right"/>
                </w:pPr>
                <w:r>
                  <w:t>12,233,640.29</w:t>
                </w:r>
              </w:p>
            </w:tc>
          </w:tr>
          <w:tr w:rsidR="00577D08" w14:paraId="46138C9C" w14:textId="77777777">
            <w:trPr>
              <w:trHeight w:val="284"/>
            </w:trPr>
            <w:tc>
              <w:tcPr>
                <w:tcW w:w="1040" w:type="pct"/>
                <w:vAlign w:val="center"/>
              </w:tcPr>
              <w:p w14:paraId="08057869" w14:textId="77777777" w:rsidR="00577D08" w:rsidRDefault="00330FC0">
                <w:pPr>
                  <w:spacing w:line="240" w:lineRule="atLeast"/>
                  <w:ind w:firstLineChars="200" w:firstLine="420"/>
                </w:pPr>
                <w:r>
                  <w:t>2.</w:t>
                </w:r>
                <w:r>
                  <w:t>本期增加</w:t>
                </w:r>
                <w:r>
                  <w:rPr>
                    <w:rFonts w:hint="eastAsia"/>
                  </w:rPr>
                  <w:t>金额</w:t>
                </w:r>
              </w:p>
            </w:tc>
            <w:tc>
              <w:tcPr>
                <w:tcW w:w="787" w:type="pct"/>
                <w:vAlign w:val="center"/>
              </w:tcPr>
              <w:p w14:paraId="54E9134F" w14:textId="77777777" w:rsidR="00577D08" w:rsidRDefault="00330FC0">
                <w:pPr>
                  <w:spacing w:line="240" w:lineRule="atLeast"/>
                  <w:jc w:val="right"/>
                </w:pPr>
                <w:r>
                  <w:t>8,559,470.87</w:t>
                </w:r>
              </w:p>
            </w:tc>
            <w:tc>
              <w:tcPr>
                <w:tcW w:w="787" w:type="pct"/>
                <w:vAlign w:val="center"/>
              </w:tcPr>
              <w:p w14:paraId="0C969C43" w14:textId="77777777" w:rsidR="00577D08" w:rsidRDefault="00330FC0">
                <w:pPr>
                  <w:spacing w:line="240" w:lineRule="atLeast"/>
                  <w:jc w:val="right"/>
                </w:pPr>
                <w:r>
                  <w:t>10,402,802.99</w:t>
                </w:r>
              </w:p>
            </w:tc>
            <w:tc>
              <w:tcPr>
                <w:tcW w:w="783" w:type="pct"/>
                <w:vAlign w:val="center"/>
              </w:tcPr>
              <w:p w14:paraId="08F572A9" w14:textId="77777777" w:rsidR="00577D08" w:rsidRDefault="00577D08">
                <w:pPr>
                  <w:spacing w:line="240" w:lineRule="atLeast"/>
                  <w:jc w:val="right"/>
                </w:pPr>
              </w:p>
            </w:tc>
            <w:tc>
              <w:tcPr>
                <w:tcW w:w="792" w:type="pct"/>
                <w:vAlign w:val="center"/>
              </w:tcPr>
              <w:p w14:paraId="4B3C7956" w14:textId="77777777" w:rsidR="00577D08" w:rsidRDefault="00330FC0">
                <w:pPr>
                  <w:spacing w:line="240" w:lineRule="atLeast"/>
                  <w:jc w:val="right"/>
                </w:pPr>
                <w:r>
                  <w:t>944,075.86</w:t>
                </w:r>
              </w:p>
            </w:tc>
            <w:tc>
              <w:tcPr>
                <w:tcW w:w="811" w:type="pct"/>
                <w:vAlign w:val="center"/>
              </w:tcPr>
              <w:p w14:paraId="6A07BE11" w14:textId="77777777" w:rsidR="00577D08" w:rsidRDefault="00330FC0">
                <w:pPr>
                  <w:spacing w:line="240" w:lineRule="atLeast"/>
                  <w:jc w:val="right"/>
                </w:pPr>
                <w:r>
                  <w:t>19,906,349.72</w:t>
                </w:r>
              </w:p>
            </w:tc>
          </w:tr>
          <w:tr w:rsidR="00577D08" w14:paraId="49801B49" w14:textId="77777777">
            <w:trPr>
              <w:trHeight w:val="284"/>
            </w:trPr>
            <w:tc>
              <w:tcPr>
                <w:tcW w:w="1040" w:type="pct"/>
                <w:vAlign w:val="center"/>
              </w:tcPr>
              <w:p w14:paraId="77060EDD" w14:textId="77777777" w:rsidR="00577D08" w:rsidRDefault="00330FC0">
                <w:pPr>
                  <w:spacing w:line="240" w:lineRule="atLeast"/>
                  <w:ind w:firstLineChars="300" w:firstLine="630"/>
                </w:pPr>
                <w:r>
                  <w:rPr>
                    <w:rFonts w:hint="eastAsia"/>
                  </w:rPr>
                  <w:t>（</w:t>
                </w:r>
                <w:r>
                  <w:rPr>
                    <w:rFonts w:hint="eastAsia"/>
                  </w:rPr>
                  <w:t>1</w:t>
                </w:r>
                <w:r>
                  <w:rPr>
                    <w:rFonts w:hint="eastAsia"/>
                  </w:rPr>
                  <w:t>）租入</w:t>
                </w:r>
              </w:p>
            </w:tc>
            <w:tc>
              <w:tcPr>
                <w:tcW w:w="787" w:type="pct"/>
                <w:vAlign w:val="center"/>
              </w:tcPr>
              <w:p w14:paraId="3E753E74" w14:textId="77777777" w:rsidR="00577D08" w:rsidRDefault="00330FC0">
                <w:pPr>
                  <w:spacing w:line="240" w:lineRule="atLeast"/>
                  <w:jc w:val="right"/>
                </w:pPr>
                <w:r>
                  <w:t>8,559,470.87</w:t>
                </w:r>
              </w:p>
            </w:tc>
            <w:tc>
              <w:tcPr>
                <w:tcW w:w="787" w:type="pct"/>
                <w:vAlign w:val="center"/>
              </w:tcPr>
              <w:p w14:paraId="32E9BFE2" w14:textId="77777777" w:rsidR="00577D08" w:rsidRDefault="00330FC0">
                <w:pPr>
                  <w:spacing w:line="240" w:lineRule="atLeast"/>
                  <w:jc w:val="right"/>
                </w:pPr>
                <w:r>
                  <w:t>10,402,802.99</w:t>
                </w:r>
              </w:p>
            </w:tc>
            <w:tc>
              <w:tcPr>
                <w:tcW w:w="783" w:type="pct"/>
                <w:vAlign w:val="center"/>
              </w:tcPr>
              <w:p w14:paraId="4C730F7A" w14:textId="77777777" w:rsidR="00577D08" w:rsidRDefault="00577D08">
                <w:pPr>
                  <w:spacing w:line="240" w:lineRule="atLeast"/>
                  <w:jc w:val="right"/>
                </w:pPr>
              </w:p>
            </w:tc>
            <w:tc>
              <w:tcPr>
                <w:tcW w:w="792" w:type="pct"/>
                <w:vAlign w:val="center"/>
              </w:tcPr>
              <w:p w14:paraId="75259502" w14:textId="77777777" w:rsidR="00577D08" w:rsidRDefault="00330FC0">
                <w:pPr>
                  <w:spacing w:line="240" w:lineRule="atLeast"/>
                  <w:jc w:val="right"/>
                </w:pPr>
                <w:r>
                  <w:t>944,075.86</w:t>
                </w:r>
              </w:p>
            </w:tc>
            <w:tc>
              <w:tcPr>
                <w:tcW w:w="811" w:type="pct"/>
                <w:vAlign w:val="center"/>
              </w:tcPr>
              <w:p w14:paraId="3DD257D3" w14:textId="77777777" w:rsidR="00577D08" w:rsidRDefault="00330FC0">
                <w:pPr>
                  <w:spacing w:line="240" w:lineRule="atLeast"/>
                  <w:jc w:val="right"/>
                </w:pPr>
                <w:r>
                  <w:t>19,906,349.72</w:t>
                </w:r>
              </w:p>
            </w:tc>
          </w:tr>
          <w:tr w:rsidR="00577D08" w14:paraId="52D3E8BE" w14:textId="77777777">
            <w:trPr>
              <w:trHeight w:val="284"/>
            </w:trPr>
            <w:tc>
              <w:tcPr>
                <w:tcW w:w="1040" w:type="pct"/>
                <w:vAlign w:val="center"/>
              </w:tcPr>
              <w:p w14:paraId="52A38CFF" w14:textId="77777777" w:rsidR="00577D08" w:rsidRDefault="00330FC0">
                <w:pPr>
                  <w:spacing w:line="240" w:lineRule="atLeast"/>
                  <w:ind w:firstLineChars="200" w:firstLine="420"/>
                </w:pPr>
                <w:r>
                  <w:t>3.</w:t>
                </w:r>
                <w:r>
                  <w:t>本期减少</w:t>
                </w:r>
                <w:r>
                  <w:rPr>
                    <w:rFonts w:hint="eastAsia"/>
                  </w:rPr>
                  <w:t>金额</w:t>
                </w:r>
              </w:p>
            </w:tc>
            <w:tc>
              <w:tcPr>
                <w:tcW w:w="787" w:type="pct"/>
                <w:vAlign w:val="center"/>
              </w:tcPr>
              <w:p w14:paraId="6764E56E" w14:textId="77777777" w:rsidR="00577D08" w:rsidRDefault="00330FC0">
                <w:pPr>
                  <w:spacing w:line="240" w:lineRule="atLeast"/>
                  <w:jc w:val="right"/>
                </w:pPr>
                <w:r>
                  <w:t>5,737,647.67</w:t>
                </w:r>
              </w:p>
            </w:tc>
            <w:tc>
              <w:tcPr>
                <w:tcW w:w="787" w:type="pct"/>
                <w:vAlign w:val="center"/>
              </w:tcPr>
              <w:p w14:paraId="24C2A227" w14:textId="77777777" w:rsidR="00577D08" w:rsidRDefault="00577D08">
                <w:pPr>
                  <w:spacing w:line="240" w:lineRule="atLeast"/>
                  <w:jc w:val="right"/>
                </w:pPr>
              </w:p>
            </w:tc>
            <w:tc>
              <w:tcPr>
                <w:tcW w:w="783" w:type="pct"/>
                <w:vAlign w:val="center"/>
              </w:tcPr>
              <w:p w14:paraId="59D368F0" w14:textId="77777777" w:rsidR="00577D08" w:rsidRDefault="00577D08">
                <w:pPr>
                  <w:spacing w:line="240" w:lineRule="atLeast"/>
                  <w:jc w:val="right"/>
                </w:pPr>
              </w:p>
            </w:tc>
            <w:tc>
              <w:tcPr>
                <w:tcW w:w="792" w:type="pct"/>
                <w:vAlign w:val="center"/>
              </w:tcPr>
              <w:p w14:paraId="1E6DB6ED" w14:textId="77777777" w:rsidR="00577D08" w:rsidRDefault="00577D08">
                <w:pPr>
                  <w:spacing w:line="240" w:lineRule="atLeast"/>
                  <w:jc w:val="right"/>
                </w:pPr>
              </w:p>
            </w:tc>
            <w:tc>
              <w:tcPr>
                <w:tcW w:w="811" w:type="pct"/>
                <w:vAlign w:val="center"/>
              </w:tcPr>
              <w:p w14:paraId="720F5F9C" w14:textId="77777777" w:rsidR="00577D08" w:rsidRDefault="00330FC0">
                <w:pPr>
                  <w:spacing w:line="240" w:lineRule="atLeast"/>
                  <w:jc w:val="right"/>
                </w:pPr>
                <w:r>
                  <w:t>5,737,647.67</w:t>
                </w:r>
              </w:p>
            </w:tc>
          </w:tr>
          <w:tr w:rsidR="00577D08" w14:paraId="679EE6C8" w14:textId="77777777">
            <w:trPr>
              <w:trHeight w:val="284"/>
            </w:trPr>
            <w:tc>
              <w:tcPr>
                <w:tcW w:w="1040" w:type="pct"/>
                <w:vAlign w:val="center"/>
              </w:tcPr>
              <w:p w14:paraId="2694B1A4" w14:textId="77777777" w:rsidR="00577D08" w:rsidRDefault="00330FC0">
                <w:pPr>
                  <w:spacing w:line="240" w:lineRule="atLeast"/>
                  <w:ind w:firstLineChars="300" w:firstLine="630"/>
                </w:pPr>
                <w:r>
                  <w:rPr>
                    <w:rFonts w:hint="eastAsia"/>
                  </w:rPr>
                  <w:t>（</w:t>
                </w:r>
                <w:r>
                  <w:rPr>
                    <w:rFonts w:hint="eastAsia"/>
                  </w:rPr>
                  <w:t>1</w:t>
                </w:r>
                <w:r>
                  <w:rPr>
                    <w:rFonts w:hint="eastAsia"/>
                  </w:rPr>
                  <w:t>）处置</w:t>
                </w:r>
              </w:p>
            </w:tc>
            <w:tc>
              <w:tcPr>
                <w:tcW w:w="787" w:type="pct"/>
                <w:vAlign w:val="center"/>
              </w:tcPr>
              <w:p w14:paraId="316FBAA5" w14:textId="77777777" w:rsidR="00577D08" w:rsidRDefault="00330FC0">
                <w:pPr>
                  <w:spacing w:line="240" w:lineRule="atLeast"/>
                  <w:jc w:val="right"/>
                </w:pPr>
                <w:r>
                  <w:t>5,737,647.67</w:t>
                </w:r>
              </w:p>
            </w:tc>
            <w:tc>
              <w:tcPr>
                <w:tcW w:w="787" w:type="pct"/>
                <w:vAlign w:val="center"/>
              </w:tcPr>
              <w:p w14:paraId="26580C28" w14:textId="77777777" w:rsidR="00577D08" w:rsidRDefault="00577D08">
                <w:pPr>
                  <w:spacing w:line="240" w:lineRule="atLeast"/>
                  <w:jc w:val="right"/>
                </w:pPr>
              </w:p>
            </w:tc>
            <w:tc>
              <w:tcPr>
                <w:tcW w:w="783" w:type="pct"/>
                <w:vAlign w:val="center"/>
              </w:tcPr>
              <w:p w14:paraId="1AD7278F" w14:textId="77777777" w:rsidR="00577D08" w:rsidRDefault="00577D08">
                <w:pPr>
                  <w:spacing w:line="240" w:lineRule="atLeast"/>
                  <w:jc w:val="right"/>
                </w:pPr>
              </w:p>
            </w:tc>
            <w:tc>
              <w:tcPr>
                <w:tcW w:w="792" w:type="pct"/>
                <w:vAlign w:val="center"/>
              </w:tcPr>
              <w:p w14:paraId="4B15684C" w14:textId="77777777" w:rsidR="00577D08" w:rsidRDefault="00577D08">
                <w:pPr>
                  <w:spacing w:line="240" w:lineRule="atLeast"/>
                  <w:jc w:val="right"/>
                </w:pPr>
              </w:p>
            </w:tc>
            <w:tc>
              <w:tcPr>
                <w:tcW w:w="811" w:type="pct"/>
                <w:vAlign w:val="center"/>
              </w:tcPr>
              <w:p w14:paraId="0F4F132A" w14:textId="77777777" w:rsidR="00577D08" w:rsidRDefault="00330FC0">
                <w:pPr>
                  <w:spacing w:line="240" w:lineRule="atLeast"/>
                  <w:jc w:val="right"/>
                </w:pPr>
                <w:r>
                  <w:t>5,737,647.67</w:t>
                </w:r>
              </w:p>
            </w:tc>
          </w:tr>
          <w:tr w:rsidR="00577D08" w14:paraId="77B97EC0" w14:textId="77777777">
            <w:trPr>
              <w:trHeight w:val="284"/>
            </w:trPr>
            <w:tc>
              <w:tcPr>
                <w:tcW w:w="1040" w:type="pct"/>
                <w:vAlign w:val="center"/>
              </w:tcPr>
              <w:p w14:paraId="56086D28" w14:textId="77777777" w:rsidR="00577D08" w:rsidRDefault="00330FC0">
                <w:pPr>
                  <w:spacing w:line="240" w:lineRule="atLeast"/>
                  <w:ind w:firstLineChars="200" w:firstLine="420"/>
                </w:pPr>
                <w:r>
                  <w:t>4.</w:t>
                </w:r>
                <w:r>
                  <w:t>期末余额</w:t>
                </w:r>
              </w:p>
            </w:tc>
            <w:tc>
              <w:tcPr>
                <w:tcW w:w="787" w:type="pct"/>
                <w:vAlign w:val="center"/>
              </w:tcPr>
              <w:p w14:paraId="1C5083F4" w14:textId="77777777" w:rsidR="00577D08" w:rsidRDefault="00330FC0">
                <w:pPr>
                  <w:spacing w:line="240" w:lineRule="atLeast"/>
                  <w:jc w:val="right"/>
                </w:pPr>
                <w:r>
                  <w:t>14,248,358.28</w:t>
                </w:r>
              </w:p>
            </w:tc>
            <w:tc>
              <w:tcPr>
                <w:tcW w:w="787" w:type="pct"/>
                <w:vAlign w:val="center"/>
              </w:tcPr>
              <w:p w14:paraId="57E2FB1C" w14:textId="77777777" w:rsidR="00577D08" w:rsidRDefault="00330FC0">
                <w:pPr>
                  <w:spacing w:line="240" w:lineRule="atLeast"/>
                  <w:jc w:val="right"/>
                </w:pPr>
                <w:r>
                  <w:t>10,402,802.99</w:t>
                </w:r>
              </w:p>
            </w:tc>
            <w:tc>
              <w:tcPr>
                <w:tcW w:w="783" w:type="pct"/>
                <w:vAlign w:val="center"/>
              </w:tcPr>
              <w:p w14:paraId="39C84859" w14:textId="77777777" w:rsidR="00577D08" w:rsidRDefault="00330FC0">
                <w:pPr>
                  <w:spacing w:line="240" w:lineRule="atLeast"/>
                  <w:jc w:val="right"/>
                </w:pPr>
                <w:r>
                  <w:t>807,105.21</w:t>
                </w:r>
              </w:p>
            </w:tc>
            <w:tc>
              <w:tcPr>
                <w:tcW w:w="792" w:type="pct"/>
                <w:vAlign w:val="center"/>
              </w:tcPr>
              <w:p w14:paraId="538C5CBE" w14:textId="77777777" w:rsidR="00577D08" w:rsidRDefault="00330FC0">
                <w:pPr>
                  <w:spacing w:line="240" w:lineRule="atLeast"/>
                  <w:jc w:val="right"/>
                </w:pPr>
                <w:r>
                  <w:t>944,075.86</w:t>
                </w:r>
              </w:p>
            </w:tc>
            <w:tc>
              <w:tcPr>
                <w:tcW w:w="811" w:type="pct"/>
                <w:vAlign w:val="center"/>
              </w:tcPr>
              <w:p w14:paraId="4ACEB9C4" w14:textId="77777777" w:rsidR="00577D08" w:rsidRDefault="00330FC0">
                <w:pPr>
                  <w:spacing w:line="240" w:lineRule="atLeast"/>
                  <w:jc w:val="right"/>
                </w:pPr>
                <w:r>
                  <w:t>26,402,342.34</w:t>
                </w:r>
              </w:p>
            </w:tc>
          </w:tr>
          <w:tr w:rsidR="00577D08" w14:paraId="1D355035" w14:textId="77777777">
            <w:trPr>
              <w:trHeight w:val="284"/>
            </w:trPr>
            <w:sdt>
              <w:sdtPr>
                <w:tag w:val="_PLD_39b1174f077e44e0af9583631dcb785f"/>
                <w:id w:val="1296484592"/>
              </w:sdtPr>
              <w:sdtContent>
                <w:tc>
                  <w:tcPr>
                    <w:tcW w:w="5000" w:type="pct"/>
                    <w:gridSpan w:val="6"/>
                    <w:vAlign w:val="center"/>
                  </w:tcPr>
                  <w:p w14:paraId="224070D5" w14:textId="77777777" w:rsidR="00577D08" w:rsidRDefault="00330FC0">
                    <w:pPr>
                      <w:spacing w:line="240" w:lineRule="atLeast"/>
                    </w:pPr>
                    <w:r>
                      <w:t>二、累计折旧</w:t>
                    </w:r>
                  </w:p>
                </w:tc>
              </w:sdtContent>
            </w:sdt>
          </w:tr>
          <w:tr w:rsidR="00577D08" w14:paraId="00D80365" w14:textId="77777777">
            <w:trPr>
              <w:trHeight w:val="284"/>
            </w:trPr>
            <w:tc>
              <w:tcPr>
                <w:tcW w:w="1040" w:type="pct"/>
                <w:vAlign w:val="center"/>
              </w:tcPr>
              <w:p w14:paraId="2152B6E8" w14:textId="77777777" w:rsidR="00577D08" w:rsidRDefault="00330FC0">
                <w:pPr>
                  <w:spacing w:line="240" w:lineRule="atLeast"/>
                  <w:ind w:firstLineChars="200" w:firstLine="420"/>
                </w:pPr>
                <w:r>
                  <w:rPr>
                    <w:rFonts w:hint="eastAsia"/>
                  </w:rPr>
                  <w:t>1.</w:t>
                </w:r>
                <w:r>
                  <w:rPr>
                    <w:rFonts w:hint="eastAsia"/>
                  </w:rPr>
                  <w:t>期</w:t>
                </w:r>
                <w:r>
                  <w:t>初余额</w:t>
                </w:r>
              </w:p>
            </w:tc>
            <w:tc>
              <w:tcPr>
                <w:tcW w:w="787" w:type="pct"/>
                <w:vAlign w:val="center"/>
              </w:tcPr>
              <w:p w14:paraId="7D3F97DA" w14:textId="77777777" w:rsidR="00577D08" w:rsidRDefault="00330FC0">
                <w:pPr>
                  <w:spacing w:line="240" w:lineRule="atLeast"/>
                  <w:jc w:val="right"/>
                </w:pPr>
                <w:r>
                  <w:t>6,380,792.31</w:t>
                </w:r>
              </w:p>
            </w:tc>
            <w:tc>
              <w:tcPr>
                <w:tcW w:w="787" w:type="pct"/>
                <w:vAlign w:val="center"/>
              </w:tcPr>
              <w:p w14:paraId="0BB18188" w14:textId="77777777" w:rsidR="00577D08" w:rsidRDefault="00577D08">
                <w:pPr>
                  <w:spacing w:line="240" w:lineRule="atLeast"/>
                  <w:jc w:val="right"/>
                </w:pPr>
              </w:p>
            </w:tc>
            <w:tc>
              <w:tcPr>
                <w:tcW w:w="783" w:type="pct"/>
                <w:vAlign w:val="center"/>
              </w:tcPr>
              <w:p w14:paraId="33C2F149" w14:textId="77777777" w:rsidR="00577D08" w:rsidRDefault="00330FC0">
                <w:pPr>
                  <w:spacing w:line="240" w:lineRule="atLeast"/>
                  <w:jc w:val="right"/>
                </w:pPr>
                <w:r>
                  <w:t>283,577.50</w:t>
                </w:r>
              </w:p>
            </w:tc>
            <w:tc>
              <w:tcPr>
                <w:tcW w:w="792" w:type="pct"/>
                <w:vAlign w:val="center"/>
              </w:tcPr>
              <w:p w14:paraId="58AF3DCF" w14:textId="77777777" w:rsidR="00577D08" w:rsidRDefault="00577D08">
                <w:pPr>
                  <w:spacing w:line="240" w:lineRule="atLeast"/>
                  <w:jc w:val="right"/>
                </w:pPr>
              </w:p>
            </w:tc>
            <w:tc>
              <w:tcPr>
                <w:tcW w:w="811" w:type="pct"/>
                <w:vAlign w:val="center"/>
              </w:tcPr>
              <w:p w14:paraId="55E30231" w14:textId="77777777" w:rsidR="00577D08" w:rsidRDefault="00330FC0">
                <w:pPr>
                  <w:spacing w:line="240" w:lineRule="atLeast"/>
                  <w:jc w:val="right"/>
                </w:pPr>
                <w:r>
                  <w:t>6,664,369.81</w:t>
                </w:r>
              </w:p>
            </w:tc>
          </w:tr>
          <w:tr w:rsidR="00577D08" w14:paraId="15D51D84" w14:textId="77777777">
            <w:trPr>
              <w:trHeight w:val="284"/>
            </w:trPr>
            <w:tc>
              <w:tcPr>
                <w:tcW w:w="1040" w:type="pct"/>
                <w:vAlign w:val="center"/>
              </w:tcPr>
              <w:p w14:paraId="7A06FB40" w14:textId="77777777" w:rsidR="00577D08" w:rsidRDefault="00330FC0">
                <w:pPr>
                  <w:spacing w:line="240" w:lineRule="atLeast"/>
                  <w:ind w:firstLineChars="200" w:firstLine="420"/>
                </w:pPr>
                <w:r>
                  <w:t>2.</w:t>
                </w:r>
                <w:r>
                  <w:t>本期增加</w:t>
                </w:r>
                <w:r>
                  <w:rPr>
                    <w:rFonts w:hint="eastAsia"/>
                  </w:rPr>
                  <w:t>金额</w:t>
                </w:r>
              </w:p>
            </w:tc>
            <w:tc>
              <w:tcPr>
                <w:tcW w:w="787" w:type="pct"/>
                <w:vAlign w:val="center"/>
              </w:tcPr>
              <w:p w14:paraId="78E1C3FA" w14:textId="77777777" w:rsidR="00577D08" w:rsidRDefault="00330FC0">
                <w:pPr>
                  <w:spacing w:line="240" w:lineRule="atLeast"/>
                  <w:jc w:val="right"/>
                </w:pPr>
                <w:r>
                  <w:t>4,106,854.60</w:t>
                </w:r>
              </w:p>
            </w:tc>
            <w:tc>
              <w:tcPr>
                <w:tcW w:w="787" w:type="pct"/>
                <w:vAlign w:val="center"/>
              </w:tcPr>
              <w:p w14:paraId="0828519F" w14:textId="77777777" w:rsidR="00577D08" w:rsidRDefault="00330FC0">
                <w:pPr>
                  <w:spacing w:line="240" w:lineRule="atLeast"/>
                  <w:jc w:val="right"/>
                </w:pPr>
                <w:r>
                  <w:t>520,140.14</w:t>
                </w:r>
              </w:p>
            </w:tc>
            <w:tc>
              <w:tcPr>
                <w:tcW w:w="783" w:type="pct"/>
                <w:vAlign w:val="center"/>
              </w:tcPr>
              <w:p w14:paraId="0DD007B9" w14:textId="77777777" w:rsidR="00577D08" w:rsidRDefault="00330FC0">
                <w:pPr>
                  <w:spacing w:line="240" w:lineRule="atLeast"/>
                  <w:jc w:val="right"/>
                </w:pPr>
                <w:r>
                  <w:t>261,763.75</w:t>
                </w:r>
              </w:p>
            </w:tc>
            <w:tc>
              <w:tcPr>
                <w:tcW w:w="792" w:type="pct"/>
                <w:vAlign w:val="center"/>
              </w:tcPr>
              <w:p w14:paraId="00C4F836" w14:textId="77777777" w:rsidR="00577D08" w:rsidRDefault="00330FC0">
                <w:pPr>
                  <w:spacing w:line="240" w:lineRule="atLeast"/>
                  <w:jc w:val="right"/>
                </w:pPr>
                <w:r>
                  <w:t>7,408.86</w:t>
                </w:r>
              </w:p>
            </w:tc>
            <w:tc>
              <w:tcPr>
                <w:tcW w:w="811" w:type="pct"/>
                <w:vAlign w:val="center"/>
              </w:tcPr>
              <w:p w14:paraId="1F72E558" w14:textId="77777777" w:rsidR="00577D08" w:rsidRDefault="00330FC0">
                <w:pPr>
                  <w:spacing w:line="240" w:lineRule="atLeast"/>
                  <w:jc w:val="right"/>
                </w:pPr>
                <w:r>
                  <w:t>4,896,167.35</w:t>
                </w:r>
              </w:p>
            </w:tc>
          </w:tr>
          <w:tr w:rsidR="00577D08" w14:paraId="69BA3B44" w14:textId="77777777">
            <w:trPr>
              <w:trHeight w:val="284"/>
            </w:trPr>
            <w:tc>
              <w:tcPr>
                <w:tcW w:w="1040" w:type="pct"/>
                <w:vAlign w:val="center"/>
              </w:tcPr>
              <w:p w14:paraId="2BDA06F1" w14:textId="77777777" w:rsidR="00577D08" w:rsidRDefault="00330FC0">
                <w:pPr>
                  <w:spacing w:line="240" w:lineRule="atLeast"/>
                  <w:ind w:firstLineChars="200" w:firstLine="420"/>
                </w:pPr>
                <w:r>
                  <w:rPr>
                    <w:rFonts w:hint="eastAsia"/>
                  </w:rPr>
                  <w:t>（</w:t>
                </w:r>
                <w:r>
                  <w:rPr>
                    <w:rFonts w:hint="eastAsia"/>
                  </w:rPr>
                  <w:t>1</w:t>
                </w:r>
                <w:r>
                  <w:rPr>
                    <w:rFonts w:hint="eastAsia"/>
                  </w:rPr>
                  <w:t>）</w:t>
                </w:r>
                <w:r>
                  <w:t>计提</w:t>
                </w:r>
              </w:p>
            </w:tc>
            <w:tc>
              <w:tcPr>
                <w:tcW w:w="787" w:type="pct"/>
                <w:vAlign w:val="center"/>
              </w:tcPr>
              <w:p w14:paraId="66490D4C" w14:textId="77777777" w:rsidR="00577D08" w:rsidRDefault="00330FC0">
                <w:pPr>
                  <w:spacing w:line="240" w:lineRule="atLeast"/>
                  <w:jc w:val="right"/>
                </w:pPr>
                <w:r>
                  <w:t>4,106,854.60</w:t>
                </w:r>
              </w:p>
            </w:tc>
            <w:tc>
              <w:tcPr>
                <w:tcW w:w="787" w:type="pct"/>
                <w:vAlign w:val="center"/>
              </w:tcPr>
              <w:p w14:paraId="1B901895" w14:textId="77777777" w:rsidR="00577D08" w:rsidRDefault="00330FC0">
                <w:pPr>
                  <w:spacing w:line="240" w:lineRule="atLeast"/>
                  <w:jc w:val="right"/>
                </w:pPr>
                <w:r>
                  <w:t>520,140.14</w:t>
                </w:r>
              </w:p>
            </w:tc>
            <w:tc>
              <w:tcPr>
                <w:tcW w:w="783" w:type="pct"/>
                <w:vAlign w:val="center"/>
              </w:tcPr>
              <w:p w14:paraId="020BC095" w14:textId="77777777" w:rsidR="00577D08" w:rsidRDefault="00330FC0">
                <w:pPr>
                  <w:spacing w:line="240" w:lineRule="atLeast"/>
                  <w:jc w:val="right"/>
                </w:pPr>
                <w:r>
                  <w:t>261,763.75</w:t>
                </w:r>
              </w:p>
            </w:tc>
            <w:tc>
              <w:tcPr>
                <w:tcW w:w="792" w:type="pct"/>
                <w:vAlign w:val="center"/>
              </w:tcPr>
              <w:p w14:paraId="17E7CD4D" w14:textId="77777777" w:rsidR="00577D08" w:rsidRDefault="00330FC0">
                <w:pPr>
                  <w:spacing w:line="240" w:lineRule="atLeast"/>
                  <w:jc w:val="right"/>
                </w:pPr>
                <w:r>
                  <w:t>7,408.86</w:t>
                </w:r>
              </w:p>
            </w:tc>
            <w:tc>
              <w:tcPr>
                <w:tcW w:w="811" w:type="pct"/>
                <w:vAlign w:val="center"/>
              </w:tcPr>
              <w:p w14:paraId="32BBCD28" w14:textId="77777777" w:rsidR="00577D08" w:rsidRDefault="00330FC0">
                <w:pPr>
                  <w:spacing w:line="240" w:lineRule="atLeast"/>
                  <w:jc w:val="right"/>
                </w:pPr>
                <w:r>
                  <w:t>4,896,167.35</w:t>
                </w:r>
              </w:p>
            </w:tc>
          </w:tr>
          <w:tr w:rsidR="00577D08" w14:paraId="6CC4E6E2" w14:textId="77777777">
            <w:trPr>
              <w:trHeight w:val="284"/>
            </w:trPr>
            <w:tc>
              <w:tcPr>
                <w:tcW w:w="1040" w:type="pct"/>
                <w:vAlign w:val="center"/>
              </w:tcPr>
              <w:p w14:paraId="28808156" w14:textId="77777777" w:rsidR="00577D08" w:rsidRDefault="00330FC0">
                <w:pPr>
                  <w:spacing w:line="240" w:lineRule="atLeast"/>
                  <w:ind w:firstLineChars="200" w:firstLine="420"/>
                </w:pPr>
                <w:r>
                  <w:rPr>
                    <w:rFonts w:hint="eastAsia"/>
                  </w:rPr>
                  <w:t>3.</w:t>
                </w:r>
                <w:r>
                  <w:t>本期减少</w:t>
                </w:r>
                <w:r>
                  <w:rPr>
                    <w:rFonts w:hint="eastAsia"/>
                  </w:rPr>
                  <w:t>金额</w:t>
                </w:r>
              </w:p>
            </w:tc>
            <w:tc>
              <w:tcPr>
                <w:tcW w:w="787" w:type="pct"/>
                <w:vAlign w:val="center"/>
              </w:tcPr>
              <w:p w14:paraId="64EE8DB7" w14:textId="77777777" w:rsidR="00577D08" w:rsidRDefault="00330FC0">
                <w:pPr>
                  <w:spacing w:line="240" w:lineRule="atLeast"/>
                  <w:jc w:val="right"/>
                </w:pPr>
                <w:r>
                  <w:t>5,737,647.66</w:t>
                </w:r>
              </w:p>
            </w:tc>
            <w:tc>
              <w:tcPr>
                <w:tcW w:w="787" w:type="pct"/>
                <w:vAlign w:val="center"/>
              </w:tcPr>
              <w:p w14:paraId="2EBF9EA4" w14:textId="77777777" w:rsidR="00577D08" w:rsidRDefault="00577D08">
                <w:pPr>
                  <w:spacing w:line="240" w:lineRule="atLeast"/>
                  <w:jc w:val="right"/>
                </w:pPr>
              </w:p>
            </w:tc>
            <w:tc>
              <w:tcPr>
                <w:tcW w:w="783" w:type="pct"/>
                <w:vAlign w:val="center"/>
              </w:tcPr>
              <w:p w14:paraId="0835C868" w14:textId="77777777" w:rsidR="00577D08" w:rsidRDefault="00577D08">
                <w:pPr>
                  <w:spacing w:line="240" w:lineRule="atLeast"/>
                  <w:jc w:val="right"/>
                </w:pPr>
              </w:p>
            </w:tc>
            <w:tc>
              <w:tcPr>
                <w:tcW w:w="792" w:type="pct"/>
                <w:vAlign w:val="center"/>
              </w:tcPr>
              <w:p w14:paraId="1255F48F" w14:textId="77777777" w:rsidR="00577D08" w:rsidRDefault="00577D08">
                <w:pPr>
                  <w:spacing w:line="240" w:lineRule="atLeast"/>
                  <w:jc w:val="right"/>
                </w:pPr>
              </w:p>
            </w:tc>
            <w:tc>
              <w:tcPr>
                <w:tcW w:w="811" w:type="pct"/>
                <w:vAlign w:val="center"/>
              </w:tcPr>
              <w:p w14:paraId="0693BCF6" w14:textId="77777777" w:rsidR="00577D08" w:rsidRDefault="00330FC0">
                <w:pPr>
                  <w:spacing w:line="240" w:lineRule="atLeast"/>
                  <w:jc w:val="right"/>
                </w:pPr>
                <w:r>
                  <w:t>5,737,647.66</w:t>
                </w:r>
              </w:p>
            </w:tc>
          </w:tr>
          <w:tr w:rsidR="00577D08" w14:paraId="547176E5" w14:textId="77777777">
            <w:trPr>
              <w:trHeight w:val="284"/>
            </w:trPr>
            <w:tc>
              <w:tcPr>
                <w:tcW w:w="1040" w:type="pct"/>
                <w:vAlign w:val="center"/>
              </w:tcPr>
              <w:p w14:paraId="58DA4ACF" w14:textId="77777777" w:rsidR="00577D08" w:rsidRDefault="00330FC0">
                <w:pPr>
                  <w:spacing w:line="240" w:lineRule="atLeast"/>
                  <w:ind w:firstLineChars="200" w:firstLine="420"/>
                </w:pPr>
                <w:r>
                  <w:rPr>
                    <w:rFonts w:hint="eastAsia"/>
                  </w:rPr>
                  <w:t>（</w:t>
                </w:r>
                <w:r>
                  <w:rPr>
                    <w:rFonts w:hint="eastAsia"/>
                  </w:rPr>
                  <w:t>1</w:t>
                </w:r>
                <w:r>
                  <w:rPr>
                    <w:rFonts w:hint="eastAsia"/>
                  </w:rPr>
                  <w:t>）处置</w:t>
                </w:r>
              </w:p>
            </w:tc>
            <w:tc>
              <w:tcPr>
                <w:tcW w:w="787" w:type="pct"/>
                <w:vAlign w:val="center"/>
              </w:tcPr>
              <w:p w14:paraId="4974D7D1" w14:textId="77777777" w:rsidR="00577D08" w:rsidRDefault="00330FC0">
                <w:pPr>
                  <w:spacing w:line="240" w:lineRule="atLeast"/>
                  <w:jc w:val="right"/>
                </w:pPr>
                <w:r>
                  <w:t>5,737,647.66</w:t>
                </w:r>
              </w:p>
            </w:tc>
            <w:tc>
              <w:tcPr>
                <w:tcW w:w="787" w:type="pct"/>
                <w:vAlign w:val="center"/>
              </w:tcPr>
              <w:p w14:paraId="228846FE" w14:textId="77777777" w:rsidR="00577D08" w:rsidRDefault="00577D08">
                <w:pPr>
                  <w:spacing w:line="240" w:lineRule="atLeast"/>
                  <w:jc w:val="right"/>
                </w:pPr>
              </w:p>
            </w:tc>
            <w:tc>
              <w:tcPr>
                <w:tcW w:w="783" w:type="pct"/>
                <w:vAlign w:val="center"/>
              </w:tcPr>
              <w:p w14:paraId="61183E7C" w14:textId="77777777" w:rsidR="00577D08" w:rsidRDefault="00577D08">
                <w:pPr>
                  <w:spacing w:line="240" w:lineRule="atLeast"/>
                  <w:jc w:val="right"/>
                </w:pPr>
              </w:p>
            </w:tc>
            <w:tc>
              <w:tcPr>
                <w:tcW w:w="792" w:type="pct"/>
                <w:vAlign w:val="center"/>
              </w:tcPr>
              <w:p w14:paraId="7A220E6F" w14:textId="77777777" w:rsidR="00577D08" w:rsidRDefault="00577D08">
                <w:pPr>
                  <w:spacing w:line="240" w:lineRule="atLeast"/>
                  <w:jc w:val="right"/>
                </w:pPr>
              </w:p>
            </w:tc>
            <w:tc>
              <w:tcPr>
                <w:tcW w:w="811" w:type="pct"/>
                <w:vAlign w:val="center"/>
              </w:tcPr>
              <w:p w14:paraId="0790AE0A" w14:textId="77777777" w:rsidR="00577D08" w:rsidRDefault="00330FC0">
                <w:pPr>
                  <w:spacing w:line="240" w:lineRule="atLeast"/>
                  <w:jc w:val="right"/>
                </w:pPr>
                <w:r>
                  <w:t>5,737,647.66</w:t>
                </w:r>
              </w:p>
            </w:tc>
          </w:tr>
          <w:tr w:rsidR="00577D08" w14:paraId="43F1BA8E" w14:textId="77777777">
            <w:trPr>
              <w:trHeight w:val="284"/>
            </w:trPr>
            <w:tc>
              <w:tcPr>
                <w:tcW w:w="1040" w:type="pct"/>
                <w:vAlign w:val="center"/>
              </w:tcPr>
              <w:p w14:paraId="1FEB110D" w14:textId="77777777" w:rsidR="00577D08" w:rsidRDefault="00330FC0">
                <w:pPr>
                  <w:spacing w:line="240" w:lineRule="atLeast"/>
                  <w:ind w:firstLineChars="200" w:firstLine="420"/>
                </w:pPr>
                <w:r>
                  <w:rPr>
                    <w:rFonts w:hint="eastAsia"/>
                  </w:rPr>
                  <w:t>4.</w:t>
                </w:r>
                <w:r>
                  <w:t>期末余额</w:t>
                </w:r>
              </w:p>
            </w:tc>
            <w:tc>
              <w:tcPr>
                <w:tcW w:w="787" w:type="pct"/>
                <w:vAlign w:val="center"/>
              </w:tcPr>
              <w:p w14:paraId="17F9DBBE" w14:textId="77777777" w:rsidR="00577D08" w:rsidRDefault="00330FC0">
                <w:pPr>
                  <w:spacing w:line="240" w:lineRule="atLeast"/>
                  <w:jc w:val="right"/>
                </w:pPr>
                <w:r>
                  <w:t>4,749,999.25</w:t>
                </w:r>
              </w:p>
            </w:tc>
            <w:tc>
              <w:tcPr>
                <w:tcW w:w="787" w:type="pct"/>
                <w:vAlign w:val="center"/>
              </w:tcPr>
              <w:p w14:paraId="676FCE74" w14:textId="77777777" w:rsidR="00577D08" w:rsidRDefault="00330FC0">
                <w:pPr>
                  <w:spacing w:line="240" w:lineRule="atLeast"/>
                  <w:jc w:val="right"/>
                </w:pPr>
                <w:r>
                  <w:t>520,140.14</w:t>
                </w:r>
              </w:p>
            </w:tc>
            <w:tc>
              <w:tcPr>
                <w:tcW w:w="783" w:type="pct"/>
                <w:vAlign w:val="center"/>
              </w:tcPr>
              <w:p w14:paraId="47502E74" w14:textId="77777777" w:rsidR="00577D08" w:rsidRDefault="00330FC0">
                <w:pPr>
                  <w:spacing w:line="240" w:lineRule="atLeast"/>
                  <w:jc w:val="right"/>
                </w:pPr>
                <w:r>
                  <w:t>545,341.25</w:t>
                </w:r>
              </w:p>
            </w:tc>
            <w:tc>
              <w:tcPr>
                <w:tcW w:w="792" w:type="pct"/>
                <w:vAlign w:val="center"/>
              </w:tcPr>
              <w:p w14:paraId="6A12EAB6" w14:textId="77777777" w:rsidR="00577D08" w:rsidRDefault="00330FC0">
                <w:pPr>
                  <w:spacing w:line="240" w:lineRule="atLeast"/>
                  <w:jc w:val="right"/>
                </w:pPr>
                <w:r>
                  <w:t>7,408.86</w:t>
                </w:r>
              </w:p>
            </w:tc>
            <w:tc>
              <w:tcPr>
                <w:tcW w:w="811" w:type="pct"/>
                <w:vAlign w:val="center"/>
              </w:tcPr>
              <w:p w14:paraId="72C32866" w14:textId="77777777" w:rsidR="00577D08" w:rsidRDefault="00330FC0">
                <w:pPr>
                  <w:spacing w:line="240" w:lineRule="atLeast"/>
                  <w:jc w:val="right"/>
                </w:pPr>
                <w:r>
                  <w:t>5,822,889.50</w:t>
                </w:r>
              </w:p>
            </w:tc>
          </w:tr>
          <w:tr w:rsidR="00577D08" w14:paraId="1B163ED3" w14:textId="77777777">
            <w:trPr>
              <w:trHeight w:val="284"/>
            </w:trPr>
            <w:sdt>
              <w:sdtPr>
                <w:tag w:val="_PLD_a32c53282c7a49e1a1747c76e44e7471"/>
                <w:id w:val="-555931744"/>
              </w:sdtPr>
              <w:sdtContent>
                <w:tc>
                  <w:tcPr>
                    <w:tcW w:w="5000" w:type="pct"/>
                    <w:gridSpan w:val="6"/>
                    <w:vAlign w:val="center"/>
                  </w:tcPr>
                  <w:p w14:paraId="2B8EA9D6" w14:textId="77777777" w:rsidR="00577D08" w:rsidRDefault="00330FC0">
                    <w:pPr>
                      <w:spacing w:line="240" w:lineRule="atLeast"/>
                    </w:pPr>
                    <w:r>
                      <w:t>三、减值准备</w:t>
                    </w:r>
                  </w:p>
                </w:tc>
              </w:sdtContent>
            </w:sdt>
          </w:tr>
          <w:tr w:rsidR="00577D08" w14:paraId="1F9FADDB" w14:textId="77777777">
            <w:trPr>
              <w:trHeight w:val="284"/>
            </w:trPr>
            <w:tc>
              <w:tcPr>
                <w:tcW w:w="1040" w:type="pct"/>
                <w:vAlign w:val="center"/>
              </w:tcPr>
              <w:p w14:paraId="3F74F474" w14:textId="77777777" w:rsidR="00577D08" w:rsidRDefault="00330FC0">
                <w:pPr>
                  <w:spacing w:line="240" w:lineRule="atLeast"/>
                  <w:ind w:firstLineChars="200" w:firstLine="420"/>
                </w:pPr>
                <w:r>
                  <w:rPr>
                    <w:rFonts w:hint="eastAsia"/>
                  </w:rPr>
                  <w:t>1.</w:t>
                </w:r>
                <w:r>
                  <w:rPr>
                    <w:rFonts w:hint="eastAsia"/>
                  </w:rPr>
                  <w:t>期</w:t>
                </w:r>
                <w:r>
                  <w:t>初余额</w:t>
                </w:r>
              </w:p>
            </w:tc>
            <w:tc>
              <w:tcPr>
                <w:tcW w:w="787" w:type="pct"/>
                <w:vAlign w:val="center"/>
              </w:tcPr>
              <w:p w14:paraId="04D2CAC7" w14:textId="77777777" w:rsidR="00577D08" w:rsidRDefault="00330FC0">
                <w:pPr>
                  <w:spacing w:line="240" w:lineRule="atLeast"/>
                  <w:jc w:val="right"/>
                </w:pPr>
                <w:r>
                  <w:rPr>
                    <w:rFonts w:hint="eastAsia"/>
                  </w:rPr>
                  <w:t xml:space="preserve">　</w:t>
                </w:r>
              </w:p>
            </w:tc>
            <w:tc>
              <w:tcPr>
                <w:tcW w:w="787" w:type="pct"/>
                <w:vAlign w:val="center"/>
              </w:tcPr>
              <w:p w14:paraId="25B9F675" w14:textId="77777777" w:rsidR="00577D08" w:rsidRDefault="00577D08">
                <w:pPr>
                  <w:spacing w:line="240" w:lineRule="atLeast"/>
                  <w:jc w:val="right"/>
                </w:pPr>
              </w:p>
            </w:tc>
            <w:tc>
              <w:tcPr>
                <w:tcW w:w="783" w:type="pct"/>
                <w:vAlign w:val="center"/>
              </w:tcPr>
              <w:p w14:paraId="6A30A8E3" w14:textId="77777777" w:rsidR="00577D08" w:rsidRDefault="00577D08">
                <w:pPr>
                  <w:spacing w:line="240" w:lineRule="atLeast"/>
                  <w:jc w:val="right"/>
                </w:pPr>
              </w:p>
            </w:tc>
            <w:tc>
              <w:tcPr>
                <w:tcW w:w="792" w:type="pct"/>
                <w:vAlign w:val="center"/>
              </w:tcPr>
              <w:p w14:paraId="67CC0A1E" w14:textId="77777777" w:rsidR="00577D08" w:rsidRDefault="00577D08">
                <w:pPr>
                  <w:spacing w:line="240" w:lineRule="atLeast"/>
                  <w:jc w:val="right"/>
                </w:pPr>
              </w:p>
            </w:tc>
            <w:tc>
              <w:tcPr>
                <w:tcW w:w="811" w:type="pct"/>
                <w:vAlign w:val="center"/>
              </w:tcPr>
              <w:p w14:paraId="19AD1231" w14:textId="77777777" w:rsidR="00577D08" w:rsidRDefault="00330FC0">
                <w:pPr>
                  <w:spacing w:line="240" w:lineRule="atLeast"/>
                  <w:jc w:val="right"/>
                </w:pPr>
                <w:r>
                  <w:rPr>
                    <w:rFonts w:hint="eastAsia"/>
                  </w:rPr>
                  <w:t xml:space="preserve">　</w:t>
                </w:r>
              </w:p>
            </w:tc>
          </w:tr>
          <w:tr w:rsidR="00577D08" w14:paraId="5FADE402" w14:textId="77777777">
            <w:trPr>
              <w:trHeight w:val="284"/>
            </w:trPr>
            <w:tc>
              <w:tcPr>
                <w:tcW w:w="1040" w:type="pct"/>
                <w:vAlign w:val="center"/>
              </w:tcPr>
              <w:p w14:paraId="4BDD6C0C" w14:textId="77777777" w:rsidR="00577D08" w:rsidRDefault="00330FC0">
                <w:pPr>
                  <w:spacing w:line="240" w:lineRule="atLeast"/>
                  <w:ind w:firstLineChars="200" w:firstLine="420"/>
                </w:pPr>
                <w:r>
                  <w:t>2.</w:t>
                </w:r>
                <w:r>
                  <w:t>本期增加</w:t>
                </w:r>
                <w:r>
                  <w:rPr>
                    <w:rFonts w:hint="eastAsia"/>
                  </w:rPr>
                  <w:t>金额</w:t>
                </w:r>
              </w:p>
            </w:tc>
            <w:tc>
              <w:tcPr>
                <w:tcW w:w="787" w:type="pct"/>
                <w:vAlign w:val="center"/>
              </w:tcPr>
              <w:p w14:paraId="0886D8C3" w14:textId="77777777" w:rsidR="00577D08" w:rsidRDefault="00330FC0">
                <w:pPr>
                  <w:spacing w:line="240" w:lineRule="atLeast"/>
                  <w:jc w:val="right"/>
                </w:pPr>
                <w:r>
                  <w:rPr>
                    <w:rFonts w:hint="eastAsia"/>
                  </w:rPr>
                  <w:t xml:space="preserve">　</w:t>
                </w:r>
              </w:p>
            </w:tc>
            <w:tc>
              <w:tcPr>
                <w:tcW w:w="787" w:type="pct"/>
                <w:vAlign w:val="center"/>
              </w:tcPr>
              <w:p w14:paraId="3836607F" w14:textId="77777777" w:rsidR="00577D08" w:rsidRDefault="00577D08">
                <w:pPr>
                  <w:spacing w:line="240" w:lineRule="atLeast"/>
                  <w:jc w:val="right"/>
                </w:pPr>
              </w:p>
            </w:tc>
            <w:tc>
              <w:tcPr>
                <w:tcW w:w="783" w:type="pct"/>
                <w:vAlign w:val="center"/>
              </w:tcPr>
              <w:p w14:paraId="1920AFB2" w14:textId="77777777" w:rsidR="00577D08" w:rsidRDefault="00577D08">
                <w:pPr>
                  <w:spacing w:line="240" w:lineRule="atLeast"/>
                  <w:jc w:val="right"/>
                </w:pPr>
              </w:p>
            </w:tc>
            <w:tc>
              <w:tcPr>
                <w:tcW w:w="792" w:type="pct"/>
                <w:vAlign w:val="center"/>
              </w:tcPr>
              <w:p w14:paraId="1601050D" w14:textId="77777777" w:rsidR="00577D08" w:rsidRDefault="00577D08">
                <w:pPr>
                  <w:spacing w:line="240" w:lineRule="atLeast"/>
                  <w:jc w:val="right"/>
                </w:pPr>
              </w:p>
            </w:tc>
            <w:tc>
              <w:tcPr>
                <w:tcW w:w="811" w:type="pct"/>
                <w:vAlign w:val="center"/>
              </w:tcPr>
              <w:p w14:paraId="402B7ED7" w14:textId="77777777" w:rsidR="00577D08" w:rsidRDefault="00330FC0">
                <w:pPr>
                  <w:spacing w:line="240" w:lineRule="atLeast"/>
                  <w:jc w:val="right"/>
                </w:pPr>
                <w:r>
                  <w:rPr>
                    <w:rFonts w:hint="eastAsia"/>
                  </w:rPr>
                  <w:t xml:space="preserve">　</w:t>
                </w:r>
              </w:p>
            </w:tc>
          </w:tr>
          <w:tr w:rsidR="00577D08" w14:paraId="3A45186F" w14:textId="77777777">
            <w:trPr>
              <w:trHeight w:val="284"/>
            </w:trPr>
            <w:tc>
              <w:tcPr>
                <w:tcW w:w="1040" w:type="pct"/>
                <w:vAlign w:val="center"/>
              </w:tcPr>
              <w:p w14:paraId="2D10FBC4" w14:textId="77777777" w:rsidR="00577D08" w:rsidRDefault="00330FC0">
                <w:pPr>
                  <w:spacing w:line="240" w:lineRule="atLeast"/>
                  <w:ind w:firstLineChars="200" w:firstLine="420"/>
                </w:pPr>
                <w:r>
                  <w:rPr>
                    <w:rFonts w:hint="eastAsia"/>
                  </w:rPr>
                  <w:lastRenderedPageBreak/>
                  <w:t>（</w:t>
                </w:r>
                <w:r>
                  <w:rPr>
                    <w:rFonts w:hint="eastAsia"/>
                  </w:rPr>
                  <w:t>1</w:t>
                </w:r>
                <w:r>
                  <w:rPr>
                    <w:rFonts w:hint="eastAsia"/>
                  </w:rPr>
                  <w:t>）</w:t>
                </w:r>
                <w:r>
                  <w:t>计提</w:t>
                </w:r>
              </w:p>
            </w:tc>
            <w:tc>
              <w:tcPr>
                <w:tcW w:w="787" w:type="pct"/>
                <w:vAlign w:val="center"/>
              </w:tcPr>
              <w:p w14:paraId="7F975C46" w14:textId="77777777" w:rsidR="00577D08" w:rsidRDefault="00330FC0">
                <w:pPr>
                  <w:spacing w:line="240" w:lineRule="atLeast"/>
                  <w:jc w:val="right"/>
                </w:pPr>
                <w:r>
                  <w:rPr>
                    <w:rFonts w:hint="eastAsia"/>
                  </w:rPr>
                  <w:t xml:space="preserve">　</w:t>
                </w:r>
              </w:p>
            </w:tc>
            <w:tc>
              <w:tcPr>
                <w:tcW w:w="787" w:type="pct"/>
                <w:vAlign w:val="center"/>
              </w:tcPr>
              <w:p w14:paraId="6CBBF3F8" w14:textId="77777777" w:rsidR="00577D08" w:rsidRDefault="00577D08">
                <w:pPr>
                  <w:spacing w:line="240" w:lineRule="atLeast"/>
                  <w:jc w:val="right"/>
                </w:pPr>
              </w:p>
            </w:tc>
            <w:tc>
              <w:tcPr>
                <w:tcW w:w="783" w:type="pct"/>
                <w:vAlign w:val="center"/>
              </w:tcPr>
              <w:p w14:paraId="018B6BC1" w14:textId="77777777" w:rsidR="00577D08" w:rsidRDefault="00577D08">
                <w:pPr>
                  <w:spacing w:line="240" w:lineRule="atLeast"/>
                  <w:jc w:val="right"/>
                </w:pPr>
              </w:p>
            </w:tc>
            <w:tc>
              <w:tcPr>
                <w:tcW w:w="792" w:type="pct"/>
                <w:vAlign w:val="center"/>
              </w:tcPr>
              <w:p w14:paraId="5CB18BED" w14:textId="77777777" w:rsidR="00577D08" w:rsidRDefault="00577D08">
                <w:pPr>
                  <w:spacing w:line="240" w:lineRule="atLeast"/>
                  <w:jc w:val="right"/>
                </w:pPr>
              </w:p>
            </w:tc>
            <w:tc>
              <w:tcPr>
                <w:tcW w:w="811" w:type="pct"/>
                <w:vAlign w:val="center"/>
              </w:tcPr>
              <w:p w14:paraId="2251E183" w14:textId="77777777" w:rsidR="00577D08" w:rsidRDefault="00330FC0">
                <w:pPr>
                  <w:spacing w:line="240" w:lineRule="atLeast"/>
                  <w:jc w:val="right"/>
                </w:pPr>
                <w:r>
                  <w:rPr>
                    <w:rFonts w:hint="eastAsia"/>
                  </w:rPr>
                  <w:t xml:space="preserve">　</w:t>
                </w:r>
              </w:p>
            </w:tc>
          </w:tr>
          <w:tr w:rsidR="00577D08" w14:paraId="07F79B8A" w14:textId="77777777">
            <w:trPr>
              <w:trHeight w:val="284"/>
            </w:trPr>
            <w:tc>
              <w:tcPr>
                <w:tcW w:w="1040" w:type="pct"/>
                <w:vAlign w:val="center"/>
              </w:tcPr>
              <w:p w14:paraId="07C73CDC" w14:textId="77777777" w:rsidR="00577D08" w:rsidRDefault="00330FC0">
                <w:pPr>
                  <w:spacing w:line="240" w:lineRule="atLeast"/>
                  <w:ind w:firstLineChars="200" w:firstLine="420"/>
                </w:pPr>
                <w:r>
                  <w:rPr>
                    <w:rFonts w:hint="eastAsia"/>
                  </w:rPr>
                  <w:t>3.</w:t>
                </w:r>
                <w:r>
                  <w:t>本期减少</w:t>
                </w:r>
                <w:r>
                  <w:rPr>
                    <w:rFonts w:hint="eastAsia"/>
                  </w:rPr>
                  <w:t>金额</w:t>
                </w:r>
              </w:p>
            </w:tc>
            <w:tc>
              <w:tcPr>
                <w:tcW w:w="787" w:type="pct"/>
                <w:vAlign w:val="center"/>
              </w:tcPr>
              <w:p w14:paraId="017671EF" w14:textId="77777777" w:rsidR="00577D08" w:rsidRDefault="00330FC0">
                <w:pPr>
                  <w:spacing w:line="240" w:lineRule="atLeast"/>
                  <w:jc w:val="right"/>
                </w:pPr>
                <w:r>
                  <w:rPr>
                    <w:rFonts w:hint="eastAsia"/>
                  </w:rPr>
                  <w:t xml:space="preserve">　</w:t>
                </w:r>
              </w:p>
            </w:tc>
            <w:tc>
              <w:tcPr>
                <w:tcW w:w="787" w:type="pct"/>
                <w:vAlign w:val="center"/>
              </w:tcPr>
              <w:p w14:paraId="37FD7F2B" w14:textId="77777777" w:rsidR="00577D08" w:rsidRDefault="00577D08">
                <w:pPr>
                  <w:spacing w:line="240" w:lineRule="atLeast"/>
                  <w:jc w:val="right"/>
                </w:pPr>
              </w:p>
            </w:tc>
            <w:tc>
              <w:tcPr>
                <w:tcW w:w="783" w:type="pct"/>
                <w:vAlign w:val="center"/>
              </w:tcPr>
              <w:p w14:paraId="130467F2" w14:textId="77777777" w:rsidR="00577D08" w:rsidRDefault="00577D08">
                <w:pPr>
                  <w:spacing w:line="240" w:lineRule="atLeast"/>
                  <w:jc w:val="right"/>
                </w:pPr>
              </w:p>
            </w:tc>
            <w:tc>
              <w:tcPr>
                <w:tcW w:w="792" w:type="pct"/>
                <w:vAlign w:val="center"/>
              </w:tcPr>
              <w:p w14:paraId="2B146D42" w14:textId="77777777" w:rsidR="00577D08" w:rsidRDefault="00577D08">
                <w:pPr>
                  <w:spacing w:line="240" w:lineRule="atLeast"/>
                  <w:jc w:val="right"/>
                </w:pPr>
              </w:p>
            </w:tc>
            <w:tc>
              <w:tcPr>
                <w:tcW w:w="811" w:type="pct"/>
                <w:vAlign w:val="center"/>
              </w:tcPr>
              <w:p w14:paraId="49B0353F" w14:textId="77777777" w:rsidR="00577D08" w:rsidRDefault="00330FC0">
                <w:pPr>
                  <w:spacing w:line="240" w:lineRule="atLeast"/>
                  <w:jc w:val="right"/>
                </w:pPr>
                <w:r>
                  <w:rPr>
                    <w:rFonts w:hint="eastAsia"/>
                  </w:rPr>
                  <w:t xml:space="preserve">　</w:t>
                </w:r>
              </w:p>
            </w:tc>
          </w:tr>
          <w:tr w:rsidR="00577D08" w14:paraId="46D84417" w14:textId="77777777">
            <w:trPr>
              <w:trHeight w:val="284"/>
            </w:trPr>
            <w:tc>
              <w:tcPr>
                <w:tcW w:w="1040" w:type="pct"/>
                <w:vAlign w:val="center"/>
              </w:tcPr>
              <w:p w14:paraId="4116B4F4" w14:textId="77777777" w:rsidR="00577D08" w:rsidRDefault="00330FC0">
                <w:pPr>
                  <w:spacing w:line="240" w:lineRule="atLeast"/>
                  <w:ind w:firstLineChars="200" w:firstLine="420"/>
                </w:pPr>
                <w:r>
                  <w:rPr>
                    <w:rFonts w:hint="eastAsia"/>
                  </w:rPr>
                  <w:t>（</w:t>
                </w:r>
                <w:r>
                  <w:rPr>
                    <w:rFonts w:hint="eastAsia"/>
                  </w:rPr>
                  <w:t>1</w:t>
                </w:r>
                <w:r>
                  <w:rPr>
                    <w:rFonts w:hint="eastAsia"/>
                  </w:rPr>
                  <w:t>）处置</w:t>
                </w:r>
              </w:p>
            </w:tc>
            <w:tc>
              <w:tcPr>
                <w:tcW w:w="787" w:type="pct"/>
                <w:vAlign w:val="center"/>
              </w:tcPr>
              <w:p w14:paraId="1F28DAD8" w14:textId="77777777" w:rsidR="00577D08" w:rsidRDefault="00330FC0">
                <w:pPr>
                  <w:spacing w:line="240" w:lineRule="atLeast"/>
                  <w:jc w:val="right"/>
                </w:pPr>
                <w:r>
                  <w:rPr>
                    <w:rFonts w:hint="eastAsia"/>
                  </w:rPr>
                  <w:t xml:space="preserve">　</w:t>
                </w:r>
              </w:p>
            </w:tc>
            <w:tc>
              <w:tcPr>
                <w:tcW w:w="787" w:type="pct"/>
                <w:vAlign w:val="center"/>
              </w:tcPr>
              <w:p w14:paraId="7D606103" w14:textId="77777777" w:rsidR="00577D08" w:rsidRDefault="00577D08">
                <w:pPr>
                  <w:spacing w:line="240" w:lineRule="atLeast"/>
                  <w:jc w:val="right"/>
                </w:pPr>
              </w:p>
            </w:tc>
            <w:tc>
              <w:tcPr>
                <w:tcW w:w="783" w:type="pct"/>
                <w:vAlign w:val="center"/>
              </w:tcPr>
              <w:p w14:paraId="7576BA68" w14:textId="77777777" w:rsidR="00577D08" w:rsidRDefault="00577D08">
                <w:pPr>
                  <w:spacing w:line="240" w:lineRule="atLeast"/>
                  <w:jc w:val="right"/>
                </w:pPr>
              </w:p>
            </w:tc>
            <w:tc>
              <w:tcPr>
                <w:tcW w:w="792" w:type="pct"/>
                <w:vAlign w:val="center"/>
              </w:tcPr>
              <w:p w14:paraId="66DA0D9B" w14:textId="77777777" w:rsidR="00577D08" w:rsidRDefault="00577D08">
                <w:pPr>
                  <w:spacing w:line="240" w:lineRule="atLeast"/>
                  <w:jc w:val="right"/>
                </w:pPr>
              </w:p>
            </w:tc>
            <w:tc>
              <w:tcPr>
                <w:tcW w:w="811" w:type="pct"/>
                <w:vAlign w:val="center"/>
              </w:tcPr>
              <w:p w14:paraId="5648EDD1" w14:textId="77777777" w:rsidR="00577D08" w:rsidRDefault="00330FC0">
                <w:pPr>
                  <w:spacing w:line="240" w:lineRule="atLeast"/>
                  <w:jc w:val="right"/>
                </w:pPr>
                <w:r>
                  <w:rPr>
                    <w:rFonts w:hint="eastAsia"/>
                  </w:rPr>
                  <w:t xml:space="preserve">　</w:t>
                </w:r>
              </w:p>
            </w:tc>
          </w:tr>
          <w:tr w:rsidR="00577D08" w14:paraId="65E60CF5" w14:textId="77777777">
            <w:trPr>
              <w:trHeight w:val="284"/>
            </w:trPr>
            <w:tc>
              <w:tcPr>
                <w:tcW w:w="1040" w:type="pct"/>
                <w:vAlign w:val="center"/>
              </w:tcPr>
              <w:p w14:paraId="71B90609" w14:textId="77777777" w:rsidR="00577D08" w:rsidRDefault="00330FC0">
                <w:pPr>
                  <w:spacing w:line="240" w:lineRule="atLeast"/>
                  <w:ind w:firstLineChars="200" w:firstLine="420"/>
                </w:pPr>
                <w:r>
                  <w:rPr>
                    <w:rFonts w:hint="eastAsia"/>
                  </w:rPr>
                  <w:t>4.</w:t>
                </w:r>
                <w:r>
                  <w:t>期末余额</w:t>
                </w:r>
              </w:p>
            </w:tc>
            <w:tc>
              <w:tcPr>
                <w:tcW w:w="787" w:type="pct"/>
                <w:vAlign w:val="center"/>
              </w:tcPr>
              <w:p w14:paraId="622985BF" w14:textId="77777777" w:rsidR="00577D08" w:rsidRDefault="00330FC0">
                <w:pPr>
                  <w:spacing w:line="240" w:lineRule="atLeast"/>
                  <w:jc w:val="right"/>
                </w:pPr>
                <w:r>
                  <w:rPr>
                    <w:rFonts w:hint="eastAsia"/>
                  </w:rPr>
                  <w:t xml:space="preserve">　</w:t>
                </w:r>
              </w:p>
            </w:tc>
            <w:tc>
              <w:tcPr>
                <w:tcW w:w="787" w:type="pct"/>
                <w:vAlign w:val="center"/>
              </w:tcPr>
              <w:p w14:paraId="6DFCE19A" w14:textId="77777777" w:rsidR="00577D08" w:rsidRDefault="00577D08">
                <w:pPr>
                  <w:spacing w:line="240" w:lineRule="atLeast"/>
                  <w:jc w:val="right"/>
                </w:pPr>
              </w:p>
            </w:tc>
            <w:tc>
              <w:tcPr>
                <w:tcW w:w="783" w:type="pct"/>
                <w:vAlign w:val="center"/>
              </w:tcPr>
              <w:p w14:paraId="1967BC65" w14:textId="77777777" w:rsidR="00577D08" w:rsidRDefault="00577D08">
                <w:pPr>
                  <w:spacing w:line="240" w:lineRule="atLeast"/>
                  <w:jc w:val="right"/>
                </w:pPr>
              </w:p>
            </w:tc>
            <w:tc>
              <w:tcPr>
                <w:tcW w:w="792" w:type="pct"/>
                <w:vAlign w:val="center"/>
              </w:tcPr>
              <w:p w14:paraId="3BB33473" w14:textId="77777777" w:rsidR="00577D08" w:rsidRDefault="00577D08">
                <w:pPr>
                  <w:spacing w:line="240" w:lineRule="atLeast"/>
                  <w:jc w:val="right"/>
                </w:pPr>
              </w:p>
            </w:tc>
            <w:tc>
              <w:tcPr>
                <w:tcW w:w="811" w:type="pct"/>
                <w:vAlign w:val="center"/>
              </w:tcPr>
              <w:p w14:paraId="64EFFDBC" w14:textId="77777777" w:rsidR="00577D08" w:rsidRDefault="00330FC0">
                <w:pPr>
                  <w:spacing w:line="240" w:lineRule="atLeast"/>
                  <w:jc w:val="right"/>
                </w:pPr>
                <w:r>
                  <w:rPr>
                    <w:rFonts w:hint="eastAsia"/>
                  </w:rPr>
                  <w:t xml:space="preserve">　</w:t>
                </w:r>
              </w:p>
            </w:tc>
          </w:tr>
          <w:tr w:rsidR="00577D08" w14:paraId="247FC6D7" w14:textId="77777777">
            <w:trPr>
              <w:trHeight w:val="284"/>
            </w:trPr>
            <w:sdt>
              <w:sdtPr>
                <w:tag w:val="_PLD_11c4f53648e149a88b6ff0ef5ef90dc8"/>
                <w:id w:val="-2068645541"/>
              </w:sdtPr>
              <w:sdtContent>
                <w:tc>
                  <w:tcPr>
                    <w:tcW w:w="5000" w:type="pct"/>
                    <w:gridSpan w:val="6"/>
                    <w:vAlign w:val="center"/>
                  </w:tcPr>
                  <w:p w14:paraId="458BEFEA" w14:textId="77777777" w:rsidR="00577D08" w:rsidRDefault="00330FC0">
                    <w:pPr>
                      <w:spacing w:line="240" w:lineRule="atLeast"/>
                    </w:pPr>
                    <w:r>
                      <w:t>四、账面价值</w:t>
                    </w:r>
                  </w:p>
                </w:tc>
              </w:sdtContent>
            </w:sdt>
          </w:tr>
          <w:tr w:rsidR="00577D08" w14:paraId="20DF85B9" w14:textId="77777777">
            <w:trPr>
              <w:trHeight w:val="284"/>
            </w:trPr>
            <w:tc>
              <w:tcPr>
                <w:tcW w:w="1040" w:type="pct"/>
                <w:vAlign w:val="center"/>
              </w:tcPr>
              <w:p w14:paraId="54FBEFFC" w14:textId="77777777" w:rsidR="00577D08" w:rsidRDefault="00330FC0">
                <w:pPr>
                  <w:spacing w:line="240" w:lineRule="atLeast"/>
                </w:pPr>
                <w:r>
                  <w:t>1.</w:t>
                </w:r>
                <w:r>
                  <w:t>期末账面价值</w:t>
                </w:r>
              </w:p>
            </w:tc>
            <w:tc>
              <w:tcPr>
                <w:tcW w:w="787" w:type="pct"/>
              </w:tcPr>
              <w:p w14:paraId="60327421" w14:textId="77777777" w:rsidR="00577D08" w:rsidRDefault="00330FC0">
                <w:pPr>
                  <w:spacing w:line="240" w:lineRule="atLeast"/>
                  <w:jc w:val="right"/>
                </w:pPr>
                <w:r>
                  <w:t>9,498,359.03</w:t>
                </w:r>
              </w:p>
            </w:tc>
            <w:tc>
              <w:tcPr>
                <w:tcW w:w="787" w:type="pct"/>
              </w:tcPr>
              <w:p w14:paraId="0A9E112D" w14:textId="77777777" w:rsidR="00577D08" w:rsidRDefault="00330FC0">
                <w:pPr>
                  <w:spacing w:line="240" w:lineRule="atLeast"/>
                  <w:jc w:val="right"/>
                </w:pPr>
                <w:r>
                  <w:t>9,882,662.85</w:t>
                </w:r>
              </w:p>
            </w:tc>
            <w:tc>
              <w:tcPr>
                <w:tcW w:w="783" w:type="pct"/>
              </w:tcPr>
              <w:p w14:paraId="6D059023" w14:textId="77777777" w:rsidR="00577D08" w:rsidRDefault="00330FC0">
                <w:pPr>
                  <w:spacing w:line="240" w:lineRule="atLeast"/>
                  <w:jc w:val="right"/>
                </w:pPr>
                <w:r>
                  <w:t>261,763.96</w:t>
                </w:r>
              </w:p>
            </w:tc>
            <w:tc>
              <w:tcPr>
                <w:tcW w:w="792" w:type="pct"/>
              </w:tcPr>
              <w:p w14:paraId="09776FAD" w14:textId="77777777" w:rsidR="00577D08" w:rsidRDefault="00330FC0">
                <w:pPr>
                  <w:spacing w:line="240" w:lineRule="atLeast"/>
                  <w:jc w:val="right"/>
                </w:pPr>
                <w:r>
                  <w:t>936,667.00</w:t>
                </w:r>
              </w:p>
            </w:tc>
            <w:tc>
              <w:tcPr>
                <w:tcW w:w="811" w:type="pct"/>
              </w:tcPr>
              <w:p w14:paraId="4603F51F" w14:textId="77777777" w:rsidR="00577D08" w:rsidRDefault="00330FC0">
                <w:pPr>
                  <w:spacing w:line="240" w:lineRule="atLeast"/>
                  <w:jc w:val="right"/>
                </w:pPr>
                <w:r>
                  <w:t>20,579,452.84</w:t>
                </w:r>
              </w:p>
            </w:tc>
          </w:tr>
          <w:tr w:rsidR="00577D08" w14:paraId="39655EC6" w14:textId="77777777">
            <w:trPr>
              <w:trHeight w:val="284"/>
            </w:trPr>
            <w:tc>
              <w:tcPr>
                <w:tcW w:w="1040" w:type="pct"/>
                <w:vAlign w:val="center"/>
              </w:tcPr>
              <w:p w14:paraId="3A19CD6B" w14:textId="77777777" w:rsidR="00577D08" w:rsidRDefault="00330FC0">
                <w:pPr>
                  <w:spacing w:line="240" w:lineRule="atLeast"/>
                </w:pPr>
                <w:r>
                  <w:t>2.</w:t>
                </w:r>
                <w:r>
                  <w:t>期初账面价值</w:t>
                </w:r>
              </w:p>
            </w:tc>
            <w:tc>
              <w:tcPr>
                <w:tcW w:w="787" w:type="pct"/>
              </w:tcPr>
              <w:p w14:paraId="0AEA5917" w14:textId="77777777" w:rsidR="00577D08" w:rsidRDefault="00330FC0">
                <w:pPr>
                  <w:spacing w:line="240" w:lineRule="atLeast"/>
                  <w:jc w:val="right"/>
                </w:pPr>
                <w:r>
                  <w:t>5,045,742.77</w:t>
                </w:r>
              </w:p>
            </w:tc>
            <w:tc>
              <w:tcPr>
                <w:tcW w:w="787" w:type="pct"/>
              </w:tcPr>
              <w:p w14:paraId="5B688B50" w14:textId="77777777" w:rsidR="00577D08" w:rsidRDefault="00577D08">
                <w:pPr>
                  <w:spacing w:line="240" w:lineRule="atLeast"/>
                  <w:jc w:val="right"/>
                </w:pPr>
              </w:p>
            </w:tc>
            <w:tc>
              <w:tcPr>
                <w:tcW w:w="783" w:type="pct"/>
              </w:tcPr>
              <w:p w14:paraId="54B57299" w14:textId="77777777" w:rsidR="00577D08" w:rsidRDefault="00330FC0">
                <w:pPr>
                  <w:spacing w:line="240" w:lineRule="atLeast"/>
                  <w:jc w:val="right"/>
                </w:pPr>
                <w:r>
                  <w:t>523,527.71</w:t>
                </w:r>
              </w:p>
            </w:tc>
            <w:tc>
              <w:tcPr>
                <w:tcW w:w="792" w:type="pct"/>
              </w:tcPr>
              <w:p w14:paraId="4FFA3F0F" w14:textId="77777777" w:rsidR="00577D08" w:rsidRDefault="00577D08">
                <w:pPr>
                  <w:spacing w:line="240" w:lineRule="atLeast"/>
                  <w:jc w:val="right"/>
                </w:pPr>
              </w:p>
            </w:tc>
            <w:tc>
              <w:tcPr>
                <w:tcW w:w="811" w:type="pct"/>
              </w:tcPr>
              <w:p w14:paraId="4E51F65E" w14:textId="77777777" w:rsidR="00577D08" w:rsidRDefault="00330FC0">
                <w:pPr>
                  <w:spacing w:line="240" w:lineRule="atLeast"/>
                  <w:jc w:val="right"/>
                </w:pPr>
                <w:r>
                  <w:t>5,569,270.48</w:t>
                </w:r>
              </w:p>
            </w:tc>
          </w:tr>
        </w:tbl>
        <w:p w14:paraId="00F1979E" w14:textId="77777777" w:rsidR="00577D08" w:rsidRDefault="00000000"/>
      </w:sdtContent>
    </w:sdt>
    <w:p w14:paraId="4F523907" w14:textId="77777777" w:rsidR="00577D08" w:rsidRDefault="00330FC0">
      <w:pPr>
        <w:pStyle w:val="4"/>
        <w:numPr>
          <w:ilvl w:val="0"/>
          <w:numId w:val="81"/>
        </w:numPr>
        <w:rPr>
          <w:rFonts w:hint="eastAsia"/>
        </w:rPr>
      </w:pPr>
      <w:bookmarkStart w:id="409" w:name="_Hlk153461708"/>
      <w:bookmarkEnd w:id="407"/>
      <w:r>
        <w:rPr>
          <w:rFonts w:hint="eastAsia"/>
        </w:rPr>
        <w:t>使用权资产的减值测试情况</w:t>
      </w:r>
    </w:p>
    <w:sdt>
      <w:sdtPr>
        <w:alias w:val="是否适用：减值测试情况[双击切换]"/>
        <w:tag w:val="_GBC_3b3aabc5b9ad4e9896fb84bfd63b8c60"/>
        <w:id w:val="738606460"/>
        <w:placeholder>
          <w:docPart w:val="GBC22222222222222222222222222222"/>
        </w:placeholder>
      </w:sdtPr>
      <w:sdtContent>
        <w:p w14:paraId="206296F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146435F" w14:textId="77777777" w:rsidR="00577D08" w:rsidRDefault="00330FC0">
      <w:pPr>
        <w:autoSpaceDE w:val="0"/>
        <w:autoSpaceDN w:val="0"/>
        <w:adjustRightInd w:val="0"/>
      </w:pPr>
      <w:bookmarkStart w:id="410" w:name="_Hlk152863567"/>
      <w:bookmarkEnd w:id="408"/>
      <w:bookmarkEnd w:id="409"/>
      <w:r>
        <w:rPr>
          <w:rFonts w:hint="eastAsia"/>
        </w:rPr>
        <w:t>其他说明：</w:t>
      </w:r>
    </w:p>
    <w:p w14:paraId="7F934B7B" w14:textId="77777777" w:rsidR="00577D08" w:rsidRDefault="00000000">
      <w:sdt>
        <w:sdtPr>
          <w:alias w:val="使用权资产其他说明"/>
          <w:tag w:val="_GBC_41c40d661bff4f1b859d4bd00049983c"/>
          <w:id w:val="145791073"/>
          <w:placeholder>
            <w:docPart w:val="GBC22222222222222222222222222222"/>
          </w:placeholder>
        </w:sdtPr>
        <w:sdtContent>
          <w:r w:rsidR="00330FC0">
            <w:rPr>
              <w:rFonts w:hint="eastAsia"/>
            </w:rPr>
            <w:t>无</w:t>
          </w:r>
        </w:sdtContent>
      </w:sdt>
    </w:p>
    <w:bookmarkEnd w:id="410"/>
    <w:p w14:paraId="50C3A1D3"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无形资产</w:t>
      </w:r>
    </w:p>
    <w:p w14:paraId="7C23EF7E" w14:textId="77777777" w:rsidR="00577D08" w:rsidRDefault="00330FC0">
      <w:pPr>
        <w:pStyle w:val="4"/>
        <w:numPr>
          <w:ilvl w:val="3"/>
          <w:numId w:val="82"/>
        </w:numPr>
        <w:ind w:left="426" w:hanging="426"/>
        <w:rPr>
          <w:rFonts w:hint="eastAsia"/>
        </w:rPr>
      </w:pPr>
      <w:bookmarkStart w:id="411" w:name="_Hlk90557281"/>
      <w:r>
        <w:rPr>
          <w:rFonts w:hint="eastAsia"/>
        </w:rPr>
        <w:t>无形资产情况</w:t>
      </w:r>
    </w:p>
    <w:sdt>
      <w:sdtPr>
        <w:rPr>
          <w:rFonts w:hint="eastAsia"/>
        </w:rPr>
        <w:alias w:val="是否适用：无形资产情况[双击切换]"/>
        <w:tag w:val="_GBC_42237c7a99c64602a661c1668bc893bd"/>
        <w:id w:val="271218344"/>
        <w:placeholder>
          <w:docPart w:val="GBC22222222222222222222222222222"/>
        </w:placeholder>
      </w:sdtPr>
      <w:sdtContent>
        <w:p w14:paraId="09A7BECC" w14:textId="77777777" w:rsidR="00577D08" w:rsidRDefault="00330FC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34F3BB4" w14:textId="0FBA779F" w:rsidR="00577D08" w:rsidRDefault="00330FC0">
      <w:pPr>
        <w:snapToGrid w:val="0"/>
        <w:spacing w:line="240" w:lineRule="atLeast"/>
        <w:jc w:val="right"/>
      </w:pPr>
      <w:r>
        <w:rPr>
          <w:rFonts w:hint="eastAsia"/>
        </w:rPr>
        <w:t>单位：</w:t>
      </w:r>
      <w:sdt>
        <w:sdtPr>
          <w:rPr>
            <w:rFonts w:hint="eastAsia"/>
          </w:rPr>
          <w:alias w:val="单位：财务附注：无形资产情况"/>
          <w:tag w:val="_GBC_37e64bddc8e645b48a19b4e7bafb7839"/>
          <w:id w:val="19599064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无形资产情况"/>
          <w:tag w:val="_GBC_2c85ccef3cf1470c8cf657b14b474192"/>
          <w:id w:val="18014159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1559"/>
        <w:gridCol w:w="1418"/>
        <w:gridCol w:w="1275"/>
        <w:gridCol w:w="1570"/>
      </w:tblGrid>
      <w:tr w:rsidR="00577D08" w14:paraId="243E7764" w14:textId="77777777">
        <w:trPr>
          <w:trHeight w:val="340"/>
        </w:trPr>
        <w:sdt>
          <w:sdtPr>
            <w:tag w:val="_PLD_0d0c5c4c9acf46eaa7c41a19eb731a5c"/>
            <w:id w:val="755641670"/>
          </w:sdtPr>
          <w:sdtContent>
            <w:tc>
              <w:tcPr>
                <w:tcW w:w="1668" w:type="dxa"/>
                <w:vAlign w:val="center"/>
              </w:tcPr>
              <w:p w14:paraId="11B22696" w14:textId="77777777" w:rsidR="00577D08" w:rsidRDefault="00330FC0">
                <w:pPr>
                  <w:jc w:val="center"/>
                </w:pPr>
                <w:r>
                  <w:rPr>
                    <w:rFonts w:hint="eastAsia"/>
                  </w:rPr>
                  <w:t>项目</w:t>
                </w:r>
              </w:p>
            </w:tc>
          </w:sdtContent>
        </w:sdt>
        <w:sdt>
          <w:sdtPr>
            <w:tag w:val="_PLD_0dfc6d612ce04e4ab91d7f5c675c7954"/>
            <w:id w:val="928696660"/>
          </w:sdtPr>
          <w:sdtContent>
            <w:tc>
              <w:tcPr>
                <w:tcW w:w="1559" w:type="dxa"/>
                <w:vAlign w:val="center"/>
              </w:tcPr>
              <w:p w14:paraId="7A7EF2D3" w14:textId="77777777" w:rsidR="00577D08" w:rsidRDefault="00330FC0">
                <w:pPr>
                  <w:jc w:val="center"/>
                </w:pPr>
                <w:r>
                  <w:rPr>
                    <w:rFonts w:hint="eastAsia"/>
                  </w:rPr>
                  <w:t>土地使用权</w:t>
                </w:r>
              </w:p>
            </w:tc>
          </w:sdtContent>
        </w:sdt>
        <w:sdt>
          <w:sdtPr>
            <w:tag w:val="_PLD_0d5a6bdde1fe4f6d9dcc5cb928d96ee9"/>
            <w:id w:val="-53319406"/>
          </w:sdtPr>
          <w:sdtContent>
            <w:tc>
              <w:tcPr>
                <w:tcW w:w="1559" w:type="dxa"/>
                <w:vAlign w:val="center"/>
              </w:tcPr>
              <w:p w14:paraId="7336918B" w14:textId="77777777" w:rsidR="00577D08" w:rsidRDefault="00330FC0">
                <w:pPr>
                  <w:jc w:val="center"/>
                </w:pPr>
                <w:r>
                  <w:rPr>
                    <w:rFonts w:hint="eastAsia"/>
                  </w:rPr>
                  <w:t>软件</w:t>
                </w:r>
              </w:p>
            </w:tc>
          </w:sdtContent>
        </w:sdt>
        <w:sdt>
          <w:sdtPr>
            <w:tag w:val="_PLD_c4e41ad8ec594f0dafd60ebc1a7da7ce"/>
            <w:id w:val="626134612"/>
          </w:sdtPr>
          <w:sdtContent>
            <w:tc>
              <w:tcPr>
                <w:tcW w:w="1418" w:type="dxa"/>
                <w:vAlign w:val="center"/>
              </w:tcPr>
              <w:p w14:paraId="0F7A7C4F" w14:textId="77777777" w:rsidR="00577D08" w:rsidRDefault="00330FC0">
                <w:pPr>
                  <w:jc w:val="center"/>
                </w:pPr>
                <w:r>
                  <w:rPr>
                    <w:rFonts w:hint="eastAsia"/>
                  </w:rPr>
                  <w:t>专利权</w:t>
                </w:r>
              </w:p>
            </w:tc>
          </w:sdtContent>
        </w:sdt>
        <w:sdt>
          <w:sdtPr>
            <w:alias w:val="无形资产明细－项目"/>
            <w:tag w:val="_GBC_1a0001be34594900ba0c5e610a635d50"/>
            <w:id w:val="97613665"/>
          </w:sdtPr>
          <w:sdtEndPr>
            <w:rPr>
              <w:rFonts w:hint="eastAsia"/>
            </w:rPr>
          </w:sdtEndPr>
          <w:sdtContent>
            <w:tc>
              <w:tcPr>
                <w:tcW w:w="1275" w:type="dxa"/>
                <w:vAlign w:val="center"/>
              </w:tcPr>
              <w:p w14:paraId="68FF8B15" w14:textId="77777777" w:rsidR="00577D08" w:rsidRDefault="00330FC0">
                <w:pPr>
                  <w:jc w:val="center"/>
                </w:pPr>
                <w:r>
                  <w:rPr>
                    <w:rFonts w:hint="eastAsia"/>
                  </w:rPr>
                  <w:t>非专利技术</w:t>
                </w:r>
              </w:p>
            </w:tc>
          </w:sdtContent>
        </w:sdt>
        <w:sdt>
          <w:sdtPr>
            <w:tag w:val="_PLD_010a173744294c79817b77db863e3438"/>
            <w:id w:val="816536380"/>
          </w:sdtPr>
          <w:sdtContent>
            <w:tc>
              <w:tcPr>
                <w:tcW w:w="1570" w:type="dxa"/>
                <w:vAlign w:val="center"/>
              </w:tcPr>
              <w:p w14:paraId="2E87A129" w14:textId="77777777" w:rsidR="00577D08" w:rsidRDefault="00330FC0">
                <w:pPr>
                  <w:jc w:val="center"/>
                </w:pPr>
                <w:r>
                  <w:t>合计</w:t>
                </w:r>
              </w:p>
            </w:tc>
          </w:sdtContent>
        </w:sdt>
      </w:tr>
      <w:tr w:rsidR="00577D08" w14:paraId="6D8D81D3" w14:textId="77777777">
        <w:trPr>
          <w:trHeight w:val="340"/>
        </w:trPr>
        <w:sdt>
          <w:sdtPr>
            <w:tag w:val="_PLD_d38b2136312a4180852ade61efe6b93c"/>
            <w:id w:val="1970018589"/>
          </w:sdtPr>
          <w:sdtContent>
            <w:tc>
              <w:tcPr>
                <w:tcW w:w="9049" w:type="dxa"/>
                <w:gridSpan w:val="6"/>
                <w:vAlign w:val="center"/>
              </w:tcPr>
              <w:p w14:paraId="0B76F479" w14:textId="77777777" w:rsidR="00577D08" w:rsidRDefault="00330FC0">
                <w:r>
                  <w:t>一、</w:t>
                </w:r>
                <w:r>
                  <w:rPr>
                    <w:rFonts w:hint="eastAsia"/>
                  </w:rPr>
                  <w:t>账面原值</w:t>
                </w:r>
              </w:p>
            </w:tc>
          </w:sdtContent>
        </w:sdt>
      </w:tr>
      <w:tr w:rsidR="00577D08" w14:paraId="652C91B6" w14:textId="77777777">
        <w:trPr>
          <w:trHeight w:val="340"/>
        </w:trPr>
        <w:tc>
          <w:tcPr>
            <w:tcW w:w="1668" w:type="dxa"/>
            <w:vAlign w:val="center"/>
          </w:tcPr>
          <w:p w14:paraId="68BA5A82" w14:textId="77777777" w:rsidR="00577D08" w:rsidRDefault="00330FC0">
            <w:pPr>
              <w:ind w:firstLineChars="200" w:firstLine="420"/>
            </w:pPr>
            <w:r>
              <w:t>1.</w:t>
            </w:r>
            <w:r>
              <w:rPr>
                <w:rFonts w:hint="eastAsia"/>
              </w:rPr>
              <w:t>期</w:t>
            </w:r>
            <w:r>
              <w:t>初余额</w:t>
            </w:r>
          </w:p>
        </w:tc>
        <w:tc>
          <w:tcPr>
            <w:tcW w:w="1559" w:type="dxa"/>
            <w:vAlign w:val="center"/>
          </w:tcPr>
          <w:p w14:paraId="502F2BEE" w14:textId="77777777" w:rsidR="00577D08" w:rsidRDefault="00330FC0">
            <w:pPr>
              <w:jc w:val="right"/>
            </w:pPr>
            <w:r>
              <w:t xml:space="preserve">243,443,142.82 </w:t>
            </w:r>
          </w:p>
        </w:tc>
        <w:tc>
          <w:tcPr>
            <w:tcW w:w="1559" w:type="dxa"/>
            <w:vAlign w:val="center"/>
          </w:tcPr>
          <w:p w14:paraId="3CB52938" w14:textId="77777777" w:rsidR="00577D08" w:rsidRDefault="00330FC0">
            <w:pPr>
              <w:jc w:val="right"/>
            </w:pPr>
            <w:r>
              <w:t xml:space="preserve"> 15,495,314.49 </w:t>
            </w:r>
          </w:p>
        </w:tc>
        <w:tc>
          <w:tcPr>
            <w:tcW w:w="1418" w:type="dxa"/>
            <w:vAlign w:val="center"/>
          </w:tcPr>
          <w:p w14:paraId="0CFB286E" w14:textId="77777777" w:rsidR="00577D08" w:rsidRDefault="00330FC0">
            <w:pPr>
              <w:jc w:val="right"/>
            </w:pPr>
            <w:r>
              <w:t>8,654,123.76</w:t>
            </w:r>
          </w:p>
        </w:tc>
        <w:tc>
          <w:tcPr>
            <w:tcW w:w="1275" w:type="dxa"/>
            <w:vAlign w:val="center"/>
          </w:tcPr>
          <w:p w14:paraId="1A4ACAB2" w14:textId="77777777" w:rsidR="00577D08" w:rsidRDefault="00330FC0">
            <w:pPr>
              <w:jc w:val="right"/>
            </w:pPr>
            <w:r>
              <w:t>100,000.00</w:t>
            </w:r>
          </w:p>
        </w:tc>
        <w:tc>
          <w:tcPr>
            <w:tcW w:w="1570" w:type="dxa"/>
            <w:vAlign w:val="center"/>
          </w:tcPr>
          <w:p w14:paraId="424ED41F" w14:textId="77777777" w:rsidR="00577D08" w:rsidRDefault="00330FC0">
            <w:pPr>
              <w:jc w:val="right"/>
            </w:pPr>
            <w:r>
              <w:t>267,692,581.07</w:t>
            </w:r>
          </w:p>
        </w:tc>
      </w:tr>
      <w:tr w:rsidR="00577D08" w14:paraId="4A48FCBF" w14:textId="77777777">
        <w:trPr>
          <w:trHeight w:val="340"/>
        </w:trPr>
        <w:tc>
          <w:tcPr>
            <w:tcW w:w="1668" w:type="dxa"/>
            <w:vAlign w:val="center"/>
          </w:tcPr>
          <w:p w14:paraId="79DED4E5" w14:textId="77777777" w:rsidR="00577D08" w:rsidRDefault="00330FC0">
            <w:pPr>
              <w:ind w:firstLineChars="200" w:firstLine="420"/>
            </w:pPr>
            <w:r>
              <w:t>2.</w:t>
            </w:r>
            <w:r>
              <w:t>本期增加</w:t>
            </w:r>
            <w:r>
              <w:rPr>
                <w:rFonts w:hint="eastAsia"/>
              </w:rPr>
              <w:t>金额</w:t>
            </w:r>
          </w:p>
        </w:tc>
        <w:tc>
          <w:tcPr>
            <w:tcW w:w="1559" w:type="dxa"/>
            <w:vAlign w:val="center"/>
          </w:tcPr>
          <w:p w14:paraId="749A56F7" w14:textId="77777777" w:rsidR="00577D08" w:rsidRDefault="00330FC0">
            <w:pPr>
              <w:jc w:val="right"/>
            </w:pPr>
            <w:r>
              <w:t xml:space="preserve">   </w:t>
            </w:r>
          </w:p>
        </w:tc>
        <w:tc>
          <w:tcPr>
            <w:tcW w:w="1559" w:type="dxa"/>
            <w:vAlign w:val="center"/>
          </w:tcPr>
          <w:p w14:paraId="600732A5" w14:textId="77777777" w:rsidR="00577D08" w:rsidRDefault="00330FC0">
            <w:pPr>
              <w:jc w:val="right"/>
            </w:pPr>
            <w:r>
              <w:t xml:space="preserve"> 3,944,636.12 </w:t>
            </w:r>
          </w:p>
        </w:tc>
        <w:tc>
          <w:tcPr>
            <w:tcW w:w="1418" w:type="dxa"/>
            <w:vAlign w:val="center"/>
          </w:tcPr>
          <w:p w14:paraId="0F2ED9F5" w14:textId="77777777" w:rsidR="00577D08" w:rsidRDefault="00330FC0">
            <w:pPr>
              <w:jc w:val="right"/>
            </w:pPr>
            <w:r>
              <w:t xml:space="preserve"> -   </w:t>
            </w:r>
          </w:p>
        </w:tc>
        <w:tc>
          <w:tcPr>
            <w:tcW w:w="1275" w:type="dxa"/>
            <w:vAlign w:val="center"/>
          </w:tcPr>
          <w:p w14:paraId="136C42B4" w14:textId="77777777" w:rsidR="00577D08" w:rsidRDefault="00330FC0">
            <w:pPr>
              <w:jc w:val="right"/>
            </w:pPr>
            <w:r>
              <w:t xml:space="preserve"> -   </w:t>
            </w:r>
          </w:p>
        </w:tc>
        <w:tc>
          <w:tcPr>
            <w:tcW w:w="1570" w:type="dxa"/>
            <w:vAlign w:val="center"/>
          </w:tcPr>
          <w:p w14:paraId="3B47BDCC" w14:textId="77777777" w:rsidR="00577D08" w:rsidRDefault="00330FC0">
            <w:pPr>
              <w:jc w:val="right"/>
            </w:pPr>
            <w:r>
              <w:t xml:space="preserve"> 3,944,636.12 </w:t>
            </w:r>
          </w:p>
        </w:tc>
      </w:tr>
      <w:tr w:rsidR="00577D08" w14:paraId="3C6062EA" w14:textId="77777777">
        <w:trPr>
          <w:trHeight w:val="340"/>
        </w:trPr>
        <w:tc>
          <w:tcPr>
            <w:tcW w:w="1668" w:type="dxa"/>
            <w:vAlign w:val="center"/>
          </w:tcPr>
          <w:p w14:paraId="6D1509B8" w14:textId="77777777" w:rsidR="00577D08" w:rsidRDefault="00330FC0">
            <w:pPr>
              <w:ind w:firstLineChars="200" w:firstLine="420"/>
            </w:pPr>
            <w:r>
              <w:rPr>
                <w:rFonts w:hint="eastAsia"/>
              </w:rPr>
              <w:t>（</w:t>
            </w:r>
            <w:r>
              <w:rPr>
                <w:rFonts w:hint="eastAsia"/>
              </w:rPr>
              <w:t>1</w:t>
            </w:r>
            <w:r>
              <w:rPr>
                <w:rFonts w:hint="eastAsia"/>
              </w:rPr>
              <w:t>）购置</w:t>
            </w:r>
          </w:p>
        </w:tc>
        <w:tc>
          <w:tcPr>
            <w:tcW w:w="1559" w:type="dxa"/>
            <w:vAlign w:val="center"/>
          </w:tcPr>
          <w:p w14:paraId="5B22CBFB" w14:textId="77777777" w:rsidR="00577D08" w:rsidRDefault="00577D08">
            <w:pPr>
              <w:jc w:val="right"/>
            </w:pPr>
          </w:p>
        </w:tc>
        <w:tc>
          <w:tcPr>
            <w:tcW w:w="1559" w:type="dxa"/>
            <w:vAlign w:val="center"/>
          </w:tcPr>
          <w:p w14:paraId="60F84B00" w14:textId="77777777" w:rsidR="00577D08" w:rsidRDefault="00330FC0">
            <w:pPr>
              <w:jc w:val="right"/>
            </w:pPr>
            <w:r>
              <w:t xml:space="preserve"> 514,034.00 </w:t>
            </w:r>
          </w:p>
        </w:tc>
        <w:tc>
          <w:tcPr>
            <w:tcW w:w="1418" w:type="dxa"/>
            <w:vAlign w:val="center"/>
          </w:tcPr>
          <w:p w14:paraId="306231A4" w14:textId="77777777" w:rsidR="00577D08" w:rsidRDefault="00577D08">
            <w:pPr>
              <w:jc w:val="right"/>
            </w:pPr>
          </w:p>
        </w:tc>
        <w:tc>
          <w:tcPr>
            <w:tcW w:w="1275" w:type="dxa"/>
            <w:vAlign w:val="center"/>
          </w:tcPr>
          <w:p w14:paraId="421736F8" w14:textId="77777777" w:rsidR="00577D08" w:rsidRDefault="00577D08">
            <w:pPr>
              <w:jc w:val="right"/>
            </w:pPr>
          </w:p>
        </w:tc>
        <w:tc>
          <w:tcPr>
            <w:tcW w:w="1570" w:type="dxa"/>
            <w:vAlign w:val="center"/>
          </w:tcPr>
          <w:p w14:paraId="0FA4B27F" w14:textId="77777777" w:rsidR="00577D08" w:rsidRDefault="00330FC0">
            <w:pPr>
              <w:jc w:val="right"/>
            </w:pPr>
            <w:r>
              <w:t>514,034.00</w:t>
            </w:r>
          </w:p>
        </w:tc>
      </w:tr>
      <w:tr w:rsidR="00577D08" w14:paraId="60C8EED0" w14:textId="77777777">
        <w:trPr>
          <w:trHeight w:val="340"/>
        </w:trPr>
        <w:tc>
          <w:tcPr>
            <w:tcW w:w="1668" w:type="dxa"/>
            <w:vAlign w:val="center"/>
          </w:tcPr>
          <w:p w14:paraId="58BF8E5D" w14:textId="77777777" w:rsidR="00577D08" w:rsidRDefault="00330FC0">
            <w:pPr>
              <w:ind w:firstLineChars="200" w:firstLine="420"/>
            </w:pPr>
            <w:r>
              <w:rPr>
                <w:rFonts w:hint="eastAsia"/>
              </w:rPr>
              <w:t>（</w:t>
            </w:r>
            <w:r>
              <w:rPr>
                <w:rFonts w:hint="eastAsia"/>
              </w:rPr>
              <w:t>2</w:t>
            </w:r>
            <w:r>
              <w:rPr>
                <w:rFonts w:hint="eastAsia"/>
              </w:rPr>
              <w:t>）在建工程转入</w:t>
            </w:r>
          </w:p>
        </w:tc>
        <w:tc>
          <w:tcPr>
            <w:tcW w:w="1559" w:type="dxa"/>
            <w:vAlign w:val="center"/>
          </w:tcPr>
          <w:p w14:paraId="47C55A14" w14:textId="77777777" w:rsidR="00577D08" w:rsidRDefault="00577D08">
            <w:pPr>
              <w:jc w:val="right"/>
            </w:pPr>
          </w:p>
        </w:tc>
        <w:tc>
          <w:tcPr>
            <w:tcW w:w="1559" w:type="dxa"/>
            <w:vAlign w:val="center"/>
          </w:tcPr>
          <w:p w14:paraId="791D985D" w14:textId="77777777" w:rsidR="00577D08" w:rsidRDefault="00330FC0">
            <w:pPr>
              <w:jc w:val="right"/>
            </w:pPr>
            <w:r>
              <w:t xml:space="preserve"> 3,430,602.12 </w:t>
            </w:r>
          </w:p>
        </w:tc>
        <w:tc>
          <w:tcPr>
            <w:tcW w:w="1418" w:type="dxa"/>
            <w:vAlign w:val="center"/>
          </w:tcPr>
          <w:p w14:paraId="7F6B2596" w14:textId="77777777" w:rsidR="00577D08" w:rsidRDefault="00577D08">
            <w:pPr>
              <w:jc w:val="right"/>
            </w:pPr>
          </w:p>
        </w:tc>
        <w:tc>
          <w:tcPr>
            <w:tcW w:w="1275" w:type="dxa"/>
            <w:vAlign w:val="center"/>
          </w:tcPr>
          <w:p w14:paraId="4C8DEACB" w14:textId="77777777" w:rsidR="00577D08" w:rsidRDefault="00577D08">
            <w:pPr>
              <w:jc w:val="right"/>
            </w:pPr>
          </w:p>
        </w:tc>
        <w:tc>
          <w:tcPr>
            <w:tcW w:w="1570" w:type="dxa"/>
            <w:vAlign w:val="center"/>
          </w:tcPr>
          <w:p w14:paraId="7B755EF6" w14:textId="77777777" w:rsidR="00577D08" w:rsidRDefault="00330FC0">
            <w:pPr>
              <w:jc w:val="right"/>
            </w:pPr>
            <w:r>
              <w:t>3,430,602.12</w:t>
            </w:r>
          </w:p>
        </w:tc>
      </w:tr>
      <w:tr w:rsidR="00577D08" w14:paraId="3F073B32" w14:textId="77777777">
        <w:trPr>
          <w:trHeight w:val="340"/>
        </w:trPr>
        <w:tc>
          <w:tcPr>
            <w:tcW w:w="1668" w:type="dxa"/>
            <w:vAlign w:val="center"/>
          </w:tcPr>
          <w:p w14:paraId="177E8DB0" w14:textId="77777777" w:rsidR="00577D08" w:rsidRDefault="00330FC0">
            <w:pPr>
              <w:ind w:firstLineChars="200" w:firstLine="420"/>
            </w:pPr>
            <w:r>
              <w:t>3.</w:t>
            </w:r>
            <w:r>
              <w:t>本期减少</w:t>
            </w:r>
            <w:r>
              <w:rPr>
                <w:rFonts w:hint="eastAsia"/>
              </w:rPr>
              <w:t>金额</w:t>
            </w:r>
          </w:p>
        </w:tc>
        <w:tc>
          <w:tcPr>
            <w:tcW w:w="1559" w:type="dxa"/>
            <w:vAlign w:val="center"/>
          </w:tcPr>
          <w:p w14:paraId="6D0E5088" w14:textId="77777777" w:rsidR="00577D08" w:rsidRDefault="00577D08">
            <w:pPr>
              <w:jc w:val="right"/>
            </w:pPr>
          </w:p>
        </w:tc>
        <w:tc>
          <w:tcPr>
            <w:tcW w:w="1559" w:type="dxa"/>
            <w:vAlign w:val="center"/>
          </w:tcPr>
          <w:p w14:paraId="59346911" w14:textId="77777777" w:rsidR="00577D08" w:rsidRDefault="00577D08">
            <w:pPr>
              <w:jc w:val="right"/>
            </w:pPr>
          </w:p>
        </w:tc>
        <w:tc>
          <w:tcPr>
            <w:tcW w:w="1418" w:type="dxa"/>
            <w:vAlign w:val="center"/>
          </w:tcPr>
          <w:p w14:paraId="4AAF8E29" w14:textId="77777777" w:rsidR="00577D08" w:rsidRDefault="00577D08">
            <w:pPr>
              <w:jc w:val="right"/>
            </w:pPr>
          </w:p>
        </w:tc>
        <w:tc>
          <w:tcPr>
            <w:tcW w:w="1275" w:type="dxa"/>
            <w:vAlign w:val="center"/>
          </w:tcPr>
          <w:p w14:paraId="4BEDA4B1" w14:textId="77777777" w:rsidR="00577D08" w:rsidRDefault="00577D08">
            <w:pPr>
              <w:jc w:val="right"/>
            </w:pPr>
          </w:p>
        </w:tc>
        <w:tc>
          <w:tcPr>
            <w:tcW w:w="1570" w:type="dxa"/>
            <w:vAlign w:val="center"/>
          </w:tcPr>
          <w:p w14:paraId="76D4066B" w14:textId="77777777" w:rsidR="00577D08" w:rsidRDefault="00577D08">
            <w:pPr>
              <w:jc w:val="right"/>
            </w:pPr>
          </w:p>
        </w:tc>
      </w:tr>
      <w:tr w:rsidR="00577D08" w14:paraId="6A8E360B" w14:textId="77777777">
        <w:trPr>
          <w:trHeight w:val="340"/>
        </w:trPr>
        <w:tc>
          <w:tcPr>
            <w:tcW w:w="1668" w:type="dxa"/>
            <w:vAlign w:val="center"/>
          </w:tcPr>
          <w:p w14:paraId="1376BE9D" w14:textId="77777777" w:rsidR="00577D08" w:rsidRDefault="00330FC0">
            <w:pPr>
              <w:ind w:firstLineChars="200" w:firstLine="420"/>
            </w:pPr>
            <w:r>
              <w:rPr>
                <w:rFonts w:hint="eastAsia"/>
              </w:rPr>
              <w:t>（</w:t>
            </w:r>
            <w:r>
              <w:rPr>
                <w:rFonts w:hint="eastAsia"/>
              </w:rPr>
              <w:t>1</w:t>
            </w:r>
            <w:r>
              <w:rPr>
                <w:rFonts w:hint="eastAsia"/>
              </w:rPr>
              <w:t>）处置</w:t>
            </w:r>
          </w:p>
        </w:tc>
        <w:tc>
          <w:tcPr>
            <w:tcW w:w="1559" w:type="dxa"/>
            <w:vAlign w:val="center"/>
          </w:tcPr>
          <w:p w14:paraId="4D7B5185" w14:textId="77777777" w:rsidR="00577D08" w:rsidRDefault="00577D08">
            <w:pPr>
              <w:jc w:val="right"/>
            </w:pPr>
          </w:p>
        </w:tc>
        <w:tc>
          <w:tcPr>
            <w:tcW w:w="1559" w:type="dxa"/>
            <w:vAlign w:val="center"/>
          </w:tcPr>
          <w:p w14:paraId="0EF335E8" w14:textId="77777777" w:rsidR="00577D08" w:rsidRDefault="00577D08">
            <w:pPr>
              <w:jc w:val="right"/>
            </w:pPr>
          </w:p>
        </w:tc>
        <w:tc>
          <w:tcPr>
            <w:tcW w:w="1418" w:type="dxa"/>
            <w:vAlign w:val="center"/>
          </w:tcPr>
          <w:p w14:paraId="2367CFE9" w14:textId="77777777" w:rsidR="00577D08" w:rsidRDefault="00577D08">
            <w:pPr>
              <w:jc w:val="right"/>
            </w:pPr>
          </w:p>
        </w:tc>
        <w:tc>
          <w:tcPr>
            <w:tcW w:w="1275" w:type="dxa"/>
            <w:vAlign w:val="center"/>
          </w:tcPr>
          <w:p w14:paraId="609FF42F" w14:textId="77777777" w:rsidR="00577D08" w:rsidRDefault="00577D08">
            <w:pPr>
              <w:jc w:val="right"/>
            </w:pPr>
          </w:p>
        </w:tc>
        <w:tc>
          <w:tcPr>
            <w:tcW w:w="1570" w:type="dxa"/>
            <w:vAlign w:val="center"/>
          </w:tcPr>
          <w:p w14:paraId="7367A768" w14:textId="77777777" w:rsidR="00577D08" w:rsidRDefault="00577D08">
            <w:pPr>
              <w:jc w:val="right"/>
            </w:pPr>
          </w:p>
        </w:tc>
      </w:tr>
      <w:tr w:rsidR="00577D08" w14:paraId="605A3B3D" w14:textId="77777777">
        <w:trPr>
          <w:trHeight w:val="340"/>
        </w:trPr>
        <w:tc>
          <w:tcPr>
            <w:tcW w:w="1668" w:type="dxa"/>
            <w:vAlign w:val="center"/>
          </w:tcPr>
          <w:p w14:paraId="6CBC282C" w14:textId="77777777" w:rsidR="00577D08" w:rsidRDefault="00330FC0">
            <w:pPr>
              <w:ind w:firstLineChars="200" w:firstLine="420"/>
            </w:pPr>
            <w:r>
              <w:t>4.</w:t>
            </w:r>
            <w:r>
              <w:t>期末余额</w:t>
            </w:r>
          </w:p>
        </w:tc>
        <w:tc>
          <w:tcPr>
            <w:tcW w:w="1559" w:type="dxa"/>
          </w:tcPr>
          <w:p w14:paraId="095E1A92" w14:textId="77777777" w:rsidR="00577D08" w:rsidRDefault="00330FC0">
            <w:pPr>
              <w:jc w:val="right"/>
            </w:pPr>
            <w:r>
              <w:t xml:space="preserve">243,443,142.82 </w:t>
            </w:r>
          </w:p>
        </w:tc>
        <w:tc>
          <w:tcPr>
            <w:tcW w:w="1559" w:type="dxa"/>
          </w:tcPr>
          <w:p w14:paraId="7A2E0CCE" w14:textId="77777777" w:rsidR="00577D08" w:rsidRDefault="00330FC0">
            <w:pPr>
              <w:jc w:val="right"/>
            </w:pPr>
            <w:r>
              <w:t xml:space="preserve"> 19,439,950.61 </w:t>
            </w:r>
          </w:p>
        </w:tc>
        <w:tc>
          <w:tcPr>
            <w:tcW w:w="1418" w:type="dxa"/>
          </w:tcPr>
          <w:p w14:paraId="53AE3CC3" w14:textId="77777777" w:rsidR="00577D08" w:rsidRDefault="00330FC0">
            <w:pPr>
              <w:jc w:val="right"/>
            </w:pPr>
            <w:r>
              <w:t>8,654,123.76</w:t>
            </w:r>
          </w:p>
        </w:tc>
        <w:tc>
          <w:tcPr>
            <w:tcW w:w="1275" w:type="dxa"/>
          </w:tcPr>
          <w:p w14:paraId="5E5DDD7A" w14:textId="77777777" w:rsidR="00577D08" w:rsidRDefault="00330FC0">
            <w:pPr>
              <w:jc w:val="right"/>
            </w:pPr>
            <w:r>
              <w:t>100,000.00</w:t>
            </w:r>
          </w:p>
        </w:tc>
        <w:tc>
          <w:tcPr>
            <w:tcW w:w="1570" w:type="dxa"/>
          </w:tcPr>
          <w:p w14:paraId="52068CF4" w14:textId="77777777" w:rsidR="00577D08" w:rsidRDefault="00330FC0">
            <w:pPr>
              <w:jc w:val="right"/>
            </w:pPr>
            <w:r>
              <w:t>271,637,217.19</w:t>
            </w:r>
          </w:p>
        </w:tc>
      </w:tr>
      <w:tr w:rsidR="00577D08" w14:paraId="0241A6DA" w14:textId="77777777">
        <w:trPr>
          <w:trHeight w:val="340"/>
        </w:trPr>
        <w:sdt>
          <w:sdtPr>
            <w:tag w:val="_PLD_31b6b6971eff48bf893163f2b1779469"/>
            <w:id w:val="-1119840423"/>
          </w:sdtPr>
          <w:sdtContent>
            <w:tc>
              <w:tcPr>
                <w:tcW w:w="9049" w:type="dxa"/>
                <w:gridSpan w:val="6"/>
                <w:vAlign w:val="center"/>
              </w:tcPr>
              <w:p w14:paraId="009F81C2" w14:textId="77777777" w:rsidR="00577D08" w:rsidRDefault="00330FC0">
                <w:r>
                  <w:t>二、累计</w:t>
                </w:r>
                <w:r>
                  <w:rPr>
                    <w:rFonts w:hint="eastAsia"/>
                  </w:rPr>
                  <w:t>摊销</w:t>
                </w:r>
              </w:p>
            </w:tc>
          </w:sdtContent>
        </w:sdt>
      </w:tr>
      <w:tr w:rsidR="00577D08" w14:paraId="4FDFF761" w14:textId="77777777">
        <w:trPr>
          <w:trHeight w:val="340"/>
        </w:trPr>
        <w:tc>
          <w:tcPr>
            <w:tcW w:w="1668" w:type="dxa"/>
            <w:vAlign w:val="center"/>
          </w:tcPr>
          <w:p w14:paraId="2BAAB597" w14:textId="77777777" w:rsidR="00577D08" w:rsidRDefault="00330FC0">
            <w:pPr>
              <w:ind w:firstLineChars="200" w:firstLine="420"/>
            </w:pPr>
            <w:r>
              <w:rPr>
                <w:rFonts w:hint="eastAsia"/>
              </w:rPr>
              <w:t>1.</w:t>
            </w:r>
            <w:r>
              <w:rPr>
                <w:rFonts w:hint="eastAsia"/>
              </w:rPr>
              <w:t>期</w:t>
            </w:r>
            <w:r>
              <w:t>初余额</w:t>
            </w:r>
          </w:p>
        </w:tc>
        <w:tc>
          <w:tcPr>
            <w:tcW w:w="1559" w:type="dxa"/>
            <w:vAlign w:val="center"/>
          </w:tcPr>
          <w:p w14:paraId="4F053044" w14:textId="77777777" w:rsidR="00577D08" w:rsidRDefault="00330FC0">
            <w:pPr>
              <w:jc w:val="right"/>
            </w:pPr>
            <w:r>
              <w:t xml:space="preserve"> 34,318,226.73 </w:t>
            </w:r>
          </w:p>
        </w:tc>
        <w:tc>
          <w:tcPr>
            <w:tcW w:w="1559" w:type="dxa"/>
            <w:vAlign w:val="center"/>
          </w:tcPr>
          <w:p w14:paraId="15197A0F" w14:textId="77777777" w:rsidR="00577D08" w:rsidRDefault="00330FC0">
            <w:pPr>
              <w:jc w:val="right"/>
            </w:pPr>
            <w:r>
              <w:t xml:space="preserve"> 3,687,967.26 </w:t>
            </w:r>
          </w:p>
        </w:tc>
        <w:tc>
          <w:tcPr>
            <w:tcW w:w="1418" w:type="dxa"/>
            <w:vAlign w:val="center"/>
          </w:tcPr>
          <w:p w14:paraId="0D6C490D" w14:textId="77777777" w:rsidR="00577D08" w:rsidRDefault="00330FC0">
            <w:pPr>
              <w:jc w:val="right"/>
            </w:pPr>
            <w:r>
              <w:t>691,537.08</w:t>
            </w:r>
          </w:p>
        </w:tc>
        <w:tc>
          <w:tcPr>
            <w:tcW w:w="1275" w:type="dxa"/>
            <w:vAlign w:val="center"/>
          </w:tcPr>
          <w:p w14:paraId="0E3B22A9" w14:textId="77777777" w:rsidR="00577D08" w:rsidRDefault="00330FC0">
            <w:pPr>
              <w:jc w:val="right"/>
            </w:pPr>
            <w:r>
              <w:t xml:space="preserve"> 100,000.00 </w:t>
            </w:r>
          </w:p>
        </w:tc>
        <w:tc>
          <w:tcPr>
            <w:tcW w:w="1570" w:type="dxa"/>
            <w:vAlign w:val="center"/>
          </w:tcPr>
          <w:p w14:paraId="0DAD63F2" w14:textId="77777777" w:rsidR="00577D08" w:rsidRDefault="00330FC0">
            <w:pPr>
              <w:jc w:val="right"/>
            </w:pPr>
            <w:r>
              <w:t>38,797,731.07</w:t>
            </w:r>
          </w:p>
        </w:tc>
      </w:tr>
      <w:tr w:rsidR="00577D08" w14:paraId="6738A661" w14:textId="77777777">
        <w:trPr>
          <w:trHeight w:val="340"/>
        </w:trPr>
        <w:tc>
          <w:tcPr>
            <w:tcW w:w="1668" w:type="dxa"/>
            <w:vAlign w:val="center"/>
          </w:tcPr>
          <w:p w14:paraId="5E22347B" w14:textId="77777777" w:rsidR="00577D08" w:rsidRDefault="00330FC0">
            <w:pPr>
              <w:ind w:firstLineChars="200" w:firstLine="420"/>
            </w:pPr>
            <w:r>
              <w:t>2.</w:t>
            </w:r>
            <w:r>
              <w:t>本期增加</w:t>
            </w:r>
            <w:r>
              <w:rPr>
                <w:rFonts w:hint="eastAsia"/>
              </w:rPr>
              <w:t>金额</w:t>
            </w:r>
          </w:p>
        </w:tc>
        <w:tc>
          <w:tcPr>
            <w:tcW w:w="1559" w:type="dxa"/>
            <w:vAlign w:val="center"/>
          </w:tcPr>
          <w:p w14:paraId="61443044" w14:textId="77777777" w:rsidR="00577D08" w:rsidRDefault="00330FC0">
            <w:pPr>
              <w:jc w:val="right"/>
            </w:pPr>
            <w:r>
              <w:t xml:space="preserve"> 5,409,828.19 </w:t>
            </w:r>
          </w:p>
        </w:tc>
        <w:tc>
          <w:tcPr>
            <w:tcW w:w="1559" w:type="dxa"/>
            <w:vAlign w:val="center"/>
          </w:tcPr>
          <w:p w14:paraId="0FFC9BE3" w14:textId="77777777" w:rsidR="00577D08" w:rsidRDefault="00330FC0">
            <w:pPr>
              <w:jc w:val="right"/>
            </w:pPr>
            <w:r>
              <w:t xml:space="preserve"> 1,494,210.31 </w:t>
            </w:r>
          </w:p>
        </w:tc>
        <w:tc>
          <w:tcPr>
            <w:tcW w:w="1418" w:type="dxa"/>
            <w:vAlign w:val="center"/>
          </w:tcPr>
          <w:p w14:paraId="68F51E9E" w14:textId="77777777" w:rsidR="00577D08" w:rsidRDefault="00330FC0">
            <w:pPr>
              <w:jc w:val="right"/>
            </w:pPr>
            <w:r>
              <w:t>914,524.72</w:t>
            </w:r>
          </w:p>
        </w:tc>
        <w:tc>
          <w:tcPr>
            <w:tcW w:w="1275" w:type="dxa"/>
            <w:vAlign w:val="center"/>
          </w:tcPr>
          <w:p w14:paraId="1EA4745C" w14:textId="77777777" w:rsidR="00577D08" w:rsidRDefault="00577D08">
            <w:pPr>
              <w:jc w:val="right"/>
            </w:pPr>
          </w:p>
        </w:tc>
        <w:tc>
          <w:tcPr>
            <w:tcW w:w="1570" w:type="dxa"/>
            <w:vAlign w:val="center"/>
          </w:tcPr>
          <w:p w14:paraId="2610A28C" w14:textId="77777777" w:rsidR="00577D08" w:rsidRDefault="00330FC0">
            <w:pPr>
              <w:jc w:val="right"/>
            </w:pPr>
            <w:r>
              <w:t>7,818,563.22</w:t>
            </w:r>
          </w:p>
        </w:tc>
      </w:tr>
      <w:tr w:rsidR="00577D08" w14:paraId="3CB7F2E0" w14:textId="77777777">
        <w:trPr>
          <w:trHeight w:val="340"/>
        </w:trPr>
        <w:tc>
          <w:tcPr>
            <w:tcW w:w="1668" w:type="dxa"/>
            <w:vAlign w:val="center"/>
          </w:tcPr>
          <w:p w14:paraId="0353C90F" w14:textId="77777777" w:rsidR="00577D08" w:rsidRDefault="00330FC0">
            <w:pPr>
              <w:ind w:firstLineChars="200" w:firstLine="420"/>
            </w:pPr>
            <w:r>
              <w:rPr>
                <w:rFonts w:hint="eastAsia"/>
              </w:rPr>
              <w:t>（</w:t>
            </w:r>
            <w:r>
              <w:rPr>
                <w:rFonts w:hint="eastAsia"/>
              </w:rPr>
              <w:t>1</w:t>
            </w:r>
            <w:r>
              <w:rPr>
                <w:rFonts w:hint="eastAsia"/>
              </w:rPr>
              <w:t>）</w:t>
            </w:r>
            <w:r>
              <w:t>计提</w:t>
            </w:r>
          </w:p>
        </w:tc>
        <w:tc>
          <w:tcPr>
            <w:tcW w:w="1559" w:type="dxa"/>
            <w:vAlign w:val="center"/>
          </w:tcPr>
          <w:p w14:paraId="4054F48E" w14:textId="77777777" w:rsidR="00577D08" w:rsidRDefault="00330FC0">
            <w:pPr>
              <w:jc w:val="right"/>
            </w:pPr>
            <w:r>
              <w:t xml:space="preserve"> 5,409,828.19 </w:t>
            </w:r>
          </w:p>
        </w:tc>
        <w:tc>
          <w:tcPr>
            <w:tcW w:w="1559" w:type="dxa"/>
            <w:vAlign w:val="center"/>
          </w:tcPr>
          <w:p w14:paraId="1636B698" w14:textId="77777777" w:rsidR="00577D08" w:rsidRDefault="00330FC0">
            <w:pPr>
              <w:jc w:val="right"/>
            </w:pPr>
            <w:r>
              <w:t xml:space="preserve"> 1,494,210.31 </w:t>
            </w:r>
          </w:p>
        </w:tc>
        <w:tc>
          <w:tcPr>
            <w:tcW w:w="1418" w:type="dxa"/>
            <w:vAlign w:val="center"/>
          </w:tcPr>
          <w:p w14:paraId="4C07A8E1" w14:textId="77777777" w:rsidR="00577D08" w:rsidRDefault="00330FC0">
            <w:pPr>
              <w:jc w:val="right"/>
            </w:pPr>
            <w:r>
              <w:t>914,524.72</w:t>
            </w:r>
          </w:p>
        </w:tc>
        <w:tc>
          <w:tcPr>
            <w:tcW w:w="1275" w:type="dxa"/>
            <w:vAlign w:val="center"/>
          </w:tcPr>
          <w:p w14:paraId="5CE69A66" w14:textId="77777777" w:rsidR="00577D08" w:rsidRDefault="00577D08">
            <w:pPr>
              <w:jc w:val="right"/>
            </w:pPr>
          </w:p>
        </w:tc>
        <w:tc>
          <w:tcPr>
            <w:tcW w:w="1570" w:type="dxa"/>
            <w:vAlign w:val="center"/>
          </w:tcPr>
          <w:p w14:paraId="15BE3305" w14:textId="77777777" w:rsidR="00577D08" w:rsidRDefault="00330FC0">
            <w:pPr>
              <w:jc w:val="right"/>
            </w:pPr>
            <w:r>
              <w:t>7,818,563.22</w:t>
            </w:r>
          </w:p>
        </w:tc>
      </w:tr>
      <w:tr w:rsidR="00577D08" w14:paraId="49F6A9E9" w14:textId="77777777">
        <w:trPr>
          <w:trHeight w:val="340"/>
        </w:trPr>
        <w:tc>
          <w:tcPr>
            <w:tcW w:w="1668" w:type="dxa"/>
            <w:vAlign w:val="center"/>
          </w:tcPr>
          <w:p w14:paraId="77ED4DB8" w14:textId="77777777" w:rsidR="00577D08" w:rsidRDefault="00330FC0">
            <w:pPr>
              <w:ind w:firstLineChars="200" w:firstLine="420"/>
            </w:pPr>
            <w:r>
              <w:rPr>
                <w:rFonts w:hint="eastAsia"/>
              </w:rPr>
              <w:t>3.</w:t>
            </w:r>
            <w:r>
              <w:t>本期减少</w:t>
            </w:r>
            <w:r>
              <w:rPr>
                <w:rFonts w:hint="eastAsia"/>
              </w:rPr>
              <w:t>金额</w:t>
            </w:r>
          </w:p>
        </w:tc>
        <w:tc>
          <w:tcPr>
            <w:tcW w:w="1559" w:type="dxa"/>
            <w:vAlign w:val="center"/>
          </w:tcPr>
          <w:p w14:paraId="65CB7D95" w14:textId="77777777" w:rsidR="00577D08" w:rsidRDefault="00577D08">
            <w:pPr>
              <w:jc w:val="right"/>
            </w:pPr>
          </w:p>
        </w:tc>
        <w:tc>
          <w:tcPr>
            <w:tcW w:w="1559" w:type="dxa"/>
            <w:vAlign w:val="center"/>
          </w:tcPr>
          <w:p w14:paraId="4A9DB324" w14:textId="77777777" w:rsidR="00577D08" w:rsidRDefault="00577D08">
            <w:pPr>
              <w:jc w:val="right"/>
            </w:pPr>
          </w:p>
        </w:tc>
        <w:tc>
          <w:tcPr>
            <w:tcW w:w="1418" w:type="dxa"/>
            <w:vAlign w:val="center"/>
          </w:tcPr>
          <w:p w14:paraId="1EEE4924" w14:textId="77777777" w:rsidR="00577D08" w:rsidRDefault="00577D08">
            <w:pPr>
              <w:jc w:val="right"/>
            </w:pPr>
          </w:p>
        </w:tc>
        <w:tc>
          <w:tcPr>
            <w:tcW w:w="1275" w:type="dxa"/>
            <w:vAlign w:val="center"/>
          </w:tcPr>
          <w:p w14:paraId="3678B47C" w14:textId="77777777" w:rsidR="00577D08" w:rsidRDefault="00577D08">
            <w:pPr>
              <w:jc w:val="right"/>
            </w:pPr>
          </w:p>
        </w:tc>
        <w:tc>
          <w:tcPr>
            <w:tcW w:w="1570" w:type="dxa"/>
            <w:vAlign w:val="center"/>
          </w:tcPr>
          <w:p w14:paraId="4FB0BAAF" w14:textId="77777777" w:rsidR="00577D08" w:rsidRDefault="00577D08">
            <w:pPr>
              <w:jc w:val="right"/>
            </w:pPr>
          </w:p>
        </w:tc>
      </w:tr>
      <w:tr w:rsidR="00577D08" w14:paraId="4EE3FC7D" w14:textId="77777777">
        <w:trPr>
          <w:trHeight w:val="340"/>
        </w:trPr>
        <w:tc>
          <w:tcPr>
            <w:tcW w:w="1668" w:type="dxa"/>
            <w:vAlign w:val="center"/>
          </w:tcPr>
          <w:p w14:paraId="16E11D6C" w14:textId="77777777" w:rsidR="00577D08" w:rsidRDefault="00330FC0">
            <w:pPr>
              <w:ind w:firstLineChars="200" w:firstLine="420"/>
            </w:pPr>
            <w:r>
              <w:rPr>
                <w:rFonts w:hint="eastAsia"/>
              </w:rPr>
              <w:t>（</w:t>
            </w:r>
            <w:r>
              <w:rPr>
                <w:rFonts w:hint="eastAsia"/>
              </w:rPr>
              <w:t>1</w:t>
            </w:r>
            <w:r>
              <w:rPr>
                <w:rFonts w:hint="eastAsia"/>
              </w:rPr>
              <w:t>）处置</w:t>
            </w:r>
          </w:p>
        </w:tc>
        <w:tc>
          <w:tcPr>
            <w:tcW w:w="1559" w:type="dxa"/>
            <w:vAlign w:val="center"/>
          </w:tcPr>
          <w:p w14:paraId="5532808A" w14:textId="77777777" w:rsidR="00577D08" w:rsidRDefault="00577D08">
            <w:pPr>
              <w:jc w:val="right"/>
            </w:pPr>
          </w:p>
        </w:tc>
        <w:tc>
          <w:tcPr>
            <w:tcW w:w="1559" w:type="dxa"/>
            <w:vAlign w:val="center"/>
          </w:tcPr>
          <w:p w14:paraId="0D7A12D7" w14:textId="77777777" w:rsidR="00577D08" w:rsidRDefault="00577D08">
            <w:pPr>
              <w:jc w:val="right"/>
            </w:pPr>
          </w:p>
        </w:tc>
        <w:tc>
          <w:tcPr>
            <w:tcW w:w="1418" w:type="dxa"/>
            <w:vAlign w:val="center"/>
          </w:tcPr>
          <w:p w14:paraId="1F317A61" w14:textId="77777777" w:rsidR="00577D08" w:rsidRDefault="00577D08">
            <w:pPr>
              <w:jc w:val="right"/>
            </w:pPr>
          </w:p>
        </w:tc>
        <w:tc>
          <w:tcPr>
            <w:tcW w:w="1275" w:type="dxa"/>
            <w:vAlign w:val="center"/>
          </w:tcPr>
          <w:p w14:paraId="48309E86" w14:textId="77777777" w:rsidR="00577D08" w:rsidRDefault="00577D08">
            <w:pPr>
              <w:jc w:val="right"/>
            </w:pPr>
          </w:p>
        </w:tc>
        <w:tc>
          <w:tcPr>
            <w:tcW w:w="1570" w:type="dxa"/>
            <w:vAlign w:val="center"/>
          </w:tcPr>
          <w:p w14:paraId="0C3E58DE" w14:textId="77777777" w:rsidR="00577D08" w:rsidRDefault="00577D08">
            <w:pPr>
              <w:jc w:val="right"/>
            </w:pPr>
          </w:p>
        </w:tc>
      </w:tr>
      <w:tr w:rsidR="00577D08" w14:paraId="3AD73458" w14:textId="77777777">
        <w:trPr>
          <w:trHeight w:val="340"/>
        </w:trPr>
        <w:tc>
          <w:tcPr>
            <w:tcW w:w="1668" w:type="dxa"/>
            <w:vAlign w:val="center"/>
          </w:tcPr>
          <w:p w14:paraId="1B5A17F6" w14:textId="77777777" w:rsidR="00577D08" w:rsidRDefault="00330FC0">
            <w:pPr>
              <w:ind w:firstLineChars="200" w:firstLine="420"/>
            </w:pPr>
            <w:r>
              <w:rPr>
                <w:rFonts w:hint="eastAsia"/>
              </w:rPr>
              <w:t>4.</w:t>
            </w:r>
            <w:r>
              <w:t>期末余额</w:t>
            </w:r>
          </w:p>
        </w:tc>
        <w:tc>
          <w:tcPr>
            <w:tcW w:w="1559" w:type="dxa"/>
            <w:vAlign w:val="center"/>
          </w:tcPr>
          <w:p w14:paraId="6A55F5F5" w14:textId="77777777" w:rsidR="00577D08" w:rsidRDefault="00330FC0">
            <w:pPr>
              <w:jc w:val="right"/>
            </w:pPr>
            <w:r>
              <w:t xml:space="preserve"> 39,728,054.92 </w:t>
            </w:r>
          </w:p>
        </w:tc>
        <w:tc>
          <w:tcPr>
            <w:tcW w:w="1559" w:type="dxa"/>
            <w:vAlign w:val="center"/>
          </w:tcPr>
          <w:p w14:paraId="7EC99DAE" w14:textId="77777777" w:rsidR="00577D08" w:rsidRDefault="00330FC0">
            <w:pPr>
              <w:jc w:val="right"/>
            </w:pPr>
            <w:r>
              <w:t xml:space="preserve"> 5,182,177.57 </w:t>
            </w:r>
          </w:p>
        </w:tc>
        <w:tc>
          <w:tcPr>
            <w:tcW w:w="1418" w:type="dxa"/>
            <w:vAlign w:val="center"/>
          </w:tcPr>
          <w:p w14:paraId="17B308B6" w14:textId="77777777" w:rsidR="00577D08" w:rsidRDefault="00330FC0">
            <w:pPr>
              <w:jc w:val="right"/>
            </w:pPr>
            <w:r>
              <w:t>1,606,061.80</w:t>
            </w:r>
          </w:p>
        </w:tc>
        <w:tc>
          <w:tcPr>
            <w:tcW w:w="1275" w:type="dxa"/>
            <w:vAlign w:val="center"/>
          </w:tcPr>
          <w:p w14:paraId="4A61E231" w14:textId="77777777" w:rsidR="00577D08" w:rsidRDefault="00330FC0">
            <w:pPr>
              <w:jc w:val="right"/>
            </w:pPr>
            <w:r>
              <w:t xml:space="preserve"> 100,000.00 </w:t>
            </w:r>
          </w:p>
        </w:tc>
        <w:tc>
          <w:tcPr>
            <w:tcW w:w="1570" w:type="dxa"/>
            <w:vAlign w:val="center"/>
          </w:tcPr>
          <w:p w14:paraId="282F54DC" w14:textId="77777777" w:rsidR="00577D08" w:rsidRDefault="00330FC0">
            <w:pPr>
              <w:jc w:val="right"/>
            </w:pPr>
            <w:r>
              <w:t>46,616,294.29</w:t>
            </w:r>
          </w:p>
        </w:tc>
      </w:tr>
      <w:tr w:rsidR="00577D08" w14:paraId="30085EBF" w14:textId="77777777">
        <w:trPr>
          <w:trHeight w:val="340"/>
        </w:trPr>
        <w:sdt>
          <w:sdtPr>
            <w:tag w:val="_PLD_f7d5f180eba449a29a01985d504a8cad"/>
            <w:id w:val="2147154844"/>
          </w:sdtPr>
          <w:sdtContent>
            <w:tc>
              <w:tcPr>
                <w:tcW w:w="9049" w:type="dxa"/>
                <w:gridSpan w:val="6"/>
                <w:vAlign w:val="center"/>
              </w:tcPr>
              <w:p w14:paraId="6CFFE530" w14:textId="77777777" w:rsidR="00577D08" w:rsidRDefault="00330FC0">
                <w:r>
                  <w:t>三、减值准备</w:t>
                </w:r>
              </w:p>
            </w:tc>
          </w:sdtContent>
        </w:sdt>
      </w:tr>
      <w:tr w:rsidR="00577D08" w14:paraId="32F6812A" w14:textId="77777777">
        <w:trPr>
          <w:trHeight w:val="340"/>
        </w:trPr>
        <w:tc>
          <w:tcPr>
            <w:tcW w:w="1668" w:type="dxa"/>
            <w:vAlign w:val="center"/>
          </w:tcPr>
          <w:p w14:paraId="4C27860D" w14:textId="77777777" w:rsidR="00577D08" w:rsidRDefault="00330FC0">
            <w:pPr>
              <w:ind w:firstLineChars="200" w:firstLine="420"/>
            </w:pPr>
            <w:r>
              <w:rPr>
                <w:rFonts w:hint="eastAsia"/>
              </w:rPr>
              <w:t>1.</w:t>
            </w:r>
            <w:r>
              <w:rPr>
                <w:rFonts w:hint="eastAsia"/>
              </w:rPr>
              <w:t>期</w:t>
            </w:r>
            <w:r>
              <w:t>初余额</w:t>
            </w:r>
          </w:p>
        </w:tc>
        <w:tc>
          <w:tcPr>
            <w:tcW w:w="1559" w:type="dxa"/>
            <w:vAlign w:val="center"/>
          </w:tcPr>
          <w:p w14:paraId="234E7133" w14:textId="77777777" w:rsidR="00577D08" w:rsidRDefault="00577D08">
            <w:pPr>
              <w:jc w:val="right"/>
            </w:pPr>
          </w:p>
        </w:tc>
        <w:tc>
          <w:tcPr>
            <w:tcW w:w="1559" w:type="dxa"/>
            <w:vAlign w:val="center"/>
          </w:tcPr>
          <w:p w14:paraId="13596827" w14:textId="77777777" w:rsidR="00577D08" w:rsidRDefault="00577D08">
            <w:pPr>
              <w:jc w:val="right"/>
            </w:pPr>
          </w:p>
        </w:tc>
        <w:tc>
          <w:tcPr>
            <w:tcW w:w="1418" w:type="dxa"/>
            <w:vAlign w:val="center"/>
          </w:tcPr>
          <w:p w14:paraId="67FD639A" w14:textId="77777777" w:rsidR="00577D08" w:rsidRDefault="00577D08">
            <w:pPr>
              <w:jc w:val="right"/>
            </w:pPr>
          </w:p>
        </w:tc>
        <w:tc>
          <w:tcPr>
            <w:tcW w:w="1275" w:type="dxa"/>
            <w:vAlign w:val="center"/>
          </w:tcPr>
          <w:p w14:paraId="7EE2F710" w14:textId="77777777" w:rsidR="00577D08" w:rsidRDefault="00577D08">
            <w:pPr>
              <w:jc w:val="right"/>
            </w:pPr>
          </w:p>
        </w:tc>
        <w:tc>
          <w:tcPr>
            <w:tcW w:w="1570" w:type="dxa"/>
            <w:vAlign w:val="center"/>
          </w:tcPr>
          <w:p w14:paraId="642D2522" w14:textId="77777777" w:rsidR="00577D08" w:rsidRDefault="00577D08">
            <w:pPr>
              <w:jc w:val="right"/>
            </w:pPr>
          </w:p>
        </w:tc>
      </w:tr>
      <w:tr w:rsidR="00577D08" w14:paraId="4AC0A0BE" w14:textId="77777777">
        <w:trPr>
          <w:trHeight w:val="340"/>
        </w:trPr>
        <w:tc>
          <w:tcPr>
            <w:tcW w:w="1668" w:type="dxa"/>
            <w:vAlign w:val="center"/>
          </w:tcPr>
          <w:p w14:paraId="35C5ECBE" w14:textId="77777777" w:rsidR="00577D08" w:rsidRDefault="00330FC0">
            <w:pPr>
              <w:ind w:firstLineChars="200" w:firstLine="420"/>
            </w:pPr>
            <w:r>
              <w:t>2.</w:t>
            </w:r>
            <w:r>
              <w:t>本期增加</w:t>
            </w:r>
            <w:r>
              <w:rPr>
                <w:rFonts w:hint="eastAsia"/>
              </w:rPr>
              <w:t>金额</w:t>
            </w:r>
          </w:p>
        </w:tc>
        <w:tc>
          <w:tcPr>
            <w:tcW w:w="1559" w:type="dxa"/>
            <w:vAlign w:val="center"/>
          </w:tcPr>
          <w:p w14:paraId="05180F9E" w14:textId="77777777" w:rsidR="00577D08" w:rsidRDefault="00577D08">
            <w:pPr>
              <w:jc w:val="right"/>
            </w:pPr>
          </w:p>
        </w:tc>
        <w:tc>
          <w:tcPr>
            <w:tcW w:w="1559" w:type="dxa"/>
            <w:vAlign w:val="center"/>
          </w:tcPr>
          <w:p w14:paraId="071BC4AB" w14:textId="77777777" w:rsidR="00577D08" w:rsidRDefault="00577D08">
            <w:pPr>
              <w:jc w:val="right"/>
            </w:pPr>
          </w:p>
        </w:tc>
        <w:tc>
          <w:tcPr>
            <w:tcW w:w="1418" w:type="dxa"/>
            <w:vAlign w:val="center"/>
          </w:tcPr>
          <w:p w14:paraId="4F54844D" w14:textId="77777777" w:rsidR="00577D08" w:rsidRDefault="00577D08">
            <w:pPr>
              <w:jc w:val="right"/>
            </w:pPr>
          </w:p>
        </w:tc>
        <w:tc>
          <w:tcPr>
            <w:tcW w:w="1275" w:type="dxa"/>
            <w:vAlign w:val="center"/>
          </w:tcPr>
          <w:p w14:paraId="78644FF1" w14:textId="77777777" w:rsidR="00577D08" w:rsidRDefault="00577D08">
            <w:pPr>
              <w:jc w:val="right"/>
            </w:pPr>
          </w:p>
        </w:tc>
        <w:tc>
          <w:tcPr>
            <w:tcW w:w="1570" w:type="dxa"/>
            <w:vAlign w:val="center"/>
          </w:tcPr>
          <w:p w14:paraId="3B5BC5D0" w14:textId="77777777" w:rsidR="00577D08" w:rsidRDefault="00577D08">
            <w:pPr>
              <w:jc w:val="right"/>
            </w:pPr>
          </w:p>
        </w:tc>
      </w:tr>
      <w:tr w:rsidR="00577D08" w14:paraId="1319843F" w14:textId="77777777">
        <w:trPr>
          <w:trHeight w:val="340"/>
        </w:trPr>
        <w:tc>
          <w:tcPr>
            <w:tcW w:w="1668" w:type="dxa"/>
            <w:vAlign w:val="center"/>
          </w:tcPr>
          <w:p w14:paraId="5AE36D3E" w14:textId="77777777" w:rsidR="00577D08" w:rsidRDefault="00330FC0">
            <w:pPr>
              <w:ind w:firstLineChars="200" w:firstLine="420"/>
            </w:pPr>
            <w:r>
              <w:rPr>
                <w:rFonts w:hint="eastAsia"/>
              </w:rPr>
              <w:t>（</w:t>
            </w:r>
            <w:r>
              <w:rPr>
                <w:rFonts w:hint="eastAsia"/>
              </w:rPr>
              <w:t>1</w:t>
            </w:r>
            <w:r>
              <w:rPr>
                <w:rFonts w:hint="eastAsia"/>
              </w:rPr>
              <w:t>）</w:t>
            </w:r>
            <w:r>
              <w:t>计提</w:t>
            </w:r>
          </w:p>
        </w:tc>
        <w:tc>
          <w:tcPr>
            <w:tcW w:w="1559" w:type="dxa"/>
            <w:vAlign w:val="center"/>
          </w:tcPr>
          <w:p w14:paraId="61E2C3A8" w14:textId="77777777" w:rsidR="00577D08" w:rsidRDefault="00577D08">
            <w:pPr>
              <w:jc w:val="right"/>
            </w:pPr>
          </w:p>
        </w:tc>
        <w:tc>
          <w:tcPr>
            <w:tcW w:w="1559" w:type="dxa"/>
            <w:vAlign w:val="center"/>
          </w:tcPr>
          <w:p w14:paraId="5378DF98" w14:textId="77777777" w:rsidR="00577D08" w:rsidRDefault="00577D08">
            <w:pPr>
              <w:jc w:val="right"/>
            </w:pPr>
          </w:p>
        </w:tc>
        <w:tc>
          <w:tcPr>
            <w:tcW w:w="1418" w:type="dxa"/>
            <w:vAlign w:val="center"/>
          </w:tcPr>
          <w:p w14:paraId="5F26A2B5" w14:textId="77777777" w:rsidR="00577D08" w:rsidRDefault="00577D08">
            <w:pPr>
              <w:jc w:val="right"/>
            </w:pPr>
          </w:p>
        </w:tc>
        <w:tc>
          <w:tcPr>
            <w:tcW w:w="1275" w:type="dxa"/>
            <w:vAlign w:val="center"/>
          </w:tcPr>
          <w:p w14:paraId="683CE772" w14:textId="77777777" w:rsidR="00577D08" w:rsidRDefault="00577D08">
            <w:pPr>
              <w:jc w:val="right"/>
            </w:pPr>
          </w:p>
        </w:tc>
        <w:tc>
          <w:tcPr>
            <w:tcW w:w="1570" w:type="dxa"/>
            <w:vAlign w:val="center"/>
          </w:tcPr>
          <w:p w14:paraId="0387FDA0" w14:textId="77777777" w:rsidR="00577D08" w:rsidRDefault="00577D08">
            <w:pPr>
              <w:jc w:val="right"/>
            </w:pPr>
          </w:p>
        </w:tc>
      </w:tr>
      <w:tr w:rsidR="00577D08" w14:paraId="71828FE0" w14:textId="77777777">
        <w:trPr>
          <w:trHeight w:val="340"/>
        </w:trPr>
        <w:tc>
          <w:tcPr>
            <w:tcW w:w="1668" w:type="dxa"/>
            <w:vAlign w:val="center"/>
          </w:tcPr>
          <w:p w14:paraId="54F3234D" w14:textId="77777777" w:rsidR="00577D08" w:rsidRDefault="00330FC0">
            <w:pPr>
              <w:ind w:firstLineChars="200" w:firstLine="420"/>
            </w:pPr>
            <w:r>
              <w:rPr>
                <w:rFonts w:hint="eastAsia"/>
              </w:rPr>
              <w:lastRenderedPageBreak/>
              <w:t>3.</w:t>
            </w:r>
            <w:r>
              <w:t>本期减少</w:t>
            </w:r>
            <w:r>
              <w:rPr>
                <w:rFonts w:hint="eastAsia"/>
              </w:rPr>
              <w:t>金额</w:t>
            </w:r>
          </w:p>
        </w:tc>
        <w:tc>
          <w:tcPr>
            <w:tcW w:w="1559" w:type="dxa"/>
            <w:vAlign w:val="center"/>
          </w:tcPr>
          <w:p w14:paraId="0E9E2694" w14:textId="77777777" w:rsidR="00577D08" w:rsidRDefault="00577D08">
            <w:pPr>
              <w:jc w:val="right"/>
            </w:pPr>
          </w:p>
        </w:tc>
        <w:tc>
          <w:tcPr>
            <w:tcW w:w="1559" w:type="dxa"/>
            <w:vAlign w:val="center"/>
          </w:tcPr>
          <w:p w14:paraId="643ABAEE" w14:textId="77777777" w:rsidR="00577D08" w:rsidRDefault="00577D08">
            <w:pPr>
              <w:jc w:val="right"/>
            </w:pPr>
          </w:p>
        </w:tc>
        <w:tc>
          <w:tcPr>
            <w:tcW w:w="1418" w:type="dxa"/>
            <w:vAlign w:val="center"/>
          </w:tcPr>
          <w:p w14:paraId="3C221B05" w14:textId="77777777" w:rsidR="00577D08" w:rsidRDefault="00577D08">
            <w:pPr>
              <w:jc w:val="right"/>
            </w:pPr>
          </w:p>
        </w:tc>
        <w:tc>
          <w:tcPr>
            <w:tcW w:w="1275" w:type="dxa"/>
            <w:vAlign w:val="center"/>
          </w:tcPr>
          <w:p w14:paraId="03737180" w14:textId="77777777" w:rsidR="00577D08" w:rsidRDefault="00577D08">
            <w:pPr>
              <w:jc w:val="right"/>
            </w:pPr>
          </w:p>
        </w:tc>
        <w:tc>
          <w:tcPr>
            <w:tcW w:w="1570" w:type="dxa"/>
            <w:vAlign w:val="center"/>
          </w:tcPr>
          <w:p w14:paraId="7ED5F770" w14:textId="77777777" w:rsidR="00577D08" w:rsidRDefault="00577D08">
            <w:pPr>
              <w:jc w:val="right"/>
            </w:pPr>
          </w:p>
        </w:tc>
      </w:tr>
      <w:tr w:rsidR="00577D08" w14:paraId="139F71DF" w14:textId="77777777">
        <w:trPr>
          <w:trHeight w:val="340"/>
        </w:trPr>
        <w:tc>
          <w:tcPr>
            <w:tcW w:w="1668" w:type="dxa"/>
            <w:vAlign w:val="center"/>
          </w:tcPr>
          <w:p w14:paraId="38D67EE2" w14:textId="77777777" w:rsidR="00577D08" w:rsidRDefault="00330FC0">
            <w:pPr>
              <w:ind w:firstLineChars="200" w:firstLine="420"/>
            </w:pPr>
            <w:r>
              <w:rPr>
                <w:rFonts w:hint="eastAsia"/>
              </w:rPr>
              <w:t>（</w:t>
            </w:r>
            <w:r>
              <w:rPr>
                <w:rFonts w:hint="eastAsia"/>
              </w:rPr>
              <w:t>1</w:t>
            </w:r>
            <w:r>
              <w:rPr>
                <w:rFonts w:hint="eastAsia"/>
              </w:rPr>
              <w:t>）处置</w:t>
            </w:r>
          </w:p>
        </w:tc>
        <w:tc>
          <w:tcPr>
            <w:tcW w:w="1559" w:type="dxa"/>
            <w:vAlign w:val="center"/>
          </w:tcPr>
          <w:p w14:paraId="17CE7D58" w14:textId="77777777" w:rsidR="00577D08" w:rsidRDefault="00577D08">
            <w:pPr>
              <w:jc w:val="right"/>
            </w:pPr>
          </w:p>
        </w:tc>
        <w:tc>
          <w:tcPr>
            <w:tcW w:w="1559" w:type="dxa"/>
            <w:vAlign w:val="center"/>
          </w:tcPr>
          <w:p w14:paraId="67AB5941" w14:textId="77777777" w:rsidR="00577D08" w:rsidRDefault="00577D08">
            <w:pPr>
              <w:jc w:val="right"/>
            </w:pPr>
          </w:p>
        </w:tc>
        <w:tc>
          <w:tcPr>
            <w:tcW w:w="1418" w:type="dxa"/>
            <w:vAlign w:val="center"/>
          </w:tcPr>
          <w:p w14:paraId="338C0CF9" w14:textId="77777777" w:rsidR="00577D08" w:rsidRDefault="00577D08">
            <w:pPr>
              <w:jc w:val="right"/>
            </w:pPr>
          </w:p>
        </w:tc>
        <w:tc>
          <w:tcPr>
            <w:tcW w:w="1275" w:type="dxa"/>
            <w:vAlign w:val="center"/>
          </w:tcPr>
          <w:p w14:paraId="1EDA77B0" w14:textId="77777777" w:rsidR="00577D08" w:rsidRDefault="00577D08">
            <w:pPr>
              <w:jc w:val="right"/>
            </w:pPr>
          </w:p>
        </w:tc>
        <w:tc>
          <w:tcPr>
            <w:tcW w:w="1570" w:type="dxa"/>
            <w:vAlign w:val="center"/>
          </w:tcPr>
          <w:p w14:paraId="3E2E5C80" w14:textId="77777777" w:rsidR="00577D08" w:rsidRDefault="00577D08">
            <w:pPr>
              <w:jc w:val="right"/>
            </w:pPr>
          </w:p>
        </w:tc>
      </w:tr>
      <w:tr w:rsidR="00577D08" w14:paraId="18664715" w14:textId="77777777">
        <w:trPr>
          <w:trHeight w:val="340"/>
        </w:trPr>
        <w:tc>
          <w:tcPr>
            <w:tcW w:w="1668" w:type="dxa"/>
            <w:vAlign w:val="center"/>
          </w:tcPr>
          <w:p w14:paraId="66E0238B" w14:textId="77777777" w:rsidR="00577D08" w:rsidRDefault="00330FC0">
            <w:pPr>
              <w:ind w:firstLineChars="200" w:firstLine="420"/>
            </w:pPr>
            <w:r>
              <w:rPr>
                <w:rFonts w:hint="eastAsia"/>
              </w:rPr>
              <w:t>4.</w:t>
            </w:r>
            <w:r>
              <w:t>期末余额</w:t>
            </w:r>
          </w:p>
        </w:tc>
        <w:tc>
          <w:tcPr>
            <w:tcW w:w="1559" w:type="dxa"/>
            <w:vAlign w:val="center"/>
          </w:tcPr>
          <w:p w14:paraId="3FC079CA" w14:textId="77777777" w:rsidR="00577D08" w:rsidRDefault="00577D08">
            <w:pPr>
              <w:jc w:val="right"/>
            </w:pPr>
          </w:p>
        </w:tc>
        <w:tc>
          <w:tcPr>
            <w:tcW w:w="1559" w:type="dxa"/>
            <w:vAlign w:val="center"/>
          </w:tcPr>
          <w:p w14:paraId="560D229B" w14:textId="77777777" w:rsidR="00577D08" w:rsidRDefault="00577D08">
            <w:pPr>
              <w:jc w:val="right"/>
            </w:pPr>
          </w:p>
        </w:tc>
        <w:tc>
          <w:tcPr>
            <w:tcW w:w="1418" w:type="dxa"/>
            <w:vAlign w:val="center"/>
          </w:tcPr>
          <w:p w14:paraId="50F5878C" w14:textId="77777777" w:rsidR="00577D08" w:rsidRDefault="00577D08">
            <w:pPr>
              <w:jc w:val="right"/>
            </w:pPr>
          </w:p>
        </w:tc>
        <w:tc>
          <w:tcPr>
            <w:tcW w:w="1275" w:type="dxa"/>
            <w:vAlign w:val="center"/>
          </w:tcPr>
          <w:p w14:paraId="765DEDA2" w14:textId="77777777" w:rsidR="00577D08" w:rsidRDefault="00577D08">
            <w:pPr>
              <w:jc w:val="right"/>
            </w:pPr>
          </w:p>
        </w:tc>
        <w:tc>
          <w:tcPr>
            <w:tcW w:w="1570" w:type="dxa"/>
            <w:vAlign w:val="center"/>
          </w:tcPr>
          <w:p w14:paraId="0C724FA6" w14:textId="77777777" w:rsidR="00577D08" w:rsidRDefault="00577D08">
            <w:pPr>
              <w:jc w:val="right"/>
            </w:pPr>
          </w:p>
        </w:tc>
      </w:tr>
      <w:tr w:rsidR="00577D08" w14:paraId="70B56F77" w14:textId="77777777">
        <w:trPr>
          <w:trHeight w:val="340"/>
        </w:trPr>
        <w:sdt>
          <w:sdtPr>
            <w:tag w:val="_PLD_4b0672b3afec475f9c6133950914fc81"/>
            <w:id w:val="40951243"/>
          </w:sdtPr>
          <w:sdtContent>
            <w:tc>
              <w:tcPr>
                <w:tcW w:w="9049" w:type="dxa"/>
                <w:gridSpan w:val="6"/>
                <w:vAlign w:val="center"/>
              </w:tcPr>
              <w:p w14:paraId="26C1B7D0" w14:textId="77777777" w:rsidR="00577D08" w:rsidRDefault="00330FC0">
                <w:r>
                  <w:t>四、账面价值</w:t>
                </w:r>
              </w:p>
            </w:tc>
          </w:sdtContent>
        </w:sdt>
      </w:tr>
      <w:tr w:rsidR="00577D08" w14:paraId="10BDAD9B" w14:textId="77777777">
        <w:trPr>
          <w:trHeight w:val="340"/>
        </w:trPr>
        <w:tc>
          <w:tcPr>
            <w:tcW w:w="1668" w:type="dxa"/>
            <w:vAlign w:val="center"/>
          </w:tcPr>
          <w:p w14:paraId="7B821E50" w14:textId="77777777" w:rsidR="00577D08" w:rsidRDefault="00330FC0">
            <w:pPr>
              <w:ind w:firstLineChars="200" w:firstLine="420"/>
            </w:pPr>
            <w:r>
              <w:t>1.</w:t>
            </w:r>
            <w:r>
              <w:t>期末账面价值</w:t>
            </w:r>
          </w:p>
        </w:tc>
        <w:tc>
          <w:tcPr>
            <w:tcW w:w="1559" w:type="dxa"/>
            <w:vAlign w:val="center"/>
          </w:tcPr>
          <w:p w14:paraId="49D1ED74" w14:textId="77777777" w:rsidR="00577D08" w:rsidRDefault="00330FC0">
            <w:pPr>
              <w:jc w:val="right"/>
            </w:pPr>
            <w:r>
              <w:t xml:space="preserve">203,715,087.90 </w:t>
            </w:r>
          </w:p>
        </w:tc>
        <w:tc>
          <w:tcPr>
            <w:tcW w:w="1559" w:type="dxa"/>
            <w:vAlign w:val="center"/>
          </w:tcPr>
          <w:p w14:paraId="158F67DD" w14:textId="77777777" w:rsidR="00577D08" w:rsidRDefault="00330FC0">
            <w:pPr>
              <w:jc w:val="right"/>
            </w:pPr>
            <w:r>
              <w:t xml:space="preserve"> 14,257,773.04 </w:t>
            </w:r>
          </w:p>
        </w:tc>
        <w:tc>
          <w:tcPr>
            <w:tcW w:w="1418" w:type="dxa"/>
            <w:vAlign w:val="center"/>
          </w:tcPr>
          <w:p w14:paraId="39905244" w14:textId="77777777" w:rsidR="00577D08" w:rsidRDefault="00330FC0">
            <w:pPr>
              <w:jc w:val="right"/>
            </w:pPr>
            <w:r>
              <w:t>7,048,061.96</w:t>
            </w:r>
          </w:p>
        </w:tc>
        <w:tc>
          <w:tcPr>
            <w:tcW w:w="1275" w:type="dxa"/>
            <w:vAlign w:val="center"/>
          </w:tcPr>
          <w:p w14:paraId="70B0D164" w14:textId="77777777" w:rsidR="00577D08" w:rsidRDefault="00577D08">
            <w:pPr>
              <w:jc w:val="right"/>
            </w:pPr>
          </w:p>
        </w:tc>
        <w:tc>
          <w:tcPr>
            <w:tcW w:w="1570" w:type="dxa"/>
            <w:vAlign w:val="center"/>
          </w:tcPr>
          <w:p w14:paraId="4A5DEF99" w14:textId="77777777" w:rsidR="00577D08" w:rsidRDefault="00330FC0">
            <w:pPr>
              <w:jc w:val="right"/>
            </w:pPr>
            <w:r>
              <w:t>225,020,922.90</w:t>
            </w:r>
          </w:p>
        </w:tc>
      </w:tr>
      <w:tr w:rsidR="00577D08" w14:paraId="3C188279" w14:textId="77777777">
        <w:trPr>
          <w:trHeight w:val="340"/>
        </w:trPr>
        <w:tc>
          <w:tcPr>
            <w:tcW w:w="1668" w:type="dxa"/>
            <w:vAlign w:val="center"/>
          </w:tcPr>
          <w:p w14:paraId="57B9D1CC" w14:textId="77777777" w:rsidR="00577D08" w:rsidRDefault="00330FC0">
            <w:pPr>
              <w:ind w:firstLineChars="200" w:firstLine="420"/>
            </w:pPr>
            <w:r>
              <w:t>2.</w:t>
            </w:r>
            <w:r>
              <w:rPr>
                <w:rFonts w:hint="eastAsia"/>
              </w:rPr>
              <w:t>期初</w:t>
            </w:r>
            <w:r>
              <w:t>账面价值</w:t>
            </w:r>
          </w:p>
        </w:tc>
        <w:tc>
          <w:tcPr>
            <w:tcW w:w="1559" w:type="dxa"/>
            <w:vAlign w:val="center"/>
          </w:tcPr>
          <w:p w14:paraId="0EB26BAF" w14:textId="77777777" w:rsidR="00577D08" w:rsidRDefault="00330FC0">
            <w:pPr>
              <w:jc w:val="right"/>
            </w:pPr>
            <w:r>
              <w:t xml:space="preserve">209,124,916.09 </w:t>
            </w:r>
          </w:p>
        </w:tc>
        <w:tc>
          <w:tcPr>
            <w:tcW w:w="1559" w:type="dxa"/>
            <w:vAlign w:val="center"/>
          </w:tcPr>
          <w:p w14:paraId="6DD9D39E" w14:textId="77777777" w:rsidR="00577D08" w:rsidRDefault="00330FC0">
            <w:pPr>
              <w:jc w:val="right"/>
            </w:pPr>
            <w:r>
              <w:t xml:space="preserve"> 11,807,347.23 </w:t>
            </w:r>
          </w:p>
        </w:tc>
        <w:tc>
          <w:tcPr>
            <w:tcW w:w="1418" w:type="dxa"/>
            <w:vAlign w:val="center"/>
          </w:tcPr>
          <w:p w14:paraId="58983355" w14:textId="77777777" w:rsidR="00577D08" w:rsidRDefault="00330FC0">
            <w:pPr>
              <w:jc w:val="right"/>
            </w:pPr>
            <w:r>
              <w:t xml:space="preserve">7,962,586.68 </w:t>
            </w:r>
          </w:p>
        </w:tc>
        <w:tc>
          <w:tcPr>
            <w:tcW w:w="1275" w:type="dxa"/>
            <w:vAlign w:val="center"/>
          </w:tcPr>
          <w:p w14:paraId="61F6231C" w14:textId="77777777" w:rsidR="00577D08" w:rsidRDefault="00577D08">
            <w:pPr>
              <w:jc w:val="right"/>
            </w:pPr>
          </w:p>
        </w:tc>
        <w:tc>
          <w:tcPr>
            <w:tcW w:w="1570" w:type="dxa"/>
            <w:vAlign w:val="center"/>
          </w:tcPr>
          <w:p w14:paraId="3AADE434" w14:textId="77777777" w:rsidR="00577D08" w:rsidRDefault="00330FC0">
            <w:pPr>
              <w:jc w:val="right"/>
            </w:pPr>
            <w:r>
              <w:t xml:space="preserve">228,894,850.00 </w:t>
            </w:r>
          </w:p>
        </w:tc>
      </w:tr>
    </w:tbl>
    <w:p w14:paraId="13521ECC" w14:textId="77777777" w:rsidR="00577D08" w:rsidRDefault="00330FC0">
      <w:pPr>
        <w:snapToGrid w:val="0"/>
        <w:spacing w:line="240" w:lineRule="atLeast"/>
      </w:pPr>
      <w:r>
        <w:rPr>
          <w:rFonts w:hint="eastAsia"/>
        </w:rPr>
        <w:t>本期末通过公司内部研发形成的无形资产占无形资产余额的比例是</w:t>
      </w:r>
      <w:sdt>
        <w:sdtPr>
          <w:alias w:val="通过公司内部研发形成的无形资产占无形资产账面价值的比例"/>
          <w:tag w:val="_GBC_a5caf6c87458439c8916b866a1bdf523"/>
          <w:id w:val="356091608"/>
          <w:placeholder>
            <w:docPart w:val="GBC22222222222222222222222222222"/>
          </w:placeholder>
        </w:sdtPr>
        <w:sdtContent>
          <w:r>
            <w:rPr>
              <w:rFonts w:hint="eastAsia"/>
            </w:rPr>
            <w:t>0%</w:t>
          </w:r>
        </w:sdtContent>
      </w:sdt>
    </w:p>
    <w:p w14:paraId="50742C7C" w14:textId="77777777" w:rsidR="00577D08" w:rsidRDefault="00330FC0">
      <w:pPr>
        <w:pStyle w:val="4"/>
        <w:numPr>
          <w:ilvl w:val="3"/>
          <w:numId w:val="82"/>
        </w:numPr>
        <w:ind w:left="426" w:hanging="426"/>
        <w:rPr>
          <w:rFonts w:ascii="宋体" w:eastAsia="宋体" w:hAnsi="宋体" w:cs="宋体" w:hint="eastAsia"/>
          <w:kern w:val="0"/>
          <w:szCs w:val="24"/>
        </w:rPr>
      </w:pPr>
      <w:bookmarkStart w:id="412" w:name="_Hlk182485368"/>
      <w:bookmarkStart w:id="413" w:name="_Hlk169705970"/>
      <w:bookmarkEnd w:id="411"/>
      <w:r>
        <w:rPr>
          <w:rFonts w:ascii="宋体" w:eastAsia="宋体" w:hAnsi="宋体" w:cs="宋体" w:hint="eastAsia"/>
          <w:kern w:val="0"/>
          <w:szCs w:val="24"/>
        </w:rPr>
        <w:t>确认为无形资产的数据资源</w:t>
      </w:r>
    </w:p>
    <w:sdt>
      <w:sdtPr>
        <w:rPr>
          <w:color w:val="000000" w:themeColor="text1"/>
        </w:rPr>
        <w:alias w:val="是否适用：确认为无形资产的数据资源[双击切换]"/>
        <w:tag w:val="_GBC_178251a2b9bc4427aa8303576cf5eeed"/>
        <w:id w:val="1955050614"/>
        <w:placeholder>
          <w:docPart w:val="GBC22222222222222222222222222222"/>
        </w:placeholder>
      </w:sdtPr>
      <w:sdtContent>
        <w:p w14:paraId="13DB699D"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412"/>
    <w:bookmarkEnd w:id="413"/>
    <w:p w14:paraId="636F7A55" w14:textId="77777777" w:rsidR="00577D08" w:rsidRDefault="00330FC0">
      <w:pPr>
        <w:pStyle w:val="4"/>
        <w:numPr>
          <w:ilvl w:val="3"/>
          <w:numId w:val="82"/>
        </w:numPr>
        <w:ind w:left="426" w:hanging="426"/>
        <w:rPr>
          <w:rFonts w:hint="eastAsia"/>
        </w:rPr>
      </w:pPr>
      <w:r>
        <w:rPr>
          <w:rFonts w:hint="eastAsia"/>
        </w:rPr>
        <w:t>未办妥产权证书的土地使用权情况</w:t>
      </w:r>
    </w:p>
    <w:p w14:paraId="46B507F7" w14:textId="77777777" w:rsidR="00577D08" w:rsidRDefault="00000000">
      <w:sdt>
        <w:sdtPr>
          <w:alias w:val="是否适用：未办妥产权证书的土地使用权情况[双击切换]"/>
          <w:tag w:val="_GBC_62bb02d09b844cb69dfe16466ac211c9"/>
          <w:id w:val="130765215"/>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29FF5697" w14:textId="77777777" w:rsidR="00577D08" w:rsidRDefault="00330FC0">
      <w:pPr>
        <w:pStyle w:val="4"/>
        <w:numPr>
          <w:ilvl w:val="3"/>
          <w:numId w:val="82"/>
        </w:numPr>
        <w:ind w:left="426" w:hanging="426"/>
        <w:rPr>
          <w:rFonts w:ascii="宋体" w:eastAsia="宋体" w:hAnsi="宋体" w:cs="宋体" w:hint="eastAsia"/>
          <w:kern w:val="0"/>
          <w:szCs w:val="24"/>
        </w:rPr>
      </w:pPr>
      <w:bookmarkStart w:id="414" w:name="_Hlk153461844"/>
      <w:r>
        <w:rPr>
          <w:rFonts w:ascii="宋体" w:eastAsia="宋体" w:hAnsi="宋体" w:cs="宋体" w:hint="eastAsia"/>
          <w:kern w:val="0"/>
          <w:szCs w:val="24"/>
        </w:rPr>
        <w:t>无形资产的减值测试情况</w:t>
      </w:r>
    </w:p>
    <w:sdt>
      <w:sdtPr>
        <w:alias w:val="是否适用：减值测试情况[双击切换]"/>
        <w:tag w:val="_GBC_c5612c50ddb44cf8892aefcbaf89a0f7"/>
        <w:id w:val="-459797182"/>
        <w:placeholder>
          <w:docPart w:val="GBC22222222222222222222222222222"/>
        </w:placeholder>
      </w:sdtPr>
      <w:sdtContent>
        <w:p w14:paraId="43A999C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14"/>
    <w:p w14:paraId="5C7C2BBF" w14:textId="77777777" w:rsidR="00577D08" w:rsidRDefault="00330FC0">
      <w:r>
        <w:rPr>
          <w:rFonts w:hint="eastAsia"/>
        </w:rPr>
        <w:t>其他说明：</w:t>
      </w:r>
    </w:p>
    <w:sdt>
      <w:sdtPr>
        <w:alias w:val="是否适用：无形资产的说明[双击切换]"/>
        <w:tag w:val="_GBC_ff92654365f04f7ba71b01dd8af2f696"/>
        <w:id w:val="-686911530"/>
        <w:placeholder>
          <w:docPart w:val="GBC22222222222222222222222222222"/>
        </w:placeholder>
      </w:sdtPr>
      <w:sdtContent>
        <w:p w14:paraId="22A725C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1618357" w14:textId="77777777" w:rsidR="00577D08" w:rsidRDefault="00577D08">
      <w:pPr>
        <w:snapToGrid w:val="0"/>
        <w:spacing w:line="240" w:lineRule="atLeast"/>
      </w:pPr>
    </w:p>
    <w:p w14:paraId="14F842A0" w14:textId="77777777" w:rsidR="00577D08" w:rsidRDefault="00577D08">
      <w:pPr>
        <w:snapToGrid w:val="0"/>
        <w:spacing w:line="240" w:lineRule="atLeast"/>
        <w:sectPr w:rsidR="00577D08">
          <w:pgSz w:w="11906" w:h="16838"/>
          <w:pgMar w:top="1440" w:right="1797" w:bottom="1525" w:left="1276" w:header="856" w:footer="992" w:gutter="0"/>
          <w:cols w:space="425"/>
          <w:docGrid w:linePitch="312"/>
        </w:sectPr>
      </w:pPr>
    </w:p>
    <w:p w14:paraId="1320B970"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lastRenderedPageBreak/>
        <w:t>商誉</w:t>
      </w:r>
    </w:p>
    <w:p w14:paraId="6976BD56" w14:textId="77777777" w:rsidR="00577D08" w:rsidRDefault="00330FC0">
      <w:pPr>
        <w:pStyle w:val="4"/>
        <w:numPr>
          <w:ilvl w:val="3"/>
          <w:numId w:val="83"/>
        </w:numPr>
        <w:ind w:left="426" w:hanging="426"/>
        <w:rPr>
          <w:rFonts w:hint="eastAsia"/>
        </w:rPr>
      </w:pPr>
      <w:r>
        <w:rPr>
          <w:rFonts w:hint="eastAsia"/>
        </w:rPr>
        <w:t>商誉账面原值</w:t>
      </w:r>
    </w:p>
    <w:sdt>
      <w:sdtPr>
        <w:alias w:val="是否适用：商誉账面原值[双击切换]"/>
        <w:tag w:val="_GBC_ef393f0687ab4747a43cd96895a18dcb"/>
        <w:id w:val="-1514682439"/>
        <w:placeholder>
          <w:docPart w:val="GBC22222222222222222222222222222"/>
        </w:placeholder>
      </w:sdtPr>
      <w:sdtContent>
        <w:p w14:paraId="0B4A84E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4D9E01F" w14:textId="6665ABC2" w:rsidR="00577D08" w:rsidRDefault="00330FC0">
      <w:pPr>
        <w:jc w:val="right"/>
      </w:pPr>
      <w:r>
        <w:rPr>
          <w:rFonts w:hint="eastAsia"/>
        </w:rPr>
        <w:t>单位：</w:t>
      </w:r>
      <w:sdt>
        <w:sdtPr>
          <w:rPr>
            <w:rFonts w:hint="eastAsia"/>
          </w:rPr>
          <w:alias w:val="单位：财务附注：商誉"/>
          <w:tag w:val="_GBC_1969cb3272364bc49f9ccb754d95df61"/>
          <w:id w:val="15384675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商誉"/>
          <w:tag w:val="_GBC_55d7143fbcf14746b997ea323f9b063b"/>
          <w:id w:val="-5752850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2534"/>
        <w:gridCol w:w="2554"/>
        <w:gridCol w:w="2418"/>
        <w:gridCol w:w="2656"/>
      </w:tblGrid>
      <w:tr w:rsidR="00577D08" w14:paraId="4FE63E35" w14:textId="77777777">
        <w:trPr>
          <w:trHeight w:val="284"/>
          <w:jc w:val="center"/>
        </w:trPr>
        <w:sdt>
          <w:sdtPr>
            <w:tag w:val="_PLD_321a0416f313455db9437f8692d7d27e"/>
            <w:id w:val="-973060348"/>
          </w:sdtPr>
          <w:sdtContent>
            <w:tc>
              <w:tcPr>
                <w:tcW w:w="1335" w:type="pct"/>
                <w:vMerge w:val="restart"/>
                <w:vAlign w:val="center"/>
              </w:tcPr>
              <w:p w14:paraId="7577DA4D" w14:textId="77777777" w:rsidR="00577D08" w:rsidRDefault="00330FC0">
                <w:pPr>
                  <w:autoSpaceDE w:val="0"/>
                  <w:autoSpaceDN w:val="0"/>
                  <w:adjustRightInd w:val="0"/>
                  <w:snapToGrid w:val="0"/>
                  <w:jc w:val="center"/>
                </w:pPr>
                <w:r>
                  <w:rPr>
                    <w:rFonts w:hint="eastAsia"/>
                  </w:rPr>
                  <w:t>被投资单位名称或形成商誉的事项</w:t>
                </w:r>
              </w:p>
            </w:tc>
          </w:sdtContent>
        </w:sdt>
        <w:sdt>
          <w:sdtPr>
            <w:tag w:val="_PLD_f188a95931d64e73a28589bedff91f08"/>
            <w:id w:val="-1091774242"/>
          </w:sdtPr>
          <w:sdtContent>
            <w:tc>
              <w:tcPr>
                <w:tcW w:w="914" w:type="pct"/>
                <w:vMerge w:val="restart"/>
                <w:vAlign w:val="center"/>
              </w:tcPr>
              <w:p w14:paraId="11FEC266" w14:textId="77777777" w:rsidR="00577D08" w:rsidRDefault="00330FC0">
                <w:pPr>
                  <w:autoSpaceDE w:val="0"/>
                  <w:autoSpaceDN w:val="0"/>
                  <w:adjustRightInd w:val="0"/>
                  <w:snapToGrid w:val="0"/>
                  <w:jc w:val="center"/>
                </w:pPr>
                <w:r>
                  <w:rPr>
                    <w:rFonts w:hint="eastAsia"/>
                  </w:rPr>
                  <w:t>期初余额</w:t>
                </w:r>
              </w:p>
            </w:tc>
          </w:sdtContent>
        </w:sdt>
        <w:sdt>
          <w:sdtPr>
            <w:tag w:val="_PLD_fe0863051d574b7da3ab0c8be387303e"/>
            <w:id w:val="822539107"/>
          </w:sdtPr>
          <w:sdtContent>
            <w:tc>
              <w:tcPr>
                <w:tcW w:w="921" w:type="pct"/>
                <w:vAlign w:val="center"/>
              </w:tcPr>
              <w:p w14:paraId="7574716F" w14:textId="77777777" w:rsidR="00577D08" w:rsidRDefault="00330FC0">
                <w:pPr>
                  <w:autoSpaceDE w:val="0"/>
                  <w:autoSpaceDN w:val="0"/>
                  <w:adjustRightInd w:val="0"/>
                  <w:snapToGrid w:val="0"/>
                  <w:jc w:val="center"/>
                </w:pPr>
                <w:r>
                  <w:rPr>
                    <w:rFonts w:hint="eastAsia"/>
                  </w:rPr>
                  <w:t>本期增加</w:t>
                </w:r>
              </w:p>
            </w:tc>
          </w:sdtContent>
        </w:sdt>
        <w:sdt>
          <w:sdtPr>
            <w:tag w:val="_PLD_ce868c17962f49c4aa34996033f79dd2"/>
            <w:id w:val="-1804990419"/>
          </w:sdtPr>
          <w:sdtContent>
            <w:tc>
              <w:tcPr>
                <w:tcW w:w="872" w:type="pct"/>
                <w:vAlign w:val="center"/>
              </w:tcPr>
              <w:p w14:paraId="0F3099E0" w14:textId="77777777" w:rsidR="00577D08" w:rsidRDefault="00330FC0">
                <w:pPr>
                  <w:autoSpaceDE w:val="0"/>
                  <w:autoSpaceDN w:val="0"/>
                  <w:adjustRightInd w:val="0"/>
                  <w:snapToGrid w:val="0"/>
                  <w:jc w:val="center"/>
                </w:pPr>
                <w:r>
                  <w:rPr>
                    <w:rFonts w:hint="eastAsia"/>
                  </w:rPr>
                  <w:t>本期减少</w:t>
                </w:r>
              </w:p>
            </w:tc>
          </w:sdtContent>
        </w:sdt>
        <w:sdt>
          <w:sdtPr>
            <w:tag w:val="_PLD_9b7450bb10fb432a80b42e729cd30f12"/>
            <w:id w:val="-376931760"/>
          </w:sdtPr>
          <w:sdtContent>
            <w:tc>
              <w:tcPr>
                <w:tcW w:w="958" w:type="pct"/>
                <w:vMerge w:val="restart"/>
                <w:vAlign w:val="center"/>
              </w:tcPr>
              <w:p w14:paraId="568BE53D" w14:textId="77777777" w:rsidR="00577D08" w:rsidRDefault="00330FC0">
                <w:pPr>
                  <w:autoSpaceDE w:val="0"/>
                  <w:autoSpaceDN w:val="0"/>
                  <w:adjustRightInd w:val="0"/>
                  <w:snapToGrid w:val="0"/>
                  <w:jc w:val="center"/>
                </w:pPr>
                <w:r>
                  <w:rPr>
                    <w:rFonts w:hint="eastAsia"/>
                  </w:rPr>
                  <w:t>期末余额</w:t>
                </w:r>
              </w:p>
            </w:tc>
          </w:sdtContent>
        </w:sdt>
      </w:tr>
      <w:tr w:rsidR="00577D08" w14:paraId="03F1FE9B" w14:textId="77777777">
        <w:trPr>
          <w:trHeight w:val="535"/>
          <w:jc w:val="center"/>
        </w:trPr>
        <w:tc>
          <w:tcPr>
            <w:tcW w:w="1335" w:type="pct"/>
            <w:vMerge/>
            <w:vAlign w:val="center"/>
          </w:tcPr>
          <w:p w14:paraId="4EED6A6B" w14:textId="77777777" w:rsidR="00577D08" w:rsidRDefault="00577D08">
            <w:pPr>
              <w:autoSpaceDE w:val="0"/>
              <w:autoSpaceDN w:val="0"/>
              <w:adjustRightInd w:val="0"/>
              <w:snapToGrid w:val="0"/>
              <w:jc w:val="center"/>
            </w:pPr>
          </w:p>
        </w:tc>
        <w:tc>
          <w:tcPr>
            <w:tcW w:w="914" w:type="pct"/>
            <w:vMerge/>
            <w:vAlign w:val="center"/>
          </w:tcPr>
          <w:p w14:paraId="05186BAF" w14:textId="77777777" w:rsidR="00577D08" w:rsidRDefault="00577D08">
            <w:pPr>
              <w:autoSpaceDE w:val="0"/>
              <w:autoSpaceDN w:val="0"/>
              <w:adjustRightInd w:val="0"/>
              <w:snapToGrid w:val="0"/>
              <w:jc w:val="center"/>
            </w:pPr>
          </w:p>
        </w:tc>
        <w:sdt>
          <w:sdtPr>
            <w:tag w:val="_PLD_84318b21f9b643c3b358d0716c43d0ec"/>
            <w:id w:val="-1200557449"/>
          </w:sdtPr>
          <w:sdtContent>
            <w:tc>
              <w:tcPr>
                <w:tcW w:w="921" w:type="pct"/>
                <w:vAlign w:val="center"/>
              </w:tcPr>
              <w:p w14:paraId="14E7BFC4" w14:textId="77777777" w:rsidR="00577D08" w:rsidRDefault="00330FC0">
                <w:pPr>
                  <w:autoSpaceDE w:val="0"/>
                  <w:autoSpaceDN w:val="0"/>
                  <w:adjustRightInd w:val="0"/>
                  <w:snapToGrid w:val="0"/>
                  <w:jc w:val="center"/>
                </w:pPr>
                <w:r>
                  <w:rPr>
                    <w:rFonts w:hint="eastAsia"/>
                  </w:rPr>
                  <w:t>企业合并形成的</w:t>
                </w:r>
              </w:p>
            </w:tc>
          </w:sdtContent>
        </w:sdt>
        <w:sdt>
          <w:sdtPr>
            <w:tag w:val="_PLD_6983282e8b8843a39f6925589e64f7d6"/>
            <w:id w:val="1489130228"/>
          </w:sdtPr>
          <w:sdtContent>
            <w:tc>
              <w:tcPr>
                <w:tcW w:w="872" w:type="pct"/>
                <w:vAlign w:val="center"/>
              </w:tcPr>
              <w:p w14:paraId="19B4759B" w14:textId="77777777" w:rsidR="00577D08" w:rsidRDefault="00330FC0">
                <w:pPr>
                  <w:autoSpaceDE w:val="0"/>
                  <w:autoSpaceDN w:val="0"/>
                  <w:adjustRightInd w:val="0"/>
                  <w:snapToGrid w:val="0"/>
                  <w:jc w:val="center"/>
                </w:pPr>
                <w:r>
                  <w:rPr>
                    <w:rFonts w:hint="eastAsia"/>
                  </w:rPr>
                  <w:t>处置</w:t>
                </w:r>
              </w:p>
            </w:tc>
          </w:sdtContent>
        </w:sdt>
        <w:tc>
          <w:tcPr>
            <w:tcW w:w="958" w:type="pct"/>
            <w:vMerge/>
            <w:vAlign w:val="center"/>
          </w:tcPr>
          <w:p w14:paraId="3B108603" w14:textId="77777777" w:rsidR="00577D08" w:rsidRDefault="00577D08">
            <w:pPr>
              <w:autoSpaceDE w:val="0"/>
              <w:autoSpaceDN w:val="0"/>
              <w:adjustRightInd w:val="0"/>
              <w:snapToGrid w:val="0"/>
              <w:jc w:val="center"/>
            </w:pPr>
          </w:p>
        </w:tc>
      </w:tr>
      <w:tr w:rsidR="00577D08" w14:paraId="458D5176" w14:textId="77777777">
        <w:trPr>
          <w:trHeight w:val="246"/>
          <w:jc w:val="center"/>
        </w:trPr>
        <w:tc>
          <w:tcPr>
            <w:tcW w:w="1335" w:type="pct"/>
          </w:tcPr>
          <w:p w14:paraId="75C127CB" w14:textId="77777777" w:rsidR="00577D08" w:rsidRDefault="00330FC0">
            <w:pPr>
              <w:autoSpaceDE w:val="0"/>
              <w:autoSpaceDN w:val="0"/>
              <w:adjustRightInd w:val="0"/>
              <w:snapToGrid w:val="0"/>
              <w:jc w:val="both"/>
            </w:pPr>
            <w:r>
              <w:rPr>
                <w:rFonts w:hint="eastAsia"/>
              </w:rPr>
              <w:t>收购云变电气股权</w:t>
            </w:r>
          </w:p>
        </w:tc>
        <w:tc>
          <w:tcPr>
            <w:tcW w:w="914" w:type="pct"/>
          </w:tcPr>
          <w:p w14:paraId="0E208C63" w14:textId="77777777" w:rsidR="00577D08" w:rsidRDefault="00330FC0">
            <w:pPr>
              <w:autoSpaceDE w:val="0"/>
              <w:autoSpaceDN w:val="0"/>
              <w:adjustRightInd w:val="0"/>
              <w:snapToGrid w:val="0"/>
              <w:jc w:val="right"/>
            </w:pPr>
            <w:r>
              <w:rPr>
                <w:rFonts w:hint="eastAsia"/>
              </w:rPr>
              <w:t>45,542,860.20</w:t>
            </w:r>
          </w:p>
        </w:tc>
        <w:tc>
          <w:tcPr>
            <w:tcW w:w="921" w:type="pct"/>
            <w:vAlign w:val="center"/>
          </w:tcPr>
          <w:p w14:paraId="11B66C56" w14:textId="77777777" w:rsidR="00577D08" w:rsidRDefault="00577D08">
            <w:pPr>
              <w:autoSpaceDE w:val="0"/>
              <w:autoSpaceDN w:val="0"/>
              <w:adjustRightInd w:val="0"/>
              <w:snapToGrid w:val="0"/>
              <w:jc w:val="right"/>
            </w:pPr>
          </w:p>
        </w:tc>
        <w:tc>
          <w:tcPr>
            <w:tcW w:w="872" w:type="pct"/>
            <w:vAlign w:val="center"/>
          </w:tcPr>
          <w:p w14:paraId="1E66E5D4" w14:textId="77777777" w:rsidR="00577D08" w:rsidRDefault="00577D08">
            <w:pPr>
              <w:autoSpaceDE w:val="0"/>
              <w:autoSpaceDN w:val="0"/>
              <w:adjustRightInd w:val="0"/>
              <w:snapToGrid w:val="0"/>
              <w:jc w:val="right"/>
            </w:pPr>
          </w:p>
        </w:tc>
        <w:tc>
          <w:tcPr>
            <w:tcW w:w="958" w:type="pct"/>
            <w:vAlign w:val="center"/>
          </w:tcPr>
          <w:p w14:paraId="6C8BAD89" w14:textId="77777777" w:rsidR="00577D08" w:rsidRDefault="00330FC0">
            <w:pPr>
              <w:autoSpaceDE w:val="0"/>
              <w:autoSpaceDN w:val="0"/>
              <w:adjustRightInd w:val="0"/>
              <w:snapToGrid w:val="0"/>
              <w:jc w:val="right"/>
            </w:pPr>
            <w:r>
              <w:t>45,542,860.20</w:t>
            </w:r>
          </w:p>
        </w:tc>
      </w:tr>
      <w:tr w:rsidR="00577D08" w14:paraId="1D017098" w14:textId="77777777">
        <w:trPr>
          <w:trHeight w:val="296"/>
          <w:jc w:val="center"/>
        </w:trPr>
        <w:tc>
          <w:tcPr>
            <w:tcW w:w="1335" w:type="pct"/>
            <w:vAlign w:val="center"/>
          </w:tcPr>
          <w:p w14:paraId="597AFCE6" w14:textId="77777777" w:rsidR="00577D08" w:rsidRDefault="00330FC0">
            <w:pPr>
              <w:autoSpaceDE w:val="0"/>
              <w:autoSpaceDN w:val="0"/>
              <w:adjustRightInd w:val="0"/>
              <w:snapToGrid w:val="0"/>
              <w:jc w:val="center"/>
              <w:rPr>
                <w:u w:val="double"/>
              </w:rPr>
            </w:pPr>
            <w:r>
              <w:rPr>
                <w:rFonts w:hint="eastAsia"/>
              </w:rPr>
              <w:t>合计</w:t>
            </w:r>
          </w:p>
        </w:tc>
        <w:tc>
          <w:tcPr>
            <w:tcW w:w="914" w:type="pct"/>
            <w:vAlign w:val="center"/>
          </w:tcPr>
          <w:p w14:paraId="5E44E602" w14:textId="77777777" w:rsidR="00577D08" w:rsidRDefault="00330FC0">
            <w:pPr>
              <w:autoSpaceDE w:val="0"/>
              <w:autoSpaceDN w:val="0"/>
              <w:adjustRightInd w:val="0"/>
              <w:snapToGrid w:val="0"/>
              <w:jc w:val="right"/>
            </w:pPr>
            <w:r>
              <w:t>45,542,860.20</w:t>
            </w:r>
          </w:p>
        </w:tc>
        <w:tc>
          <w:tcPr>
            <w:tcW w:w="921" w:type="pct"/>
            <w:vAlign w:val="center"/>
          </w:tcPr>
          <w:p w14:paraId="1438CE7E" w14:textId="77777777" w:rsidR="00577D08" w:rsidRDefault="00577D08">
            <w:pPr>
              <w:autoSpaceDE w:val="0"/>
              <w:autoSpaceDN w:val="0"/>
              <w:adjustRightInd w:val="0"/>
              <w:snapToGrid w:val="0"/>
              <w:jc w:val="right"/>
            </w:pPr>
          </w:p>
        </w:tc>
        <w:tc>
          <w:tcPr>
            <w:tcW w:w="872" w:type="pct"/>
            <w:vAlign w:val="center"/>
          </w:tcPr>
          <w:p w14:paraId="62568399" w14:textId="77777777" w:rsidR="00577D08" w:rsidRDefault="00577D08">
            <w:pPr>
              <w:autoSpaceDE w:val="0"/>
              <w:autoSpaceDN w:val="0"/>
              <w:adjustRightInd w:val="0"/>
              <w:snapToGrid w:val="0"/>
              <w:jc w:val="right"/>
            </w:pPr>
          </w:p>
        </w:tc>
        <w:tc>
          <w:tcPr>
            <w:tcW w:w="958" w:type="pct"/>
            <w:vAlign w:val="center"/>
          </w:tcPr>
          <w:p w14:paraId="2C037DE4" w14:textId="77777777" w:rsidR="00577D08" w:rsidRDefault="00330FC0">
            <w:pPr>
              <w:autoSpaceDE w:val="0"/>
              <w:autoSpaceDN w:val="0"/>
              <w:adjustRightInd w:val="0"/>
              <w:snapToGrid w:val="0"/>
              <w:jc w:val="right"/>
            </w:pPr>
            <w:r>
              <w:t>45,542,860.20</w:t>
            </w:r>
          </w:p>
        </w:tc>
      </w:tr>
    </w:tbl>
    <w:p w14:paraId="5B4925BF" w14:textId="77777777" w:rsidR="00577D08" w:rsidRDefault="00330FC0">
      <w:pPr>
        <w:pStyle w:val="4"/>
        <w:numPr>
          <w:ilvl w:val="3"/>
          <w:numId w:val="83"/>
        </w:numPr>
        <w:ind w:left="426" w:hanging="426"/>
        <w:rPr>
          <w:rFonts w:hint="eastAsia"/>
        </w:rPr>
      </w:pPr>
      <w:r>
        <w:rPr>
          <w:rFonts w:hint="eastAsia"/>
        </w:rPr>
        <w:t>商誉减值准备</w:t>
      </w:r>
    </w:p>
    <w:sdt>
      <w:sdtPr>
        <w:alias w:val="是否适用：商誉减值准备[双击切换]"/>
        <w:tag w:val="_GBC_6da4c3df55cf453f9753bb7045db7e9c"/>
        <w:id w:val="-1781715435"/>
        <w:placeholder>
          <w:docPart w:val="GBC22222222222222222222222222222"/>
        </w:placeholder>
      </w:sdtPr>
      <w:sdtContent>
        <w:p w14:paraId="203A08E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D732FD8" w14:textId="77777777" w:rsidR="00577D08" w:rsidRDefault="00330FC0">
      <w:pPr>
        <w:pStyle w:val="4"/>
        <w:numPr>
          <w:ilvl w:val="3"/>
          <w:numId w:val="83"/>
        </w:numPr>
        <w:ind w:left="426" w:hanging="426"/>
        <w:rPr>
          <w:rFonts w:ascii="宋体" w:eastAsia="宋体" w:hAnsi="宋体" w:cs="宋体" w:hint="eastAsia"/>
          <w:kern w:val="0"/>
          <w:szCs w:val="24"/>
        </w:rPr>
      </w:pPr>
      <w:r>
        <w:rPr>
          <w:rFonts w:ascii="宋体" w:eastAsia="宋体" w:hAnsi="宋体" w:cs="宋体" w:hint="eastAsia"/>
          <w:kern w:val="0"/>
          <w:szCs w:val="24"/>
        </w:rPr>
        <w:t>商誉所在资产组或资产组组合的相关信息</w:t>
      </w:r>
    </w:p>
    <w:sdt>
      <w:sdtPr>
        <w:rPr>
          <w:rFonts w:hint="eastAsia"/>
        </w:rPr>
        <w:alias w:val="是否适用：商誉所在资产组或资产组组合的相关信息[双击切换]"/>
        <w:tag w:val="_GBC_119e2aba5afb45e0b1f50033345c80ee"/>
        <w:id w:val="1091660572"/>
        <w:placeholder>
          <w:docPart w:val="GBC22222222222222222222222222222"/>
        </w:placeholder>
      </w:sdtPr>
      <w:sdtContent>
        <w:p w14:paraId="76FF73B1"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288"/>
        <w:gridCol w:w="3258"/>
        <w:gridCol w:w="4142"/>
      </w:tblGrid>
      <w:tr w:rsidR="00577D08" w14:paraId="41918EA7" w14:textId="77777777">
        <w:sdt>
          <w:sdtPr>
            <w:tag w:val="_PLD_eb7d569a3caa47379b1be2e01ef8c968"/>
            <w:id w:val="1539543465"/>
          </w:sdtPr>
          <w:sdtContent>
            <w:tc>
              <w:tcPr>
                <w:tcW w:w="1145" w:type="pct"/>
                <w:vAlign w:val="center"/>
              </w:tcPr>
              <w:p w14:paraId="410641D1" w14:textId="77777777" w:rsidR="00577D08" w:rsidRDefault="00330FC0">
                <w:pPr>
                  <w:widowControl w:val="0"/>
                  <w:jc w:val="center"/>
                </w:pPr>
                <w:r>
                  <w:rPr>
                    <w:rFonts w:hint="eastAsia"/>
                  </w:rPr>
                  <w:t>名称</w:t>
                </w:r>
              </w:p>
            </w:tc>
          </w:sdtContent>
        </w:sdt>
        <w:sdt>
          <w:sdtPr>
            <w:tag w:val="_PLD_b24715fdd53d4663ac8b33f884ac8840"/>
            <w:id w:val="1553421245"/>
          </w:sdtPr>
          <w:sdtContent>
            <w:tc>
              <w:tcPr>
                <w:tcW w:w="1186" w:type="pct"/>
                <w:vAlign w:val="center"/>
              </w:tcPr>
              <w:p w14:paraId="2817B3C9" w14:textId="77777777" w:rsidR="00577D08" w:rsidRDefault="00330FC0">
                <w:pPr>
                  <w:widowControl w:val="0"/>
                  <w:jc w:val="center"/>
                </w:pPr>
                <w:r>
                  <w:rPr>
                    <w:rFonts w:hint="eastAsia"/>
                  </w:rPr>
                  <w:t>所属资产组或组合的构成及依据</w:t>
                </w:r>
              </w:p>
            </w:tc>
          </w:sdtContent>
        </w:sdt>
        <w:sdt>
          <w:sdtPr>
            <w:tag w:val="_PLD_0c0d5dbdf7634b84a442e261c73b6e64"/>
            <w:id w:val="-983000256"/>
          </w:sdtPr>
          <w:sdtContent>
            <w:tc>
              <w:tcPr>
                <w:tcW w:w="1175" w:type="pct"/>
                <w:vAlign w:val="center"/>
              </w:tcPr>
              <w:p w14:paraId="3058FD16" w14:textId="77777777" w:rsidR="00577D08" w:rsidRDefault="00330FC0">
                <w:pPr>
                  <w:widowControl w:val="0"/>
                  <w:jc w:val="center"/>
                </w:pPr>
                <w:r>
                  <w:rPr>
                    <w:rFonts w:hint="eastAsia"/>
                  </w:rPr>
                  <w:t>所属经营分部及依据</w:t>
                </w:r>
              </w:p>
            </w:tc>
          </w:sdtContent>
        </w:sdt>
        <w:sdt>
          <w:sdtPr>
            <w:tag w:val="_PLD_7f438fadf8b643d88b8999f011699a12"/>
            <w:id w:val="1234889176"/>
          </w:sdtPr>
          <w:sdtContent>
            <w:tc>
              <w:tcPr>
                <w:tcW w:w="1494" w:type="pct"/>
                <w:vAlign w:val="center"/>
              </w:tcPr>
              <w:p w14:paraId="60F21161" w14:textId="77777777" w:rsidR="00577D08" w:rsidRDefault="00330FC0">
                <w:pPr>
                  <w:widowControl w:val="0"/>
                  <w:jc w:val="center"/>
                </w:pPr>
                <w:r>
                  <w:rPr>
                    <w:rFonts w:hint="eastAsia"/>
                  </w:rPr>
                  <w:t>是否与以前年度保持一致</w:t>
                </w:r>
              </w:p>
            </w:tc>
          </w:sdtContent>
        </w:sdt>
      </w:tr>
      <w:tr w:rsidR="00577D08" w14:paraId="18F0F02C" w14:textId="77777777">
        <w:tc>
          <w:tcPr>
            <w:tcW w:w="1145" w:type="pct"/>
            <w:vAlign w:val="center"/>
          </w:tcPr>
          <w:p w14:paraId="081A8366" w14:textId="77777777" w:rsidR="00577D08" w:rsidRDefault="00330FC0">
            <w:pPr>
              <w:widowControl w:val="0"/>
              <w:jc w:val="both"/>
            </w:pPr>
            <w:r>
              <w:rPr>
                <w:rFonts w:hint="eastAsia"/>
              </w:rPr>
              <w:t>云变电气</w:t>
            </w:r>
          </w:p>
        </w:tc>
        <w:tc>
          <w:tcPr>
            <w:tcW w:w="1186" w:type="pct"/>
            <w:vAlign w:val="center"/>
          </w:tcPr>
          <w:p w14:paraId="7C2F94A7" w14:textId="77777777" w:rsidR="00577D08" w:rsidRDefault="00330FC0">
            <w:pPr>
              <w:widowControl w:val="0"/>
              <w:jc w:val="both"/>
            </w:pPr>
            <w:r>
              <w:rPr>
                <w:rFonts w:hint="eastAsia"/>
              </w:rPr>
              <w:t>收购云变电气所形成相关商誉的资产及业务</w:t>
            </w:r>
          </w:p>
        </w:tc>
        <w:tc>
          <w:tcPr>
            <w:tcW w:w="1175" w:type="pct"/>
            <w:vAlign w:val="center"/>
          </w:tcPr>
          <w:p w14:paraId="4866B823" w14:textId="77777777" w:rsidR="00577D08" w:rsidRDefault="00330FC0">
            <w:pPr>
              <w:widowControl w:val="0"/>
              <w:jc w:val="center"/>
            </w:pPr>
            <w:r>
              <w:rPr>
                <w:rFonts w:hint="eastAsia"/>
              </w:rPr>
              <w:t>根据营业收入实现地</w:t>
            </w:r>
          </w:p>
        </w:tc>
        <w:tc>
          <w:tcPr>
            <w:tcW w:w="1494" w:type="pct"/>
            <w:vAlign w:val="center"/>
          </w:tcPr>
          <w:p w14:paraId="27B2FF17" w14:textId="77777777" w:rsidR="00577D08" w:rsidRDefault="00330FC0">
            <w:pPr>
              <w:widowControl w:val="0"/>
              <w:jc w:val="center"/>
            </w:pPr>
            <w:r>
              <w:rPr>
                <w:rFonts w:hint="eastAsia"/>
              </w:rPr>
              <w:t>是</w:t>
            </w:r>
          </w:p>
        </w:tc>
      </w:tr>
    </w:tbl>
    <w:p w14:paraId="6E3A8127" w14:textId="77777777" w:rsidR="00577D08" w:rsidRDefault="00330FC0">
      <w:bookmarkStart w:id="415" w:name="_Hlk153462880"/>
      <w:r>
        <w:rPr>
          <w:rFonts w:hint="eastAsia"/>
        </w:rPr>
        <w:t>资产组或资产组组合发生变化</w:t>
      </w:r>
    </w:p>
    <w:sdt>
      <w:sdtPr>
        <w:alias w:val="是否适用：资产组或资产组组合发生变化[双击切换]"/>
        <w:tag w:val="_GBC_31d9e35c99cb43c2ad1aced4a6a40606"/>
        <w:id w:val="1172768790"/>
        <w:placeholder>
          <w:docPart w:val="GBC22222222222222222222222222222"/>
        </w:placeholder>
      </w:sdtPr>
      <w:sdtContent>
        <w:p w14:paraId="5579A5B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2839"/>
        <w:gridCol w:w="2811"/>
        <w:gridCol w:w="3225"/>
      </w:tblGrid>
      <w:tr w:rsidR="00577D08" w14:paraId="3794911E" w14:textId="77777777">
        <w:sdt>
          <w:sdtPr>
            <w:tag w:val="_PLD_74a7f331ab4f467ab67e783ed0ddce09"/>
            <w:id w:val="1926843916"/>
          </w:sdtPr>
          <w:sdtContent>
            <w:tc>
              <w:tcPr>
                <w:tcW w:w="1799" w:type="pct"/>
                <w:vAlign w:val="center"/>
              </w:tcPr>
              <w:p w14:paraId="36D70A5D" w14:textId="77777777" w:rsidR="00577D08" w:rsidRDefault="00330FC0">
                <w:pPr>
                  <w:jc w:val="center"/>
                </w:pPr>
                <w:r>
                  <w:rPr>
                    <w:rFonts w:hint="eastAsia"/>
                  </w:rPr>
                  <w:t>名称</w:t>
                </w:r>
              </w:p>
            </w:tc>
          </w:sdtContent>
        </w:sdt>
        <w:sdt>
          <w:sdtPr>
            <w:tag w:val="_PLD_fac3806619e94d79a5897f0e4c9dc96f"/>
            <w:id w:val="-2057612147"/>
          </w:sdtPr>
          <w:sdtContent>
            <w:tc>
              <w:tcPr>
                <w:tcW w:w="1024" w:type="pct"/>
                <w:vAlign w:val="center"/>
              </w:tcPr>
              <w:p w14:paraId="72B5640E" w14:textId="77777777" w:rsidR="00577D08" w:rsidRDefault="00330FC0">
                <w:pPr>
                  <w:jc w:val="center"/>
                </w:pPr>
                <w:r>
                  <w:rPr>
                    <w:rFonts w:hint="eastAsia"/>
                  </w:rPr>
                  <w:t>变化前的构成</w:t>
                </w:r>
              </w:p>
            </w:tc>
          </w:sdtContent>
        </w:sdt>
        <w:sdt>
          <w:sdtPr>
            <w:tag w:val="_PLD_b2eccaf5114f4ab7839efe38d092900e"/>
            <w:id w:val="-162020247"/>
          </w:sdtPr>
          <w:sdtContent>
            <w:tc>
              <w:tcPr>
                <w:tcW w:w="1014" w:type="pct"/>
                <w:vAlign w:val="center"/>
              </w:tcPr>
              <w:p w14:paraId="33CC57DC" w14:textId="77777777" w:rsidR="00577D08" w:rsidRDefault="00330FC0">
                <w:pPr>
                  <w:jc w:val="center"/>
                </w:pPr>
                <w:r>
                  <w:rPr>
                    <w:rFonts w:hint="eastAsia"/>
                  </w:rPr>
                  <w:t>变化后的构成</w:t>
                </w:r>
              </w:p>
            </w:tc>
          </w:sdtContent>
        </w:sdt>
        <w:sdt>
          <w:sdtPr>
            <w:tag w:val="_PLD_206e10360e16446596845397a6682547"/>
            <w:id w:val="1446584721"/>
          </w:sdtPr>
          <w:sdtContent>
            <w:tc>
              <w:tcPr>
                <w:tcW w:w="1163" w:type="pct"/>
                <w:vAlign w:val="center"/>
              </w:tcPr>
              <w:p w14:paraId="4153669E" w14:textId="77777777" w:rsidR="00577D08" w:rsidRDefault="00330FC0">
                <w:pPr>
                  <w:jc w:val="center"/>
                </w:pPr>
                <w:r>
                  <w:rPr>
                    <w:rFonts w:hint="eastAsia"/>
                  </w:rPr>
                  <w:t>导致变化的客观事实及依据</w:t>
                </w:r>
              </w:p>
            </w:tc>
          </w:sdtContent>
        </w:sdt>
      </w:tr>
      <w:tr w:rsidR="00577D08" w14:paraId="4E008A9F" w14:textId="77777777">
        <w:tc>
          <w:tcPr>
            <w:tcW w:w="1799" w:type="pct"/>
            <w:vAlign w:val="center"/>
          </w:tcPr>
          <w:p w14:paraId="598FFDF2" w14:textId="77777777" w:rsidR="00577D08" w:rsidRDefault="00330FC0">
            <w:pPr>
              <w:jc w:val="both"/>
            </w:pPr>
            <w:r>
              <w:rPr>
                <w:rFonts w:hint="eastAsia"/>
              </w:rPr>
              <w:t>云变电气</w:t>
            </w:r>
          </w:p>
        </w:tc>
        <w:tc>
          <w:tcPr>
            <w:tcW w:w="1024" w:type="pct"/>
            <w:vAlign w:val="center"/>
          </w:tcPr>
          <w:p w14:paraId="040E02C9" w14:textId="77777777" w:rsidR="00577D08" w:rsidRDefault="00330FC0">
            <w:pPr>
              <w:jc w:val="both"/>
            </w:pPr>
            <w:r>
              <w:rPr>
                <w:rFonts w:hint="eastAsia"/>
              </w:rPr>
              <w:t>收购云变电气所形成相关商誉的资产及业务</w:t>
            </w:r>
          </w:p>
        </w:tc>
        <w:tc>
          <w:tcPr>
            <w:tcW w:w="1014" w:type="pct"/>
            <w:vAlign w:val="center"/>
          </w:tcPr>
          <w:p w14:paraId="288D92A4" w14:textId="77777777" w:rsidR="00577D08" w:rsidRDefault="00330FC0">
            <w:pPr>
              <w:jc w:val="both"/>
            </w:pPr>
            <w:r>
              <w:rPr>
                <w:rFonts w:hint="eastAsia"/>
              </w:rPr>
              <w:t>收购云变电气所形成相关商誉的资产及业务</w:t>
            </w:r>
          </w:p>
        </w:tc>
        <w:tc>
          <w:tcPr>
            <w:tcW w:w="1163" w:type="pct"/>
            <w:vAlign w:val="center"/>
          </w:tcPr>
          <w:p w14:paraId="5A3F6B34" w14:textId="77777777" w:rsidR="00577D08" w:rsidRDefault="00330FC0">
            <w:pPr>
              <w:jc w:val="both"/>
            </w:pPr>
            <w:r>
              <w:rPr>
                <w:rFonts w:hint="eastAsia"/>
              </w:rPr>
              <w:t>资产组未发生变化</w:t>
            </w:r>
          </w:p>
        </w:tc>
      </w:tr>
    </w:tbl>
    <w:p w14:paraId="05D2E2B6" w14:textId="77777777" w:rsidR="00577D08" w:rsidRDefault="00330FC0">
      <w:bookmarkStart w:id="416" w:name="_Hlk152948734"/>
      <w:bookmarkEnd w:id="415"/>
      <w:r>
        <w:rPr>
          <w:rFonts w:hint="eastAsia"/>
        </w:rPr>
        <w:t>其他说明：</w:t>
      </w:r>
    </w:p>
    <w:sdt>
      <w:sdtPr>
        <w:alias w:val="是否适用：商誉所在资产组或资产组组合的相关信息其他说明[双击切换]"/>
        <w:tag w:val="_GBC_9f9bd4d9cf084d4594694aa545981d14"/>
        <w:id w:val="329729270"/>
        <w:placeholder>
          <w:docPart w:val="GBC22222222222222222222222222222"/>
        </w:placeholder>
      </w:sdtPr>
      <w:sdtContent>
        <w:p w14:paraId="065017A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16"/>
    <w:p w14:paraId="49A7B8E8" w14:textId="77777777" w:rsidR="00577D08" w:rsidRDefault="00330FC0">
      <w:pPr>
        <w:pStyle w:val="4"/>
        <w:numPr>
          <w:ilvl w:val="3"/>
          <w:numId w:val="83"/>
        </w:numPr>
        <w:ind w:left="424" w:hangingChars="201" w:hanging="424"/>
        <w:rPr>
          <w:rFonts w:hint="eastAsia"/>
        </w:rPr>
      </w:pPr>
      <w:r>
        <w:rPr>
          <w:rFonts w:hint="eastAsia"/>
        </w:rPr>
        <w:t>可收回金额的具体确定方法</w:t>
      </w:r>
    </w:p>
    <w:p w14:paraId="426D7D50" w14:textId="77777777" w:rsidR="00577D08" w:rsidRDefault="00330FC0">
      <w:bookmarkStart w:id="417" w:name="_Hlk153463075"/>
      <w:r>
        <w:rPr>
          <w:rFonts w:hint="eastAsia"/>
        </w:rPr>
        <w:t>可收回金额按公允价值减去处置费用后的净额确定</w:t>
      </w:r>
    </w:p>
    <w:sdt>
      <w:sdtPr>
        <w:alias w:val="是否适用：可收回金额按公允价值减去处置费用后的净额确定[双击切换]"/>
        <w:tag w:val="_GBC_0b6e879ad4b9460fa4cd105a6a6161a9"/>
        <w:id w:val="-538127571"/>
        <w:placeholder>
          <w:docPart w:val="GBC22222222222222222222222222222"/>
        </w:placeholder>
      </w:sdtPr>
      <w:sdtContent>
        <w:p w14:paraId="7D6D488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483E3B7" w14:textId="77777777" w:rsidR="00577D08" w:rsidRDefault="00330FC0">
      <w:r>
        <w:rPr>
          <w:rFonts w:hint="eastAsia"/>
        </w:rPr>
        <w:t>可收回金额按预计未来现金流量的现值确定</w:t>
      </w:r>
    </w:p>
    <w:sdt>
      <w:sdtPr>
        <w:rPr>
          <w:rFonts w:hint="eastAsia"/>
        </w:rPr>
        <w:alias w:val="是否适用：可收回金额按预计未来现金流量的现值确定[双击切换]"/>
        <w:tag w:val="_GBC_17189f5d61eb4932aa47036bc0a56c3c"/>
        <w:id w:val="1828477433"/>
        <w:placeholder>
          <w:docPart w:val="GBC22222222222222222222222222222"/>
        </w:placeholder>
      </w:sdtPr>
      <w:sdtContent>
        <w:p w14:paraId="32C3D5BF"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EBDA4E" w14:textId="2BB0B6DB" w:rsidR="00577D08" w:rsidRDefault="00330FC0">
      <w:pPr>
        <w:jc w:val="right"/>
      </w:pPr>
      <w:r>
        <w:rPr>
          <w:rFonts w:hint="eastAsia"/>
        </w:rPr>
        <w:lastRenderedPageBreak/>
        <w:t>单位：</w:t>
      </w:r>
      <w:sdt>
        <w:sdtPr>
          <w:rPr>
            <w:rFonts w:hint="eastAsia"/>
          </w:rPr>
          <w:alias w:val="单位：可收回金额按预计未来现金流量的现值确定"/>
          <w:tag w:val="_GBC_a1e7f74ee37c42e9999532af5973f8bf"/>
          <w:id w:val="-29669043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可收回金额按预计未来现金流量的现值确定"/>
          <w:tag w:val="_GBC_c8ab90a34bd246438ca7125d0c992713"/>
          <w:id w:val="-11071209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14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1417"/>
        <w:gridCol w:w="709"/>
        <w:gridCol w:w="709"/>
        <w:gridCol w:w="1984"/>
        <w:gridCol w:w="1134"/>
        <w:gridCol w:w="1276"/>
        <w:gridCol w:w="1559"/>
        <w:gridCol w:w="993"/>
        <w:gridCol w:w="2215"/>
      </w:tblGrid>
      <w:tr w:rsidR="00577D08" w14:paraId="5CBA6E49" w14:textId="77777777">
        <w:trPr>
          <w:jc w:val="center"/>
        </w:trPr>
        <w:sdt>
          <w:sdtPr>
            <w:rPr>
              <w:sz w:val="18"/>
              <w:szCs w:val="18"/>
            </w:rPr>
            <w:tag w:val="_PLD_cff52f4a589b4f449fd1522d3493334f"/>
            <w:id w:val="-1973275487"/>
          </w:sdtPr>
          <w:sdtContent>
            <w:tc>
              <w:tcPr>
                <w:tcW w:w="675" w:type="dxa"/>
                <w:vAlign w:val="center"/>
              </w:tcPr>
              <w:p w14:paraId="7C22949C" w14:textId="77777777" w:rsidR="00577D08" w:rsidRDefault="00330FC0">
                <w:pPr>
                  <w:snapToGrid w:val="0"/>
                  <w:spacing w:line="240" w:lineRule="atLeast"/>
                  <w:jc w:val="center"/>
                  <w:rPr>
                    <w:sz w:val="18"/>
                    <w:szCs w:val="18"/>
                  </w:rPr>
                </w:pPr>
                <w:r>
                  <w:rPr>
                    <w:rFonts w:hint="eastAsia"/>
                    <w:sz w:val="18"/>
                    <w:szCs w:val="18"/>
                  </w:rPr>
                  <w:t>项目</w:t>
                </w:r>
              </w:p>
            </w:tc>
          </w:sdtContent>
        </w:sdt>
        <w:sdt>
          <w:sdtPr>
            <w:rPr>
              <w:sz w:val="18"/>
              <w:szCs w:val="18"/>
            </w:rPr>
            <w:tag w:val="_PLD_ebe70a4ae85d48bda1d141bc018ae805"/>
            <w:id w:val="1171520199"/>
          </w:sdtPr>
          <w:sdtContent>
            <w:tc>
              <w:tcPr>
                <w:tcW w:w="1418" w:type="dxa"/>
                <w:vAlign w:val="center"/>
              </w:tcPr>
              <w:p w14:paraId="55AC204D" w14:textId="77777777" w:rsidR="00577D08" w:rsidRDefault="00330FC0">
                <w:pPr>
                  <w:snapToGrid w:val="0"/>
                  <w:spacing w:line="240" w:lineRule="atLeast"/>
                  <w:jc w:val="center"/>
                  <w:rPr>
                    <w:sz w:val="18"/>
                    <w:szCs w:val="18"/>
                  </w:rPr>
                </w:pPr>
                <w:r>
                  <w:rPr>
                    <w:sz w:val="18"/>
                    <w:szCs w:val="18"/>
                  </w:rPr>
                  <w:t>账面价值</w:t>
                </w:r>
              </w:p>
            </w:tc>
          </w:sdtContent>
        </w:sdt>
        <w:sdt>
          <w:sdtPr>
            <w:rPr>
              <w:sz w:val="18"/>
              <w:szCs w:val="18"/>
            </w:rPr>
            <w:tag w:val="_PLD_f773f20da9964101aae7f8448615d402"/>
            <w:id w:val="55980875"/>
          </w:sdtPr>
          <w:sdtContent>
            <w:tc>
              <w:tcPr>
                <w:tcW w:w="1417" w:type="dxa"/>
                <w:vAlign w:val="center"/>
              </w:tcPr>
              <w:p w14:paraId="47601F16" w14:textId="77777777" w:rsidR="00577D08" w:rsidRDefault="00330FC0">
                <w:pPr>
                  <w:snapToGrid w:val="0"/>
                  <w:spacing w:line="240" w:lineRule="atLeast"/>
                  <w:jc w:val="center"/>
                  <w:rPr>
                    <w:sz w:val="18"/>
                    <w:szCs w:val="18"/>
                  </w:rPr>
                </w:pPr>
                <w:r>
                  <w:rPr>
                    <w:sz w:val="18"/>
                    <w:szCs w:val="18"/>
                  </w:rPr>
                  <w:t>可收回金额</w:t>
                </w:r>
              </w:p>
            </w:tc>
          </w:sdtContent>
        </w:sdt>
        <w:sdt>
          <w:sdtPr>
            <w:rPr>
              <w:sz w:val="18"/>
              <w:szCs w:val="18"/>
            </w:rPr>
            <w:tag w:val="_PLD_f552c69612994a6a8b36f9b4eff4878e"/>
            <w:id w:val="669224411"/>
          </w:sdtPr>
          <w:sdtContent>
            <w:tc>
              <w:tcPr>
                <w:tcW w:w="709" w:type="dxa"/>
                <w:vAlign w:val="center"/>
              </w:tcPr>
              <w:p w14:paraId="4D956529" w14:textId="77777777" w:rsidR="00577D08" w:rsidRDefault="00330FC0">
                <w:pPr>
                  <w:snapToGrid w:val="0"/>
                  <w:spacing w:line="240" w:lineRule="atLeast"/>
                  <w:jc w:val="center"/>
                  <w:rPr>
                    <w:sz w:val="18"/>
                    <w:szCs w:val="18"/>
                  </w:rPr>
                </w:pPr>
                <w:r>
                  <w:rPr>
                    <w:sz w:val="18"/>
                    <w:szCs w:val="18"/>
                  </w:rPr>
                  <w:t>减值金额</w:t>
                </w:r>
              </w:p>
            </w:tc>
          </w:sdtContent>
        </w:sdt>
        <w:sdt>
          <w:sdtPr>
            <w:rPr>
              <w:sz w:val="18"/>
              <w:szCs w:val="18"/>
            </w:rPr>
            <w:tag w:val="_PLD_6bcc06a594254001a2e2bb63410d31a8"/>
            <w:id w:val="1850219751"/>
          </w:sdtPr>
          <w:sdtContent>
            <w:tc>
              <w:tcPr>
                <w:tcW w:w="709" w:type="dxa"/>
                <w:vAlign w:val="center"/>
              </w:tcPr>
              <w:p w14:paraId="7756AB62" w14:textId="77777777" w:rsidR="00577D08" w:rsidRDefault="00330FC0">
                <w:pPr>
                  <w:snapToGrid w:val="0"/>
                  <w:spacing w:line="240" w:lineRule="atLeast"/>
                  <w:jc w:val="center"/>
                  <w:rPr>
                    <w:sz w:val="18"/>
                    <w:szCs w:val="18"/>
                  </w:rPr>
                </w:pPr>
                <w:r>
                  <w:rPr>
                    <w:rFonts w:hint="eastAsia"/>
                    <w:sz w:val="18"/>
                    <w:szCs w:val="18"/>
                  </w:rPr>
                  <w:t>预测期的年限</w:t>
                </w:r>
              </w:p>
            </w:tc>
          </w:sdtContent>
        </w:sdt>
        <w:sdt>
          <w:sdtPr>
            <w:rPr>
              <w:sz w:val="18"/>
              <w:szCs w:val="18"/>
            </w:rPr>
            <w:tag w:val="_PLD_e9c2c2790e9244988fba2da8f5f1d3b2"/>
            <w:id w:val="378664460"/>
          </w:sdtPr>
          <w:sdtContent>
            <w:tc>
              <w:tcPr>
                <w:tcW w:w="1984" w:type="dxa"/>
                <w:vAlign w:val="center"/>
              </w:tcPr>
              <w:p w14:paraId="52F9D878" w14:textId="77777777" w:rsidR="00577D08" w:rsidRDefault="00330FC0">
                <w:pPr>
                  <w:snapToGrid w:val="0"/>
                  <w:spacing w:line="240" w:lineRule="atLeast"/>
                  <w:jc w:val="center"/>
                  <w:rPr>
                    <w:sz w:val="18"/>
                    <w:szCs w:val="18"/>
                  </w:rPr>
                </w:pPr>
                <w:r>
                  <w:rPr>
                    <w:rFonts w:hint="eastAsia"/>
                    <w:sz w:val="18"/>
                    <w:szCs w:val="18"/>
                  </w:rPr>
                  <w:t>预测期的关键参数（增长率、利润率等）</w:t>
                </w:r>
              </w:p>
            </w:tc>
          </w:sdtContent>
        </w:sdt>
        <w:sdt>
          <w:sdtPr>
            <w:rPr>
              <w:sz w:val="18"/>
              <w:szCs w:val="18"/>
            </w:rPr>
            <w:tag w:val="_PLD_13889ff77b974aa3bdaee4845f8f5bc4"/>
            <w:id w:val="-1419398562"/>
          </w:sdtPr>
          <w:sdtContent>
            <w:tc>
              <w:tcPr>
                <w:tcW w:w="1134" w:type="dxa"/>
                <w:vAlign w:val="center"/>
              </w:tcPr>
              <w:p w14:paraId="55F255D3" w14:textId="77777777" w:rsidR="00577D08" w:rsidRDefault="00330FC0">
                <w:pPr>
                  <w:snapToGrid w:val="0"/>
                  <w:spacing w:line="240" w:lineRule="atLeast"/>
                  <w:jc w:val="center"/>
                  <w:rPr>
                    <w:sz w:val="18"/>
                    <w:szCs w:val="18"/>
                  </w:rPr>
                </w:pPr>
                <w:r>
                  <w:rPr>
                    <w:rFonts w:hint="eastAsia"/>
                    <w:sz w:val="18"/>
                    <w:szCs w:val="18"/>
                  </w:rPr>
                  <w:t>预测期内的参数的确定依据</w:t>
                </w:r>
              </w:p>
            </w:tc>
          </w:sdtContent>
        </w:sdt>
        <w:sdt>
          <w:sdtPr>
            <w:rPr>
              <w:sz w:val="18"/>
              <w:szCs w:val="18"/>
            </w:rPr>
            <w:tag w:val="_PLD_d68512bf9b0d42d691bbe423db48d9bc"/>
            <w:id w:val="365958674"/>
          </w:sdtPr>
          <w:sdtContent>
            <w:tc>
              <w:tcPr>
                <w:tcW w:w="1276" w:type="dxa"/>
                <w:vAlign w:val="center"/>
              </w:tcPr>
              <w:p w14:paraId="4CD35E83" w14:textId="77777777" w:rsidR="00577D08" w:rsidRDefault="00330FC0">
                <w:pPr>
                  <w:snapToGrid w:val="0"/>
                  <w:spacing w:line="240" w:lineRule="atLeast"/>
                  <w:jc w:val="center"/>
                  <w:rPr>
                    <w:sz w:val="18"/>
                    <w:szCs w:val="18"/>
                  </w:rPr>
                </w:pPr>
                <w:r>
                  <w:rPr>
                    <w:rFonts w:hint="eastAsia"/>
                    <w:sz w:val="18"/>
                    <w:szCs w:val="18"/>
                  </w:rPr>
                  <w:t>稳定期的关键参数（增长率、利润率、折现率等）</w:t>
                </w:r>
              </w:p>
            </w:tc>
          </w:sdtContent>
        </w:sdt>
        <w:sdt>
          <w:sdtPr>
            <w:rPr>
              <w:sz w:val="18"/>
              <w:szCs w:val="18"/>
            </w:rPr>
            <w:tag w:val="_PLD_3c32c12e9fc44415bc9ce83150581d6f"/>
            <w:id w:val="-64804940"/>
          </w:sdtPr>
          <w:sdtContent>
            <w:tc>
              <w:tcPr>
                <w:tcW w:w="1559" w:type="dxa"/>
                <w:vAlign w:val="center"/>
              </w:tcPr>
              <w:p w14:paraId="63DD9FC7" w14:textId="77777777" w:rsidR="00577D08" w:rsidRDefault="00330FC0">
                <w:pPr>
                  <w:snapToGrid w:val="0"/>
                  <w:spacing w:line="240" w:lineRule="atLeast"/>
                  <w:jc w:val="center"/>
                  <w:rPr>
                    <w:b/>
                    <w:sz w:val="18"/>
                    <w:szCs w:val="18"/>
                  </w:rPr>
                </w:pPr>
                <w:r>
                  <w:rPr>
                    <w:rFonts w:hint="eastAsia"/>
                    <w:sz w:val="18"/>
                    <w:szCs w:val="18"/>
                  </w:rPr>
                  <w:t>稳定期的关键参数的确定依据</w:t>
                </w:r>
              </w:p>
            </w:tc>
          </w:sdtContent>
        </w:sdt>
        <w:tc>
          <w:tcPr>
            <w:tcW w:w="993" w:type="dxa"/>
            <w:vAlign w:val="center"/>
          </w:tcPr>
          <w:p w14:paraId="48478D7A" w14:textId="77777777" w:rsidR="00577D08" w:rsidRDefault="00330FC0">
            <w:pPr>
              <w:snapToGrid w:val="0"/>
              <w:spacing w:line="240" w:lineRule="atLeast"/>
              <w:jc w:val="center"/>
              <w:rPr>
                <w:b/>
                <w:sz w:val="18"/>
                <w:szCs w:val="18"/>
              </w:rPr>
            </w:pPr>
            <w:r>
              <w:rPr>
                <w:rFonts w:hint="eastAsia"/>
                <w:sz w:val="18"/>
                <w:szCs w:val="18"/>
              </w:rPr>
              <w:t>折现率的关键参数</w:t>
            </w:r>
          </w:p>
        </w:tc>
        <w:tc>
          <w:tcPr>
            <w:tcW w:w="2215" w:type="dxa"/>
            <w:vAlign w:val="center"/>
          </w:tcPr>
          <w:p w14:paraId="7C0B68A5" w14:textId="77777777" w:rsidR="00577D08" w:rsidRDefault="00330FC0">
            <w:pPr>
              <w:snapToGrid w:val="0"/>
              <w:spacing w:line="240" w:lineRule="atLeast"/>
              <w:jc w:val="center"/>
              <w:rPr>
                <w:b/>
                <w:sz w:val="18"/>
                <w:szCs w:val="18"/>
              </w:rPr>
            </w:pPr>
            <w:r>
              <w:rPr>
                <w:rFonts w:hint="eastAsia"/>
                <w:sz w:val="18"/>
                <w:szCs w:val="18"/>
              </w:rPr>
              <w:t>折现率的关键参数的确定依据</w:t>
            </w:r>
          </w:p>
        </w:tc>
      </w:tr>
      <w:tr w:rsidR="00577D08" w14:paraId="07E1AA81" w14:textId="77777777">
        <w:trPr>
          <w:jc w:val="center"/>
        </w:trPr>
        <w:tc>
          <w:tcPr>
            <w:tcW w:w="675" w:type="dxa"/>
            <w:vAlign w:val="center"/>
          </w:tcPr>
          <w:p w14:paraId="7725D988" w14:textId="77777777" w:rsidR="00577D08" w:rsidRDefault="00330FC0">
            <w:pPr>
              <w:snapToGrid w:val="0"/>
              <w:spacing w:line="240" w:lineRule="atLeast"/>
              <w:jc w:val="center"/>
              <w:rPr>
                <w:sz w:val="18"/>
                <w:szCs w:val="18"/>
              </w:rPr>
            </w:pPr>
            <w:r>
              <w:rPr>
                <w:rFonts w:hint="eastAsia"/>
                <w:sz w:val="18"/>
                <w:szCs w:val="18"/>
              </w:rPr>
              <w:t>云变电气</w:t>
            </w:r>
          </w:p>
        </w:tc>
        <w:tc>
          <w:tcPr>
            <w:tcW w:w="1418" w:type="dxa"/>
            <w:vAlign w:val="center"/>
          </w:tcPr>
          <w:p w14:paraId="02172FA5" w14:textId="77777777" w:rsidR="00577D08" w:rsidRDefault="00330FC0">
            <w:pPr>
              <w:snapToGrid w:val="0"/>
              <w:spacing w:line="240" w:lineRule="atLeast"/>
              <w:jc w:val="right"/>
              <w:rPr>
                <w:sz w:val="18"/>
                <w:szCs w:val="18"/>
              </w:rPr>
            </w:pPr>
            <w:r>
              <w:rPr>
                <w:sz w:val="18"/>
                <w:szCs w:val="18"/>
              </w:rPr>
              <w:t>542,892,753.00</w:t>
            </w:r>
          </w:p>
        </w:tc>
        <w:tc>
          <w:tcPr>
            <w:tcW w:w="1417" w:type="dxa"/>
            <w:vAlign w:val="center"/>
          </w:tcPr>
          <w:p w14:paraId="4E8B7C85" w14:textId="77777777" w:rsidR="00577D08" w:rsidRDefault="00330FC0">
            <w:pPr>
              <w:snapToGrid w:val="0"/>
              <w:spacing w:line="240" w:lineRule="atLeast"/>
              <w:jc w:val="right"/>
              <w:rPr>
                <w:sz w:val="18"/>
                <w:szCs w:val="18"/>
              </w:rPr>
            </w:pPr>
            <w:r>
              <w:rPr>
                <w:sz w:val="18"/>
                <w:szCs w:val="18"/>
              </w:rPr>
              <w:t xml:space="preserve">576,000,000.00 </w:t>
            </w:r>
          </w:p>
        </w:tc>
        <w:tc>
          <w:tcPr>
            <w:tcW w:w="709" w:type="dxa"/>
          </w:tcPr>
          <w:p w14:paraId="5834E145" w14:textId="77777777" w:rsidR="00577D08" w:rsidRDefault="00577D08">
            <w:pPr>
              <w:snapToGrid w:val="0"/>
              <w:spacing w:line="240" w:lineRule="atLeast"/>
              <w:jc w:val="right"/>
              <w:rPr>
                <w:sz w:val="18"/>
                <w:szCs w:val="18"/>
              </w:rPr>
            </w:pPr>
          </w:p>
        </w:tc>
        <w:tc>
          <w:tcPr>
            <w:tcW w:w="709" w:type="dxa"/>
            <w:vAlign w:val="center"/>
          </w:tcPr>
          <w:p w14:paraId="7FB2F492" w14:textId="77777777" w:rsidR="00577D08" w:rsidRDefault="00330FC0">
            <w:pPr>
              <w:snapToGrid w:val="0"/>
              <w:spacing w:line="240" w:lineRule="atLeast"/>
              <w:jc w:val="center"/>
              <w:rPr>
                <w:sz w:val="18"/>
                <w:szCs w:val="18"/>
              </w:rPr>
            </w:pPr>
            <w:r>
              <w:rPr>
                <w:rFonts w:hint="eastAsia"/>
                <w:sz w:val="18"/>
                <w:szCs w:val="18"/>
              </w:rPr>
              <w:t>5</w:t>
            </w:r>
            <w:r>
              <w:rPr>
                <w:rFonts w:hint="eastAsia"/>
                <w:sz w:val="18"/>
                <w:szCs w:val="18"/>
              </w:rPr>
              <w:t>年</w:t>
            </w:r>
          </w:p>
        </w:tc>
        <w:tc>
          <w:tcPr>
            <w:tcW w:w="1984" w:type="dxa"/>
            <w:vAlign w:val="center"/>
          </w:tcPr>
          <w:p w14:paraId="0F5D8372" w14:textId="77777777" w:rsidR="00577D08" w:rsidRDefault="00330FC0">
            <w:pPr>
              <w:snapToGrid w:val="0"/>
              <w:spacing w:line="240" w:lineRule="atLeast"/>
              <w:jc w:val="both"/>
              <w:rPr>
                <w:sz w:val="18"/>
                <w:szCs w:val="18"/>
              </w:rPr>
            </w:pPr>
            <w:r>
              <w:rPr>
                <w:rFonts w:hint="eastAsia"/>
                <w:sz w:val="18"/>
                <w:szCs w:val="18"/>
              </w:rPr>
              <w:t>2026-2030</w:t>
            </w:r>
            <w:r>
              <w:rPr>
                <w:rFonts w:hint="eastAsia"/>
                <w:sz w:val="18"/>
                <w:szCs w:val="18"/>
              </w:rPr>
              <w:t>年收入增长率为</w:t>
            </w:r>
            <w:r>
              <w:rPr>
                <w:rFonts w:hint="eastAsia"/>
                <w:sz w:val="18"/>
                <w:szCs w:val="18"/>
              </w:rPr>
              <w:t>6.00%</w:t>
            </w:r>
            <w:r>
              <w:rPr>
                <w:rFonts w:hint="eastAsia"/>
                <w:sz w:val="18"/>
                <w:szCs w:val="18"/>
              </w:rPr>
              <w:t>、</w:t>
            </w:r>
            <w:r>
              <w:rPr>
                <w:rFonts w:hint="eastAsia"/>
                <w:sz w:val="18"/>
                <w:szCs w:val="18"/>
              </w:rPr>
              <w:t>5.00%</w:t>
            </w:r>
            <w:r>
              <w:rPr>
                <w:rFonts w:hint="eastAsia"/>
                <w:sz w:val="18"/>
                <w:szCs w:val="18"/>
              </w:rPr>
              <w:t>、</w:t>
            </w:r>
            <w:r>
              <w:rPr>
                <w:rFonts w:hint="eastAsia"/>
                <w:sz w:val="18"/>
                <w:szCs w:val="18"/>
              </w:rPr>
              <w:t>4.00%</w:t>
            </w:r>
            <w:r>
              <w:rPr>
                <w:rFonts w:hint="eastAsia"/>
                <w:sz w:val="18"/>
                <w:szCs w:val="18"/>
              </w:rPr>
              <w:t>、</w:t>
            </w:r>
            <w:r>
              <w:rPr>
                <w:rFonts w:hint="eastAsia"/>
                <w:sz w:val="18"/>
                <w:szCs w:val="18"/>
              </w:rPr>
              <w:t>4.00%</w:t>
            </w:r>
            <w:r>
              <w:rPr>
                <w:rFonts w:hint="eastAsia"/>
                <w:sz w:val="18"/>
                <w:szCs w:val="18"/>
              </w:rPr>
              <w:t>、</w:t>
            </w:r>
            <w:r>
              <w:rPr>
                <w:rFonts w:hint="eastAsia"/>
                <w:sz w:val="18"/>
                <w:szCs w:val="18"/>
              </w:rPr>
              <w:t>3.00%</w:t>
            </w:r>
            <w:r>
              <w:rPr>
                <w:rFonts w:hint="eastAsia"/>
                <w:sz w:val="18"/>
                <w:szCs w:val="18"/>
              </w:rPr>
              <w:t>，</w:t>
            </w:r>
            <w:r>
              <w:rPr>
                <w:rFonts w:hint="eastAsia"/>
                <w:sz w:val="18"/>
                <w:szCs w:val="18"/>
              </w:rPr>
              <w:t>2025</w:t>
            </w:r>
            <w:r>
              <w:rPr>
                <w:rFonts w:hint="eastAsia"/>
                <w:sz w:val="18"/>
                <w:szCs w:val="18"/>
              </w:rPr>
              <w:t>年毛利率为</w:t>
            </w:r>
            <w:r>
              <w:rPr>
                <w:rFonts w:hint="eastAsia"/>
                <w:sz w:val="18"/>
                <w:szCs w:val="18"/>
              </w:rPr>
              <w:t>11.06%</w:t>
            </w:r>
            <w:r>
              <w:rPr>
                <w:rFonts w:hint="eastAsia"/>
                <w:sz w:val="18"/>
                <w:szCs w:val="18"/>
              </w:rPr>
              <w:t>，</w:t>
            </w:r>
            <w:r>
              <w:rPr>
                <w:rFonts w:hint="eastAsia"/>
                <w:sz w:val="18"/>
                <w:szCs w:val="18"/>
              </w:rPr>
              <w:t>2026</w:t>
            </w:r>
            <w:r>
              <w:rPr>
                <w:rFonts w:hint="eastAsia"/>
                <w:sz w:val="18"/>
                <w:szCs w:val="18"/>
              </w:rPr>
              <w:t>年</w:t>
            </w:r>
            <w:r>
              <w:rPr>
                <w:rFonts w:hint="eastAsia"/>
                <w:sz w:val="18"/>
                <w:szCs w:val="18"/>
              </w:rPr>
              <w:t>-2030</w:t>
            </w:r>
            <w:r>
              <w:rPr>
                <w:rFonts w:hint="eastAsia"/>
                <w:sz w:val="18"/>
                <w:szCs w:val="18"/>
              </w:rPr>
              <w:t>年毛利率为</w:t>
            </w:r>
            <w:r>
              <w:rPr>
                <w:rFonts w:hint="eastAsia"/>
                <w:sz w:val="18"/>
                <w:szCs w:val="18"/>
              </w:rPr>
              <w:t>13.37%</w:t>
            </w:r>
            <w:r>
              <w:rPr>
                <w:rFonts w:hint="eastAsia"/>
                <w:sz w:val="18"/>
                <w:szCs w:val="18"/>
              </w:rPr>
              <w:t>、</w:t>
            </w:r>
            <w:r>
              <w:rPr>
                <w:rFonts w:hint="eastAsia"/>
                <w:sz w:val="18"/>
                <w:szCs w:val="18"/>
              </w:rPr>
              <w:t>13.51%</w:t>
            </w:r>
            <w:r>
              <w:rPr>
                <w:rFonts w:hint="eastAsia"/>
                <w:sz w:val="18"/>
                <w:szCs w:val="18"/>
              </w:rPr>
              <w:t>、</w:t>
            </w:r>
            <w:r>
              <w:rPr>
                <w:rFonts w:hint="eastAsia"/>
                <w:sz w:val="18"/>
                <w:szCs w:val="18"/>
              </w:rPr>
              <w:t>13.63%</w:t>
            </w:r>
            <w:r>
              <w:rPr>
                <w:rFonts w:hint="eastAsia"/>
                <w:sz w:val="18"/>
                <w:szCs w:val="18"/>
              </w:rPr>
              <w:t>、</w:t>
            </w:r>
            <w:r>
              <w:rPr>
                <w:rFonts w:hint="eastAsia"/>
                <w:sz w:val="18"/>
                <w:szCs w:val="18"/>
              </w:rPr>
              <w:t>13.72%</w:t>
            </w:r>
            <w:r>
              <w:rPr>
                <w:rFonts w:hint="eastAsia"/>
                <w:sz w:val="18"/>
                <w:szCs w:val="18"/>
              </w:rPr>
              <w:t>、</w:t>
            </w:r>
            <w:r>
              <w:rPr>
                <w:rFonts w:hint="eastAsia"/>
                <w:sz w:val="18"/>
                <w:szCs w:val="18"/>
              </w:rPr>
              <w:t>13.80%</w:t>
            </w:r>
          </w:p>
        </w:tc>
        <w:tc>
          <w:tcPr>
            <w:tcW w:w="1134" w:type="dxa"/>
            <w:vAlign w:val="center"/>
          </w:tcPr>
          <w:p w14:paraId="11887061" w14:textId="77777777" w:rsidR="00577D08" w:rsidRDefault="00330FC0">
            <w:pPr>
              <w:snapToGrid w:val="0"/>
              <w:spacing w:line="240" w:lineRule="atLeast"/>
              <w:jc w:val="both"/>
              <w:rPr>
                <w:sz w:val="18"/>
                <w:szCs w:val="18"/>
              </w:rPr>
            </w:pPr>
            <w:r>
              <w:rPr>
                <w:rFonts w:hint="eastAsia"/>
                <w:sz w:val="18"/>
                <w:szCs w:val="18"/>
              </w:rPr>
              <w:t>根据历史经验及对市场发展的预测确定上述关键数据</w:t>
            </w:r>
          </w:p>
        </w:tc>
        <w:tc>
          <w:tcPr>
            <w:tcW w:w="1276" w:type="dxa"/>
            <w:vAlign w:val="center"/>
          </w:tcPr>
          <w:p w14:paraId="3A4BE30D" w14:textId="77777777" w:rsidR="00577D08" w:rsidRDefault="00330FC0">
            <w:pPr>
              <w:snapToGrid w:val="0"/>
              <w:spacing w:line="240" w:lineRule="atLeast"/>
              <w:jc w:val="both"/>
              <w:rPr>
                <w:sz w:val="18"/>
                <w:szCs w:val="18"/>
              </w:rPr>
            </w:pPr>
            <w:r>
              <w:rPr>
                <w:rFonts w:hint="eastAsia"/>
                <w:sz w:val="18"/>
                <w:szCs w:val="18"/>
              </w:rPr>
              <w:t>稳定期增长率：</w:t>
            </w:r>
            <w:r>
              <w:rPr>
                <w:rFonts w:hint="eastAsia"/>
                <w:sz w:val="18"/>
                <w:szCs w:val="18"/>
              </w:rPr>
              <w:t>0%</w:t>
            </w:r>
          </w:p>
        </w:tc>
        <w:tc>
          <w:tcPr>
            <w:tcW w:w="1559" w:type="dxa"/>
            <w:vAlign w:val="center"/>
          </w:tcPr>
          <w:p w14:paraId="0C522AD7" w14:textId="77777777" w:rsidR="00577D08" w:rsidRDefault="00330FC0">
            <w:pPr>
              <w:snapToGrid w:val="0"/>
              <w:spacing w:line="240" w:lineRule="atLeast"/>
              <w:jc w:val="both"/>
              <w:rPr>
                <w:sz w:val="18"/>
                <w:szCs w:val="18"/>
              </w:rPr>
            </w:pPr>
            <w:r>
              <w:rPr>
                <w:rFonts w:hint="eastAsia"/>
                <w:sz w:val="18"/>
                <w:szCs w:val="18"/>
              </w:rPr>
              <w:t>预测期后收入及成本保持稳定，稳定期毛利率为</w:t>
            </w:r>
            <w:r>
              <w:rPr>
                <w:rFonts w:hint="eastAsia"/>
                <w:sz w:val="18"/>
                <w:szCs w:val="18"/>
              </w:rPr>
              <w:t>14.14%</w:t>
            </w:r>
            <w:r>
              <w:rPr>
                <w:rFonts w:hint="eastAsia"/>
                <w:sz w:val="18"/>
                <w:szCs w:val="18"/>
              </w:rPr>
              <w:t>，预测稳定期收入及毛利率保持稳定。</w:t>
            </w:r>
          </w:p>
        </w:tc>
        <w:tc>
          <w:tcPr>
            <w:tcW w:w="993" w:type="dxa"/>
            <w:vAlign w:val="center"/>
          </w:tcPr>
          <w:p w14:paraId="474227A9" w14:textId="77777777" w:rsidR="00577D08" w:rsidRDefault="00330FC0">
            <w:pPr>
              <w:snapToGrid w:val="0"/>
              <w:spacing w:line="240" w:lineRule="atLeast"/>
              <w:jc w:val="right"/>
              <w:rPr>
                <w:sz w:val="18"/>
                <w:szCs w:val="18"/>
              </w:rPr>
            </w:pPr>
            <w:r>
              <w:rPr>
                <w:sz w:val="18"/>
                <w:szCs w:val="18"/>
              </w:rPr>
              <w:t>10.9338%</w:t>
            </w:r>
          </w:p>
        </w:tc>
        <w:tc>
          <w:tcPr>
            <w:tcW w:w="2215" w:type="dxa"/>
            <w:vAlign w:val="center"/>
          </w:tcPr>
          <w:p w14:paraId="4FF86904" w14:textId="77777777" w:rsidR="00577D08" w:rsidRDefault="00330FC0">
            <w:pPr>
              <w:snapToGrid w:val="0"/>
              <w:spacing w:line="240" w:lineRule="atLeast"/>
              <w:jc w:val="both"/>
              <w:rPr>
                <w:sz w:val="18"/>
                <w:szCs w:val="18"/>
              </w:rPr>
            </w:pPr>
            <w:r>
              <w:rPr>
                <w:rFonts w:hint="eastAsia"/>
                <w:sz w:val="18"/>
                <w:szCs w:val="18"/>
              </w:rPr>
              <w:t>以云变电气的加权平均资本成本为基础经调整后确定，与同行业上市公司相比，综合考虑公司的企业经营规模、市场知名度、竞争优劣势、资产负债情况等，分析确定企业特定风险调整系数。</w:t>
            </w:r>
          </w:p>
        </w:tc>
      </w:tr>
      <w:tr w:rsidR="00577D08" w14:paraId="5BA33C1B" w14:textId="77777777">
        <w:trPr>
          <w:jc w:val="center"/>
        </w:trPr>
        <w:tc>
          <w:tcPr>
            <w:tcW w:w="675" w:type="dxa"/>
            <w:vAlign w:val="center"/>
          </w:tcPr>
          <w:p w14:paraId="7756C77D" w14:textId="77777777" w:rsidR="00577D08" w:rsidRDefault="00330FC0">
            <w:pPr>
              <w:snapToGrid w:val="0"/>
              <w:spacing w:line="240" w:lineRule="atLeast"/>
              <w:jc w:val="center"/>
              <w:rPr>
                <w:sz w:val="18"/>
                <w:szCs w:val="18"/>
              </w:rPr>
            </w:pPr>
            <w:r>
              <w:rPr>
                <w:sz w:val="18"/>
                <w:szCs w:val="18"/>
              </w:rPr>
              <w:t>合计</w:t>
            </w:r>
          </w:p>
        </w:tc>
        <w:tc>
          <w:tcPr>
            <w:tcW w:w="1418" w:type="dxa"/>
            <w:vAlign w:val="center"/>
          </w:tcPr>
          <w:p w14:paraId="57300231" w14:textId="77777777" w:rsidR="00577D08" w:rsidRDefault="00330FC0">
            <w:pPr>
              <w:snapToGrid w:val="0"/>
              <w:spacing w:line="240" w:lineRule="atLeast"/>
              <w:jc w:val="right"/>
              <w:rPr>
                <w:sz w:val="18"/>
                <w:szCs w:val="18"/>
              </w:rPr>
            </w:pPr>
            <w:r>
              <w:rPr>
                <w:sz w:val="18"/>
                <w:szCs w:val="18"/>
              </w:rPr>
              <w:t>542,892,753.00</w:t>
            </w:r>
          </w:p>
        </w:tc>
        <w:tc>
          <w:tcPr>
            <w:tcW w:w="1417" w:type="dxa"/>
            <w:vAlign w:val="center"/>
          </w:tcPr>
          <w:p w14:paraId="67D0EE56" w14:textId="77777777" w:rsidR="00577D08" w:rsidRDefault="00330FC0">
            <w:pPr>
              <w:snapToGrid w:val="0"/>
              <w:spacing w:line="240" w:lineRule="atLeast"/>
              <w:jc w:val="right"/>
              <w:rPr>
                <w:sz w:val="18"/>
                <w:szCs w:val="18"/>
              </w:rPr>
            </w:pPr>
            <w:r>
              <w:rPr>
                <w:sz w:val="18"/>
                <w:szCs w:val="18"/>
              </w:rPr>
              <w:t xml:space="preserve">576,000,000.00 </w:t>
            </w:r>
          </w:p>
        </w:tc>
        <w:tc>
          <w:tcPr>
            <w:tcW w:w="709" w:type="dxa"/>
            <w:vAlign w:val="center"/>
          </w:tcPr>
          <w:p w14:paraId="55543F98" w14:textId="77777777" w:rsidR="00577D08" w:rsidRDefault="00577D08">
            <w:pPr>
              <w:snapToGrid w:val="0"/>
              <w:spacing w:line="240" w:lineRule="atLeast"/>
              <w:jc w:val="right"/>
              <w:rPr>
                <w:sz w:val="18"/>
                <w:szCs w:val="18"/>
              </w:rPr>
            </w:pPr>
          </w:p>
        </w:tc>
        <w:tc>
          <w:tcPr>
            <w:tcW w:w="709" w:type="dxa"/>
            <w:vAlign w:val="center"/>
          </w:tcPr>
          <w:p w14:paraId="1C1888B5" w14:textId="77777777" w:rsidR="00577D08" w:rsidRDefault="00330FC0">
            <w:pPr>
              <w:snapToGrid w:val="0"/>
              <w:spacing w:line="240" w:lineRule="atLeast"/>
              <w:jc w:val="center"/>
              <w:rPr>
                <w:sz w:val="18"/>
                <w:szCs w:val="18"/>
              </w:rPr>
            </w:pPr>
            <w:r>
              <w:rPr>
                <w:sz w:val="18"/>
                <w:szCs w:val="18"/>
              </w:rPr>
              <w:t>/</w:t>
            </w:r>
          </w:p>
        </w:tc>
        <w:tc>
          <w:tcPr>
            <w:tcW w:w="1984" w:type="dxa"/>
            <w:vAlign w:val="center"/>
          </w:tcPr>
          <w:p w14:paraId="74413D1A" w14:textId="77777777" w:rsidR="00577D08" w:rsidRDefault="00330FC0">
            <w:pPr>
              <w:snapToGrid w:val="0"/>
              <w:spacing w:line="240" w:lineRule="atLeast"/>
              <w:jc w:val="center"/>
              <w:rPr>
                <w:sz w:val="18"/>
                <w:szCs w:val="18"/>
              </w:rPr>
            </w:pPr>
            <w:r>
              <w:rPr>
                <w:sz w:val="18"/>
                <w:szCs w:val="18"/>
              </w:rPr>
              <w:t>/</w:t>
            </w:r>
          </w:p>
        </w:tc>
        <w:tc>
          <w:tcPr>
            <w:tcW w:w="1134" w:type="dxa"/>
            <w:vAlign w:val="center"/>
          </w:tcPr>
          <w:p w14:paraId="05D1F4E0" w14:textId="77777777" w:rsidR="00577D08" w:rsidRDefault="00330FC0">
            <w:pPr>
              <w:snapToGrid w:val="0"/>
              <w:spacing w:line="240" w:lineRule="atLeast"/>
              <w:jc w:val="center"/>
              <w:rPr>
                <w:sz w:val="18"/>
                <w:szCs w:val="18"/>
              </w:rPr>
            </w:pPr>
            <w:r>
              <w:rPr>
                <w:sz w:val="18"/>
                <w:szCs w:val="18"/>
              </w:rPr>
              <w:t>/</w:t>
            </w:r>
          </w:p>
        </w:tc>
        <w:tc>
          <w:tcPr>
            <w:tcW w:w="1276" w:type="dxa"/>
            <w:vAlign w:val="center"/>
          </w:tcPr>
          <w:p w14:paraId="62ABF48A" w14:textId="77777777" w:rsidR="00577D08" w:rsidRDefault="00330FC0">
            <w:pPr>
              <w:snapToGrid w:val="0"/>
              <w:spacing w:line="240" w:lineRule="atLeast"/>
              <w:jc w:val="center"/>
              <w:rPr>
                <w:sz w:val="18"/>
                <w:szCs w:val="18"/>
              </w:rPr>
            </w:pPr>
            <w:r>
              <w:rPr>
                <w:sz w:val="18"/>
                <w:szCs w:val="18"/>
              </w:rPr>
              <w:t>/</w:t>
            </w:r>
          </w:p>
        </w:tc>
        <w:tc>
          <w:tcPr>
            <w:tcW w:w="1559" w:type="dxa"/>
            <w:vAlign w:val="center"/>
          </w:tcPr>
          <w:p w14:paraId="79D130B0" w14:textId="77777777" w:rsidR="00577D08" w:rsidRDefault="00330FC0">
            <w:pPr>
              <w:snapToGrid w:val="0"/>
              <w:spacing w:line="240" w:lineRule="atLeast"/>
              <w:jc w:val="center"/>
              <w:rPr>
                <w:sz w:val="18"/>
                <w:szCs w:val="18"/>
              </w:rPr>
            </w:pPr>
            <w:r>
              <w:rPr>
                <w:sz w:val="18"/>
                <w:szCs w:val="18"/>
              </w:rPr>
              <w:t>/</w:t>
            </w:r>
          </w:p>
        </w:tc>
        <w:tc>
          <w:tcPr>
            <w:tcW w:w="993" w:type="dxa"/>
            <w:vAlign w:val="center"/>
          </w:tcPr>
          <w:p w14:paraId="6945D8FB" w14:textId="77777777" w:rsidR="00577D08" w:rsidRDefault="00577D08">
            <w:pPr>
              <w:snapToGrid w:val="0"/>
              <w:spacing w:line="240" w:lineRule="atLeast"/>
              <w:jc w:val="center"/>
              <w:rPr>
                <w:sz w:val="18"/>
                <w:szCs w:val="18"/>
              </w:rPr>
            </w:pPr>
          </w:p>
        </w:tc>
        <w:tc>
          <w:tcPr>
            <w:tcW w:w="2215" w:type="dxa"/>
            <w:vAlign w:val="center"/>
          </w:tcPr>
          <w:p w14:paraId="37A1F791" w14:textId="77777777" w:rsidR="00577D08" w:rsidRDefault="00577D08">
            <w:pPr>
              <w:snapToGrid w:val="0"/>
              <w:spacing w:line="240" w:lineRule="atLeast"/>
              <w:jc w:val="center"/>
              <w:rPr>
                <w:sz w:val="18"/>
                <w:szCs w:val="18"/>
              </w:rPr>
            </w:pPr>
          </w:p>
        </w:tc>
      </w:tr>
    </w:tbl>
    <w:p w14:paraId="2045CE1F" w14:textId="77777777" w:rsidR="00577D08" w:rsidRDefault="00330FC0">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6fedd0cb22e642148a39712dafed8ab2"/>
        <w:id w:val="-622452157"/>
        <w:placeholder>
          <w:docPart w:val="GBC22222222222222222222222222222"/>
        </w:placeholder>
      </w:sdtPr>
      <w:sdtContent>
        <w:p w14:paraId="31014DD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13C4AA" w14:textId="77777777" w:rsidR="00577D08" w:rsidRDefault="00330FC0">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18d33f86a7b9452d90cad7f084f6d59d"/>
        <w:id w:val="898173227"/>
        <w:placeholder>
          <w:docPart w:val="GBC22222222222222222222222222222"/>
        </w:placeholder>
      </w:sdtPr>
      <w:sdtContent>
        <w:p w14:paraId="036C70E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233D170" w14:textId="77777777" w:rsidR="00577D08" w:rsidRDefault="00330FC0">
      <w:pPr>
        <w:pStyle w:val="4"/>
        <w:numPr>
          <w:ilvl w:val="3"/>
          <w:numId w:val="83"/>
        </w:numPr>
        <w:ind w:left="426" w:hanging="426"/>
        <w:rPr>
          <w:rFonts w:ascii="宋体" w:eastAsia="宋体" w:hAnsi="宋体" w:cs="宋体" w:hint="eastAsia"/>
          <w:kern w:val="0"/>
          <w:szCs w:val="24"/>
        </w:rPr>
      </w:pPr>
      <w:bookmarkStart w:id="418" w:name="_Hlk153463443"/>
      <w:bookmarkEnd w:id="417"/>
      <w:r>
        <w:rPr>
          <w:rFonts w:ascii="宋体" w:eastAsia="宋体" w:hAnsi="宋体" w:cs="宋体" w:hint="eastAsia"/>
          <w:kern w:val="0"/>
          <w:szCs w:val="24"/>
        </w:rPr>
        <w:t>业绩承诺及对应商誉减值情况</w:t>
      </w:r>
    </w:p>
    <w:p w14:paraId="48F6A422" w14:textId="77777777" w:rsidR="00577D08" w:rsidRDefault="00330FC0">
      <w:r>
        <w:rPr>
          <w:rFonts w:hint="eastAsia"/>
        </w:rPr>
        <w:t>形成商誉时存在业绩承诺且报告期或报告期上一期间处于业绩承诺期内</w:t>
      </w:r>
    </w:p>
    <w:sdt>
      <w:sdtPr>
        <w:alias w:val="是否适用：业绩承诺完成及对应商誉减值情况[双击切换]"/>
        <w:tag w:val="_GBC_95d9b287a7584eabae736c33b656195c"/>
        <w:id w:val="1184867257"/>
        <w:placeholder>
          <w:docPart w:val="GBC22222222222222222222222222222"/>
        </w:placeholder>
      </w:sdtPr>
      <w:sdtContent>
        <w:p w14:paraId="39037C4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18"/>
    <w:p w14:paraId="55C4688B" w14:textId="77777777" w:rsidR="00577D08" w:rsidRDefault="00330FC0">
      <w:r>
        <w:rPr>
          <w:rFonts w:hint="eastAsia"/>
        </w:rPr>
        <w:t>其他说明：</w:t>
      </w:r>
    </w:p>
    <w:sdt>
      <w:sdtPr>
        <w:alias w:val="是否适用：商誉其他需要说明的事项[双击切换]"/>
        <w:tag w:val="_GBC_99f8ebd0cb464294bea4051ad19cf581"/>
        <w:id w:val="1364946633"/>
        <w:placeholder>
          <w:docPart w:val="GBC22222222222222222222222222222"/>
        </w:placeholder>
      </w:sdtPr>
      <w:sdtContent>
        <w:p w14:paraId="6AEB7CC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1EC7CA" w14:textId="77777777" w:rsidR="00577D08" w:rsidRDefault="00577D08">
      <w:pPr>
        <w:snapToGrid w:val="0"/>
        <w:spacing w:line="240" w:lineRule="atLeast"/>
        <w:rPr>
          <w:rFonts w:cstheme="minorBidi"/>
          <w:kern w:val="2"/>
        </w:rPr>
      </w:pPr>
    </w:p>
    <w:p w14:paraId="22E386FF" w14:textId="77777777" w:rsidR="00577D08" w:rsidRDefault="00577D08">
      <w:pPr>
        <w:snapToGrid w:val="0"/>
        <w:spacing w:line="240" w:lineRule="atLeast"/>
        <w:rPr>
          <w:rFonts w:cstheme="minorBidi"/>
          <w:kern w:val="2"/>
        </w:rPr>
        <w:sectPr w:rsidR="00577D08">
          <w:pgSz w:w="16838" w:h="11906" w:orient="landscape"/>
          <w:pgMar w:top="1276" w:right="1440" w:bottom="1797" w:left="1525" w:header="856" w:footer="992" w:gutter="0"/>
          <w:cols w:space="425"/>
          <w:docGrid w:linePitch="312"/>
        </w:sectPr>
      </w:pPr>
    </w:p>
    <w:p w14:paraId="0DBEACB9"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lastRenderedPageBreak/>
        <w:t>长期待摊费用</w:t>
      </w:r>
    </w:p>
    <w:sdt>
      <w:sdtPr>
        <w:alias w:val="是否适用：长期待摊费用[双击切换]"/>
        <w:tag w:val="_GBC_cbcb541b65cd4be6b93f357c0fdd9f09"/>
        <w:id w:val="-1810239571"/>
        <w:placeholder>
          <w:docPart w:val="GBC22222222222222222222222222222"/>
        </w:placeholder>
      </w:sdtPr>
      <w:sdtContent>
        <w:p w14:paraId="66F4DEA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B0E2493" w14:textId="17EAF820" w:rsidR="00577D08" w:rsidRDefault="00330FC0">
      <w:pPr>
        <w:jc w:val="right"/>
      </w:pPr>
      <w:r>
        <w:rPr>
          <w:rFonts w:hint="eastAsia"/>
        </w:rPr>
        <w:t>单位：</w:t>
      </w:r>
      <w:sdt>
        <w:sdtPr>
          <w:rPr>
            <w:rFonts w:hint="eastAsia"/>
          </w:rPr>
          <w:alias w:val="单位：财务附注：长期待摊费用"/>
          <w:tag w:val="_GBC_bcda40ca2da04d5da4a9e3293430f9ac"/>
          <w:id w:val="9617672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长期待摊费用"/>
          <w:tag w:val="_GBC_45bcea706579408d8f2a7cd4ab5ef115"/>
          <w:id w:val="-737478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1447"/>
        <w:gridCol w:w="1496"/>
        <w:gridCol w:w="1496"/>
        <w:gridCol w:w="1496"/>
        <w:gridCol w:w="1520"/>
        <w:gridCol w:w="1590"/>
      </w:tblGrid>
      <w:tr w:rsidR="00577D08" w14:paraId="2AE7C9C7" w14:textId="77777777">
        <w:sdt>
          <w:sdtPr>
            <w:tag w:val="_PLD_d70e367624f544f28430d4fa9dc10540"/>
            <w:id w:val="815298358"/>
          </w:sdtPr>
          <w:sdtContent>
            <w:tc>
              <w:tcPr>
                <w:tcW w:w="1447" w:type="dxa"/>
                <w:vAlign w:val="center"/>
              </w:tcPr>
              <w:p w14:paraId="489E03ED" w14:textId="77777777" w:rsidR="00577D08" w:rsidRDefault="00330FC0">
                <w:pPr>
                  <w:jc w:val="center"/>
                </w:pPr>
                <w:r>
                  <w:rPr>
                    <w:rFonts w:hint="eastAsia"/>
                  </w:rPr>
                  <w:t>项目</w:t>
                </w:r>
              </w:p>
            </w:tc>
          </w:sdtContent>
        </w:sdt>
        <w:sdt>
          <w:sdtPr>
            <w:tag w:val="_PLD_e9e93178bf6e4ae6b25e934d80cadf90"/>
            <w:id w:val="-1570410450"/>
          </w:sdtPr>
          <w:sdtContent>
            <w:tc>
              <w:tcPr>
                <w:tcW w:w="1496" w:type="dxa"/>
                <w:vAlign w:val="center"/>
              </w:tcPr>
              <w:p w14:paraId="710983D8" w14:textId="77777777" w:rsidR="00577D08" w:rsidRDefault="00330FC0">
                <w:pPr>
                  <w:jc w:val="center"/>
                </w:pPr>
                <w:r>
                  <w:rPr>
                    <w:rFonts w:hint="eastAsia"/>
                  </w:rPr>
                  <w:t>期初余额</w:t>
                </w:r>
              </w:p>
            </w:tc>
          </w:sdtContent>
        </w:sdt>
        <w:sdt>
          <w:sdtPr>
            <w:tag w:val="_PLD_b0304019406b49bba87fd5d26e9e77a3"/>
            <w:id w:val="-572738436"/>
          </w:sdtPr>
          <w:sdtContent>
            <w:tc>
              <w:tcPr>
                <w:tcW w:w="1496" w:type="dxa"/>
                <w:vAlign w:val="center"/>
              </w:tcPr>
              <w:p w14:paraId="1513F320" w14:textId="77777777" w:rsidR="00577D08" w:rsidRDefault="00330FC0">
                <w:pPr>
                  <w:jc w:val="center"/>
                </w:pPr>
                <w:r>
                  <w:rPr>
                    <w:rFonts w:hint="eastAsia"/>
                  </w:rPr>
                  <w:t>本期增加金额</w:t>
                </w:r>
              </w:p>
            </w:tc>
          </w:sdtContent>
        </w:sdt>
        <w:sdt>
          <w:sdtPr>
            <w:tag w:val="_PLD_e1350bea96cf4f45a6200cab08f11722"/>
            <w:id w:val="1439329500"/>
          </w:sdtPr>
          <w:sdtContent>
            <w:tc>
              <w:tcPr>
                <w:tcW w:w="1496" w:type="dxa"/>
                <w:vAlign w:val="center"/>
              </w:tcPr>
              <w:p w14:paraId="3962DDA1" w14:textId="77777777" w:rsidR="00577D08" w:rsidRDefault="00330FC0">
                <w:pPr>
                  <w:jc w:val="center"/>
                </w:pPr>
                <w:r>
                  <w:rPr>
                    <w:rFonts w:hint="eastAsia"/>
                  </w:rPr>
                  <w:t>本期摊销金额</w:t>
                </w:r>
              </w:p>
            </w:tc>
          </w:sdtContent>
        </w:sdt>
        <w:sdt>
          <w:sdtPr>
            <w:tag w:val="_PLD_dd7c0d5ab3334691b3e0047d34ecb634"/>
            <w:id w:val="-1909141609"/>
          </w:sdtPr>
          <w:sdtContent>
            <w:tc>
              <w:tcPr>
                <w:tcW w:w="1520" w:type="dxa"/>
                <w:vAlign w:val="center"/>
              </w:tcPr>
              <w:p w14:paraId="20DD3C83" w14:textId="77777777" w:rsidR="00577D08" w:rsidRDefault="00330FC0">
                <w:pPr>
                  <w:jc w:val="center"/>
                </w:pPr>
                <w:r>
                  <w:rPr>
                    <w:rFonts w:hint="eastAsia"/>
                  </w:rPr>
                  <w:t>其他减少金额</w:t>
                </w:r>
              </w:p>
            </w:tc>
          </w:sdtContent>
        </w:sdt>
        <w:sdt>
          <w:sdtPr>
            <w:tag w:val="_PLD_3ab32d124e7942f1b1f82c0287c9220f"/>
            <w:id w:val="817533085"/>
          </w:sdtPr>
          <w:sdtContent>
            <w:tc>
              <w:tcPr>
                <w:tcW w:w="1590" w:type="dxa"/>
                <w:vAlign w:val="center"/>
              </w:tcPr>
              <w:p w14:paraId="62672AF4" w14:textId="77777777" w:rsidR="00577D08" w:rsidRDefault="00330FC0">
                <w:pPr>
                  <w:jc w:val="center"/>
                </w:pPr>
                <w:r>
                  <w:rPr>
                    <w:rFonts w:hint="eastAsia"/>
                  </w:rPr>
                  <w:t>期末余额</w:t>
                </w:r>
              </w:p>
            </w:tc>
          </w:sdtContent>
        </w:sdt>
      </w:tr>
      <w:tr w:rsidR="00577D08" w14:paraId="729C656D" w14:textId="77777777">
        <w:tc>
          <w:tcPr>
            <w:tcW w:w="1447" w:type="dxa"/>
          </w:tcPr>
          <w:p w14:paraId="1934A9CB" w14:textId="77777777" w:rsidR="00577D08" w:rsidRDefault="00330FC0">
            <w:r>
              <w:rPr>
                <w:rFonts w:hint="eastAsia"/>
              </w:rPr>
              <w:t>装修费</w:t>
            </w:r>
          </w:p>
        </w:tc>
        <w:tc>
          <w:tcPr>
            <w:tcW w:w="1496" w:type="dxa"/>
          </w:tcPr>
          <w:p w14:paraId="146283B3" w14:textId="77777777" w:rsidR="00577D08" w:rsidRDefault="00330FC0">
            <w:pPr>
              <w:jc w:val="right"/>
            </w:pPr>
            <w:r>
              <w:t>961,788.88</w:t>
            </w:r>
          </w:p>
        </w:tc>
        <w:tc>
          <w:tcPr>
            <w:tcW w:w="1496" w:type="dxa"/>
          </w:tcPr>
          <w:p w14:paraId="22633149" w14:textId="77777777" w:rsidR="00577D08" w:rsidRDefault="00577D08">
            <w:pPr>
              <w:jc w:val="right"/>
            </w:pPr>
          </w:p>
        </w:tc>
        <w:tc>
          <w:tcPr>
            <w:tcW w:w="1496" w:type="dxa"/>
          </w:tcPr>
          <w:p w14:paraId="52668D64" w14:textId="77777777" w:rsidR="00577D08" w:rsidRDefault="00330FC0">
            <w:pPr>
              <w:jc w:val="right"/>
            </w:pPr>
            <w:r>
              <w:t>528,311.98</w:t>
            </w:r>
          </w:p>
        </w:tc>
        <w:tc>
          <w:tcPr>
            <w:tcW w:w="1520" w:type="dxa"/>
          </w:tcPr>
          <w:p w14:paraId="434B274B" w14:textId="77777777" w:rsidR="00577D08" w:rsidRDefault="00577D08">
            <w:pPr>
              <w:jc w:val="right"/>
            </w:pPr>
          </w:p>
        </w:tc>
        <w:tc>
          <w:tcPr>
            <w:tcW w:w="1590" w:type="dxa"/>
          </w:tcPr>
          <w:p w14:paraId="352F4CA7" w14:textId="77777777" w:rsidR="00577D08" w:rsidRDefault="00330FC0">
            <w:pPr>
              <w:jc w:val="right"/>
            </w:pPr>
            <w:r>
              <w:t>433,476.90</w:t>
            </w:r>
          </w:p>
        </w:tc>
      </w:tr>
      <w:tr w:rsidR="00577D08" w14:paraId="66C3D2EF" w14:textId="77777777">
        <w:tc>
          <w:tcPr>
            <w:tcW w:w="1447" w:type="dxa"/>
          </w:tcPr>
          <w:p w14:paraId="74EC00BA" w14:textId="77777777" w:rsidR="00577D08" w:rsidRDefault="00330FC0">
            <w:r>
              <w:rPr>
                <w:rFonts w:hint="eastAsia"/>
              </w:rPr>
              <w:t>其他</w:t>
            </w:r>
          </w:p>
        </w:tc>
        <w:tc>
          <w:tcPr>
            <w:tcW w:w="1496" w:type="dxa"/>
          </w:tcPr>
          <w:p w14:paraId="1CE4E2C6" w14:textId="77777777" w:rsidR="00577D08" w:rsidRDefault="00330FC0">
            <w:pPr>
              <w:jc w:val="right"/>
            </w:pPr>
            <w:r>
              <w:t>2,252,690.35</w:t>
            </w:r>
          </w:p>
        </w:tc>
        <w:tc>
          <w:tcPr>
            <w:tcW w:w="1496" w:type="dxa"/>
          </w:tcPr>
          <w:p w14:paraId="13DC7B82" w14:textId="77777777" w:rsidR="00577D08" w:rsidRDefault="00577D08">
            <w:pPr>
              <w:jc w:val="right"/>
            </w:pPr>
          </w:p>
        </w:tc>
        <w:tc>
          <w:tcPr>
            <w:tcW w:w="1496" w:type="dxa"/>
          </w:tcPr>
          <w:p w14:paraId="0C7AD8D6" w14:textId="77777777" w:rsidR="00577D08" w:rsidRDefault="00330FC0">
            <w:pPr>
              <w:jc w:val="right"/>
            </w:pPr>
            <w:r>
              <w:t>613,580.83</w:t>
            </w:r>
          </w:p>
        </w:tc>
        <w:tc>
          <w:tcPr>
            <w:tcW w:w="1520" w:type="dxa"/>
          </w:tcPr>
          <w:p w14:paraId="5FDD3C78" w14:textId="77777777" w:rsidR="00577D08" w:rsidRDefault="00577D08">
            <w:pPr>
              <w:jc w:val="right"/>
            </w:pPr>
          </w:p>
        </w:tc>
        <w:tc>
          <w:tcPr>
            <w:tcW w:w="1590" w:type="dxa"/>
          </w:tcPr>
          <w:p w14:paraId="4565A04F" w14:textId="77777777" w:rsidR="00577D08" w:rsidRDefault="00330FC0">
            <w:pPr>
              <w:jc w:val="right"/>
            </w:pPr>
            <w:r>
              <w:t>1,639,109.52</w:t>
            </w:r>
          </w:p>
        </w:tc>
      </w:tr>
      <w:tr w:rsidR="00577D08" w14:paraId="30912375" w14:textId="77777777">
        <w:tc>
          <w:tcPr>
            <w:tcW w:w="1447" w:type="dxa"/>
            <w:vAlign w:val="center"/>
          </w:tcPr>
          <w:p w14:paraId="01800BAC" w14:textId="77777777" w:rsidR="00577D08" w:rsidRDefault="00330FC0">
            <w:pPr>
              <w:jc w:val="center"/>
            </w:pPr>
            <w:r>
              <w:rPr>
                <w:rFonts w:hint="eastAsia"/>
              </w:rPr>
              <w:t>合计</w:t>
            </w:r>
          </w:p>
        </w:tc>
        <w:tc>
          <w:tcPr>
            <w:tcW w:w="1496" w:type="dxa"/>
          </w:tcPr>
          <w:p w14:paraId="284C67BA" w14:textId="77777777" w:rsidR="00577D08" w:rsidRDefault="00330FC0">
            <w:pPr>
              <w:jc w:val="right"/>
            </w:pPr>
            <w:r>
              <w:t>3,214,479.23</w:t>
            </w:r>
          </w:p>
        </w:tc>
        <w:tc>
          <w:tcPr>
            <w:tcW w:w="1496" w:type="dxa"/>
          </w:tcPr>
          <w:p w14:paraId="163424CA" w14:textId="77777777" w:rsidR="00577D08" w:rsidRDefault="00577D08">
            <w:pPr>
              <w:jc w:val="right"/>
            </w:pPr>
          </w:p>
        </w:tc>
        <w:tc>
          <w:tcPr>
            <w:tcW w:w="1496" w:type="dxa"/>
          </w:tcPr>
          <w:p w14:paraId="69740CAB" w14:textId="77777777" w:rsidR="00577D08" w:rsidRDefault="00330FC0">
            <w:pPr>
              <w:jc w:val="right"/>
            </w:pPr>
            <w:r>
              <w:t>1,141,892.81</w:t>
            </w:r>
          </w:p>
        </w:tc>
        <w:tc>
          <w:tcPr>
            <w:tcW w:w="1520" w:type="dxa"/>
          </w:tcPr>
          <w:p w14:paraId="2416F5EB" w14:textId="77777777" w:rsidR="00577D08" w:rsidRDefault="00577D08">
            <w:pPr>
              <w:jc w:val="right"/>
            </w:pPr>
          </w:p>
        </w:tc>
        <w:tc>
          <w:tcPr>
            <w:tcW w:w="1590" w:type="dxa"/>
          </w:tcPr>
          <w:p w14:paraId="1FE508D9" w14:textId="77777777" w:rsidR="00577D08" w:rsidRDefault="00330FC0">
            <w:pPr>
              <w:jc w:val="right"/>
            </w:pPr>
            <w:r>
              <w:t>2,072,586.42</w:t>
            </w:r>
          </w:p>
        </w:tc>
      </w:tr>
    </w:tbl>
    <w:p w14:paraId="4B0A02F0" w14:textId="77777777" w:rsidR="00577D08" w:rsidRDefault="00330FC0">
      <w:r>
        <w:rPr>
          <w:rFonts w:hint="eastAsia"/>
        </w:rPr>
        <w:t>其他说明：</w:t>
      </w:r>
    </w:p>
    <w:sdt>
      <w:sdtPr>
        <w:alias w:val="长期待摊费用的说明"/>
        <w:tag w:val="_GBC_c30bd5dcf50e4808a29b1b204a96f4c2"/>
        <w:id w:val="1011883878"/>
        <w:placeholder>
          <w:docPart w:val="GBC22222222222222222222222222222"/>
        </w:placeholder>
      </w:sdtPr>
      <w:sdtContent>
        <w:p w14:paraId="5A1F9D4F" w14:textId="77777777" w:rsidR="00577D08" w:rsidRDefault="00330FC0">
          <w:r>
            <w:rPr>
              <w:rFonts w:hint="eastAsia"/>
            </w:rPr>
            <w:t>无</w:t>
          </w:r>
        </w:p>
      </w:sdtContent>
    </w:sdt>
    <w:p w14:paraId="09E2BDAA"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递延所得税资产/递延所得税负债</w:t>
      </w:r>
    </w:p>
    <w:p w14:paraId="5A92CDB1" w14:textId="77777777" w:rsidR="00577D08" w:rsidRDefault="00330FC0">
      <w:pPr>
        <w:pStyle w:val="4"/>
        <w:numPr>
          <w:ilvl w:val="0"/>
          <w:numId w:val="84"/>
        </w:numPr>
        <w:ind w:left="426" w:hanging="426"/>
        <w:rPr>
          <w:rFonts w:hint="eastAsia"/>
        </w:rPr>
      </w:pPr>
      <w:bookmarkStart w:id="419" w:name="_Toc215903151"/>
      <w:bookmarkStart w:id="420" w:name="_Hlk24103450"/>
      <w:r>
        <w:rPr>
          <w:rFonts w:hint="eastAsia"/>
        </w:rPr>
        <w:t>未经抵销的递延所得税资产</w:t>
      </w:r>
    </w:p>
    <w:sdt>
      <w:sdtPr>
        <w:alias w:val="是否适用：未经抵销的递延所得税资产[双击切换]"/>
        <w:tag w:val="_GBC_ba4415ee4af24efe852073192d94c115"/>
        <w:id w:val="-760835315"/>
        <w:placeholder>
          <w:docPart w:val="GBC22222222222222222222222222222"/>
        </w:placeholder>
      </w:sdtPr>
      <w:sdtContent>
        <w:p w14:paraId="4CE9DC3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2B1E673" w14:textId="06F4C92E" w:rsidR="00577D08" w:rsidRDefault="00330FC0">
      <w:pPr>
        <w:jc w:val="right"/>
      </w:pPr>
      <w:r>
        <w:rPr>
          <w:rFonts w:hint="eastAsia"/>
        </w:rPr>
        <w:t>单位：</w:t>
      </w:r>
      <w:sdt>
        <w:sdtPr>
          <w:rPr>
            <w:rFonts w:hint="eastAsia"/>
          </w:rPr>
          <w:alias w:val="单位：财务附注：已确认的递延所得税资产和递延所得税负债"/>
          <w:tag w:val="_GBC_39a9c92575cb4f1c9a029fb2f64168e5"/>
          <w:id w:val="-13704464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bookmarkEnd w:id="419"/>
      <w:sdt>
        <w:sdtPr>
          <w:rPr>
            <w:rFonts w:hint="eastAsia"/>
          </w:rPr>
          <w:alias w:val="币种：财务附注：已确认的递延所得税资产和递延所得税负债"/>
          <w:tag w:val="_GBC_33d1ac52f1ce463294fce1044445d46f"/>
          <w:id w:val="-1115139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1650"/>
        <w:gridCol w:w="1648"/>
        <w:gridCol w:w="1663"/>
        <w:gridCol w:w="1646"/>
      </w:tblGrid>
      <w:tr w:rsidR="00577D08" w14:paraId="20292280" w14:textId="77777777">
        <w:trPr>
          <w:trHeight w:val="285"/>
        </w:trPr>
        <w:sdt>
          <w:sdtPr>
            <w:tag w:val="_PLD_e006c9e7b70844cd8ef6f2cbb5161589"/>
            <w:id w:val="-1748558114"/>
          </w:sdtPr>
          <w:sdtContent>
            <w:tc>
              <w:tcPr>
                <w:tcW w:w="2443" w:type="dxa"/>
                <w:vMerge w:val="restart"/>
                <w:vAlign w:val="center"/>
              </w:tcPr>
              <w:p w14:paraId="3DE293A8" w14:textId="77777777" w:rsidR="00577D08" w:rsidRDefault="00330FC0">
                <w:pPr>
                  <w:jc w:val="center"/>
                </w:pPr>
                <w:r>
                  <w:rPr>
                    <w:rFonts w:hint="eastAsia"/>
                  </w:rPr>
                  <w:t>项目</w:t>
                </w:r>
              </w:p>
            </w:tc>
          </w:sdtContent>
        </w:sdt>
        <w:sdt>
          <w:sdtPr>
            <w:tag w:val="_PLD_9380d941020241f39819205f4df8c355"/>
            <w:id w:val="1800803325"/>
          </w:sdtPr>
          <w:sdtContent>
            <w:tc>
              <w:tcPr>
                <w:tcW w:w="3298" w:type="dxa"/>
                <w:gridSpan w:val="2"/>
                <w:vAlign w:val="center"/>
              </w:tcPr>
              <w:p w14:paraId="3847719E" w14:textId="77777777" w:rsidR="00577D08" w:rsidRDefault="00330FC0">
                <w:pPr>
                  <w:jc w:val="center"/>
                </w:pPr>
                <w:r>
                  <w:rPr>
                    <w:rFonts w:hint="eastAsia"/>
                  </w:rPr>
                  <w:t>期末余额</w:t>
                </w:r>
              </w:p>
            </w:tc>
          </w:sdtContent>
        </w:sdt>
        <w:sdt>
          <w:sdtPr>
            <w:tag w:val="_PLD_40d587838e534f37a8f9a9e7e2020671"/>
            <w:id w:val="783534963"/>
          </w:sdtPr>
          <w:sdtContent>
            <w:tc>
              <w:tcPr>
                <w:tcW w:w="3309" w:type="dxa"/>
                <w:gridSpan w:val="2"/>
                <w:vAlign w:val="center"/>
              </w:tcPr>
              <w:p w14:paraId="27DE8F38" w14:textId="77777777" w:rsidR="00577D08" w:rsidRDefault="00330FC0">
                <w:pPr>
                  <w:jc w:val="center"/>
                </w:pPr>
                <w:r>
                  <w:rPr>
                    <w:rFonts w:hint="eastAsia"/>
                  </w:rPr>
                  <w:t>期初余额</w:t>
                </w:r>
              </w:p>
            </w:tc>
          </w:sdtContent>
        </w:sdt>
      </w:tr>
      <w:tr w:rsidR="00577D08" w14:paraId="0CA96A9D" w14:textId="77777777">
        <w:trPr>
          <w:trHeight w:val="285"/>
        </w:trPr>
        <w:tc>
          <w:tcPr>
            <w:tcW w:w="2443" w:type="dxa"/>
            <w:vMerge/>
            <w:vAlign w:val="center"/>
          </w:tcPr>
          <w:p w14:paraId="651D4318" w14:textId="77777777" w:rsidR="00577D08" w:rsidRDefault="00577D08">
            <w:pPr>
              <w:jc w:val="center"/>
              <w:rPr>
                <w:b/>
              </w:rPr>
            </w:pPr>
          </w:p>
        </w:tc>
        <w:sdt>
          <w:sdtPr>
            <w:tag w:val="_PLD_c239006a5e6040d58bedd94ab36e9784"/>
            <w:id w:val="1823311144"/>
          </w:sdtPr>
          <w:sdtContent>
            <w:tc>
              <w:tcPr>
                <w:tcW w:w="1650" w:type="dxa"/>
                <w:vAlign w:val="center"/>
              </w:tcPr>
              <w:p w14:paraId="2EA3CB35" w14:textId="77777777" w:rsidR="00577D08" w:rsidRDefault="00330FC0">
                <w:pPr>
                  <w:jc w:val="center"/>
                </w:pPr>
                <w:r>
                  <w:rPr>
                    <w:rFonts w:hint="eastAsia"/>
                  </w:rPr>
                  <w:t>可抵扣暂时性差异</w:t>
                </w:r>
              </w:p>
            </w:tc>
          </w:sdtContent>
        </w:sdt>
        <w:sdt>
          <w:sdtPr>
            <w:tag w:val="_PLD_1559717fc58743e19a1e868ac528fbc0"/>
            <w:id w:val="-1106729036"/>
          </w:sdtPr>
          <w:sdtContent>
            <w:tc>
              <w:tcPr>
                <w:tcW w:w="1648" w:type="dxa"/>
                <w:vAlign w:val="center"/>
              </w:tcPr>
              <w:p w14:paraId="5CB781C6" w14:textId="77777777" w:rsidR="00577D08" w:rsidRDefault="00330FC0">
                <w:pPr>
                  <w:jc w:val="center"/>
                </w:pPr>
                <w:r>
                  <w:rPr>
                    <w:rFonts w:hint="eastAsia"/>
                  </w:rPr>
                  <w:t>递延所得税</w:t>
                </w:r>
              </w:p>
              <w:p w14:paraId="06FA7AC0" w14:textId="77777777" w:rsidR="00577D08" w:rsidRDefault="00330FC0">
                <w:pPr>
                  <w:jc w:val="center"/>
                </w:pPr>
                <w:r>
                  <w:rPr>
                    <w:rFonts w:hint="eastAsia"/>
                  </w:rPr>
                  <w:t>资产</w:t>
                </w:r>
              </w:p>
            </w:tc>
          </w:sdtContent>
        </w:sdt>
        <w:sdt>
          <w:sdtPr>
            <w:tag w:val="_PLD_de171afb73ff474dbccc47c2cec6d4f1"/>
            <w:id w:val="-143672126"/>
          </w:sdtPr>
          <w:sdtContent>
            <w:tc>
              <w:tcPr>
                <w:tcW w:w="1663" w:type="dxa"/>
                <w:vAlign w:val="center"/>
              </w:tcPr>
              <w:p w14:paraId="5243C7DA" w14:textId="77777777" w:rsidR="00577D08" w:rsidRDefault="00330FC0">
                <w:pPr>
                  <w:jc w:val="center"/>
                </w:pPr>
                <w:r>
                  <w:rPr>
                    <w:rFonts w:hint="eastAsia"/>
                  </w:rPr>
                  <w:t>可抵扣暂时性差异</w:t>
                </w:r>
              </w:p>
            </w:tc>
          </w:sdtContent>
        </w:sdt>
        <w:sdt>
          <w:sdtPr>
            <w:tag w:val="_PLD_bafc90864e7347e5bb50ec31a5dffe05"/>
            <w:id w:val="-1180042757"/>
          </w:sdtPr>
          <w:sdtContent>
            <w:tc>
              <w:tcPr>
                <w:tcW w:w="1646" w:type="dxa"/>
                <w:vAlign w:val="center"/>
              </w:tcPr>
              <w:p w14:paraId="0D56E791" w14:textId="77777777" w:rsidR="00577D08" w:rsidRDefault="00330FC0">
                <w:pPr>
                  <w:jc w:val="center"/>
                </w:pPr>
                <w:r>
                  <w:rPr>
                    <w:rFonts w:hint="eastAsia"/>
                  </w:rPr>
                  <w:t>递延所得税</w:t>
                </w:r>
              </w:p>
              <w:p w14:paraId="59FE5255" w14:textId="77777777" w:rsidR="00577D08" w:rsidRDefault="00330FC0">
                <w:pPr>
                  <w:jc w:val="center"/>
                </w:pPr>
                <w:r>
                  <w:rPr>
                    <w:rFonts w:hint="eastAsia"/>
                  </w:rPr>
                  <w:t>资产</w:t>
                </w:r>
              </w:p>
            </w:tc>
          </w:sdtContent>
        </w:sdt>
      </w:tr>
      <w:tr w:rsidR="00577D08" w14:paraId="5D40EE79" w14:textId="77777777">
        <w:trPr>
          <w:trHeight w:val="285"/>
        </w:trPr>
        <w:tc>
          <w:tcPr>
            <w:tcW w:w="2443" w:type="dxa"/>
          </w:tcPr>
          <w:p w14:paraId="5A6BB371" w14:textId="77777777" w:rsidR="00577D08" w:rsidRDefault="00330FC0">
            <w:pPr>
              <w:jc w:val="both"/>
            </w:pPr>
            <w:r>
              <w:rPr>
                <w:rFonts w:hint="eastAsia"/>
              </w:rPr>
              <w:t>资产减值准备</w:t>
            </w:r>
          </w:p>
        </w:tc>
        <w:tc>
          <w:tcPr>
            <w:tcW w:w="1650" w:type="dxa"/>
          </w:tcPr>
          <w:p w14:paraId="70CFEEE8" w14:textId="77777777" w:rsidR="00577D08" w:rsidRDefault="00330FC0">
            <w:pPr>
              <w:jc w:val="right"/>
            </w:pPr>
            <w:r>
              <w:rPr>
                <w:rFonts w:hint="eastAsia"/>
              </w:rPr>
              <w:t xml:space="preserve"> 281,463,817.54 </w:t>
            </w:r>
          </w:p>
        </w:tc>
        <w:tc>
          <w:tcPr>
            <w:tcW w:w="1648" w:type="dxa"/>
          </w:tcPr>
          <w:p w14:paraId="740D39F5" w14:textId="77777777" w:rsidR="00577D08" w:rsidRDefault="00330FC0">
            <w:pPr>
              <w:jc w:val="right"/>
            </w:pPr>
            <w:r>
              <w:rPr>
                <w:rFonts w:hint="eastAsia"/>
              </w:rPr>
              <w:t xml:space="preserve"> 42,264,249.54 </w:t>
            </w:r>
          </w:p>
        </w:tc>
        <w:tc>
          <w:tcPr>
            <w:tcW w:w="1663" w:type="dxa"/>
          </w:tcPr>
          <w:p w14:paraId="3A7559A0" w14:textId="77777777" w:rsidR="00577D08" w:rsidRDefault="00330FC0">
            <w:pPr>
              <w:jc w:val="right"/>
            </w:pPr>
            <w:r>
              <w:rPr>
                <w:rFonts w:hint="eastAsia"/>
              </w:rPr>
              <w:t>242,535,854.58</w:t>
            </w:r>
          </w:p>
        </w:tc>
        <w:tc>
          <w:tcPr>
            <w:tcW w:w="1646" w:type="dxa"/>
          </w:tcPr>
          <w:p w14:paraId="42FC1F13" w14:textId="77777777" w:rsidR="00577D08" w:rsidRDefault="00330FC0">
            <w:pPr>
              <w:jc w:val="right"/>
            </w:pPr>
            <w:r>
              <w:rPr>
                <w:rFonts w:hint="eastAsia"/>
              </w:rPr>
              <w:t>36,458,680.97</w:t>
            </w:r>
          </w:p>
        </w:tc>
      </w:tr>
      <w:tr w:rsidR="00577D08" w14:paraId="7FAE98D0" w14:textId="77777777">
        <w:trPr>
          <w:trHeight w:val="285"/>
        </w:trPr>
        <w:tc>
          <w:tcPr>
            <w:tcW w:w="2443" w:type="dxa"/>
          </w:tcPr>
          <w:p w14:paraId="1F09783E" w14:textId="77777777" w:rsidR="00577D08" w:rsidRDefault="00330FC0">
            <w:pPr>
              <w:jc w:val="both"/>
            </w:pPr>
            <w:r>
              <w:rPr>
                <w:rFonts w:hint="eastAsia"/>
              </w:rPr>
              <w:t>内部交易未实现利润</w:t>
            </w:r>
          </w:p>
        </w:tc>
        <w:tc>
          <w:tcPr>
            <w:tcW w:w="1650" w:type="dxa"/>
          </w:tcPr>
          <w:p w14:paraId="4956A5A9" w14:textId="77777777" w:rsidR="00577D08" w:rsidRDefault="00330FC0">
            <w:pPr>
              <w:jc w:val="right"/>
            </w:pPr>
            <w:r>
              <w:rPr>
                <w:rFonts w:hint="eastAsia"/>
              </w:rPr>
              <w:t xml:space="preserve"> 25,997,841.13 </w:t>
            </w:r>
          </w:p>
        </w:tc>
        <w:tc>
          <w:tcPr>
            <w:tcW w:w="1648" w:type="dxa"/>
          </w:tcPr>
          <w:p w14:paraId="1C1E14A5" w14:textId="77777777" w:rsidR="00577D08" w:rsidRDefault="00330FC0">
            <w:pPr>
              <w:jc w:val="right"/>
            </w:pPr>
            <w:r>
              <w:rPr>
                <w:rFonts w:hint="eastAsia"/>
              </w:rPr>
              <w:t xml:space="preserve"> 3,899,676.17 </w:t>
            </w:r>
          </w:p>
        </w:tc>
        <w:tc>
          <w:tcPr>
            <w:tcW w:w="1663" w:type="dxa"/>
          </w:tcPr>
          <w:p w14:paraId="490AC606" w14:textId="77777777" w:rsidR="00577D08" w:rsidRDefault="00330FC0">
            <w:pPr>
              <w:jc w:val="right"/>
            </w:pPr>
            <w:r>
              <w:rPr>
                <w:rFonts w:hint="eastAsia"/>
              </w:rPr>
              <w:t>8,186,641.38</w:t>
            </w:r>
          </w:p>
        </w:tc>
        <w:tc>
          <w:tcPr>
            <w:tcW w:w="1646" w:type="dxa"/>
          </w:tcPr>
          <w:p w14:paraId="3D5BA3FB" w14:textId="77777777" w:rsidR="00577D08" w:rsidRDefault="00330FC0">
            <w:pPr>
              <w:jc w:val="right"/>
            </w:pPr>
            <w:r>
              <w:rPr>
                <w:rFonts w:hint="eastAsia"/>
              </w:rPr>
              <w:t>1,227,996.20</w:t>
            </w:r>
          </w:p>
        </w:tc>
      </w:tr>
      <w:tr w:rsidR="00577D08" w14:paraId="3915527D" w14:textId="77777777">
        <w:trPr>
          <w:trHeight w:val="285"/>
        </w:trPr>
        <w:tc>
          <w:tcPr>
            <w:tcW w:w="2443" w:type="dxa"/>
            <w:tcBorders>
              <w:bottom w:val="single" w:sz="4" w:space="0" w:color="auto"/>
            </w:tcBorders>
          </w:tcPr>
          <w:p w14:paraId="68297273" w14:textId="77777777" w:rsidR="00577D08" w:rsidRDefault="00330FC0">
            <w:pPr>
              <w:jc w:val="both"/>
            </w:pPr>
            <w:r>
              <w:rPr>
                <w:rFonts w:hint="eastAsia"/>
              </w:rPr>
              <w:t>可抵扣亏损</w:t>
            </w:r>
          </w:p>
        </w:tc>
        <w:tc>
          <w:tcPr>
            <w:tcW w:w="1650" w:type="dxa"/>
          </w:tcPr>
          <w:p w14:paraId="19188E9B" w14:textId="77777777" w:rsidR="00577D08" w:rsidRDefault="00330FC0">
            <w:pPr>
              <w:jc w:val="right"/>
            </w:pPr>
            <w:r>
              <w:rPr>
                <w:rFonts w:hint="eastAsia"/>
              </w:rPr>
              <w:t xml:space="preserve"> 19,666,766.80 </w:t>
            </w:r>
          </w:p>
        </w:tc>
        <w:tc>
          <w:tcPr>
            <w:tcW w:w="1648" w:type="dxa"/>
          </w:tcPr>
          <w:p w14:paraId="5E238834" w14:textId="77777777" w:rsidR="00577D08" w:rsidRDefault="00330FC0">
            <w:pPr>
              <w:jc w:val="right"/>
            </w:pPr>
            <w:r>
              <w:rPr>
                <w:rFonts w:hint="eastAsia"/>
              </w:rPr>
              <w:t xml:space="preserve"> 2,946,981.67 </w:t>
            </w:r>
          </w:p>
        </w:tc>
        <w:tc>
          <w:tcPr>
            <w:tcW w:w="1663" w:type="dxa"/>
          </w:tcPr>
          <w:p w14:paraId="142D2010" w14:textId="77777777" w:rsidR="00577D08" w:rsidRDefault="00330FC0">
            <w:pPr>
              <w:jc w:val="right"/>
            </w:pPr>
            <w:r>
              <w:rPr>
                <w:rFonts w:hint="eastAsia"/>
              </w:rPr>
              <w:t>87,568,065.35</w:t>
            </w:r>
          </w:p>
        </w:tc>
        <w:tc>
          <w:tcPr>
            <w:tcW w:w="1646" w:type="dxa"/>
          </w:tcPr>
          <w:p w14:paraId="2233D23E" w14:textId="77777777" w:rsidR="00577D08" w:rsidRDefault="00330FC0">
            <w:pPr>
              <w:jc w:val="right"/>
            </w:pPr>
            <w:r>
              <w:rPr>
                <w:rFonts w:hint="eastAsia"/>
              </w:rPr>
              <w:t>13,504,479.98</w:t>
            </w:r>
          </w:p>
        </w:tc>
      </w:tr>
      <w:tr w:rsidR="00577D08" w14:paraId="7F31224D" w14:textId="77777777">
        <w:trPr>
          <w:trHeight w:val="285"/>
        </w:trPr>
        <w:tc>
          <w:tcPr>
            <w:tcW w:w="2443" w:type="dxa"/>
          </w:tcPr>
          <w:p w14:paraId="020A6792" w14:textId="77777777" w:rsidR="00577D08" w:rsidRDefault="00330FC0">
            <w:pPr>
              <w:jc w:val="both"/>
            </w:pPr>
            <w:r>
              <w:rPr>
                <w:rFonts w:hint="eastAsia"/>
              </w:rPr>
              <w:t>租赁负债</w:t>
            </w:r>
          </w:p>
        </w:tc>
        <w:tc>
          <w:tcPr>
            <w:tcW w:w="1650" w:type="dxa"/>
          </w:tcPr>
          <w:p w14:paraId="6433FD91" w14:textId="77777777" w:rsidR="00577D08" w:rsidRDefault="00330FC0">
            <w:pPr>
              <w:jc w:val="right"/>
            </w:pPr>
            <w:r>
              <w:rPr>
                <w:rFonts w:hint="eastAsia"/>
              </w:rPr>
              <w:t xml:space="preserve"> 22,208,854.09 </w:t>
            </w:r>
          </w:p>
        </w:tc>
        <w:tc>
          <w:tcPr>
            <w:tcW w:w="1648" w:type="dxa"/>
          </w:tcPr>
          <w:p w14:paraId="39937FFE" w14:textId="77777777" w:rsidR="00577D08" w:rsidRDefault="00330FC0">
            <w:pPr>
              <w:jc w:val="right"/>
            </w:pPr>
            <w:r>
              <w:rPr>
                <w:rFonts w:hint="eastAsia"/>
              </w:rPr>
              <w:t xml:space="preserve"> 3,217,592.57 </w:t>
            </w:r>
          </w:p>
        </w:tc>
        <w:tc>
          <w:tcPr>
            <w:tcW w:w="1663" w:type="dxa"/>
          </w:tcPr>
          <w:p w14:paraId="6AA1F55C" w14:textId="77777777" w:rsidR="00577D08" w:rsidRDefault="00330FC0">
            <w:pPr>
              <w:jc w:val="right"/>
            </w:pPr>
            <w:r>
              <w:rPr>
                <w:rFonts w:hint="eastAsia"/>
              </w:rPr>
              <w:t>6,222,233.00</w:t>
            </w:r>
          </w:p>
        </w:tc>
        <w:tc>
          <w:tcPr>
            <w:tcW w:w="1646" w:type="dxa"/>
          </w:tcPr>
          <w:p w14:paraId="624EAC34" w14:textId="77777777" w:rsidR="00577D08" w:rsidRDefault="00330FC0">
            <w:pPr>
              <w:jc w:val="right"/>
            </w:pPr>
            <w:r>
              <w:rPr>
                <w:rFonts w:hint="eastAsia"/>
              </w:rPr>
              <w:t>933,334.95</w:t>
            </w:r>
          </w:p>
        </w:tc>
      </w:tr>
      <w:tr w:rsidR="00577D08" w14:paraId="26B2C51F" w14:textId="77777777">
        <w:trPr>
          <w:trHeight w:val="285"/>
        </w:trPr>
        <w:tc>
          <w:tcPr>
            <w:tcW w:w="2443" w:type="dxa"/>
          </w:tcPr>
          <w:p w14:paraId="1AFDD4E4" w14:textId="77777777" w:rsidR="00577D08" w:rsidRDefault="00330FC0">
            <w:pPr>
              <w:jc w:val="both"/>
            </w:pPr>
            <w:r>
              <w:rPr>
                <w:rFonts w:hint="eastAsia"/>
              </w:rPr>
              <w:t>递延收益</w:t>
            </w:r>
          </w:p>
        </w:tc>
        <w:tc>
          <w:tcPr>
            <w:tcW w:w="1650" w:type="dxa"/>
          </w:tcPr>
          <w:p w14:paraId="16DCFE7B" w14:textId="77777777" w:rsidR="00577D08" w:rsidRDefault="00330FC0">
            <w:pPr>
              <w:jc w:val="right"/>
            </w:pPr>
            <w:r>
              <w:rPr>
                <w:rFonts w:hint="eastAsia"/>
              </w:rPr>
              <w:t xml:space="preserve"> 13,519,130.68 </w:t>
            </w:r>
          </w:p>
        </w:tc>
        <w:tc>
          <w:tcPr>
            <w:tcW w:w="1648" w:type="dxa"/>
          </w:tcPr>
          <w:p w14:paraId="371B6B62" w14:textId="77777777" w:rsidR="00577D08" w:rsidRDefault="00330FC0">
            <w:pPr>
              <w:jc w:val="right"/>
            </w:pPr>
            <w:r>
              <w:rPr>
                <w:rFonts w:hint="eastAsia"/>
              </w:rPr>
              <w:t xml:space="preserve"> 2,027,869.60 </w:t>
            </w:r>
          </w:p>
        </w:tc>
        <w:tc>
          <w:tcPr>
            <w:tcW w:w="1663" w:type="dxa"/>
          </w:tcPr>
          <w:p w14:paraId="31F35902" w14:textId="77777777" w:rsidR="00577D08" w:rsidRDefault="00330FC0">
            <w:pPr>
              <w:jc w:val="right"/>
            </w:pPr>
            <w:r>
              <w:rPr>
                <w:rFonts w:hint="eastAsia"/>
              </w:rPr>
              <w:t>14,950,702.36</w:t>
            </w:r>
          </w:p>
        </w:tc>
        <w:tc>
          <w:tcPr>
            <w:tcW w:w="1646" w:type="dxa"/>
          </w:tcPr>
          <w:p w14:paraId="5FAA635D" w14:textId="77777777" w:rsidR="00577D08" w:rsidRDefault="00330FC0">
            <w:pPr>
              <w:jc w:val="right"/>
            </w:pPr>
            <w:r>
              <w:rPr>
                <w:rFonts w:hint="eastAsia"/>
              </w:rPr>
              <w:t>2,242,605.35</w:t>
            </w:r>
          </w:p>
        </w:tc>
      </w:tr>
      <w:tr w:rsidR="00577D08" w14:paraId="1BC6E124" w14:textId="77777777">
        <w:trPr>
          <w:trHeight w:val="285"/>
        </w:trPr>
        <w:tc>
          <w:tcPr>
            <w:tcW w:w="2443" w:type="dxa"/>
          </w:tcPr>
          <w:p w14:paraId="3341040A" w14:textId="77777777" w:rsidR="00577D08" w:rsidRDefault="00330FC0">
            <w:pPr>
              <w:jc w:val="both"/>
            </w:pPr>
            <w:r>
              <w:rPr>
                <w:rFonts w:hint="eastAsia"/>
              </w:rPr>
              <w:t>公益性捐赠</w:t>
            </w:r>
          </w:p>
        </w:tc>
        <w:tc>
          <w:tcPr>
            <w:tcW w:w="1650" w:type="dxa"/>
          </w:tcPr>
          <w:p w14:paraId="6044BBF0" w14:textId="77777777" w:rsidR="00577D08" w:rsidRDefault="00330FC0">
            <w:pPr>
              <w:jc w:val="right"/>
            </w:pPr>
            <w:r>
              <w:rPr>
                <w:rFonts w:hint="eastAsia"/>
              </w:rPr>
              <w:t xml:space="preserve"> 9,517,051.29 </w:t>
            </w:r>
          </w:p>
        </w:tc>
        <w:tc>
          <w:tcPr>
            <w:tcW w:w="1648" w:type="dxa"/>
          </w:tcPr>
          <w:p w14:paraId="47EACAE4" w14:textId="77777777" w:rsidR="00577D08" w:rsidRDefault="00330FC0">
            <w:pPr>
              <w:jc w:val="right"/>
            </w:pPr>
            <w:r>
              <w:rPr>
                <w:rFonts w:hint="eastAsia"/>
              </w:rPr>
              <w:t xml:space="preserve"> 1,427,557.69 </w:t>
            </w:r>
          </w:p>
        </w:tc>
        <w:tc>
          <w:tcPr>
            <w:tcW w:w="1663" w:type="dxa"/>
          </w:tcPr>
          <w:p w14:paraId="15766B77" w14:textId="77777777" w:rsidR="00577D08" w:rsidRDefault="00330FC0">
            <w:pPr>
              <w:jc w:val="right"/>
            </w:pPr>
            <w:r>
              <w:rPr>
                <w:rFonts w:hint="eastAsia"/>
              </w:rPr>
              <w:t>14,103,623.67</w:t>
            </w:r>
          </w:p>
        </w:tc>
        <w:tc>
          <w:tcPr>
            <w:tcW w:w="1646" w:type="dxa"/>
          </w:tcPr>
          <w:p w14:paraId="7B057783" w14:textId="77777777" w:rsidR="00577D08" w:rsidRDefault="00330FC0">
            <w:pPr>
              <w:jc w:val="right"/>
            </w:pPr>
            <w:r>
              <w:rPr>
                <w:rFonts w:hint="eastAsia"/>
              </w:rPr>
              <w:t>2,115,543.55</w:t>
            </w:r>
          </w:p>
        </w:tc>
      </w:tr>
      <w:tr w:rsidR="00577D08" w14:paraId="1A3453F0" w14:textId="77777777">
        <w:trPr>
          <w:trHeight w:val="285"/>
        </w:trPr>
        <w:tc>
          <w:tcPr>
            <w:tcW w:w="2443" w:type="dxa"/>
          </w:tcPr>
          <w:p w14:paraId="37B7E1FE" w14:textId="77777777" w:rsidR="00577D08" w:rsidRDefault="00330FC0">
            <w:pPr>
              <w:jc w:val="both"/>
            </w:pPr>
            <w:r>
              <w:rPr>
                <w:rFonts w:hint="eastAsia"/>
              </w:rPr>
              <w:t>预计负债</w:t>
            </w:r>
          </w:p>
        </w:tc>
        <w:tc>
          <w:tcPr>
            <w:tcW w:w="1650" w:type="dxa"/>
          </w:tcPr>
          <w:p w14:paraId="2465A4CB" w14:textId="77777777" w:rsidR="00577D08" w:rsidRDefault="00330FC0">
            <w:pPr>
              <w:jc w:val="right"/>
            </w:pPr>
            <w:r>
              <w:rPr>
                <w:rFonts w:hint="eastAsia"/>
              </w:rPr>
              <w:t xml:space="preserve"> 2,893,417.02 </w:t>
            </w:r>
          </w:p>
        </w:tc>
        <w:tc>
          <w:tcPr>
            <w:tcW w:w="1648" w:type="dxa"/>
          </w:tcPr>
          <w:p w14:paraId="6A6FB937" w14:textId="77777777" w:rsidR="00577D08" w:rsidRDefault="00330FC0">
            <w:pPr>
              <w:jc w:val="right"/>
            </w:pPr>
            <w:r>
              <w:rPr>
                <w:rFonts w:hint="eastAsia"/>
              </w:rPr>
              <w:t xml:space="preserve"> 434,012.55 </w:t>
            </w:r>
          </w:p>
        </w:tc>
        <w:tc>
          <w:tcPr>
            <w:tcW w:w="1663" w:type="dxa"/>
          </w:tcPr>
          <w:p w14:paraId="5B215908" w14:textId="77777777" w:rsidR="00577D08" w:rsidRDefault="00330FC0">
            <w:pPr>
              <w:jc w:val="right"/>
            </w:pPr>
            <w:r>
              <w:rPr>
                <w:rFonts w:hint="eastAsia"/>
              </w:rPr>
              <w:t>1,239,272.68</w:t>
            </w:r>
          </w:p>
        </w:tc>
        <w:tc>
          <w:tcPr>
            <w:tcW w:w="1646" w:type="dxa"/>
          </w:tcPr>
          <w:p w14:paraId="296170E2" w14:textId="77777777" w:rsidR="00577D08" w:rsidRDefault="00330FC0">
            <w:pPr>
              <w:jc w:val="right"/>
            </w:pPr>
            <w:r>
              <w:rPr>
                <w:rFonts w:hint="eastAsia"/>
              </w:rPr>
              <w:t>185,890.91</w:t>
            </w:r>
          </w:p>
        </w:tc>
      </w:tr>
      <w:tr w:rsidR="00577D08" w14:paraId="7CF5958A" w14:textId="77777777">
        <w:trPr>
          <w:trHeight w:val="285"/>
        </w:trPr>
        <w:tc>
          <w:tcPr>
            <w:tcW w:w="2443" w:type="dxa"/>
          </w:tcPr>
          <w:p w14:paraId="6484DCC0" w14:textId="77777777" w:rsidR="00577D08" w:rsidRDefault="00330FC0">
            <w:pPr>
              <w:jc w:val="both"/>
            </w:pPr>
            <w:r>
              <w:rPr>
                <w:rFonts w:hint="eastAsia"/>
              </w:rPr>
              <w:t>股权激励成本</w:t>
            </w:r>
          </w:p>
        </w:tc>
        <w:tc>
          <w:tcPr>
            <w:tcW w:w="1650" w:type="dxa"/>
          </w:tcPr>
          <w:p w14:paraId="5815A54A" w14:textId="77777777" w:rsidR="00577D08" w:rsidRDefault="00330FC0">
            <w:pPr>
              <w:jc w:val="right"/>
            </w:pPr>
            <w:r>
              <w:rPr>
                <w:rFonts w:hint="eastAsia"/>
              </w:rPr>
              <w:t xml:space="preserve">    </w:t>
            </w:r>
          </w:p>
        </w:tc>
        <w:tc>
          <w:tcPr>
            <w:tcW w:w="1648" w:type="dxa"/>
          </w:tcPr>
          <w:p w14:paraId="5172E52B" w14:textId="77777777" w:rsidR="00577D08" w:rsidRDefault="00330FC0">
            <w:pPr>
              <w:jc w:val="right"/>
            </w:pPr>
            <w:r>
              <w:rPr>
                <w:rFonts w:hint="eastAsia"/>
              </w:rPr>
              <w:t xml:space="preserve">    </w:t>
            </w:r>
          </w:p>
        </w:tc>
        <w:tc>
          <w:tcPr>
            <w:tcW w:w="1663" w:type="dxa"/>
          </w:tcPr>
          <w:p w14:paraId="3FCE81EE" w14:textId="77777777" w:rsidR="00577D08" w:rsidRDefault="00330FC0">
            <w:pPr>
              <w:jc w:val="right"/>
            </w:pPr>
            <w:r>
              <w:rPr>
                <w:rFonts w:hint="eastAsia"/>
              </w:rPr>
              <w:t>2,656,250.00</w:t>
            </w:r>
          </w:p>
        </w:tc>
        <w:tc>
          <w:tcPr>
            <w:tcW w:w="1646" w:type="dxa"/>
          </w:tcPr>
          <w:p w14:paraId="705B6318" w14:textId="77777777" w:rsidR="00577D08" w:rsidRDefault="00330FC0">
            <w:pPr>
              <w:jc w:val="right"/>
            </w:pPr>
            <w:r>
              <w:rPr>
                <w:rFonts w:hint="eastAsia"/>
              </w:rPr>
              <w:t>400,562.50</w:t>
            </w:r>
          </w:p>
        </w:tc>
      </w:tr>
      <w:tr w:rsidR="00577D08" w14:paraId="6427CF56" w14:textId="77777777">
        <w:trPr>
          <w:trHeight w:val="285"/>
        </w:trPr>
        <w:tc>
          <w:tcPr>
            <w:tcW w:w="2443" w:type="dxa"/>
            <w:vAlign w:val="center"/>
          </w:tcPr>
          <w:p w14:paraId="7476B8DB" w14:textId="77777777" w:rsidR="00577D08" w:rsidRDefault="00330FC0">
            <w:pPr>
              <w:jc w:val="center"/>
            </w:pPr>
            <w:r>
              <w:rPr>
                <w:rFonts w:hint="eastAsia"/>
              </w:rPr>
              <w:t>合计</w:t>
            </w:r>
          </w:p>
        </w:tc>
        <w:tc>
          <w:tcPr>
            <w:tcW w:w="1650" w:type="dxa"/>
          </w:tcPr>
          <w:p w14:paraId="099E8ECA" w14:textId="77777777" w:rsidR="00577D08" w:rsidRDefault="00330FC0">
            <w:pPr>
              <w:jc w:val="right"/>
            </w:pPr>
            <w:r>
              <w:t xml:space="preserve"> 375,266,878.55 </w:t>
            </w:r>
          </w:p>
        </w:tc>
        <w:tc>
          <w:tcPr>
            <w:tcW w:w="1648" w:type="dxa"/>
          </w:tcPr>
          <w:p w14:paraId="22D89E25" w14:textId="77777777" w:rsidR="00577D08" w:rsidRDefault="00330FC0">
            <w:pPr>
              <w:jc w:val="right"/>
            </w:pPr>
            <w:r>
              <w:t xml:space="preserve"> 56,217,939.79 </w:t>
            </w:r>
          </w:p>
        </w:tc>
        <w:tc>
          <w:tcPr>
            <w:tcW w:w="1663" w:type="dxa"/>
          </w:tcPr>
          <w:p w14:paraId="6B37C535" w14:textId="77777777" w:rsidR="00577D08" w:rsidRDefault="00330FC0">
            <w:pPr>
              <w:jc w:val="right"/>
            </w:pPr>
            <w:r>
              <w:t>377,462,643.02</w:t>
            </w:r>
          </w:p>
        </w:tc>
        <w:tc>
          <w:tcPr>
            <w:tcW w:w="1646" w:type="dxa"/>
          </w:tcPr>
          <w:p w14:paraId="5595854D" w14:textId="77777777" w:rsidR="00577D08" w:rsidRDefault="00330FC0">
            <w:pPr>
              <w:jc w:val="right"/>
            </w:pPr>
            <w:r>
              <w:t>57,069,094.41</w:t>
            </w:r>
          </w:p>
        </w:tc>
      </w:tr>
    </w:tbl>
    <w:p w14:paraId="6649F373" w14:textId="77777777" w:rsidR="00577D08" w:rsidRDefault="00330FC0">
      <w:pPr>
        <w:pStyle w:val="4"/>
        <w:numPr>
          <w:ilvl w:val="0"/>
          <w:numId w:val="84"/>
        </w:numPr>
        <w:ind w:left="426" w:hanging="426"/>
        <w:rPr>
          <w:rFonts w:hint="eastAsia"/>
        </w:rPr>
      </w:pPr>
      <w:r>
        <w:rPr>
          <w:rFonts w:hint="eastAsia"/>
        </w:rPr>
        <w:t>未经抵销的递延所得税负债</w:t>
      </w:r>
    </w:p>
    <w:p w14:paraId="3E0D817B" w14:textId="77777777" w:rsidR="00577D08" w:rsidRDefault="00000000">
      <w:sdt>
        <w:sdtPr>
          <w:alias w:val="是否适用：未经抵销的递延所得税负债[双击切换]"/>
          <w:tag w:val="_GBC_e7d8f83d611d4464afa60fcd4c2b0690"/>
          <w:id w:val="-2003729407"/>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272D2B72" w14:textId="5102EE4B" w:rsidR="00577D08" w:rsidRDefault="00330FC0">
      <w:pPr>
        <w:jc w:val="right"/>
      </w:pPr>
      <w:r>
        <w:rPr>
          <w:rFonts w:hint="eastAsia"/>
        </w:rPr>
        <w:t>单位：</w:t>
      </w:r>
      <w:sdt>
        <w:sdtPr>
          <w:rPr>
            <w:rFonts w:hint="eastAsia"/>
          </w:rPr>
          <w:alias w:val="单位：财务附注：未经抵销的递延所得税负债"/>
          <w:tag w:val="_GBC_20c1fd2b551d429d888a1c48c5ee9c5a"/>
          <w:id w:val="18664782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未经抵销的递延所得税负债"/>
          <w:tag w:val="_GBC_e6ace91667794eff9d02520878b629f9"/>
          <w:id w:val="-17615906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675"/>
        <w:gridCol w:w="1665"/>
        <w:gridCol w:w="1657"/>
        <w:gridCol w:w="1676"/>
      </w:tblGrid>
      <w:tr w:rsidR="00577D08" w14:paraId="55AB513F" w14:textId="77777777">
        <w:trPr>
          <w:trHeight w:val="285"/>
        </w:trPr>
        <w:sdt>
          <w:sdtPr>
            <w:tag w:val="_PLD_e9bdb30dce784b4a9efd1b5efd6964fb"/>
            <w:id w:val="-831920116"/>
          </w:sdtPr>
          <w:sdtContent>
            <w:tc>
              <w:tcPr>
                <w:tcW w:w="2374" w:type="dxa"/>
                <w:vMerge w:val="restart"/>
                <w:vAlign w:val="center"/>
              </w:tcPr>
              <w:p w14:paraId="0AE86D23" w14:textId="77777777" w:rsidR="00577D08" w:rsidRDefault="00330FC0">
                <w:pPr>
                  <w:jc w:val="center"/>
                </w:pPr>
                <w:r>
                  <w:rPr>
                    <w:rFonts w:hint="eastAsia"/>
                  </w:rPr>
                  <w:t>项目</w:t>
                </w:r>
              </w:p>
            </w:tc>
          </w:sdtContent>
        </w:sdt>
        <w:sdt>
          <w:sdtPr>
            <w:tag w:val="_PLD_600f3752c404468197724275bf44cd43"/>
            <w:id w:val="-1953544136"/>
          </w:sdtPr>
          <w:sdtContent>
            <w:tc>
              <w:tcPr>
                <w:tcW w:w="3340" w:type="dxa"/>
                <w:gridSpan w:val="2"/>
                <w:vAlign w:val="center"/>
              </w:tcPr>
              <w:p w14:paraId="11AF9E73" w14:textId="77777777" w:rsidR="00577D08" w:rsidRDefault="00330FC0">
                <w:pPr>
                  <w:jc w:val="center"/>
                </w:pPr>
                <w:r>
                  <w:rPr>
                    <w:rFonts w:hint="eastAsia"/>
                  </w:rPr>
                  <w:t>期末余额</w:t>
                </w:r>
              </w:p>
            </w:tc>
          </w:sdtContent>
        </w:sdt>
        <w:sdt>
          <w:sdtPr>
            <w:tag w:val="_PLD_7e4b2554e2544865b74424edbdb55d4b"/>
            <w:id w:val="-329527683"/>
          </w:sdtPr>
          <w:sdtContent>
            <w:tc>
              <w:tcPr>
                <w:tcW w:w="3333" w:type="dxa"/>
                <w:gridSpan w:val="2"/>
                <w:vAlign w:val="center"/>
              </w:tcPr>
              <w:p w14:paraId="195E673D" w14:textId="77777777" w:rsidR="00577D08" w:rsidRDefault="00330FC0">
                <w:pPr>
                  <w:jc w:val="center"/>
                </w:pPr>
                <w:r>
                  <w:rPr>
                    <w:rFonts w:hint="eastAsia"/>
                  </w:rPr>
                  <w:t>期初余额</w:t>
                </w:r>
              </w:p>
            </w:tc>
          </w:sdtContent>
        </w:sdt>
      </w:tr>
      <w:tr w:rsidR="00577D08" w14:paraId="2894EAAA" w14:textId="77777777">
        <w:trPr>
          <w:trHeight w:val="285"/>
        </w:trPr>
        <w:tc>
          <w:tcPr>
            <w:tcW w:w="2374" w:type="dxa"/>
            <w:vMerge/>
            <w:vAlign w:val="center"/>
          </w:tcPr>
          <w:p w14:paraId="2858BFAB" w14:textId="77777777" w:rsidR="00577D08" w:rsidRDefault="00577D08">
            <w:pPr>
              <w:jc w:val="center"/>
              <w:rPr>
                <w:b/>
              </w:rPr>
            </w:pPr>
          </w:p>
        </w:tc>
        <w:sdt>
          <w:sdtPr>
            <w:tag w:val="_PLD_2db432e06e184a41a8eb727ebb64ec40"/>
            <w:id w:val="141627623"/>
          </w:sdtPr>
          <w:sdtContent>
            <w:tc>
              <w:tcPr>
                <w:tcW w:w="1675" w:type="dxa"/>
                <w:vAlign w:val="center"/>
              </w:tcPr>
              <w:p w14:paraId="6FBDDE88" w14:textId="77777777" w:rsidR="00577D08" w:rsidRDefault="00330FC0">
                <w:pPr>
                  <w:jc w:val="center"/>
                </w:pPr>
                <w:r>
                  <w:rPr>
                    <w:rFonts w:ascii="Arial" w:hAnsi="Arial" w:hint="eastAsia"/>
                  </w:rPr>
                  <w:t>应纳税暂时性差异</w:t>
                </w:r>
              </w:p>
            </w:tc>
          </w:sdtContent>
        </w:sdt>
        <w:sdt>
          <w:sdtPr>
            <w:tag w:val="_PLD_b3dd3e66f628452aab8284dc189a458b"/>
            <w:id w:val="-859201890"/>
          </w:sdtPr>
          <w:sdtContent>
            <w:tc>
              <w:tcPr>
                <w:tcW w:w="1665" w:type="dxa"/>
                <w:vAlign w:val="center"/>
              </w:tcPr>
              <w:p w14:paraId="620EF852" w14:textId="77777777" w:rsidR="00577D08" w:rsidRDefault="00330FC0">
                <w:pPr>
                  <w:jc w:val="center"/>
                </w:pPr>
                <w:r>
                  <w:rPr>
                    <w:rFonts w:hint="eastAsia"/>
                  </w:rPr>
                  <w:t>递延所得税</w:t>
                </w:r>
              </w:p>
              <w:p w14:paraId="735957CC" w14:textId="77777777" w:rsidR="00577D08" w:rsidRDefault="00330FC0">
                <w:pPr>
                  <w:jc w:val="center"/>
                </w:pPr>
                <w:r>
                  <w:rPr>
                    <w:rFonts w:hint="eastAsia"/>
                  </w:rPr>
                  <w:t>负债</w:t>
                </w:r>
              </w:p>
            </w:tc>
          </w:sdtContent>
        </w:sdt>
        <w:sdt>
          <w:sdtPr>
            <w:tag w:val="_PLD_3e69493cf6a2462eab1eaf8ece87a89d"/>
            <w:id w:val="1678300308"/>
          </w:sdtPr>
          <w:sdtContent>
            <w:tc>
              <w:tcPr>
                <w:tcW w:w="1657" w:type="dxa"/>
                <w:vAlign w:val="center"/>
              </w:tcPr>
              <w:p w14:paraId="458A3089" w14:textId="77777777" w:rsidR="00577D08" w:rsidRDefault="00330FC0">
                <w:pPr>
                  <w:jc w:val="center"/>
                </w:pPr>
                <w:r>
                  <w:rPr>
                    <w:rFonts w:ascii="Arial" w:hAnsi="Arial" w:hint="eastAsia"/>
                  </w:rPr>
                  <w:t>应纳税暂时性差异</w:t>
                </w:r>
              </w:p>
            </w:tc>
          </w:sdtContent>
        </w:sdt>
        <w:sdt>
          <w:sdtPr>
            <w:tag w:val="_PLD_ad4c3389a4a04a96990ace5203f3adbb"/>
            <w:id w:val="-1455161178"/>
          </w:sdtPr>
          <w:sdtContent>
            <w:tc>
              <w:tcPr>
                <w:tcW w:w="1676" w:type="dxa"/>
                <w:vAlign w:val="center"/>
              </w:tcPr>
              <w:p w14:paraId="6174C252" w14:textId="77777777" w:rsidR="00577D08" w:rsidRDefault="00330FC0">
                <w:pPr>
                  <w:jc w:val="center"/>
                </w:pPr>
                <w:r>
                  <w:rPr>
                    <w:rFonts w:hint="eastAsia"/>
                  </w:rPr>
                  <w:t>递延所得税</w:t>
                </w:r>
              </w:p>
              <w:p w14:paraId="574FB9BA" w14:textId="77777777" w:rsidR="00577D08" w:rsidRDefault="00330FC0">
                <w:pPr>
                  <w:jc w:val="center"/>
                </w:pPr>
                <w:r>
                  <w:rPr>
                    <w:rFonts w:hint="eastAsia"/>
                  </w:rPr>
                  <w:t>负债</w:t>
                </w:r>
              </w:p>
            </w:tc>
          </w:sdtContent>
        </w:sdt>
      </w:tr>
      <w:tr w:rsidR="00577D08" w14:paraId="25DF68FB" w14:textId="77777777">
        <w:trPr>
          <w:trHeight w:val="285"/>
        </w:trPr>
        <w:tc>
          <w:tcPr>
            <w:tcW w:w="2374" w:type="dxa"/>
          </w:tcPr>
          <w:p w14:paraId="73FB4A48" w14:textId="77777777" w:rsidR="00577D08" w:rsidRDefault="00330FC0">
            <w:r>
              <w:rPr>
                <w:rFonts w:hint="eastAsia"/>
              </w:rPr>
              <w:t>一次性税前扣除的固定资产折旧</w:t>
            </w:r>
          </w:p>
        </w:tc>
        <w:tc>
          <w:tcPr>
            <w:tcW w:w="1675" w:type="dxa"/>
            <w:vAlign w:val="center"/>
          </w:tcPr>
          <w:p w14:paraId="0A5D93C9" w14:textId="77777777" w:rsidR="00577D08" w:rsidRDefault="00330FC0">
            <w:pPr>
              <w:jc w:val="right"/>
            </w:pPr>
            <w:r>
              <w:rPr>
                <w:rFonts w:hint="eastAsia"/>
              </w:rPr>
              <w:t>392,841,830.80</w:t>
            </w:r>
          </w:p>
        </w:tc>
        <w:tc>
          <w:tcPr>
            <w:tcW w:w="1665" w:type="dxa"/>
            <w:vAlign w:val="center"/>
          </w:tcPr>
          <w:p w14:paraId="42FB4196" w14:textId="77777777" w:rsidR="00577D08" w:rsidRDefault="00330FC0">
            <w:pPr>
              <w:jc w:val="right"/>
            </w:pPr>
            <w:r>
              <w:rPr>
                <w:rFonts w:hint="eastAsia"/>
              </w:rPr>
              <w:t>58,944,914.71</w:t>
            </w:r>
          </w:p>
        </w:tc>
        <w:tc>
          <w:tcPr>
            <w:tcW w:w="1657" w:type="dxa"/>
            <w:vAlign w:val="center"/>
          </w:tcPr>
          <w:p w14:paraId="3C1000D8" w14:textId="77777777" w:rsidR="00577D08" w:rsidRDefault="00330FC0">
            <w:pPr>
              <w:jc w:val="right"/>
            </w:pPr>
            <w:r>
              <w:rPr>
                <w:rFonts w:hint="eastAsia"/>
              </w:rPr>
              <w:t>450,224,514.22</w:t>
            </w:r>
          </w:p>
        </w:tc>
        <w:tc>
          <w:tcPr>
            <w:tcW w:w="1676" w:type="dxa"/>
            <w:vAlign w:val="center"/>
          </w:tcPr>
          <w:p w14:paraId="4CFD20C8" w14:textId="77777777" w:rsidR="00577D08" w:rsidRDefault="00330FC0">
            <w:pPr>
              <w:jc w:val="right"/>
            </w:pPr>
            <w:r>
              <w:rPr>
                <w:rFonts w:hint="eastAsia"/>
              </w:rPr>
              <w:t>67,569,483.94</w:t>
            </w:r>
          </w:p>
        </w:tc>
      </w:tr>
      <w:tr w:rsidR="00577D08" w14:paraId="0C5C1309" w14:textId="77777777">
        <w:trPr>
          <w:trHeight w:val="285"/>
        </w:trPr>
        <w:tc>
          <w:tcPr>
            <w:tcW w:w="2374" w:type="dxa"/>
          </w:tcPr>
          <w:p w14:paraId="06CB343D" w14:textId="77777777" w:rsidR="00577D08" w:rsidRDefault="00330FC0">
            <w:r>
              <w:rPr>
                <w:rFonts w:hint="eastAsia"/>
              </w:rPr>
              <w:t>非同一控制下企业合并资产评估增值</w:t>
            </w:r>
          </w:p>
        </w:tc>
        <w:tc>
          <w:tcPr>
            <w:tcW w:w="1675" w:type="dxa"/>
            <w:vAlign w:val="center"/>
          </w:tcPr>
          <w:p w14:paraId="3C9FAD7A" w14:textId="77777777" w:rsidR="00577D08" w:rsidRDefault="00330FC0">
            <w:pPr>
              <w:jc w:val="right"/>
            </w:pPr>
            <w:r>
              <w:rPr>
                <w:rFonts w:hint="eastAsia"/>
              </w:rPr>
              <w:t>85,406,668.93</w:t>
            </w:r>
          </w:p>
        </w:tc>
        <w:tc>
          <w:tcPr>
            <w:tcW w:w="1665" w:type="dxa"/>
            <w:vAlign w:val="center"/>
          </w:tcPr>
          <w:p w14:paraId="54CEE654" w14:textId="77777777" w:rsidR="00577D08" w:rsidRDefault="00330FC0">
            <w:pPr>
              <w:jc w:val="right"/>
            </w:pPr>
            <w:r>
              <w:rPr>
                <w:rFonts w:hint="eastAsia"/>
              </w:rPr>
              <w:t>12,811,000.34</w:t>
            </w:r>
          </w:p>
        </w:tc>
        <w:tc>
          <w:tcPr>
            <w:tcW w:w="1657" w:type="dxa"/>
            <w:vAlign w:val="center"/>
          </w:tcPr>
          <w:p w14:paraId="20670985" w14:textId="77777777" w:rsidR="00577D08" w:rsidRDefault="00330FC0">
            <w:pPr>
              <w:jc w:val="right"/>
            </w:pPr>
            <w:r>
              <w:rPr>
                <w:rFonts w:hint="eastAsia"/>
              </w:rPr>
              <w:t>90,721,358.56</w:t>
            </w:r>
          </w:p>
        </w:tc>
        <w:tc>
          <w:tcPr>
            <w:tcW w:w="1676" w:type="dxa"/>
            <w:vAlign w:val="center"/>
          </w:tcPr>
          <w:p w14:paraId="2BE50776" w14:textId="77777777" w:rsidR="00577D08" w:rsidRDefault="00330FC0">
            <w:pPr>
              <w:jc w:val="right"/>
            </w:pPr>
            <w:r>
              <w:rPr>
                <w:rFonts w:hint="eastAsia"/>
              </w:rPr>
              <w:t>13,608,203.79</w:t>
            </w:r>
          </w:p>
        </w:tc>
      </w:tr>
      <w:tr w:rsidR="00577D08" w14:paraId="56224388" w14:textId="77777777">
        <w:trPr>
          <w:trHeight w:val="285"/>
        </w:trPr>
        <w:tc>
          <w:tcPr>
            <w:tcW w:w="2374" w:type="dxa"/>
          </w:tcPr>
          <w:p w14:paraId="4352F997" w14:textId="77777777" w:rsidR="00577D08" w:rsidRDefault="00330FC0">
            <w:r>
              <w:rPr>
                <w:rFonts w:hint="eastAsia"/>
              </w:rPr>
              <w:t>其他权益工具投资公允价值变动</w:t>
            </w:r>
          </w:p>
        </w:tc>
        <w:tc>
          <w:tcPr>
            <w:tcW w:w="1675" w:type="dxa"/>
            <w:vAlign w:val="center"/>
          </w:tcPr>
          <w:p w14:paraId="613DEDF8" w14:textId="77777777" w:rsidR="00577D08" w:rsidRDefault="00330FC0">
            <w:pPr>
              <w:jc w:val="right"/>
            </w:pPr>
            <w:r>
              <w:rPr>
                <w:rFonts w:hint="eastAsia"/>
              </w:rPr>
              <w:t>12,847,432.50</w:t>
            </w:r>
          </w:p>
        </w:tc>
        <w:tc>
          <w:tcPr>
            <w:tcW w:w="1665" w:type="dxa"/>
            <w:vAlign w:val="center"/>
          </w:tcPr>
          <w:p w14:paraId="1FDF3450" w14:textId="77777777" w:rsidR="00577D08" w:rsidRDefault="00330FC0">
            <w:pPr>
              <w:jc w:val="right"/>
            </w:pPr>
            <w:r>
              <w:rPr>
                <w:rFonts w:hint="eastAsia"/>
              </w:rPr>
              <w:t>1,927,114.88</w:t>
            </w:r>
          </w:p>
        </w:tc>
        <w:tc>
          <w:tcPr>
            <w:tcW w:w="1657" w:type="dxa"/>
            <w:vAlign w:val="center"/>
          </w:tcPr>
          <w:p w14:paraId="50E6A625" w14:textId="77777777" w:rsidR="00577D08" w:rsidRDefault="00330FC0">
            <w:pPr>
              <w:jc w:val="right"/>
            </w:pPr>
            <w:r>
              <w:rPr>
                <w:rFonts w:hint="eastAsia"/>
              </w:rPr>
              <w:t>13,932,116.10</w:t>
            </w:r>
          </w:p>
        </w:tc>
        <w:tc>
          <w:tcPr>
            <w:tcW w:w="1676" w:type="dxa"/>
            <w:vAlign w:val="center"/>
          </w:tcPr>
          <w:p w14:paraId="3B80C56A" w14:textId="77777777" w:rsidR="00577D08" w:rsidRDefault="00330FC0">
            <w:pPr>
              <w:jc w:val="right"/>
            </w:pPr>
            <w:r>
              <w:rPr>
                <w:rFonts w:hint="eastAsia"/>
              </w:rPr>
              <w:t>2,089,817.42</w:t>
            </w:r>
          </w:p>
        </w:tc>
      </w:tr>
      <w:tr w:rsidR="00577D08" w14:paraId="1A3C321C" w14:textId="77777777">
        <w:trPr>
          <w:trHeight w:val="285"/>
        </w:trPr>
        <w:tc>
          <w:tcPr>
            <w:tcW w:w="2374" w:type="dxa"/>
          </w:tcPr>
          <w:p w14:paraId="7B8591F1" w14:textId="77777777" w:rsidR="00577D08" w:rsidRDefault="00330FC0">
            <w:r>
              <w:rPr>
                <w:rFonts w:hint="eastAsia"/>
              </w:rPr>
              <w:t>使用权资产</w:t>
            </w:r>
          </w:p>
        </w:tc>
        <w:tc>
          <w:tcPr>
            <w:tcW w:w="1675" w:type="dxa"/>
            <w:vAlign w:val="center"/>
          </w:tcPr>
          <w:p w14:paraId="4E3CCD13" w14:textId="77777777" w:rsidR="00577D08" w:rsidRDefault="00330FC0">
            <w:pPr>
              <w:jc w:val="right"/>
            </w:pPr>
            <w:r>
              <w:rPr>
                <w:rFonts w:hint="eastAsia"/>
              </w:rPr>
              <w:t>20,579,452.84</w:t>
            </w:r>
          </w:p>
        </w:tc>
        <w:tc>
          <w:tcPr>
            <w:tcW w:w="1665" w:type="dxa"/>
            <w:vAlign w:val="center"/>
          </w:tcPr>
          <w:p w14:paraId="0D943BEE" w14:textId="77777777" w:rsidR="00577D08" w:rsidRDefault="00330FC0">
            <w:pPr>
              <w:jc w:val="right"/>
            </w:pPr>
            <w:r>
              <w:rPr>
                <w:rFonts w:hint="eastAsia"/>
              </w:rPr>
              <w:t>2,944,923.53</w:t>
            </w:r>
          </w:p>
        </w:tc>
        <w:tc>
          <w:tcPr>
            <w:tcW w:w="1657" w:type="dxa"/>
            <w:vAlign w:val="center"/>
          </w:tcPr>
          <w:p w14:paraId="0ACBCDC4" w14:textId="77777777" w:rsidR="00577D08" w:rsidRDefault="00330FC0">
            <w:pPr>
              <w:jc w:val="right"/>
            </w:pPr>
            <w:r>
              <w:rPr>
                <w:rFonts w:hint="eastAsia"/>
              </w:rPr>
              <w:t>5,569,270.48</w:t>
            </w:r>
          </w:p>
        </w:tc>
        <w:tc>
          <w:tcPr>
            <w:tcW w:w="1676" w:type="dxa"/>
            <w:vAlign w:val="center"/>
          </w:tcPr>
          <w:p w14:paraId="47A18370" w14:textId="77777777" w:rsidR="00577D08" w:rsidRDefault="00330FC0">
            <w:pPr>
              <w:jc w:val="right"/>
            </w:pPr>
            <w:r>
              <w:rPr>
                <w:rFonts w:hint="eastAsia"/>
              </w:rPr>
              <w:t>835,390.57</w:t>
            </w:r>
          </w:p>
        </w:tc>
      </w:tr>
      <w:tr w:rsidR="00577D08" w14:paraId="088F0724" w14:textId="77777777">
        <w:trPr>
          <w:trHeight w:val="285"/>
        </w:trPr>
        <w:tc>
          <w:tcPr>
            <w:tcW w:w="2374" w:type="dxa"/>
          </w:tcPr>
          <w:p w14:paraId="125B2E85" w14:textId="77777777" w:rsidR="00577D08" w:rsidRDefault="00330FC0">
            <w:r>
              <w:rPr>
                <w:rFonts w:hint="eastAsia"/>
              </w:rPr>
              <w:t>交易性金融资产公允价值变动</w:t>
            </w:r>
          </w:p>
        </w:tc>
        <w:tc>
          <w:tcPr>
            <w:tcW w:w="1675" w:type="dxa"/>
            <w:vAlign w:val="center"/>
          </w:tcPr>
          <w:p w14:paraId="4F146FB2" w14:textId="77777777" w:rsidR="00577D08" w:rsidRDefault="00577D08">
            <w:pPr>
              <w:jc w:val="right"/>
            </w:pPr>
          </w:p>
        </w:tc>
        <w:tc>
          <w:tcPr>
            <w:tcW w:w="1665" w:type="dxa"/>
            <w:vAlign w:val="center"/>
          </w:tcPr>
          <w:p w14:paraId="5E0DCF29" w14:textId="77777777" w:rsidR="00577D08" w:rsidRDefault="00577D08">
            <w:pPr>
              <w:jc w:val="right"/>
            </w:pPr>
          </w:p>
        </w:tc>
        <w:tc>
          <w:tcPr>
            <w:tcW w:w="1657" w:type="dxa"/>
            <w:vAlign w:val="center"/>
          </w:tcPr>
          <w:p w14:paraId="52D14D62" w14:textId="77777777" w:rsidR="00577D08" w:rsidRDefault="00330FC0">
            <w:pPr>
              <w:jc w:val="right"/>
            </w:pPr>
            <w:r>
              <w:rPr>
                <w:rFonts w:hint="eastAsia"/>
              </w:rPr>
              <w:t>58,819.44</w:t>
            </w:r>
          </w:p>
        </w:tc>
        <w:tc>
          <w:tcPr>
            <w:tcW w:w="1676" w:type="dxa"/>
            <w:vAlign w:val="center"/>
          </w:tcPr>
          <w:p w14:paraId="42927B3F" w14:textId="77777777" w:rsidR="00577D08" w:rsidRDefault="00330FC0">
            <w:pPr>
              <w:jc w:val="right"/>
            </w:pPr>
            <w:r>
              <w:rPr>
                <w:rFonts w:hint="eastAsia"/>
              </w:rPr>
              <w:t>8,822.92</w:t>
            </w:r>
          </w:p>
        </w:tc>
      </w:tr>
      <w:tr w:rsidR="00577D08" w14:paraId="31D4E70F" w14:textId="77777777">
        <w:trPr>
          <w:trHeight w:val="285"/>
        </w:trPr>
        <w:tc>
          <w:tcPr>
            <w:tcW w:w="2374" w:type="dxa"/>
            <w:vAlign w:val="center"/>
          </w:tcPr>
          <w:p w14:paraId="7211AF17" w14:textId="77777777" w:rsidR="00577D08" w:rsidRDefault="00330FC0">
            <w:pPr>
              <w:jc w:val="center"/>
            </w:pPr>
            <w:r>
              <w:rPr>
                <w:rFonts w:hint="eastAsia"/>
              </w:rPr>
              <w:t>合计</w:t>
            </w:r>
          </w:p>
        </w:tc>
        <w:tc>
          <w:tcPr>
            <w:tcW w:w="1675" w:type="dxa"/>
            <w:vAlign w:val="center"/>
          </w:tcPr>
          <w:p w14:paraId="2B76FC58" w14:textId="77777777" w:rsidR="00577D08" w:rsidRDefault="00330FC0">
            <w:pPr>
              <w:jc w:val="right"/>
            </w:pPr>
            <w:r>
              <w:t>511,675,385.07</w:t>
            </w:r>
          </w:p>
        </w:tc>
        <w:tc>
          <w:tcPr>
            <w:tcW w:w="1665" w:type="dxa"/>
            <w:vAlign w:val="center"/>
          </w:tcPr>
          <w:p w14:paraId="0EBB8088" w14:textId="77777777" w:rsidR="00577D08" w:rsidRDefault="00330FC0">
            <w:pPr>
              <w:jc w:val="right"/>
            </w:pPr>
            <w:r>
              <w:t>76,627,953.46</w:t>
            </w:r>
          </w:p>
        </w:tc>
        <w:tc>
          <w:tcPr>
            <w:tcW w:w="1657" w:type="dxa"/>
            <w:vAlign w:val="center"/>
          </w:tcPr>
          <w:p w14:paraId="4A3E9C99" w14:textId="77777777" w:rsidR="00577D08" w:rsidRDefault="00330FC0">
            <w:pPr>
              <w:jc w:val="right"/>
            </w:pPr>
            <w:r>
              <w:t>560,506,078.80</w:t>
            </w:r>
          </w:p>
        </w:tc>
        <w:tc>
          <w:tcPr>
            <w:tcW w:w="1676" w:type="dxa"/>
            <w:vAlign w:val="center"/>
          </w:tcPr>
          <w:p w14:paraId="5F0A8674" w14:textId="77777777" w:rsidR="00577D08" w:rsidRDefault="00330FC0">
            <w:pPr>
              <w:jc w:val="right"/>
            </w:pPr>
            <w:r>
              <w:t>84,111,718.64</w:t>
            </w:r>
          </w:p>
        </w:tc>
      </w:tr>
    </w:tbl>
    <w:p w14:paraId="4FB0F8E6" w14:textId="77777777" w:rsidR="00577D08" w:rsidRDefault="00577D08"/>
    <w:p w14:paraId="53497036" w14:textId="77777777" w:rsidR="00577D08" w:rsidRDefault="00330FC0">
      <w:pPr>
        <w:pStyle w:val="4"/>
        <w:numPr>
          <w:ilvl w:val="0"/>
          <w:numId w:val="84"/>
        </w:numPr>
        <w:ind w:left="426" w:hanging="426"/>
        <w:rPr>
          <w:rFonts w:hint="eastAsia"/>
        </w:rPr>
      </w:pPr>
      <w:r>
        <w:rPr>
          <w:rFonts w:hint="eastAsia"/>
        </w:rPr>
        <w:t>以抵销后净额列示的递延所得税资产或负债</w:t>
      </w:r>
    </w:p>
    <w:sdt>
      <w:sdtPr>
        <w:alias w:val="是否适用：以抵销后净额列示的递延所得税资产或负债[双击切换]"/>
        <w:tag w:val="_GBC_adbd88aca1694de2a14c265a3fb12290"/>
        <w:id w:val="526921166"/>
        <w:placeholder>
          <w:docPart w:val="GBC22222222222222222222222222222"/>
        </w:placeholder>
      </w:sdtPr>
      <w:sdtContent>
        <w:p w14:paraId="4362AD9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BAA823A" w14:textId="706EE386" w:rsidR="00577D08" w:rsidRDefault="00330FC0">
      <w:pPr>
        <w:wordWrap w:val="0"/>
        <w:jc w:val="right"/>
      </w:pPr>
      <w:r>
        <w:rPr>
          <w:rFonts w:hint="eastAsia"/>
        </w:rPr>
        <w:t>单位：</w:t>
      </w:r>
      <w:sdt>
        <w:sdtPr>
          <w:rPr>
            <w:rFonts w:hint="eastAsia"/>
          </w:rPr>
          <w:alias w:val="单位：财务附注：互抵后的递延所得税资产及负债的组成项目"/>
          <w:tag w:val="_GBC_2b339a7e526d4061aa348bb358a09881"/>
          <w:id w:val="-203780446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互抵后的递延所得税资产及负债的组成项目"/>
          <w:tag w:val="_GBC_e04e01fedf4a42b48978284d31c493e1"/>
          <w:id w:val="-16817360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1675"/>
        <w:gridCol w:w="1662"/>
        <w:gridCol w:w="1688"/>
        <w:gridCol w:w="1660"/>
      </w:tblGrid>
      <w:tr w:rsidR="00577D08" w14:paraId="7179B129" w14:textId="77777777">
        <w:sdt>
          <w:sdtPr>
            <w:tag w:val="_PLD_9e50bf23f9ed49bdabf6012766e0349d"/>
            <w:id w:val="1656407390"/>
          </w:sdtPr>
          <w:sdtContent>
            <w:tc>
              <w:tcPr>
                <w:tcW w:w="2363" w:type="dxa"/>
                <w:vMerge w:val="restart"/>
                <w:vAlign w:val="center"/>
              </w:tcPr>
              <w:p w14:paraId="1752B507" w14:textId="77777777" w:rsidR="00577D08" w:rsidRDefault="00330FC0">
                <w:pPr>
                  <w:jc w:val="center"/>
                  <w:rPr>
                    <w:color w:val="000000" w:themeColor="text1"/>
                  </w:rPr>
                </w:pPr>
                <w:r>
                  <w:rPr>
                    <w:rFonts w:hint="eastAsia"/>
                    <w:color w:val="000000" w:themeColor="text1"/>
                  </w:rPr>
                  <w:t>项目</w:t>
                </w:r>
              </w:p>
            </w:tc>
          </w:sdtContent>
        </w:sdt>
        <w:sdt>
          <w:sdtPr>
            <w:tag w:val="_PLD_033e4a11ede747529f4c3efd9b18ad19"/>
            <w:id w:val="-40363567"/>
          </w:sdtPr>
          <w:sdtContent>
            <w:tc>
              <w:tcPr>
                <w:tcW w:w="3337" w:type="dxa"/>
                <w:gridSpan w:val="2"/>
                <w:tcBorders>
                  <w:bottom w:val="single" w:sz="4" w:space="0" w:color="auto"/>
                </w:tcBorders>
                <w:vAlign w:val="center"/>
              </w:tcPr>
              <w:p w14:paraId="5AF78BBB" w14:textId="77777777" w:rsidR="00577D08" w:rsidRDefault="00330FC0">
                <w:pPr>
                  <w:jc w:val="center"/>
                  <w:rPr>
                    <w:color w:val="000000" w:themeColor="text1"/>
                  </w:rPr>
                </w:pPr>
                <w:r>
                  <w:rPr>
                    <w:rFonts w:hint="eastAsia"/>
                    <w:color w:val="000000" w:themeColor="text1"/>
                  </w:rPr>
                  <w:t>期末余额</w:t>
                </w:r>
              </w:p>
            </w:tc>
          </w:sdtContent>
        </w:sdt>
        <w:sdt>
          <w:sdtPr>
            <w:tag w:val="_PLD_a00f6a5b3eb54004b4aa3da029c2612c"/>
            <w:id w:val="-1230842475"/>
          </w:sdtPr>
          <w:sdtContent>
            <w:tc>
              <w:tcPr>
                <w:tcW w:w="3348" w:type="dxa"/>
                <w:gridSpan w:val="2"/>
                <w:tcBorders>
                  <w:bottom w:val="single" w:sz="4" w:space="0" w:color="auto"/>
                </w:tcBorders>
                <w:vAlign w:val="center"/>
              </w:tcPr>
              <w:p w14:paraId="65B87BFE" w14:textId="77777777" w:rsidR="00577D08" w:rsidRDefault="00330FC0">
                <w:pPr>
                  <w:jc w:val="center"/>
                  <w:rPr>
                    <w:color w:val="000000" w:themeColor="text1"/>
                  </w:rPr>
                </w:pPr>
                <w:r>
                  <w:rPr>
                    <w:rFonts w:hint="eastAsia"/>
                    <w:color w:val="000000" w:themeColor="text1"/>
                  </w:rPr>
                  <w:t>期初余额</w:t>
                </w:r>
              </w:p>
            </w:tc>
          </w:sdtContent>
        </w:sdt>
      </w:tr>
      <w:tr w:rsidR="00577D08" w14:paraId="10D15508" w14:textId="77777777">
        <w:tc>
          <w:tcPr>
            <w:tcW w:w="2363" w:type="dxa"/>
            <w:vMerge/>
            <w:tcBorders>
              <w:bottom w:val="single" w:sz="4" w:space="0" w:color="auto"/>
            </w:tcBorders>
            <w:vAlign w:val="center"/>
          </w:tcPr>
          <w:p w14:paraId="648E75B1" w14:textId="77777777" w:rsidR="00577D08" w:rsidRDefault="00577D08">
            <w:pPr>
              <w:jc w:val="center"/>
              <w:rPr>
                <w:color w:val="000000" w:themeColor="text1"/>
              </w:rPr>
            </w:pPr>
          </w:p>
        </w:tc>
        <w:sdt>
          <w:sdtPr>
            <w:tag w:val="_PLD_835762c7fddb43d1a6ee9ee15b40521d"/>
            <w:id w:val="738221111"/>
          </w:sdtPr>
          <w:sdtContent>
            <w:tc>
              <w:tcPr>
                <w:tcW w:w="1675" w:type="dxa"/>
                <w:tcBorders>
                  <w:bottom w:val="single" w:sz="4" w:space="0" w:color="auto"/>
                </w:tcBorders>
                <w:vAlign w:val="center"/>
              </w:tcPr>
              <w:p w14:paraId="4845F49F" w14:textId="77777777" w:rsidR="00577D08" w:rsidRDefault="00330FC0">
                <w:pPr>
                  <w:jc w:val="center"/>
                  <w:rPr>
                    <w:color w:val="000000" w:themeColor="text1"/>
                  </w:rPr>
                </w:pPr>
                <w:r>
                  <w:rPr>
                    <w:rFonts w:hint="eastAsia"/>
                    <w:color w:val="000000" w:themeColor="text1"/>
                  </w:rPr>
                  <w:t>递延所得税资产和负债互抵金额</w:t>
                </w:r>
              </w:p>
            </w:tc>
          </w:sdtContent>
        </w:sdt>
        <w:sdt>
          <w:sdtPr>
            <w:tag w:val="_PLD_6793eabf083041e98d636c9fc0412fec"/>
            <w:id w:val="174473827"/>
          </w:sdtPr>
          <w:sdtContent>
            <w:tc>
              <w:tcPr>
                <w:tcW w:w="1662" w:type="dxa"/>
                <w:tcBorders>
                  <w:bottom w:val="single" w:sz="4" w:space="0" w:color="auto"/>
                </w:tcBorders>
                <w:vAlign w:val="center"/>
              </w:tcPr>
              <w:p w14:paraId="3EC65220" w14:textId="77777777" w:rsidR="00577D08" w:rsidRDefault="00330FC0">
                <w:pPr>
                  <w:jc w:val="center"/>
                  <w:rPr>
                    <w:color w:val="000000" w:themeColor="text1"/>
                  </w:rPr>
                </w:pPr>
                <w:r>
                  <w:rPr>
                    <w:rFonts w:hint="eastAsia"/>
                    <w:color w:val="000000" w:themeColor="text1"/>
                  </w:rPr>
                  <w:t>抵销后递延所得税资产或负债余额</w:t>
                </w:r>
              </w:p>
            </w:tc>
          </w:sdtContent>
        </w:sdt>
        <w:sdt>
          <w:sdtPr>
            <w:tag w:val="_PLD_b196310238c944bc97a27f77dab5da31"/>
            <w:id w:val="599462809"/>
          </w:sdtPr>
          <w:sdtContent>
            <w:tc>
              <w:tcPr>
                <w:tcW w:w="1688" w:type="dxa"/>
                <w:tcBorders>
                  <w:bottom w:val="single" w:sz="4" w:space="0" w:color="auto"/>
                </w:tcBorders>
                <w:vAlign w:val="center"/>
              </w:tcPr>
              <w:p w14:paraId="594971B6" w14:textId="77777777" w:rsidR="00577D08" w:rsidRDefault="00330FC0">
                <w:pPr>
                  <w:jc w:val="center"/>
                  <w:rPr>
                    <w:color w:val="000000" w:themeColor="text1"/>
                  </w:rPr>
                </w:pPr>
                <w:r>
                  <w:rPr>
                    <w:rFonts w:hint="eastAsia"/>
                    <w:color w:val="000000" w:themeColor="text1"/>
                  </w:rPr>
                  <w:t>递延所得税资产和负债互抵金额</w:t>
                </w:r>
              </w:p>
            </w:tc>
          </w:sdtContent>
        </w:sdt>
        <w:sdt>
          <w:sdtPr>
            <w:tag w:val="_PLD_c3aebf3cf2194ddf933aa14ffbbfd279"/>
            <w:id w:val="695579813"/>
          </w:sdtPr>
          <w:sdtContent>
            <w:tc>
              <w:tcPr>
                <w:tcW w:w="1660" w:type="dxa"/>
                <w:tcBorders>
                  <w:bottom w:val="single" w:sz="4" w:space="0" w:color="auto"/>
                </w:tcBorders>
                <w:vAlign w:val="center"/>
              </w:tcPr>
              <w:p w14:paraId="719C3605" w14:textId="77777777" w:rsidR="00577D08" w:rsidRDefault="00330FC0">
                <w:pPr>
                  <w:jc w:val="center"/>
                  <w:rPr>
                    <w:color w:val="000000" w:themeColor="text1"/>
                  </w:rPr>
                </w:pPr>
                <w:r>
                  <w:rPr>
                    <w:rFonts w:hint="eastAsia"/>
                    <w:color w:val="000000" w:themeColor="text1"/>
                  </w:rPr>
                  <w:t>抵销后递延所得税资产或负债余额</w:t>
                </w:r>
              </w:p>
            </w:tc>
          </w:sdtContent>
        </w:sdt>
      </w:tr>
      <w:tr w:rsidR="00577D08" w14:paraId="57EE771B" w14:textId="77777777">
        <w:tc>
          <w:tcPr>
            <w:tcW w:w="2363" w:type="dxa"/>
            <w:vAlign w:val="center"/>
          </w:tcPr>
          <w:p w14:paraId="49B7C715" w14:textId="77777777" w:rsidR="00577D08" w:rsidRDefault="00330FC0">
            <w:pPr>
              <w:rPr>
                <w:color w:val="000000" w:themeColor="text1"/>
              </w:rPr>
            </w:pPr>
            <w:bookmarkStart w:id="421" w:name="_Hlk200964296"/>
            <w:r>
              <w:rPr>
                <w:rFonts w:hint="eastAsia"/>
                <w:color w:val="000000" w:themeColor="text1"/>
              </w:rPr>
              <w:t>递延所得税资产</w:t>
            </w:r>
          </w:p>
        </w:tc>
        <w:tc>
          <w:tcPr>
            <w:tcW w:w="1675" w:type="dxa"/>
          </w:tcPr>
          <w:p w14:paraId="2A5D4CCB" w14:textId="77777777" w:rsidR="00577D08" w:rsidRDefault="00330FC0">
            <w:pPr>
              <w:jc w:val="right"/>
            </w:pPr>
            <w:r>
              <w:t>34,994,552.91</w:t>
            </w:r>
          </w:p>
        </w:tc>
        <w:tc>
          <w:tcPr>
            <w:tcW w:w="1662" w:type="dxa"/>
          </w:tcPr>
          <w:p w14:paraId="5857CB41" w14:textId="77777777" w:rsidR="00577D08" w:rsidRDefault="00330FC0">
            <w:pPr>
              <w:jc w:val="right"/>
            </w:pPr>
            <w:r>
              <w:t>21,223,386.88</w:t>
            </w:r>
          </w:p>
        </w:tc>
        <w:tc>
          <w:tcPr>
            <w:tcW w:w="1688" w:type="dxa"/>
          </w:tcPr>
          <w:p w14:paraId="3B1D6FB4" w14:textId="77777777" w:rsidR="00577D08" w:rsidRDefault="00330FC0">
            <w:pPr>
              <w:jc w:val="right"/>
            </w:pPr>
            <w:r>
              <w:t>38,607,537.66</w:t>
            </w:r>
          </w:p>
        </w:tc>
        <w:tc>
          <w:tcPr>
            <w:tcW w:w="1660" w:type="dxa"/>
          </w:tcPr>
          <w:p w14:paraId="7353263A" w14:textId="77777777" w:rsidR="00577D08" w:rsidRDefault="00330FC0">
            <w:pPr>
              <w:jc w:val="right"/>
            </w:pPr>
            <w:r>
              <w:t>18,461,556.75</w:t>
            </w:r>
          </w:p>
        </w:tc>
      </w:tr>
      <w:tr w:rsidR="00577D08" w14:paraId="2073AB77" w14:textId="77777777">
        <w:tc>
          <w:tcPr>
            <w:tcW w:w="2363" w:type="dxa"/>
            <w:vAlign w:val="center"/>
          </w:tcPr>
          <w:p w14:paraId="725C2058" w14:textId="77777777" w:rsidR="00577D08" w:rsidRDefault="00330FC0">
            <w:pPr>
              <w:rPr>
                <w:color w:val="000000" w:themeColor="text1"/>
              </w:rPr>
            </w:pPr>
            <w:r>
              <w:rPr>
                <w:rFonts w:hint="eastAsia"/>
                <w:color w:val="000000" w:themeColor="text1"/>
              </w:rPr>
              <w:t>递延所得税负债</w:t>
            </w:r>
          </w:p>
        </w:tc>
        <w:tc>
          <w:tcPr>
            <w:tcW w:w="1675" w:type="dxa"/>
          </w:tcPr>
          <w:p w14:paraId="5351D27E" w14:textId="77777777" w:rsidR="00577D08" w:rsidRDefault="00330FC0">
            <w:pPr>
              <w:jc w:val="right"/>
            </w:pPr>
            <w:r>
              <w:t>34,994,552.91</w:t>
            </w:r>
          </w:p>
        </w:tc>
        <w:tc>
          <w:tcPr>
            <w:tcW w:w="1662" w:type="dxa"/>
          </w:tcPr>
          <w:p w14:paraId="050515CD" w14:textId="77777777" w:rsidR="00577D08" w:rsidRDefault="00330FC0">
            <w:pPr>
              <w:jc w:val="right"/>
            </w:pPr>
            <w:r>
              <w:t>41,633,400.55</w:t>
            </w:r>
          </w:p>
        </w:tc>
        <w:tc>
          <w:tcPr>
            <w:tcW w:w="1688" w:type="dxa"/>
          </w:tcPr>
          <w:p w14:paraId="2F220DC6" w14:textId="77777777" w:rsidR="00577D08" w:rsidRDefault="00330FC0">
            <w:pPr>
              <w:jc w:val="right"/>
            </w:pPr>
            <w:r>
              <w:t>38,607,537.66</w:t>
            </w:r>
          </w:p>
        </w:tc>
        <w:tc>
          <w:tcPr>
            <w:tcW w:w="1660" w:type="dxa"/>
          </w:tcPr>
          <w:p w14:paraId="48773687" w14:textId="77777777" w:rsidR="00577D08" w:rsidRDefault="00330FC0">
            <w:pPr>
              <w:jc w:val="right"/>
            </w:pPr>
            <w:r>
              <w:t>45,504,180.98</w:t>
            </w:r>
          </w:p>
        </w:tc>
      </w:tr>
    </w:tbl>
    <w:bookmarkEnd w:id="421"/>
    <w:p w14:paraId="1085C694" w14:textId="77777777" w:rsidR="00577D08" w:rsidRDefault="00330FC0">
      <w:pPr>
        <w:pStyle w:val="4"/>
        <w:numPr>
          <w:ilvl w:val="0"/>
          <w:numId w:val="84"/>
        </w:numPr>
        <w:ind w:left="426" w:hanging="426"/>
        <w:rPr>
          <w:rFonts w:hint="eastAsia"/>
        </w:rPr>
      </w:pPr>
      <w:r>
        <w:rPr>
          <w:rFonts w:hint="eastAsia"/>
        </w:rPr>
        <w:t>未确认递延所得税资产明细</w:t>
      </w:r>
    </w:p>
    <w:sdt>
      <w:sdtPr>
        <w:alias w:val="是否适用：未确认递延所得税资产明细[双击切换]"/>
        <w:tag w:val="_GBC_713996bf5e4d4c6988835fbf892c5ef2"/>
        <w:id w:val="1936403762"/>
        <w:placeholder>
          <w:docPart w:val="GBC22222222222222222222222222222"/>
        </w:placeholder>
      </w:sdtPr>
      <w:sdtContent>
        <w:p w14:paraId="771FE72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DF345F1" w14:textId="0D2477CD" w:rsidR="00577D08" w:rsidRDefault="00330FC0">
      <w:pPr>
        <w:jc w:val="right"/>
      </w:pPr>
      <w:r>
        <w:rPr>
          <w:rFonts w:hint="eastAsia"/>
        </w:rPr>
        <w:t>单位：</w:t>
      </w:r>
      <w:sdt>
        <w:sdtPr>
          <w:rPr>
            <w:rFonts w:hint="eastAsia"/>
          </w:rPr>
          <w:alias w:val="单位：财务附注：未确认递延所得税资产明细"/>
          <w:tag w:val="_GBC_f8fecfb8754c42a8b3b02d67ae705062"/>
          <w:id w:val="-13922672"/>
          <w:placeholder>
            <w:docPart w:val="5B8FDBA2C30D42199DE2454558356AE3"/>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未确认递延所得税资产明细"/>
          <w:tag w:val="_GBC_2f5aab227caa4f7da7d6278ecf51ccdf"/>
          <w:id w:val="-1926335366"/>
          <w:placeholder>
            <w:docPart w:val="5B8FDBA2C30D42199DE2454558356AE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8"/>
        <w:gridCol w:w="3082"/>
        <w:gridCol w:w="3078"/>
      </w:tblGrid>
      <w:tr w:rsidR="00577D08" w14:paraId="56DE08C2" w14:textId="77777777">
        <w:trPr>
          <w:trHeight w:val="285"/>
        </w:trPr>
        <w:bookmarkStart w:id="422" w:name="OLE_LINK19" w:displacedByCustomXml="next"/>
        <w:sdt>
          <w:sdtPr>
            <w:tag w:val="_PLD_91af0f9b93ef459d823e4bc33d9190d6"/>
            <w:id w:val="-1023093253"/>
          </w:sdtPr>
          <w:sdtContent>
            <w:tc>
              <w:tcPr>
                <w:tcW w:w="2888" w:type="dxa"/>
                <w:tcBorders>
                  <w:top w:val="single" w:sz="4" w:space="0" w:color="auto"/>
                  <w:left w:val="single" w:sz="4" w:space="0" w:color="auto"/>
                  <w:bottom w:val="single" w:sz="4" w:space="0" w:color="auto"/>
                  <w:right w:val="single" w:sz="4" w:space="0" w:color="auto"/>
                </w:tcBorders>
                <w:vAlign w:val="center"/>
              </w:tcPr>
              <w:p w14:paraId="18CEFDC1" w14:textId="77777777" w:rsidR="00577D08" w:rsidRDefault="00330FC0">
                <w:pPr>
                  <w:jc w:val="center"/>
                </w:pPr>
                <w:r>
                  <w:rPr>
                    <w:rFonts w:hint="eastAsia"/>
                  </w:rPr>
                  <w:t>项目</w:t>
                </w:r>
              </w:p>
            </w:tc>
          </w:sdtContent>
        </w:sdt>
        <w:sdt>
          <w:sdtPr>
            <w:tag w:val="_PLD_2c2dee2efbd6433784024156b3454ba7"/>
            <w:id w:val="1448048222"/>
          </w:sdtPr>
          <w:sdtContent>
            <w:tc>
              <w:tcPr>
                <w:tcW w:w="3082" w:type="dxa"/>
                <w:tcBorders>
                  <w:top w:val="single" w:sz="4" w:space="0" w:color="auto"/>
                  <w:left w:val="single" w:sz="4" w:space="0" w:color="auto"/>
                  <w:bottom w:val="single" w:sz="4" w:space="0" w:color="auto"/>
                  <w:right w:val="single" w:sz="4" w:space="0" w:color="auto"/>
                </w:tcBorders>
                <w:vAlign w:val="center"/>
              </w:tcPr>
              <w:p w14:paraId="57E9885D" w14:textId="77777777" w:rsidR="00577D08" w:rsidRDefault="00330FC0">
                <w:pPr>
                  <w:jc w:val="center"/>
                </w:pPr>
                <w:r>
                  <w:rPr>
                    <w:rFonts w:hint="eastAsia"/>
                  </w:rPr>
                  <w:t>期末余额</w:t>
                </w:r>
              </w:p>
            </w:tc>
          </w:sdtContent>
        </w:sdt>
        <w:sdt>
          <w:sdtPr>
            <w:tag w:val="_PLD_d5059c87582d4e558703d63a8a2d5399"/>
            <w:id w:val="1253934868"/>
          </w:sdtPr>
          <w:sdtContent>
            <w:tc>
              <w:tcPr>
                <w:tcW w:w="3078" w:type="dxa"/>
                <w:tcBorders>
                  <w:top w:val="single" w:sz="4" w:space="0" w:color="auto"/>
                  <w:left w:val="single" w:sz="4" w:space="0" w:color="auto"/>
                  <w:bottom w:val="single" w:sz="4" w:space="0" w:color="auto"/>
                  <w:right w:val="single" w:sz="4" w:space="0" w:color="auto"/>
                </w:tcBorders>
                <w:vAlign w:val="center"/>
              </w:tcPr>
              <w:p w14:paraId="35213AEB" w14:textId="77777777" w:rsidR="00577D08" w:rsidRDefault="00330FC0">
                <w:pPr>
                  <w:jc w:val="center"/>
                </w:pPr>
                <w:r>
                  <w:rPr>
                    <w:rFonts w:hint="eastAsia"/>
                  </w:rPr>
                  <w:t>期初余额</w:t>
                </w:r>
              </w:p>
            </w:tc>
          </w:sdtContent>
        </w:sdt>
      </w:tr>
      <w:tr w:rsidR="00577D08" w14:paraId="59D0CE87" w14:textId="77777777">
        <w:trPr>
          <w:trHeight w:val="285"/>
        </w:trPr>
        <w:tc>
          <w:tcPr>
            <w:tcW w:w="2888" w:type="dxa"/>
            <w:tcBorders>
              <w:top w:val="single" w:sz="4" w:space="0" w:color="auto"/>
              <w:left w:val="single" w:sz="4" w:space="0" w:color="auto"/>
              <w:bottom w:val="single" w:sz="4" w:space="0" w:color="auto"/>
              <w:right w:val="single" w:sz="4" w:space="0" w:color="auto"/>
            </w:tcBorders>
          </w:tcPr>
          <w:p w14:paraId="1F02EDF2" w14:textId="77777777" w:rsidR="00577D08" w:rsidRDefault="00330FC0">
            <w:r>
              <w:rPr>
                <w:rFonts w:hint="eastAsia"/>
              </w:rPr>
              <w:t>可抵扣暂时性差异</w:t>
            </w:r>
          </w:p>
        </w:tc>
        <w:tc>
          <w:tcPr>
            <w:tcW w:w="3082" w:type="dxa"/>
            <w:tcBorders>
              <w:top w:val="single" w:sz="4" w:space="0" w:color="auto"/>
              <w:left w:val="single" w:sz="4" w:space="0" w:color="auto"/>
              <w:bottom w:val="single" w:sz="4" w:space="0" w:color="auto"/>
              <w:right w:val="single" w:sz="4" w:space="0" w:color="auto"/>
            </w:tcBorders>
          </w:tcPr>
          <w:p w14:paraId="4E6F0CDE" w14:textId="77777777" w:rsidR="00577D08" w:rsidRDefault="00330FC0">
            <w:pPr>
              <w:jc w:val="right"/>
            </w:pPr>
            <w:r>
              <w:rPr>
                <w:rFonts w:hint="eastAsia"/>
              </w:rPr>
              <w:t>2,444.20</w:t>
            </w:r>
          </w:p>
        </w:tc>
        <w:tc>
          <w:tcPr>
            <w:tcW w:w="3078" w:type="dxa"/>
            <w:tcBorders>
              <w:top w:val="single" w:sz="4" w:space="0" w:color="auto"/>
              <w:left w:val="single" w:sz="4" w:space="0" w:color="auto"/>
              <w:bottom w:val="single" w:sz="4" w:space="0" w:color="auto"/>
              <w:right w:val="single" w:sz="4" w:space="0" w:color="auto"/>
            </w:tcBorders>
            <w:vAlign w:val="center"/>
          </w:tcPr>
          <w:p w14:paraId="154D8415" w14:textId="77777777" w:rsidR="00577D08" w:rsidRDefault="00577D08">
            <w:pPr>
              <w:jc w:val="right"/>
            </w:pPr>
          </w:p>
        </w:tc>
      </w:tr>
      <w:tr w:rsidR="00577D08" w14:paraId="2D219AC1" w14:textId="77777777">
        <w:trPr>
          <w:trHeight w:val="285"/>
        </w:trPr>
        <w:tc>
          <w:tcPr>
            <w:tcW w:w="2888" w:type="dxa"/>
            <w:tcBorders>
              <w:top w:val="single" w:sz="4" w:space="0" w:color="auto"/>
              <w:left w:val="single" w:sz="4" w:space="0" w:color="auto"/>
              <w:bottom w:val="single" w:sz="4" w:space="0" w:color="auto"/>
              <w:right w:val="single" w:sz="4" w:space="0" w:color="auto"/>
            </w:tcBorders>
          </w:tcPr>
          <w:p w14:paraId="3A8FF406" w14:textId="77777777" w:rsidR="00577D08" w:rsidRDefault="00330FC0">
            <w:r>
              <w:rPr>
                <w:rFonts w:hint="eastAsia"/>
              </w:rPr>
              <w:t>可抵扣亏损</w:t>
            </w:r>
          </w:p>
        </w:tc>
        <w:tc>
          <w:tcPr>
            <w:tcW w:w="3082" w:type="dxa"/>
            <w:tcBorders>
              <w:top w:val="single" w:sz="4" w:space="0" w:color="auto"/>
              <w:left w:val="single" w:sz="4" w:space="0" w:color="auto"/>
              <w:bottom w:val="single" w:sz="4" w:space="0" w:color="auto"/>
              <w:right w:val="single" w:sz="4" w:space="0" w:color="auto"/>
            </w:tcBorders>
          </w:tcPr>
          <w:p w14:paraId="3F9161FF" w14:textId="77777777" w:rsidR="00577D08" w:rsidRDefault="00330FC0">
            <w:pPr>
              <w:jc w:val="right"/>
            </w:pPr>
            <w:r>
              <w:rPr>
                <w:rFonts w:hint="eastAsia"/>
              </w:rPr>
              <w:t>1,713,027.80</w:t>
            </w:r>
          </w:p>
        </w:tc>
        <w:tc>
          <w:tcPr>
            <w:tcW w:w="3078" w:type="dxa"/>
            <w:tcBorders>
              <w:top w:val="single" w:sz="4" w:space="0" w:color="auto"/>
              <w:left w:val="single" w:sz="4" w:space="0" w:color="auto"/>
              <w:bottom w:val="single" w:sz="4" w:space="0" w:color="auto"/>
              <w:right w:val="single" w:sz="4" w:space="0" w:color="auto"/>
            </w:tcBorders>
            <w:vAlign w:val="center"/>
          </w:tcPr>
          <w:p w14:paraId="476948FB" w14:textId="77777777" w:rsidR="00577D08" w:rsidRDefault="00577D08">
            <w:pPr>
              <w:jc w:val="right"/>
            </w:pPr>
          </w:p>
        </w:tc>
      </w:tr>
      <w:tr w:rsidR="00577D08" w14:paraId="79B2988F" w14:textId="77777777">
        <w:trPr>
          <w:trHeight w:val="285"/>
        </w:trPr>
        <w:tc>
          <w:tcPr>
            <w:tcW w:w="2888" w:type="dxa"/>
            <w:tcBorders>
              <w:top w:val="single" w:sz="4" w:space="0" w:color="auto"/>
              <w:left w:val="single" w:sz="4" w:space="0" w:color="auto"/>
              <w:bottom w:val="single" w:sz="4" w:space="0" w:color="auto"/>
              <w:right w:val="single" w:sz="4" w:space="0" w:color="auto"/>
            </w:tcBorders>
            <w:vAlign w:val="center"/>
          </w:tcPr>
          <w:p w14:paraId="7D3AA238" w14:textId="77777777" w:rsidR="00577D08" w:rsidRDefault="00330FC0">
            <w:pPr>
              <w:jc w:val="center"/>
            </w:pPr>
            <w:r>
              <w:rPr>
                <w:rFonts w:hint="eastAsia"/>
              </w:rPr>
              <w:t>合计</w:t>
            </w:r>
          </w:p>
        </w:tc>
        <w:tc>
          <w:tcPr>
            <w:tcW w:w="3082" w:type="dxa"/>
            <w:tcBorders>
              <w:top w:val="single" w:sz="4" w:space="0" w:color="auto"/>
              <w:left w:val="single" w:sz="4" w:space="0" w:color="auto"/>
              <w:bottom w:val="single" w:sz="4" w:space="0" w:color="auto"/>
              <w:right w:val="single" w:sz="4" w:space="0" w:color="auto"/>
            </w:tcBorders>
            <w:vAlign w:val="center"/>
          </w:tcPr>
          <w:p w14:paraId="4D6E42D1" w14:textId="77777777" w:rsidR="00577D08" w:rsidRDefault="00330FC0">
            <w:pPr>
              <w:jc w:val="right"/>
            </w:pPr>
            <w:r>
              <w:t>1,715,472.00</w:t>
            </w:r>
          </w:p>
        </w:tc>
        <w:tc>
          <w:tcPr>
            <w:tcW w:w="3078" w:type="dxa"/>
            <w:tcBorders>
              <w:top w:val="single" w:sz="4" w:space="0" w:color="auto"/>
              <w:left w:val="single" w:sz="4" w:space="0" w:color="auto"/>
              <w:bottom w:val="single" w:sz="4" w:space="0" w:color="auto"/>
              <w:right w:val="single" w:sz="4" w:space="0" w:color="auto"/>
            </w:tcBorders>
            <w:vAlign w:val="center"/>
          </w:tcPr>
          <w:p w14:paraId="1A062B2A" w14:textId="77777777" w:rsidR="00577D08" w:rsidRDefault="00577D08">
            <w:pPr>
              <w:jc w:val="right"/>
            </w:pPr>
          </w:p>
        </w:tc>
      </w:tr>
    </w:tbl>
    <w:bookmarkEnd w:id="422"/>
    <w:p w14:paraId="5393AFE4" w14:textId="77777777" w:rsidR="00577D08" w:rsidRDefault="00330FC0">
      <w:pPr>
        <w:pStyle w:val="4"/>
        <w:numPr>
          <w:ilvl w:val="0"/>
          <w:numId w:val="84"/>
        </w:numPr>
        <w:ind w:left="426" w:hanging="426"/>
        <w:rPr>
          <w:rFonts w:hint="eastAsia"/>
        </w:rPr>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1094713651"/>
        <w:placeholder>
          <w:docPart w:val="GBC22222222222222222222222222222"/>
        </w:placeholder>
      </w:sdtPr>
      <w:sdtContent>
        <w:p w14:paraId="63CFA71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04A7227" w14:textId="698459DD" w:rsidR="00577D08" w:rsidRDefault="00330FC0">
      <w:pPr>
        <w:ind w:right="57"/>
        <w:jc w:val="right"/>
      </w:pPr>
      <w:r>
        <w:rPr>
          <w:rFonts w:hint="eastAsia"/>
        </w:rPr>
        <w:t>单位：</w:t>
      </w:r>
      <w:sdt>
        <w:sdtPr>
          <w:rPr>
            <w:rFonts w:hint="eastAsia"/>
          </w:rPr>
          <w:alias w:val="单位：财务附注：未确认递延所得税资产的可抵扣亏损将于以下年度到期"/>
          <w:tag w:val="_GBC_f2f4114ac2e940dc8739e6c3e20fe15f"/>
          <w:id w:val="21596496"/>
          <w:placeholder>
            <w:docPart w:val="7B32CDAC4BF6464E8721DB706F8EBA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未确认递延所得税资产的可抵扣亏损将于以下年度到期"/>
          <w:tag w:val="_GBC_a44b093249e5439fa4b311f7150bce43"/>
          <w:id w:val="267597094"/>
          <w:placeholder>
            <w:docPart w:val="7B32CDAC4BF6464E8721DB706F8EBA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2285"/>
        <w:gridCol w:w="2323"/>
        <w:gridCol w:w="2354"/>
      </w:tblGrid>
      <w:tr w:rsidR="00577D08" w14:paraId="30DD67C4" w14:textId="77777777">
        <w:trPr>
          <w:trHeight w:val="285"/>
        </w:trPr>
        <w:bookmarkStart w:id="423" w:name="OLE_LINK20" w:displacedByCustomXml="next"/>
        <w:sdt>
          <w:sdtPr>
            <w:tag w:val="_PLD_c2bad95d2ced4c2f8958303268f6cd2b"/>
            <w:id w:val="1304426559"/>
          </w:sdtPr>
          <w:sdtContent>
            <w:tc>
              <w:tcPr>
                <w:tcW w:w="2084" w:type="dxa"/>
                <w:tcBorders>
                  <w:top w:val="single" w:sz="4" w:space="0" w:color="auto"/>
                  <w:left w:val="single" w:sz="4" w:space="0" w:color="auto"/>
                  <w:bottom w:val="single" w:sz="4" w:space="0" w:color="auto"/>
                  <w:right w:val="single" w:sz="4" w:space="0" w:color="auto"/>
                </w:tcBorders>
                <w:vAlign w:val="center"/>
              </w:tcPr>
              <w:p w14:paraId="330A169D" w14:textId="77777777" w:rsidR="00577D08" w:rsidRDefault="00330FC0">
                <w:pPr>
                  <w:jc w:val="center"/>
                </w:pPr>
                <w:r>
                  <w:rPr>
                    <w:rFonts w:hint="eastAsia"/>
                  </w:rPr>
                  <w:t>年份</w:t>
                </w:r>
              </w:p>
            </w:tc>
          </w:sdtContent>
        </w:sdt>
        <w:sdt>
          <w:sdtPr>
            <w:tag w:val="_PLD_20395d1e877346dbbdb29c15ffdda67a"/>
            <w:id w:val="-134960902"/>
          </w:sdtPr>
          <w:sdtContent>
            <w:tc>
              <w:tcPr>
                <w:tcW w:w="2285" w:type="dxa"/>
                <w:tcBorders>
                  <w:top w:val="single" w:sz="4" w:space="0" w:color="auto"/>
                  <w:left w:val="single" w:sz="4" w:space="0" w:color="auto"/>
                  <w:bottom w:val="single" w:sz="4" w:space="0" w:color="auto"/>
                  <w:right w:val="single" w:sz="4" w:space="0" w:color="auto"/>
                </w:tcBorders>
                <w:vAlign w:val="center"/>
              </w:tcPr>
              <w:p w14:paraId="251253B6" w14:textId="77777777" w:rsidR="00577D08" w:rsidRDefault="00330FC0">
                <w:pPr>
                  <w:jc w:val="center"/>
                </w:pPr>
                <w:r>
                  <w:rPr>
                    <w:rFonts w:hint="eastAsia"/>
                  </w:rPr>
                  <w:t>期末金额</w:t>
                </w:r>
              </w:p>
            </w:tc>
          </w:sdtContent>
        </w:sdt>
        <w:sdt>
          <w:sdtPr>
            <w:tag w:val="_PLD_7c3e310eca854a9283aca385397086c3"/>
            <w:id w:val="-763218740"/>
          </w:sdtPr>
          <w:sdtContent>
            <w:tc>
              <w:tcPr>
                <w:tcW w:w="2323" w:type="dxa"/>
                <w:tcBorders>
                  <w:top w:val="single" w:sz="4" w:space="0" w:color="auto"/>
                  <w:left w:val="single" w:sz="4" w:space="0" w:color="auto"/>
                  <w:bottom w:val="single" w:sz="4" w:space="0" w:color="auto"/>
                  <w:right w:val="single" w:sz="4" w:space="0" w:color="auto"/>
                </w:tcBorders>
                <w:vAlign w:val="center"/>
              </w:tcPr>
              <w:p w14:paraId="4B223C51" w14:textId="77777777" w:rsidR="00577D08" w:rsidRDefault="00330FC0">
                <w:pPr>
                  <w:jc w:val="center"/>
                </w:pPr>
                <w:r>
                  <w:rPr>
                    <w:rFonts w:hint="eastAsia"/>
                  </w:rPr>
                  <w:t>期初金额</w:t>
                </w:r>
              </w:p>
            </w:tc>
          </w:sdtContent>
        </w:sdt>
        <w:sdt>
          <w:sdtPr>
            <w:tag w:val="_PLD_39d10c26cbf24b4481db02bd3f33378d"/>
            <w:id w:val="-1115130773"/>
          </w:sdtPr>
          <w:sdtContent>
            <w:tc>
              <w:tcPr>
                <w:tcW w:w="2354" w:type="dxa"/>
                <w:tcBorders>
                  <w:top w:val="single" w:sz="4" w:space="0" w:color="auto"/>
                  <w:left w:val="single" w:sz="4" w:space="0" w:color="auto"/>
                  <w:bottom w:val="single" w:sz="4" w:space="0" w:color="auto"/>
                  <w:right w:val="single" w:sz="4" w:space="0" w:color="auto"/>
                </w:tcBorders>
                <w:vAlign w:val="center"/>
              </w:tcPr>
              <w:p w14:paraId="7B70C909" w14:textId="77777777" w:rsidR="00577D08" w:rsidRDefault="00330FC0">
                <w:pPr>
                  <w:jc w:val="center"/>
                </w:pPr>
                <w:r>
                  <w:rPr>
                    <w:rFonts w:hint="eastAsia"/>
                  </w:rPr>
                  <w:t>备注</w:t>
                </w:r>
              </w:p>
            </w:tc>
          </w:sdtContent>
        </w:sdt>
      </w:tr>
      <w:tr w:rsidR="00577D08" w14:paraId="331486CB" w14:textId="77777777">
        <w:trPr>
          <w:trHeight w:val="80"/>
        </w:trPr>
        <w:tc>
          <w:tcPr>
            <w:tcW w:w="2084" w:type="dxa"/>
            <w:tcBorders>
              <w:top w:val="single" w:sz="4" w:space="0" w:color="auto"/>
              <w:left w:val="single" w:sz="4" w:space="0" w:color="auto"/>
              <w:bottom w:val="single" w:sz="4" w:space="0" w:color="auto"/>
              <w:right w:val="single" w:sz="4" w:space="0" w:color="auto"/>
            </w:tcBorders>
          </w:tcPr>
          <w:p w14:paraId="38E289AB" w14:textId="77777777" w:rsidR="00577D08" w:rsidRDefault="00330FC0">
            <w:r>
              <w:rPr>
                <w:rFonts w:hint="eastAsia"/>
              </w:rPr>
              <w:t>2030</w:t>
            </w:r>
            <w:r>
              <w:rPr>
                <w:rFonts w:hint="eastAsia"/>
              </w:rPr>
              <w:t>年</w:t>
            </w:r>
          </w:p>
        </w:tc>
        <w:tc>
          <w:tcPr>
            <w:tcW w:w="2285" w:type="dxa"/>
            <w:tcBorders>
              <w:top w:val="single" w:sz="4" w:space="0" w:color="auto"/>
              <w:left w:val="single" w:sz="4" w:space="0" w:color="auto"/>
              <w:bottom w:val="single" w:sz="4" w:space="0" w:color="auto"/>
              <w:right w:val="single" w:sz="4" w:space="0" w:color="auto"/>
            </w:tcBorders>
          </w:tcPr>
          <w:p w14:paraId="65C83930" w14:textId="77777777" w:rsidR="00577D08" w:rsidRDefault="00330FC0">
            <w:pPr>
              <w:jc w:val="right"/>
            </w:pPr>
            <w:r>
              <w:rPr>
                <w:rFonts w:hint="eastAsia"/>
              </w:rPr>
              <w:t>1,713,027.80</w:t>
            </w:r>
          </w:p>
        </w:tc>
        <w:tc>
          <w:tcPr>
            <w:tcW w:w="2323" w:type="dxa"/>
            <w:tcBorders>
              <w:top w:val="single" w:sz="4" w:space="0" w:color="auto"/>
              <w:left w:val="single" w:sz="4" w:space="0" w:color="auto"/>
              <w:bottom w:val="single" w:sz="4" w:space="0" w:color="auto"/>
              <w:right w:val="single" w:sz="4" w:space="0" w:color="auto"/>
            </w:tcBorders>
            <w:vAlign w:val="center"/>
          </w:tcPr>
          <w:p w14:paraId="4D46DEFF" w14:textId="77777777" w:rsidR="00577D08" w:rsidRDefault="00577D08">
            <w:pPr>
              <w:jc w:val="right"/>
            </w:pPr>
          </w:p>
        </w:tc>
        <w:tc>
          <w:tcPr>
            <w:tcW w:w="2354" w:type="dxa"/>
            <w:tcBorders>
              <w:top w:val="single" w:sz="4" w:space="0" w:color="auto"/>
              <w:left w:val="single" w:sz="4" w:space="0" w:color="auto"/>
              <w:bottom w:val="single" w:sz="4" w:space="0" w:color="auto"/>
              <w:right w:val="single" w:sz="4" w:space="0" w:color="auto"/>
            </w:tcBorders>
            <w:vAlign w:val="center"/>
          </w:tcPr>
          <w:p w14:paraId="32E5C071" w14:textId="77777777" w:rsidR="00577D08" w:rsidRDefault="00577D08"/>
        </w:tc>
      </w:tr>
      <w:tr w:rsidR="00577D08" w14:paraId="3FAECEB4" w14:textId="77777777">
        <w:trPr>
          <w:trHeight w:val="285"/>
        </w:trPr>
        <w:tc>
          <w:tcPr>
            <w:tcW w:w="2084" w:type="dxa"/>
            <w:tcBorders>
              <w:top w:val="single" w:sz="4" w:space="0" w:color="auto"/>
              <w:left w:val="single" w:sz="4" w:space="0" w:color="auto"/>
              <w:bottom w:val="single" w:sz="4" w:space="0" w:color="auto"/>
              <w:right w:val="single" w:sz="4" w:space="0" w:color="auto"/>
            </w:tcBorders>
            <w:vAlign w:val="center"/>
          </w:tcPr>
          <w:p w14:paraId="3583E81F" w14:textId="77777777" w:rsidR="00577D08" w:rsidRDefault="00330FC0">
            <w:pPr>
              <w:jc w:val="center"/>
            </w:pPr>
            <w:r>
              <w:rPr>
                <w:rFonts w:hint="eastAsia"/>
              </w:rPr>
              <w:t>合计</w:t>
            </w:r>
          </w:p>
        </w:tc>
        <w:tc>
          <w:tcPr>
            <w:tcW w:w="2285" w:type="dxa"/>
            <w:tcBorders>
              <w:top w:val="single" w:sz="4" w:space="0" w:color="auto"/>
              <w:left w:val="single" w:sz="4" w:space="0" w:color="auto"/>
              <w:bottom w:val="single" w:sz="4" w:space="0" w:color="auto"/>
              <w:right w:val="single" w:sz="4" w:space="0" w:color="auto"/>
            </w:tcBorders>
            <w:vAlign w:val="center"/>
          </w:tcPr>
          <w:p w14:paraId="206CC6F4" w14:textId="77777777" w:rsidR="00577D08" w:rsidRDefault="00330FC0">
            <w:pPr>
              <w:jc w:val="right"/>
            </w:pPr>
            <w:r>
              <w:t>1,713,027.80</w:t>
            </w:r>
          </w:p>
        </w:tc>
        <w:tc>
          <w:tcPr>
            <w:tcW w:w="2323" w:type="dxa"/>
            <w:tcBorders>
              <w:top w:val="single" w:sz="4" w:space="0" w:color="auto"/>
              <w:left w:val="single" w:sz="4" w:space="0" w:color="auto"/>
              <w:bottom w:val="single" w:sz="4" w:space="0" w:color="auto"/>
              <w:right w:val="single" w:sz="4" w:space="0" w:color="auto"/>
            </w:tcBorders>
            <w:vAlign w:val="center"/>
          </w:tcPr>
          <w:p w14:paraId="08194261" w14:textId="77777777" w:rsidR="00577D08" w:rsidRDefault="00577D08">
            <w:pPr>
              <w:jc w:val="right"/>
            </w:pPr>
          </w:p>
        </w:tc>
        <w:tc>
          <w:tcPr>
            <w:tcW w:w="2354" w:type="dxa"/>
            <w:tcBorders>
              <w:top w:val="single" w:sz="4" w:space="0" w:color="auto"/>
              <w:left w:val="single" w:sz="4" w:space="0" w:color="auto"/>
              <w:bottom w:val="single" w:sz="4" w:space="0" w:color="auto"/>
              <w:right w:val="single" w:sz="4" w:space="0" w:color="auto"/>
            </w:tcBorders>
            <w:vAlign w:val="center"/>
          </w:tcPr>
          <w:p w14:paraId="4C143E82" w14:textId="77777777" w:rsidR="00577D08" w:rsidRDefault="00330FC0">
            <w:pPr>
              <w:jc w:val="center"/>
            </w:pPr>
            <w:r>
              <w:rPr>
                <w:rFonts w:hint="eastAsia"/>
              </w:rPr>
              <w:t>/</w:t>
            </w:r>
          </w:p>
        </w:tc>
      </w:tr>
    </w:tbl>
    <w:bookmarkEnd w:id="420"/>
    <w:bookmarkEnd w:id="423"/>
    <w:p w14:paraId="303CA230" w14:textId="77777777" w:rsidR="00577D08" w:rsidRDefault="00330FC0">
      <w:r>
        <w:rPr>
          <w:rFonts w:hint="eastAsia"/>
        </w:rPr>
        <w:t>其他说明：</w:t>
      </w:r>
    </w:p>
    <w:sdt>
      <w:sdtPr>
        <w:alias w:val="是否适用：递延所得税资产和递延所得税负债的说明[双击切换]"/>
        <w:tag w:val="_GBC_7f4fae30d73847918bda2bbfa91008fe"/>
        <w:id w:val="-1679267833"/>
        <w:placeholder>
          <w:docPart w:val="GBC22222222222222222222222222222"/>
        </w:placeholder>
      </w:sdtPr>
      <w:sdtContent>
        <w:p w14:paraId="2126DA4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A901979" w14:textId="77777777" w:rsidR="00577D08" w:rsidRDefault="00330FC0">
      <w:pPr>
        <w:pStyle w:val="3"/>
        <w:numPr>
          <w:ilvl w:val="0"/>
          <w:numId w:val="61"/>
        </w:numPr>
        <w:tabs>
          <w:tab w:val="left" w:pos="504"/>
        </w:tabs>
        <w:rPr>
          <w:szCs w:val="21"/>
        </w:rPr>
      </w:pPr>
      <w:bookmarkStart w:id="424" w:name="_Hlk533670093"/>
      <w:r>
        <w:rPr>
          <w:rFonts w:hint="eastAsia"/>
          <w:szCs w:val="21"/>
        </w:rPr>
        <w:t>其他非流动资产</w:t>
      </w:r>
    </w:p>
    <w:sdt>
      <w:sdtPr>
        <w:alias w:val="是否适用：其他非流动资产[双击切换]"/>
        <w:tag w:val="_GBC_a847828a70d64218a7f8a07dc593d18b"/>
        <w:id w:val="-1316017925"/>
        <w:placeholder>
          <w:docPart w:val="GBC22222222222222222222222222222"/>
        </w:placeholder>
      </w:sdtPr>
      <w:sdtContent>
        <w:p w14:paraId="352E2EB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7C2202E" w14:textId="77777777" w:rsidR="00577D08" w:rsidRDefault="00330FC0">
      <w:pPr>
        <w:jc w:val="right"/>
      </w:pPr>
      <w:r>
        <w:rPr>
          <w:rFonts w:hint="eastAsia"/>
        </w:rPr>
        <w:t>单位：</w:t>
      </w:r>
      <w:sdt>
        <w:sdtPr>
          <w:alias w:val="单位：财务附注：其他非流动资产"/>
          <w:tag w:val="_GBC_7c7ae7cee25948deb399f93e000e5ba2"/>
          <w:id w:val="21345951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币种：</w:t>
      </w:r>
      <w:sdt>
        <w:sdtPr>
          <w:rPr>
            <w:rFonts w:hint="eastAsia"/>
          </w:rPr>
          <w:alias w:val="币种：财务附注：其他非流动资产"/>
          <w:tag w:val="_GBC_b449fdd4941b4ff8a1bda3449b257e1d"/>
          <w:id w:val="4315629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393"/>
        <w:gridCol w:w="1434"/>
        <w:gridCol w:w="847"/>
        <w:gridCol w:w="1434"/>
        <w:gridCol w:w="1434"/>
        <w:gridCol w:w="847"/>
        <w:gridCol w:w="1434"/>
      </w:tblGrid>
      <w:tr w:rsidR="00577D08" w14:paraId="7B647967" w14:textId="77777777">
        <w:sdt>
          <w:sdtPr>
            <w:tag w:val="_PLD_2b90e6e62acc45b288941c3eec3d8d88"/>
            <w:id w:val="1155331264"/>
          </w:sdtPr>
          <w:sdtContent>
            <w:tc>
              <w:tcPr>
                <w:tcW w:w="0" w:type="auto"/>
                <w:vMerge w:val="restart"/>
                <w:vAlign w:val="center"/>
              </w:tcPr>
              <w:p w14:paraId="7D59636B" w14:textId="77777777" w:rsidR="00577D08" w:rsidRDefault="00330FC0">
                <w:pPr>
                  <w:jc w:val="center"/>
                </w:pPr>
                <w:r>
                  <w:rPr>
                    <w:rFonts w:hint="eastAsia"/>
                  </w:rPr>
                  <w:t>项目</w:t>
                </w:r>
              </w:p>
            </w:tc>
          </w:sdtContent>
        </w:sdt>
        <w:sdt>
          <w:sdtPr>
            <w:tag w:val="_PLD_bb07270ad4df4c0f94d4e0af019ab46c"/>
            <w:id w:val="-895581178"/>
          </w:sdtPr>
          <w:sdtContent>
            <w:tc>
              <w:tcPr>
                <w:tcW w:w="0" w:type="auto"/>
                <w:gridSpan w:val="3"/>
                <w:vAlign w:val="center"/>
              </w:tcPr>
              <w:p w14:paraId="6947F07C" w14:textId="77777777" w:rsidR="00577D08" w:rsidRDefault="00330FC0">
                <w:pPr>
                  <w:jc w:val="center"/>
                </w:pPr>
                <w:r>
                  <w:rPr>
                    <w:rFonts w:hint="eastAsia"/>
                  </w:rPr>
                  <w:t>期末余额</w:t>
                </w:r>
              </w:p>
            </w:tc>
          </w:sdtContent>
        </w:sdt>
        <w:sdt>
          <w:sdtPr>
            <w:tag w:val="_PLD_7a3b43a9fc7d404ca5a79aa8f44f7452"/>
            <w:id w:val="1056055408"/>
          </w:sdtPr>
          <w:sdtContent>
            <w:tc>
              <w:tcPr>
                <w:tcW w:w="0" w:type="auto"/>
                <w:gridSpan w:val="3"/>
                <w:vAlign w:val="center"/>
              </w:tcPr>
              <w:p w14:paraId="07E1C58D" w14:textId="77777777" w:rsidR="00577D08" w:rsidRDefault="00330FC0">
                <w:pPr>
                  <w:jc w:val="center"/>
                </w:pPr>
                <w:r>
                  <w:rPr>
                    <w:rFonts w:hint="eastAsia"/>
                  </w:rPr>
                  <w:t>期初余额</w:t>
                </w:r>
              </w:p>
            </w:tc>
          </w:sdtContent>
        </w:sdt>
      </w:tr>
      <w:tr w:rsidR="00577D08" w14:paraId="41598601" w14:textId="77777777">
        <w:tc>
          <w:tcPr>
            <w:tcW w:w="0" w:type="auto"/>
            <w:vMerge/>
            <w:vAlign w:val="center"/>
          </w:tcPr>
          <w:p w14:paraId="589253AF" w14:textId="77777777" w:rsidR="00577D08" w:rsidRDefault="00577D08">
            <w:pPr>
              <w:jc w:val="center"/>
            </w:pPr>
          </w:p>
        </w:tc>
        <w:tc>
          <w:tcPr>
            <w:tcW w:w="0" w:type="auto"/>
            <w:vAlign w:val="center"/>
          </w:tcPr>
          <w:sdt>
            <w:sdtPr>
              <w:tag w:val="_PLD_eaca5bccdac9417999d4d9af7ad1eefe"/>
              <w:id w:val="-1452699579"/>
            </w:sdtPr>
            <w:sdtContent>
              <w:p w14:paraId="00A156BE" w14:textId="77777777" w:rsidR="00577D08" w:rsidRDefault="00330FC0">
                <w:pPr>
                  <w:jc w:val="center"/>
                </w:pPr>
                <w:r>
                  <w:rPr>
                    <w:rFonts w:hint="eastAsia"/>
                  </w:rPr>
                  <w:t>账面余额</w:t>
                </w:r>
              </w:p>
            </w:sdtContent>
          </w:sdt>
        </w:tc>
        <w:tc>
          <w:tcPr>
            <w:tcW w:w="0" w:type="auto"/>
            <w:vAlign w:val="center"/>
          </w:tcPr>
          <w:sdt>
            <w:sdtPr>
              <w:tag w:val="_PLD_b913601a6f0c496ba876b57f7e93b40e"/>
              <w:id w:val="335195651"/>
            </w:sdtPr>
            <w:sdtContent>
              <w:p w14:paraId="4889554B" w14:textId="77777777" w:rsidR="00577D08" w:rsidRDefault="00330FC0">
                <w:pPr>
                  <w:jc w:val="center"/>
                </w:pPr>
                <w:r>
                  <w:t>减值准备</w:t>
                </w:r>
              </w:p>
            </w:sdtContent>
          </w:sdt>
        </w:tc>
        <w:tc>
          <w:tcPr>
            <w:tcW w:w="0" w:type="auto"/>
            <w:vAlign w:val="center"/>
          </w:tcPr>
          <w:sdt>
            <w:sdtPr>
              <w:tag w:val="_PLD_22318356783c413ba8286ddb8d1cda63"/>
              <w:id w:val="4099263"/>
            </w:sdtPr>
            <w:sdtContent>
              <w:p w14:paraId="579A06C5" w14:textId="77777777" w:rsidR="00577D08" w:rsidRDefault="00330FC0">
                <w:pPr>
                  <w:jc w:val="center"/>
                </w:pPr>
                <w:r>
                  <w:t>账面价值</w:t>
                </w:r>
              </w:p>
            </w:sdtContent>
          </w:sdt>
        </w:tc>
        <w:tc>
          <w:tcPr>
            <w:tcW w:w="0" w:type="auto"/>
            <w:vAlign w:val="center"/>
          </w:tcPr>
          <w:sdt>
            <w:sdtPr>
              <w:tag w:val="_PLD_0c6f94cdfaf1457fa98b2252d3b39131"/>
              <w:id w:val="-812711526"/>
            </w:sdtPr>
            <w:sdtContent>
              <w:p w14:paraId="4B02A7C8" w14:textId="77777777" w:rsidR="00577D08" w:rsidRDefault="00330FC0">
                <w:pPr>
                  <w:jc w:val="center"/>
                </w:pPr>
                <w:r>
                  <w:t>账面余额</w:t>
                </w:r>
              </w:p>
            </w:sdtContent>
          </w:sdt>
        </w:tc>
        <w:tc>
          <w:tcPr>
            <w:tcW w:w="0" w:type="auto"/>
            <w:vAlign w:val="center"/>
          </w:tcPr>
          <w:sdt>
            <w:sdtPr>
              <w:tag w:val="_PLD_9d7969af67514b9e93b62156119189b9"/>
              <w:id w:val="-873461008"/>
            </w:sdtPr>
            <w:sdtContent>
              <w:p w14:paraId="3FEB72EE" w14:textId="77777777" w:rsidR="00577D08" w:rsidRDefault="00330FC0">
                <w:pPr>
                  <w:jc w:val="center"/>
                </w:pPr>
                <w:r>
                  <w:t>减值准备</w:t>
                </w:r>
              </w:p>
            </w:sdtContent>
          </w:sdt>
        </w:tc>
        <w:tc>
          <w:tcPr>
            <w:tcW w:w="0" w:type="auto"/>
            <w:vAlign w:val="center"/>
          </w:tcPr>
          <w:sdt>
            <w:sdtPr>
              <w:tag w:val="_PLD_9c8736640ddf4dc897f3c30fb690ab09"/>
              <w:id w:val="-626083238"/>
            </w:sdtPr>
            <w:sdtContent>
              <w:p w14:paraId="46A4F50B" w14:textId="77777777" w:rsidR="00577D08" w:rsidRDefault="00330FC0">
                <w:pPr>
                  <w:jc w:val="center"/>
                </w:pPr>
                <w:r>
                  <w:t>账面价值</w:t>
                </w:r>
              </w:p>
            </w:sdtContent>
          </w:sdt>
        </w:tc>
      </w:tr>
      <w:tr w:rsidR="00577D08" w14:paraId="51796210" w14:textId="77777777">
        <w:tc>
          <w:tcPr>
            <w:tcW w:w="0" w:type="auto"/>
            <w:vAlign w:val="center"/>
          </w:tcPr>
          <w:p w14:paraId="2276BA7E" w14:textId="77777777" w:rsidR="00577D08" w:rsidRDefault="00330FC0">
            <w:r>
              <w:rPr>
                <w:rFonts w:hint="eastAsia"/>
              </w:rPr>
              <w:t>长期资产采购款项</w:t>
            </w:r>
          </w:p>
        </w:tc>
        <w:tc>
          <w:tcPr>
            <w:tcW w:w="0" w:type="auto"/>
            <w:vAlign w:val="center"/>
          </w:tcPr>
          <w:p w14:paraId="3FDD3D5A" w14:textId="77777777" w:rsidR="00577D08" w:rsidRDefault="00330FC0">
            <w:pPr>
              <w:jc w:val="right"/>
            </w:pPr>
            <w:r>
              <w:t>11,320,873.96</w:t>
            </w:r>
          </w:p>
        </w:tc>
        <w:tc>
          <w:tcPr>
            <w:tcW w:w="0" w:type="auto"/>
            <w:vAlign w:val="center"/>
          </w:tcPr>
          <w:p w14:paraId="25878DC6" w14:textId="77777777" w:rsidR="00577D08" w:rsidRDefault="00577D08">
            <w:pPr>
              <w:jc w:val="right"/>
            </w:pPr>
          </w:p>
        </w:tc>
        <w:tc>
          <w:tcPr>
            <w:tcW w:w="0" w:type="auto"/>
            <w:vAlign w:val="center"/>
          </w:tcPr>
          <w:p w14:paraId="5C56A3DE" w14:textId="77777777" w:rsidR="00577D08" w:rsidRDefault="00330FC0">
            <w:pPr>
              <w:jc w:val="right"/>
            </w:pPr>
            <w:r>
              <w:t>11,320,873.96</w:t>
            </w:r>
          </w:p>
        </w:tc>
        <w:tc>
          <w:tcPr>
            <w:tcW w:w="0" w:type="auto"/>
            <w:vAlign w:val="center"/>
          </w:tcPr>
          <w:p w14:paraId="02D96BAC" w14:textId="77777777" w:rsidR="00577D08" w:rsidRDefault="00330FC0">
            <w:pPr>
              <w:jc w:val="right"/>
            </w:pPr>
            <w:r>
              <w:t>11,656,063.63</w:t>
            </w:r>
          </w:p>
        </w:tc>
        <w:tc>
          <w:tcPr>
            <w:tcW w:w="0" w:type="auto"/>
            <w:vAlign w:val="center"/>
          </w:tcPr>
          <w:p w14:paraId="6A0447CD" w14:textId="77777777" w:rsidR="00577D08" w:rsidRDefault="00577D08">
            <w:pPr>
              <w:jc w:val="right"/>
            </w:pPr>
          </w:p>
        </w:tc>
        <w:tc>
          <w:tcPr>
            <w:tcW w:w="0" w:type="auto"/>
            <w:vAlign w:val="center"/>
          </w:tcPr>
          <w:p w14:paraId="414364A8" w14:textId="77777777" w:rsidR="00577D08" w:rsidRDefault="00330FC0">
            <w:pPr>
              <w:jc w:val="right"/>
            </w:pPr>
            <w:r>
              <w:t>11,656,063.63</w:t>
            </w:r>
          </w:p>
        </w:tc>
      </w:tr>
      <w:tr w:rsidR="00577D08" w14:paraId="4B691F22" w14:textId="77777777">
        <w:tc>
          <w:tcPr>
            <w:tcW w:w="0" w:type="auto"/>
            <w:vAlign w:val="center"/>
          </w:tcPr>
          <w:p w14:paraId="38B3E245" w14:textId="77777777" w:rsidR="00577D08" w:rsidRDefault="00330FC0">
            <w:pPr>
              <w:jc w:val="center"/>
            </w:pPr>
            <w:r>
              <w:rPr>
                <w:rFonts w:hint="eastAsia"/>
              </w:rPr>
              <w:t>合计</w:t>
            </w:r>
          </w:p>
        </w:tc>
        <w:tc>
          <w:tcPr>
            <w:tcW w:w="0" w:type="auto"/>
            <w:vAlign w:val="center"/>
          </w:tcPr>
          <w:p w14:paraId="67FC3E77" w14:textId="77777777" w:rsidR="00577D08" w:rsidRDefault="00330FC0">
            <w:pPr>
              <w:jc w:val="right"/>
            </w:pPr>
            <w:r>
              <w:t>11,320,873.96</w:t>
            </w:r>
          </w:p>
        </w:tc>
        <w:tc>
          <w:tcPr>
            <w:tcW w:w="0" w:type="auto"/>
            <w:vAlign w:val="center"/>
          </w:tcPr>
          <w:p w14:paraId="52F54D6C" w14:textId="77777777" w:rsidR="00577D08" w:rsidRDefault="00577D08">
            <w:pPr>
              <w:jc w:val="right"/>
            </w:pPr>
          </w:p>
        </w:tc>
        <w:tc>
          <w:tcPr>
            <w:tcW w:w="0" w:type="auto"/>
            <w:vAlign w:val="center"/>
          </w:tcPr>
          <w:p w14:paraId="27A7FB2F" w14:textId="77777777" w:rsidR="00577D08" w:rsidRDefault="00330FC0">
            <w:pPr>
              <w:jc w:val="right"/>
            </w:pPr>
            <w:r>
              <w:t>11,320,873.96</w:t>
            </w:r>
          </w:p>
        </w:tc>
        <w:tc>
          <w:tcPr>
            <w:tcW w:w="0" w:type="auto"/>
            <w:vAlign w:val="center"/>
          </w:tcPr>
          <w:p w14:paraId="725BF078" w14:textId="77777777" w:rsidR="00577D08" w:rsidRDefault="00330FC0">
            <w:pPr>
              <w:jc w:val="right"/>
            </w:pPr>
            <w:r>
              <w:t>11,656,063.63</w:t>
            </w:r>
          </w:p>
        </w:tc>
        <w:tc>
          <w:tcPr>
            <w:tcW w:w="0" w:type="auto"/>
            <w:vAlign w:val="center"/>
          </w:tcPr>
          <w:p w14:paraId="4C2526DA" w14:textId="77777777" w:rsidR="00577D08" w:rsidRDefault="00577D08">
            <w:pPr>
              <w:jc w:val="right"/>
            </w:pPr>
          </w:p>
        </w:tc>
        <w:tc>
          <w:tcPr>
            <w:tcW w:w="0" w:type="auto"/>
            <w:vAlign w:val="center"/>
          </w:tcPr>
          <w:p w14:paraId="48504B64" w14:textId="77777777" w:rsidR="00577D08" w:rsidRDefault="00330FC0">
            <w:pPr>
              <w:jc w:val="right"/>
            </w:pPr>
            <w:r>
              <w:t>11,656,063.63</w:t>
            </w:r>
          </w:p>
        </w:tc>
      </w:tr>
    </w:tbl>
    <w:p w14:paraId="1ADC3318" w14:textId="77777777" w:rsidR="00577D08" w:rsidRDefault="00330FC0">
      <w:r>
        <w:rPr>
          <w:rFonts w:hint="eastAsia"/>
        </w:rPr>
        <w:t>其他说明：</w:t>
      </w:r>
    </w:p>
    <w:p w14:paraId="0CA0EE19" w14:textId="77777777" w:rsidR="00577D08" w:rsidRDefault="00000000">
      <w:sdt>
        <w:sdtPr>
          <w:alias w:val="其他长期资产的说明"/>
          <w:tag w:val="_GBC_d2d37b97b8df4ba1b7bcbf3e8c04d024"/>
          <w:id w:val="2046940081"/>
          <w:placeholder>
            <w:docPart w:val="GBC22222222222222222222222222222"/>
          </w:placeholder>
        </w:sdtPr>
        <w:sdtContent>
          <w:r w:rsidR="00330FC0">
            <w:rPr>
              <w:rFonts w:hint="eastAsia"/>
            </w:rPr>
            <w:t>无</w:t>
          </w:r>
        </w:sdtContent>
      </w:sdt>
      <w:bookmarkEnd w:id="424"/>
    </w:p>
    <w:p w14:paraId="14DAE869" w14:textId="77777777" w:rsidR="00577D08" w:rsidRDefault="00330FC0">
      <w:pPr>
        <w:pStyle w:val="3"/>
        <w:numPr>
          <w:ilvl w:val="0"/>
          <w:numId w:val="61"/>
        </w:numPr>
        <w:tabs>
          <w:tab w:val="left" w:pos="504"/>
        </w:tabs>
        <w:rPr>
          <w:rFonts w:ascii="宋体" w:hAnsi="宋体" w:cs="宋体" w:hint="eastAsia"/>
          <w:color w:val="000000" w:themeColor="text1"/>
          <w:kern w:val="0"/>
          <w:szCs w:val="21"/>
        </w:rPr>
      </w:pPr>
      <w:bookmarkStart w:id="425" w:name="_Hlk182485605"/>
      <w:r>
        <w:rPr>
          <w:rFonts w:ascii="宋体" w:hAnsi="宋体" w:cs="宋体" w:hint="eastAsia"/>
          <w:color w:val="000000" w:themeColor="text1"/>
          <w:kern w:val="0"/>
          <w:szCs w:val="21"/>
        </w:rPr>
        <w:t>所有权或使用权受限资产</w:t>
      </w:r>
    </w:p>
    <w:sdt>
      <w:sdtPr>
        <w:rPr>
          <w:color w:val="000000" w:themeColor="text1"/>
        </w:rPr>
        <w:alias w:val="是否适用：所有权或使用权受到限制的资产[双击切换]"/>
        <w:tag w:val="_GBC_f1f6d80d559a42ada65c7a06e1485986"/>
        <w:id w:val="-1489091067"/>
        <w:placeholder>
          <w:docPart w:val="GBC22222222222222222222222222222"/>
        </w:placeholder>
      </w:sdtPr>
      <w:sdtContent>
        <w:p w14:paraId="2D12C7E2"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48AE45F" w14:textId="6EB76143" w:rsidR="00577D08" w:rsidRDefault="00330FC0">
      <w:pPr>
        <w:pStyle w:val="aff9"/>
        <w:ind w:firstLineChars="0" w:firstLine="0"/>
        <w:jc w:val="right"/>
        <w:rPr>
          <w:rFonts w:ascii="宋体" w:hAnsi="宋体" w:hint="eastAsia"/>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e246ad9146ff415ca076abb824966967"/>
          <w:id w:val="-18608788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r w:rsidR="00CC5C32">
            <w:rPr>
              <w:rFonts w:ascii="宋体" w:hAnsi="宋体" w:hint="eastAsia"/>
              <w:color w:val="000000" w:themeColor="text1"/>
              <w:szCs w:val="21"/>
            </w:rPr>
            <w:t xml:space="preserve"> </w:t>
          </w:r>
        </w:sdtContent>
      </w:sdt>
      <w:r>
        <w:rPr>
          <w:rFonts w:ascii="宋体" w:hAnsi="宋体" w:hint="eastAsia"/>
          <w:color w:val="000000" w:themeColor="text1"/>
          <w:szCs w:val="21"/>
        </w:rPr>
        <w:t>币种：</w:t>
      </w:r>
      <w:sdt>
        <w:sdtPr>
          <w:rPr>
            <w:rFonts w:ascii="宋体" w:hAnsi="宋体" w:hint="eastAsia"/>
            <w:color w:val="000000" w:themeColor="text1"/>
            <w:szCs w:val="21"/>
          </w:rPr>
          <w:alias w:val="币种：财务附注：所有权或使用权受到限制的资产"/>
          <w:tag w:val="_GBC_3384ecfbee774a528f8956ac7bda492a"/>
          <w:id w:val="-16850461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Style w:val="aff2"/>
        <w:tblW w:w="0" w:type="auto"/>
        <w:tblLook w:val="04A0" w:firstRow="1" w:lastRow="0" w:firstColumn="1" w:lastColumn="0" w:noHBand="0" w:noVBand="1"/>
      </w:tblPr>
      <w:tblGrid>
        <w:gridCol w:w="556"/>
        <w:gridCol w:w="1336"/>
        <w:gridCol w:w="1216"/>
        <w:gridCol w:w="602"/>
        <w:gridCol w:w="1291"/>
        <w:gridCol w:w="1216"/>
        <w:gridCol w:w="1216"/>
        <w:gridCol w:w="671"/>
        <w:gridCol w:w="719"/>
      </w:tblGrid>
      <w:tr w:rsidR="00577D08" w14:paraId="62496DE6" w14:textId="77777777">
        <w:sdt>
          <w:sdtPr>
            <w:rPr>
              <w:sz w:val="16"/>
              <w:szCs w:val="16"/>
            </w:rPr>
            <w:tag w:val="_PLD_85915b25a498409faaeec94754cc91ce"/>
            <w:id w:val="502553767"/>
          </w:sdtPr>
          <w:sdtContent>
            <w:tc>
              <w:tcPr>
                <w:tcW w:w="0" w:type="auto"/>
                <w:vMerge w:val="restart"/>
                <w:vAlign w:val="center"/>
              </w:tcPr>
              <w:p w14:paraId="1F67DDFD" w14:textId="77777777" w:rsidR="00577D08" w:rsidRDefault="00330FC0">
                <w:pPr>
                  <w:jc w:val="center"/>
                  <w:rPr>
                    <w:color w:val="000000" w:themeColor="text1"/>
                    <w:sz w:val="16"/>
                    <w:szCs w:val="16"/>
                  </w:rPr>
                </w:pPr>
                <w:r>
                  <w:rPr>
                    <w:rFonts w:hint="eastAsia"/>
                    <w:color w:val="000000" w:themeColor="text1"/>
                    <w:sz w:val="16"/>
                    <w:szCs w:val="16"/>
                  </w:rPr>
                  <w:t>项目</w:t>
                </w:r>
              </w:p>
            </w:tc>
          </w:sdtContent>
        </w:sdt>
        <w:sdt>
          <w:sdtPr>
            <w:rPr>
              <w:sz w:val="16"/>
              <w:szCs w:val="16"/>
            </w:rPr>
            <w:tag w:val="_PLD_bcba7b22c1f8467fb1ed1a4a9e7f7dae"/>
            <w:id w:val="-1205246081"/>
          </w:sdtPr>
          <w:sdtContent>
            <w:tc>
              <w:tcPr>
                <w:tcW w:w="0" w:type="auto"/>
                <w:gridSpan w:val="4"/>
                <w:vAlign w:val="center"/>
              </w:tcPr>
              <w:p w14:paraId="6EBC05B4" w14:textId="77777777" w:rsidR="00577D08" w:rsidRDefault="00330FC0">
                <w:pPr>
                  <w:jc w:val="center"/>
                  <w:rPr>
                    <w:color w:val="000000" w:themeColor="text1"/>
                    <w:sz w:val="16"/>
                    <w:szCs w:val="16"/>
                  </w:rPr>
                </w:pPr>
                <w:r>
                  <w:rPr>
                    <w:rFonts w:hint="eastAsia"/>
                    <w:color w:val="000000" w:themeColor="text1"/>
                    <w:sz w:val="16"/>
                    <w:szCs w:val="16"/>
                  </w:rPr>
                  <w:t>期末</w:t>
                </w:r>
              </w:p>
            </w:tc>
          </w:sdtContent>
        </w:sdt>
        <w:sdt>
          <w:sdtPr>
            <w:rPr>
              <w:sz w:val="16"/>
              <w:szCs w:val="16"/>
            </w:rPr>
            <w:tag w:val="_PLD_e062301463624f04b097cb249cdb774e"/>
            <w:id w:val="-849332405"/>
          </w:sdtPr>
          <w:sdtContent>
            <w:tc>
              <w:tcPr>
                <w:tcW w:w="0" w:type="auto"/>
                <w:gridSpan w:val="4"/>
                <w:vAlign w:val="center"/>
              </w:tcPr>
              <w:p w14:paraId="3E33BF94" w14:textId="77777777" w:rsidR="00577D08" w:rsidRDefault="00330FC0">
                <w:pPr>
                  <w:jc w:val="center"/>
                  <w:rPr>
                    <w:color w:val="000000" w:themeColor="text1"/>
                    <w:sz w:val="16"/>
                    <w:szCs w:val="16"/>
                  </w:rPr>
                </w:pPr>
                <w:r>
                  <w:rPr>
                    <w:rFonts w:hint="eastAsia"/>
                    <w:color w:val="000000" w:themeColor="text1"/>
                    <w:sz w:val="16"/>
                    <w:szCs w:val="16"/>
                  </w:rPr>
                  <w:t>期初</w:t>
                </w:r>
              </w:p>
            </w:tc>
          </w:sdtContent>
        </w:sdt>
      </w:tr>
      <w:tr w:rsidR="00577D08" w14:paraId="32CC71AF" w14:textId="77777777">
        <w:trPr>
          <w:trHeight w:val="70"/>
        </w:trPr>
        <w:tc>
          <w:tcPr>
            <w:tcW w:w="0" w:type="auto"/>
            <w:vMerge/>
            <w:vAlign w:val="center"/>
          </w:tcPr>
          <w:p w14:paraId="360A084B" w14:textId="77777777" w:rsidR="00577D08" w:rsidRDefault="00577D08">
            <w:pPr>
              <w:rPr>
                <w:color w:val="000000" w:themeColor="text1"/>
                <w:sz w:val="16"/>
                <w:szCs w:val="16"/>
              </w:rPr>
            </w:pPr>
          </w:p>
        </w:tc>
        <w:sdt>
          <w:sdtPr>
            <w:rPr>
              <w:sz w:val="16"/>
              <w:szCs w:val="16"/>
            </w:rPr>
            <w:tag w:val="_PLD_83e681f7f54f4bd9bfe88e1c973e1b43"/>
            <w:id w:val="2085647720"/>
          </w:sdtPr>
          <w:sdtContent>
            <w:tc>
              <w:tcPr>
                <w:tcW w:w="0" w:type="auto"/>
                <w:vAlign w:val="center"/>
              </w:tcPr>
              <w:p w14:paraId="39ECE2C3" w14:textId="77777777" w:rsidR="00577D08" w:rsidRDefault="00330FC0">
                <w:pPr>
                  <w:jc w:val="center"/>
                  <w:rPr>
                    <w:color w:val="000000" w:themeColor="text1"/>
                    <w:sz w:val="16"/>
                    <w:szCs w:val="16"/>
                  </w:rPr>
                </w:pPr>
                <w:r>
                  <w:rPr>
                    <w:color w:val="000000" w:themeColor="text1"/>
                    <w:sz w:val="16"/>
                    <w:szCs w:val="16"/>
                  </w:rPr>
                  <w:t>账面余额</w:t>
                </w:r>
              </w:p>
            </w:tc>
          </w:sdtContent>
        </w:sdt>
        <w:sdt>
          <w:sdtPr>
            <w:rPr>
              <w:sz w:val="16"/>
              <w:szCs w:val="16"/>
            </w:rPr>
            <w:tag w:val="_PLD_2a265c047cf94f85a8553f5e0b2b7388"/>
            <w:id w:val="1838192281"/>
          </w:sdtPr>
          <w:sdtContent>
            <w:tc>
              <w:tcPr>
                <w:tcW w:w="0" w:type="auto"/>
                <w:vAlign w:val="center"/>
              </w:tcPr>
              <w:p w14:paraId="4FC4318C" w14:textId="77777777" w:rsidR="00577D08" w:rsidRDefault="00330FC0">
                <w:pPr>
                  <w:jc w:val="center"/>
                  <w:rPr>
                    <w:color w:val="000000" w:themeColor="text1"/>
                    <w:sz w:val="16"/>
                    <w:szCs w:val="16"/>
                  </w:rPr>
                </w:pPr>
                <w:r>
                  <w:rPr>
                    <w:color w:val="000000" w:themeColor="text1"/>
                    <w:sz w:val="16"/>
                    <w:szCs w:val="16"/>
                  </w:rPr>
                  <w:t>账面价值</w:t>
                </w:r>
              </w:p>
            </w:tc>
          </w:sdtContent>
        </w:sdt>
        <w:sdt>
          <w:sdtPr>
            <w:rPr>
              <w:sz w:val="16"/>
              <w:szCs w:val="16"/>
            </w:rPr>
            <w:tag w:val="_PLD_5b6c4747a96541ecafc3956c6df7be1e"/>
            <w:id w:val="-780490463"/>
          </w:sdtPr>
          <w:sdtContent>
            <w:tc>
              <w:tcPr>
                <w:tcW w:w="602" w:type="dxa"/>
                <w:vAlign w:val="center"/>
              </w:tcPr>
              <w:p w14:paraId="34ADB87A" w14:textId="77777777" w:rsidR="00577D08" w:rsidRDefault="00330FC0">
                <w:pPr>
                  <w:jc w:val="center"/>
                  <w:rPr>
                    <w:color w:val="000000" w:themeColor="text1"/>
                    <w:sz w:val="16"/>
                    <w:szCs w:val="16"/>
                  </w:rPr>
                </w:pPr>
                <w:r>
                  <w:rPr>
                    <w:color w:val="000000" w:themeColor="text1"/>
                    <w:sz w:val="16"/>
                    <w:szCs w:val="16"/>
                  </w:rPr>
                  <w:t>受限类型</w:t>
                </w:r>
              </w:p>
            </w:tc>
          </w:sdtContent>
        </w:sdt>
        <w:sdt>
          <w:sdtPr>
            <w:rPr>
              <w:sz w:val="16"/>
              <w:szCs w:val="16"/>
            </w:rPr>
            <w:tag w:val="_PLD_0fdc8d5500aa413592588c79ae47d121"/>
            <w:id w:val="-1029025566"/>
          </w:sdtPr>
          <w:sdtContent>
            <w:tc>
              <w:tcPr>
                <w:tcW w:w="1291" w:type="dxa"/>
                <w:vAlign w:val="center"/>
              </w:tcPr>
              <w:p w14:paraId="078AFA63" w14:textId="77777777" w:rsidR="00577D08" w:rsidRDefault="00330FC0">
                <w:pPr>
                  <w:jc w:val="center"/>
                  <w:rPr>
                    <w:color w:val="000000" w:themeColor="text1"/>
                    <w:sz w:val="16"/>
                    <w:szCs w:val="16"/>
                  </w:rPr>
                </w:pPr>
                <w:r>
                  <w:rPr>
                    <w:color w:val="000000" w:themeColor="text1"/>
                    <w:sz w:val="16"/>
                    <w:szCs w:val="16"/>
                  </w:rPr>
                  <w:t>受限情况</w:t>
                </w:r>
              </w:p>
            </w:tc>
          </w:sdtContent>
        </w:sdt>
        <w:sdt>
          <w:sdtPr>
            <w:rPr>
              <w:sz w:val="16"/>
              <w:szCs w:val="16"/>
            </w:rPr>
            <w:tag w:val="_PLD_19a6e2039b054e27ae63e997e8202099"/>
            <w:id w:val="893315223"/>
          </w:sdtPr>
          <w:sdtContent>
            <w:tc>
              <w:tcPr>
                <w:tcW w:w="0" w:type="auto"/>
                <w:vAlign w:val="center"/>
              </w:tcPr>
              <w:p w14:paraId="79B4682D" w14:textId="77777777" w:rsidR="00577D08" w:rsidRDefault="00330FC0">
                <w:pPr>
                  <w:jc w:val="center"/>
                  <w:rPr>
                    <w:color w:val="000000" w:themeColor="text1"/>
                    <w:sz w:val="16"/>
                    <w:szCs w:val="16"/>
                  </w:rPr>
                </w:pPr>
                <w:r>
                  <w:rPr>
                    <w:color w:val="000000" w:themeColor="text1"/>
                    <w:sz w:val="16"/>
                    <w:szCs w:val="16"/>
                  </w:rPr>
                  <w:t>账面余额</w:t>
                </w:r>
              </w:p>
            </w:tc>
          </w:sdtContent>
        </w:sdt>
        <w:sdt>
          <w:sdtPr>
            <w:rPr>
              <w:sz w:val="16"/>
              <w:szCs w:val="16"/>
            </w:rPr>
            <w:tag w:val="_PLD_c874887424044a5dbc1a1644f585ae7e"/>
            <w:id w:val="1279451542"/>
          </w:sdtPr>
          <w:sdtContent>
            <w:tc>
              <w:tcPr>
                <w:tcW w:w="0" w:type="auto"/>
                <w:vAlign w:val="center"/>
              </w:tcPr>
              <w:p w14:paraId="190D79BD" w14:textId="77777777" w:rsidR="00577D08" w:rsidRDefault="00330FC0">
                <w:pPr>
                  <w:jc w:val="center"/>
                  <w:rPr>
                    <w:color w:val="000000" w:themeColor="text1"/>
                    <w:sz w:val="16"/>
                    <w:szCs w:val="16"/>
                  </w:rPr>
                </w:pPr>
                <w:r>
                  <w:rPr>
                    <w:color w:val="000000" w:themeColor="text1"/>
                    <w:sz w:val="16"/>
                    <w:szCs w:val="16"/>
                  </w:rPr>
                  <w:t>账面价值</w:t>
                </w:r>
              </w:p>
            </w:tc>
          </w:sdtContent>
        </w:sdt>
        <w:sdt>
          <w:sdtPr>
            <w:rPr>
              <w:sz w:val="16"/>
              <w:szCs w:val="16"/>
            </w:rPr>
            <w:tag w:val="_PLD_92198303043b4f9e9d277fb8a7835f44"/>
            <w:id w:val="-1876377727"/>
          </w:sdtPr>
          <w:sdtContent>
            <w:tc>
              <w:tcPr>
                <w:tcW w:w="671" w:type="dxa"/>
                <w:vAlign w:val="center"/>
              </w:tcPr>
              <w:p w14:paraId="35041703" w14:textId="77777777" w:rsidR="00577D08" w:rsidRDefault="00330FC0">
                <w:pPr>
                  <w:jc w:val="center"/>
                  <w:rPr>
                    <w:color w:val="000000" w:themeColor="text1"/>
                    <w:sz w:val="16"/>
                    <w:szCs w:val="16"/>
                  </w:rPr>
                </w:pPr>
                <w:r>
                  <w:rPr>
                    <w:color w:val="000000" w:themeColor="text1"/>
                    <w:sz w:val="16"/>
                    <w:szCs w:val="16"/>
                  </w:rPr>
                  <w:t>受限类型</w:t>
                </w:r>
              </w:p>
            </w:tc>
          </w:sdtContent>
        </w:sdt>
        <w:sdt>
          <w:sdtPr>
            <w:rPr>
              <w:sz w:val="16"/>
              <w:szCs w:val="16"/>
            </w:rPr>
            <w:tag w:val="_PLD_4ea3dd881caf4532ad39a52fb85dd9ad"/>
            <w:id w:val="483596642"/>
          </w:sdtPr>
          <w:sdtContent>
            <w:tc>
              <w:tcPr>
                <w:tcW w:w="719" w:type="dxa"/>
                <w:vAlign w:val="center"/>
              </w:tcPr>
              <w:p w14:paraId="78F38F46" w14:textId="77777777" w:rsidR="00577D08" w:rsidRDefault="00330FC0">
                <w:pPr>
                  <w:jc w:val="center"/>
                  <w:rPr>
                    <w:color w:val="000000" w:themeColor="text1"/>
                    <w:sz w:val="16"/>
                    <w:szCs w:val="16"/>
                  </w:rPr>
                </w:pPr>
                <w:r>
                  <w:rPr>
                    <w:color w:val="000000" w:themeColor="text1"/>
                    <w:sz w:val="16"/>
                    <w:szCs w:val="16"/>
                  </w:rPr>
                  <w:t>受限情况</w:t>
                </w:r>
              </w:p>
            </w:tc>
          </w:sdtContent>
        </w:sdt>
      </w:tr>
      <w:tr w:rsidR="00577D08" w14:paraId="3847AD96" w14:textId="77777777">
        <w:tc>
          <w:tcPr>
            <w:tcW w:w="0" w:type="auto"/>
            <w:vAlign w:val="center"/>
          </w:tcPr>
          <w:p w14:paraId="683206C9" w14:textId="77777777" w:rsidR="00577D08" w:rsidRDefault="00330FC0">
            <w:pPr>
              <w:jc w:val="left"/>
              <w:rPr>
                <w:color w:val="000000" w:themeColor="text1"/>
                <w:sz w:val="16"/>
                <w:szCs w:val="16"/>
              </w:rPr>
            </w:pPr>
            <w:r>
              <w:rPr>
                <w:color w:val="000000" w:themeColor="text1"/>
                <w:sz w:val="16"/>
                <w:szCs w:val="16"/>
              </w:rPr>
              <w:t>货币资金</w:t>
            </w:r>
          </w:p>
        </w:tc>
        <w:tc>
          <w:tcPr>
            <w:tcW w:w="0" w:type="auto"/>
            <w:vAlign w:val="center"/>
          </w:tcPr>
          <w:p w14:paraId="623B4068" w14:textId="77777777" w:rsidR="00577D08" w:rsidRDefault="00330FC0">
            <w:pPr>
              <w:jc w:val="right"/>
              <w:rPr>
                <w:sz w:val="16"/>
                <w:szCs w:val="16"/>
              </w:rPr>
            </w:pPr>
            <w:r>
              <w:rPr>
                <w:rFonts w:hint="eastAsia"/>
                <w:sz w:val="16"/>
                <w:szCs w:val="16"/>
              </w:rPr>
              <w:t>179,775,008.90</w:t>
            </w:r>
          </w:p>
        </w:tc>
        <w:tc>
          <w:tcPr>
            <w:tcW w:w="0" w:type="auto"/>
            <w:vAlign w:val="center"/>
          </w:tcPr>
          <w:p w14:paraId="1622CB7F" w14:textId="77777777" w:rsidR="00577D08" w:rsidRDefault="00330FC0">
            <w:pPr>
              <w:jc w:val="right"/>
              <w:rPr>
                <w:sz w:val="16"/>
                <w:szCs w:val="16"/>
              </w:rPr>
            </w:pPr>
            <w:r>
              <w:rPr>
                <w:rFonts w:hint="eastAsia"/>
                <w:sz w:val="16"/>
                <w:szCs w:val="16"/>
              </w:rPr>
              <w:t>179,775,008.90</w:t>
            </w:r>
          </w:p>
        </w:tc>
        <w:tc>
          <w:tcPr>
            <w:tcW w:w="602" w:type="dxa"/>
            <w:vAlign w:val="center"/>
          </w:tcPr>
          <w:p w14:paraId="4FE58853" w14:textId="77777777" w:rsidR="00577D08" w:rsidRDefault="00330FC0">
            <w:pPr>
              <w:jc w:val="center"/>
              <w:rPr>
                <w:color w:val="000000" w:themeColor="text1"/>
                <w:sz w:val="16"/>
                <w:szCs w:val="16"/>
              </w:rPr>
            </w:pPr>
            <w:r>
              <w:rPr>
                <w:rFonts w:hint="eastAsia"/>
                <w:sz w:val="16"/>
                <w:szCs w:val="16"/>
              </w:rPr>
              <w:t>质押</w:t>
            </w:r>
          </w:p>
        </w:tc>
        <w:tc>
          <w:tcPr>
            <w:tcW w:w="1291" w:type="dxa"/>
            <w:vAlign w:val="center"/>
          </w:tcPr>
          <w:p w14:paraId="33ABB30B" w14:textId="77777777" w:rsidR="00577D08" w:rsidRDefault="00330FC0">
            <w:pPr>
              <w:jc w:val="center"/>
              <w:rPr>
                <w:sz w:val="16"/>
                <w:szCs w:val="16"/>
              </w:rPr>
            </w:pPr>
            <w:r>
              <w:rPr>
                <w:rFonts w:hint="eastAsia"/>
                <w:sz w:val="16"/>
                <w:szCs w:val="16"/>
              </w:rPr>
              <w:t>票据保证金及保函保证金</w:t>
            </w:r>
          </w:p>
        </w:tc>
        <w:tc>
          <w:tcPr>
            <w:tcW w:w="0" w:type="auto"/>
            <w:vAlign w:val="center"/>
          </w:tcPr>
          <w:p w14:paraId="5D006D22" w14:textId="77777777" w:rsidR="00577D08" w:rsidRDefault="00330FC0">
            <w:pPr>
              <w:jc w:val="right"/>
              <w:rPr>
                <w:sz w:val="16"/>
                <w:szCs w:val="16"/>
              </w:rPr>
            </w:pPr>
            <w:r>
              <w:rPr>
                <w:rFonts w:hint="eastAsia"/>
                <w:sz w:val="16"/>
                <w:szCs w:val="16"/>
              </w:rPr>
              <w:t>158,852,718.63</w:t>
            </w:r>
          </w:p>
        </w:tc>
        <w:tc>
          <w:tcPr>
            <w:tcW w:w="0" w:type="auto"/>
            <w:vAlign w:val="center"/>
          </w:tcPr>
          <w:p w14:paraId="74679DC5" w14:textId="77777777" w:rsidR="00577D08" w:rsidRDefault="00330FC0">
            <w:pPr>
              <w:jc w:val="right"/>
              <w:rPr>
                <w:sz w:val="16"/>
                <w:szCs w:val="16"/>
              </w:rPr>
            </w:pPr>
            <w:r>
              <w:rPr>
                <w:rFonts w:hint="eastAsia"/>
                <w:sz w:val="16"/>
                <w:szCs w:val="16"/>
              </w:rPr>
              <w:t>158,852,718.63</w:t>
            </w:r>
          </w:p>
        </w:tc>
        <w:tc>
          <w:tcPr>
            <w:tcW w:w="671" w:type="dxa"/>
            <w:vAlign w:val="center"/>
          </w:tcPr>
          <w:p w14:paraId="461C8866" w14:textId="77777777" w:rsidR="00577D08" w:rsidRDefault="00330FC0">
            <w:pPr>
              <w:jc w:val="center"/>
              <w:rPr>
                <w:color w:val="000000" w:themeColor="text1"/>
                <w:sz w:val="16"/>
                <w:szCs w:val="16"/>
              </w:rPr>
            </w:pPr>
            <w:r>
              <w:rPr>
                <w:rFonts w:hint="eastAsia"/>
                <w:sz w:val="16"/>
                <w:szCs w:val="16"/>
              </w:rPr>
              <w:t>质押</w:t>
            </w:r>
          </w:p>
        </w:tc>
        <w:tc>
          <w:tcPr>
            <w:tcW w:w="719" w:type="dxa"/>
            <w:vAlign w:val="center"/>
          </w:tcPr>
          <w:p w14:paraId="4FA99861" w14:textId="77777777" w:rsidR="00577D08" w:rsidRDefault="00330FC0">
            <w:pPr>
              <w:jc w:val="center"/>
              <w:rPr>
                <w:sz w:val="16"/>
                <w:szCs w:val="16"/>
              </w:rPr>
            </w:pPr>
            <w:r>
              <w:rPr>
                <w:rFonts w:hint="eastAsia"/>
                <w:sz w:val="16"/>
                <w:szCs w:val="16"/>
              </w:rPr>
              <w:t>票据保证金及保函保证金</w:t>
            </w:r>
          </w:p>
        </w:tc>
      </w:tr>
      <w:tr w:rsidR="00577D08" w14:paraId="1CA0C28F" w14:textId="77777777">
        <w:tc>
          <w:tcPr>
            <w:tcW w:w="0" w:type="auto"/>
            <w:vAlign w:val="center"/>
          </w:tcPr>
          <w:p w14:paraId="30DB1FFF" w14:textId="77777777" w:rsidR="00577D08" w:rsidRDefault="00330FC0">
            <w:pPr>
              <w:jc w:val="left"/>
              <w:rPr>
                <w:color w:val="000000" w:themeColor="text1"/>
                <w:sz w:val="16"/>
                <w:szCs w:val="16"/>
              </w:rPr>
            </w:pPr>
            <w:r>
              <w:rPr>
                <w:color w:val="000000" w:themeColor="text1"/>
                <w:sz w:val="16"/>
                <w:szCs w:val="16"/>
              </w:rPr>
              <w:t>应收票据</w:t>
            </w:r>
          </w:p>
        </w:tc>
        <w:tc>
          <w:tcPr>
            <w:tcW w:w="0" w:type="auto"/>
            <w:vAlign w:val="center"/>
          </w:tcPr>
          <w:p w14:paraId="61673E92" w14:textId="77777777" w:rsidR="00577D08" w:rsidRDefault="00577D08">
            <w:pPr>
              <w:jc w:val="right"/>
              <w:rPr>
                <w:sz w:val="16"/>
                <w:szCs w:val="16"/>
              </w:rPr>
            </w:pPr>
          </w:p>
        </w:tc>
        <w:tc>
          <w:tcPr>
            <w:tcW w:w="0" w:type="auto"/>
            <w:vAlign w:val="center"/>
          </w:tcPr>
          <w:p w14:paraId="50D84513" w14:textId="77777777" w:rsidR="00577D08" w:rsidRDefault="00577D08">
            <w:pPr>
              <w:jc w:val="right"/>
              <w:rPr>
                <w:sz w:val="16"/>
                <w:szCs w:val="16"/>
              </w:rPr>
            </w:pPr>
          </w:p>
        </w:tc>
        <w:sdt>
          <w:sdtPr>
            <w:rPr>
              <w:color w:val="000000" w:themeColor="text1"/>
              <w:sz w:val="16"/>
              <w:szCs w:val="16"/>
            </w:rPr>
            <w:alias w:val="所有权或使用权受到限制的资产中应收票据受限类型"/>
            <w:tag w:val="_GBC_bb4028237cac45c7b5d4728e9c1b478c"/>
            <w:id w:val="-784965571"/>
            <w:showingPlcHdr/>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02" w:type="dxa"/>
                <w:vAlign w:val="center"/>
              </w:tcPr>
              <w:p w14:paraId="13DEC22C" w14:textId="77777777" w:rsidR="00577D08" w:rsidRDefault="00330FC0">
                <w:pPr>
                  <w:jc w:val="center"/>
                  <w:rPr>
                    <w:color w:val="000000" w:themeColor="text1"/>
                    <w:sz w:val="16"/>
                    <w:szCs w:val="16"/>
                  </w:rPr>
                </w:pPr>
                <w:r>
                  <w:rPr>
                    <w:rStyle w:val="affb"/>
                    <w:rFonts w:hint="eastAsia"/>
                    <w:color w:val="000000" w:themeColor="text1"/>
                    <w:sz w:val="16"/>
                    <w:szCs w:val="16"/>
                  </w:rPr>
                  <w:t xml:space="preserve">　</w:t>
                </w:r>
              </w:p>
            </w:tc>
          </w:sdtContent>
        </w:sdt>
        <w:tc>
          <w:tcPr>
            <w:tcW w:w="1291" w:type="dxa"/>
            <w:vAlign w:val="center"/>
          </w:tcPr>
          <w:p w14:paraId="63CBC469" w14:textId="77777777" w:rsidR="00577D08" w:rsidRDefault="00577D08">
            <w:pPr>
              <w:jc w:val="center"/>
              <w:rPr>
                <w:sz w:val="16"/>
                <w:szCs w:val="16"/>
              </w:rPr>
            </w:pPr>
          </w:p>
        </w:tc>
        <w:tc>
          <w:tcPr>
            <w:tcW w:w="0" w:type="auto"/>
            <w:vAlign w:val="center"/>
          </w:tcPr>
          <w:p w14:paraId="1B3AD35A" w14:textId="77777777" w:rsidR="00577D08" w:rsidRDefault="00577D08">
            <w:pPr>
              <w:jc w:val="right"/>
              <w:rPr>
                <w:sz w:val="16"/>
                <w:szCs w:val="16"/>
              </w:rPr>
            </w:pPr>
          </w:p>
        </w:tc>
        <w:tc>
          <w:tcPr>
            <w:tcW w:w="0" w:type="auto"/>
            <w:vAlign w:val="center"/>
          </w:tcPr>
          <w:p w14:paraId="3ACAEA0E" w14:textId="77777777" w:rsidR="00577D08" w:rsidRDefault="00577D08">
            <w:pPr>
              <w:jc w:val="right"/>
              <w:rPr>
                <w:sz w:val="16"/>
                <w:szCs w:val="16"/>
              </w:rPr>
            </w:pPr>
          </w:p>
        </w:tc>
        <w:sdt>
          <w:sdtPr>
            <w:rPr>
              <w:color w:val="000000" w:themeColor="text1"/>
              <w:sz w:val="16"/>
              <w:szCs w:val="16"/>
            </w:rPr>
            <w:alias w:val="所有权或使用权受到限制的资产中应收票据受限类型"/>
            <w:tag w:val="_GBC_06c3368ad3ff458487ed7218c854bcdb"/>
            <w:id w:val="1355920842"/>
            <w:showingPlcHdr/>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71" w:type="dxa"/>
                <w:vAlign w:val="center"/>
              </w:tcPr>
              <w:p w14:paraId="1581E412" w14:textId="77777777" w:rsidR="00577D08" w:rsidRDefault="00330FC0">
                <w:pPr>
                  <w:jc w:val="center"/>
                  <w:rPr>
                    <w:color w:val="000000" w:themeColor="text1"/>
                    <w:sz w:val="16"/>
                    <w:szCs w:val="16"/>
                  </w:rPr>
                </w:pPr>
                <w:r>
                  <w:rPr>
                    <w:rStyle w:val="affb"/>
                    <w:rFonts w:hint="eastAsia"/>
                    <w:color w:val="000000" w:themeColor="text1"/>
                    <w:sz w:val="16"/>
                    <w:szCs w:val="16"/>
                  </w:rPr>
                  <w:t xml:space="preserve">　</w:t>
                </w:r>
              </w:p>
            </w:tc>
          </w:sdtContent>
        </w:sdt>
        <w:tc>
          <w:tcPr>
            <w:tcW w:w="719" w:type="dxa"/>
            <w:vAlign w:val="center"/>
          </w:tcPr>
          <w:p w14:paraId="331736DE" w14:textId="77777777" w:rsidR="00577D08" w:rsidRDefault="00577D08">
            <w:pPr>
              <w:jc w:val="center"/>
              <w:rPr>
                <w:sz w:val="16"/>
                <w:szCs w:val="16"/>
              </w:rPr>
            </w:pPr>
          </w:p>
        </w:tc>
      </w:tr>
      <w:tr w:rsidR="00577D08" w14:paraId="3193FEB1" w14:textId="77777777">
        <w:tc>
          <w:tcPr>
            <w:tcW w:w="0" w:type="auto"/>
            <w:vAlign w:val="center"/>
          </w:tcPr>
          <w:p w14:paraId="5E54AE9B" w14:textId="77777777" w:rsidR="00577D08" w:rsidRDefault="00330FC0">
            <w:pPr>
              <w:jc w:val="left"/>
              <w:rPr>
                <w:color w:val="000000" w:themeColor="text1"/>
                <w:sz w:val="16"/>
                <w:szCs w:val="16"/>
              </w:rPr>
            </w:pPr>
            <w:r>
              <w:rPr>
                <w:color w:val="000000" w:themeColor="text1"/>
                <w:sz w:val="16"/>
                <w:szCs w:val="16"/>
              </w:rPr>
              <w:t>存货</w:t>
            </w:r>
          </w:p>
        </w:tc>
        <w:tc>
          <w:tcPr>
            <w:tcW w:w="0" w:type="auto"/>
            <w:vAlign w:val="center"/>
          </w:tcPr>
          <w:p w14:paraId="71BB5529" w14:textId="77777777" w:rsidR="00577D08" w:rsidRDefault="00577D08">
            <w:pPr>
              <w:jc w:val="right"/>
              <w:rPr>
                <w:sz w:val="16"/>
                <w:szCs w:val="16"/>
              </w:rPr>
            </w:pPr>
          </w:p>
        </w:tc>
        <w:tc>
          <w:tcPr>
            <w:tcW w:w="0" w:type="auto"/>
            <w:vAlign w:val="center"/>
          </w:tcPr>
          <w:p w14:paraId="3ABEF277" w14:textId="77777777" w:rsidR="00577D08" w:rsidRDefault="00577D08">
            <w:pPr>
              <w:jc w:val="right"/>
              <w:rPr>
                <w:sz w:val="16"/>
                <w:szCs w:val="16"/>
              </w:rPr>
            </w:pPr>
          </w:p>
        </w:tc>
        <w:sdt>
          <w:sdtPr>
            <w:rPr>
              <w:color w:val="000000" w:themeColor="text1"/>
              <w:sz w:val="16"/>
              <w:szCs w:val="16"/>
            </w:rPr>
            <w:alias w:val="所有权或使用权受到限制的资产中存货受限类型"/>
            <w:tag w:val="_GBC_434fdc6e24134b9ba6c30273e6618c02"/>
            <w:id w:val="1651710868"/>
            <w:showingPlcHdr/>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02" w:type="dxa"/>
                <w:vAlign w:val="center"/>
              </w:tcPr>
              <w:p w14:paraId="4A68A0B6" w14:textId="77777777" w:rsidR="00577D08" w:rsidRDefault="00330FC0">
                <w:pPr>
                  <w:jc w:val="center"/>
                  <w:rPr>
                    <w:color w:val="000000" w:themeColor="text1"/>
                    <w:sz w:val="16"/>
                    <w:szCs w:val="16"/>
                  </w:rPr>
                </w:pPr>
                <w:r>
                  <w:rPr>
                    <w:rStyle w:val="affb"/>
                    <w:rFonts w:hint="eastAsia"/>
                    <w:color w:val="000000" w:themeColor="text1"/>
                    <w:sz w:val="16"/>
                    <w:szCs w:val="16"/>
                  </w:rPr>
                  <w:t xml:space="preserve">　</w:t>
                </w:r>
              </w:p>
            </w:tc>
          </w:sdtContent>
        </w:sdt>
        <w:tc>
          <w:tcPr>
            <w:tcW w:w="1291" w:type="dxa"/>
            <w:vAlign w:val="center"/>
          </w:tcPr>
          <w:p w14:paraId="2AEA4C05" w14:textId="77777777" w:rsidR="00577D08" w:rsidRDefault="00577D08">
            <w:pPr>
              <w:jc w:val="center"/>
              <w:rPr>
                <w:sz w:val="16"/>
                <w:szCs w:val="16"/>
              </w:rPr>
            </w:pPr>
          </w:p>
        </w:tc>
        <w:tc>
          <w:tcPr>
            <w:tcW w:w="0" w:type="auto"/>
            <w:vAlign w:val="center"/>
          </w:tcPr>
          <w:p w14:paraId="797336DA" w14:textId="77777777" w:rsidR="00577D08" w:rsidRDefault="00577D08">
            <w:pPr>
              <w:jc w:val="right"/>
              <w:rPr>
                <w:sz w:val="16"/>
                <w:szCs w:val="16"/>
              </w:rPr>
            </w:pPr>
          </w:p>
        </w:tc>
        <w:tc>
          <w:tcPr>
            <w:tcW w:w="0" w:type="auto"/>
            <w:vAlign w:val="center"/>
          </w:tcPr>
          <w:p w14:paraId="540C3DA2" w14:textId="77777777" w:rsidR="00577D08" w:rsidRDefault="00577D08">
            <w:pPr>
              <w:jc w:val="right"/>
              <w:rPr>
                <w:sz w:val="16"/>
                <w:szCs w:val="16"/>
              </w:rPr>
            </w:pPr>
          </w:p>
        </w:tc>
        <w:sdt>
          <w:sdtPr>
            <w:rPr>
              <w:color w:val="000000" w:themeColor="text1"/>
              <w:sz w:val="16"/>
              <w:szCs w:val="16"/>
            </w:rPr>
            <w:alias w:val="所有权或使用权受到限制的资产中存货受限类型"/>
            <w:tag w:val="_GBC_d21f55fb9cd84a84bfe5d72b73dc5428"/>
            <w:id w:val="1542559368"/>
            <w:showingPlcHdr/>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71" w:type="dxa"/>
                <w:vAlign w:val="center"/>
              </w:tcPr>
              <w:p w14:paraId="74A5542D" w14:textId="77777777" w:rsidR="00577D08" w:rsidRDefault="00330FC0">
                <w:pPr>
                  <w:jc w:val="center"/>
                  <w:rPr>
                    <w:color w:val="000000" w:themeColor="text1"/>
                    <w:sz w:val="16"/>
                    <w:szCs w:val="16"/>
                  </w:rPr>
                </w:pPr>
                <w:r>
                  <w:rPr>
                    <w:rStyle w:val="affb"/>
                    <w:rFonts w:hint="eastAsia"/>
                    <w:color w:val="000000" w:themeColor="text1"/>
                    <w:sz w:val="16"/>
                    <w:szCs w:val="16"/>
                  </w:rPr>
                  <w:t xml:space="preserve">　</w:t>
                </w:r>
              </w:p>
            </w:tc>
          </w:sdtContent>
        </w:sdt>
        <w:tc>
          <w:tcPr>
            <w:tcW w:w="719" w:type="dxa"/>
            <w:vAlign w:val="center"/>
          </w:tcPr>
          <w:p w14:paraId="059B4ADF" w14:textId="77777777" w:rsidR="00577D08" w:rsidRDefault="00577D08">
            <w:pPr>
              <w:jc w:val="center"/>
              <w:rPr>
                <w:sz w:val="16"/>
                <w:szCs w:val="16"/>
              </w:rPr>
            </w:pPr>
          </w:p>
        </w:tc>
      </w:tr>
      <w:tr w:rsidR="00577D08" w14:paraId="2735CCF6" w14:textId="77777777">
        <w:tc>
          <w:tcPr>
            <w:tcW w:w="0" w:type="auto"/>
            <w:vAlign w:val="center"/>
          </w:tcPr>
          <w:p w14:paraId="159E9030" w14:textId="77777777" w:rsidR="00577D08" w:rsidRDefault="00330FC0">
            <w:pPr>
              <w:rPr>
                <w:color w:val="000000" w:themeColor="text1"/>
                <w:sz w:val="16"/>
                <w:szCs w:val="16"/>
              </w:rPr>
            </w:pPr>
            <w:r>
              <w:rPr>
                <w:rFonts w:hint="eastAsia"/>
                <w:color w:val="000000" w:themeColor="text1"/>
                <w:sz w:val="16"/>
                <w:szCs w:val="16"/>
              </w:rPr>
              <w:t>其中：数据资源</w:t>
            </w:r>
          </w:p>
        </w:tc>
        <w:tc>
          <w:tcPr>
            <w:tcW w:w="0" w:type="auto"/>
            <w:vAlign w:val="center"/>
          </w:tcPr>
          <w:p w14:paraId="7F0E4AA4" w14:textId="77777777" w:rsidR="00577D08" w:rsidRDefault="00577D08">
            <w:pPr>
              <w:jc w:val="right"/>
              <w:rPr>
                <w:sz w:val="16"/>
                <w:szCs w:val="16"/>
              </w:rPr>
            </w:pPr>
          </w:p>
        </w:tc>
        <w:tc>
          <w:tcPr>
            <w:tcW w:w="0" w:type="auto"/>
            <w:vAlign w:val="center"/>
          </w:tcPr>
          <w:p w14:paraId="6252612C" w14:textId="77777777" w:rsidR="00577D08" w:rsidRDefault="00577D08">
            <w:pPr>
              <w:jc w:val="right"/>
              <w:rPr>
                <w:sz w:val="16"/>
                <w:szCs w:val="16"/>
              </w:rPr>
            </w:pPr>
          </w:p>
        </w:tc>
        <w:sdt>
          <w:sdtPr>
            <w:rPr>
              <w:color w:val="000000" w:themeColor="text1"/>
              <w:sz w:val="16"/>
              <w:szCs w:val="16"/>
            </w:rPr>
            <w:alias w:val="所有权或使用权受到限制的资产中确认为存货数据资源受限类型"/>
            <w:tag w:val="_GBC_679fd8bb4c754893b0a91efdba6d3552"/>
            <w:id w:val="1037159573"/>
            <w:showingPlcHdr/>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02" w:type="dxa"/>
                <w:vAlign w:val="center"/>
              </w:tcPr>
              <w:p w14:paraId="0D66CEE5" w14:textId="77777777" w:rsidR="00577D08" w:rsidRDefault="00330FC0">
                <w:pPr>
                  <w:jc w:val="center"/>
                  <w:rPr>
                    <w:color w:val="000000" w:themeColor="text1"/>
                    <w:sz w:val="16"/>
                    <w:szCs w:val="16"/>
                  </w:rPr>
                </w:pPr>
                <w:r>
                  <w:rPr>
                    <w:rStyle w:val="affb"/>
                    <w:rFonts w:hint="eastAsia"/>
                    <w:color w:val="000000" w:themeColor="text1"/>
                    <w:sz w:val="16"/>
                    <w:szCs w:val="16"/>
                  </w:rPr>
                  <w:t xml:space="preserve">　</w:t>
                </w:r>
              </w:p>
            </w:tc>
          </w:sdtContent>
        </w:sdt>
        <w:tc>
          <w:tcPr>
            <w:tcW w:w="1291" w:type="dxa"/>
            <w:vAlign w:val="center"/>
          </w:tcPr>
          <w:p w14:paraId="3C1BEEF9" w14:textId="77777777" w:rsidR="00577D08" w:rsidRDefault="00577D08">
            <w:pPr>
              <w:jc w:val="center"/>
              <w:rPr>
                <w:sz w:val="16"/>
                <w:szCs w:val="16"/>
              </w:rPr>
            </w:pPr>
          </w:p>
        </w:tc>
        <w:tc>
          <w:tcPr>
            <w:tcW w:w="0" w:type="auto"/>
            <w:vAlign w:val="center"/>
          </w:tcPr>
          <w:p w14:paraId="16ABA0C0" w14:textId="77777777" w:rsidR="00577D08" w:rsidRDefault="00577D08">
            <w:pPr>
              <w:jc w:val="right"/>
              <w:rPr>
                <w:sz w:val="16"/>
                <w:szCs w:val="16"/>
              </w:rPr>
            </w:pPr>
          </w:p>
        </w:tc>
        <w:tc>
          <w:tcPr>
            <w:tcW w:w="0" w:type="auto"/>
            <w:vAlign w:val="center"/>
          </w:tcPr>
          <w:p w14:paraId="51429481" w14:textId="77777777" w:rsidR="00577D08" w:rsidRDefault="00577D08">
            <w:pPr>
              <w:jc w:val="right"/>
              <w:rPr>
                <w:sz w:val="16"/>
                <w:szCs w:val="16"/>
              </w:rPr>
            </w:pPr>
          </w:p>
        </w:tc>
        <w:sdt>
          <w:sdtPr>
            <w:rPr>
              <w:color w:val="000000" w:themeColor="text1"/>
              <w:sz w:val="16"/>
              <w:szCs w:val="16"/>
            </w:rPr>
            <w:alias w:val="所有权或使用权受到限制的资产中确认为存货数据资源受限类型"/>
            <w:tag w:val="_GBC_7c6b4cd4baa2497a99edef320952f2ee"/>
            <w:id w:val="-900978419"/>
            <w:showingPlcHdr/>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71" w:type="dxa"/>
                <w:vAlign w:val="center"/>
              </w:tcPr>
              <w:p w14:paraId="0247FFE5" w14:textId="77777777" w:rsidR="00577D08" w:rsidRDefault="00330FC0">
                <w:pPr>
                  <w:jc w:val="center"/>
                  <w:rPr>
                    <w:color w:val="000000" w:themeColor="text1"/>
                    <w:sz w:val="16"/>
                    <w:szCs w:val="16"/>
                  </w:rPr>
                </w:pPr>
                <w:r>
                  <w:rPr>
                    <w:rStyle w:val="affb"/>
                    <w:rFonts w:hint="eastAsia"/>
                    <w:color w:val="000000" w:themeColor="text1"/>
                    <w:sz w:val="16"/>
                    <w:szCs w:val="16"/>
                  </w:rPr>
                  <w:t xml:space="preserve">　</w:t>
                </w:r>
              </w:p>
            </w:tc>
          </w:sdtContent>
        </w:sdt>
        <w:tc>
          <w:tcPr>
            <w:tcW w:w="719" w:type="dxa"/>
            <w:vAlign w:val="center"/>
          </w:tcPr>
          <w:p w14:paraId="1F309E4E" w14:textId="77777777" w:rsidR="00577D08" w:rsidRDefault="00577D08">
            <w:pPr>
              <w:jc w:val="center"/>
              <w:rPr>
                <w:sz w:val="16"/>
                <w:szCs w:val="16"/>
              </w:rPr>
            </w:pPr>
          </w:p>
        </w:tc>
      </w:tr>
      <w:tr w:rsidR="00577D08" w14:paraId="7CB378ED" w14:textId="77777777">
        <w:tc>
          <w:tcPr>
            <w:tcW w:w="0" w:type="auto"/>
            <w:vAlign w:val="center"/>
          </w:tcPr>
          <w:p w14:paraId="5604D3CE" w14:textId="77777777" w:rsidR="00577D08" w:rsidRDefault="00330FC0">
            <w:pPr>
              <w:jc w:val="left"/>
              <w:rPr>
                <w:color w:val="000000" w:themeColor="text1"/>
                <w:sz w:val="16"/>
                <w:szCs w:val="16"/>
              </w:rPr>
            </w:pPr>
            <w:r>
              <w:rPr>
                <w:color w:val="000000" w:themeColor="text1"/>
                <w:sz w:val="16"/>
                <w:szCs w:val="16"/>
              </w:rPr>
              <w:t>固定</w:t>
            </w:r>
            <w:r>
              <w:rPr>
                <w:color w:val="000000" w:themeColor="text1"/>
                <w:sz w:val="16"/>
                <w:szCs w:val="16"/>
              </w:rPr>
              <w:lastRenderedPageBreak/>
              <w:t>资产</w:t>
            </w:r>
          </w:p>
        </w:tc>
        <w:tc>
          <w:tcPr>
            <w:tcW w:w="0" w:type="auto"/>
            <w:vAlign w:val="center"/>
          </w:tcPr>
          <w:p w14:paraId="123E68E5" w14:textId="77777777" w:rsidR="00577D08" w:rsidRDefault="00330FC0">
            <w:pPr>
              <w:jc w:val="right"/>
              <w:rPr>
                <w:sz w:val="16"/>
                <w:szCs w:val="16"/>
              </w:rPr>
            </w:pPr>
            <w:r>
              <w:rPr>
                <w:rFonts w:hint="eastAsia"/>
                <w:sz w:val="16"/>
                <w:szCs w:val="16"/>
              </w:rPr>
              <w:lastRenderedPageBreak/>
              <w:t>941,362,831.33</w:t>
            </w:r>
          </w:p>
        </w:tc>
        <w:tc>
          <w:tcPr>
            <w:tcW w:w="0" w:type="auto"/>
            <w:vAlign w:val="center"/>
          </w:tcPr>
          <w:p w14:paraId="7F4AD19C" w14:textId="77777777" w:rsidR="00577D08" w:rsidRDefault="00330FC0">
            <w:pPr>
              <w:jc w:val="right"/>
              <w:rPr>
                <w:sz w:val="16"/>
                <w:szCs w:val="16"/>
              </w:rPr>
            </w:pPr>
            <w:r>
              <w:rPr>
                <w:rFonts w:hint="eastAsia"/>
                <w:sz w:val="16"/>
                <w:szCs w:val="16"/>
              </w:rPr>
              <w:t>725,586,130.84</w:t>
            </w:r>
          </w:p>
        </w:tc>
        <w:tc>
          <w:tcPr>
            <w:tcW w:w="602" w:type="dxa"/>
            <w:vAlign w:val="center"/>
          </w:tcPr>
          <w:p w14:paraId="74584541" w14:textId="77777777" w:rsidR="00577D08" w:rsidRDefault="00330FC0">
            <w:pPr>
              <w:jc w:val="center"/>
              <w:rPr>
                <w:color w:val="000000" w:themeColor="text1"/>
                <w:sz w:val="16"/>
                <w:szCs w:val="16"/>
              </w:rPr>
            </w:pPr>
            <w:r>
              <w:rPr>
                <w:rFonts w:hint="eastAsia"/>
                <w:sz w:val="16"/>
                <w:szCs w:val="16"/>
              </w:rPr>
              <w:t>抵押</w:t>
            </w:r>
          </w:p>
        </w:tc>
        <w:tc>
          <w:tcPr>
            <w:tcW w:w="1291" w:type="dxa"/>
            <w:vAlign w:val="center"/>
          </w:tcPr>
          <w:p w14:paraId="7965CAEB" w14:textId="77777777" w:rsidR="00577D08" w:rsidRDefault="00330FC0">
            <w:pPr>
              <w:jc w:val="center"/>
              <w:rPr>
                <w:sz w:val="16"/>
                <w:szCs w:val="16"/>
              </w:rPr>
            </w:pPr>
            <w:r>
              <w:rPr>
                <w:rFonts w:hint="eastAsia"/>
                <w:sz w:val="16"/>
                <w:szCs w:val="16"/>
              </w:rPr>
              <w:t>借款抵押</w:t>
            </w:r>
          </w:p>
        </w:tc>
        <w:tc>
          <w:tcPr>
            <w:tcW w:w="0" w:type="auto"/>
            <w:vAlign w:val="center"/>
          </w:tcPr>
          <w:p w14:paraId="51268066" w14:textId="77777777" w:rsidR="00577D08" w:rsidRDefault="00330FC0">
            <w:pPr>
              <w:jc w:val="right"/>
              <w:rPr>
                <w:sz w:val="16"/>
                <w:szCs w:val="16"/>
              </w:rPr>
            </w:pPr>
            <w:r>
              <w:rPr>
                <w:rFonts w:hint="eastAsia"/>
                <w:sz w:val="16"/>
                <w:szCs w:val="16"/>
              </w:rPr>
              <w:t>236,372,897.25</w:t>
            </w:r>
          </w:p>
        </w:tc>
        <w:tc>
          <w:tcPr>
            <w:tcW w:w="0" w:type="auto"/>
            <w:vAlign w:val="center"/>
          </w:tcPr>
          <w:p w14:paraId="4D18999A" w14:textId="77777777" w:rsidR="00577D08" w:rsidRDefault="00330FC0">
            <w:pPr>
              <w:jc w:val="right"/>
              <w:rPr>
                <w:sz w:val="16"/>
                <w:szCs w:val="16"/>
              </w:rPr>
            </w:pPr>
            <w:r>
              <w:rPr>
                <w:rFonts w:hint="eastAsia"/>
                <w:sz w:val="16"/>
                <w:szCs w:val="16"/>
              </w:rPr>
              <w:t>157,147,761.34</w:t>
            </w:r>
          </w:p>
        </w:tc>
        <w:tc>
          <w:tcPr>
            <w:tcW w:w="671" w:type="dxa"/>
            <w:vAlign w:val="center"/>
          </w:tcPr>
          <w:p w14:paraId="43C98CE6" w14:textId="77777777" w:rsidR="00577D08" w:rsidRDefault="00330FC0">
            <w:pPr>
              <w:jc w:val="center"/>
              <w:rPr>
                <w:color w:val="000000" w:themeColor="text1"/>
                <w:sz w:val="16"/>
                <w:szCs w:val="16"/>
              </w:rPr>
            </w:pPr>
            <w:r>
              <w:rPr>
                <w:rFonts w:hint="eastAsia"/>
                <w:sz w:val="16"/>
                <w:szCs w:val="16"/>
              </w:rPr>
              <w:t>抵押</w:t>
            </w:r>
          </w:p>
        </w:tc>
        <w:tc>
          <w:tcPr>
            <w:tcW w:w="719" w:type="dxa"/>
            <w:vAlign w:val="center"/>
          </w:tcPr>
          <w:p w14:paraId="262F393C" w14:textId="77777777" w:rsidR="00577D08" w:rsidRDefault="00330FC0">
            <w:pPr>
              <w:jc w:val="center"/>
              <w:rPr>
                <w:sz w:val="16"/>
                <w:szCs w:val="16"/>
              </w:rPr>
            </w:pPr>
            <w:r>
              <w:rPr>
                <w:rFonts w:hint="eastAsia"/>
                <w:sz w:val="16"/>
                <w:szCs w:val="16"/>
              </w:rPr>
              <w:t>借款抵</w:t>
            </w:r>
            <w:r>
              <w:rPr>
                <w:rFonts w:hint="eastAsia"/>
                <w:sz w:val="16"/>
                <w:szCs w:val="16"/>
              </w:rPr>
              <w:lastRenderedPageBreak/>
              <w:t>押</w:t>
            </w:r>
          </w:p>
        </w:tc>
      </w:tr>
      <w:tr w:rsidR="00577D08" w14:paraId="492B27E0" w14:textId="77777777">
        <w:tc>
          <w:tcPr>
            <w:tcW w:w="0" w:type="auto"/>
            <w:tcBorders>
              <w:bottom w:val="single" w:sz="4" w:space="0" w:color="auto"/>
            </w:tcBorders>
            <w:vAlign w:val="center"/>
          </w:tcPr>
          <w:p w14:paraId="0C331CE7" w14:textId="77777777" w:rsidR="00577D08" w:rsidRDefault="00330FC0">
            <w:pPr>
              <w:jc w:val="left"/>
              <w:rPr>
                <w:color w:val="000000" w:themeColor="text1"/>
                <w:sz w:val="16"/>
                <w:szCs w:val="16"/>
              </w:rPr>
            </w:pPr>
            <w:r>
              <w:rPr>
                <w:color w:val="000000" w:themeColor="text1"/>
                <w:sz w:val="16"/>
                <w:szCs w:val="16"/>
              </w:rPr>
              <w:lastRenderedPageBreak/>
              <w:t>无形资产</w:t>
            </w:r>
          </w:p>
        </w:tc>
        <w:tc>
          <w:tcPr>
            <w:tcW w:w="0" w:type="auto"/>
            <w:vAlign w:val="center"/>
          </w:tcPr>
          <w:p w14:paraId="1FE886B0" w14:textId="77777777" w:rsidR="00577D08" w:rsidRDefault="00330FC0">
            <w:pPr>
              <w:jc w:val="right"/>
              <w:rPr>
                <w:sz w:val="16"/>
                <w:szCs w:val="16"/>
              </w:rPr>
            </w:pPr>
            <w:r>
              <w:rPr>
                <w:rFonts w:hint="eastAsia"/>
                <w:sz w:val="16"/>
                <w:szCs w:val="16"/>
              </w:rPr>
              <w:t>53,477,021.12</w:t>
            </w:r>
          </w:p>
        </w:tc>
        <w:tc>
          <w:tcPr>
            <w:tcW w:w="0" w:type="auto"/>
            <w:vAlign w:val="center"/>
          </w:tcPr>
          <w:p w14:paraId="3683CD54" w14:textId="77777777" w:rsidR="00577D08" w:rsidRDefault="00330FC0">
            <w:pPr>
              <w:jc w:val="right"/>
              <w:rPr>
                <w:sz w:val="16"/>
                <w:szCs w:val="16"/>
              </w:rPr>
            </w:pPr>
            <w:r>
              <w:rPr>
                <w:rFonts w:hint="eastAsia"/>
                <w:sz w:val="16"/>
                <w:szCs w:val="16"/>
              </w:rPr>
              <w:t>50,533,585.44</w:t>
            </w:r>
          </w:p>
        </w:tc>
        <w:tc>
          <w:tcPr>
            <w:tcW w:w="602" w:type="dxa"/>
            <w:vAlign w:val="center"/>
          </w:tcPr>
          <w:p w14:paraId="7968DC9D" w14:textId="77777777" w:rsidR="00577D08" w:rsidRDefault="00330FC0">
            <w:pPr>
              <w:jc w:val="center"/>
              <w:rPr>
                <w:color w:val="000000" w:themeColor="text1"/>
                <w:sz w:val="16"/>
                <w:szCs w:val="16"/>
              </w:rPr>
            </w:pPr>
            <w:r>
              <w:rPr>
                <w:rFonts w:hint="eastAsia"/>
                <w:sz w:val="16"/>
                <w:szCs w:val="16"/>
              </w:rPr>
              <w:t>抵押</w:t>
            </w:r>
          </w:p>
        </w:tc>
        <w:tc>
          <w:tcPr>
            <w:tcW w:w="1291" w:type="dxa"/>
            <w:vAlign w:val="center"/>
          </w:tcPr>
          <w:p w14:paraId="46E46FB7" w14:textId="77777777" w:rsidR="00577D08" w:rsidRDefault="00330FC0">
            <w:pPr>
              <w:jc w:val="center"/>
              <w:rPr>
                <w:sz w:val="16"/>
                <w:szCs w:val="16"/>
              </w:rPr>
            </w:pPr>
            <w:r>
              <w:rPr>
                <w:rFonts w:hint="eastAsia"/>
                <w:sz w:val="16"/>
                <w:szCs w:val="16"/>
              </w:rPr>
              <w:t>借款抵押</w:t>
            </w:r>
          </w:p>
        </w:tc>
        <w:tc>
          <w:tcPr>
            <w:tcW w:w="0" w:type="auto"/>
            <w:vAlign w:val="center"/>
          </w:tcPr>
          <w:p w14:paraId="449EA2E9" w14:textId="77777777" w:rsidR="00577D08" w:rsidRDefault="00330FC0">
            <w:pPr>
              <w:jc w:val="right"/>
              <w:rPr>
                <w:sz w:val="16"/>
                <w:szCs w:val="16"/>
              </w:rPr>
            </w:pPr>
            <w:r>
              <w:rPr>
                <w:rFonts w:hint="eastAsia"/>
                <w:sz w:val="16"/>
                <w:szCs w:val="16"/>
              </w:rPr>
              <w:t>54,928,085.16</w:t>
            </w:r>
          </w:p>
        </w:tc>
        <w:tc>
          <w:tcPr>
            <w:tcW w:w="0" w:type="auto"/>
            <w:vAlign w:val="center"/>
          </w:tcPr>
          <w:p w14:paraId="14DC9FE9" w14:textId="77777777" w:rsidR="00577D08" w:rsidRDefault="00330FC0">
            <w:pPr>
              <w:jc w:val="right"/>
              <w:rPr>
                <w:sz w:val="16"/>
                <w:szCs w:val="16"/>
              </w:rPr>
            </w:pPr>
            <w:r>
              <w:rPr>
                <w:rFonts w:hint="eastAsia"/>
                <w:sz w:val="16"/>
                <w:szCs w:val="16"/>
              </w:rPr>
              <w:t>45,990,837.96</w:t>
            </w:r>
          </w:p>
        </w:tc>
        <w:tc>
          <w:tcPr>
            <w:tcW w:w="671" w:type="dxa"/>
            <w:vAlign w:val="center"/>
          </w:tcPr>
          <w:p w14:paraId="6EEF6A42" w14:textId="77777777" w:rsidR="00577D08" w:rsidRDefault="00330FC0">
            <w:pPr>
              <w:jc w:val="center"/>
              <w:rPr>
                <w:color w:val="000000" w:themeColor="text1"/>
                <w:sz w:val="16"/>
                <w:szCs w:val="16"/>
              </w:rPr>
            </w:pPr>
            <w:r>
              <w:rPr>
                <w:rFonts w:hint="eastAsia"/>
                <w:sz w:val="16"/>
                <w:szCs w:val="16"/>
              </w:rPr>
              <w:t>抵押</w:t>
            </w:r>
          </w:p>
        </w:tc>
        <w:tc>
          <w:tcPr>
            <w:tcW w:w="719" w:type="dxa"/>
            <w:vAlign w:val="center"/>
          </w:tcPr>
          <w:p w14:paraId="71CC6427" w14:textId="77777777" w:rsidR="00577D08" w:rsidRDefault="00330FC0">
            <w:pPr>
              <w:jc w:val="center"/>
              <w:rPr>
                <w:sz w:val="16"/>
                <w:szCs w:val="16"/>
              </w:rPr>
            </w:pPr>
            <w:r>
              <w:rPr>
                <w:rFonts w:hint="eastAsia"/>
                <w:sz w:val="16"/>
                <w:szCs w:val="16"/>
              </w:rPr>
              <w:t>借款抵押</w:t>
            </w:r>
          </w:p>
        </w:tc>
      </w:tr>
      <w:tr w:rsidR="00577D08" w14:paraId="0FB19AE9" w14:textId="77777777">
        <w:tc>
          <w:tcPr>
            <w:tcW w:w="0" w:type="auto"/>
            <w:tcBorders>
              <w:bottom w:val="single" w:sz="4" w:space="0" w:color="auto"/>
            </w:tcBorders>
            <w:vAlign w:val="center"/>
          </w:tcPr>
          <w:p w14:paraId="17A59205" w14:textId="77777777" w:rsidR="00577D08" w:rsidRDefault="00330FC0">
            <w:pPr>
              <w:rPr>
                <w:color w:val="000000" w:themeColor="text1"/>
                <w:sz w:val="16"/>
                <w:szCs w:val="16"/>
              </w:rPr>
            </w:pPr>
            <w:r>
              <w:rPr>
                <w:rFonts w:hint="eastAsia"/>
                <w:color w:val="000000" w:themeColor="text1"/>
                <w:sz w:val="16"/>
                <w:szCs w:val="16"/>
              </w:rPr>
              <w:t>其中：数据资源</w:t>
            </w:r>
          </w:p>
        </w:tc>
        <w:tc>
          <w:tcPr>
            <w:tcW w:w="0" w:type="auto"/>
            <w:vAlign w:val="center"/>
          </w:tcPr>
          <w:p w14:paraId="45DF94E5" w14:textId="77777777" w:rsidR="00577D08" w:rsidRDefault="00577D08">
            <w:pPr>
              <w:jc w:val="right"/>
              <w:rPr>
                <w:sz w:val="16"/>
                <w:szCs w:val="16"/>
              </w:rPr>
            </w:pPr>
          </w:p>
        </w:tc>
        <w:tc>
          <w:tcPr>
            <w:tcW w:w="0" w:type="auto"/>
            <w:vAlign w:val="center"/>
          </w:tcPr>
          <w:p w14:paraId="2D5FEF2F" w14:textId="77777777" w:rsidR="00577D08" w:rsidRDefault="00577D08">
            <w:pPr>
              <w:jc w:val="right"/>
              <w:rPr>
                <w:sz w:val="16"/>
                <w:szCs w:val="16"/>
              </w:rPr>
            </w:pPr>
          </w:p>
        </w:tc>
        <w:tc>
          <w:tcPr>
            <w:tcW w:w="602" w:type="dxa"/>
          </w:tcPr>
          <w:p w14:paraId="54679752" w14:textId="77777777" w:rsidR="00577D08" w:rsidRDefault="00577D08">
            <w:pPr>
              <w:rPr>
                <w:color w:val="000000" w:themeColor="text1"/>
                <w:sz w:val="16"/>
                <w:szCs w:val="16"/>
              </w:rPr>
            </w:pPr>
          </w:p>
        </w:tc>
        <w:tc>
          <w:tcPr>
            <w:tcW w:w="1291" w:type="dxa"/>
          </w:tcPr>
          <w:p w14:paraId="2524F5F0" w14:textId="77777777" w:rsidR="00577D08" w:rsidRDefault="00577D08">
            <w:pPr>
              <w:rPr>
                <w:sz w:val="16"/>
                <w:szCs w:val="16"/>
              </w:rPr>
            </w:pPr>
          </w:p>
        </w:tc>
        <w:tc>
          <w:tcPr>
            <w:tcW w:w="0" w:type="auto"/>
            <w:vAlign w:val="center"/>
          </w:tcPr>
          <w:p w14:paraId="15FBC72A" w14:textId="77777777" w:rsidR="00577D08" w:rsidRDefault="00577D08">
            <w:pPr>
              <w:jc w:val="right"/>
              <w:rPr>
                <w:sz w:val="16"/>
                <w:szCs w:val="16"/>
              </w:rPr>
            </w:pPr>
          </w:p>
        </w:tc>
        <w:tc>
          <w:tcPr>
            <w:tcW w:w="0" w:type="auto"/>
            <w:vAlign w:val="center"/>
          </w:tcPr>
          <w:p w14:paraId="77145AF7" w14:textId="77777777" w:rsidR="00577D08" w:rsidRDefault="00577D08">
            <w:pPr>
              <w:jc w:val="right"/>
              <w:rPr>
                <w:sz w:val="16"/>
                <w:szCs w:val="16"/>
              </w:rPr>
            </w:pPr>
          </w:p>
        </w:tc>
        <w:tc>
          <w:tcPr>
            <w:tcW w:w="671" w:type="dxa"/>
          </w:tcPr>
          <w:p w14:paraId="62F2A539" w14:textId="77777777" w:rsidR="00577D08" w:rsidRDefault="00577D08">
            <w:pPr>
              <w:rPr>
                <w:color w:val="000000" w:themeColor="text1"/>
                <w:sz w:val="16"/>
                <w:szCs w:val="16"/>
              </w:rPr>
            </w:pPr>
          </w:p>
        </w:tc>
        <w:tc>
          <w:tcPr>
            <w:tcW w:w="719" w:type="dxa"/>
          </w:tcPr>
          <w:p w14:paraId="11B96057" w14:textId="77777777" w:rsidR="00577D08" w:rsidRDefault="00577D08">
            <w:pPr>
              <w:rPr>
                <w:sz w:val="16"/>
                <w:szCs w:val="16"/>
              </w:rPr>
            </w:pPr>
          </w:p>
        </w:tc>
      </w:tr>
      <w:tr w:rsidR="00577D08" w14:paraId="4C0B1816" w14:textId="77777777">
        <w:tc>
          <w:tcPr>
            <w:tcW w:w="0" w:type="auto"/>
            <w:vAlign w:val="center"/>
          </w:tcPr>
          <w:p w14:paraId="2B90A40E" w14:textId="77777777" w:rsidR="00577D08" w:rsidRDefault="00330FC0">
            <w:pPr>
              <w:jc w:val="center"/>
              <w:rPr>
                <w:color w:val="000000" w:themeColor="text1"/>
                <w:sz w:val="16"/>
                <w:szCs w:val="16"/>
              </w:rPr>
            </w:pPr>
            <w:r>
              <w:rPr>
                <w:color w:val="000000" w:themeColor="text1"/>
                <w:sz w:val="16"/>
                <w:szCs w:val="16"/>
              </w:rPr>
              <w:t>合计</w:t>
            </w:r>
          </w:p>
        </w:tc>
        <w:tc>
          <w:tcPr>
            <w:tcW w:w="0" w:type="auto"/>
            <w:vAlign w:val="center"/>
          </w:tcPr>
          <w:p w14:paraId="66F26488" w14:textId="77777777" w:rsidR="00577D08" w:rsidRDefault="00330FC0">
            <w:pPr>
              <w:jc w:val="right"/>
              <w:rPr>
                <w:sz w:val="16"/>
                <w:szCs w:val="16"/>
              </w:rPr>
            </w:pPr>
            <w:r>
              <w:rPr>
                <w:sz w:val="16"/>
                <w:szCs w:val="16"/>
              </w:rPr>
              <w:t>1,174,614,861.35</w:t>
            </w:r>
          </w:p>
        </w:tc>
        <w:tc>
          <w:tcPr>
            <w:tcW w:w="0" w:type="auto"/>
            <w:vAlign w:val="center"/>
          </w:tcPr>
          <w:p w14:paraId="7C079F20" w14:textId="77777777" w:rsidR="00577D08" w:rsidRDefault="00330FC0">
            <w:pPr>
              <w:jc w:val="right"/>
              <w:rPr>
                <w:sz w:val="16"/>
                <w:szCs w:val="16"/>
              </w:rPr>
            </w:pPr>
            <w:r>
              <w:rPr>
                <w:sz w:val="16"/>
                <w:szCs w:val="16"/>
              </w:rPr>
              <w:t>955,894,725.18</w:t>
            </w:r>
          </w:p>
        </w:tc>
        <w:tc>
          <w:tcPr>
            <w:tcW w:w="602" w:type="dxa"/>
          </w:tcPr>
          <w:p w14:paraId="4B709A24" w14:textId="77777777" w:rsidR="00577D08" w:rsidRDefault="00330FC0">
            <w:pPr>
              <w:jc w:val="center"/>
              <w:rPr>
                <w:color w:val="000000" w:themeColor="text1"/>
                <w:sz w:val="16"/>
                <w:szCs w:val="16"/>
              </w:rPr>
            </w:pPr>
            <w:r>
              <w:rPr>
                <w:sz w:val="16"/>
                <w:szCs w:val="16"/>
              </w:rPr>
              <w:t>/</w:t>
            </w:r>
          </w:p>
        </w:tc>
        <w:tc>
          <w:tcPr>
            <w:tcW w:w="1291" w:type="dxa"/>
          </w:tcPr>
          <w:p w14:paraId="39D6394F" w14:textId="77777777" w:rsidR="00577D08" w:rsidRDefault="00330FC0">
            <w:pPr>
              <w:jc w:val="center"/>
              <w:rPr>
                <w:color w:val="000000" w:themeColor="text1"/>
                <w:sz w:val="16"/>
                <w:szCs w:val="16"/>
              </w:rPr>
            </w:pPr>
            <w:r>
              <w:rPr>
                <w:sz w:val="16"/>
                <w:szCs w:val="16"/>
              </w:rPr>
              <w:t>/</w:t>
            </w:r>
          </w:p>
        </w:tc>
        <w:tc>
          <w:tcPr>
            <w:tcW w:w="0" w:type="auto"/>
            <w:vAlign w:val="center"/>
          </w:tcPr>
          <w:p w14:paraId="6A616A8E" w14:textId="77777777" w:rsidR="00577D08" w:rsidRDefault="00330FC0">
            <w:pPr>
              <w:jc w:val="right"/>
              <w:rPr>
                <w:sz w:val="16"/>
                <w:szCs w:val="16"/>
              </w:rPr>
            </w:pPr>
            <w:r>
              <w:rPr>
                <w:sz w:val="16"/>
                <w:szCs w:val="16"/>
              </w:rPr>
              <w:t>450,153,701.04</w:t>
            </w:r>
          </w:p>
        </w:tc>
        <w:tc>
          <w:tcPr>
            <w:tcW w:w="0" w:type="auto"/>
            <w:vAlign w:val="center"/>
          </w:tcPr>
          <w:p w14:paraId="3641C824" w14:textId="77777777" w:rsidR="00577D08" w:rsidRDefault="00330FC0">
            <w:pPr>
              <w:jc w:val="right"/>
              <w:rPr>
                <w:sz w:val="16"/>
                <w:szCs w:val="16"/>
              </w:rPr>
            </w:pPr>
            <w:r>
              <w:rPr>
                <w:sz w:val="16"/>
                <w:szCs w:val="16"/>
              </w:rPr>
              <w:t>361,991,317.93</w:t>
            </w:r>
          </w:p>
        </w:tc>
        <w:tc>
          <w:tcPr>
            <w:tcW w:w="671" w:type="dxa"/>
          </w:tcPr>
          <w:p w14:paraId="14A7DEE7" w14:textId="77777777" w:rsidR="00577D08" w:rsidRDefault="00330FC0">
            <w:pPr>
              <w:jc w:val="center"/>
              <w:rPr>
                <w:color w:val="000000" w:themeColor="text1"/>
                <w:sz w:val="16"/>
                <w:szCs w:val="16"/>
              </w:rPr>
            </w:pPr>
            <w:r>
              <w:rPr>
                <w:sz w:val="16"/>
                <w:szCs w:val="16"/>
              </w:rPr>
              <w:t>/</w:t>
            </w:r>
          </w:p>
        </w:tc>
        <w:tc>
          <w:tcPr>
            <w:tcW w:w="719" w:type="dxa"/>
          </w:tcPr>
          <w:p w14:paraId="071F04E2" w14:textId="77777777" w:rsidR="00577D08" w:rsidRDefault="00330FC0">
            <w:pPr>
              <w:jc w:val="center"/>
              <w:rPr>
                <w:color w:val="000000" w:themeColor="text1"/>
                <w:sz w:val="16"/>
                <w:szCs w:val="16"/>
              </w:rPr>
            </w:pPr>
            <w:r>
              <w:rPr>
                <w:sz w:val="16"/>
                <w:szCs w:val="16"/>
              </w:rPr>
              <w:t>/</w:t>
            </w:r>
          </w:p>
        </w:tc>
      </w:tr>
    </w:tbl>
    <w:p w14:paraId="60A7D07E" w14:textId="77777777" w:rsidR="00577D08" w:rsidRDefault="00330FC0">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cb6598cbee3c4c8881c3583f4da2f049"/>
        <w:id w:val="-1809466916"/>
        <w:placeholder>
          <w:docPart w:val="GBC22222222222222222222222222222"/>
        </w:placeholder>
      </w:sdtPr>
      <w:sdtContent>
        <w:p w14:paraId="20F65D13" w14:textId="77777777" w:rsidR="00577D08" w:rsidRDefault="00330FC0">
          <w:pPr>
            <w:rPr>
              <w:color w:val="000000" w:themeColor="text1"/>
            </w:rPr>
          </w:pPr>
          <w:r>
            <w:rPr>
              <w:rFonts w:hint="eastAsia"/>
              <w:color w:val="000000" w:themeColor="text1"/>
            </w:rPr>
            <w:t>无</w:t>
          </w:r>
        </w:p>
      </w:sdtContent>
    </w:sdt>
    <w:bookmarkEnd w:id="425"/>
    <w:p w14:paraId="265D5993"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短期借款</w:t>
      </w:r>
    </w:p>
    <w:p w14:paraId="664234AA" w14:textId="77777777" w:rsidR="00577D08" w:rsidRDefault="00330FC0">
      <w:pPr>
        <w:pStyle w:val="4"/>
        <w:numPr>
          <w:ilvl w:val="0"/>
          <w:numId w:val="85"/>
        </w:numPr>
        <w:ind w:left="426" w:hanging="426"/>
        <w:rPr>
          <w:rFonts w:hint="eastAsia"/>
        </w:rPr>
      </w:pPr>
      <w:r>
        <w:rPr>
          <w:rFonts w:hint="eastAsia"/>
        </w:rPr>
        <w:t>短期借款分类</w:t>
      </w:r>
    </w:p>
    <w:sdt>
      <w:sdtPr>
        <w:alias w:val="是否适用：短期借款分类[双击切换]"/>
        <w:tag w:val="_GBC_d7624f1054024527b72d59c4122e81cb"/>
        <w:id w:val="-1541659584"/>
        <w:placeholder>
          <w:docPart w:val="GBC22222222222222222222222222222"/>
        </w:placeholder>
      </w:sdtPr>
      <w:sdtContent>
        <w:p w14:paraId="14EB5CE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45839DA" w14:textId="6FD75801" w:rsidR="00577D08" w:rsidRDefault="00330FC0">
      <w:pPr>
        <w:jc w:val="right"/>
      </w:pPr>
      <w:r>
        <w:rPr>
          <w:rFonts w:hint="eastAsia"/>
        </w:rPr>
        <w:t>单位：</w:t>
      </w:r>
      <w:sdt>
        <w:sdtPr>
          <w:rPr>
            <w:rFonts w:hint="eastAsia"/>
          </w:rPr>
          <w:alias w:val="单位：财务附注：短期借款分类"/>
          <w:tag w:val="_GBC_8d30fbb8785645499f9234dccd6e5b81"/>
          <w:id w:val="-4221022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短期借款分类"/>
          <w:tag w:val="_GBC_f7294c19819e4515b1d98b3d42f8d07c"/>
          <w:id w:val="2339863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868"/>
        <w:gridCol w:w="3002"/>
        <w:gridCol w:w="3020"/>
      </w:tblGrid>
      <w:tr w:rsidR="00577D08" w14:paraId="71DEF121" w14:textId="77777777">
        <w:trPr>
          <w:cantSplit/>
        </w:trPr>
        <w:sdt>
          <w:sdtPr>
            <w:tag w:val="_PLD_7d518e78e06f4dc9b46aae7b6b47fd01"/>
            <w:id w:val="917377480"/>
          </w:sdtPr>
          <w:sdtContent>
            <w:tc>
              <w:tcPr>
                <w:tcW w:w="2868" w:type="dxa"/>
                <w:vAlign w:val="center"/>
              </w:tcPr>
              <w:p w14:paraId="67B0268D" w14:textId="77777777" w:rsidR="00577D08" w:rsidRDefault="00330FC0">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da187315847461e8ed854d1807d3b14"/>
            <w:id w:val="2106079118"/>
          </w:sdtPr>
          <w:sdtContent>
            <w:tc>
              <w:tcPr>
                <w:tcW w:w="3002" w:type="dxa"/>
                <w:vAlign w:val="center"/>
              </w:tcPr>
              <w:p w14:paraId="6BC3DE90" w14:textId="77777777" w:rsidR="00577D08" w:rsidRDefault="00330FC0">
                <w:pPr>
                  <w:jc w:val="center"/>
                  <w:rPr>
                    <w:color w:val="000000" w:themeColor="text1"/>
                  </w:rPr>
                </w:pPr>
                <w:r>
                  <w:rPr>
                    <w:rFonts w:hint="eastAsia"/>
                    <w:color w:val="000000" w:themeColor="text1"/>
                  </w:rPr>
                  <w:t>期末余额</w:t>
                </w:r>
              </w:p>
            </w:tc>
          </w:sdtContent>
        </w:sdt>
        <w:sdt>
          <w:sdtPr>
            <w:tag w:val="_PLD_805e4b849be14c0ab0ca7f324971119b"/>
            <w:id w:val="-1759506004"/>
          </w:sdtPr>
          <w:sdtContent>
            <w:tc>
              <w:tcPr>
                <w:tcW w:w="3020" w:type="dxa"/>
                <w:vAlign w:val="center"/>
              </w:tcPr>
              <w:p w14:paraId="543E375E" w14:textId="77777777" w:rsidR="00577D08" w:rsidRDefault="00330FC0">
                <w:pPr>
                  <w:jc w:val="center"/>
                  <w:rPr>
                    <w:color w:val="000000" w:themeColor="text1"/>
                  </w:rPr>
                </w:pPr>
                <w:r>
                  <w:rPr>
                    <w:rFonts w:hint="eastAsia"/>
                    <w:color w:val="000000" w:themeColor="text1"/>
                  </w:rPr>
                  <w:t>期初余额</w:t>
                </w:r>
              </w:p>
            </w:tc>
          </w:sdtContent>
        </w:sdt>
      </w:tr>
      <w:tr w:rsidR="00577D08" w14:paraId="7D82EE81" w14:textId="77777777">
        <w:trPr>
          <w:cantSplit/>
        </w:trPr>
        <w:tc>
          <w:tcPr>
            <w:tcW w:w="2868" w:type="dxa"/>
          </w:tcPr>
          <w:p w14:paraId="10D572FB" w14:textId="77777777" w:rsidR="00577D08" w:rsidRDefault="00330FC0">
            <w:pPr>
              <w:autoSpaceDE w:val="0"/>
              <w:autoSpaceDN w:val="0"/>
              <w:adjustRightInd w:val="0"/>
              <w:snapToGrid w:val="0"/>
              <w:spacing w:line="240" w:lineRule="atLeast"/>
              <w:jc w:val="both"/>
              <w:rPr>
                <w:color w:val="000000" w:themeColor="text1"/>
              </w:rPr>
            </w:pPr>
            <w:r>
              <w:rPr>
                <w:rFonts w:hint="eastAsia"/>
              </w:rPr>
              <w:t>信用借款</w:t>
            </w:r>
          </w:p>
        </w:tc>
        <w:tc>
          <w:tcPr>
            <w:tcW w:w="3002" w:type="dxa"/>
          </w:tcPr>
          <w:p w14:paraId="67A8C18D" w14:textId="77777777" w:rsidR="00577D08" w:rsidRDefault="00330FC0">
            <w:pPr>
              <w:autoSpaceDE w:val="0"/>
              <w:autoSpaceDN w:val="0"/>
              <w:adjustRightInd w:val="0"/>
              <w:snapToGrid w:val="0"/>
              <w:spacing w:line="240" w:lineRule="atLeast"/>
              <w:ind w:right="180"/>
              <w:jc w:val="right"/>
            </w:pPr>
            <w:r>
              <w:rPr>
                <w:rFonts w:hint="eastAsia"/>
              </w:rPr>
              <w:t>182,058,277.09</w:t>
            </w:r>
          </w:p>
        </w:tc>
        <w:tc>
          <w:tcPr>
            <w:tcW w:w="3020" w:type="dxa"/>
          </w:tcPr>
          <w:p w14:paraId="50162B2B" w14:textId="77777777" w:rsidR="00577D08" w:rsidRDefault="00330FC0">
            <w:pPr>
              <w:autoSpaceDE w:val="0"/>
              <w:autoSpaceDN w:val="0"/>
              <w:adjustRightInd w:val="0"/>
              <w:snapToGrid w:val="0"/>
              <w:spacing w:line="240" w:lineRule="atLeast"/>
              <w:ind w:right="180"/>
              <w:jc w:val="right"/>
            </w:pPr>
            <w:r>
              <w:rPr>
                <w:rFonts w:hint="eastAsia"/>
              </w:rPr>
              <w:t>222,043,611.51</w:t>
            </w:r>
          </w:p>
        </w:tc>
      </w:tr>
      <w:tr w:rsidR="00577D08" w14:paraId="4438A0F6" w14:textId="77777777">
        <w:trPr>
          <w:cantSplit/>
        </w:trPr>
        <w:tc>
          <w:tcPr>
            <w:tcW w:w="2868" w:type="dxa"/>
          </w:tcPr>
          <w:p w14:paraId="2304BB8F" w14:textId="77777777" w:rsidR="00577D08" w:rsidRDefault="00330FC0">
            <w:pPr>
              <w:autoSpaceDE w:val="0"/>
              <w:autoSpaceDN w:val="0"/>
              <w:adjustRightInd w:val="0"/>
              <w:snapToGrid w:val="0"/>
              <w:spacing w:line="240" w:lineRule="atLeast"/>
              <w:jc w:val="both"/>
              <w:rPr>
                <w:color w:val="000000" w:themeColor="text1"/>
              </w:rPr>
            </w:pPr>
            <w:r>
              <w:rPr>
                <w:rFonts w:hint="eastAsia"/>
              </w:rPr>
              <w:t>保证借款</w:t>
            </w:r>
          </w:p>
        </w:tc>
        <w:tc>
          <w:tcPr>
            <w:tcW w:w="3002" w:type="dxa"/>
          </w:tcPr>
          <w:p w14:paraId="079C179F" w14:textId="77777777" w:rsidR="00577D08" w:rsidRDefault="00330FC0">
            <w:pPr>
              <w:autoSpaceDE w:val="0"/>
              <w:autoSpaceDN w:val="0"/>
              <w:adjustRightInd w:val="0"/>
              <w:snapToGrid w:val="0"/>
              <w:spacing w:line="240" w:lineRule="atLeast"/>
              <w:ind w:right="180"/>
              <w:jc w:val="right"/>
            </w:pPr>
            <w:r>
              <w:rPr>
                <w:rFonts w:hint="eastAsia"/>
              </w:rPr>
              <w:t>72,624,413.81</w:t>
            </w:r>
          </w:p>
        </w:tc>
        <w:tc>
          <w:tcPr>
            <w:tcW w:w="3020" w:type="dxa"/>
          </w:tcPr>
          <w:p w14:paraId="0A42EADC" w14:textId="77777777" w:rsidR="00577D08" w:rsidRDefault="00330FC0">
            <w:pPr>
              <w:autoSpaceDE w:val="0"/>
              <w:autoSpaceDN w:val="0"/>
              <w:adjustRightInd w:val="0"/>
              <w:snapToGrid w:val="0"/>
              <w:spacing w:line="240" w:lineRule="atLeast"/>
              <w:ind w:right="180"/>
              <w:jc w:val="right"/>
            </w:pPr>
            <w:r>
              <w:rPr>
                <w:rFonts w:hint="eastAsia"/>
              </w:rPr>
              <w:t>47,517,310.57</w:t>
            </w:r>
          </w:p>
        </w:tc>
      </w:tr>
      <w:tr w:rsidR="00577D08" w14:paraId="43D241B8" w14:textId="77777777">
        <w:trPr>
          <w:cantSplit/>
        </w:trPr>
        <w:tc>
          <w:tcPr>
            <w:tcW w:w="2868" w:type="dxa"/>
          </w:tcPr>
          <w:p w14:paraId="4B83C932" w14:textId="77777777" w:rsidR="00577D08" w:rsidRDefault="00330FC0">
            <w:pPr>
              <w:autoSpaceDE w:val="0"/>
              <w:autoSpaceDN w:val="0"/>
              <w:adjustRightInd w:val="0"/>
              <w:snapToGrid w:val="0"/>
              <w:spacing w:line="240" w:lineRule="atLeast"/>
              <w:jc w:val="both"/>
              <w:rPr>
                <w:color w:val="000000" w:themeColor="text1"/>
              </w:rPr>
            </w:pPr>
            <w:r>
              <w:rPr>
                <w:rFonts w:hint="eastAsia"/>
              </w:rPr>
              <w:t>贴现票据</w:t>
            </w:r>
          </w:p>
        </w:tc>
        <w:tc>
          <w:tcPr>
            <w:tcW w:w="3002" w:type="dxa"/>
          </w:tcPr>
          <w:p w14:paraId="19CA561D" w14:textId="77777777" w:rsidR="00577D08" w:rsidRDefault="00330FC0">
            <w:pPr>
              <w:autoSpaceDE w:val="0"/>
              <w:autoSpaceDN w:val="0"/>
              <w:adjustRightInd w:val="0"/>
              <w:snapToGrid w:val="0"/>
              <w:spacing w:line="240" w:lineRule="atLeast"/>
              <w:ind w:right="180"/>
              <w:jc w:val="right"/>
            </w:pPr>
            <w:r>
              <w:rPr>
                <w:rFonts w:hint="eastAsia"/>
              </w:rPr>
              <w:t>5,451,000.00</w:t>
            </w:r>
          </w:p>
        </w:tc>
        <w:tc>
          <w:tcPr>
            <w:tcW w:w="3020" w:type="dxa"/>
          </w:tcPr>
          <w:p w14:paraId="02564CF0" w14:textId="77777777" w:rsidR="00577D08" w:rsidRDefault="00330FC0">
            <w:pPr>
              <w:autoSpaceDE w:val="0"/>
              <w:autoSpaceDN w:val="0"/>
              <w:adjustRightInd w:val="0"/>
              <w:snapToGrid w:val="0"/>
              <w:spacing w:line="240" w:lineRule="atLeast"/>
              <w:ind w:right="180"/>
              <w:jc w:val="right"/>
            </w:pPr>
            <w:r>
              <w:rPr>
                <w:rFonts w:hint="eastAsia"/>
              </w:rPr>
              <w:t>500,000.00</w:t>
            </w:r>
          </w:p>
        </w:tc>
      </w:tr>
      <w:tr w:rsidR="00577D08" w14:paraId="3CAD9B62" w14:textId="77777777">
        <w:trPr>
          <w:cantSplit/>
        </w:trPr>
        <w:tc>
          <w:tcPr>
            <w:tcW w:w="2868" w:type="dxa"/>
            <w:vAlign w:val="center"/>
          </w:tcPr>
          <w:p w14:paraId="743001F7" w14:textId="77777777" w:rsidR="00577D08" w:rsidRDefault="00330FC0">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3002" w:type="dxa"/>
          </w:tcPr>
          <w:p w14:paraId="70C85491" w14:textId="77777777" w:rsidR="00577D08" w:rsidRDefault="00330FC0">
            <w:pPr>
              <w:autoSpaceDE w:val="0"/>
              <w:autoSpaceDN w:val="0"/>
              <w:adjustRightInd w:val="0"/>
              <w:snapToGrid w:val="0"/>
              <w:spacing w:line="240" w:lineRule="atLeast"/>
              <w:ind w:right="180"/>
              <w:jc w:val="right"/>
            </w:pPr>
            <w:r>
              <w:t>260,133,690.90</w:t>
            </w:r>
          </w:p>
        </w:tc>
        <w:tc>
          <w:tcPr>
            <w:tcW w:w="3020" w:type="dxa"/>
          </w:tcPr>
          <w:p w14:paraId="506137FC" w14:textId="77777777" w:rsidR="00577D08" w:rsidRDefault="00330FC0">
            <w:pPr>
              <w:autoSpaceDE w:val="0"/>
              <w:autoSpaceDN w:val="0"/>
              <w:adjustRightInd w:val="0"/>
              <w:snapToGrid w:val="0"/>
              <w:spacing w:line="240" w:lineRule="atLeast"/>
              <w:ind w:right="180"/>
              <w:jc w:val="right"/>
            </w:pPr>
            <w:r>
              <w:t>270,060,922.08</w:t>
            </w:r>
          </w:p>
        </w:tc>
      </w:tr>
    </w:tbl>
    <w:p w14:paraId="6B2EDA76" w14:textId="77777777" w:rsidR="00577D08" w:rsidRDefault="00330FC0">
      <w:pPr>
        <w:snapToGrid w:val="0"/>
        <w:spacing w:line="240" w:lineRule="atLeast"/>
        <w:rPr>
          <w:color w:val="000000" w:themeColor="text1"/>
        </w:rPr>
      </w:pPr>
      <w:r>
        <w:rPr>
          <w:rFonts w:hint="eastAsia"/>
          <w:color w:val="000000" w:themeColor="text1"/>
        </w:rPr>
        <w:t>短期借款分类的说明：</w:t>
      </w:r>
    </w:p>
    <w:sdt>
      <w:sdtPr>
        <w:alias w:val="短期借款分类的说明"/>
        <w:tag w:val="_GBC_39c88fc069c44763b7ed661bff072142"/>
        <w:id w:val="947510466"/>
        <w:placeholder>
          <w:docPart w:val="GBC22222222222222222222222222222"/>
        </w:placeholder>
      </w:sdtPr>
      <w:sdtContent>
        <w:p w14:paraId="7F7FD53A" w14:textId="77777777" w:rsidR="00577D08" w:rsidRDefault="00330FC0">
          <w:pPr>
            <w:snapToGrid w:val="0"/>
            <w:spacing w:line="240" w:lineRule="atLeast"/>
          </w:pPr>
          <w:r>
            <w:rPr>
              <w:rFonts w:hint="eastAsia"/>
            </w:rPr>
            <w:t>无</w:t>
          </w:r>
        </w:p>
      </w:sdtContent>
    </w:sdt>
    <w:p w14:paraId="662415B8" w14:textId="77777777" w:rsidR="00577D08" w:rsidRDefault="00330FC0">
      <w:pPr>
        <w:pStyle w:val="4"/>
        <w:numPr>
          <w:ilvl w:val="0"/>
          <w:numId w:val="85"/>
        </w:numPr>
        <w:ind w:left="426" w:hanging="426"/>
        <w:rPr>
          <w:rFonts w:hint="eastAsia"/>
        </w:rPr>
      </w:pPr>
      <w:r>
        <w:rPr>
          <w:rFonts w:hint="eastAsia"/>
        </w:rPr>
        <w:t>已逾期未偿还的短期借款情况</w:t>
      </w:r>
    </w:p>
    <w:sdt>
      <w:sdtPr>
        <w:alias w:val="是否适用：已逾期未偿还的短期借款情况[双击切换]"/>
        <w:tag w:val="_GBC_b92057263cbf4b81a96df7b9d664c576"/>
        <w:id w:val="1812981717"/>
        <w:placeholder>
          <w:docPart w:val="GBC22222222222222222222222222222"/>
        </w:placeholder>
      </w:sdtPr>
      <w:sdtEndPr>
        <w:rPr>
          <w:rFonts w:ascii="宋体" w:hAnsi="宋体"/>
        </w:rPr>
      </w:sdtEndPr>
      <w:sdtContent>
        <w:p w14:paraId="1162133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A887AAC" w14:textId="77777777" w:rsidR="00577D08" w:rsidRDefault="00330FC0">
      <w:r>
        <w:t>其中重要的已逾期未偿还的短期借款情况如下：</w:t>
      </w:r>
    </w:p>
    <w:sdt>
      <w:sdtPr>
        <w:alias w:val="是否适用：其中重要的已逾期未偿还的短期借款情况[双击切换]"/>
        <w:tag w:val="_GBC_7c9437a678604c0382802a3e97f4d126"/>
        <w:id w:val="-552457769"/>
        <w:placeholder>
          <w:docPart w:val="GBC22222222222222222222222222222"/>
        </w:placeholder>
      </w:sdtPr>
      <w:sdtContent>
        <w:p w14:paraId="60D71A2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7146719" w14:textId="77777777" w:rsidR="00577D08" w:rsidRDefault="00330FC0">
      <w:r>
        <w:rPr>
          <w:rFonts w:hint="eastAsia"/>
        </w:rPr>
        <w:t>其他说明：</w:t>
      </w:r>
    </w:p>
    <w:sdt>
      <w:sdtPr>
        <w:alias w:val="是否适用：短期借款的说明[双击切换]"/>
        <w:tag w:val="_GBC_c52256f82238457bbb4708bc99652730"/>
        <w:id w:val="871971626"/>
        <w:placeholder>
          <w:docPart w:val="GBC22222222222222222222222222222"/>
        </w:placeholder>
      </w:sdtPr>
      <w:sdtContent>
        <w:p w14:paraId="24C404B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EF6E4FD" w14:textId="77777777" w:rsidR="00577D08" w:rsidRDefault="00330FC0">
      <w:pPr>
        <w:pStyle w:val="3"/>
        <w:numPr>
          <w:ilvl w:val="0"/>
          <w:numId w:val="61"/>
        </w:numPr>
        <w:tabs>
          <w:tab w:val="left" w:pos="504"/>
        </w:tabs>
        <w:rPr>
          <w:szCs w:val="21"/>
        </w:rPr>
      </w:pPr>
      <w:bookmarkStart w:id="426" w:name="_Hlk533670147"/>
      <w:bookmarkStart w:id="427" w:name="_Hlk533422954"/>
      <w:r>
        <w:rPr>
          <w:rFonts w:hint="eastAsia"/>
          <w:szCs w:val="21"/>
        </w:rPr>
        <w:t>交易性金融负债</w:t>
      </w:r>
    </w:p>
    <w:sdt>
      <w:sdtPr>
        <w:alias w:val="是否适用：交易性金融负债[双击切换]"/>
        <w:tag w:val="_GBC_c7e98597070f45a4a30160e35e818445"/>
        <w:id w:val="2065132794"/>
        <w:placeholder>
          <w:docPart w:val="GBC22222222222222222222222222222"/>
        </w:placeholder>
      </w:sdtPr>
      <w:sdtContent>
        <w:p w14:paraId="30BB69F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DD2171" w14:textId="77777777" w:rsidR="00577D08" w:rsidRDefault="00330FC0">
      <w:r>
        <w:rPr>
          <w:rFonts w:hint="eastAsia"/>
        </w:rPr>
        <w:t>其他</w:t>
      </w:r>
      <w:r>
        <w:t>说明</w:t>
      </w:r>
      <w:r>
        <w:rPr>
          <w:rFonts w:hint="eastAsia"/>
        </w:rPr>
        <w:t>：</w:t>
      </w:r>
    </w:p>
    <w:sdt>
      <w:sdtPr>
        <w:alias w:val="是否适用：交易性金融负债的说明[双击切换]"/>
        <w:tag w:val="_GBC_995f4c24d1994336b676a94c12f11d69"/>
        <w:id w:val="-816031665"/>
        <w:placeholder>
          <w:docPart w:val="GBC22222222222222222222222222222"/>
        </w:placeholder>
      </w:sdtPr>
      <w:sdtContent>
        <w:p w14:paraId="5E58B76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26"/>
    <w:bookmarkEnd w:id="427"/>
    <w:p w14:paraId="0C81C677" w14:textId="77777777" w:rsidR="00577D08" w:rsidRDefault="00330FC0">
      <w:pPr>
        <w:pStyle w:val="3"/>
        <w:numPr>
          <w:ilvl w:val="0"/>
          <w:numId w:val="61"/>
        </w:numPr>
        <w:tabs>
          <w:tab w:val="left" w:pos="504"/>
        </w:tabs>
        <w:rPr>
          <w:szCs w:val="21"/>
        </w:rPr>
      </w:pPr>
      <w:r>
        <w:rPr>
          <w:rFonts w:hint="eastAsia"/>
          <w:szCs w:val="21"/>
        </w:rPr>
        <w:t>衍生</w:t>
      </w:r>
      <w:r>
        <w:rPr>
          <w:rFonts w:hint="eastAsia"/>
        </w:rPr>
        <w:t>金融</w:t>
      </w:r>
      <w:r>
        <w:rPr>
          <w:rFonts w:hint="eastAsia"/>
          <w:szCs w:val="21"/>
        </w:rPr>
        <w:t>负债</w:t>
      </w:r>
    </w:p>
    <w:p w14:paraId="69A76BFD" w14:textId="77777777" w:rsidR="00577D08" w:rsidRDefault="00000000">
      <w:sdt>
        <w:sdtPr>
          <w:alias w:val="是否适用：衍生金融负债[双击切换]"/>
          <w:tag w:val="_GBC_9a70de9cca174edeb1bce62f4a47d15c"/>
          <w:id w:val="2137679863"/>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56E6C1EB" w14:textId="77777777" w:rsidR="00577D08" w:rsidRDefault="00330FC0">
      <w:pPr>
        <w:pStyle w:val="3"/>
        <w:numPr>
          <w:ilvl w:val="0"/>
          <w:numId w:val="61"/>
        </w:numPr>
        <w:tabs>
          <w:tab w:val="left" w:pos="504"/>
        </w:tabs>
        <w:rPr>
          <w:szCs w:val="21"/>
        </w:rPr>
      </w:pPr>
      <w:r>
        <w:rPr>
          <w:rFonts w:hint="eastAsia"/>
        </w:rPr>
        <w:t>应付票据</w:t>
      </w:r>
    </w:p>
    <w:p w14:paraId="6DAA3B9F" w14:textId="77777777" w:rsidR="00577D08" w:rsidRDefault="00330FC0">
      <w:pPr>
        <w:pStyle w:val="4"/>
        <w:numPr>
          <w:ilvl w:val="0"/>
          <w:numId w:val="86"/>
        </w:numPr>
        <w:ind w:left="426" w:hanging="426"/>
        <w:rPr>
          <w:rFonts w:hint="eastAsia"/>
        </w:rPr>
      </w:pPr>
      <w:r>
        <w:rPr>
          <w:rFonts w:hint="eastAsia"/>
        </w:rPr>
        <w:t>应付票据列示</w:t>
      </w:r>
    </w:p>
    <w:sdt>
      <w:sdtPr>
        <w:alias w:val="是否适用：应付票据[双击切换]"/>
        <w:tag w:val="_GBC_c0116f9cd6f34dcfa483a1f112dac85a"/>
        <w:id w:val="-1432417997"/>
        <w:lock w:val="contentLocked"/>
        <w:placeholder>
          <w:docPart w:val="GBC22222222222222222222222222222"/>
        </w:placeholder>
      </w:sdtPr>
      <w:sdtContent>
        <w:p w14:paraId="36BE282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816BDC7" w14:textId="4965C511" w:rsidR="00577D08" w:rsidRDefault="00330FC0">
      <w:pPr>
        <w:jc w:val="right"/>
      </w:pPr>
      <w:bookmarkStart w:id="428" w:name="_Hlk24103817"/>
      <w:r>
        <w:rPr>
          <w:rFonts w:hint="eastAsia"/>
        </w:rPr>
        <w:t>单位：</w:t>
      </w:r>
      <w:sdt>
        <w:sdtPr>
          <w:rPr>
            <w:rFonts w:hint="eastAsia"/>
          </w:rPr>
          <w:alias w:val="单位：财务附注：应付票据"/>
          <w:tag w:val="_GBC_15d55f1cad24473fb8cfaa98468213e2"/>
          <w:id w:val="974954224"/>
          <w:placeholder>
            <w:docPart w:val="GBC22222222222222222222222222222"/>
          </w:placeholder>
          <w:dataBinding w:prefixMappings="xmlns:clcid-ci-ar='clcid-ci-ar'" w:xpath="/*/clcid-ci-ar:DanWeiCaiWuFuZhuYingFuPiaoJu[not(@periodRef)]" w:storeItemID="{89EBAB94-44A0-46A2-B712-30D997D04A6D}"/>
          <w:comboBox w:lastValue="元 ">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应付票据"/>
          <w:tag w:val="_GBC_db171c7622f3432ab2c9c6ae31a7aba7"/>
          <w:id w:val="-13065409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3396"/>
        <w:gridCol w:w="3301"/>
      </w:tblGrid>
      <w:tr w:rsidR="00577D08" w14:paraId="472E9E89" w14:textId="77777777">
        <w:trPr>
          <w:cantSplit/>
        </w:trPr>
        <w:sdt>
          <w:sdtPr>
            <w:tag w:val="_PLD_73e624e5fe424f71bbf918594e2a1c9a"/>
            <w:id w:val="1710692808"/>
          </w:sdtPr>
          <w:sdtContent>
            <w:tc>
              <w:tcPr>
                <w:tcW w:w="2350" w:type="dxa"/>
                <w:vAlign w:val="center"/>
              </w:tcPr>
              <w:p w14:paraId="5B7B46D2" w14:textId="77777777" w:rsidR="00577D08" w:rsidRDefault="00330FC0">
                <w:pPr>
                  <w:autoSpaceDE w:val="0"/>
                  <w:autoSpaceDN w:val="0"/>
                  <w:adjustRightInd w:val="0"/>
                  <w:snapToGrid w:val="0"/>
                  <w:spacing w:line="240" w:lineRule="atLeast"/>
                  <w:jc w:val="center"/>
                </w:pPr>
                <w:r>
                  <w:rPr>
                    <w:rFonts w:hint="eastAsia"/>
                  </w:rPr>
                  <w:t>种类</w:t>
                </w:r>
              </w:p>
            </w:tc>
          </w:sdtContent>
        </w:sdt>
        <w:sdt>
          <w:sdtPr>
            <w:tag w:val="_PLD_cca40679bdc548d8af0315d52fd2660e"/>
            <w:id w:val="1208684396"/>
          </w:sdtPr>
          <w:sdtContent>
            <w:tc>
              <w:tcPr>
                <w:tcW w:w="3396" w:type="dxa"/>
                <w:vAlign w:val="center"/>
              </w:tcPr>
              <w:p w14:paraId="2358C3BA"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6429209ce46840dba67a32ae31e71913"/>
            <w:id w:val="-311947331"/>
          </w:sdtPr>
          <w:sdtContent>
            <w:tc>
              <w:tcPr>
                <w:tcW w:w="3301" w:type="dxa"/>
                <w:vAlign w:val="center"/>
              </w:tcPr>
              <w:p w14:paraId="1F597D74"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6CA1A2E1" w14:textId="77777777">
        <w:trPr>
          <w:cantSplit/>
        </w:trPr>
        <w:tc>
          <w:tcPr>
            <w:tcW w:w="2350" w:type="dxa"/>
          </w:tcPr>
          <w:p w14:paraId="6284CDFA" w14:textId="77777777" w:rsidR="00577D08" w:rsidRDefault="00330FC0">
            <w:pPr>
              <w:autoSpaceDE w:val="0"/>
              <w:autoSpaceDN w:val="0"/>
              <w:adjustRightInd w:val="0"/>
              <w:snapToGrid w:val="0"/>
              <w:spacing w:line="240" w:lineRule="atLeast"/>
            </w:pPr>
            <w:r>
              <w:rPr>
                <w:rFonts w:hint="eastAsia"/>
              </w:rPr>
              <w:t>银行承兑汇票</w:t>
            </w:r>
          </w:p>
        </w:tc>
        <w:tc>
          <w:tcPr>
            <w:tcW w:w="3396" w:type="dxa"/>
          </w:tcPr>
          <w:p w14:paraId="1BDED25B" w14:textId="77777777" w:rsidR="00577D08" w:rsidRDefault="00330FC0">
            <w:pPr>
              <w:ind w:right="13"/>
              <w:jc w:val="right"/>
            </w:pPr>
            <w:r>
              <w:t>680,705,800.55</w:t>
            </w:r>
          </w:p>
        </w:tc>
        <w:tc>
          <w:tcPr>
            <w:tcW w:w="3301" w:type="dxa"/>
          </w:tcPr>
          <w:p w14:paraId="4E389B10" w14:textId="77777777" w:rsidR="00577D08" w:rsidRDefault="00330FC0">
            <w:pPr>
              <w:jc w:val="right"/>
            </w:pPr>
            <w:r>
              <w:t>578,425,596.48</w:t>
            </w:r>
          </w:p>
        </w:tc>
      </w:tr>
      <w:tr w:rsidR="00577D08" w14:paraId="1EA21BAB" w14:textId="77777777">
        <w:trPr>
          <w:cantSplit/>
        </w:trPr>
        <w:tc>
          <w:tcPr>
            <w:tcW w:w="2350" w:type="dxa"/>
          </w:tcPr>
          <w:p w14:paraId="0FF28B6D" w14:textId="77777777" w:rsidR="00577D08" w:rsidRDefault="00330FC0">
            <w:pPr>
              <w:autoSpaceDE w:val="0"/>
              <w:autoSpaceDN w:val="0"/>
              <w:adjustRightInd w:val="0"/>
              <w:snapToGrid w:val="0"/>
              <w:spacing w:line="240" w:lineRule="atLeast"/>
            </w:pPr>
            <w:r>
              <w:rPr>
                <w:rFonts w:hint="eastAsia"/>
              </w:rPr>
              <w:t>商业承兑汇票</w:t>
            </w:r>
          </w:p>
        </w:tc>
        <w:tc>
          <w:tcPr>
            <w:tcW w:w="3396" w:type="dxa"/>
          </w:tcPr>
          <w:p w14:paraId="66DB8779" w14:textId="77777777" w:rsidR="00577D08" w:rsidRDefault="00330FC0">
            <w:pPr>
              <w:ind w:right="13"/>
              <w:jc w:val="right"/>
            </w:pPr>
            <w:r>
              <w:t>197,452,251.05</w:t>
            </w:r>
          </w:p>
        </w:tc>
        <w:tc>
          <w:tcPr>
            <w:tcW w:w="3301" w:type="dxa"/>
          </w:tcPr>
          <w:p w14:paraId="0EE9139D" w14:textId="77777777" w:rsidR="00577D08" w:rsidRDefault="00330FC0">
            <w:pPr>
              <w:jc w:val="right"/>
            </w:pPr>
            <w:r>
              <w:t>46,188,624.75</w:t>
            </w:r>
          </w:p>
        </w:tc>
      </w:tr>
      <w:tr w:rsidR="00577D08" w14:paraId="130BC0DE" w14:textId="77777777">
        <w:trPr>
          <w:cantSplit/>
        </w:trPr>
        <w:tc>
          <w:tcPr>
            <w:tcW w:w="2350" w:type="dxa"/>
            <w:vAlign w:val="center"/>
          </w:tcPr>
          <w:p w14:paraId="4C0C3A59" w14:textId="77777777" w:rsidR="00577D08" w:rsidRDefault="00330FC0">
            <w:pPr>
              <w:autoSpaceDE w:val="0"/>
              <w:autoSpaceDN w:val="0"/>
              <w:adjustRightInd w:val="0"/>
              <w:snapToGrid w:val="0"/>
              <w:spacing w:line="240" w:lineRule="atLeast"/>
              <w:jc w:val="center"/>
            </w:pPr>
            <w:r>
              <w:rPr>
                <w:rFonts w:hint="eastAsia"/>
              </w:rPr>
              <w:t>合计</w:t>
            </w:r>
          </w:p>
        </w:tc>
        <w:tc>
          <w:tcPr>
            <w:tcW w:w="3396" w:type="dxa"/>
          </w:tcPr>
          <w:p w14:paraId="0C275043" w14:textId="77777777" w:rsidR="00577D08" w:rsidRDefault="00330FC0">
            <w:pPr>
              <w:jc w:val="right"/>
            </w:pPr>
            <w:r>
              <w:t>878,158,051.60</w:t>
            </w:r>
          </w:p>
        </w:tc>
        <w:tc>
          <w:tcPr>
            <w:tcW w:w="3301" w:type="dxa"/>
          </w:tcPr>
          <w:p w14:paraId="5B3ECB57" w14:textId="77777777" w:rsidR="00577D08" w:rsidRDefault="00330FC0">
            <w:pPr>
              <w:jc w:val="right"/>
            </w:pPr>
            <w:r>
              <w:t>624,614,221.23</w:t>
            </w:r>
          </w:p>
        </w:tc>
      </w:tr>
    </w:tbl>
    <w:p w14:paraId="44F2CC94" w14:textId="7156384F" w:rsidR="00577D08" w:rsidRDefault="00330FC0">
      <w:pPr>
        <w:snapToGrid w:val="0"/>
        <w:spacing w:line="240" w:lineRule="atLeast"/>
      </w:pPr>
      <w:r>
        <w:rPr>
          <w:rFonts w:hint="eastAsia"/>
        </w:rPr>
        <w:t>本期末已到期未支付的应付票据总额为</w:t>
      </w:r>
      <w:sdt>
        <w:sdtPr>
          <w:rPr>
            <w:rFonts w:hint="eastAsia"/>
          </w:rPr>
          <w:alias w:val="已到期未支付的应付票据总额"/>
          <w:tag w:val="_GBC_0987f9272cb2419f937357595042911e"/>
          <w:id w:val="591049600"/>
          <w:placeholder>
            <w:docPart w:val="GBC22222222222222222222222222222"/>
          </w:placeholder>
        </w:sdtPr>
        <w:sdtContent>
          <w:r>
            <w:rPr>
              <w:rFonts w:hint="eastAsia"/>
            </w:rPr>
            <w:t>0</w:t>
          </w:r>
        </w:sdtContent>
      </w:sdt>
      <w:sdt>
        <w:sdtPr>
          <w:rPr>
            <w:rFonts w:hint="eastAsia"/>
          </w:rPr>
          <w:alias w:val="单位：财务附注：应付票据"/>
          <w:tag w:val="_GBC_f1610b1fed6e494b87377ce35347d10d"/>
          <w:id w:val="-1501581713"/>
          <w:placeholder>
            <w:docPart w:val="GBC22222222222222222222222222222"/>
          </w:placeholder>
          <w:dataBinding w:prefixMappings="xmlns:clcid-ci-ar='clcid-ci-ar'" w:xpath="/*/clcid-ci-ar:DanWeiCaiWuFuZhuYingFuPiaoJu[not(@periodRef)]" w:storeItemID="{89EBAB94-44A0-46A2-B712-30D997D04A6D}"/>
          <w:comboBox w:lastValue="元 ">
            <w:listItem w:displayText="元" w:value="1"/>
            <w:listItem w:displayText="千元" w:value="1000"/>
            <w:listItem w:displayText="万元" w:value="10000"/>
            <w:listItem w:displayText="百万元" w:value="1000000"/>
            <w:listItem w:displayText="亿元" w:value="100000000"/>
          </w:comboBox>
        </w:sdtPr>
        <w:sdtContent>
          <w:r w:rsidR="00CC5C32">
            <w:rPr>
              <w:rFonts w:hint="eastAsia"/>
            </w:rPr>
            <w:t>元</w:t>
          </w:r>
          <w:r w:rsidR="00CC5C32">
            <w:rPr>
              <w:rFonts w:hint="eastAsia"/>
            </w:rPr>
            <w:t xml:space="preserve"> </w:t>
          </w:r>
        </w:sdtContent>
      </w:sdt>
      <w:r>
        <w:rPr>
          <w:rFonts w:hint="eastAsia"/>
        </w:rPr>
        <w:t>。</w:t>
      </w:r>
      <w:sdt>
        <w:sdtPr>
          <w:tag w:val="_PLD_023929cfeaff49d9b49666f875fb8afb"/>
          <w:id w:val="1839736029"/>
        </w:sdtPr>
        <w:sdtContent>
          <w:r>
            <w:rPr>
              <w:rFonts w:hint="eastAsia"/>
            </w:rPr>
            <w:t>到期</w:t>
          </w:r>
          <w:r>
            <w:rPr>
              <w:rFonts w:hint="eastAsia"/>
              <w:shd w:val="solid" w:color="FFFFFF" w:fill="auto"/>
            </w:rPr>
            <w:t>未付的原因</w:t>
          </w:r>
          <w:r>
            <w:rPr>
              <w:rFonts w:hint="eastAsia"/>
            </w:rPr>
            <w:t>是</w:t>
          </w:r>
          <w:sdt>
            <w:sdtPr>
              <w:rPr>
                <w:rFonts w:hint="eastAsia"/>
              </w:rPr>
              <w:alias w:val="应付票据到期未付的原因"/>
              <w:tag w:val="_GBC_7f73cbd02b7f4388af4ef7afbedd1152"/>
              <w:id w:val="1114627299"/>
              <w:placeholder>
                <w:docPart w:val="GBC22222222222222222222222222222"/>
              </w:placeholder>
            </w:sdtPr>
            <w:sdtContent>
              <w:r>
                <w:rPr>
                  <w:rFonts w:hint="eastAsia"/>
                </w:rPr>
                <w:t>不适用</w:t>
              </w:r>
            </w:sdtContent>
          </w:sdt>
        </w:sdtContent>
      </w:sdt>
    </w:p>
    <w:bookmarkEnd w:id="428"/>
    <w:p w14:paraId="319F31FE" w14:textId="77777777" w:rsidR="00577D08" w:rsidRDefault="00330FC0">
      <w:pPr>
        <w:pStyle w:val="3"/>
        <w:numPr>
          <w:ilvl w:val="0"/>
          <w:numId w:val="61"/>
        </w:numPr>
        <w:tabs>
          <w:tab w:val="left" w:pos="504"/>
        </w:tabs>
      </w:pPr>
      <w:r>
        <w:rPr>
          <w:rFonts w:hint="eastAsia"/>
        </w:rPr>
        <w:t>应付账款</w:t>
      </w:r>
    </w:p>
    <w:p w14:paraId="434DAA26" w14:textId="77777777" w:rsidR="00577D08" w:rsidRDefault="00330FC0">
      <w:pPr>
        <w:pStyle w:val="4"/>
        <w:numPr>
          <w:ilvl w:val="0"/>
          <w:numId w:val="87"/>
        </w:numPr>
        <w:ind w:left="426" w:hanging="426"/>
        <w:rPr>
          <w:rFonts w:hint="eastAsia"/>
        </w:rPr>
      </w:pPr>
      <w:r>
        <w:rPr>
          <w:rFonts w:hint="eastAsia"/>
        </w:rPr>
        <w:t>应付账款列示</w:t>
      </w:r>
    </w:p>
    <w:sdt>
      <w:sdtPr>
        <w:alias w:val="是否适用：应付账款列示[双击切换]"/>
        <w:tag w:val="_GBC_dfb190a9e762454c9f89eb6be64b6eae"/>
        <w:id w:val="2076318244"/>
        <w:placeholder>
          <w:docPart w:val="GBC22222222222222222222222222222"/>
        </w:placeholder>
      </w:sdtPr>
      <w:sdtContent>
        <w:p w14:paraId="15855B9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8172C8F" w14:textId="4E9CB813" w:rsidR="00577D08" w:rsidRDefault="00330FC0">
      <w:pPr>
        <w:jc w:val="right"/>
      </w:pPr>
      <w:r>
        <w:rPr>
          <w:rFonts w:hint="eastAsia"/>
        </w:rPr>
        <w:lastRenderedPageBreak/>
        <w:t>单位：</w:t>
      </w:r>
      <w:sdt>
        <w:sdtPr>
          <w:rPr>
            <w:rFonts w:hint="eastAsia"/>
          </w:rPr>
          <w:alias w:val="单位：财务附注：应付账款情况"/>
          <w:tag w:val="_GBC_c14fe17937b74139aa7e100941fb21e9"/>
          <w:id w:val="3563107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应付账款情况"/>
          <w:tag w:val="_GBC_946604b552a44d368399e078594b3226"/>
          <w:id w:val="-15600954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2866"/>
        <w:gridCol w:w="3340"/>
      </w:tblGrid>
      <w:tr w:rsidR="00577D08" w14:paraId="74425F18" w14:textId="77777777">
        <w:sdt>
          <w:sdtPr>
            <w:tag w:val="_PLD_8270d78e97cf4a1cb18154c5c5dafe58"/>
            <w:id w:val="903718427"/>
          </w:sdtPr>
          <w:sdtContent>
            <w:tc>
              <w:tcPr>
                <w:tcW w:w="2841" w:type="dxa"/>
                <w:vAlign w:val="center"/>
              </w:tcPr>
              <w:p w14:paraId="6C154416" w14:textId="77777777" w:rsidR="00577D08" w:rsidRDefault="00330FC0">
                <w:pPr>
                  <w:jc w:val="center"/>
                </w:pPr>
                <w:r>
                  <w:rPr>
                    <w:rFonts w:hint="eastAsia"/>
                  </w:rPr>
                  <w:t>项目</w:t>
                </w:r>
              </w:p>
            </w:tc>
          </w:sdtContent>
        </w:sdt>
        <w:sdt>
          <w:sdtPr>
            <w:tag w:val="_PLD_56127cd5754c44aaacae0a1320139a7a"/>
            <w:id w:val="-1048756764"/>
          </w:sdtPr>
          <w:sdtContent>
            <w:tc>
              <w:tcPr>
                <w:tcW w:w="2866" w:type="dxa"/>
                <w:vAlign w:val="center"/>
              </w:tcPr>
              <w:p w14:paraId="06E1ED8B" w14:textId="77777777" w:rsidR="00577D08" w:rsidRDefault="00330FC0">
                <w:pPr>
                  <w:jc w:val="center"/>
                </w:pPr>
                <w:r>
                  <w:rPr>
                    <w:rFonts w:hint="eastAsia"/>
                  </w:rPr>
                  <w:t>期末余额</w:t>
                </w:r>
              </w:p>
            </w:tc>
          </w:sdtContent>
        </w:sdt>
        <w:sdt>
          <w:sdtPr>
            <w:tag w:val="_PLD_27c6d2ca479446539fe00ab23ee1dc13"/>
            <w:id w:val="-1651671826"/>
          </w:sdtPr>
          <w:sdtContent>
            <w:tc>
              <w:tcPr>
                <w:tcW w:w="3340" w:type="dxa"/>
                <w:vAlign w:val="center"/>
              </w:tcPr>
              <w:p w14:paraId="24629031" w14:textId="77777777" w:rsidR="00577D08" w:rsidRDefault="00330FC0">
                <w:pPr>
                  <w:jc w:val="center"/>
                </w:pPr>
                <w:r>
                  <w:rPr>
                    <w:rFonts w:hint="eastAsia"/>
                  </w:rPr>
                  <w:t>期初余额</w:t>
                </w:r>
              </w:p>
            </w:tc>
          </w:sdtContent>
        </w:sdt>
      </w:tr>
      <w:tr w:rsidR="00577D08" w14:paraId="31EBB660" w14:textId="77777777">
        <w:tc>
          <w:tcPr>
            <w:tcW w:w="2841" w:type="dxa"/>
          </w:tcPr>
          <w:p w14:paraId="31471DDF" w14:textId="77777777" w:rsidR="00577D08" w:rsidRDefault="00330FC0">
            <w:r>
              <w:rPr>
                <w:rFonts w:hint="eastAsia"/>
              </w:rPr>
              <w:t>材料款</w:t>
            </w:r>
          </w:p>
        </w:tc>
        <w:tc>
          <w:tcPr>
            <w:tcW w:w="2866" w:type="dxa"/>
            <w:vAlign w:val="center"/>
          </w:tcPr>
          <w:p w14:paraId="1051BB1F" w14:textId="77777777" w:rsidR="00577D08" w:rsidRDefault="00330FC0">
            <w:pPr>
              <w:jc w:val="right"/>
            </w:pPr>
            <w:r>
              <w:t>554,320,681.02</w:t>
            </w:r>
          </w:p>
        </w:tc>
        <w:tc>
          <w:tcPr>
            <w:tcW w:w="3340" w:type="dxa"/>
            <w:vAlign w:val="center"/>
          </w:tcPr>
          <w:p w14:paraId="2A845633" w14:textId="77777777" w:rsidR="00577D08" w:rsidRDefault="00330FC0">
            <w:pPr>
              <w:jc w:val="right"/>
            </w:pPr>
            <w:r>
              <w:t>563,662,860.61</w:t>
            </w:r>
          </w:p>
        </w:tc>
      </w:tr>
      <w:tr w:rsidR="00577D08" w14:paraId="330F9BEC" w14:textId="77777777">
        <w:tc>
          <w:tcPr>
            <w:tcW w:w="2841" w:type="dxa"/>
          </w:tcPr>
          <w:p w14:paraId="3AC03E2B" w14:textId="77777777" w:rsidR="00577D08" w:rsidRDefault="00330FC0">
            <w:r>
              <w:rPr>
                <w:rFonts w:hint="eastAsia"/>
              </w:rPr>
              <w:t>工程设备款</w:t>
            </w:r>
          </w:p>
        </w:tc>
        <w:tc>
          <w:tcPr>
            <w:tcW w:w="2866" w:type="dxa"/>
            <w:vAlign w:val="center"/>
          </w:tcPr>
          <w:p w14:paraId="7C1DC16C" w14:textId="77777777" w:rsidR="00577D08" w:rsidRDefault="00330FC0">
            <w:pPr>
              <w:jc w:val="right"/>
            </w:pPr>
            <w:r>
              <w:t>123,357,124.71</w:t>
            </w:r>
          </w:p>
        </w:tc>
        <w:tc>
          <w:tcPr>
            <w:tcW w:w="3340" w:type="dxa"/>
            <w:vAlign w:val="center"/>
          </w:tcPr>
          <w:p w14:paraId="1C924938" w14:textId="77777777" w:rsidR="00577D08" w:rsidRDefault="00330FC0">
            <w:pPr>
              <w:jc w:val="right"/>
            </w:pPr>
            <w:r>
              <w:t>231,398,896.71</w:t>
            </w:r>
          </w:p>
        </w:tc>
      </w:tr>
      <w:tr w:rsidR="00577D08" w14:paraId="7BE49B95" w14:textId="77777777">
        <w:tc>
          <w:tcPr>
            <w:tcW w:w="2841" w:type="dxa"/>
          </w:tcPr>
          <w:p w14:paraId="78DD7782" w14:textId="77777777" w:rsidR="00577D08" w:rsidRDefault="00330FC0">
            <w:r>
              <w:rPr>
                <w:rFonts w:hint="eastAsia"/>
              </w:rPr>
              <w:t>服务款</w:t>
            </w:r>
          </w:p>
        </w:tc>
        <w:tc>
          <w:tcPr>
            <w:tcW w:w="2866" w:type="dxa"/>
            <w:vAlign w:val="center"/>
          </w:tcPr>
          <w:p w14:paraId="633EC111" w14:textId="77777777" w:rsidR="00577D08" w:rsidRDefault="00330FC0">
            <w:pPr>
              <w:jc w:val="right"/>
            </w:pPr>
            <w:r>
              <w:t>66,315,010.09</w:t>
            </w:r>
          </w:p>
        </w:tc>
        <w:tc>
          <w:tcPr>
            <w:tcW w:w="3340" w:type="dxa"/>
            <w:vAlign w:val="center"/>
          </w:tcPr>
          <w:p w14:paraId="79819957" w14:textId="77777777" w:rsidR="00577D08" w:rsidRDefault="00330FC0">
            <w:pPr>
              <w:jc w:val="right"/>
            </w:pPr>
            <w:r>
              <w:t>60,475,478.63</w:t>
            </w:r>
          </w:p>
        </w:tc>
      </w:tr>
      <w:tr w:rsidR="00577D08" w14:paraId="3C817BB8" w14:textId="77777777">
        <w:tc>
          <w:tcPr>
            <w:tcW w:w="2841" w:type="dxa"/>
            <w:vAlign w:val="center"/>
          </w:tcPr>
          <w:p w14:paraId="0C31A270" w14:textId="77777777" w:rsidR="00577D08" w:rsidRDefault="00330FC0">
            <w:pPr>
              <w:jc w:val="center"/>
              <w:rPr>
                <w:color w:val="000000" w:themeColor="text1"/>
              </w:rPr>
            </w:pPr>
            <w:r>
              <w:rPr>
                <w:rFonts w:hint="eastAsia"/>
                <w:color w:val="000000" w:themeColor="text1"/>
              </w:rPr>
              <w:t>合计</w:t>
            </w:r>
          </w:p>
        </w:tc>
        <w:tc>
          <w:tcPr>
            <w:tcW w:w="2866" w:type="dxa"/>
            <w:vAlign w:val="center"/>
          </w:tcPr>
          <w:p w14:paraId="6731472D" w14:textId="77777777" w:rsidR="00577D08" w:rsidRDefault="00330FC0">
            <w:pPr>
              <w:jc w:val="right"/>
            </w:pPr>
            <w:r>
              <w:t>743,992,815.82</w:t>
            </w:r>
          </w:p>
        </w:tc>
        <w:tc>
          <w:tcPr>
            <w:tcW w:w="3340" w:type="dxa"/>
            <w:vAlign w:val="center"/>
          </w:tcPr>
          <w:p w14:paraId="688474CB" w14:textId="77777777" w:rsidR="00577D08" w:rsidRDefault="00330FC0">
            <w:pPr>
              <w:jc w:val="right"/>
            </w:pPr>
            <w:r>
              <w:t>855,537,235.95</w:t>
            </w:r>
          </w:p>
        </w:tc>
      </w:tr>
    </w:tbl>
    <w:p w14:paraId="4E7411DE" w14:textId="77777777" w:rsidR="00577D08" w:rsidRDefault="00330FC0">
      <w:pPr>
        <w:pStyle w:val="4"/>
        <w:numPr>
          <w:ilvl w:val="0"/>
          <w:numId w:val="87"/>
        </w:numPr>
        <w:ind w:left="426" w:hanging="426"/>
        <w:rPr>
          <w:rFonts w:hint="eastAsia"/>
        </w:rPr>
      </w:pPr>
      <w:r>
        <w:rPr>
          <w:rFonts w:hint="eastAsia"/>
        </w:rPr>
        <w:t>账龄超过</w:t>
      </w:r>
      <w:r>
        <w:t>1年</w:t>
      </w:r>
      <w:r>
        <w:rPr>
          <w:rFonts w:hint="eastAsia"/>
        </w:rPr>
        <w:t>或逾期</w:t>
      </w:r>
      <w:r>
        <w:t>的重要应付账款</w:t>
      </w:r>
    </w:p>
    <w:sdt>
      <w:sdtPr>
        <w:alias w:val="是否适用：账龄超过1年的重要应付账款[双击切换]"/>
        <w:tag w:val="_GBC_0eff470980a54dc3a4ea5996ab7721ce"/>
        <w:id w:val="4873049"/>
        <w:placeholder>
          <w:docPart w:val="GBC22222222222222222222222222222"/>
        </w:placeholder>
      </w:sdtPr>
      <w:sdtContent>
        <w:p w14:paraId="55DE4B3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F74C99" w14:textId="77777777" w:rsidR="00577D08" w:rsidRDefault="00330FC0">
      <w:r>
        <w:rPr>
          <w:rFonts w:hint="eastAsia"/>
        </w:rPr>
        <w:t>其他说明：</w:t>
      </w:r>
    </w:p>
    <w:sdt>
      <w:sdtPr>
        <w:alias w:val="是否适用：应付账款的其他说明[双击切换]"/>
        <w:tag w:val="_GBC_5dc0587a83084b71961a20293aaa95fb"/>
        <w:id w:val="930170940"/>
        <w:placeholder>
          <w:docPart w:val="GBC22222222222222222222222222222"/>
        </w:placeholder>
      </w:sdtPr>
      <w:sdtContent>
        <w:p w14:paraId="6942737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5541C3B"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预收款项</w:t>
      </w:r>
    </w:p>
    <w:p w14:paraId="76CBDD45" w14:textId="77777777" w:rsidR="00577D08" w:rsidRDefault="00330FC0">
      <w:pPr>
        <w:pStyle w:val="4"/>
        <w:numPr>
          <w:ilvl w:val="0"/>
          <w:numId w:val="88"/>
        </w:numPr>
        <w:rPr>
          <w:rFonts w:hint="eastAsia"/>
        </w:rPr>
      </w:pPr>
      <w:r>
        <w:rPr>
          <w:rFonts w:hint="eastAsia"/>
        </w:rPr>
        <w:t>预收款项列示</w:t>
      </w:r>
    </w:p>
    <w:sdt>
      <w:sdtPr>
        <w:alias w:val="是否适用：预收账款项列示[双击切换]"/>
        <w:tag w:val="_GBC_87fabe8d5b22400ca19233d7f82c54fc"/>
        <w:id w:val="2093269858"/>
        <w:placeholder>
          <w:docPart w:val="GBC22222222222222222222222222222"/>
        </w:placeholder>
      </w:sdtPr>
      <w:sdtContent>
        <w:p w14:paraId="05F4981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37BF6FD" w14:textId="77777777" w:rsidR="00577D08" w:rsidRDefault="00330FC0">
      <w:pPr>
        <w:pStyle w:val="4"/>
        <w:numPr>
          <w:ilvl w:val="0"/>
          <w:numId w:val="88"/>
        </w:numPr>
        <w:rPr>
          <w:rFonts w:hint="eastAsia"/>
        </w:rPr>
      </w:pPr>
      <w:r>
        <w:rPr>
          <w:rFonts w:hint="eastAsia"/>
        </w:rPr>
        <w:t>账龄超过</w:t>
      </w:r>
      <w:r>
        <w:t>1年的重要预收款项</w:t>
      </w:r>
    </w:p>
    <w:sdt>
      <w:sdtPr>
        <w:alias w:val="是否适用：账龄超过1年的重要预收款项[双击切换]"/>
        <w:tag w:val="_GBC_79146ea4ecd2426b824d2bcf21203a69"/>
        <w:id w:val="-1280245203"/>
        <w:placeholder>
          <w:docPart w:val="GBC22222222222222222222222222222"/>
        </w:placeholder>
      </w:sdtPr>
      <w:sdtContent>
        <w:p w14:paraId="15BEFDB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B17F2A0" w14:textId="77777777" w:rsidR="00577D08" w:rsidRDefault="00330FC0">
      <w:pPr>
        <w:pStyle w:val="4"/>
        <w:numPr>
          <w:ilvl w:val="0"/>
          <w:numId w:val="88"/>
        </w:numPr>
        <w:ind w:left="450" w:hanging="450"/>
        <w:rPr>
          <w:rFonts w:hint="eastAsia"/>
        </w:rPr>
      </w:pPr>
      <w:r>
        <w:rPr>
          <w:rFonts w:hint="eastAsia"/>
        </w:rPr>
        <w:t>报告期内账面价值发生重大变动的金额和原因</w:t>
      </w:r>
    </w:p>
    <w:sdt>
      <w:sdtPr>
        <w:alias w:val="是否适用：预收款项账面价值发生重大变动的金额和原因?[双击切换]"/>
        <w:tag w:val="_GBC_080f20e9d1b64963a38dcdee1ed191a2"/>
        <w:id w:val="-505827938"/>
        <w:placeholder>
          <w:docPart w:val="GBC22222222222222222222222222222"/>
        </w:placeholder>
      </w:sdtPr>
      <w:sdtContent>
        <w:p w14:paraId="40C3D73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42432D2" w14:textId="77777777" w:rsidR="00577D08" w:rsidRDefault="00330FC0">
      <w:r>
        <w:rPr>
          <w:rFonts w:hint="eastAsia"/>
        </w:rPr>
        <w:t>其他说明：</w:t>
      </w:r>
    </w:p>
    <w:sdt>
      <w:sdtPr>
        <w:alias w:val="是否适用：预收账款的其他说明[双击切换]"/>
        <w:tag w:val="_GBC_c0e961ba454e4e2cb91293bde731349d"/>
        <w:id w:val="-1360188050"/>
        <w:placeholder>
          <w:docPart w:val="GBC22222222222222222222222222222"/>
        </w:placeholder>
      </w:sdtPr>
      <w:sdtContent>
        <w:p w14:paraId="6BBE73F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4737DC3" w14:textId="77777777" w:rsidR="00577D08" w:rsidRDefault="00330FC0">
      <w:pPr>
        <w:pStyle w:val="3"/>
        <w:numPr>
          <w:ilvl w:val="0"/>
          <w:numId w:val="61"/>
        </w:numPr>
        <w:tabs>
          <w:tab w:val="left" w:pos="504"/>
        </w:tabs>
        <w:rPr>
          <w:szCs w:val="21"/>
        </w:rPr>
      </w:pPr>
      <w:r>
        <w:rPr>
          <w:rFonts w:hint="eastAsia"/>
          <w:szCs w:val="21"/>
        </w:rPr>
        <w:t>合同负债</w:t>
      </w:r>
    </w:p>
    <w:p w14:paraId="5DAC49C6" w14:textId="77777777" w:rsidR="00577D08" w:rsidRDefault="00330FC0">
      <w:pPr>
        <w:pStyle w:val="4"/>
        <w:numPr>
          <w:ilvl w:val="0"/>
          <w:numId w:val="89"/>
        </w:numPr>
        <w:rPr>
          <w:rFonts w:hint="eastAsia"/>
        </w:rPr>
      </w:pPr>
      <w:r>
        <w:rPr>
          <w:rFonts w:hint="eastAsia"/>
        </w:rPr>
        <w:t>合同负债情况</w:t>
      </w:r>
    </w:p>
    <w:sdt>
      <w:sdtPr>
        <w:alias w:val="是否适用：合同负债情况[双击切换]"/>
        <w:tag w:val="_GBC_257112066c884c67acfede3a1536844a"/>
        <w:id w:val="-1945139968"/>
        <w:placeholder>
          <w:docPart w:val="GBC22222222222222222222222222222"/>
        </w:placeholder>
      </w:sdtPr>
      <w:sdtContent>
        <w:p w14:paraId="35972A0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333A350" w14:textId="0DDE6B6C" w:rsidR="00577D08" w:rsidRDefault="00330FC0">
      <w:pPr>
        <w:ind w:left="360"/>
        <w:jc w:val="right"/>
      </w:pPr>
      <w:r>
        <w:rPr>
          <w:rFonts w:hint="eastAsia"/>
        </w:rPr>
        <w:t>单位：</w:t>
      </w:r>
      <w:sdt>
        <w:sdtPr>
          <w:rPr>
            <w:rFonts w:hint="eastAsia"/>
          </w:rPr>
          <w:alias w:val="单位：合同负债情况"/>
          <w:tag w:val="_GBC_ea58ca5e76b74f328a4691ca7c6cc941"/>
          <w:id w:val="11749172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合同负债情况"/>
          <w:tag w:val="_GBC_58f1908d1f4c48699237bf8c7f3604da"/>
          <w:id w:val="70090278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3078"/>
        <w:gridCol w:w="3073"/>
      </w:tblGrid>
      <w:tr w:rsidR="00577D08" w14:paraId="2F050DAB" w14:textId="77777777">
        <w:sdt>
          <w:sdtPr>
            <w:tag w:val="_PLD_c331ae60cae44b02b2a16eccd02434b1"/>
            <w:id w:val="1416977852"/>
          </w:sdtPr>
          <w:sdtContent>
            <w:tc>
              <w:tcPr>
                <w:tcW w:w="2897" w:type="dxa"/>
                <w:vAlign w:val="center"/>
              </w:tcPr>
              <w:p w14:paraId="6F0CEEF4" w14:textId="77777777" w:rsidR="00577D08" w:rsidRDefault="00330FC0">
                <w:pPr>
                  <w:jc w:val="center"/>
                </w:pPr>
                <w:r>
                  <w:rPr>
                    <w:rFonts w:hint="eastAsia"/>
                  </w:rPr>
                  <w:t>项目</w:t>
                </w:r>
              </w:p>
            </w:tc>
          </w:sdtContent>
        </w:sdt>
        <w:sdt>
          <w:sdtPr>
            <w:tag w:val="_PLD_1619b2dd861a497cbc814256ed0e2957"/>
            <w:id w:val="1426544152"/>
          </w:sdtPr>
          <w:sdtContent>
            <w:tc>
              <w:tcPr>
                <w:tcW w:w="3078" w:type="dxa"/>
                <w:vAlign w:val="center"/>
              </w:tcPr>
              <w:p w14:paraId="5E37FE01"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6341013bed194ee78619c433ebd01fda"/>
            <w:id w:val="1034920985"/>
          </w:sdtPr>
          <w:sdtContent>
            <w:tc>
              <w:tcPr>
                <w:tcW w:w="3073" w:type="dxa"/>
                <w:vAlign w:val="center"/>
              </w:tcPr>
              <w:p w14:paraId="25184468"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2A24DD64" w14:textId="77777777">
        <w:tc>
          <w:tcPr>
            <w:tcW w:w="2897" w:type="dxa"/>
            <w:vAlign w:val="center"/>
          </w:tcPr>
          <w:p w14:paraId="6FEA2253" w14:textId="77777777" w:rsidR="00577D08" w:rsidRDefault="00330FC0">
            <w:r>
              <w:rPr>
                <w:rFonts w:hint="eastAsia"/>
              </w:rPr>
              <w:t>商品销售款</w:t>
            </w:r>
          </w:p>
        </w:tc>
        <w:tc>
          <w:tcPr>
            <w:tcW w:w="3078" w:type="dxa"/>
          </w:tcPr>
          <w:p w14:paraId="0433B5C1" w14:textId="77777777" w:rsidR="00577D08" w:rsidRDefault="00330FC0">
            <w:pPr>
              <w:jc w:val="right"/>
            </w:pPr>
            <w:r>
              <w:t>127,805,864.76</w:t>
            </w:r>
          </w:p>
        </w:tc>
        <w:tc>
          <w:tcPr>
            <w:tcW w:w="3073" w:type="dxa"/>
          </w:tcPr>
          <w:p w14:paraId="4ED05A4B" w14:textId="77777777" w:rsidR="00577D08" w:rsidRDefault="00330FC0">
            <w:pPr>
              <w:jc w:val="right"/>
            </w:pPr>
            <w:r>
              <w:t>114,850,233.49</w:t>
            </w:r>
          </w:p>
        </w:tc>
      </w:tr>
      <w:tr w:rsidR="00577D08" w14:paraId="174850A9" w14:textId="77777777">
        <w:tc>
          <w:tcPr>
            <w:tcW w:w="2897" w:type="dxa"/>
            <w:vAlign w:val="center"/>
          </w:tcPr>
          <w:p w14:paraId="634E1F9D" w14:textId="77777777" w:rsidR="00577D08" w:rsidRDefault="00330FC0">
            <w:pPr>
              <w:jc w:val="center"/>
              <w:rPr>
                <w:color w:val="000000"/>
              </w:rPr>
            </w:pPr>
            <w:r>
              <w:rPr>
                <w:rFonts w:hint="eastAsia"/>
                <w:color w:val="000000"/>
              </w:rPr>
              <w:t>合计</w:t>
            </w:r>
          </w:p>
        </w:tc>
        <w:tc>
          <w:tcPr>
            <w:tcW w:w="3078" w:type="dxa"/>
          </w:tcPr>
          <w:p w14:paraId="471FC584" w14:textId="77777777" w:rsidR="00577D08" w:rsidRDefault="00330FC0">
            <w:pPr>
              <w:jc w:val="right"/>
            </w:pPr>
            <w:r>
              <w:t>127,805,864.76</w:t>
            </w:r>
          </w:p>
        </w:tc>
        <w:tc>
          <w:tcPr>
            <w:tcW w:w="3073" w:type="dxa"/>
          </w:tcPr>
          <w:p w14:paraId="28E93FFB" w14:textId="77777777" w:rsidR="00577D08" w:rsidRDefault="00330FC0">
            <w:pPr>
              <w:jc w:val="right"/>
            </w:pPr>
            <w:r>
              <w:t>114,850,233.49</w:t>
            </w:r>
          </w:p>
        </w:tc>
      </w:tr>
    </w:tbl>
    <w:p w14:paraId="4C4B1A04" w14:textId="77777777" w:rsidR="00577D08" w:rsidRDefault="00330FC0">
      <w:pPr>
        <w:pStyle w:val="4"/>
        <w:numPr>
          <w:ilvl w:val="0"/>
          <w:numId w:val="89"/>
        </w:numPr>
        <w:ind w:left="450" w:hanging="450"/>
        <w:rPr>
          <w:rFonts w:hint="eastAsia"/>
        </w:rPr>
      </w:pPr>
      <w:r>
        <w:rPr>
          <w:rFonts w:hint="eastAsia"/>
        </w:rPr>
        <w:t>账龄超过</w:t>
      </w:r>
      <w:r>
        <w:t>1年的重要合同负债</w:t>
      </w:r>
    </w:p>
    <w:sdt>
      <w:sdtPr>
        <w:alias w:val="是否适用：账龄超过1年的重要合同负债明细[双击切换]"/>
        <w:tag w:val="_GBC_743f27908aba47b4a5755e98b31475ae"/>
        <w:id w:val="-1358584763"/>
        <w:placeholder>
          <w:docPart w:val="GBC22222222222222222222222222222"/>
        </w:placeholder>
      </w:sdtPr>
      <w:sdtContent>
        <w:p w14:paraId="7831F54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9A845F" w14:textId="77777777" w:rsidR="00577D08" w:rsidRDefault="00330FC0">
      <w:pPr>
        <w:pStyle w:val="4"/>
        <w:numPr>
          <w:ilvl w:val="0"/>
          <w:numId w:val="89"/>
        </w:numPr>
        <w:rPr>
          <w:rFonts w:hint="eastAsia"/>
        </w:rPr>
      </w:pPr>
      <w:r>
        <w:rPr>
          <w:rFonts w:hint="eastAsia"/>
        </w:rPr>
        <w:t>报告期内账面价值发生重大变动的金额和原因</w:t>
      </w:r>
    </w:p>
    <w:sdt>
      <w:sdtPr>
        <w:alias w:val="是否适用：合同负债账面价值发生重大变动[双击切换]"/>
        <w:tag w:val="_GBC_267fd365085f4836b846799edc8c3765"/>
        <w:id w:val="891081471"/>
        <w:placeholder>
          <w:docPart w:val="GBC22222222222222222222222222222"/>
        </w:placeholder>
      </w:sdtPr>
      <w:sdtContent>
        <w:p w14:paraId="55D50E8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9BE91F" w14:textId="77777777" w:rsidR="00577D08" w:rsidRDefault="00330FC0">
      <w:r>
        <w:rPr>
          <w:rFonts w:hint="eastAsia"/>
        </w:rPr>
        <w:t>其他说明：</w:t>
      </w:r>
    </w:p>
    <w:sdt>
      <w:sdtPr>
        <w:alias w:val="是否适用：合同负债其他说明[双击切换]"/>
        <w:tag w:val="_GBC_1c99003b181f47ebb73e6452f4bfa446"/>
        <w:id w:val="1312286313"/>
        <w:placeholder>
          <w:docPart w:val="GBC22222222222222222222222222222"/>
        </w:placeholder>
      </w:sdtPr>
      <w:sdtContent>
        <w:p w14:paraId="1D4B496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C4C4AB6"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应付职工薪酬</w:t>
      </w:r>
    </w:p>
    <w:p w14:paraId="45DB14D7" w14:textId="77777777" w:rsidR="00577D08" w:rsidRDefault="00330FC0">
      <w:pPr>
        <w:pStyle w:val="4"/>
        <w:numPr>
          <w:ilvl w:val="0"/>
          <w:numId w:val="90"/>
        </w:numPr>
        <w:rPr>
          <w:rFonts w:hint="eastAsia"/>
        </w:rPr>
      </w:pPr>
      <w:r>
        <w:rPr>
          <w:rFonts w:hint="eastAsia"/>
        </w:rPr>
        <w:t>应付职工薪酬列示</w:t>
      </w:r>
    </w:p>
    <w:sdt>
      <w:sdtPr>
        <w:alias w:val="是否适用：应付职工薪酬列示[双击切换]"/>
        <w:tag w:val="_GBC_215b41e091df4b2bbb2009fd3c8040b5"/>
        <w:id w:val="-1122071790"/>
        <w:placeholder>
          <w:docPart w:val="GBC22222222222222222222222222222"/>
        </w:placeholder>
      </w:sdtPr>
      <w:sdtContent>
        <w:p w14:paraId="00BB452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B59138E" w14:textId="6E585FC0" w:rsidR="00577D08" w:rsidRDefault="00330FC0">
      <w:pPr>
        <w:jc w:val="right"/>
      </w:pPr>
      <w:r>
        <w:rPr>
          <w:rFonts w:hint="eastAsia"/>
        </w:rPr>
        <w:t>单位：</w:t>
      </w:r>
      <w:sdt>
        <w:sdtPr>
          <w:rPr>
            <w:rFonts w:hint="eastAsia"/>
          </w:rPr>
          <w:alias w:val="单位：财务附注：应付职工薪酬"/>
          <w:tag w:val="_GBC_6889c0e435324d63b7c01ed595a8e140"/>
          <w:id w:val="-157766128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应付职工薪酬"/>
          <w:tag w:val="_GBC_64bcd9de14a14550b941cbdaf7bdc974"/>
          <w:id w:val="-11927617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0"/>
        <w:gridCol w:w="1610"/>
        <w:gridCol w:w="1607"/>
        <w:gridCol w:w="1610"/>
        <w:gridCol w:w="1619"/>
      </w:tblGrid>
      <w:tr w:rsidR="00577D08" w14:paraId="4146F8C6" w14:textId="77777777">
        <w:sdt>
          <w:sdtPr>
            <w:tag w:val="_PLD_4761dc2d96c64c3fb5d407cdbec097a2"/>
            <w:id w:val="682323168"/>
          </w:sdtPr>
          <w:sdtContent>
            <w:tc>
              <w:tcPr>
                <w:tcW w:w="2600" w:type="dxa"/>
                <w:vAlign w:val="center"/>
              </w:tcPr>
              <w:p w14:paraId="13500A61" w14:textId="77777777" w:rsidR="00577D08" w:rsidRDefault="00330FC0">
                <w:pPr>
                  <w:jc w:val="center"/>
                </w:pPr>
                <w:r>
                  <w:rPr>
                    <w:rFonts w:hint="eastAsia"/>
                  </w:rPr>
                  <w:t>项目</w:t>
                </w:r>
              </w:p>
            </w:tc>
          </w:sdtContent>
        </w:sdt>
        <w:sdt>
          <w:sdtPr>
            <w:tag w:val="_PLD_f666739d3c0f4f9891bd8f4974d101ec"/>
            <w:id w:val="803049093"/>
          </w:sdtPr>
          <w:sdtContent>
            <w:tc>
              <w:tcPr>
                <w:tcW w:w="1610" w:type="dxa"/>
                <w:vAlign w:val="center"/>
              </w:tcPr>
              <w:p w14:paraId="00AAD76A" w14:textId="77777777" w:rsidR="00577D08" w:rsidRDefault="00330FC0">
                <w:pPr>
                  <w:jc w:val="center"/>
                </w:pPr>
                <w:r>
                  <w:rPr>
                    <w:rFonts w:hint="eastAsia"/>
                  </w:rPr>
                  <w:t>期初余额</w:t>
                </w:r>
              </w:p>
            </w:tc>
          </w:sdtContent>
        </w:sdt>
        <w:sdt>
          <w:sdtPr>
            <w:tag w:val="_PLD_cc701d3a5a44484d862c996437df1e7d"/>
            <w:id w:val="-375696877"/>
          </w:sdtPr>
          <w:sdtContent>
            <w:tc>
              <w:tcPr>
                <w:tcW w:w="1607" w:type="dxa"/>
                <w:vAlign w:val="center"/>
              </w:tcPr>
              <w:p w14:paraId="3516A0C3" w14:textId="77777777" w:rsidR="00577D08" w:rsidRDefault="00330FC0">
                <w:pPr>
                  <w:jc w:val="center"/>
                </w:pPr>
                <w:r>
                  <w:rPr>
                    <w:rFonts w:hint="eastAsia"/>
                  </w:rPr>
                  <w:t>本期增加</w:t>
                </w:r>
              </w:p>
            </w:tc>
          </w:sdtContent>
        </w:sdt>
        <w:sdt>
          <w:sdtPr>
            <w:tag w:val="_PLD_0e8f833fca684ce592b0cba6d04c75ef"/>
            <w:id w:val="132833735"/>
          </w:sdtPr>
          <w:sdtContent>
            <w:tc>
              <w:tcPr>
                <w:tcW w:w="1610" w:type="dxa"/>
                <w:vAlign w:val="center"/>
              </w:tcPr>
              <w:p w14:paraId="40223138" w14:textId="77777777" w:rsidR="00577D08" w:rsidRDefault="00330FC0">
                <w:pPr>
                  <w:jc w:val="center"/>
                </w:pPr>
                <w:r>
                  <w:rPr>
                    <w:rFonts w:hint="eastAsia"/>
                  </w:rPr>
                  <w:t>本期减少</w:t>
                </w:r>
              </w:p>
            </w:tc>
          </w:sdtContent>
        </w:sdt>
        <w:sdt>
          <w:sdtPr>
            <w:tag w:val="_PLD_c39a265e94994f0480d13abd59d3eb39"/>
            <w:id w:val="-312026702"/>
          </w:sdtPr>
          <w:sdtContent>
            <w:tc>
              <w:tcPr>
                <w:tcW w:w="1619" w:type="dxa"/>
                <w:vAlign w:val="center"/>
              </w:tcPr>
              <w:p w14:paraId="7AC70CE7" w14:textId="77777777" w:rsidR="00577D08" w:rsidRDefault="00330FC0">
                <w:pPr>
                  <w:jc w:val="center"/>
                </w:pPr>
                <w:r>
                  <w:rPr>
                    <w:rFonts w:hint="eastAsia"/>
                  </w:rPr>
                  <w:t>期末余额</w:t>
                </w:r>
              </w:p>
            </w:tc>
          </w:sdtContent>
        </w:sdt>
      </w:tr>
      <w:tr w:rsidR="00577D08" w14:paraId="6C4CCF4A" w14:textId="77777777">
        <w:tc>
          <w:tcPr>
            <w:tcW w:w="2600" w:type="dxa"/>
            <w:vAlign w:val="center"/>
          </w:tcPr>
          <w:p w14:paraId="5AC28B56" w14:textId="77777777" w:rsidR="00577D08" w:rsidRDefault="00330FC0">
            <w:r>
              <w:rPr>
                <w:rFonts w:hint="eastAsia"/>
              </w:rPr>
              <w:t>一、短期薪酬</w:t>
            </w:r>
          </w:p>
        </w:tc>
        <w:tc>
          <w:tcPr>
            <w:tcW w:w="1610" w:type="dxa"/>
            <w:vAlign w:val="center"/>
          </w:tcPr>
          <w:p w14:paraId="7468400D" w14:textId="77777777" w:rsidR="00577D08" w:rsidRDefault="00330FC0">
            <w:pPr>
              <w:jc w:val="right"/>
            </w:pPr>
            <w:r>
              <w:t>43,004,579.54</w:t>
            </w:r>
          </w:p>
        </w:tc>
        <w:tc>
          <w:tcPr>
            <w:tcW w:w="1607" w:type="dxa"/>
            <w:vAlign w:val="center"/>
          </w:tcPr>
          <w:p w14:paraId="5E6E1C72" w14:textId="77777777" w:rsidR="00577D08" w:rsidRDefault="00330FC0">
            <w:pPr>
              <w:jc w:val="right"/>
              <w:rPr>
                <w:highlight w:val="yellow"/>
              </w:rPr>
            </w:pPr>
            <w:r>
              <w:t>314,341,867.20</w:t>
            </w:r>
          </w:p>
        </w:tc>
        <w:tc>
          <w:tcPr>
            <w:tcW w:w="1610" w:type="dxa"/>
            <w:vAlign w:val="center"/>
          </w:tcPr>
          <w:p w14:paraId="414626A4" w14:textId="77777777" w:rsidR="00577D08" w:rsidRDefault="00330FC0">
            <w:pPr>
              <w:jc w:val="right"/>
              <w:rPr>
                <w:highlight w:val="yellow"/>
              </w:rPr>
            </w:pPr>
            <w:r>
              <w:t>299,337,940.81</w:t>
            </w:r>
          </w:p>
        </w:tc>
        <w:tc>
          <w:tcPr>
            <w:tcW w:w="1619" w:type="dxa"/>
            <w:vAlign w:val="center"/>
          </w:tcPr>
          <w:p w14:paraId="3B454AA1" w14:textId="77777777" w:rsidR="00577D08" w:rsidRDefault="00330FC0">
            <w:pPr>
              <w:jc w:val="right"/>
            </w:pPr>
            <w:r>
              <w:t>58,008,505.93</w:t>
            </w:r>
          </w:p>
        </w:tc>
      </w:tr>
      <w:tr w:rsidR="00577D08" w14:paraId="71E23192" w14:textId="77777777">
        <w:tc>
          <w:tcPr>
            <w:tcW w:w="2600" w:type="dxa"/>
            <w:vAlign w:val="center"/>
          </w:tcPr>
          <w:p w14:paraId="59B92AB0" w14:textId="77777777" w:rsidR="00577D08" w:rsidRDefault="00330FC0">
            <w:r>
              <w:rPr>
                <w:rFonts w:hint="eastAsia"/>
              </w:rPr>
              <w:t>二、离职后福利</w:t>
            </w:r>
            <w:r>
              <w:rPr>
                <w:rFonts w:hint="eastAsia"/>
              </w:rPr>
              <w:t>-</w:t>
            </w:r>
            <w:r>
              <w:rPr>
                <w:rFonts w:hint="eastAsia"/>
              </w:rPr>
              <w:t>设定提存计划</w:t>
            </w:r>
          </w:p>
        </w:tc>
        <w:tc>
          <w:tcPr>
            <w:tcW w:w="1610" w:type="dxa"/>
            <w:vAlign w:val="center"/>
          </w:tcPr>
          <w:p w14:paraId="2FA795DA" w14:textId="77777777" w:rsidR="00577D08" w:rsidRDefault="00577D08">
            <w:pPr>
              <w:jc w:val="right"/>
            </w:pPr>
          </w:p>
        </w:tc>
        <w:tc>
          <w:tcPr>
            <w:tcW w:w="1607" w:type="dxa"/>
            <w:vAlign w:val="center"/>
          </w:tcPr>
          <w:p w14:paraId="4B2CA5F6" w14:textId="77777777" w:rsidR="00577D08" w:rsidRDefault="00330FC0">
            <w:pPr>
              <w:jc w:val="right"/>
            </w:pPr>
            <w:r>
              <w:t>25,011,974.35</w:t>
            </w:r>
          </w:p>
        </w:tc>
        <w:tc>
          <w:tcPr>
            <w:tcW w:w="1610" w:type="dxa"/>
            <w:vAlign w:val="center"/>
          </w:tcPr>
          <w:p w14:paraId="0AE79913" w14:textId="77777777" w:rsidR="00577D08" w:rsidRDefault="00330FC0">
            <w:pPr>
              <w:jc w:val="right"/>
            </w:pPr>
            <w:r>
              <w:t>24,977,527.12</w:t>
            </w:r>
          </w:p>
        </w:tc>
        <w:tc>
          <w:tcPr>
            <w:tcW w:w="1619" w:type="dxa"/>
            <w:vAlign w:val="center"/>
          </w:tcPr>
          <w:p w14:paraId="71E8250C" w14:textId="77777777" w:rsidR="00577D08" w:rsidRDefault="00330FC0">
            <w:pPr>
              <w:jc w:val="right"/>
            </w:pPr>
            <w:r>
              <w:t>34,447.23</w:t>
            </w:r>
          </w:p>
        </w:tc>
      </w:tr>
      <w:tr w:rsidR="00577D08" w14:paraId="3ACF0CDF" w14:textId="77777777">
        <w:tc>
          <w:tcPr>
            <w:tcW w:w="2600" w:type="dxa"/>
            <w:vAlign w:val="center"/>
          </w:tcPr>
          <w:p w14:paraId="0D94A3C1" w14:textId="77777777" w:rsidR="00577D08" w:rsidRDefault="00330FC0">
            <w:r>
              <w:rPr>
                <w:rFonts w:hint="eastAsia"/>
              </w:rPr>
              <w:t>三、辞退福利</w:t>
            </w:r>
          </w:p>
        </w:tc>
        <w:tc>
          <w:tcPr>
            <w:tcW w:w="1610" w:type="dxa"/>
            <w:vAlign w:val="center"/>
          </w:tcPr>
          <w:p w14:paraId="1A5AE461" w14:textId="77777777" w:rsidR="00577D08" w:rsidRDefault="00577D08">
            <w:pPr>
              <w:jc w:val="right"/>
            </w:pPr>
          </w:p>
        </w:tc>
        <w:tc>
          <w:tcPr>
            <w:tcW w:w="1607" w:type="dxa"/>
            <w:vAlign w:val="center"/>
          </w:tcPr>
          <w:p w14:paraId="2BF818BC" w14:textId="77777777" w:rsidR="00577D08" w:rsidRDefault="00330FC0">
            <w:pPr>
              <w:jc w:val="right"/>
            </w:pPr>
            <w:r>
              <w:t>532,635.25</w:t>
            </w:r>
          </w:p>
        </w:tc>
        <w:tc>
          <w:tcPr>
            <w:tcW w:w="1610" w:type="dxa"/>
            <w:vAlign w:val="center"/>
          </w:tcPr>
          <w:p w14:paraId="67D9A050" w14:textId="77777777" w:rsidR="00577D08" w:rsidRDefault="00330FC0">
            <w:pPr>
              <w:jc w:val="right"/>
            </w:pPr>
            <w:r>
              <w:t>532,635.25</w:t>
            </w:r>
          </w:p>
        </w:tc>
        <w:tc>
          <w:tcPr>
            <w:tcW w:w="1619" w:type="dxa"/>
            <w:vAlign w:val="center"/>
          </w:tcPr>
          <w:p w14:paraId="22E809DC" w14:textId="77777777" w:rsidR="00577D08" w:rsidRDefault="00577D08">
            <w:pPr>
              <w:jc w:val="right"/>
            </w:pPr>
          </w:p>
        </w:tc>
      </w:tr>
      <w:tr w:rsidR="00577D08" w14:paraId="6D297CC5" w14:textId="77777777">
        <w:tc>
          <w:tcPr>
            <w:tcW w:w="2600" w:type="dxa"/>
            <w:vAlign w:val="center"/>
          </w:tcPr>
          <w:p w14:paraId="342D9995" w14:textId="77777777" w:rsidR="00577D08" w:rsidRDefault="00330FC0">
            <w:r>
              <w:rPr>
                <w:rFonts w:hint="eastAsia"/>
              </w:rPr>
              <w:lastRenderedPageBreak/>
              <w:t>四、一年内到期的其他福利</w:t>
            </w:r>
          </w:p>
        </w:tc>
        <w:tc>
          <w:tcPr>
            <w:tcW w:w="1610" w:type="dxa"/>
            <w:vAlign w:val="center"/>
          </w:tcPr>
          <w:p w14:paraId="5469C969" w14:textId="77777777" w:rsidR="00577D08" w:rsidRDefault="00577D08">
            <w:pPr>
              <w:jc w:val="right"/>
            </w:pPr>
          </w:p>
        </w:tc>
        <w:tc>
          <w:tcPr>
            <w:tcW w:w="1607" w:type="dxa"/>
            <w:vAlign w:val="center"/>
          </w:tcPr>
          <w:p w14:paraId="7960AAA4" w14:textId="77777777" w:rsidR="00577D08" w:rsidRDefault="00577D08">
            <w:pPr>
              <w:jc w:val="right"/>
            </w:pPr>
          </w:p>
        </w:tc>
        <w:tc>
          <w:tcPr>
            <w:tcW w:w="1610" w:type="dxa"/>
            <w:vAlign w:val="center"/>
          </w:tcPr>
          <w:p w14:paraId="0C7F4C31" w14:textId="77777777" w:rsidR="00577D08" w:rsidRDefault="00577D08">
            <w:pPr>
              <w:jc w:val="right"/>
            </w:pPr>
          </w:p>
        </w:tc>
        <w:tc>
          <w:tcPr>
            <w:tcW w:w="1619" w:type="dxa"/>
            <w:vAlign w:val="center"/>
          </w:tcPr>
          <w:p w14:paraId="0A9ABBF6" w14:textId="77777777" w:rsidR="00577D08" w:rsidRDefault="00577D08">
            <w:pPr>
              <w:jc w:val="right"/>
            </w:pPr>
          </w:p>
        </w:tc>
      </w:tr>
      <w:tr w:rsidR="00577D08" w14:paraId="6B9265A7" w14:textId="77777777">
        <w:tc>
          <w:tcPr>
            <w:tcW w:w="2600" w:type="dxa"/>
            <w:vAlign w:val="center"/>
          </w:tcPr>
          <w:p w14:paraId="6BA47871" w14:textId="77777777" w:rsidR="00577D08" w:rsidRDefault="00330FC0">
            <w:pPr>
              <w:jc w:val="center"/>
            </w:pPr>
            <w:r>
              <w:rPr>
                <w:rFonts w:hint="eastAsia"/>
              </w:rPr>
              <w:t>合计</w:t>
            </w:r>
          </w:p>
        </w:tc>
        <w:tc>
          <w:tcPr>
            <w:tcW w:w="1610" w:type="dxa"/>
            <w:vAlign w:val="center"/>
          </w:tcPr>
          <w:p w14:paraId="1FAD7007" w14:textId="77777777" w:rsidR="00577D08" w:rsidRDefault="00330FC0">
            <w:pPr>
              <w:jc w:val="right"/>
            </w:pPr>
            <w:r>
              <w:t>43,004,579.54</w:t>
            </w:r>
          </w:p>
        </w:tc>
        <w:tc>
          <w:tcPr>
            <w:tcW w:w="1607" w:type="dxa"/>
            <w:vAlign w:val="center"/>
          </w:tcPr>
          <w:p w14:paraId="5BAF8273" w14:textId="77777777" w:rsidR="00577D08" w:rsidRDefault="00330FC0">
            <w:pPr>
              <w:jc w:val="right"/>
            </w:pPr>
            <w:r>
              <w:t>339,886,476.80</w:t>
            </w:r>
          </w:p>
        </w:tc>
        <w:tc>
          <w:tcPr>
            <w:tcW w:w="1610" w:type="dxa"/>
            <w:vAlign w:val="center"/>
          </w:tcPr>
          <w:p w14:paraId="772C61AC" w14:textId="77777777" w:rsidR="00577D08" w:rsidRDefault="00330FC0">
            <w:pPr>
              <w:jc w:val="right"/>
            </w:pPr>
            <w:r>
              <w:t>324,848,103.18</w:t>
            </w:r>
          </w:p>
        </w:tc>
        <w:tc>
          <w:tcPr>
            <w:tcW w:w="1619" w:type="dxa"/>
            <w:vAlign w:val="center"/>
          </w:tcPr>
          <w:p w14:paraId="7CABF2E6" w14:textId="77777777" w:rsidR="00577D08" w:rsidRDefault="00330FC0">
            <w:pPr>
              <w:jc w:val="right"/>
            </w:pPr>
            <w:r>
              <w:t>58,042,953.16</w:t>
            </w:r>
          </w:p>
        </w:tc>
      </w:tr>
    </w:tbl>
    <w:p w14:paraId="6A529A7F" w14:textId="77777777" w:rsidR="00577D08" w:rsidRDefault="00577D08"/>
    <w:p w14:paraId="7DFDEA73" w14:textId="77777777" w:rsidR="00577D08" w:rsidRDefault="00330FC0">
      <w:pPr>
        <w:pStyle w:val="4"/>
        <w:numPr>
          <w:ilvl w:val="0"/>
          <w:numId w:val="90"/>
        </w:numPr>
        <w:rPr>
          <w:rFonts w:hint="eastAsia"/>
        </w:rPr>
      </w:pPr>
      <w:r>
        <w:rPr>
          <w:rFonts w:hint="eastAsia"/>
        </w:rPr>
        <w:t>短期薪酬列示</w:t>
      </w:r>
    </w:p>
    <w:sdt>
      <w:sdtPr>
        <w:alias w:val="是否适用：短期薪酬列示[双击切换]"/>
        <w:tag w:val="_GBC_531fef0ef27e47ad98c1bb26abdf204f"/>
        <w:id w:val="-658762832"/>
        <w:placeholder>
          <w:docPart w:val="GBC22222222222222222222222222222"/>
        </w:placeholder>
      </w:sdtPr>
      <w:sdtContent>
        <w:p w14:paraId="111848B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BA9A582" w14:textId="46FAA22C" w:rsidR="00577D08" w:rsidRDefault="00330FC0">
      <w:pPr>
        <w:jc w:val="right"/>
      </w:pPr>
      <w:r>
        <w:rPr>
          <w:rFonts w:hint="eastAsia"/>
        </w:rPr>
        <w:t>单位：</w:t>
      </w:r>
      <w:sdt>
        <w:sdtPr>
          <w:rPr>
            <w:rFonts w:hint="eastAsia"/>
          </w:rPr>
          <w:alias w:val="单位：财务附注：短期薪酬"/>
          <w:tag w:val="_GBC_4710a4978b1b4a4bbcd5757aaf80b8d7"/>
          <w:id w:val="-17155742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r>
        <w:rPr>
          <w:rFonts w:hint="eastAsia"/>
        </w:rPr>
        <w:t>:</w:t>
      </w:r>
      <w:sdt>
        <w:sdtPr>
          <w:rPr>
            <w:rFonts w:hint="eastAsia"/>
          </w:rPr>
          <w:alias w:val="币种：财务附注：短期薪酬"/>
          <w:tag w:val="_GBC_aa08b58287754c0d8fad97e31bacb9e4"/>
          <w:id w:val="3434443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3"/>
        <w:gridCol w:w="1612"/>
        <w:gridCol w:w="1594"/>
        <w:gridCol w:w="1608"/>
        <w:gridCol w:w="1619"/>
      </w:tblGrid>
      <w:tr w:rsidR="00577D08" w14:paraId="5DBA7F0B" w14:textId="77777777">
        <w:sdt>
          <w:sdtPr>
            <w:tag w:val="_PLD_977153d49ca449b191bb833cd5f689b2"/>
            <w:id w:val="1895080103"/>
          </w:sdtPr>
          <w:sdtContent>
            <w:tc>
              <w:tcPr>
                <w:tcW w:w="2613" w:type="dxa"/>
                <w:tcBorders>
                  <w:top w:val="single" w:sz="4" w:space="0" w:color="auto"/>
                  <w:left w:val="single" w:sz="4" w:space="0" w:color="auto"/>
                  <w:bottom w:val="single" w:sz="4" w:space="0" w:color="auto"/>
                  <w:right w:val="single" w:sz="4" w:space="0" w:color="auto"/>
                </w:tcBorders>
                <w:vAlign w:val="center"/>
              </w:tcPr>
              <w:p w14:paraId="663F6C0D" w14:textId="77777777" w:rsidR="00577D08" w:rsidRDefault="00330FC0">
                <w:pPr>
                  <w:autoSpaceDE w:val="0"/>
                  <w:autoSpaceDN w:val="0"/>
                  <w:adjustRightInd w:val="0"/>
                  <w:jc w:val="center"/>
                </w:pPr>
                <w:r>
                  <w:rPr>
                    <w:rFonts w:hint="eastAsia"/>
                  </w:rPr>
                  <w:t>项目</w:t>
                </w:r>
              </w:p>
            </w:tc>
          </w:sdtContent>
        </w:sdt>
        <w:sdt>
          <w:sdtPr>
            <w:tag w:val="_PLD_557c49ee2a4f40de99f948c76f4c3adc"/>
            <w:id w:val="-2001960155"/>
          </w:sdtPr>
          <w:sdtContent>
            <w:tc>
              <w:tcPr>
                <w:tcW w:w="1612" w:type="dxa"/>
                <w:tcBorders>
                  <w:top w:val="single" w:sz="4" w:space="0" w:color="auto"/>
                  <w:left w:val="single" w:sz="4" w:space="0" w:color="auto"/>
                  <w:bottom w:val="single" w:sz="4" w:space="0" w:color="auto"/>
                  <w:right w:val="single" w:sz="4" w:space="0" w:color="auto"/>
                </w:tcBorders>
                <w:vAlign w:val="center"/>
              </w:tcPr>
              <w:p w14:paraId="2A212A6E" w14:textId="77777777" w:rsidR="00577D08" w:rsidRDefault="00330FC0">
                <w:pPr>
                  <w:autoSpaceDE w:val="0"/>
                  <w:autoSpaceDN w:val="0"/>
                  <w:adjustRightInd w:val="0"/>
                  <w:jc w:val="center"/>
                </w:pPr>
                <w:r>
                  <w:rPr>
                    <w:rFonts w:hint="eastAsia"/>
                  </w:rPr>
                  <w:t>期初余额</w:t>
                </w:r>
              </w:p>
            </w:tc>
          </w:sdtContent>
        </w:sdt>
        <w:sdt>
          <w:sdtPr>
            <w:tag w:val="_PLD_98d1ab48f8084264aff0ef3a30e8ba71"/>
            <w:id w:val="-1915240742"/>
          </w:sdtPr>
          <w:sdtContent>
            <w:tc>
              <w:tcPr>
                <w:tcW w:w="1594" w:type="dxa"/>
                <w:tcBorders>
                  <w:top w:val="single" w:sz="4" w:space="0" w:color="auto"/>
                  <w:left w:val="single" w:sz="4" w:space="0" w:color="auto"/>
                  <w:bottom w:val="single" w:sz="4" w:space="0" w:color="auto"/>
                  <w:right w:val="single" w:sz="4" w:space="0" w:color="auto"/>
                </w:tcBorders>
                <w:vAlign w:val="center"/>
              </w:tcPr>
              <w:p w14:paraId="55659387" w14:textId="77777777" w:rsidR="00577D08" w:rsidRDefault="00330FC0">
                <w:pPr>
                  <w:jc w:val="center"/>
                </w:pPr>
                <w:r>
                  <w:rPr>
                    <w:rFonts w:hint="eastAsia"/>
                  </w:rPr>
                  <w:t>本期增加</w:t>
                </w:r>
              </w:p>
            </w:tc>
          </w:sdtContent>
        </w:sdt>
        <w:sdt>
          <w:sdtPr>
            <w:tag w:val="_PLD_e35c4f26db444503b2f9a32896872169"/>
            <w:id w:val="346139968"/>
          </w:sdtPr>
          <w:sdtContent>
            <w:tc>
              <w:tcPr>
                <w:tcW w:w="1608" w:type="dxa"/>
                <w:tcBorders>
                  <w:top w:val="single" w:sz="4" w:space="0" w:color="auto"/>
                  <w:left w:val="single" w:sz="4" w:space="0" w:color="auto"/>
                  <w:bottom w:val="single" w:sz="4" w:space="0" w:color="auto"/>
                  <w:right w:val="single" w:sz="4" w:space="0" w:color="auto"/>
                </w:tcBorders>
                <w:vAlign w:val="center"/>
              </w:tcPr>
              <w:p w14:paraId="34D98C84" w14:textId="77777777" w:rsidR="00577D08" w:rsidRDefault="00330FC0">
                <w:pPr>
                  <w:jc w:val="center"/>
                </w:pPr>
                <w:r>
                  <w:t>本期减少</w:t>
                </w:r>
              </w:p>
            </w:tc>
          </w:sdtContent>
        </w:sdt>
        <w:sdt>
          <w:sdtPr>
            <w:tag w:val="_PLD_e67d191300ac43c2b1b07c1beddfe891"/>
            <w:id w:val="-725064475"/>
          </w:sdtPr>
          <w:sdtContent>
            <w:tc>
              <w:tcPr>
                <w:tcW w:w="1619" w:type="dxa"/>
                <w:tcBorders>
                  <w:top w:val="single" w:sz="4" w:space="0" w:color="auto"/>
                  <w:left w:val="single" w:sz="4" w:space="0" w:color="auto"/>
                  <w:bottom w:val="single" w:sz="4" w:space="0" w:color="auto"/>
                  <w:right w:val="single" w:sz="4" w:space="0" w:color="auto"/>
                </w:tcBorders>
                <w:vAlign w:val="center"/>
              </w:tcPr>
              <w:p w14:paraId="18F08211" w14:textId="77777777" w:rsidR="00577D08" w:rsidRDefault="00330FC0">
                <w:pPr>
                  <w:autoSpaceDE w:val="0"/>
                  <w:autoSpaceDN w:val="0"/>
                  <w:adjustRightInd w:val="0"/>
                  <w:jc w:val="center"/>
                </w:pPr>
                <w:r>
                  <w:rPr>
                    <w:rFonts w:hint="eastAsia"/>
                  </w:rPr>
                  <w:t>期末余额</w:t>
                </w:r>
              </w:p>
            </w:tc>
          </w:sdtContent>
        </w:sdt>
      </w:tr>
      <w:tr w:rsidR="00577D08" w14:paraId="3B79A4AD" w14:textId="77777777">
        <w:tc>
          <w:tcPr>
            <w:tcW w:w="2613" w:type="dxa"/>
            <w:tcBorders>
              <w:top w:val="single" w:sz="4" w:space="0" w:color="auto"/>
              <w:left w:val="single" w:sz="4" w:space="0" w:color="auto"/>
              <w:bottom w:val="single" w:sz="4" w:space="0" w:color="auto"/>
              <w:right w:val="single" w:sz="4" w:space="0" w:color="auto"/>
            </w:tcBorders>
            <w:vAlign w:val="center"/>
          </w:tcPr>
          <w:p w14:paraId="56A8C407" w14:textId="77777777" w:rsidR="00577D08" w:rsidRDefault="00330FC0">
            <w:pPr>
              <w:autoSpaceDE w:val="0"/>
              <w:autoSpaceDN w:val="0"/>
              <w:adjustRightInd w:val="0"/>
            </w:pPr>
            <w:r>
              <w:rPr>
                <w:rFonts w:hint="eastAsia"/>
              </w:rPr>
              <w:t>一、工资、奖金、津贴和补贴</w:t>
            </w:r>
          </w:p>
        </w:tc>
        <w:tc>
          <w:tcPr>
            <w:tcW w:w="1612" w:type="dxa"/>
            <w:tcBorders>
              <w:top w:val="single" w:sz="4" w:space="0" w:color="auto"/>
              <w:left w:val="single" w:sz="4" w:space="0" w:color="auto"/>
              <w:bottom w:val="single" w:sz="4" w:space="0" w:color="auto"/>
              <w:right w:val="single" w:sz="4" w:space="0" w:color="auto"/>
            </w:tcBorders>
            <w:vAlign w:val="center"/>
          </w:tcPr>
          <w:p w14:paraId="23752420" w14:textId="77777777" w:rsidR="00577D08" w:rsidRDefault="00330FC0">
            <w:pPr>
              <w:jc w:val="right"/>
            </w:pPr>
            <w:r>
              <w:t>42,175,278.96</w:t>
            </w:r>
          </w:p>
        </w:tc>
        <w:tc>
          <w:tcPr>
            <w:tcW w:w="1594" w:type="dxa"/>
            <w:tcBorders>
              <w:top w:val="single" w:sz="4" w:space="0" w:color="auto"/>
              <w:left w:val="single" w:sz="4" w:space="0" w:color="auto"/>
              <w:bottom w:val="single" w:sz="4" w:space="0" w:color="auto"/>
              <w:right w:val="single" w:sz="4" w:space="0" w:color="auto"/>
            </w:tcBorders>
            <w:vAlign w:val="center"/>
          </w:tcPr>
          <w:p w14:paraId="5FF7A276" w14:textId="77777777" w:rsidR="00577D08" w:rsidRDefault="00330FC0">
            <w:pPr>
              <w:jc w:val="right"/>
            </w:pPr>
            <w:r>
              <w:t>266,631,346.23</w:t>
            </w:r>
          </w:p>
        </w:tc>
        <w:tc>
          <w:tcPr>
            <w:tcW w:w="1608" w:type="dxa"/>
            <w:tcBorders>
              <w:top w:val="single" w:sz="4" w:space="0" w:color="auto"/>
              <w:left w:val="single" w:sz="4" w:space="0" w:color="auto"/>
              <w:bottom w:val="single" w:sz="4" w:space="0" w:color="auto"/>
              <w:right w:val="single" w:sz="4" w:space="0" w:color="auto"/>
            </w:tcBorders>
            <w:vAlign w:val="center"/>
          </w:tcPr>
          <w:p w14:paraId="3A20639B" w14:textId="77777777" w:rsidR="00577D08" w:rsidRDefault="00330FC0">
            <w:pPr>
              <w:jc w:val="right"/>
            </w:pPr>
            <w:r>
              <w:t>253,053,456.23</w:t>
            </w:r>
          </w:p>
        </w:tc>
        <w:tc>
          <w:tcPr>
            <w:tcW w:w="1619" w:type="dxa"/>
            <w:tcBorders>
              <w:top w:val="single" w:sz="4" w:space="0" w:color="auto"/>
              <w:left w:val="single" w:sz="4" w:space="0" w:color="auto"/>
              <w:bottom w:val="single" w:sz="4" w:space="0" w:color="auto"/>
              <w:right w:val="single" w:sz="4" w:space="0" w:color="auto"/>
            </w:tcBorders>
            <w:vAlign w:val="center"/>
          </w:tcPr>
          <w:p w14:paraId="079A09E1" w14:textId="77777777" w:rsidR="00577D08" w:rsidRDefault="00330FC0">
            <w:pPr>
              <w:jc w:val="right"/>
            </w:pPr>
            <w:r>
              <w:t>55,753,168.96</w:t>
            </w:r>
          </w:p>
        </w:tc>
      </w:tr>
      <w:tr w:rsidR="00577D08" w14:paraId="2FF955D5" w14:textId="77777777">
        <w:tc>
          <w:tcPr>
            <w:tcW w:w="2613" w:type="dxa"/>
            <w:tcBorders>
              <w:top w:val="single" w:sz="4" w:space="0" w:color="auto"/>
              <w:left w:val="single" w:sz="4" w:space="0" w:color="auto"/>
              <w:bottom w:val="single" w:sz="4" w:space="0" w:color="auto"/>
              <w:right w:val="single" w:sz="4" w:space="0" w:color="auto"/>
            </w:tcBorders>
            <w:vAlign w:val="center"/>
          </w:tcPr>
          <w:p w14:paraId="44AF5392" w14:textId="77777777" w:rsidR="00577D08" w:rsidRDefault="00330FC0">
            <w:pPr>
              <w:autoSpaceDE w:val="0"/>
              <w:autoSpaceDN w:val="0"/>
              <w:adjustRightInd w:val="0"/>
            </w:pPr>
            <w:r>
              <w:rPr>
                <w:rFonts w:hint="eastAsia"/>
              </w:rPr>
              <w:t>二、职工福利费</w:t>
            </w:r>
          </w:p>
        </w:tc>
        <w:tc>
          <w:tcPr>
            <w:tcW w:w="1612" w:type="dxa"/>
            <w:tcBorders>
              <w:top w:val="single" w:sz="4" w:space="0" w:color="auto"/>
              <w:left w:val="single" w:sz="4" w:space="0" w:color="auto"/>
              <w:bottom w:val="single" w:sz="4" w:space="0" w:color="auto"/>
              <w:right w:val="single" w:sz="4" w:space="0" w:color="auto"/>
            </w:tcBorders>
            <w:vAlign w:val="center"/>
          </w:tcPr>
          <w:p w14:paraId="1525CFE6" w14:textId="77777777" w:rsidR="00577D08" w:rsidRDefault="00577D08">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66A56572" w14:textId="77777777" w:rsidR="00577D08" w:rsidRDefault="00330FC0">
            <w:pPr>
              <w:jc w:val="right"/>
            </w:pPr>
            <w:r>
              <w:t>15,475,138.55</w:t>
            </w:r>
          </w:p>
        </w:tc>
        <w:tc>
          <w:tcPr>
            <w:tcW w:w="1608" w:type="dxa"/>
            <w:tcBorders>
              <w:top w:val="single" w:sz="4" w:space="0" w:color="auto"/>
              <w:left w:val="single" w:sz="4" w:space="0" w:color="auto"/>
              <w:bottom w:val="single" w:sz="4" w:space="0" w:color="auto"/>
              <w:right w:val="single" w:sz="4" w:space="0" w:color="auto"/>
            </w:tcBorders>
            <w:vAlign w:val="center"/>
          </w:tcPr>
          <w:p w14:paraId="7231BDC6" w14:textId="77777777" w:rsidR="00577D08" w:rsidRDefault="00330FC0">
            <w:pPr>
              <w:jc w:val="right"/>
            </w:pPr>
            <w:r>
              <w:t>15,475,138.55</w:t>
            </w:r>
          </w:p>
        </w:tc>
        <w:tc>
          <w:tcPr>
            <w:tcW w:w="1619" w:type="dxa"/>
            <w:tcBorders>
              <w:top w:val="single" w:sz="4" w:space="0" w:color="auto"/>
              <w:left w:val="single" w:sz="4" w:space="0" w:color="auto"/>
              <w:bottom w:val="single" w:sz="4" w:space="0" w:color="auto"/>
              <w:right w:val="single" w:sz="4" w:space="0" w:color="auto"/>
            </w:tcBorders>
            <w:vAlign w:val="center"/>
          </w:tcPr>
          <w:p w14:paraId="794A3C54" w14:textId="77777777" w:rsidR="00577D08" w:rsidRDefault="00577D08">
            <w:pPr>
              <w:jc w:val="right"/>
            </w:pPr>
          </w:p>
        </w:tc>
      </w:tr>
      <w:tr w:rsidR="00577D08" w14:paraId="7B70548D" w14:textId="77777777">
        <w:tc>
          <w:tcPr>
            <w:tcW w:w="2613" w:type="dxa"/>
            <w:tcBorders>
              <w:top w:val="single" w:sz="4" w:space="0" w:color="auto"/>
              <w:left w:val="single" w:sz="4" w:space="0" w:color="auto"/>
              <w:bottom w:val="single" w:sz="4" w:space="0" w:color="auto"/>
              <w:right w:val="single" w:sz="4" w:space="0" w:color="auto"/>
            </w:tcBorders>
            <w:vAlign w:val="center"/>
          </w:tcPr>
          <w:p w14:paraId="0B5E94D7" w14:textId="77777777" w:rsidR="00577D08" w:rsidRDefault="00330FC0">
            <w:pPr>
              <w:autoSpaceDE w:val="0"/>
              <w:autoSpaceDN w:val="0"/>
              <w:adjustRightInd w:val="0"/>
            </w:pPr>
            <w:r>
              <w:rPr>
                <w:rFonts w:hint="eastAsia"/>
              </w:rPr>
              <w:t>三、社会保险费</w:t>
            </w:r>
          </w:p>
        </w:tc>
        <w:tc>
          <w:tcPr>
            <w:tcW w:w="1612" w:type="dxa"/>
            <w:tcBorders>
              <w:top w:val="single" w:sz="4" w:space="0" w:color="auto"/>
              <w:left w:val="single" w:sz="4" w:space="0" w:color="auto"/>
              <w:bottom w:val="single" w:sz="4" w:space="0" w:color="auto"/>
              <w:right w:val="single" w:sz="4" w:space="0" w:color="auto"/>
            </w:tcBorders>
            <w:vAlign w:val="center"/>
          </w:tcPr>
          <w:p w14:paraId="4680A205" w14:textId="77777777" w:rsidR="00577D08" w:rsidRDefault="00577D08">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4FD47035" w14:textId="77777777" w:rsidR="00577D08" w:rsidRDefault="00330FC0">
            <w:pPr>
              <w:jc w:val="right"/>
            </w:pPr>
            <w:r>
              <w:t>16,601,017.84</w:t>
            </w:r>
          </w:p>
        </w:tc>
        <w:tc>
          <w:tcPr>
            <w:tcW w:w="1608" w:type="dxa"/>
            <w:tcBorders>
              <w:top w:val="single" w:sz="4" w:space="0" w:color="auto"/>
              <w:left w:val="single" w:sz="4" w:space="0" w:color="auto"/>
              <w:bottom w:val="single" w:sz="4" w:space="0" w:color="auto"/>
              <w:right w:val="single" w:sz="4" w:space="0" w:color="auto"/>
            </w:tcBorders>
            <w:vAlign w:val="center"/>
          </w:tcPr>
          <w:p w14:paraId="23E18BA7" w14:textId="77777777" w:rsidR="00577D08" w:rsidRDefault="00330FC0">
            <w:pPr>
              <w:jc w:val="right"/>
            </w:pPr>
            <w:r>
              <w:t>16,596,889.63</w:t>
            </w:r>
          </w:p>
        </w:tc>
        <w:tc>
          <w:tcPr>
            <w:tcW w:w="1619" w:type="dxa"/>
            <w:tcBorders>
              <w:top w:val="single" w:sz="4" w:space="0" w:color="auto"/>
              <w:left w:val="single" w:sz="4" w:space="0" w:color="auto"/>
              <w:bottom w:val="single" w:sz="4" w:space="0" w:color="auto"/>
              <w:right w:val="single" w:sz="4" w:space="0" w:color="auto"/>
            </w:tcBorders>
            <w:vAlign w:val="center"/>
          </w:tcPr>
          <w:p w14:paraId="1EB75CD0" w14:textId="77777777" w:rsidR="00577D08" w:rsidRDefault="00330FC0">
            <w:pPr>
              <w:jc w:val="right"/>
            </w:pPr>
            <w:r>
              <w:t>4,128.21</w:t>
            </w:r>
          </w:p>
        </w:tc>
      </w:tr>
      <w:tr w:rsidR="00577D08" w14:paraId="00E38715" w14:textId="77777777">
        <w:tc>
          <w:tcPr>
            <w:tcW w:w="2613" w:type="dxa"/>
            <w:tcBorders>
              <w:top w:val="single" w:sz="4" w:space="0" w:color="auto"/>
              <w:left w:val="single" w:sz="4" w:space="0" w:color="auto"/>
              <w:bottom w:val="single" w:sz="4" w:space="0" w:color="auto"/>
              <w:right w:val="single" w:sz="4" w:space="0" w:color="auto"/>
            </w:tcBorders>
            <w:vAlign w:val="center"/>
          </w:tcPr>
          <w:p w14:paraId="1F689FE2" w14:textId="77777777" w:rsidR="00577D08" w:rsidRDefault="00330FC0">
            <w:pPr>
              <w:rPr>
                <w:color w:val="008000"/>
              </w:rPr>
            </w:pPr>
            <w:r>
              <w:rPr>
                <w:rFonts w:hint="eastAsia"/>
              </w:rPr>
              <w:t>其中：</w:t>
            </w:r>
            <w:r>
              <w:t>医疗保险费</w:t>
            </w:r>
          </w:p>
        </w:tc>
        <w:tc>
          <w:tcPr>
            <w:tcW w:w="1612" w:type="dxa"/>
            <w:tcBorders>
              <w:top w:val="single" w:sz="4" w:space="0" w:color="auto"/>
              <w:left w:val="single" w:sz="4" w:space="0" w:color="auto"/>
              <w:bottom w:val="single" w:sz="4" w:space="0" w:color="auto"/>
              <w:right w:val="single" w:sz="4" w:space="0" w:color="auto"/>
            </w:tcBorders>
            <w:vAlign w:val="center"/>
          </w:tcPr>
          <w:p w14:paraId="0BCA61EB" w14:textId="77777777" w:rsidR="00577D08" w:rsidRDefault="00577D08">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6E1B2C6A" w14:textId="77777777" w:rsidR="00577D08" w:rsidRDefault="00330FC0">
            <w:pPr>
              <w:jc w:val="right"/>
            </w:pPr>
            <w:r>
              <w:t>14,165,620.05</w:t>
            </w:r>
          </w:p>
        </w:tc>
        <w:tc>
          <w:tcPr>
            <w:tcW w:w="1608" w:type="dxa"/>
            <w:tcBorders>
              <w:top w:val="single" w:sz="4" w:space="0" w:color="auto"/>
              <w:left w:val="single" w:sz="4" w:space="0" w:color="auto"/>
              <w:bottom w:val="single" w:sz="4" w:space="0" w:color="auto"/>
              <w:right w:val="single" w:sz="4" w:space="0" w:color="auto"/>
            </w:tcBorders>
            <w:vAlign w:val="center"/>
          </w:tcPr>
          <w:p w14:paraId="2383D99E" w14:textId="77777777" w:rsidR="00577D08" w:rsidRDefault="00330FC0">
            <w:pPr>
              <w:jc w:val="right"/>
            </w:pPr>
            <w:r>
              <w:t>14,161,491.84</w:t>
            </w:r>
          </w:p>
        </w:tc>
        <w:tc>
          <w:tcPr>
            <w:tcW w:w="1619" w:type="dxa"/>
            <w:tcBorders>
              <w:top w:val="single" w:sz="4" w:space="0" w:color="auto"/>
              <w:left w:val="single" w:sz="4" w:space="0" w:color="auto"/>
              <w:bottom w:val="single" w:sz="4" w:space="0" w:color="auto"/>
              <w:right w:val="single" w:sz="4" w:space="0" w:color="auto"/>
            </w:tcBorders>
            <w:vAlign w:val="center"/>
          </w:tcPr>
          <w:p w14:paraId="144046A9" w14:textId="77777777" w:rsidR="00577D08" w:rsidRDefault="00330FC0">
            <w:pPr>
              <w:jc w:val="right"/>
            </w:pPr>
            <w:r>
              <w:t>4,128.21</w:t>
            </w:r>
          </w:p>
        </w:tc>
      </w:tr>
      <w:tr w:rsidR="00577D08" w14:paraId="0BCF8E9F" w14:textId="77777777">
        <w:tc>
          <w:tcPr>
            <w:tcW w:w="2613" w:type="dxa"/>
            <w:tcBorders>
              <w:top w:val="single" w:sz="4" w:space="0" w:color="auto"/>
              <w:left w:val="single" w:sz="4" w:space="0" w:color="auto"/>
              <w:bottom w:val="single" w:sz="4" w:space="0" w:color="auto"/>
              <w:right w:val="single" w:sz="4" w:space="0" w:color="auto"/>
            </w:tcBorders>
            <w:vAlign w:val="center"/>
          </w:tcPr>
          <w:p w14:paraId="33C1E142" w14:textId="77777777" w:rsidR="00577D08" w:rsidRDefault="00330FC0">
            <w:pPr>
              <w:ind w:firstLineChars="300" w:firstLine="630"/>
            </w:pPr>
            <w:r>
              <w:rPr>
                <w:rFonts w:hint="eastAsia"/>
              </w:rPr>
              <w:t>工伤保险费</w:t>
            </w:r>
          </w:p>
        </w:tc>
        <w:tc>
          <w:tcPr>
            <w:tcW w:w="1612" w:type="dxa"/>
            <w:tcBorders>
              <w:top w:val="single" w:sz="4" w:space="0" w:color="auto"/>
              <w:left w:val="single" w:sz="4" w:space="0" w:color="auto"/>
              <w:bottom w:val="single" w:sz="4" w:space="0" w:color="auto"/>
              <w:right w:val="single" w:sz="4" w:space="0" w:color="auto"/>
            </w:tcBorders>
            <w:vAlign w:val="center"/>
          </w:tcPr>
          <w:p w14:paraId="2FEB7666" w14:textId="77777777" w:rsidR="00577D08" w:rsidRDefault="00577D08">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7729E8BA" w14:textId="77777777" w:rsidR="00577D08" w:rsidRDefault="00330FC0">
            <w:pPr>
              <w:jc w:val="right"/>
            </w:pPr>
            <w:r>
              <w:t>2,435,397.79</w:t>
            </w:r>
          </w:p>
        </w:tc>
        <w:tc>
          <w:tcPr>
            <w:tcW w:w="1608" w:type="dxa"/>
            <w:tcBorders>
              <w:top w:val="single" w:sz="4" w:space="0" w:color="auto"/>
              <w:left w:val="single" w:sz="4" w:space="0" w:color="auto"/>
              <w:bottom w:val="single" w:sz="4" w:space="0" w:color="auto"/>
              <w:right w:val="single" w:sz="4" w:space="0" w:color="auto"/>
            </w:tcBorders>
            <w:vAlign w:val="center"/>
          </w:tcPr>
          <w:p w14:paraId="1DD21C93" w14:textId="77777777" w:rsidR="00577D08" w:rsidRDefault="00330FC0">
            <w:pPr>
              <w:jc w:val="right"/>
            </w:pPr>
            <w:r>
              <w:t>2,435,397.79</w:t>
            </w:r>
          </w:p>
        </w:tc>
        <w:tc>
          <w:tcPr>
            <w:tcW w:w="1619" w:type="dxa"/>
            <w:tcBorders>
              <w:top w:val="single" w:sz="4" w:space="0" w:color="auto"/>
              <w:left w:val="single" w:sz="4" w:space="0" w:color="auto"/>
              <w:bottom w:val="single" w:sz="4" w:space="0" w:color="auto"/>
              <w:right w:val="single" w:sz="4" w:space="0" w:color="auto"/>
            </w:tcBorders>
            <w:vAlign w:val="center"/>
          </w:tcPr>
          <w:p w14:paraId="209EEBFA" w14:textId="77777777" w:rsidR="00577D08" w:rsidRDefault="00577D08">
            <w:pPr>
              <w:jc w:val="right"/>
            </w:pPr>
          </w:p>
        </w:tc>
      </w:tr>
      <w:tr w:rsidR="00577D08" w14:paraId="79E27BA1" w14:textId="77777777">
        <w:tc>
          <w:tcPr>
            <w:tcW w:w="2613" w:type="dxa"/>
            <w:tcBorders>
              <w:top w:val="single" w:sz="4" w:space="0" w:color="auto"/>
              <w:left w:val="single" w:sz="4" w:space="0" w:color="auto"/>
              <w:bottom w:val="single" w:sz="4" w:space="0" w:color="auto"/>
              <w:right w:val="single" w:sz="4" w:space="0" w:color="auto"/>
            </w:tcBorders>
            <w:vAlign w:val="center"/>
          </w:tcPr>
          <w:p w14:paraId="349F111A" w14:textId="77777777" w:rsidR="00577D08" w:rsidRDefault="00330FC0">
            <w:pPr>
              <w:ind w:firstLineChars="300" w:firstLine="630"/>
            </w:pPr>
            <w:r>
              <w:rPr>
                <w:rFonts w:hint="eastAsia"/>
              </w:rPr>
              <w:t>生育保险费</w:t>
            </w:r>
          </w:p>
        </w:tc>
        <w:tc>
          <w:tcPr>
            <w:tcW w:w="1612" w:type="dxa"/>
            <w:tcBorders>
              <w:top w:val="single" w:sz="4" w:space="0" w:color="auto"/>
              <w:left w:val="single" w:sz="4" w:space="0" w:color="auto"/>
              <w:bottom w:val="single" w:sz="4" w:space="0" w:color="auto"/>
              <w:right w:val="single" w:sz="4" w:space="0" w:color="auto"/>
            </w:tcBorders>
            <w:vAlign w:val="center"/>
          </w:tcPr>
          <w:p w14:paraId="555FD3C8" w14:textId="77777777" w:rsidR="00577D08" w:rsidRDefault="00577D08">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584C887B" w14:textId="77777777" w:rsidR="00577D08" w:rsidRDefault="00577D08">
            <w:pPr>
              <w:jc w:val="right"/>
            </w:pPr>
          </w:p>
        </w:tc>
        <w:tc>
          <w:tcPr>
            <w:tcW w:w="1608" w:type="dxa"/>
            <w:tcBorders>
              <w:top w:val="single" w:sz="4" w:space="0" w:color="auto"/>
              <w:left w:val="single" w:sz="4" w:space="0" w:color="auto"/>
              <w:bottom w:val="single" w:sz="4" w:space="0" w:color="auto"/>
              <w:right w:val="single" w:sz="4" w:space="0" w:color="auto"/>
            </w:tcBorders>
            <w:vAlign w:val="center"/>
          </w:tcPr>
          <w:p w14:paraId="0B1CB4F2" w14:textId="77777777" w:rsidR="00577D08" w:rsidRDefault="00577D08">
            <w:pPr>
              <w:jc w:val="right"/>
            </w:pPr>
          </w:p>
        </w:tc>
        <w:tc>
          <w:tcPr>
            <w:tcW w:w="1619" w:type="dxa"/>
            <w:tcBorders>
              <w:top w:val="single" w:sz="4" w:space="0" w:color="auto"/>
              <w:left w:val="single" w:sz="4" w:space="0" w:color="auto"/>
              <w:bottom w:val="single" w:sz="4" w:space="0" w:color="auto"/>
              <w:right w:val="single" w:sz="4" w:space="0" w:color="auto"/>
            </w:tcBorders>
            <w:vAlign w:val="center"/>
          </w:tcPr>
          <w:p w14:paraId="67566EB8" w14:textId="77777777" w:rsidR="00577D08" w:rsidRDefault="00577D08">
            <w:pPr>
              <w:jc w:val="right"/>
            </w:pPr>
          </w:p>
        </w:tc>
      </w:tr>
      <w:tr w:rsidR="00577D08" w14:paraId="7BE0944A" w14:textId="77777777">
        <w:tc>
          <w:tcPr>
            <w:tcW w:w="2613" w:type="dxa"/>
            <w:tcBorders>
              <w:top w:val="single" w:sz="4" w:space="0" w:color="auto"/>
              <w:left w:val="single" w:sz="4" w:space="0" w:color="auto"/>
              <w:bottom w:val="single" w:sz="4" w:space="0" w:color="auto"/>
              <w:right w:val="single" w:sz="4" w:space="0" w:color="auto"/>
            </w:tcBorders>
            <w:vAlign w:val="center"/>
          </w:tcPr>
          <w:p w14:paraId="00ADDA2F" w14:textId="77777777" w:rsidR="00577D08" w:rsidRDefault="00330FC0">
            <w:pPr>
              <w:autoSpaceDE w:val="0"/>
              <w:autoSpaceDN w:val="0"/>
              <w:adjustRightInd w:val="0"/>
            </w:pPr>
            <w:r>
              <w:rPr>
                <w:rFonts w:hint="eastAsia"/>
              </w:rPr>
              <w:t>四、住房公积金</w:t>
            </w:r>
          </w:p>
        </w:tc>
        <w:tc>
          <w:tcPr>
            <w:tcW w:w="1612" w:type="dxa"/>
            <w:tcBorders>
              <w:top w:val="single" w:sz="4" w:space="0" w:color="auto"/>
              <w:left w:val="single" w:sz="4" w:space="0" w:color="auto"/>
              <w:bottom w:val="single" w:sz="4" w:space="0" w:color="auto"/>
              <w:right w:val="single" w:sz="4" w:space="0" w:color="auto"/>
            </w:tcBorders>
            <w:vAlign w:val="center"/>
          </w:tcPr>
          <w:p w14:paraId="2897F8F2" w14:textId="77777777" w:rsidR="00577D08" w:rsidRDefault="00330FC0">
            <w:pPr>
              <w:jc w:val="right"/>
            </w:pPr>
            <w:r>
              <w:t>167,384.13</w:t>
            </w:r>
          </w:p>
        </w:tc>
        <w:tc>
          <w:tcPr>
            <w:tcW w:w="1594" w:type="dxa"/>
            <w:tcBorders>
              <w:top w:val="single" w:sz="4" w:space="0" w:color="auto"/>
              <w:left w:val="single" w:sz="4" w:space="0" w:color="auto"/>
              <w:bottom w:val="single" w:sz="4" w:space="0" w:color="auto"/>
              <w:right w:val="single" w:sz="4" w:space="0" w:color="auto"/>
            </w:tcBorders>
            <w:vAlign w:val="center"/>
          </w:tcPr>
          <w:p w14:paraId="69361469" w14:textId="77777777" w:rsidR="00577D08" w:rsidRDefault="00330FC0">
            <w:pPr>
              <w:jc w:val="right"/>
            </w:pPr>
            <w:r>
              <w:t>9,933,395.50</w:t>
            </w:r>
          </w:p>
        </w:tc>
        <w:tc>
          <w:tcPr>
            <w:tcW w:w="1608" w:type="dxa"/>
            <w:tcBorders>
              <w:top w:val="single" w:sz="4" w:space="0" w:color="auto"/>
              <w:left w:val="single" w:sz="4" w:space="0" w:color="auto"/>
              <w:bottom w:val="single" w:sz="4" w:space="0" w:color="auto"/>
              <w:right w:val="single" w:sz="4" w:space="0" w:color="auto"/>
            </w:tcBorders>
            <w:vAlign w:val="center"/>
          </w:tcPr>
          <w:p w14:paraId="5AB9E3D6" w14:textId="77777777" w:rsidR="00577D08" w:rsidRDefault="00330FC0">
            <w:pPr>
              <w:jc w:val="right"/>
            </w:pPr>
            <w:r>
              <w:t>9,930,865.50</w:t>
            </w:r>
          </w:p>
        </w:tc>
        <w:tc>
          <w:tcPr>
            <w:tcW w:w="1619" w:type="dxa"/>
            <w:tcBorders>
              <w:top w:val="single" w:sz="4" w:space="0" w:color="auto"/>
              <w:left w:val="single" w:sz="4" w:space="0" w:color="auto"/>
              <w:bottom w:val="single" w:sz="4" w:space="0" w:color="auto"/>
              <w:right w:val="single" w:sz="4" w:space="0" w:color="auto"/>
            </w:tcBorders>
            <w:vAlign w:val="center"/>
          </w:tcPr>
          <w:p w14:paraId="28666940" w14:textId="77777777" w:rsidR="00577D08" w:rsidRDefault="00330FC0">
            <w:pPr>
              <w:jc w:val="right"/>
            </w:pPr>
            <w:r>
              <w:t>169,914.13</w:t>
            </w:r>
          </w:p>
        </w:tc>
      </w:tr>
      <w:tr w:rsidR="00577D08" w14:paraId="0189C59F" w14:textId="77777777">
        <w:tc>
          <w:tcPr>
            <w:tcW w:w="2613" w:type="dxa"/>
            <w:tcBorders>
              <w:top w:val="single" w:sz="4" w:space="0" w:color="auto"/>
              <w:left w:val="single" w:sz="4" w:space="0" w:color="auto"/>
              <w:bottom w:val="single" w:sz="4" w:space="0" w:color="auto"/>
              <w:right w:val="single" w:sz="4" w:space="0" w:color="auto"/>
            </w:tcBorders>
            <w:vAlign w:val="center"/>
          </w:tcPr>
          <w:p w14:paraId="71A5C521" w14:textId="77777777" w:rsidR="00577D08" w:rsidRDefault="00330FC0">
            <w:pPr>
              <w:autoSpaceDE w:val="0"/>
              <w:autoSpaceDN w:val="0"/>
              <w:adjustRightInd w:val="0"/>
            </w:pPr>
            <w:r>
              <w:rPr>
                <w:rFonts w:hint="eastAsia"/>
              </w:rPr>
              <w:t>五、工会经费和职工教育经费</w:t>
            </w:r>
          </w:p>
        </w:tc>
        <w:tc>
          <w:tcPr>
            <w:tcW w:w="1612" w:type="dxa"/>
            <w:tcBorders>
              <w:top w:val="single" w:sz="4" w:space="0" w:color="auto"/>
              <w:left w:val="single" w:sz="4" w:space="0" w:color="auto"/>
              <w:bottom w:val="single" w:sz="4" w:space="0" w:color="auto"/>
              <w:right w:val="single" w:sz="4" w:space="0" w:color="auto"/>
            </w:tcBorders>
            <w:vAlign w:val="center"/>
          </w:tcPr>
          <w:p w14:paraId="7F8872B4" w14:textId="77777777" w:rsidR="00577D08" w:rsidRDefault="00330FC0">
            <w:pPr>
              <w:jc w:val="right"/>
            </w:pPr>
            <w:r>
              <w:t>661,916.45</w:t>
            </w:r>
          </w:p>
        </w:tc>
        <w:tc>
          <w:tcPr>
            <w:tcW w:w="1594" w:type="dxa"/>
            <w:tcBorders>
              <w:top w:val="single" w:sz="4" w:space="0" w:color="auto"/>
              <w:left w:val="single" w:sz="4" w:space="0" w:color="auto"/>
              <w:bottom w:val="single" w:sz="4" w:space="0" w:color="auto"/>
              <w:right w:val="single" w:sz="4" w:space="0" w:color="auto"/>
            </w:tcBorders>
            <w:vAlign w:val="center"/>
          </w:tcPr>
          <w:p w14:paraId="30A55D00" w14:textId="77777777" w:rsidR="00577D08" w:rsidRDefault="00330FC0">
            <w:pPr>
              <w:jc w:val="right"/>
            </w:pPr>
            <w:r>
              <w:t>5,700,969.08</w:t>
            </w:r>
          </w:p>
        </w:tc>
        <w:tc>
          <w:tcPr>
            <w:tcW w:w="1608" w:type="dxa"/>
            <w:tcBorders>
              <w:top w:val="single" w:sz="4" w:space="0" w:color="auto"/>
              <w:left w:val="single" w:sz="4" w:space="0" w:color="auto"/>
              <w:bottom w:val="single" w:sz="4" w:space="0" w:color="auto"/>
              <w:right w:val="single" w:sz="4" w:space="0" w:color="auto"/>
            </w:tcBorders>
            <w:vAlign w:val="center"/>
          </w:tcPr>
          <w:p w14:paraId="52ED9B58" w14:textId="77777777" w:rsidR="00577D08" w:rsidRDefault="00330FC0">
            <w:pPr>
              <w:jc w:val="right"/>
            </w:pPr>
            <w:r>
              <w:t>4,281,590.90</w:t>
            </w:r>
          </w:p>
        </w:tc>
        <w:tc>
          <w:tcPr>
            <w:tcW w:w="1619" w:type="dxa"/>
            <w:tcBorders>
              <w:top w:val="single" w:sz="4" w:space="0" w:color="auto"/>
              <w:left w:val="single" w:sz="4" w:space="0" w:color="auto"/>
              <w:bottom w:val="single" w:sz="4" w:space="0" w:color="auto"/>
              <w:right w:val="single" w:sz="4" w:space="0" w:color="auto"/>
            </w:tcBorders>
            <w:vAlign w:val="center"/>
          </w:tcPr>
          <w:p w14:paraId="006D70B7" w14:textId="77777777" w:rsidR="00577D08" w:rsidRDefault="00330FC0">
            <w:pPr>
              <w:jc w:val="right"/>
            </w:pPr>
            <w:r>
              <w:t>2,081,294.63</w:t>
            </w:r>
          </w:p>
        </w:tc>
      </w:tr>
      <w:tr w:rsidR="00577D08" w14:paraId="7468FBB1" w14:textId="77777777">
        <w:tc>
          <w:tcPr>
            <w:tcW w:w="2613" w:type="dxa"/>
            <w:tcBorders>
              <w:top w:val="single" w:sz="4" w:space="0" w:color="auto"/>
              <w:left w:val="single" w:sz="4" w:space="0" w:color="auto"/>
              <w:bottom w:val="single" w:sz="4" w:space="0" w:color="auto"/>
              <w:right w:val="single" w:sz="4" w:space="0" w:color="auto"/>
            </w:tcBorders>
            <w:vAlign w:val="center"/>
          </w:tcPr>
          <w:p w14:paraId="1D6F0D87" w14:textId="77777777" w:rsidR="00577D08" w:rsidRDefault="00330FC0">
            <w:pPr>
              <w:autoSpaceDE w:val="0"/>
              <w:autoSpaceDN w:val="0"/>
              <w:adjustRightInd w:val="0"/>
            </w:pPr>
            <w:r>
              <w:rPr>
                <w:rFonts w:hint="eastAsia"/>
              </w:rPr>
              <w:t>六、短期带薪缺勤</w:t>
            </w:r>
          </w:p>
        </w:tc>
        <w:tc>
          <w:tcPr>
            <w:tcW w:w="1612" w:type="dxa"/>
            <w:tcBorders>
              <w:top w:val="single" w:sz="4" w:space="0" w:color="auto"/>
              <w:left w:val="single" w:sz="4" w:space="0" w:color="auto"/>
              <w:bottom w:val="single" w:sz="4" w:space="0" w:color="auto"/>
              <w:right w:val="single" w:sz="4" w:space="0" w:color="auto"/>
            </w:tcBorders>
            <w:vAlign w:val="center"/>
          </w:tcPr>
          <w:p w14:paraId="4866ABD3" w14:textId="77777777" w:rsidR="00577D08" w:rsidRDefault="00577D08">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25DA9C8D" w14:textId="77777777" w:rsidR="00577D08" w:rsidRDefault="00577D08">
            <w:pPr>
              <w:jc w:val="right"/>
            </w:pPr>
          </w:p>
        </w:tc>
        <w:tc>
          <w:tcPr>
            <w:tcW w:w="1608" w:type="dxa"/>
            <w:tcBorders>
              <w:top w:val="single" w:sz="4" w:space="0" w:color="auto"/>
              <w:left w:val="single" w:sz="4" w:space="0" w:color="auto"/>
              <w:bottom w:val="single" w:sz="4" w:space="0" w:color="auto"/>
              <w:right w:val="single" w:sz="4" w:space="0" w:color="auto"/>
            </w:tcBorders>
            <w:vAlign w:val="center"/>
          </w:tcPr>
          <w:p w14:paraId="4EB495C1" w14:textId="77777777" w:rsidR="00577D08" w:rsidRDefault="00577D08">
            <w:pPr>
              <w:jc w:val="right"/>
            </w:pPr>
          </w:p>
        </w:tc>
        <w:tc>
          <w:tcPr>
            <w:tcW w:w="1619" w:type="dxa"/>
            <w:tcBorders>
              <w:top w:val="single" w:sz="4" w:space="0" w:color="auto"/>
              <w:left w:val="single" w:sz="4" w:space="0" w:color="auto"/>
              <w:bottom w:val="single" w:sz="4" w:space="0" w:color="auto"/>
              <w:right w:val="single" w:sz="4" w:space="0" w:color="auto"/>
            </w:tcBorders>
            <w:vAlign w:val="center"/>
          </w:tcPr>
          <w:p w14:paraId="00E1E05D" w14:textId="77777777" w:rsidR="00577D08" w:rsidRDefault="00577D08">
            <w:pPr>
              <w:jc w:val="right"/>
            </w:pPr>
          </w:p>
        </w:tc>
      </w:tr>
      <w:tr w:rsidR="00577D08" w14:paraId="584F1A7A" w14:textId="77777777">
        <w:tc>
          <w:tcPr>
            <w:tcW w:w="2613" w:type="dxa"/>
            <w:tcBorders>
              <w:top w:val="single" w:sz="4" w:space="0" w:color="auto"/>
              <w:left w:val="single" w:sz="4" w:space="0" w:color="auto"/>
              <w:bottom w:val="single" w:sz="4" w:space="0" w:color="auto"/>
              <w:right w:val="single" w:sz="4" w:space="0" w:color="auto"/>
            </w:tcBorders>
            <w:vAlign w:val="center"/>
          </w:tcPr>
          <w:p w14:paraId="7A8CA012" w14:textId="77777777" w:rsidR="00577D08" w:rsidRDefault="00330FC0">
            <w:pPr>
              <w:autoSpaceDE w:val="0"/>
              <w:autoSpaceDN w:val="0"/>
              <w:adjustRightInd w:val="0"/>
            </w:pPr>
            <w:r>
              <w:rPr>
                <w:rFonts w:hint="eastAsia"/>
              </w:rPr>
              <w:t>七、短期利润分享计划</w:t>
            </w:r>
          </w:p>
        </w:tc>
        <w:tc>
          <w:tcPr>
            <w:tcW w:w="1612" w:type="dxa"/>
            <w:tcBorders>
              <w:top w:val="single" w:sz="4" w:space="0" w:color="auto"/>
              <w:left w:val="single" w:sz="4" w:space="0" w:color="auto"/>
              <w:bottom w:val="single" w:sz="4" w:space="0" w:color="auto"/>
              <w:right w:val="single" w:sz="4" w:space="0" w:color="auto"/>
            </w:tcBorders>
            <w:vAlign w:val="center"/>
          </w:tcPr>
          <w:p w14:paraId="7FE5D822" w14:textId="77777777" w:rsidR="00577D08" w:rsidRDefault="00577D08">
            <w:pPr>
              <w:jc w:val="right"/>
            </w:pPr>
          </w:p>
        </w:tc>
        <w:tc>
          <w:tcPr>
            <w:tcW w:w="1594" w:type="dxa"/>
            <w:tcBorders>
              <w:top w:val="single" w:sz="4" w:space="0" w:color="auto"/>
              <w:left w:val="single" w:sz="4" w:space="0" w:color="auto"/>
              <w:bottom w:val="single" w:sz="4" w:space="0" w:color="auto"/>
              <w:right w:val="single" w:sz="4" w:space="0" w:color="auto"/>
            </w:tcBorders>
            <w:vAlign w:val="center"/>
          </w:tcPr>
          <w:p w14:paraId="2FA18B76" w14:textId="77777777" w:rsidR="00577D08" w:rsidRDefault="00577D08">
            <w:pPr>
              <w:jc w:val="right"/>
            </w:pPr>
          </w:p>
        </w:tc>
        <w:tc>
          <w:tcPr>
            <w:tcW w:w="1608" w:type="dxa"/>
            <w:tcBorders>
              <w:top w:val="single" w:sz="4" w:space="0" w:color="auto"/>
              <w:left w:val="single" w:sz="4" w:space="0" w:color="auto"/>
              <w:bottom w:val="single" w:sz="4" w:space="0" w:color="auto"/>
              <w:right w:val="single" w:sz="4" w:space="0" w:color="auto"/>
            </w:tcBorders>
            <w:vAlign w:val="center"/>
          </w:tcPr>
          <w:p w14:paraId="636FF220" w14:textId="77777777" w:rsidR="00577D08" w:rsidRDefault="00577D08">
            <w:pPr>
              <w:jc w:val="right"/>
            </w:pPr>
          </w:p>
        </w:tc>
        <w:tc>
          <w:tcPr>
            <w:tcW w:w="1619" w:type="dxa"/>
            <w:tcBorders>
              <w:top w:val="single" w:sz="4" w:space="0" w:color="auto"/>
              <w:left w:val="single" w:sz="4" w:space="0" w:color="auto"/>
              <w:bottom w:val="single" w:sz="4" w:space="0" w:color="auto"/>
              <w:right w:val="single" w:sz="4" w:space="0" w:color="auto"/>
            </w:tcBorders>
            <w:vAlign w:val="center"/>
          </w:tcPr>
          <w:p w14:paraId="58A8A1AC" w14:textId="77777777" w:rsidR="00577D08" w:rsidRDefault="00577D08">
            <w:pPr>
              <w:jc w:val="right"/>
            </w:pPr>
          </w:p>
        </w:tc>
      </w:tr>
      <w:tr w:rsidR="00577D08" w14:paraId="31BCDF6D" w14:textId="77777777">
        <w:tc>
          <w:tcPr>
            <w:tcW w:w="2613" w:type="dxa"/>
            <w:tcBorders>
              <w:top w:val="single" w:sz="4" w:space="0" w:color="auto"/>
              <w:left w:val="single" w:sz="4" w:space="0" w:color="auto"/>
              <w:bottom w:val="single" w:sz="4" w:space="0" w:color="auto"/>
              <w:right w:val="single" w:sz="4" w:space="0" w:color="auto"/>
            </w:tcBorders>
            <w:vAlign w:val="center"/>
          </w:tcPr>
          <w:p w14:paraId="6DB78FBC" w14:textId="77777777" w:rsidR="00577D08" w:rsidRDefault="00330FC0">
            <w:pPr>
              <w:autoSpaceDE w:val="0"/>
              <w:autoSpaceDN w:val="0"/>
              <w:adjustRightInd w:val="0"/>
              <w:jc w:val="center"/>
            </w:pPr>
            <w:r>
              <w:rPr>
                <w:rFonts w:hint="eastAsia"/>
              </w:rPr>
              <w:t>合计</w:t>
            </w:r>
          </w:p>
        </w:tc>
        <w:tc>
          <w:tcPr>
            <w:tcW w:w="1612" w:type="dxa"/>
            <w:tcBorders>
              <w:top w:val="single" w:sz="4" w:space="0" w:color="auto"/>
              <w:left w:val="single" w:sz="4" w:space="0" w:color="auto"/>
              <w:bottom w:val="single" w:sz="4" w:space="0" w:color="auto"/>
              <w:right w:val="single" w:sz="4" w:space="0" w:color="auto"/>
            </w:tcBorders>
            <w:vAlign w:val="center"/>
          </w:tcPr>
          <w:p w14:paraId="36122233" w14:textId="77777777" w:rsidR="00577D08" w:rsidRDefault="00330FC0">
            <w:pPr>
              <w:jc w:val="right"/>
            </w:pPr>
            <w:r>
              <w:t>43,004,579.54</w:t>
            </w:r>
          </w:p>
        </w:tc>
        <w:tc>
          <w:tcPr>
            <w:tcW w:w="1594" w:type="dxa"/>
            <w:tcBorders>
              <w:top w:val="single" w:sz="4" w:space="0" w:color="auto"/>
              <w:left w:val="single" w:sz="4" w:space="0" w:color="auto"/>
              <w:bottom w:val="single" w:sz="4" w:space="0" w:color="auto"/>
              <w:right w:val="single" w:sz="4" w:space="0" w:color="auto"/>
            </w:tcBorders>
            <w:vAlign w:val="center"/>
          </w:tcPr>
          <w:p w14:paraId="70B6BE97" w14:textId="77777777" w:rsidR="00577D08" w:rsidRDefault="00330FC0">
            <w:pPr>
              <w:jc w:val="right"/>
            </w:pPr>
            <w:r>
              <w:t>314,341,867.20</w:t>
            </w:r>
          </w:p>
        </w:tc>
        <w:tc>
          <w:tcPr>
            <w:tcW w:w="1608" w:type="dxa"/>
            <w:tcBorders>
              <w:top w:val="single" w:sz="4" w:space="0" w:color="auto"/>
              <w:left w:val="single" w:sz="4" w:space="0" w:color="auto"/>
              <w:bottom w:val="single" w:sz="4" w:space="0" w:color="auto"/>
              <w:right w:val="single" w:sz="4" w:space="0" w:color="auto"/>
            </w:tcBorders>
            <w:vAlign w:val="center"/>
          </w:tcPr>
          <w:p w14:paraId="2DBA8C4F" w14:textId="77777777" w:rsidR="00577D08" w:rsidRDefault="00330FC0">
            <w:pPr>
              <w:jc w:val="right"/>
            </w:pPr>
            <w:r>
              <w:t>299,337,940.81</w:t>
            </w:r>
          </w:p>
        </w:tc>
        <w:tc>
          <w:tcPr>
            <w:tcW w:w="1619" w:type="dxa"/>
            <w:tcBorders>
              <w:top w:val="single" w:sz="4" w:space="0" w:color="auto"/>
              <w:left w:val="single" w:sz="4" w:space="0" w:color="auto"/>
              <w:bottom w:val="single" w:sz="4" w:space="0" w:color="auto"/>
              <w:right w:val="single" w:sz="4" w:space="0" w:color="auto"/>
            </w:tcBorders>
            <w:vAlign w:val="center"/>
          </w:tcPr>
          <w:p w14:paraId="68A58A70" w14:textId="77777777" w:rsidR="00577D08" w:rsidRDefault="00330FC0">
            <w:pPr>
              <w:jc w:val="right"/>
            </w:pPr>
            <w:r>
              <w:t>58,008,505.93</w:t>
            </w:r>
          </w:p>
        </w:tc>
      </w:tr>
    </w:tbl>
    <w:p w14:paraId="35D4324A" w14:textId="77777777" w:rsidR="00577D08" w:rsidRDefault="00330FC0">
      <w:pPr>
        <w:pStyle w:val="4"/>
        <w:numPr>
          <w:ilvl w:val="0"/>
          <w:numId w:val="90"/>
        </w:numPr>
        <w:rPr>
          <w:rFonts w:hint="eastAsia"/>
        </w:rPr>
      </w:pPr>
      <w:r>
        <w:rPr>
          <w:rFonts w:hint="eastAsia"/>
        </w:rPr>
        <w:t>设定提存计划列示</w:t>
      </w:r>
    </w:p>
    <w:p w14:paraId="289A049F" w14:textId="77777777" w:rsidR="00577D08" w:rsidRDefault="00000000">
      <w:sdt>
        <w:sdtPr>
          <w:alias w:val="是否适用：设定提存计划列示[双击切换]"/>
          <w:tag w:val="_GBC_b10b1dbaca2d418ba8658bab8f732ec8"/>
          <w:id w:val="214163958"/>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37B00308" w14:textId="052768C9" w:rsidR="00577D08" w:rsidRDefault="00330FC0">
      <w:pPr>
        <w:jc w:val="right"/>
      </w:pPr>
      <w:r>
        <w:rPr>
          <w:rFonts w:hint="eastAsia"/>
        </w:rPr>
        <w:t>单位：</w:t>
      </w:r>
      <w:sdt>
        <w:sdtPr>
          <w:rPr>
            <w:rFonts w:hint="eastAsia"/>
          </w:rPr>
          <w:alias w:val="单位：财务附注：设定提存计划列示"/>
          <w:tag w:val="_GBC_925094ba622346ba8857a40cf7e6f1b2"/>
          <w:id w:val="-346614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设定提存计划列示"/>
          <w:tag w:val="_GBC_e3e3da384da84c8f92edb23d37c13690"/>
          <w:id w:val="-5107545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1623"/>
        <w:gridCol w:w="1608"/>
        <w:gridCol w:w="1637"/>
        <w:gridCol w:w="1592"/>
      </w:tblGrid>
      <w:tr w:rsidR="00577D08" w14:paraId="2CD5EB5C" w14:textId="77777777">
        <w:sdt>
          <w:sdtPr>
            <w:tag w:val="_PLD_5a05fd1b5f8842ba9ae6094f6792dfbe"/>
            <w:id w:val="2070528467"/>
          </w:sdtPr>
          <w:sdtContent>
            <w:tc>
              <w:tcPr>
                <w:tcW w:w="2586" w:type="dxa"/>
                <w:vAlign w:val="center"/>
              </w:tcPr>
              <w:p w14:paraId="76711761" w14:textId="77777777" w:rsidR="00577D08" w:rsidRDefault="00330FC0">
                <w:pPr>
                  <w:jc w:val="center"/>
                </w:pPr>
                <w:r>
                  <w:rPr>
                    <w:rFonts w:hint="eastAsia"/>
                  </w:rPr>
                  <w:t>项目</w:t>
                </w:r>
              </w:p>
            </w:tc>
          </w:sdtContent>
        </w:sdt>
        <w:sdt>
          <w:sdtPr>
            <w:tag w:val="_PLD_fae7d76d85e4429d925f3d30ff27566f"/>
            <w:id w:val="840891617"/>
          </w:sdtPr>
          <w:sdtContent>
            <w:tc>
              <w:tcPr>
                <w:tcW w:w="1623" w:type="dxa"/>
                <w:vAlign w:val="center"/>
              </w:tcPr>
              <w:p w14:paraId="6B9ADD65" w14:textId="77777777" w:rsidR="00577D08" w:rsidRDefault="00330FC0">
                <w:pPr>
                  <w:jc w:val="center"/>
                </w:pPr>
                <w:r>
                  <w:rPr>
                    <w:rFonts w:hint="eastAsia"/>
                  </w:rPr>
                  <w:t>期初余额</w:t>
                </w:r>
              </w:p>
            </w:tc>
          </w:sdtContent>
        </w:sdt>
        <w:sdt>
          <w:sdtPr>
            <w:tag w:val="_PLD_cd3c897871944aa0a1ea524d70e51704"/>
            <w:id w:val="-1506513082"/>
          </w:sdtPr>
          <w:sdtContent>
            <w:tc>
              <w:tcPr>
                <w:tcW w:w="1608" w:type="dxa"/>
                <w:vAlign w:val="center"/>
              </w:tcPr>
              <w:p w14:paraId="2F2C60F5" w14:textId="77777777" w:rsidR="00577D08" w:rsidRDefault="00330FC0">
                <w:pPr>
                  <w:jc w:val="center"/>
                </w:pPr>
                <w:r>
                  <w:rPr>
                    <w:rFonts w:hint="eastAsia"/>
                  </w:rPr>
                  <w:t>本期增加</w:t>
                </w:r>
              </w:p>
            </w:tc>
          </w:sdtContent>
        </w:sdt>
        <w:sdt>
          <w:sdtPr>
            <w:tag w:val="_PLD_5ef10b06a3d24730bad93c45f119182f"/>
            <w:id w:val="524758932"/>
          </w:sdtPr>
          <w:sdtContent>
            <w:tc>
              <w:tcPr>
                <w:tcW w:w="1637" w:type="dxa"/>
                <w:vAlign w:val="center"/>
              </w:tcPr>
              <w:p w14:paraId="549054D2" w14:textId="77777777" w:rsidR="00577D08" w:rsidRDefault="00330FC0">
                <w:pPr>
                  <w:jc w:val="center"/>
                </w:pPr>
                <w:r>
                  <w:rPr>
                    <w:rFonts w:hint="eastAsia"/>
                  </w:rPr>
                  <w:t>本期减少</w:t>
                </w:r>
              </w:p>
            </w:tc>
          </w:sdtContent>
        </w:sdt>
        <w:sdt>
          <w:sdtPr>
            <w:tag w:val="_PLD_13d5e5df016d4921aa56218755dfb8f4"/>
            <w:id w:val="-2008043893"/>
          </w:sdtPr>
          <w:sdtContent>
            <w:tc>
              <w:tcPr>
                <w:tcW w:w="1592" w:type="dxa"/>
                <w:vAlign w:val="center"/>
              </w:tcPr>
              <w:p w14:paraId="4012D082" w14:textId="77777777" w:rsidR="00577D08" w:rsidRDefault="00330FC0">
                <w:pPr>
                  <w:jc w:val="center"/>
                </w:pPr>
                <w:r>
                  <w:rPr>
                    <w:rFonts w:hint="eastAsia"/>
                  </w:rPr>
                  <w:t>期末余额</w:t>
                </w:r>
              </w:p>
            </w:tc>
          </w:sdtContent>
        </w:sdt>
      </w:tr>
      <w:tr w:rsidR="00577D08" w14:paraId="477B23C0" w14:textId="77777777">
        <w:tc>
          <w:tcPr>
            <w:tcW w:w="2586" w:type="dxa"/>
            <w:vAlign w:val="center"/>
          </w:tcPr>
          <w:p w14:paraId="25B303FC" w14:textId="77777777" w:rsidR="00577D08" w:rsidRDefault="00330FC0">
            <w:r>
              <w:rPr>
                <w:rFonts w:hint="eastAsia"/>
              </w:rPr>
              <w:t>1</w:t>
            </w:r>
            <w:r>
              <w:rPr>
                <w:rFonts w:hint="eastAsia"/>
              </w:rPr>
              <w:t>、基本养老保险</w:t>
            </w:r>
          </w:p>
        </w:tc>
        <w:tc>
          <w:tcPr>
            <w:tcW w:w="1623" w:type="dxa"/>
            <w:vAlign w:val="center"/>
          </w:tcPr>
          <w:p w14:paraId="5FACB309" w14:textId="77777777" w:rsidR="00577D08" w:rsidRDefault="00577D08">
            <w:pPr>
              <w:jc w:val="right"/>
            </w:pPr>
          </w:p>
        </w:tc>
        <w:tc>
          <w:tcPr>
            <w:tcW w:w="1608" w:type="dxa"/>
            <w:vAlign w:val="center"/>
          </w:tcPr>
          <w:p w14:paraId="7F5D4DF6" w14:textId="77777777" w:rsidR="00577D08" w:rsidRDefault="00330FC0">
            <w:pPr>
              <w:jc w:val="right"/>
            </w:pPr>
            <w:r>
              <w:t>24,173,368.12</w:t>
            </w:r>
          </w:p>
        </w:tc>
        <w:tc>
          <w:tcPr>
            <w:tcW w:w="1637" w:type="dxa"/>
            <w:vAlign w:val="center"/>
          </w:tcPr>
          <w:p w14:paraId="3984D393" w14:textId="77777777" w:rsidR="00577D08" w:rsidRDefault="00330FC0">
            <w:pPr>
              <w:jc w:val="right"/>
            </w:pPr>
            <w:r>
              <w:t>24,165,688.12</w:t>
            </w:r>
          </w:p>
        </w:tc>
        <w:tc>
          <w:tcPr>
            <w:tcW w:w="1592" w:type="dxa"/>
            <w:vAlign w:val="center"/>
          </w:tcPr>
          <w:p w14:paraId="37B575F6" w14:textId="77777777" w:rsidR="00577D08" w:rsidRDefault="00330FC0">
            <w:pPr>
              <w:jc w:val="right"/>
            </w:pPr>
            <w:r>
              <w:t>7,680.00</w:t>
            </w:r>
          </w:p>
        </w:tc>
      </w:tr>
      <w:tr w:rsidR="00577D08" w14:paraId="72EEAB40" w14:textId="77777777">
        <w:tc>
          <w:tcPr>
            <w:tcW w:w="2586" w:type="dxa"/>
            <w:vAlign w:val="center"/>
          </w:tcPr>
          <w:p w14:paraId="5A175E3B" w14:textId="77777777" w:rsidR="00577D08" w:rsidRDefault="00330FC0">
            <w:r>
              <w:rPr>
                <w:rFonts w:hint="eastAsia"/>
              </w:rPr>
              <w:t>2</w:t>
            </w:r>
            <w:r>
              <w:rPr>
                <w:rFonts w:hint="eastAsia"/>
              </w:rPr>
              <w:t>、失业保险费</w:t>
            </w:r>
          </w:p>
        </w:tc>
        <w:tc>
          <w:tcPr>
            <w:tcW w:w="1623" w:type="dxa"/>
            <w:vAlign w:val="center"/>
          </w:tcPr>
          <w:p w14:paraId="4D86E356" w14:textId="77777777" w:rsidR="00577D08" w:rsidRDefault="00577D08">
            <w:pPr>
              <w:jc w:val="right"/>
            </w:pPr>
          </w:p>
        </w:tc>
        <w:tc>
          <w:tcPr>
            <w:tcW w:w="1608" w:type="dxa"/>
            <w:vAlign w:val="center"/>
          </w:tcPr>
          <w:p w14:paraId="4ACC3548" w14:textId="77777777" w:rsidR="00577D08" w:rsidRDefault="00330FC0">
            <w:pPr>
              <w:jc w:val="right"/>
            </w:pPr>
            <w:r>
              <w:t>838,606.23</w:t>
            </w:r>
          </w:p>
        </w:tc>
        <w:tc>
          <w:tcPr>
            <w:tcW w:w="1637" w:type="dxa"/>
            <w:vAlign w:val="center"/>
          </w:tcPr>
          <w:p w14:paraId="1724D93C" w14:textId="77777777" w:rsidR="00577D08" w:rsidRDefault="00330FC0">
            <w:pPr>
              <w:jc w:val="right"/>
            </w:pPr>
            <w:r>
              <w:t>811,839.00</w:t>
            </w:r>
          </w:p>
        </w:tc>
        <w:tc>
          <w:tcPr>
            <w:tcW w:w="1592" w:type="dxa"/>
            <w:vAlign w:val="center"/>
          </w:tcPr>
          <w:p w14:paraId="7BAE909C" w14:textId="77777777" w:rsidR="00577D08" w:rsidRDefault="00330FC0">
            <w:pPr>
              <w:jc w:val="right"/>
            </w:pPr>
            <w:r>
              <w:t>26,767.23</w:t>
            </w:r>
          </w:p>
        </w:tc>
      </w:tr>
      <w:tr w:rsidR="00577D08" w14:paraId="30C4D9E8" w14:textId="77777777">
        <w:tc>
          <w:tcPr>
            <w:tcW w:w="2586" w:type="dxa"/>
            <w:vAlign w:val="center"/>
          </w:tcPr>
          <w:p w14:paraId="492CBCBF" w14:textId="77777777" w:rsidR="00577D08" w:rsidRDefault="00330FC0">
            <w:r>
              <w:rPr>
                <w:rFonts w:hint="eastAsia"/>
              </w:rPr>
              <w:t>3</w:t>
            </w:r>
            <w:r>
              <w:rPr>
                <w:rFonts w:hint="eastAsia"/>
              </w:rPr>
              <w:t>、企业年金缴费</w:t>
            </w:r>
          </w:p>
        </w:tc>
        <w:tc>
          <w:tcPr>
            <w:tcW w:w="1623" w:type="dxa"/>
            <w:vAlign w:val="center"/>
          </w:tcPr>
          <w:p w14:paraId="5451C706" w14:textId="77777777" w:rsidR="00577D08" w:rsidRDefault="00577D08">
            <w:pPr>
              <w:jc w:val="right"/>
            </w:pPr>
          </w:p>
        </w:tc>
        <w:tc>
          <w:tcPr>
            <w:tcW w:w="1608" w:type="dxa"/>
            <w:vAlign w:val="center"/>
          </w:tcPr>
          <w:p w14:paraId="604D10A3" w14:textId="77777777" w:rsidR="00577D08" w:rsidRDefault="00577D08">
            <w:pPr>
              <w:jc w:val="right"/>
            </w:pPr>
          </w:p>
        </w:tc>
        <w:tc>
          <w:tcPr>
            <w:tcW w:w="1637" w:type="dxa"/>
            <w:vAlign w:val="center"/>
          </w:tcPr>
          <w:p w14:paraId="078426CB" w14:textId="77777777" w:rsidR="00577D08" w:rsidRDefault="00577D08">
            <w:pPr>
              <w:jc w:val="right"/>
            </w:pPr>
          </w:p>
        </w:tc>
        <w:tc>
          <w:tcPr>
            <w:tcW w:w="1592" w:type="dxa"/>
            <w:vAlign w:val="center"/>
          </w:tcPr>
          <w:p w14:paraId="73D0EA99" w14:textId="77777777" w:rsidR="00577D08" w:rsidRDefault="00577D08">
            <w:pPr>
              <w:jc w:val="right"/>
            </w:pPr>
          </w:p>
        </w:tc>
      </w:tr>
      <w:tr w:rsidR="00577D08" w14:paraId="1609D8AF" w14:textId="77777777">
        <w:tc>
          <w:tcPr>
            <w:tcW w:w="2586" w:type="dxa"/>
            <w:vAlign w:val="center"/>
          </w:tcPr>
          <w:p w14:paraId="0AE86988" w14:textId="77777777" w:rsidR="00577D08" w:rsidRDefault="00330FC0">
            <w:pPr>
              <w:jc w:val="center"/>
            </w:pPr>
            <w:r>
              <w:rPr>
                <w:rFonts w:hint="eastAsia"/>
              </w:rPr>
              <w:t>合计</w:t>
            </w:r>
          </w:p>
        </w:tc>
        <w:tc>
          <w:tcPr>
            <w:tcW w:w="1623" w:type="dxa"/>
            <w:vAlign w:val="center"/>
          </w:tcPr>
          <w:p w14:paraId="11254E7E" w14:textId="77777777" w:rsidR="00577D08" w:rsidRDefault="00577D08">
            <w:pPr>
              <w:jc w:val="right"/>
            </w:pPr>
          </w:p>
        </w:tc>
        <w:tc>
          <w:tcPr>
            <w:tcW w:w="1608" w:type="dxa"/>
            <w:vAlign w:val="center"/>
          </w:tcPr>
          <w:p w14:paraId="5F40E135" w14:textId="77777777" w:rsidR="00577D08" w:rsidRDefault="00330FC0">
            <w:pPr>
              <w:jc w:val="right"/>
            </w:pPr>
            <w:r>
              <w:t>25,011,974.35</w:t>
            </w:r>
          </w:p>
        </w:tc>
        <w:tc>
          <w:tcPr>
            <w:tcW w:w="1637" w:type="dxa"/>
            <w:vAlign w:val="center"/>
          </w:tcPr>
          <w:p w14:paraId="570C9940" w14:textId="77777777" w:rsidR="00577D08" w:rsidRDefault="00330FC0">
            <w:pPr>
              <w:jc w:val="right"/>
            </w:pPr>
            <w:r>
              <w:t>24,977,527.12</w:t>
            </w:r>
          </w:p>
        </w:tc>
        <w:tc>
          <w:tcPr>
            <w:tcW w:w="1592" w:type="dxa"/>
            <w:vAlign w:val="center"/>
          </w:tcPr>
          <w:p w14:paraId="196014C7" w14:textId="77777777" w:rsidR="00577D08" w:rsidRDefault="00330FC0">
            <w:pPr>
              <w:jc w:val="right"/>
            </w:pPr>
            <w:r>
              <w:t>34,447.23</w:t>
            </w:r>
          </w:p>
        </w:tc>
      </w:tr>
    </w:tbl>
    <w:p w14:paraId="12CA6281" w14:textId="77777777" w:rsidR="00577D08" w:rsidRDefault="00330FC0">
      <w:pPr>
        <w:autoSpaceDE w:val="0"/>
        <w:autoSpaceDN w:val="0"/>
        <w:adjustRightInd w:val="0"/>
      </w:pPr>
      <w:r>
        <w:rPr>
          <w:rFonts w:hint="eastAsia"/>
        </w:rPr>
        <w:t>其他说明：</w:t>
      </w:r>
    </w:p>
    <w:sdt>
      <w:sdtPr>
        <w:alias w:val="是否适用：应付职工薪酬的说明[双击切换]"/>
        <w:tag w:val="_GBC_140070104764414eae4680364e4d0b62"/>
        <w:id w:val="1604227910"/>
        <w:placeholder>
          <w:docPart w:val="GBC22222222222222222222222222222"/>
        </w:placeholder>
      </w:sdtPr>
      <w:sdtContent>
        <w:p w14:paraId="7931B9CA" w14:textId="77777777" w:rsidR="00577D08" w:rsidRDefault="00330FC0">
          <w:pPr>
            <w:autoSpaceDE w:val="0"/>
            <w:autoSpaceDN w:val="0"/>
            <w:adjustRightInd w:val="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3B16CCD"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应交税费</w:t>
      </w:r>
    </w:p>
    <w:sdt>
      <w:sdtPr>
        <w:alias w:val="是否适用：应交税费[双击切换]"/>
        <w:tag w:val="_GBC_2ed6216b8f4c4523a1de5c2628cc02a2"/>
        <w:id w:val="1461296544"/>
        <w:placeholder>
          <w:docPart w:val="GBC22222222222222222222222222222"/>
        </w:placeholder>
      </w:sdtPr>
      <w:sdtContent>
        <w:p w14:paraId="48A7B60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4FF4EA2" w14:textId="64684EE8" w:rsidR="00577D08" w:rsidRDefault="00330FC0">
      <w:pPr>
        <w:jc w:val="right"/>
      </w:pPr>
      <w:r>
        <w:rPr>
          <w:rFonts w:hint="eastAsia"/>
        </w:rPr>
        <w:t>单位：</w:t>
      </w:r>
      <w:sdt>
        <w:sdtPr>
          <w:rPr>
            <w:rFonts w:hint="eastAsia"/>
          </w:rPr>
          <w:alias w:val="单位：财务附注：应交税费"/>
          <w:tag w:val="_GBC_9fe49c1b8a984180ae11c305f9fe5484"/>
          <w:id w:val="15198860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应交税费"/>
          <w:tag w:val="_GBC_aefdac676d8d4584b84883b8a3980e21"/>
          <w:id w:val="10155801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1"/>
        <w:gridCol w:w="3006"/>
        <w:gridCol w:w="3011"/>
      </w:tblGrid>
      <w:tr w:rsidR="00577D08" w14:paraId="452C0775" w14:textId="77777777">
        <w:trPr>
          <w:cantSplit/>
        </w:trPr>
        <w:sdt>
          <w:sdtPr>
            <w:tag w:val="_PLD_6c8ac0907441450eac644085301d6804"/>
            <w:id w:val="-1147430928"/>
          </w:sdtPr>
          <w:sdtContent>
            <w:tc>
              <w:tcPr>
                <w:tcW w:w="3031" w:type="dxa"/>
                <w:vAlign w:val="center"/>
              </w:tcPr>
              <w:p w14:paraId="3178951D" w14:textId="77777777" w:rsidR="00577D08" w:rsidRDefault="00330FC0">
                <w:pPr>
                  <w:ind w:right="105"/>
                  <w:jc w:val="center"/>
                </w:pPr>
                <w:r>
                  <w:rPr>
                    <w:rFonts w:hint="eastAsia"/>
                  </w:rPr>
                  <w:t>项目</w:t>
                </w:r>
              </w:p>
            </w:tc>
          </w:sdtContent>
        </w:sdt>
        <w:sdt>
          <w:sdtPr>
            <w:tag w:val="_PLD_8dab1e5e153c4b93a2d18673e1365591"/>
            <w:id w:val="568857098"/>
          </w:sdtPr>
          <w:sdtContent>
            <w:tc>
              <w:tcPr>
                <w:tcW w:w="3006" w:type="dxa"/>
                <w:vAlign w:val="center"/>
              </w:tcPr>
              <w:p w14:paraId="79FD4177" w14:textId="77777777" w:rsidR="00577D08" w:rsidRDefault="00330FC0">
                <w:pPr>
                  <w:jc w:val="center"/>
                </w:pPr>
                <w:r>
                  <w:rPr>
                    <w:rFonts w:hint="eastAsia"/>
                  </w:rPr>
                  <w:t>期末余额</w:t>
                </w:r>
              </w:p>
            </w:tc>
          </w:sdtContent>
        </w:sdt>
        <w:sdt>
          <w:sdtPr>
            <w:tag w:val="_PLD_9793c5ba001a43cb914658d949d3dcec"/>
            <w:id w:val="1519200525"/>
          </w:sdtPr>
          <w:sdtContent>
            <w:tc>
              <w:tcPr>
                <w:tcW w:w="3011" w:type="dxa"/>
                <w:vAlign w:val="center"/>
              </w:tcPr>
              <w:p w14:paraId="03C55A76" w14:textId="77777777" w:rsidR="00577D08" w:rsidRDefault="00330FC0">
                <w:pPr>
                  <w:jc w:val="center"/>
                </w:pPr>
                <w:r>
                  <w:rPr>
                    <w:rFonts w:hint="eastAsia"/>
                  </w:rPr>
                  <w:t>期初余额</w:t>
                </w:r>
              </w:p>
            </w:tc>
          </w:sdtContent>
        </w:sdt>
      </w:tr>
      <w:tr w:rsidR="00577D08" w14:paraId="586F9F13" w14:textId="77777777">
        <w:trPr>
          <w:cantSplit/>
        </w:trPr>
        <w:tc>
          <w:tcPr>
            <w:tcW w:w="3031" w:type="dxa"/>
          </w:tcPr>
          <w:p w14:paraId="4526DBE2" w14:textId="77777777" w:rsidR="00577D08" w:rsidRDefault="00330FC0">
            <w:pPr>
              <w:ind w:right="105"/>
            </w:pPr>
            <w:r>
              <w:rPr>
                <w:rFonts w:hint="eastAsia"/>
              </w:rPr>
              <w:t>增值税</w:t>
            </w:r>
          </w:p>
        </w:tc>
        <w:tc>
          <w:tcPr>
            <w:tcW w:w="3006" w:type="dxa"/>
          </w:tcPr>
          <w:p w14:paraId="7ECE58C5" w14:textId="77777777" w:rsidR="00577D08" w:rsidRDefault="00330FC0">
            <w:pPr>
              <w:ind w:right="73"/>
              <w:jc w:val="right"/>
            </w:pPr>
            <w:r>
              <w:rPr>
                <w:rFonts w:hint="eastAsia"/>
              </w:rPr>
              <w:t>21,327,404.50</w:t>
            </w:r>
          </w:p>
        </w:tc>
        <w:tc>
          <w:tcPr>
            <w:tcW w:w="3011" w:type="dxa"/>
          </w:tcPr>
          <w:p w14:paraId="4D307E71" w14:textId="77777777" w:rsidR="00577D08" w:rsidRDefault="00330FC0">
            <w:pPr>
              <w:jc w:val="right"/>
            </w:pPr>
            <w:r>
              <w:rPr>
                <w:rFonts w:hint="eastAsia"/>
              </w:rPr>
              <w:t>9,415,041.88</w:t>
            </w:r>
          </w:p>
        </w:tc>
      </w:tr>
      <w:tr w:rsidR="00577D08" w14:paraId="7C1B6A8A" w14:textId="77777777">
        <w:trPr>
          <w:cantSplit/>
        </w:trPr>
        <w:tc>
          <w:tcPr>
            <w:tcW w:w="3031" w:type="dxa"/>
          </w:tcPr>
          <w:p w14:paraId="4D367691" w14:textId="77777777" w:rsidR="00577D08" w:rsidRDefault="00330FC0">
            <w:pPr>
              <w:ind w:right="105"/>
            </w:pPr>
            <w:r>
              <w:rPr>
                <w:rFonts w:hint="eastAsia"/>
              </w:rPr>
              <w:t>企业所得税</w:t>
            </w:r>
          </w:p>
        </w:tc>
        <w:tc>
          <w:tcPr>
            <w:tcW w:w="3006" w:type="dxa"/>
          </w:tcPr>
          <w:p w14:paraId="3D6F6A46" w14:textId="77777777" w:rsidR="00577D08" w:rsidRDefault="00330FC0">
            <w:pPr>
              <w:ind w:right="73"/>
              <w:jc w:val="right"/>
            </w:pPr>
            <w:r>
              <w:rPr>
                <w:rFonts w:hint="eastAsia"/>
              </w:rPr>
              <w:t>11,789,912.84</w:t>
            </w:r>
          </w:p>
        </w:tc>
        <w:tc>
          <w:tcPr>
            <w:tcW w:w="3011" w:type="dxa"/>
          </w:tcPr>
          <w:p w14:paraId="764CD1D9" w14:textId="77777777" w:rsidR="00577D08" w:rsidRDefault="00330FC0">
            <w:pPr>
              <w:jc w:val="right"/>
            </w:pPr>
            <w:r>
              <w:rPr>
                <w:rFonts w:hint="eastAsia"/>
              </w:rPr>
              <w:t>12,385,859.00</w:t>
            </w:r>
          </w:p>
        </w:tc>
      </w:tr>
      <w:tr w:rsidR="00577D08" w14:paraId="75FCA03D" w14:textId="77777777">
        <w:trPr>
          <w:cantSplit/>
        </w:trPr>
        <w:tc>
          <w:tcPr>
            <w:tcW w:w="3031" w:type="dxa"/>
          </w:tcPr>
          <w:p w14:paraId="42D321F3" w14:textId="77777777" w:rsidR="00577D08" w:rsidRDefault="00330FC0">
            <w:pPr>
              <w:ind w:right="105"/>
            </w:pPr>
            <w:r>
              <w:rPr>
                <w:rFonts w:hint="eastAsia"/>
              </w:rPr>
              <w:t>房产税</w:t>
            </w:r>
          </w:p>
        </w:tc>
        <w:tc>
          <w:tcPr>
            <w:tcW w:w="3006" w:type="dxa"/>
          </w:tcPr>
          <w:p w14:paraId="38CA3DD2" w14:textId="77777777" w:rsidR="00577D08" w:rsidRDefault="00330FC0">
            <w:pPr>
              <w:ind w:right="73"/>
              <w:jc w:val="right"/>
            </w:pPr>
            <w:r>
              <w:rPr>
                <w:rFonts w:hint="eastAsia"/>
              </w:rPr>
              <w:t>2,465,419.96</w:t>
            </w:r>
          </w:p>
        </w:tc>
        <w:tc>
          <w:tcPr>
            <w:tcW w:w="3011" w:type="dxa"/>
          </w:tcPr>
          <w:p w14:paraId="41B27343" w14:textId="77777777" w:rsidR="00577D08" w:rsidRDefault="00330FC0">
            <w:pPr>
              <w:jc w:val="right"/>
            </w:pPr>
            <w:r>
              <w:rPr>
                <w:rFonts w:hint="eastAsia"/>
              </w:rPr>
              <w:t>1,411,796.87</w:t>
            </w:r>
          </w:p>
        </w:tc>
      </w:tr>
      <w:tr w:rsidR="00577D08" w14:paraId="21839D41" w14:textId="77777777">
        <w:trPr>
          <w:cantSplit/>
        </w:trPr>
        <w:tc>
          <w:tcPr>
            <w:tcW w:w="3031" w:type="dxa"/>
          </w:tcPr>
          <w:p w14:paraId="779C2843" w14:textId="77777777" w:rsidR="00577D08" w:rsidRDefault="00330FC0">
            <w:pPr>
              <w:ind w:right="105"/>
            </w:pPr>
            <w:r>
              <w:rPr>
                <w:rFonts w:hint="eastAsia"/>
              </w:rPr>
              <w:t>城市维护建设税</w:t>
            </w:r>
          </w:p>
        </w:tc>
        <w:tc>
          <w:tcPr>
            <w:tcW w:w="3006" w:type="dxa"/>
          </w:tcPr>
          <w:p w14:paraId="3CC185F4" w14:textId="77777777" w:rsidR="00577D08" w:rsidRDefault="00330FC0">
            <w:pPr>
              <w:ind w:right="73"/>
              <w:jc w:val="right"/>
            </w:pPr>
            <w:r>
              <w:rPr>
                <w:rFonts w:hint="eastAsia"/>
              </w:rPr>
              <w:t>1,459,804.59</w:t>
            </w:r>
          </w:p>
        </w:tc>
        <w:tc>
          <w:tcPr>
            <w:tcW w:w="3011" w:type="dxa"/>
          </w:tcPr>
          <w:p w14:paraId="673CC5F8" w14:textId="77777777" w:rsidR="00577D08" w:rsidRDefault="00330FC0">
            <w:pPr>
              <w:jc w:val="right"/>
            </w:pPr>
            <w:r>
              <w:rPr>
                <w:rFonts w:hint="eastAsia"/>
              </w:rPr>
              <w:t>620,680.46</w:t>
            </w:r>
          </w:p>
        </w:tc>
      </w:tr>
      <w:tr w:rsidR="00577D08" w14:paraId="4ACA70C7" w14:textId="77777777">
        <w:trPr>
          <w:cantSplit/>
        </w:trPr>
        <w:tc>
          <w:tcPr>
            <w:tcW w:w="3031" w:type="dxa"/>
          </w:tcPr>
          <w:p w14:paraId="51347824" w14:textId="77777777" w:rsidR="00577D08" w:rsidRDefault="00330FC0">
            <w:pPr>
              <w:ind w:right="105"/>
            </w:pPr>
            <w:r>
              <w:rPr>
                <w:rFonts w:hint="eastAsia"/>
              </w:rPr>
              <w:t>代扣代缴个人所得税</w:t>
            </w:r>
          </w:p>
        </w:tc>
        <w:tc>
          <w:tcPr>
            <w:tcW w:w="3006" w:type="dxa"/>
          </w:tcPr>
          <w:p w14:paraId="64F1D963" w14:textId="77777777" w:rsidR="00577D08" w:rsidRDefault="00330FC0">
            <w:pPr>
              <w:ind w:right="73"/>
              <w:jc w:val="right"/>
            </w:pPr>
            <w:r>
              <w:rPr>
                <w:rFonts w:hint="eastAsia"/>
              </w:rPr>
              <w:t>667,286.44</w:t>
            </w:r>
          </w:p>
        </w:tc>
        <w:tc>
          <w:tcPr>
            <w:tcW w:w="3011" w:type="dxa"/>
          </w:tcPr>
          <w:p w14:paraId="2D2DA2C7" w14:textId="77777777" w:rsidR="00577D08" w:rsidRDefault="00330FC0">
            <w:pPr>
              <w:jc w:val="right"/>
            </w:pPr>
            <w:r>
              <w:rPr>
                <w:rFonts w:hint="eastAsia"/>
              </w:rPr>
              <w:t>506,126.03</w:t>
            </w:r>
          </w:p>
        </w:tc>
      </w:tr>
      <w:tr w:rsidR="00577D08" w14:paraId="4FD3BA4B" w14:textId="77777777">
        <w:trPr>
          <w:cantSplit/>
        </w:trPr>
        <w:tc>
          <w:tcPr>
            <w:tcW w:w="3031" w:type="dxa"/>
          </w:tcPr>
          <w:p w14:paraId="53555CE1" w14:textId="77777777" w:rsidR="00577D08" w:rsidRDefault="00330FC0">
            <w:pPr>
              <w:ind w:right="105"/>
            </w:pPr>
            <w:r>
              <w:rPr>
                <w:rFonts w:hint="eastAsia"/>
              </w:rPr>
              <w:t>教育费附加</w:t>
            </w:r>
          </w:p>
        </w:tc>
        <w:tc>
          <w:tcPr>
            <w:tcW w:w="3006" w:type="dxa"/>
          </w:tcPr>
          <w:p w14:paraId="0CD914BC" w14:textId="77777777" w:rsidR="00577D08" w:rsidRDefault="00330FC0">
            <w:pPr>
              <w:ind w:right="73"/>
              <w:jc w:val="right"/>
            </w:pPr>
            <w:r>
              <w:rPr>
                <w:rFonts w:hint="eastAsia"/>
              </w:rPr>
              <w:t>628,427.65</w:t>
            </w:r>
          </w:p>
        </w:tc>
        <w:tc>
          <w:tcPr>
            <w:tcW w:w="3011" w:type="dxa"/>
          </w:tcPr>
          <w:p w14:paraId="7EFD2079" w14:textId="77777777" w:rsidR="00577D08" w:rsidRDefault="00330FC0">
            <w:pPr>
              <w:jc w:val="right"/>
            </w:pPr>
            <w:r>
              <w:rPr>
                <w:rFonts w:hint="eastAsia"/>
              </w:rPr>
              <w:t>265,994.98</w:t>
            </w:r>
          </w:p>
        </w:tc>
      </w:tr>
      <w:tr w:rsidR="00577D08" w14:paraId="7F949BD4" w14:textId="77777777">
        <w:trPr>
          <w:cantSplit/>
        </w:trPr>
        <w:tc>
          <w:tcPr>
            <w:tcW w:w="3031" w:type="dxa"/>
          </w:tcPr>
          <w:p w14:paraId="089E9E4D" w14:textId="77777777" w:rsidR="00577D08" w:rsidRDefault="00330FC0">
            <w:pPr>
              <w:ind w:right="105"/>
            </w:pPr>
            <w:r>
              <w:rPr>
                <w:rFonts w:hint="eastAsia"/>
              </w:rPr>
              <w:t>土地使用税</w:t>
            </w:r>
          </w:p>
        </w:tc>
        <w:tc>
          <w:tcPr>
            <w:tcW w:w="3006" w:type="dxa"/>
          </w:tcPr>
          <w:p w14:paraId="482B9549" w14:textId="77777777" w:rsidR="00577D08" w:rsidRDefault="00330FC0">
            <w:pPr>
              <w:ind w:right="73"/>
              <w:jc w:val="right"/>
            </w:pPr>
            <w:r>
              <w:rPr>
                <w:rFonts w:hint="eastAsia"/>
              </w:rPr>
              <w:t>583,496.69</w:t>
            </w:r>
          </w:p>
        </w:tc>
        <w:tc>
          <w:tcPr>
            <w:tcW w:w="3011" w:type="dxa"/>
          </w:tcPr>
          <w:p w14:paraId="4B0AFCE4" w14:textId="77777777" w:rsidR="00577D08" w:rsidRDefault="00330FC0">
            <w:pPr>
              <w:jc w:val="right"/>
            </w:pPr>
            <w:r>
              <w:rPr>
                <w:rFonts w:hint="eastAsia"/>
              </w:rPr>
              <w:t>583,496.69</w:t>
            </w:r>
          </w:p>
        </w:tc>
      </w:tr>
      <w:tr w:rsidR="00577D08" w14:paraId="4B97122D" w14:textId="77777777">
        <w:trPr>
          <w:cantSplit/>
        </w:trPr>
        <w:tc>
          <w:tcPr>
            <w:tcW w:w="3031" w:type="dxa"/>
          </w:tcPr>
          <w:p w14:paraId="032B0E87" w14:textId="77777777" w:rsidR="00577D08" w:rsidRDefault="00330FC0">
            <w:pPr>
              <w:ind w:right="105"/>
            </w:pPr>
            <w:r>
              <w:rPr>
                <w:rFonts w:hint="eastAsia"/>
              </w:rPr>
              <w:t>地方教育附加</w:t>
            </w:r>
          </w:p>
        </w:tc>
        <w:tc>
          <w:tcPr>
            <w:tcW w:w="3006" w:type="dxa"/>
          </w:tcPr>
          <w:p w14:paraId="25D903EC" w14:textId="77777777" w:rsidR="00577D08" w:rsidRDefault="00330FC0">
            <w:pPr>
              <w:ind w:right="73"/>
              <w:jc w:val="right"/>
            </w:pPr>
            <w:r>
              <w:rPr>
                <w:rFonts w:hint="eastAsia"/>
              </w:rPr>
              <w:t>418,951.78</w:t>
            </w:r>
          </w:p>
        </w:tc>
        <w:tc>
          <w:tcPr>
            <w:tcW w:w="3011" w:type="dxa"/>
          </w:tcPr>
          <w:p w14:paraId="11783507" w14:textId="77777777" w:rsidR="00577D08" w:rsidRDefault="00330FC0">
            <w:pPr>
              <w:jc w:val="right"/>
            </w:pPr>
            <w:r>
              <w:rPr>
                <w:rFonts w:hint="eastAsia"/>
              </w:rPr>
              <w:t>177,329.98</w:t>
            </w:r>
          </w:p>
        </w:tc>
      </w:tr>
      <w:tr w:rsidR="00577D08" w14:paraId="210B8E06" w14:textId="77777777">
        <w:trPr>
          <w:cantSplit/>
        </w:trPr>
        <w:tc>
          <w:tcPr>
            <w:tcW w:w="3031" w:type="dxa"/>
          </w:tcPr>
          <w:p w14:paraId="7DA130DF" w14:textId="77777777" w:rsidR="00577D08" w:rsidRDefault="00330FC0">
            <w:pPr>
              <w:ind w:right="105"/>
            </w:pPr>
            <w:r>
              <w:rPr>
                <w:rFonts w:hint="eastAsia"/>
              </w:rPr>
              <w:t>印花税</w:t>
            </w:r>
          </w:p>
        </w:tc>
        <w:tc>
          <w:tcPr>
            <w:tcW w:w="3006" w:type="dxa"/>
          </w:tcPr>
          <w:p w14:paraId="2BDCC3C3" w14:textId="77777777" w:rsidR="00577D08" w:rsidRDefault="00330FC0">
            <w:pPr>
              <w:ind w:right="73"/>
              <w:jc w:val="right"/>
            </w:pPr>
            <w:r>
              <w:rPr>
                <w:rFonts w:hint="eastAsia"/>
              </w:rPr>
              <w:t>438,901.85</w:t>
            </w:r>
          </w:p>
        </w:tc>
        <w:tc>
          <w:tcPr>
            <w:tcW w:w="3011" w:type="dxa"/>
          </w:tcPr>
          <w:p w14:paraId="4F4EE748" w14:textId="77777777" w:rsidR="00577D08" w:rsidRDefault="00330FC0">
            <w:pPr>
              <w:jc w:val="right"/>
            </w:pPr>
            <w:r>
              <w:rPr>
                <w:rFonts w:hint="eastAsia"/>
              </w:rPr>
              <w:t>421,765.82</w:t>
            </w:r>
          </w:p>
        </w:tc>
      </w:tr>
      <w:tr w:rsidR="00577D08" w14:paraId="3281B616" w14:textId="77777777">
        <w:trPr>
          <w:cantSplit/>
        </w:trPr>
        <w:tc>
          <w:tcPr>
            <w:tcW w:w="3031" w:type="dxa"/>
          </w:tcPr>
          <w:p w14:paraId="53543FFD" w14:textId="77777777" w:rsidR="00577D08" w:rsidRDefault="00330FC0">
            <w:pPr>
              <w:ind w:right="105"/>
            </w:pPr>
            <w:r>
              <w:rPr>
                <w:rFonts w:hint="eastAsia"/>
              </w:rPr>
              <w:t>其他</w:t>
            </w:r>
          </w:p>
        </w:tc>
        <w:tc>
          <w:tcPr>
            <w:tcW w:w="3006" w:type="dxa"/>
          </w:tcPr>
          <w:p w14:paraId="6227B582" w14:textId="77777777" w:rsidR="00577D08" w:rsidRDefault="00330FC0">
            <w:pPr>
              <w:ind w:right="73"/>
              <w:jc w:val="right"/>
            </w:pPr>
            <w:r>
              <w:rPr>
                <w:rFonts w:hint="eastAsia"/>
              </w:rPr>
              <w:t>109,150.19</w:t>
            </w:r>
          </w:p>
        </w:tc>
        <w:tc>
          <w:tcPr>
            <w:tcW w:w="3011" w:type="dxa"/>
          </w:tcPr>
          <w:p w14:paraId="286B2BF2" w14:textId="77777777" w:rsidR="00577D08" w:rsidRDefault="00330FC0">
            <w:pPr>
              <w:jc w:val="right"/>
            </w:pPr>
            <w:r>
              <w:rPr>
                <w:rFonts w:hint="eastAsia"/>
              </w:rPr>
              <w:t>88,623.39</w:t>
            </w:r>
          </w:p>
        </w:tc>
      </w:tr>
      <w:tr w:rsidR="00577D08" w14:paraId="51E62F6C" w14:textId="77777777">
        <w:trPr>
          <w:cantSplit/>
        </w:trPr>
        <w:tc>
          <w:tcPr>
            <w:tcW w:w="3031" w:type="dxa"/>
            <w:vAlign w:val="center"/>
          </w:tcPr>
          <w:p w14:paraId="3533354C" w14:textId="77777777" w:rsidR="00577D08" w:rsidRDefault="00330FC0">
            <w:pPr>
              <w:ind w:right="105"/>
              <w:jc w:val="center"/>
            </w:pPr>
            <w:r>
              <w:rPr>
                <w:rFonts w:hint="eastAsia"/>
              </w:rPr>
              <w:t>合计</w:t>
            </w:r>
          </w:p>
        </w:tc>
        <w:tc>
          <w:tcPr>
            <w:tcW w:w="3006" w:type="dxa"/>
          </w:tcPr>
          <w:p w14:paraId="08906D25" w14:textId="77777777" w:rsidR="00577D08" w:rsidRDefault="00330FC0">
            <w:pPr>
              <w:ind w:right="73"/>
              <w:jc w:val="right"/>
            </w:pPr>
            <w:r>
              <w:t>39,888,756.49</w:t>
            </w:r>
          </w:p>
        </w:tc>
        <w:tc>
          <w:tcPr>
            <w:tcW w:w="3011" w:type="dxa"/>
          </w:tcPr>
          <w:p w14:paraId="27B7D153" w14:textId="77777777" w:rsidR="00577D08" w:rsidRDefault="00330FC0">
            <w:pPr>
              <w:jc w:val="right"/>
            </w:pPr>
            <w:r>
              <w:t>25,876,715.10</w:t>
            </w:r>
          </w:p>
        </w:tc>
      </w:tr>
    </w:tbl>
    <w:p w14:paraId="06B62D03" w14:textId="77777777" w:rsidR="00577D08" w:rsidRDefault="00330FC0">
      <w:r>
        <w:rPr>
          <w:rFonts w:hint="eastAsia"/>
        </w:rPr>
        <w:t>其他说明：</w:t>
      </w:r>
    </w:p>
    <w:sdt>
      <w:sdtPr>
        <w:alias w:val="应交税金的说明"/>
        <w:tag w:val="_GBC_e365cc8f407645ca84ccf91263d3cc28"/>
        <w:id w:val="933708712"/>
        <w:placeholder>
          <w:docPart w:val="GBC22222222222222222222222222222"/>
        </w:placeholder>
      </w:sdtPr>
      <w:sdtContent>
        <w:p w14:paraId="15E97959" w14:textId="77777777" w:rsidR="00577D08" w:rsidRDefault="00330FC0">
          <w:r>
            <w:rPr>
              <w:rFonts w:hint="eastAsia"/>
            </w:rPr>
            <w:t>无</w:t>
          </w:r>
        </w:p>
      </w:sdtContent>
    </w:sdt>
    <w:p w14:paraId="38E11A15" w14:textId="77777777" w:rsidR="00577D08" w:rsidRDefault="00577D08"/>
    <w:p w14:paraId="2EB26DCC" w14:textId="77777777" w:rsidR="00577D08" w:rsidRDefault="00330FC0">
      <w:pPr>
        <w:pStyle w:val="3"/>
        <w:numPr>
          <w:ilvl w:val="0"/>
          <w:numId w:val="61"/>
        </w:numPr>
        <w:tabs>
          <w:tab w:val="left" w:pos="504"/>
        </w:tabs>
        <w:rPr>
          <w:szCs w:val="21"/>
        </w:rPr>
      </w:pPr>
      <w:r>
        <w:rPr>
          <w:rFonts w:hint="eastAsia"/>
          <w:szCs w:val="21"/>
        </w:rPr>
        <w:t>其他应付款</w:t>
      </w:r>
    </w:p>
    <w:p w14:paraId="0E2B009B" w14:textId="77777777" w:rsidR="00577D08" w:rsidRDefault="00330FC0">
      <w:pPr>
        <w:pStyle w:val="4"/>
        <w:numPr>
          <w:ilvl w:val="0"/>
          <w:numId w:val="91"/>
        </w:numPr>
        <w:rPr>
          <w:rFonts w:hint="eastAsia"/>
        </w:rPr>
      </w:pPr>
      <w:bookmarkStart w:id="429" w:name="_Hlk532910042"/>
      <w:r>
        <w:rPr>
          <w:rFonts w:hint="eastAsia"/>
        </w:rPr>
        <w:t>项目列示</w:t>
      </w:r>
    </w:p>
    <w:sdt>
      <w:sdtPr>
        <w:alias w:val="是否适用：其他应付款分类列示[双击切换]"/>
        <w:tag w:val="_GBC_66f20e30acfe43c3b4edf860d086ad10"/>
        <w:id w:val="-861285612"/>
        <w:placeholder>
          <w:docPart w:val="GBC22222222222222222222222222222"/>
        </w:placeholder>
      </w:sdtPr>
      <w:sdtContent>
        <w:p w14:paraId="22C2F77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9BD903" w14:textId="56472744" w:rsidR="00577D08" w:rsidRDefault="00330FC0">
      <w:pPr>
        <w:jc w:val="right"/>
      </w:pPr>
      <w:r>
        <w:rPr>
          <w:rFonts w:hint="eastAsia"/>
        </w:rPr>
        <w:t>单位：</w:t>
      </w:r>
      <w:sdt>
        <w:sdtPr>
          <w:rPr>
            <w:rFonts w:hint="eastAsia"/>
          </w:rPr>
          <w:alias w:val="单位：其他应付款分类列示"/>
          <w:tag w:val="_GBC_1d2c755c7a60470390b86f677f589d52"/>
          <w:id w:val="645343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其他应付款分类列示"/>
          <w:tag w:val="_GBC_54becc5fdf374134a56007701ad1c4e0"/>
          <w:id w:val="-4119335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77D08" w14:paraId="559A4AE3" w14:textId="77777777">
        <w:sdt>
          <w:sdtPr>
            <w:tag w:val="_PLD_5b32323c48c441e4832da1fe28654990"/>
            <w:id w:val="-1458873300"/>
          </w:sdtPr>
          <w:sdtContent>
            <w:tc>
              <w:tcPr>
                <w:tcW w:w="3308" w:type="dxa"/>
                <w:vAlign w:val="center"/>
              </w:tcPr>
              <w:p w14:paraId="71E10095" w14:textId="77777777" w:rsidR="00577D08" w:rsidRDefault="00330FC0">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427fe40919c945eaada0e2529b497787"/>
            <w:id w:val="1720935050"/>
          </w:sdtPr>
          <w:sdtContent>
            <w:tc>
              <w:tcPr>
                <w:tcW w:w="2863" w:type="dxa"/>
                <w:vAlign w:val="center"/>
              </w:tcPr>
              <w:p w14:paraId="5FE052AE" w14:textId="77777777" w:rsidR="00577D08" w:rsidRDefault="00330FC0">
                <w:pPr>
                  <w:jc w:val="center"/>
                </w:pPr>
                <w:r>
                  <w:rPr>
                    <w:rFonts w:hint="eastAsia"/>
                  </w:rPr>
                  <w:t>期末余额</w:t>
                </w:r>
              </w:p>
            </w:tc>
          </w:sdtContent>
        </w:sdt>
        <w:sdt>
          <w:sdtPr>
            <w:tag w:val="_PLD_963dd0fff1a644319fa667127e37c635"/>
            <w:id w:val="-1322108323"/>
          </w:sdtPr>
          <w:sdtContent>
            <w:tc>
              <w:tcPr>
                <w:tcW w:w="2877" w:type="dxa"/>
                <w:vAlign w:val="center"/>
              </w:tcPr>
              <w:p w14:paraId="3BD0D579" w14:textId="77777777" w:rsidR="00577D08" w:rsidRDefault="00330FC0">
                <w:pPr>
                  <w:jc w:val="center"/>
                </w:pPr>
                <w:r>
                  <w:rPr>
                    <w:rFonts w:hint="eastAsia"/>
                  </w:rPr>
                  <w:t>期初余额</w:t>
                </w:r>
              </w:p>
            </w:tc>
          </w:sdtContent>
        </w:sdt>
      </w:tr>
      <w:tr w:rsidR="00577D08" w14:paraId="0E07140F" w14:textId="77777777">
        <w:tc>
          <w:tcPr>
            <w:tcW w:w="3308" w:type="dxa"/>
            <w:vAlign w:val="center"/>
          </w:tcPr>
          <w:p w14:paraId="1B37CEB1" w14:textId="77777777" w:rsidR="00577D08" w:rsidRDefault="00330FC0">
            <w:pPr>
              <w:tabs>
                <w:tab w:val="right" w:pos="3690"/>
                <w:tab w:val="right" w:pos="5130"/>
                <w:tab w:val="right" w:pos="6030"/>
                <w:tab w:val="right" w:pos="7650"/>
                <w:tab w:val="right" w:pos="9270"/>
              </w:tabs>
              <w:adjustRightInd w:val="0"/>
              <w:snapToGrid w:val="0"/>
            </w:pPr>
            <w:r>
              <w:rPr>
                <w:rFonts w:hint="eastAsia"/>
              </w:rPr>
              <w:t>应付利息</w:t>
            </w:r>
          </w:p>
        </w:tc>
        <w:tc>
          <w:tcPr>
            <w:tcW w:w="2863" w:type="dxa"/>
            <w:vAlign w:val="center"/>
          </w:tcPr>
          <w:p w14:paraId="4701292D" w14:textId="77777777" w:rsidR="00577D08" w:rsidRDefault="00577D08">
            <w:pPr>
              <w:tabs>
                <w:tab w:val="right" w:pos="3690"/>
                <w:tab w:val="right" w:pos="5130"/>
                <w:tab w:val="right" w:pos="6030"/>
                <w:tab w:val="right" w:pos="7650"/>
                <w:tab w:val="right" w:pos="9270"/>
              </w:tabs>
              <w:adjustRightInd w:val="0"/>
              <w:snapToGrid w:val="0"/>
              <w:jc w:val="right"/>
            </w:pPr>
          </w:p>
        </w:tc>
        <w:tc>
          <w:tcPr>
            <w:tcW w:w="2877" w:type="dxa"/>
            <w:vAlign w:val="center"/>
          </w:tcPr>
          <w:p w14:paraId="12958B20" w14:textId="77777777" w:rsidR="00577D08" w:rsidRDefault="00577D08">
            <w:pPr>
              <w:tabs>
                <w:tab w:val="right" w:pos="3690"/>
                <w:tab w:val="right" w:pos="5130"/>
                <w:tab w:val="right" w:pos="6030"/>
                <w:tab w:val="right" w:pos="7650"/>
                <w:tab w:val="right" w:pos="9270"/>
              </w:tabs>
              <w:adjustRightInd w:val="0"/>
              <w:snapToGrid w:val="0"/>
              <w:jc w:val="right"/>
            </w:pPr>
          </w:p>
        </w:tc>
      </w:tr>
      <w:tr w:rsidR="00577D08" w14:paraId="3A9CB70A" w14:textId="77777777">
        <w:tc>
          <w:tcPr>
            <w:tcW w:w="3308" w:type="dxa"/>
            <w:vAlign w:val="center"/>
          </w:tcPr>
          <w:p w14:paraId="4099373A" w14:textId="77777777" w:rsidR="00577D08" w:rsidRDefault="00330FC0">
            <w:pPr>
              <w:tabs>
                <w:tab w:val="right" w:pos="3690"/>
                <w:tab w:val="right" w:pos="5130"/>
                <w:tab w:val="right" w:pos="6030"/>
                <w:tab w:val="right" w:pos="7650"/>
                <w:tab w:val="right" w:pos="9270"/>
              </w:tabs>
              <w:adjustRightInd w:val="0"/>
              <w:snapToGrid w:val="0"/>
            </w:pPr>
            <w:r>
              <w:rPr>
                <w:rFonts w:hint="eastAsia"/>
              </w:rPr>
              <w:t>应付股利</w:t>
            </w:r>
          </w:p>
        </w:tc>
        <w:tc>
          <w:tcPr>
            <w:tcW w:w="2863" w:type="dxa"/>
            <w:vAlign w:val="center"/>
          </w:tcPr>
          <w:p w14:paraId="50E87340" w14:textId="77777777" w:rsidR="00577D08" w:rsidRDefault="00577D08">
            <w:pPr>
              <w:tabs>
                <w:tab w:val="right" w:pos="3690"/>
                <w:tab w:val="right" w:pos="5130"/>
                <w:tab w:val="right" w:pos="6030"/>
                <w:tab w:val="right" w:pos="7650"/>
                <w:tab w:val="right" w:pos="9270"/>
              </w:tabs>
              <w:adjustRightInd w:val="0"/>
              <w:snapToGrid w:val="0"/>
              <w:jc w:val="right"/>
            </w:pPr>
          </w:p>
        </w:tc>
        <w:tc>
          <w:tcPr>
            <w:tcW w:w="2877" w:type="dxa"/>
            <w:vAlign w:val="center"/>
          </w:tcPr>
          <w:p w14:paraId="009A4D86" w14:textId="77777777" w:rsidR="00577D08" w:rsidRDefault="00577D08">
            <w:pPr>
              <w:tabs>
                <w:tab w:val="right" w:pos="3690"/>
                <w:tab w:val="right" w:pos="5130"/>
                <w:tab w:val="right" w:pos="6030"/>
                <w:tab w:val="right" w:pos="7650"/>
                <w:tab w:val="right" w:pos="9270"/>
              </w:tabs>
              <w:adjustRightInd w:val="0"/>
              <w:snapToGrid w:val="0"/>
              <w:jc w:val="right"/>
            </w:pPr>
          </w:p>
        </w:tc>
      </w:tr>
      <w:tr w:rsidR="00577D08" w14:paraId="6E48CECF" w14:textId="77777777">
        <w:tc>
          <w:tcPr>
            <w:tcW w:w="3308" w:type="dxa"/>
            <w:vAlign w:val="center"/>
          </w:tcPr>
          <w:p w14:paraId="2926DEAA" w14:textId="77777777" w:rsidR="00577D08" w:rsidRDefault="00330FC0">
            <w:pPr>
              <w:tabs>
                <w:tab w:val="right" w:pos="3690"/>
                <w:tab w:val="right" w:pos="5130"/>
                <w:tab w:val="right" w:pos="6030"/>
                <w:tab w:val="right" w:pos="7650"/>
                <w:tab w:val="right" w:pos="9270"/>
              </w:tabs>
              <w:adjustRightInd w:val="0"/>
              <w:snapToGrid w:val="0"/>
            </w:pPr>
            <w:r>
              <w:rPr>
                <w:rFonts w:hint="eastAsia"/>
              </w:rPr>
              <w:t>其他应付款</w:t>
            </w:r>
          </w:p>
        </w:tc>
        <w:tc>
          <w:tcPr>
            <w:tcW w:w="2863" w:type="dxa"/>
          </w:tcPr>
          <w:p w14:paraId="5338F181" w14:textId="77777777" w:rsidR="00577D08" w:rsidRDefault="00330FC0">
            <w:pPr>
              <w:tabs>
                <w:tab w:val="right" w:pos="3690"/>
                <w:tab w:val="right" w:pos="5130"/>
                <w:tab w:val="right" w:pos="6030"/>
                <w:tab w:val="right" w:pos="7650"/>
                <w:tab w:val="right" w:pos="9270"/>
              </w:tabs>
              <w:adjustRightInd w:val="0"/>
              <w:snapToGrid w:val="0"/>
              <w:jc w:val="right"/>
            </w:pPr>
            <w:r>
              <w:t>62,168,818.34</w:t>
            </w:r>
          </w:p>
        </w:tc>
        <w:tc>
          <w:tcPr>
            <w:tcW w:w="2877" w:type="dxa"/>
          </w:tcPr>
          <w:p w14:paraId="4A95C239" w14:textId="77777777" w:rsidR="00577D08" w:rsidRDefault="00330FC0">
            <w:pPr>
              <w:tabs>
                <w:tab w:val="right" w:pos="3690"/>
                <w:tab w:val="right" w:pos="5130"/>
                <w:tab w:val="right" w:pos="6030"/>
                <w:tab w:val="right" w:pos="7650"/>
                <w:tab w:val="right" w:pos="9270"/>
              </w:tabs>
              <w:adjustRightInd w:val="0"/>
              <w:snapToGrid w:val="0"/>
              <w:jc w:val="right"/>
            </w:pPr>
            <w:r>
              <w:t>60,784,232.00</w:t>
            </w:r>
          </w:p>
        </w:tc>
      </w:tr>
      <w:tr w:rsidR="00577D08" w14:paraId="42EE8760" w14:textId="77777777">
        <w:tc>
          <w:tcPr>
            <w:tcW w:w="3308" w:type="dxa"/>
            <w:vAlign w:val="center"/>
          </w:tcPr>
          <w:p w14:paraId="7A32CDB0" w14:textId="77777777" w:rsidR="00577D08" w:rsidRDefault="00330FC0">
            <w:pPr>
              <w:tabs>
                <w:tab w:val="right" w:pos="3690"/>
                <w:tab w:val="right" w:pos="5130"/>
                <w:tab w:val="right" w:pos="6030"/>
                <w:tab w:val="right" w:pos="7650"/>
                <w:tab w:val="right" w:pos="9270"/>
              </w:tabs>
              <w:adjustRightInd w:val="0"/>
              <w:snapToGrid w:val="0"/>
            </w:pPr>
            <w:r>
              <w:rPr>
                <w:rFonts w:hint="eastAsia"/>
              </w:rPr>
              <w:t>合计</w:t>
            </w:r>
          </w:p>
        </w:tc>
        <w:tc>
          <w:tcPr>
            <w:tcW w:w="2863" w:type="dxa"/>
          </w:tcPr>
          <w:p w14:paraId="0A09C7C3" w14:textId="77777777" w:rsidR="00577D08" w:rsidRDefault="00330FC0">
            <w:pPr>
              <w:tabs>
                <w:tab w:val="right" w:pos="3690"/>
                <w:tab w:val="right" w:pos="5130"/>
                <w:tab w:val="right" w:pos="6030"/>
                <w:tab w:val="right" w:pos="7650"/>
                <w:tab w:val="right" w:pos="9270"/>
              </w:tabs>
              <w:adjustRightInd w:val="0"/>
              <w:snapToGrid w:val="0"/>
              <w:jc w:val="right"/>
            </w:pPr>
            <w:r>
              <w:t>62,168,818.34</w:t>
            </w:r>
          </w:p>
        </w:tc>
        <w:tc>
          <w:tcPr>
            <w:tcW w:w="2877" w:type="dxa"/>
          </w:tcPr>
          <w:p w14:paraId="344129D4" w14:textId="77777777" w:rsidR="00577D08" w:rsidRDefault="00330FC0">
            <w:pPr>
              <w:tabs>
                <w:tab w:val="right" w:pos="3690"/>
                <w:tab w:val="right" w:pos="5130"/>
                <w:tab w:val="right" w:pos="6030"/>
                <w:tab w:val="right" w:pos="7650"/>
                <w:tab w:val="right" w:pos="9270"/>
              </w:tabs>
              <w:adjustRightInd w:val="0"/>
              <w:snapToGrid w:val="0"/>
              <w:jc w:val="right"/>
            </w:pPr>
            <w:r>
              <w:t>60,784,232.00</w:t>
            </w:r>
          </w:p>
        </w:tc>
      </w:tr>
    </w:tbl>
    <w:p w14:paraId="53CC5427" w14:textId="77777777" w:rsidR="00577D08" w:rsidRDefault="00330FC0">
      <w:bookmarkStart w:id="430" w:name="_Hlk155097683"/>
      <w:r>
        <w:rPr>
          <w:rFonts w:hint="eastAsia"/>
        </w:rPr>
        <w:t>其他说明：</w:t>
      </w:r>
    </w:p>
    <w:sdt>
      <w:sdtPr>
        <w:alias w:val="是否适用：其他应付款分类列示其他说明[双击切换]"/>
        <w:tag w:val="_GBC_9cfb2316deee44a8a3605ab376f15408"/>
        <w:id w:val="1144786955"/>
        <w:placeholder>
          <w:docPart w:val="GBC22222222222222222222222222222"/>
        </w:placeholder>
      </w:sdtPr>
      <w:sdtContent>
        <w:p w14:paraId="60C533A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5CA069" w14:textId="77777777" w:rsidR="00577D08" w:rsidRDefault="00330FC0">
      <w:pPr>
        <w:pStyle w:val="4"/>
        <w:numPr>
          <w:ilvl w:val="0"/>
          <w:numId w:val="91"/>
        </w:numPr>
        <w:rPr>
          <w:rFonts w:ascii="宋体" w:eastAsia="宋体" w:hAnsi="宋体" w:cs="宋体" w:hint="eastAsia"/>
          <w:kern w:val="0"/>
          <w:szCs w:val="24"/>
        </w:rPr>
      </w:pPr>
      <w:r>
        <w:rPr>
          <w:rFonts w:ascii="宋体" w:eastAsia="宋体" w:hAnsi="宋体" w:cs="宋体" w:hint="eastAsia"/>
          <w:kern w:val="0"/>
          <w:szCs w:val="24"/>
        </w:rPr>
        <w:t>应付利息</w:t>
      </w:r>
    </w:p>
    <w:p w14:paraId="64829BD5" w14:textId="77777777" w:rsidR="00577D08" w:rsidRDefault="00330FC0">
      <w:r>
        <w:rPr>
          <w:rFonts w:hint="eastAsia"/>
        </w:rPr>
        <w:t>分类列示</w:t>
      </w:r>
    </w:p>
    <w:sdt>
      <w:sdtPr>
        <w:alias w:val="是否适用：应付利息[双击切换]"/>
        <w:tag w:val="_GBC_563016e83d32408f90ee8ae140b7dccd"/>
        <w:id w:val="917373295"/>
        <w:placeholder>
          <w:docPart w:val="GBC22222222222222222222222222222"/>
        </w:placeholder>
      </w:sdtPr>
      <w:sdtContent>
        <w:p w14:paraId="01A1235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DD61FE5" w14:textId="77777777" w:rsidR="00577D08" w:rsidRDefault="00330FC0">
      <w:r>
        <w:rPr>
          <w:rFonts w:hint="eastAsia"/>
        </w:rPr>
        <w:t>逾期的重要应付利息：</w:t>
      </w:r>
    </w:p>
    <w:sdt>
      <w:sdtPr>
        <w:alias w:val="是否适用：重要的已逾期未支付的利息情况[双击切换]"/>
        <w:tag w:val="_GBC_e97342df449a4b51897b93180a76915c"/>
        <w:id w:val="1532608136"/>
        <w:placeholder>
          <w:docPart w:val="GBC22222222222222222222222222222"/>
        </w:placeholder>
      </w:sdtPr>
      <w:sdtContent>
        <w:p w14:paraId="3A9252C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7DB528" w14:textId="77777777" w:rsidR="00577D08" w:rsidRDefault="00330FC0">
      <w:pPr>
        <w:spacing w:before="60" w:after="60"/>
      </w:pPr>
      <w:r>
        <w:rPr>
          <w:rFonts w:hint="eastAsia"/>
        </w:rPr>
        <w:t>其他说明：</w:t>
      </w:r>
    </w:p>
    <w:p w14:paraId="639B8510" w14:textId="77777777" w:rsidR="00577D08" w:rsidRDefault="00000000">
      <w:pPr>
        <w:spacing w:before="60" w:after="60"/>
      </w:pPr>
      <w:sdt>
        <w:sdtPr>
          <w:alias w:val="是否适用：应付利息说明[双击切换]"/>
          <w:tag w:val="_GBC_8e7eb675343843e89996290865d02478"/>
          <w:id w:val="1604539469"/>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604CA63B" w14:textId="77777777" w:rsidR="00577D08" w:rsidRDefault="00330FC0">
      <w:pPr>
        <w:pStyle w:val="4"/>
        <w:numPr>
          <w:ilvl w:val="0"/>
          <w:numId w:val="91"/>
        </w:numPr>
        <w:rPr>
          <w:rFonts w:ascii="宋体" w:eastAsia="宋体" w:hAnsi="宋体" w:cs="宋体" w:hint="eastAsia"/>
          <w:kern w:val="0"/>
          <w:szCs w:val="24"/>
        </w:rPr>
      </w:pPr>
      <w:r>
        <w:rPr>
          <w:rFonts w:ascii="宋体" w:eastAsia="宋体" w:hAnsi="宋体" w:cs="宋体" w:hint="eastAsia"/>
          <w:kern w:val="0"/>
          <w:szCs w:val="24"/>
        </w:rPr>
        <w:t>应付股利</w:t>
      </w:r>
    </w:p>
    <w:p w14:paraId="77920317" w14:textId="77777777" w:rsidR="00577D08" w:rsidRDefault="00330FC0">
      <w:r>
        <w:rPr>
          <w:rFonts w:hint="eastAsia"/>
        </w:rPr>
        <w:t>分类列示</w:t>
      </w:r>
    </w:p>
    <w:sdt>
      <w:sdtPr>
        <w:alias w:val="是否适用：应付股利[双击切换]"/>
        <w:tag w:val="_GBC_b5ae3881f6d849679d4053b7e1707366"/>
        <w:id w:val="-651762523"/>
        <w:placeholder>
          <w:docPart w:val="GBC22222222222222222222222222222"/>
        </w:placeholder>
      </w:sdtPr>
      <w:sdtContent>
        <w:p w14:paraId="378D8B8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C2DC155" w14:textId="77777777" w:rsidR="00577D08" w:rsidRDefault="00330FC0">
      <w:pPr>
        <w:pStyle w:val="4"/>
        <w:numPr>
          <w:ilvl w:val="0"/>
          <w:numId w:val="91"/>
        </w:numPr>
        <w:rPr>
          <w:rFonts w:ascii="宋体" w:eastAsia="宋体" w:hAnsi="宋体" w:cs="宋体" w:hint="eastAsia"/>
          <w:kern w:val="0"/>
          <w:szCs w:val="24"/>
        </w:rPr>
      </w:pPr>
      <w:r>
        <w:rPr>
          <w:rFonts w:ascii="宋体" w:eastAsia="宋体" w:hAnsi="宋体" w:cs="宋体" w:hint="eastAsia"/>
          <w:kern w:val="0"/>
          <w:szCs w:val="24"/>
        </w:rPr>
        <w:t>其他应付款</w:t>
      </w:r>
    </w:p>
    <w:p w14:paraId="125EC22F" w14:textId="77777777" w:rsidR="00577D08" w:rsidRDefault="00330FC0">
      <w:r>
        <w:rPr>
          <w:rFonts w:hint="eastAsia"/>
        </w:rPr>
        <w:t>按款项性质列示其他应付款</w:t>
      </w:r>
    </w:p>
    <w:sdt>
      <w:sdtPr>
        <w:alias w:val="是否适用：按款项性质列示其他应付款[双击切换]"/>
        <w:tag w:val="_GBC_57fbe084a94a43569e8618c84187e188"/>
        <w:id w:val="-835297248"/>
        <w:placeholder>
          <w:docPart w:val="GBC22222222222222222222222222222"/>
        </w:placeholder>
      </w:sdtPr>
      <w:sdtContent>
        <w:p w14:paraId="584C328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E3C553D" w14:textId="1C6F7ECF" w:rsidR="00577D08" w:rsidRDefault="00330FC0">
      <w:pPr>
        <w:jc w:val="right"/>
      </w:pPr>
      <w:r>
        <w:rPr>
          <w:rFonts w:hint="eastAsia"/>
        </w:rPr>
        <w:t>单位：</w:t>
      </w:r>
      <w:sdt>
        <w:sdtPr>
          <w:rPr>
            <w:rFonts w:hint="eastAsia"/>
          </w:rPr>
          <w:alias w:val="单位：财务附注：其他应付款情况"/>
          <w:tag w:val="_GBC_d726e1428c6749b29d7f0a192835a738"/>
          <w:id w:val="166445284"/>
          <w:placeholder>
            <w:docPart w:val="2F682037E6A44CD4981658354158980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其他应付款情况"/>
          <w:tag w:val="_GBC_d6d5ce55cea54bfdb348f465f935498d"/>
          <w:id w:val="1074549463"/>
          <w:placeholder>
            <w:docPart w:val="2F682037E6A44CD4981658354158980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2998"/>
        <w:gridCol w:w="3127"/>
      </w:tblGrid>
      <w:tr w:rsidR="00577D08" w14:paraId="209E3CCA" w14:textId="77777777">
        <w:sdt>
          <w:sdtPr>
            <w:tag w:val="_PLD_93c8bd274adc4f10996e441415613a6a"/>
            <w:id w:val="1400015749"/>
          </w:sdtPr>
          <w:sdtContent>
            <w:tc>
              <w:tcPr>
                <w:tcW w:w="2922" w:type="dxa"/>
                <w:vAlign w:val="center"/>
              </w:tcPr>
              <w:p w14:paraId="6B9EF553" w14:textId="77777777" w:rsidR="00577D08" w:rsidRDefault="00330FC0">
                <w:pPr>
                  <w:jc w:val="center"/>
                </w:pPr>
                <w:r>
                  <w:rPr>
                    <w:rFonts w:hint="eastAsia"/>
                  </w:rPr>
                  <w:t>项目</w:t>
                </w:r>
              </w:p>
            </w:tc>
          </w:sdtContent>
        </w:sdt>
        <w:sdt>
          <w:sdtPr>
            <w:tag w:val="_PLD_a5c3f7ebd9dd4870a971a7b858fb9f49"/>
            <w:id w:val="-1079984685"/>
          </w:sdtPr>
          <w:sdtContent>
            <w:tc>
              <w:tcPr>
                <w:tcW w:w="2998" w:type="dxa"/>
                <w:vAlign w:val="center"/>
              </w:tcPr>
              <w:p w14:paraId="4C366E35" w14:textId="77777777" w:rsidR="00577D08" w:rsidRDefault="00330FC0">
                <w:pPr>
                  <w:jc w:val="center"/>
                </w:pPr>
                <w:r>
                  <w:rPr>
                    <w:rFonts w:hint="eastAsia"/>
                  </w:rPr>
                  <w:t>期末余额</w:t>
                </w:r>
              </w:p>
            </w:tc>
          </w:sdtContent>
        </w:sdt>
        <w:sdt>
          <w:sdtPr>
            <w:tag w:val="_PLD_f8823e49aba34d32b07cafa41f32e166"/>
            <w:id w:val="-1286185682"/>
          </w:sdtPr>
          <w:sdtContent>
            <w:tc>
              <w:tcPr>
                <w:tcW w:w="3127" w:type="dxa"/>
                <w:vAlign w:val="center"/>
              </w:tcPr>
              <w:p w14:paraId="5F2EC73C" w14:textId="77777777" w:rsidR="00577D08" w:rsidRDefault="00330FC0">
                <w:pPr>
                  <w:jc w:val="center"/>
                </w:pPr>
                <w:r>
                  <w:rPr>
                    <w:rFonts w:hint="eastAsia"/>
                  </w:rPr>
                  <w:t>期初余额</w:t>
                </w:r>
              </w:p>
            </w:tc>
          </w:sdtContent>
        </w:sdt>
      </w:tr>
      <w:tr w:rsidR="00577D08" w14:paraId="5889864B" w14:textId="77777777">
        <w:tc>
          <w:tcPr>
            <w:tcW w:w="2922" w:type="dxa"/>
          </w:tcPr>
          <w:p w14:paraId="718ECBC0" w14:textId="77777777" w:rsidR="00577D08" w:rsidRDefault="00330FC0">
            <w:r>
              <w:rPr>
                <w:rFonts w:hint="eastAsia"/>
              </w:rPr>
              <w:t>预提费用及报销款项</w:t>
            </w:r>
          </w:p>
        </w:tc>
        <w:tc>
          <w:tcPr>
            <w:tcW w:w="2998" w:type="dxa"/>
          </w:tcPr>
          <w:p w14:paraId="0E2B71B3" w14:textId="77777777" w:rsidR="00577D08" w:rsidRDefault="00330FC0">
            <w:pPr>
              <w:jc w:val="right"/>
            </w:pPr>
            <w:r>
              <w:rPr>
                <w:rFonts w:hint="eastAsia"/>
              </w:rPr>
              <w:t>19,505,477.34</w:t>
            </w:r>
          </w:p>
        </w:tc>
        <w:tc>
          <w:tcPr>
            <w:tcW w:w="3127" w:type="dxa"/>
          </w:tcPr>
          <w:p w14:paraId="33B597B3" w14:textId="77777777" w:rsidR="00577D08" w:rsidRDefault="00330FC0">
            <w:pPr>
              <w:jc w:val="right"/>
            </w:pPr>
            <w:r>
              <w:rPr>
                <w:rFonts w:hint="eastAsia"/>
              </w:rPr>
              <w:t>15,735,409.30</w:t>
            </w:r>
          </w:p>
        </w:tc>
      </w:tr>
      <w:tr w:rsidR="00577D08" w14:paraId="6DD4E230" w14:textId="77777777">
        <w:tc>
          <w:tcPr>
            <w:tcW w:w="2922" w:type="dxa"/>
          </w:tcPr>
          <w:p w14:paraId="2EF1C40A" w14:textId="77777777" w:rsidR="00577D08" w:rsidRDefault="00330FC0">
            <w:r>
              <w:rPr>
                <w:rFonts w:hint="eastAsia"/>
              </w:rPr>
              <w:t>限制性股票回购义务款</w:t>
            </w:r>
          </w:p>
        </w:tc>
        <w:tc>
          <w:tcPr>
            <w:tcW w:w="2998" w:type="dxa"/>
          </w:tcPr>
          <w:p w14:paraId="0BFA707A" w14:textId="77777777" w:rsidR="00577D08" w:rsidRDefault="00330FC0">
            <w:pPr>
              <w:jc w:val="right"/>
            </w:pPr>
            <w:r>
              <w:rPr>
                <w:rFonts w:hint="eastAsia"/>
              </w:rPr>
              <w:t>18,273,240.00</w:t>
            </w:r>
          </w:p>
        </w:tc>
        <w:tc>
          <w:tcPr>
            <w:tcW w:w="3127" w:type="dxa"/>
          </w:tcPr>
          <w:p w14:paraId="21B9BEAE" w14:textId="77777777" w:rsidR="00577D08" w:rsidRDefault="00330FC0">
            <w:pPr>
              <w:jc w:val="right"/>
            </w:pPr>
            <w:r>
              <w:rPr>
                <w:rFonts w:hint="eastAsia"/>
              </w:rPr>
              <w:t>20,629,500.00</w:t>
            </w:r>
          </w:p>
        </w:tc>
      </w:tr>
      <w:tr w:rsidR="00577D08" w14:paraId="3402172E" w14:textId="77777777">
        <w:tc>
          <w:tcPr>
            <w:tcW w:w="2922" w:type="dxa"/>
          </w:tcPr>
          <w:p w14:paraId="1AF6487F" w14:textId="77777777" w:rsidR="00577D08" w:rsidRDefault="00330FC0">
            <w:r>
              <w:rPr>
                <w:rFonts w:hint="eastAsia"/>
              </w:rPr>
              <w:t>往来款</w:t>
            </w:r>
          </w:p>
        </w:tc>
        <w:tc>
          <w:tcPr>
            <w:tcW w:w="2998" w:type="dxa"/>
          </w:tcPr>
          <w:p w14:paraId="7547E9C1" w14:textId="77777777" w:rsidR="00577D08" w:rsidRDefault="00330FC0">
            <w:pPr>
              <w:jc w:val="right"/>
            </w:pPr>
            <w:r>
              <w:rPr>
                <w:rFonts w:hint="eastAsia"/>
              </w:rPr>
              <w:t>7,800,000.00</w:t>
            </w:r>
          </w:p>
        </w:tc>
        <w:tc>
          <w:tcPr>
            <w:tcW w:w="3127" w:type="dxa"/>
          </w:tcPr>
          <w:p w14:paraId="62DF851A" w14:textId="77777777" w:rsidR="00577D08" w:rsidRDefault="00330FC0">
            <w:pPr>
              <w:jc w:val="right"/>
            </w:pPr>
            <w:r>
              <w:rPr>
                <w:rFonts w:hint="eastAsia"/>
              </w:rPr>
              <w:t>7,800,000.00</w:t>
            </w:r>
          </w:p>
        </w:tc>
      </w:tr>
      <w:tr w:rsidR="00577D08" w14:paraId="51FE5F3E" w14:textId="77777777">
        <w:tc>
          <w:tcPr>
            <w:tcW w:w="2922" w:type="dxa"/>
          </w:tcPr>
          <w:p w14:paraId="4F40064B" w14:textId="77777777" w:rsidR="00577D08" w:rsidRDefault="00330FC0">
            <w:r>
              <w:rPr>
                <w:rFonts w:hint="eastAsia"/>
              </w:rPr>
              <w:t>押金及保证金</w:t>
            </w:r>
          </w:p>
        </w:tc>
        <w:tc>
          <w:tcPr>
            <w:tcW w:w="2998" w:type="dxa"/>
          </w:tcPr>
          <w:p w14:paraId="663E4921" w14:textId="77777777" w:rsidR="00577D08" w:rsidRDefault="00330FC0">
            <w:pPr>
              <w:jc w:val="right"/>
            </w:pPr>
            <w:r>
              <w:rPr>
                <w:rFonts w:hint="eastAsia"/>
              </w:rPr>
              <w:t>6,058,300.00</w:t>
            </w:r>
          </w:p>
        </w:tc>
        <w:tc>
          <w:tcPr>
            <w:tcW w:w="3127" w:type="dxa"/>
          </w:tcPr>
          <w:p w14:paraId="7E8867AD" w14:textId="77777777" w:rsidR="00577D08" w:rsidRDefault="00330FC0">
            <w:pPr>
              <w:jc w:val="right"/>
            </w:pPr>
            <w:r>
              <w:rPr>
                <w:rFonts w:hint="eastAsia"/>
              </w:rPr>
              <w:t>6,605,337.52</w:t>
            </w:r>
          </w:p>
        </w:tc>
      </w:tr>
      <w:tr w:rsidR="00577D08" w14:paraId="26247FF0" w14:textId="77777777">
        <w:tc>
          <w:tcPr>
            <w:tcW w:w="2922" w:type="dxa"/>
          </w:tcPr>
          <w:p w14:paraId="2698B00E" w14:textId="77777777" w:rsidR="00577D08" w:rsidRDefault="00330FC0">
            <w:r>
              <w:rPr>
                <w:rFonts w:hint="eastAsia"/>
              </w:rPr>
              <w:t>其他</w:t>
            </w:r>
          </w:p>
        </w:tc>
        <w:tc>
          <w:tcPr>
            <w:tcW w:w="2998" w:type="dxa"/>
          </w:tcPr>
          <w:p w14:paraId="4AA6DD74" w14:textId="77777777" w:rsidR="00577D08" w:rsidRDefault="00330FC0">
            <w:pPr>
              <w:jc w:val="right"/>
            </w:pPr>
            <w:r>
              <w:rPr>
                <w:rFonts w:hint="eastAsia"/>
              </w:rPr>
              <w:t>10,531,801.00</w:t>
            </w:r>
          </w:p>
        </w:tc>
        <w:tc>
          <w:tcPr>
            <w:tcW w:w="3127" w:type="dxa"/>
          </w:tcPr>
          <w:p w14:paraId="7E8A9935" w14:textId="77777777" w:rsidR="00577D08" w:rsidRDefault="00330FC0">
            <w:pPr>
              <w:jc w:val="right"/>
            </w:pPr>
            <w:r>
              <w:rPr>
                <w:rFonts w:hint="eastAsia"/>
              </w:rPr>
              <w:t>10,013,985.18</w:t>
            </w:r>
          </w:p>
        </w:tc>
      </w:tr>
      <w:tr w:rsidR="00577D08" w14:paraId="36B5F61E" w14:textId="77777777">
        <w:tc>
          <w:tcPr>
            <w:tcW w:w="2922" w:type="dxa"/>
            <w:vAlign w:val="center"/>
          </w:tcPr>
          <w:p w14:paraId="614CF36D" w14:textId="77777777" w:rsidR="00577D08" w:rsidRDefault="00330FC0">
            <w:pPr>
              <w:jc w:val="center"/>
              <w:rPr>
                <w:color w:val="000000" w:themeColor="text1"/>
              </w:rPr>
            </w:pPr>
            <w:r>
              <w:rPr>
                <w:rFonts w:hint="eastAsia"/>
                <w:color w:val="000000" w:themeColor="text1"/>
              </w:rPr>
              <w:t>合计</w:t>
            </w:r>
          </w:p>
        </w:tc>
        <w:tc>
          <w:tcPr>
            <w:tcW w:w="2998" w:type="dxa"/>
          </w:tcPr>
          <w:p w14:paraId="6023833F" w14:textId="77777777" w:rsidR="00577D08" w:rsidRDefault="00330FC0">
            <w:pPr>
              <w:jc w:val="right"/>
            </w:pPr>
            <w:r>
              <w:t>62,168,818.34</w:t>
            </w:r>
          </w:p>
        </w:tc>
        <w:tc>
          <w:tcPr>
            <w:tcW w:w="3127" w:type="dxa"/>
          </w:tcPr>
          <w:p w14:paraId="4D6F023E" w14:textId="77777777" w:rsidR="00577D08" w:rsidRDefault="00330FC0">
            <w:pPr>
              <w:jc w:val="right"/>
            </w:pPr>
            <w:r>
              <w:t>60,784,232.00</w:t>
            </w:r>
          </w:p>
        </w:tc>
      </w:tr>
    </w:tbl>
    <w:p w14:paraId="7DAF9E75" w14:textId="77777777" w:rsidR="00577D08" w:rsidRDefault="00330FC0">
      <w:r>
        <w:rPr>
          <w:rFonts w:hint="eastAsia"/>
        </w:rPr>
        <w:t>账龄超过</w:t>
      </w:r>
      <w:r>
        <w:t>1</w:t>
      </w:r>
      <w:r>
        <w:t>年</w:t>
      </w:r>
      <w:r>
        <w:rPr>
          <w:rFonts w:hint="eastAsia"/>
        </w:rPr>
        <w:t>或逾期</w:t>
      </w:r>
      <w:r>
        <w:t>的重要其他应付款</w:t>
      </w:r>
    </w:p>
    <w:p w14:paraId="555EEC3C" w14:textId="77777777" w:rsidR="00577D08" w:rsidRDefault="00000000">
      <w:sdt>
        <w:sdtPr>
          <w:alias w:val="是否适用：账龄超过1年的重要其他应付款[双击切换]"/>
          <w:tag w:val="_GBC_fcaee62c74504c20ba2aca131c060029"/>
          <w:id w:val="177699847"/>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35998BD8" w14:textId="77777777" w:rsidR="00577D08" w:rsidRDefault="00330FC0">
      <w:r>
        <w:rPr>
          <w:rFonts w:hint="eastAsia"/>
        </w:rPr>
        <w:t>其他说明：</w:t>
      </w:r>
    </w:p>
    <w:sdt>
      <w:sdtPr>
        <w:alias w:val="是否适用：其他应付款的其他说明[双击切换]"/>
        <w:tag w:val="_GBC_b02a256e4ac940019e9d9179cb6dc349"/>
        <w:id w:val="1837032357"/>
        <w:placeholder>
          <w:docPart w:val="GBC22222222222222222222222222222"/>
        </w:placeholder>
      </w:sdtPr>
      <w:sdtContent>
        <w:p w14:paraId="5E96B35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29"/>
    <w:bookmarkEnd w:id="430"/>
    <w:p w14:paraId="566ACA39" w14:textId="77777777" w:rsidR="00577D08" w:rsidRDefault="00330FC0">
      <w:pPr>
        <w:pStyle w:val="3"/>
        <w:numPr>
          <w:ilvl w:val="0"/>
          <w:numId w:val="61"/>
        </w:numPr>
        <w:tabs>
          <w:tab w:val="left" w:pos="504"/>
        </w:tabs>
        <w:rPr>
          <w:szCs w:val="21"/>
        </w:rPr>
      </w:pPr>
      <w:r>
        <w:rPr>
          <w:rFonts w:ascii="宋体" w:hAnsi="宋体" w:hint="eastAsia"/>
          <w:szCs w:val="21"/>
        </w:rPr>
        <w:t>持有待售负债</w:t>
      </w:r>
    </w:p>
    <w:sdt>
      <w:sdtPr>
        <w:alias w:val="是否适用：划分为持有待售的负债[双击切换]"/>
        <w:tag w:val="_GBC_4ea9b2c6d4024d74b39e491f80a07798"/>
        <w:id w:val="-952475517"/>
        <w:placeholder>
          <w:docPart w:val="GBC22222222222222222222222222222"/>
        </w:placeholder>
      </w:sdtPr>
      <w:sdtContent>
        <w:p w14:paraId="59DCE0B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9A4ED66" w14:textId="77777777" w:rsidR="00577D08" w:rsidRDefault="00330FC0">
      <w:pPr>
        <w:pStyle w:val="3"/>
        <w:numPr>
          <w:ilvl w:val="0"/>
          <w:numId w:val="61"/>
        </w:numPr>
        <w:tabs>
          <w:tab w:val="left" w:pos="504"/>
        </w:tabs>
        <w:rPr>
          <w:rFonts w:ascii="宋体" w:hAnsi="宋体" w:hint="eastAsia"/>
          <w:szCs w:val="21"/>
        </w:rPr>
      </w:pPr>
      <w:bookmarkStart w:id="431" w:name="_Hlk24104125"/>
      <w:r>
        <w:rPr>
          <w:rFonts w:ascii="宋体" w:hAnsi="宋体" w:hint="eastAsia"/>
          <w:szCs w:val="21"/>
        </w:rPr>
        <w:t>1年内到期的非流动负债</w:t>
      </w:r>
    </w:p>
    <w:sdt>
      <w:sdtPr>
        <w:alias w:val="是否适用：1年内到期的非流动负债[双击切换]"/>
        <w:tag w:val="_GBC_bf40c7464345405f8470856436e2c6a3"/>
        <w:id w:val="573327956"/>
        <w:placeholder>
          <w:docPart w:val="GBC22222222222222222222222222222"/>
        </w:placeholder>
      </w:sdtPr>
      <w:sdtContent>
        <w:p w14:paraId="173428A4"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707D31A" w14:textId="7DC12136" w:rsidR="00577D08" w:rsidRDefault="00330FC0">
      <w:pPr>
        <w:jc w:val="right"/>
      </w:pPr>
      <w:r>
        <w:rPr>
          <w:rFonts w:hint="eastAsia"/>
        </w:rPr>
        <w:t>单位：</w:t>
      </w:r>
      <w:sdt>
        <w:sdtPr>
          <w:rPr>
            <w:rFonts w:hint="eastAsia"/>
          </w:rPr>
          <w:alias w:val="单位：1年内到期的非流动负债情况"/>
          <w:tag w:val="_GBC_fc5bef9f043c4967ab706b443fc31d3c"/>
          <w:id w:val="-9199481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1年内到期的非流动负债情况"/>
          <w:tag w:val="_GBC_fbd4d32585d945468e7aeae52abddc6f"/>
          <w:id w:val="-191675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8"/>
        <w:gridCol w:w="3036"/>
        <w:gridCol w:w="3103"/>
      </w:tblGrid>
      <w:tr w:rsidR="00577D08" w14:paraId="60B0690D" w14:textId="77777777">
        <w:sdt>
          <w:sdtPr>
            <w:tag w:val="_PLD_e20bf58d6f134f4caedbea03f8659c14"/>
            <w:id w:val="-277639853"/>
          </w:sdtPr>
          <w:sdtContent>
            <w:tc>
              <w:tcPr>
                <w:tcW w:w="2908" w:type="dxa"/>
                <w:vAlign w:val="center"/>
              </w:tcPr>
              <w:p w14:paraId="123A56C7" w14:textId="77777777" w:rsidR="00577D08" w:rsidRDefault="00330FC0">
                <w:pPr>
                  <w:jc w:val="center"/>
                </w:pPr>
                <w:r>
                  <w:rPr>
                    <w:rFonts w:hint="eastAsia"/>
                  </w:rPr>
                  <w:t>项目</w:t>
                </w:r>
              </w:p>
            </w:tc>
          </w:sdtContent>
        </w:sdt>
        <w:sdt>
          <w:sdtPr>
            <w:tag w:val="_PLD_dad829d6a45646668218857399318d20"/>
            <w:id w:val="254804307"/>
          </w:sdtPr>
          <w:sdtContent>
            <w:tc>
              <w:tcPr>
                <w:tcW w:w="3036" w:type="dxa"/>
                <w:vAlign w:val="center"/>
              </w:tcPr>
              <w:p w14:paraId="631FCAF6" w14:textId="77777777" w:rsidR="00577D08" w:rsidRDefault="00330FC0">
                <w:pPr>
                  <w:jc w:val="center"/>
                </w:pPr>
                <w:r>
                  <w:rPr>
                    <w:rFonts w:hint="eastAsia"/>
                  </w:rPr>
                  <w:t>期末余额</w:t>
                </w:r>
              </w:p>
            </w:tc>
          </w:sdtContent>
        </w:sdt>
        <w:sdt>
          <w:sdtPr>
            <w:tag w:val="_PLD_9d1d036ddf0544b2b2ddd1dc5633a114"/>
            <w:id w:val="564453778"/>
          </w:sdtPr>
          <w:sdtContent>
            <w:tc>
              <w:tcPr>
                <w:tcW w:w="3103" w:type="dxa"/>
                <w:vAlign w:val="center"/>
              </w:tcPr>
              <w:p w14:paraId="55BA21D2" w14:textId="77777777" w:rsidR="00577D08" w:rsidRDefault="00330FC0">
                <w:pPr>
                  <w:jc w:val="center"/>
                </w:pPr>
                <w:r>
                  <w:rPr>
                    <w:rFonts w:hint="eastAsia"/>
                  </w:rPr>
                  <w:t>期初余额</w:t>
                </w:r>
              </w:p>
            </w:tc>
          </w:sdtContent>
        </w:sdt>
      </w:tr>
      <w:tr w:rsidR="00577D08" w14:paraId="021E4551" w14:textId="77777777">
        <w:tc>
          <w:tcPr>
            <w:tcW w:w="2908" w:type="dxa"/>
            <w:vAlign w:val="center"/>
          </w:tcPr>
          <w:p w14:paraId="6ABB09E9" w14:textId="77777777" w:rsidR="00577D08" w:rsidRDefault="00330FC0">
            <w:r>
              <w:rPr>
                <w:rFonts w:hint="eastAsia"/>
              </w:rPr>
              <w:lastRenderedPageBreak/>
              <w:t>1</w:t>
            </w:r>
            <w:r>
              <w:rPr>
                <w:rFonts w:hint="eastAsia"/>
              </w:rPr>
              <w:t>年内到期的长期借款</w:t>
            </w:r>
          </w:p>
        </w:tc>
        <w:tc>
          <w:tcPr>
            <w:tcW w:w="3036" w:type="dxa"/>
          </w:tcPr>
          <w:p w14:paraId="247828F5" w14:textId="77777777" w:rsidR="00577D08" w:rsidRDefault="00330FC0">
            <w:pPr>
              <w:jc w:val="right"/>
            </w:pPr>
            <w:r>
              <w:t>414,961,327.10</w:t>
            </w:r>
          </w:p>
        </w:tc>
        <w:tc>
          <w:tcPr>
            <w:tcW w:w="3103" w:type="dxa"/>
          </w:tcPr>
          <w:p w14:paraId="30C7F567" w14:textId="77777777" w:rsidR="00577D08" w:rsidRDefault="00330FC0">
            <w:pPr>
              <w:jc w:val="right"/>
            </w:pPr>
            <w:r>
              <w:t>496,047,235.70</w:t>
            </w:r>
          </w:p>
        </w:tc>
      </w:tr>
      <w:tr w:rsidR="00577D08" w14:paraId="722A6E85" w14:textId="77777777">
        <w:tc>
          <w:tcPr>
            <w:tcW w:w="2908" w:type="dxa"/>
            <w:vAlign w:val="center"/>
          </w:tcPr>
          <w:p w14:paraId="5E55E02F" w14:textId="77777777" w:rsidR="00577D08" w:rsidRDefault="00330FC0">
            <w:r>
              <w:rPr>
                <w:rFonts w:hint="eastAsia"/>
              </w:rPr>
              <w:t>1</w:t>
            </w:r>
            <w:r>
              <w:rPr>
                <w:rFonts w:hint="eastAsia"/>
              </w:rPr>
              <w:t>年内到期的长期应付款</w:t>
            </w:r>
          </w:p>
        </w:tc>
        <w:tc>
          <w:tcPr>
            <w:tcW w:w="3036" w:type="dxa"/>
          </w:tcPr>
          <w:p w14:paraId="1F8647EA" w14:textId="77777777" w:rsidR="00577D08" w:rsidRDefault="00330FC0">
            <w:pPr>
              <w:jc w:val="right"/>
            </w:pPr>
            <w:r>
              <w:t>40,427,724.17</w:t>
            </w:r>
          </w:p>
        </w:tc>
        <w:tc>
          <w:tcPr>
            <w:tcW w:w="3103" w:type="dxa"/>
          </w:tcPr>
          <w:p w14:paraId="7D81A882" w14:textId="77777777" w:rsidR="00577D08" w:rsidRDefault="00577D08">
            <w:pPr>
              <w:jc w:val="right"/>
            </w:pPr>
          </w:p>
        </w:tc>
      </w:tr>
      <w:tr w:rsidR="00577D08" w14:paraId="19A68F72" w14:textId="77777777">
        <w:tc>
          <w:tcPr>
            <w:tcW w:w="2908" w:type="dxa"/>
            <w:vAlign w:val="center"/>
          </w:tcPr>
          <w:p w14:paraId="60DEE8B7" w14:textId="77777777" w:rsidR="00577D08" w:rsidRDefault="00330FC0">
            <w:r>
              <w:rPr>
                <w:rFonts w:hint="eastAsia"/>
              </w:rPr>
              <w:t>1</w:t>
            </w:r>
            <w:r>
              <w:rPr>
                <w:rFonts w:hint="eastAsia"/>
              </w:rPr>
              <w:t>年内到期的租赁负债</w:t>
            </w:r>
          </w:p>
        </w:tc>
        <w:tc>
          <w:tcPr>
            <w:tcW w:w="3036" w:type="dxa"/>
          </w:tcPr>
          <w:p w14:paraId="62928CD2" w14:textId="77777777" w:rsidR="00577D08" w:rsidRDefault="00330FC0">
            <w:pPr>
              <w:jc w:val="right"/>
            </w:pPr>
            <w:r>
              <w:t>10,079,038.08</w:t>
            </w:r>
          </w:p>
        </w:tc>
        <w:tc>
          <w:tcPr>
            <w:tcW w:w="3103" w:type="dxa"/>
          </w:tcPr>
          <w:p w14:paraId="2B31340D" w14:textId="77777777" w:rsidR="00577D08" w:rsidRDefault="00330FC0">
            <w:pPr>
              <w:jc w:val="right"/>
            </w:pPr>
            <w:r>
              <w:t>3,166,742.50</w:t>
            </w:r>
          </w:p>
        </w:tc>
      </w:tr>
      <w:tr w:rsidR="00577D08" w14:paraId="0AC08B2B" w14:textId="77777777">
        <w:tc>
          <w:tcPr>
            <w:tcW w:w="2908" w:type="dxa"/>
            <w:vAlign w:val="center"/>
          </w:tcPr>
          <w:p w14:paraId="25D9CF26" w14:textId="77777777" w:rsidR="00577D08" w:rsidRDefault="00330FC0">
            <w:pPr>
              <w:jc w:val="center"/>
            </w:pPr>
            <w:r>
              <w:rPr>
                <w:rFonts w:hint="eastAsia"/>
              </w:rPr>
              <w:t>合计</w:t>
            </w:r>
          </w:p>
        </w:tc>
        <w:tc>
          <w:tcPr>
            <w:tcW w:w="3036" w:type="dxa"/>
          </w:tcPr>
          <w:p w14:paraId="2FECAA44" w14:textId="77777777" w:rsidR="00577D08" w:rsidRDefault="00330FC0">
            <w:pPr>
              <w:jc w:val="right"/>
            </w:pPr>
            <w:r>
              <w:t>465,468,089.35</w:t>
            </w:r>
          </w:p>
        </w:tc>
        <w:tc>
          <w:tcPr>
            <w:tcW w:w="3103" w:type="dxa"/>
          </w:tcPr>
          <w:p w14:paraId="254CB4CB" w14:textId="77777777" w:rsidR="00577D08" w:rsidRDefault="00330FC0">
            <w:pPr>
              <w:jc w:val="right"/>
            </w:pPr>
            <w:r>
              <w:t>499,213,978.20</w:t>
            </w:r>
          </w:p>
        </w:tc>
      </w:tr>
    </w:tbl>
    <w:p w14:paraId="17A7A5AC" w14:textId="77777777" w:rsidR="00577D08" w:rsidRDefault="00330FC0">
      <w:pPr>
        <w:spacing w:before="60" w:after="60"/>
      </w:pPr>
      <w:r>
        <w:rPr>
          <w:rFonts w:hint="eastAsia"/>
        </w:rPr>
        <w:t>其他说明：</w:t>
      </w:r>
    </w:p>
    <w:sdt>
      <w:sdtPr>
        <w:alias w:val="1年内到期的非流动负债说明"/>
        <w:tag w:val="_GBC_8d20cbb6880f4895b7051ae6dee973ca"/>
        <w:id w:val="-93404904"/>
        <w:placeholder>
          <w:docPart w:val="GBC22222222222222222222222222222"/>
        </w:placeholder>
      </w:sdtPr>
      <w:sdtContent>
        <w:p w14:paraId="158B820A" w14:textId="77777777" w:rsidR="00577D08" w:rsidRDefault="00330FC0">
          <w:r>
            <w:rPr>
              <w:rFonts w:hint="eastAsia"/>
            </w:rPr>
            <w:t>无</w:t>
          </w:r>
        </w:p>
      </w:sdtContent>
    </w:sdt>
    <w:bookmarkEnd w:id="431"/>
    <w:p w14:paraId="24088935"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其他流动负债</w:t>
      </w:r>
    </w:p>
    <w:p w14:paraId="76848C58" w14:textId="77777777" w:rsidR="00577D08" w:rsidRDefault="00330FC0">
      <w:bookmarkStart w:id="432" w:name="_Hlk533670262"/>
      <w:r>
        <w:rPr>
          <w:rFonts w:hint="eastAsia"/>
        </w:rPr>
        <w:t>其他流动负债情况</w:t>
      </w:r>
    </w:p>
    <w:sdt>
      <w:sdtPr>
        <w:rPr>
          <w:rFonts w:hint="eastAsia"/>
        </w:rPr>
        <w:alias w:val="是否适用：其他流动负债情况 [双击切换]"/>
        <w:tag w:val="_GBC_a84ebf5eebf04d4ab9f07c3da85115c2"/>
        <w:id w:val="240451160"/>
        <w:placeholder>
          <w:docPart w:val="GBC22222222222222222222222222222"/>
        </w:placeholder>
      </w:sdtPr>
      <w:sdtContent>
        <w:p w14:paraId="560900DB"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272B930" w14:textId="2F1A70FB" w:rsidR="00577D08" w:rsidRDefault="00330FC0">
      <w:pPr>
        <w:jc w:val="right"/>
      </w:pPr>
      <w:r>
        <w:rPr>
          <w:rFonts w:hint="eastAsia"/>
        </w:rPr>
        <w:t>单位：</w:t>
      </w:r>
      <w:sdt>
        <w:sdtPr>
          <w:rPr>
            <w:rFonts w:hint="eastAsia"/>
          </w:rPr>
          <w:alias w:val="单位：财务附注：其他流动负债"/>
          <w:tag w:val="_GBC_1a3ea80bd2b9426ead4537785c82d01e"/>
          <w:id w:val="-4199424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其他流动负债"/>
          <w:tag w:val="_GBC_c39ac2b60b0f44cbbd7534c211405631"/>
          <w:id w:val="3759679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118"/>
        <w:gridCol w:w="3129"/>
      </w:tblGrid>
      <w:tr w:rsidR="00577D08" w14:paraId="6645F2BC" w14:textId="77777777">
        <w:trPr>
          <w:jc w:val="center"/>
        </w:trPr>
        <w:bookmarkStart w:id="433" w:name="_Hlk533423091" w:displacedByCustomXml="next"/>
        <w:sdt>
          <w:sdtPr>
            <w:tag w:val="_PLD_96b7e8e5e688449c87d23adc1b63439f"/>
            <w:id w:val="741604055"/>
          </w:sdtPr>
          <w:sdtContent>
            <w:tc>
              <w:tcPr>
                <w:tcW w:w="2801" w:type="dxa"/>
                <w:tcBorders>
                  <w:top w:val="single" w:sz="4" w:space="0" w:color="auto"/>
                  <w:left w:val="single" w:sz="4" w:space="0" w:color="auto"/>
                  <w:bottom w:val="single" w:sz="4" w:space="0" w:color="auto"/>
                  <w:right w:val="single" w:sz="4" w:space="0" w:color="auto"/>
                </w:tcBorders>
                <w:vAlign w:val="center"/>
              </w:tcPr>
              <w:p w14:paraId="763721ED" w14:textId="77777777" w:rsidR="00577D08" w:rsidRDefault="00330FC0">
                <w:pPr>
                  <w:tabs>
                    <w:tab w:val="right" w:pos="3690"/>
                    <w:tab w:val="right" w:pos="5130"/>
                    <w:tab w:val="right" w:pos="6030"/>
                    <w:tab w:val="right" w:pos="7650"/>
                    <w:tab w:val="right" w:pos="9270"/>
                  </w:tabs>
                  <w:snapToGrid w:val="0"/>
                  <w:ind w:leftChars="-52" w:left="-109"/>
                  <w:jc w:val="center"/>
                </w:pPr>
                <w:r>
                  <w:rPr>
                    <w:rFonts w:hint="eastAsia"/>
                  </w:rPr>
                  <w:t>项目</w:t>
                </w:r>
              </w:p>
            </w:tc>
          </w:sdtContent>
        </w:sdt>
        <w:sdt>
          <w:sdtPr>
            <w:tag w:val="_PLD_741229e75da644bb809ec002cfe06423"/>
            <w:id w:val="1969007363"/>
          </w:sdtPr>
          <w:sdtContent>
            <w:tc>
              <w:tcPr>
                <w:tcW w:w="3118" w:type="dxa"/>
                <w:tcBorders>
                  <w:top w:val="single" w:sz="4" w:space="0" w:color="auto"/>
                  <w:left w:val="single" w:sz="4" w:space="0" w:color="auto"/>
                  <w:bottom w:val="single" w:sz="4" w:space="0" w:color="auto"/>
                  <w:right w:val="single" w:sz="4" w:space="0" w:color="auto"/>
                </w:tcBorders>
                <w:vAlign w:val="center"/>
              </w:tcPr>
              <w:p w14:paraId="3C1D89D8" w14:textId="77777777" w:rsidR="00577D08" w:rsidRDefault="00330FC0">
                <w:pPr>
                  <w:adjustRightInd w:val="0"/>
                  <w:snapToGrid w:val="0"/>
                  <w:jc w:val="center"/>
                </w:pPr>
                <w:r>
                  <w:rPr>
                    <w:rFonts w:hint="eastAsia"/>
                  </w:rPr>
                  <w:t>期末余额</w:t>
                </w:r>
              </w:p>
            </w:tc>
          </w:sdtContent>
        </w:sdt>
        <w:sdt>
          <w:sdtPr>
            <w:tag w:val="_PLD_426d25a331b04af9b2ec53d6a7e168d4"/>
            <w:id w:val="-166338440"/>
          </w:sdtPr>
          <w:sdtContent>
            <w:tc>
              <w:tcPr>
                <w:tcW w:w="3129" w:type="dxa"/>
                <w:tcBorders>
                  <w:top w:val="single" w:sz="4" w:space="0" w:color="auto"/>
                  <w:left w:val="single" w:sz="4" w:space="0" w:color="auto"/>
                  <w:bottom w:val="single" w:sz="4" w:space="0" w:color="auto"/>
                  <w:right w:val="single" w:sz="4" w:space="0" w:color="auto"/>
                </w:tcBorders>
                <w:vAlign w:val="center"/>
              </w:tcPr>
              <w:p w14:paraId="543DE9FA" w14:textId="77777777" w:rsidR="00577D08" w:rsidRDefault="00330FC0">
                <w:pPr>
                  <w:adjustRightInd w:val="0"/>
                  <w:snapToGrid w:val="0"/>
                  <w:jc w:val="center"/>
                </w:pPr>
                <w:r>
                  <w:rPr>
                    <w:rFonts w:hint="eastAsia"/>
                  </w:rPr>
                  <w:t>期初余额</w:t>
                </w:r>
              </w:p>
            </w:tc>
          </w:sdtContent>
        </w:sdt>
      </w:tr>
      <w:tr w:rsidR="00577D08" w14:paraId="24680D48" w14:textId="77777777">
        <w:trPr>
          <w:jc w:val="center"/>
        </w:trPr>
        <w:tc>
          <w:tcPr>
            <w:tcW w:w="2801" w:type="dxa"/>
            <w:tcBorders>
              <w:top w:val="single" w:sz="4" w:space="0" w:color="auto"/>
              <w:left w:val="single" w:sz="4" w:space="0" w:color="auto"/>
              <w:bottom w:val="single" w:sz="4" w:space="0" w:color="auto"/>
              <w:right w:val="single" w:sz="4" w:space="0" w:color="auto"/>
            </w:tcBorders>
          </w:tcPr>
          <w:p w14:paraId="247E0B1D" w14:textId="77777777" w:rsidR="00577D08" w:rsidRDefault="00330FC0">
            <w:pPr>
              <w:rPr>
                <w:color w:val="000000" w:themeColor="text1"/>
              </w:rPr>
            </w:pPr>
            <w:r>
              <w:rPr>
                <w:rFonts w:hint="eastAsia"/>
              </w:rPr>
              <w:t>未终止确认的商业票据</w:t>
            </w:r>
          </w:p>
        </w:tc>
        <w:tc>
          <w:tcPr>
            <w:tcW w:w="3118" w:type="dxa"/>
            <w:tcBorders>
              <w:top w:val="single" w:sz="4" w:space="0" w:color="auto"/>
              <w:left w:val="single" w:sz="4" w:space="0" w:color="auto"/>
              <w:bottom w:val="single" w:sz="4" w:space="0" w:color="auto"/>
              <w:right w:val="single" w:sz="4" w:space="0" w:color="auto"/>
            </w:tcBorders>
          </w:tcPr>
          <w:p w14:paraId="127D11D5" w14:textId="77777777" w:rsidR="00577D08" w:rsidRDefault="00330FC0">
            <w:pPr>
              <w:jc w:val="right"/>
            </w:pPr>
            <w:r>
              <w:t>313,617,724.22</w:t>
            </w:r>
          </w:p>
        </w:tc>
        <w:tc>
          <w:tcPr>
            <w:tcW w:w="3129" w:type="dxa"/>
            <w:tcBorders>
              <w:top w:val="single" w:sz="4" w:space="0" w:color="auto"/>
              <w:left w:val="single" w:sz="4" w:space="0" w:color="auto"/>
              <w:bottom w:val="single" w:sz="4" w:space="0" w:color="auto"/>
              <w:right w:val="single" w:sz="4" w:space="0" w:color="auto"/>
            </w:tcBorders>
          </w:tcPr>
          <w:p w14:paraId="6321D7FE" w14:textId="77777777" w:rsidR="00577D08" w:rsidRDefault="00330FC0">
            <w:pPr>
              <w:jc w:val="right"/>
            </w:pPr>
            <w:r>
              <w:t>248,607,895.47</w:t>
            </w:r>
          </w:p>
        </w:tc>
      </w:tr>
      <w:tr w:rsidR="00577D08" w14:paraId="6FEAD997" w14:textId="77777777">
        <w:trPr>
          <w:jc w:val="center"/>
        </w:trPr>
        <w:tc>
          <w:tcPr>
            <w:tcW w:w="2801" w:type="dxa"/>
            <w:tcBorders>
              <w:top w:val="single" w:sz="4" w:space="0" w:color="auto"/>
              <w:left w:val="single" w:sz="4" w:space="0" w:color="auto"/>
              <w:bottom w:val="single" w:sz="4" w:space="0" w:color="auto"/>
              <w:right w:val="single" w:sz="4" w:space="0" w:color="auto"/>
            </w:tcBorders>
          </w:tcPr>
          <w:p w14:paraId="46D24D1C" w14:textId="77777777" w:rsidR="00577D08" w:rsidRDefault="00330FC0">
            <w:r>
              <w:rPr>
                <w:rFonts w:hint="eastAsia"/>
              </w:rPr>
              <w:t>待转销项税额</w:t>
            </w:r>
          </w:p>
        </w:tc>
        <w:tc>
          <w:tcPr>
            <w:tcW w:w="3118" w:type="dxa"/>
            <w:tcBorders>
              <w:top w:val="single" w:sz="4" w:space="0" w:color="auto"/>
              <w:left w:val="single" w:sz="4" w:space="0" w:color="auto"/>
              <w:bottom w:val="single" w:sz="4" w:space="0" w:color="auto"/>
              <w:right w:val="single" w:sz="4" w:space="0" w:color="auto"/>
            </w:tcBorders>
          </w:tcPr>
          <w:p w14:paraId="0CE50FBB" w14:textId="77777777" w:rsidR="00577D08" w:rsidRDefault="00330FC0">
            <w:pPr>
              <w:jc w:val="right"/>
            </w:pPr>
            <w:r>
              <w:t>16,614,762.29</w:t>
            </w:r>
          </w:p>
        </w:tc>
        <w:tc>
          <w:tcPr>
            <w:tcW w:w="3129" w:type="dxa"/>
            <w:tcBorders>
              <w:top w:val="single" w:sz="4" w:space="0" w:color="auto"/>
              <w:left w:val="single" w:sz="4" w:space="0" w:color="auto"/>
              <w:bottom w:val="single" w:sz="4" w:space="0" w:color="auto"/>
              <w:right w:val="single" w:sz="4" w:space="0" w:color="auto"/>
            </w:tcBorders>
          </w:tcPr>
          <w:p w14:paraId="4A992345" w14:textId="77777777" w:rsidR="00577D08" w:rsidRDefault="00330FC0">
            <w:pPr>
              <w:jc w:val="right"/>
            </w:pPr>
            <w:r>
              <w:t>9,951,643.96</w:t>
            </w:r>
          </w:p>
        </w:tc>
      </w:tr>
      <w:tr w:rsidR="00577D08" w14:paraId="2FAFB585" w14:textId="77777777">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1FAA79A8" w14:textId="77777777" w:rsidR="00577D08" w:rsidRDefault="00330FC0">
            <w:pPr>
              <w:jc w:val="center"/>
            </w:pPr>
            <w:r>
              <w:rPr>
                <w:rFonts w:hint="eastAsia"/>
              </w:rPr>
              <w:t>合计</w:t>
            </w:r>
          </w:p>
        </w:tc>
        <w:tc>
          <w:tcPr>
            <w:tcW w:w="3118" w:type="dxa"/>
            <w:tcBorders>
              <w:top w:val="single" w:sz="4" w:space="0" w:color="auto"/>
              <w:left w:val="single" w:sz="4" w:space="0" w:color="auto"/>
              <w:bottom w:val="single" w:sz="4" w:space="0" w:color="auto"/>
              <w:right w:val="single" w:sz="4" w:space="0" w:color="auto"/>
            </w:tcBorders>
          </w:tcPr>
          <w:p w14:paraId="6A09E8FC" w14:textId="77777777" w:rsidR="00577D08" w:rsidRDefault="00330FC0">
            <w:pPr>
              <w:jc w:val="right"/>
            </w:pPr>
            <w:r>
              <w:t>330,232,486.51</w:t>
            </w:r>
          </w:p>
        </w:tc>
        <w:tc>
          <w:tcPr>
            <w:tcW w:w="3129" w:type="dxa"/>
            <w:tcBorders>
              <w:top w:val="single" w:sz="4" w:space="0" w:color="auto"/>
              <w:left w:val="single" w:sz="4" w:space="0" w:color="auto"/>
              <w:bottom w:val="single" w:sz="4" w:space="0" w:color="auto"/>
              <w:right w:val="single" w:sz="4" w:space="0" w:color="auto"/>
            </w:tcBorders>
          </w:tcPr>
          <w:p w14:paraId="193C0C47" w14:textId="77777777" w:rsidR="00577D08" w:rsidRDefault="00330FC0">
            <w:pPr>
              <w:jc w:val="right"/>
            </w:pPr>
            <w:r>
              <w:t>258,559,539.43</w:t>
            </w:r>
          </w:p>
        </w:tc>
      </w:tr>
    </w:tbl>
    <w:bookmarkEnd w:id="432"/>
    <w:bookmarkEnd w:id="433"/>
    <w:p w14:paraId="02D36BDD" w14:textId="77777777" w:rsidR="00577D08" w:rsidRDefault="00330FC0">
      <w:r>
        <w:rPr>
          <w:rFonts w:hint="eastAsia"/>
        </w:rPr>
        <w:t>短期</w:t>
      </w:r>
      <w:r>
        <w:t>应付债券的增减变动</w:t>
      </w:r>
      <w:r>
        <w:rPr>
          <w:rFonts w:hint="eastAsia"/>
        </w:rPr>
        <w:t>：</w:t>
      </w:r>
    </w:p>
    <w:sdt>
      <w:sdtPr>
        <w:alias w:val="是否适用：短期应付债券的增减变动[双击切换]"/>
        <w:tag w:val="_GBC_9702365af41547e6b7eeb62225fd79a4"/>
        <w:id w:val="-1052762185"/>
        <w:placeholder>
          <w:docPart w:val="GBC22222222222222222222222222222"/>
        </w:placeholder>
      </w:sdtPr>
      <w:sdtContent>
        <w:p w14:paraId="03DDA7C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7A0A08" w14:textId="77777777" w:rsidR="00577D08" w:rsidRDefault="00330FC0">
      <w:pPr>
        <w:spacing w:before="60" w:after="60"/>
      </w:pPr>
      <w:r>
        <w:rPr>
          <w:rFonts w:hint="eastAsia"/>
        </w:rPr>
        <w:t>其他说明：</w:t>
      </w:r>
    </w:p>
    <w:sdt>
      <w:sdtPr>
        <w:alias w:val="是否适用：其他流动负债说明[双击切换]"/>
        <w:tag w:val="_GBC_137d3b80ab3041c1a1b255a500c3d52c"/>
        <w:id w:val="-568495845"/>
        <w:placeholder>
          <w:docPart w:val="GBC22222222222222222222222222222"/>
        </w:placeholder>
      </w:sdtPr>
      <w:sdtContent>
        <w:p w14:paraId="09DFC119" w14:textId="77777777" w:rsidR="00577D08" w:rsidRDefault="00330FC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FF8B5C"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长期借款</w:t>
      </w:r>
    </w:p>
    <w:p w14:paraId="519239DD" w14:textId="77777777" w:rsidR="00577D08" w:rsidRDefault="00330FC0">
      <w:pPr>
        <w:pStyle w:val="4"/>
        <w:numPr>
          <w:ilvl w:val="3"/>
          <w:numId w:val="92"/>
        </w:numPr>
        <w:rPr>
          <w:rFonts w:hint="eastAsia"/>
        </w:rPr>
      </w:pPr>
      <w:r>
        <w:rPr>
          <w:rFonts w:hint="eastAsia"/>
        </w:rPr>
        <w:t>长期借款分类</w:t>
      </w:r>
    </w:p>
    <w:sdt>
      <w:sdtPr>
        <w:alias w:val="是否适用：长期借款分类[双击切换]"/>
        <w:tag w:val="_GBC_f97d0882083646ed86769469b3ee8875"/>
        <w:id w:val="721335126"/>
        <w:placeholder>
          <w:docPart w:val="GBC22222222222222222222222222222"/>
        </w:placeholder>
      </w:sdtPr>
      <w:sdtContent>
        <w:p w14:paraId="71C2AD4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47E360A" w14:textId="6503E2C9" w:rsidR="00577D08" w:rsidRDefault="00330FC0">
      <w:pPr>
        <w:jc w:val="right"/>
      </w:pPr>
      <w:r>
        <w:rPr>
          <w:rFonts w:hint="eastAsia"/>
        </w:rPr>
        <w:t>单位：</w:t>
      </w:r>
      <w:sdt>
        <w:sdtPr>
          <w:rPr>
            <w:rFonts w:hint="eastAsia"/>
          </w:rPr>
          <w:alias w:val="单位：财务附注：长期借款分类"/>
          <w:tag w:val="_GBC_1469e55f5b66428a857f07acaf1e4ae0"/>
          <w:id w:val="11342913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长期借款分类"/>
          <w:tag w:val="_GBC_02e1603886284ce797acd755be7f672a"/>
          <w:id w:val="2170948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3051"/>
        <w:gridCol w:w="2946"/>
      </w:tblGrid>
      <w:tr w:rsidR="00577D08" w14:paraId="02464172" w14:textId="77777777">
        <w:trPr>
          <w:cantSplit/>
        </w:trPr>
        <w:sdt>
          <w:sdtPr>
            <w:tag w:val="_PLD_4e1b60888e3248369c96087fd1f19eed"/>
            <w:id w:val="78654715"/>
          </w:sdtPr>
          <w:sdtContent>
            <w:tc>
              <w:tcPr>
                <w:tcW w:w="3051" w:type="dxa"/>
                <w:vAlign w:val="center"/>
              </w:tcPr>
              <w:p w14:paraId="08EBEEC9" w14:textId="77777777" w:rsidR="00577D08" w:rsidRDefault="00330FC0">
                <w:pPr>
                  <w:autoSpaceDE w:val="0"/>
                  <w:autoSpaceDN w:val="0"/>
                  <w:adjustRightInd w:val="0"/>
                  <w:snapToGrid w:val="0"/>
                  <w:jc w:val="center"/>
                </w:pPr>
                <w:r>
                  <w:rPr>
                    <w:rFonts w:hint="eastAsia"/>
                  </w:rPr>
                  <w:t>项目</w:t>
                </w:r>
              </w:p>
            </w:tc>
          </w:sdtContent>
        </w:sdt>
        <w:sdt>
          <w:sdtPr>
            <w:tag w:val="_PLD_5eb33a0c1cde49ff9ed499493463ec46"/>
            <w:id w:val="-115988068"/>
          </w:sdtPr>
          <w:sdtContent>
            <w:tc>
              <w:tcPr>
                <w:tcW w:w="3051" w:type="dxa"/>
                <w:vAlign w:val="center"/>
              </w:tcPr>
              <w:p w14:paraId="5E343DA1" w14:textId="77777777" w:rsidR="00577D08" w:rsidRDefault="00330FC0">
                <w:pPr>
                  <w:jc w:val="center"/>
                </w:pPr>
                <w:r>
                  <w:rPr>
                    <w:rFonts w:hint="eastAsia"/>
                  </w:rPr>
                  <w:t>期末余额</w:t>
                </w:r>
              </w:p>
            </w:tc>
          </w:sdtContent>
        </w:sdt>
        <w:sdt>
          <w:sdtPr>
            <w:tag w:val="_PLD_9b129c446a5847edb58141b866ffac5d"/>
            <w:id w:val="-1892254875"/>
          </w:sdtPr>
          <w:sdtContent>
            <w:tc>
              <w:tcPr>
                <w:tcW w:w="2946" w:type="dxa"/>
                <w:vAlign w:val="center"/>
              </w:tcPr>
              <w:p w14:paraId="152D3490" w14:textId="77777777" w:rsidR="00577D08" w:rsidRDefault="00330FC0">
                <w:pPr>
                  <w:jc w:val="center"/>
                </w:pPr>
                <w:r>
                  <w:rPr>
                    <w:rFonts w:hint="eastAsia"/>
                  </w:rPr>
                  <w:t>期初余额</w:t>
                </w:r>
              </w:p>
            </w:tc>
          </w:sdtContent>
        </w:sdt>
      </w:tr>
      <w:tr w:rsidR="00577D08" w14:paraId="0481EE8D" w14:textId="77777777">
        <w:trPr>
          <w:cantSplit/>
        </w:trPr>
        <w:tc>
          <w:tcPr>
            <w:tcW w:w="3051" w:type="dxa"/>
          </w:tcPr>
          <w:p w14:paraId="5C4970AE" w14:textId="77777777" w:rsidR="00577D08" w:rsidRDefault="00330FC0">
            <w:pPr>
              <w:autoSpaceDE w:val="0"/>
              <w:autoSpaceDN w:val="0"/>
              <w:adjustRightInd w:val="0"/>
              <w:snapToGrid w:val="0"/>
              <w:jc w:val="both"/>
            </w:pPr>
            <w:r>
              <w:rPr>
                <w:rFonts w:hint="eastAsia"/>
              </w:rPr>
              <w:t>信用借款</w:t>
            </w:r>
          </w:p>
        </w:tc>
        <w:tc>
          <w:tcPr>
            <w:tcW w:w="3051" w:type="dxa"/>
          </w:tcPr>
          <w:p w14:paraId="08749AE2" w14:textId="77777777" w:rsidR="00577D08" w:rsidRDefault="00330FC0">
            <w:pPr>
              <w:autoSpaceDE w:val="0"/>
              <w:autoSpaceDN w:val="0"/>
              <w:adjustRightInd w:val="0"/>
              <w:snapToGrid w:val="0"/>
              <w:ind w:right="180"/>
              <w:jc w:val="right"/>
            </w:pPr>
            <w:r>
              <w:rPr>
                <w:rFonts w:hint="eastAsia"/>
              </w:rPr>
              <w:t>770,665,093.12</w:t>
            </w:r>
          </w:p>
        </w:tc>
        <w:tc>
          <w:tcPr>
            <w:tcW w:w="2946" w:type="dxa"/>
          </w:tcPr>
          <w:p w14:paraId="7C668825" w14:textId="77777777" w:rsidR="00577D08" w:rsidRDefault="00330FC0">
            <w:pPr>
              <w:jc w:val="right"/>
            </w:pPr>
            <w:r>
              <w:rPr>
                <w:rFonts w:hint="eastAsia"/>
              </w:rPr>
              <w:t>490,210,739.45</w:t>
            </w:r>
          </w:p>
        </w:tc>
      </w:tr>
      <w:tr w:rsidR="00577D08" w14:paraId="1726B685" w14:textId="77777777">
        <w:trPr>
          <w:cantSplit/>
        </w:trPr>
        <w:tc>
          <w:tcPr>
            <w:tcW w:w="3051" w:type="dxa"/>
          </w:tcPr>
          <w:p w14:paraId="07A95B7C" w14:textId="77777777" w:rsidR="00577D08" w:rsidRDefault="00330FC0">
            <w:pPr>
              <w:autoSpaceDE w:val="0"/>
              <w:autoSpaceDN w:val="0"/>
              <w:adjustRightInd w:val="0"/>
              <w:snapToGrid w:val="0"/>
              <w:jc w:val="both"/>
            </w:pPr>
            <w:r>
              <w:rPr>
                <w:rFonts w:hint="eastAsia"/>
              </w:rPr>
              <w:t>质押借款</w:t>
            </w:r>
          </w:p>
        </w:tc>
        <w:tc>
          <w:tcPr>
            <w:tcW w:w="3051" w:type="dxa"/>
          </w:tcPr>
          <w:p w14:paraId="072769BC" w14:textId="77777777" w:rsidR="00577D08" w:rsidRDefault="00330FC0">
            <w:pPr>
              <w:autoSpaceDE w:val="0"/>
              <w:autoSpaceDN w:val="0"/>
              <w:adjustRightInd w:val="0"/>
              <w:snapToGrid w:val="0"/>
              <w:ind w:right="180"/>
              <w:jc w:val="right"/>
            </w:pPr>
            <w:r>
              <w:rPr>
                <w:rFonts w:hint="eastAsia"/>
              </w:rPr>
              <w:t>328,176,738.21</w:t>
            </w:r>
          </w:p>
        </w:tc>
        <w:tc>
          <w:tcPr>
            <w:tcW w:w="2946" w:type="dxa"/>
          </w:tcPr>
          <w:p w14:paraId="0E1001EE" w14:textId="77777777" w:rsidR="00577D08" w:rsidRDefault="00330FC0">
            <w:pPr>
              <w:jc w:val="right"/>
            </w:pPr>
            <w:r>
              <w:rPr>
                <w:rFonts w:hint="eastAsia"/>
              </w:rPr>
              <w:t>300,293,333.34</w:t>
            </w:r>
          </w:p>
        </w:tc>
      </w:tr>
      <w:tr w:rsidR="00577D08" w14:paraId="6B17D9DD" w14:textId="77777777">
        <w:trPr>
          <w:cantSplit/>
        </w:trPr>
        <w:tc>
          <w:tcPr>
            <w:tcW w:w="3051" w:type="dxa"/>
          </w:tcPr>
          <w:p w14:paraId="4334C27D" w14:textId="77777777" w:rsidR="00577D08" w:rsidRDefault="00330FC0">
            <w:pPr>
              <w:autoSpaceDE w:val="0"/>
              <w:autoSpaceDN w:val="0"/>
              <w:adjustRightInd w:val="0"/>
              <w:snapToGrid w:val="0"/>
              <w:jc w:val="both"/>
            </w:pPr>
            <w:r>
              <w:rPr>
                <w:rFonts w:hint="eastAsia"/>
              </w:rPr>
              <w:t>抵押借款</w:t>
            </w:r>
          </w:p>
        </w:tc>
        <w:tc>
          <w:tcPr>
            <w:tcW w:w="3051" w:type="dxa"/>
          </w:tcPr>
          <w:p w14:paraId="5A161BC3" w14:textId="77777777" w:rsidR="00577D08" w:rsidRDefault="00330FC0">
            <w:pPr>
              <w:autoSpaceDE w:val="0"/>
              <w:autoSpaceDN w:val="0"/>
              <w:adjustRightInd w:val="0"/>
              <w:snapToGrid w:val="0"/>
              <w:ind w:right="180"/>
              <w:jc w:val="right"/>
            </w:pPr>
            <w:r>
              <w:rPr>
                <w:rFonts w:hint="eastAsia"/>
              </w:rPr>
              <w:t>246,253,083.32</w:t>
            </w:r>
          </w:p>
        </w:tc>
        <w:tc>
          <w:tcPr>
            <w:tcW w:w="2946" w:type="dxa"/>
          </w:tcPr>
          <w:p w14:paraId="1D33E654" w14:textId="77777777" w:rsidR="00577D08" w:rsidRDefault="00330FC0">
            <w:pPr>
              <w:jc w:val="right"/>
            </w:pPr>
            <w:r>
              <w:rPr>
                <w:rFonts w:hint="eastAsia"/>
              </w:rPr>
              <w:t>191,831,006.89</w:t>
            </w:r>
          </w:p>
        </w:tc>
      </w:tr>
      <w:tr w:rsidR="00577D08" w14:paraId="096E492F" w14:textId="77777777">
        <w:trPr>
          <w:cantSplit/>
        </w:trPr>
        <w:tc>
          <w:tcPr>
            <w:tcW w:w="3051" w:type="dxa"/>
          </w:tcPr>
          <w:p w14:paraId="0D0DD9B7" w14:textId="77777777" w:rsidR="00577D08" w:rsidRDefault="00330FC0">
            <w:pPr>
              <w:autoSpaceDE w:val="0"/>
              <w:autoSpaceDN w:val="0"/>
              <w:adjustRightInd w:val="0"/>
              <w:snapToGrid w:val="0"/>
              <w:jc w:val="both"/>
            </w:pPr>
            <w:r>
              <w:rPr>
                <w:rFonts w:hint="eastAsia"/>
              </w:rPr>
              <w:t>保证及抵押借款</w:t>
            </w:r>
          </w:p>
        </w:tc>
        <w:tc>
          <w:tcPr>
            <w:tcW w:w="3051" w:type="dxa"/>
          </w:tcPr>
          <w:p w14:paraId="676600A5" w14:textId="77777777" w:rsidR="00577D08" w:rsidRDefault="00330FC0">
            <w:pPr>
              <w:autoSpaceDE w:val="0"/>
              <w:autoSpaceDN w:val="0"/>
              <w:adjustRightInd w:val="0"/>
              <w:snapToGrid w:val="0"/>
              <w:ind w:right="180"/>
              <w:jc w:val="right"/>
            </w:pPr>
            <w:r>
              <w:rPr>
                <w:rFonts w:hint="eastAsia"/>
              </w:rPr>
              <w:t>22,199,543.71</w:t>
            </w:r>
          </w:p>
        </w:tc>
        <w:tc>
          <w:tcPr>
            <w:tcW w:w="2946" w:type="dxa"/>
          </w:tcPr>
          <w:p w14:paraId="4F339880" w14:textId="77777777" w:rsidR="00577D08" w:rsidRDefault="00330FC0">
            <w:pPr>
              <w:jc w:val="right"/>
            </w:pPr>
            <w:r>
              <w:rPr>
                <w:rFonts w:hint="eastAsia"/>
              </w:rPr>
              <w:t>111,236,386.20</w:t>
            </w:r>
          </w:p>
        </w:tc>
      </w:tr>
      <w:tr w:rsidR="00577D08" w14:paraId="1BBD1C45" w14:textId="77777777">
        <w:trPr>
          <w:cantSplit/>
        </w:trPr>
        <w:tc>
          <w:tcPr>
            <w:tcW w:w="3051" w:type="dxa"/>
          </w:tcPr>
          <w:p w14:paraId="66FA4C04" w14:textId="77777777" w:rsidR="00577D08" w:rsidRDefault="00330FC0">
            <w:pPr>
              <w:autoSpaceDE w:val="0"/>
              <w:autoSpaceDN w:val="0"/>
              <w:adjustRightInd w:val="0"/>
              <w:snapToGrid w:val="0"/>
            </w:pPr>
            <w:r>
              <w:rPr>
                <w:rFonts w:hint="eastAsia"/>
              </w:rPr>
              <w:t>保证借款</w:t>
            </w:r>
          </w:p>
        </w:tc>
        <w:tc>
          <w:tcPr>
            <w:tcW w:w="3051" w:type="dxa"/>
          </w:tcPr>
          <w:p w14:paraId="2B431B48" w14:textId="77777777" w:rsidR="00577D08" w:rsidRDefault="00330FC0">
            <w:pPr>
              <w:autoSpaceDE w:val="0"/>
              <w:autoSpaceDN w:val="0"/>
              <w:adjustRightInd w:val="0"/>
              <w:snapToGrid w:val="0"/>
              <w:ind w:right="180"/>
              <w:jc w:val="right"/>
            </w:pPr>
            <w:r>
              <w:rPr>
                <w:rFonts w:hint="eastAsia"/>
              </w:rPr>
              <w:t>160,420,625.45</w:t>
            </w:r>
          </w:p>
        </w:tc>
        <w:tc>
          <w:tcPr>
            <w:tcW w:w="2946" w:type="dxa"/>
          </w:tcPr>
          <w:p w14:paraId="487A6D3A" w14:textId="77777777" w:rsidR="00577D08" w:rsidRDefault="00330FC0">
            <w:pPr>
              <w:jc w:val="right"/>
            </w:pPr>
            <w:r>
              <w:rPr>
                <w:rFonts w:hint="eastAsia"/>
              </w:rPr>
              <w:t>10,000,000.00</w:t>
            </w:r>
          </w:p>
        </w:tc>
      </w:tr>
      <w:tr w:rsidR="00577D08" w14:paraId="04BB8F49" w14:textId="77777777">
        <w:trPr>
          <w:cantSplit/>
        </w:trPr>
        <w:tc>
          <w:tcPr>
            <w:tcW w:w="3051" w:type="dxa"/>
            <w:vAlign w:val="center"/>
          </w:tcPr>
          <w:p w14:paraId="40F24082" w14:textId="77777777" w:rsidR="00577D08" w:rsidRDefault="00330FC0">
            <w:pPr>
              <w:autoSpaceDE w:val="0"/>
              <w:autoSpaceDN w:val="0"/>
              <w:adjustRightInd w:val="0"/>
              <w:snapToGrid w:val="0"/>
              <w:jc w:val="center"/>
            </w:pPr>
            <w:r>
              <w:rPr>
                <w:rFonts w:hint="eastAsia"/>
              </w:rPr>
              <w:t>合计</w:t>
            </w:r>
          </w:p>
        </w:tc>
        <w:tc>
          <w:tcPr>
            <w:tcW w:w="3051" w:type="dxa"/>
          </w:tcPr>
          <w:p w14:paraId="28A192F8" w14:textId="77777777" w:rsidR="00577D08" w:rsidRDefault="00330FC0">
            <w:pPr>
              <w:autoSpaceDE w:val="0"/>
              <w:autoSpaceDN w:val="0"/>
              <w:adjustRightInd w:val="0"/>
              <w:snapToGrid w:val="0"/>
              <w:ind w:right="180"/>
              <w:jc w:val="right"/>
            </w:pPr>
            <w:r>
              <w:t>1,527,715,083.81</w:t>
            </w:r>
          </w:p>
        </w:tc>
        <w:tc>
          <w:tcPr>
            <w:tcW w:w="2946" w:type="dxa"/>
          </w:tcPr>
          <w:p w14:paraId="59900278" w14:textId="77777777" w:rsidR="00577D08" w:rsidRDefault="00330FC0">
            <w:pPr>
              <w:jc w:val="right"/>
            </w:pPr>
            <w:r>
              <w:t>1,103,571,465.88</w:t>
            </w:r>
          </w:p>
        </w:tc>
      </w:tr>
    </w:tbl>
    <w:p w14:paraId="2A74A742" w14:textId="77777777" w:rsidR="00577D08" w:rsidRDefault="00330FC0">
      <w:pPr>
        <w:snapToGrid w:val="0"/>
        <w:spacing w:before="60" w:after="60" w:line="240" w:lineRule="atLeast"/>
      </w:pPr>
      <w:r>
        <w:rPr>
          <w:rFonts w:hint="eastAsia"/>
        </w:rPr>
        <w:t>长期借款分类的说明：</w:t>
      </w:r>
    </w:p>
    <w:sdt>
      <w:sdtPr>
        <w:alias w:val="长期借款分类的说明"/>
        <w:tag w:val="_GBC_b89f86a2a8054eb2892900c86ecbdcb3"/>
        <w:id w:val="795642924"/>
        <w:placeholder>
          <w:docPart w:val="GBC22222222222222222222222222222"/>
        </w:placeholder>
      </w:sdtPr>
      <w:sdtContent>
        <w:p w14:paraId="58414A3E" w14:textId="77777777" w:rsidR="00577D08" w:rsidRDefault="00330FC0">
          <w:pPr>
            <w:snapToGrid w:val="0"/>
            <w:rPr>
              <w:rFonts w:cstheme="minorBidi"/>
              <w:color w:val="000000" w:themeColor="text1"/>
              <w:kern w:val="2"/>
            </w:rPr>
          </w:pPr>
          <w:r>
            <w:rPr>
              <w:rFonts w:hint="eastAsia"/>
            </w:rPr>
            <w:t>质押借款系公司将云变电气</w:t>
          </w:r>
          <w:r>
            <w:rPr>
              <w:rFonts w:hint="eastAsia"/>
            </w:rPr>
            <w:t>100.00%</w:t>
          </w:r>
          <w:r>
            <w:rPr>
              <w:rFonts w:hint="eastAsia"/>
            </w:rPr>
            <w:t>股权出质给交通银行股份有限公司重庆市分行及中国进出口银行重庆分行。</w:t>
          </w:r>
        </w:p>
      </w:sdtContent>
    </w:sdt>
    <w:p w14:paraId="5BCA205C" w14:textId="77777777" w:rsidR="00577D08" w:rsidRDefault="00330FC0">
      <w:pPr>
        <w:snapToGrid w:val="0"/>
        <w:rPr>
          <w:color w:val="000000" w:themeColor="text1"/>
        </w:rPr>
      </w:pPr>
      <w:r>
        <w:rPr>
          <w:rFonts w:hint="eastAsia"/>
          <w:color w:val="000000" w:themeColor="text1"/>
        </w:rPr>
        <w:t>其他说明：</w:t>
      </w:r>
    </w:p>
    <w:sdt>
      <w:sdtPr>
        <w:rPr>
          <w:color w:val="000000" w:themeColor="text1"/>
        </w:rPr>
        <w:alias w:val="是否适用：长期借款的说明[双击切换]"/>
        <w:tag w:val="_GBC_81b19a673078421a910ba8721333fbbe"/>
        <w:id w:val="-1048369349"/>
        <w:placeholder>
          <w:docPart w:val="GBC22222222222222222222222222222"/>
        </w:placeholder>
      </w:sdtPr>
      <w:sdtContent>
        <w:p w14:paraId="74486294" w14:textId="77777777" w:rsidR="00577D08" w:rsidRDefault="00330FC0">
          <w:pPr>
            <w:snapToGrid w:val="0"/>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17FABCF5"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应付债券</w:t>
      </w:r>
    </w:p>
    <w:p w14:paraId="092FB9C8" w14:textId="77777777" w:rsidR="00577D08" w:rsidRDefault="00330FC0">
      <w:pPr>
        <w:pStyle w:val="4"/>
        <w:numPr>
          <w:ilvl w:val="0"/>
          <w:numId w:val="93"/>
        </w:numPr>
        <w:ind w:left="426" w:hanging="426"/>
        <w:rPr>
          <w:rFonts w:hint="eastAsia"/>
        </w:rPr>
      </w:pPr>
      <w:r>
        <w:rPr>
          <w:rFonts w:hint="eastAsia"/>
        </w:rPr>
        <w:t>应付债券</w:t>
      </w:r>
    </w:p>
    <w:sdt>
      <w:sdtPr>
        <w:alias w:val="是否适用：应付债券[双击切换]"/>
        <w:tag w:val="_GBC_645b020b25af4284b8eff88f14f8c5c2"/>
        <w:id w:val="1796870153"/>
        <w:placeholder>
          <w:docPart w:val="GBC22222222222222222222222222222"/>
        </w:placeholder>
      </w:sdtPr>
      <w:sdtContent>
        <w:p w14:paraId="06F6D8A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6E2D5A3" w14:textId="77777777" w:rsidR="00577D08" w:rsidRDefault="00330FC0">
      <w:pPr>
        <w:pStyle w:val="4"/>
        <w:numPr>
          <w:ilvl w:val="0"/>
          <w:numId w:val="93"/>
        </w:numPr>
        <w:ind w:left="426" w:hanging="426"/>
        <w:rPr>
          <w:rFonts w:hint="eastAsia"/>
        </w:rPr>
      </w:pPr>
      <w:r>
        <w:t>应付债券的具体情况</w:t>
      </w:r>
      <w:r>
        <w:rPr>
          <w:rFonts w:hint="eastAsia"/>
        </w:rPr>
        <w:t>：（不包括划分为金融负债的优先股、永续债等其他金融工具）</w:t>
      </w:r>
    </w:p>
    <w:sdt>
      <w:sdtPr>
        <w:alias w:val="是否适用：应付债券的增减变动[双击切换]"/>
        <w:tag w:val="_GBC_a682f35f6b7c4d8b840f80705a81f19c"/>
        <w:id w:val="1970090637"/>
        <w:placeholder>
          <w:docPart w:val="GBC22222222222222222222222222222"/>
        </w:placeholder>
      </w:sdtPr>
      <w:sdtContent>
        <w:p w14:paraId="072AACE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B38CA5B" w14:textId="77777777" w:rsidR="00577D08" w:rsidRDefault="00330FC0">
      <w:pPr>
        <w:pStyle w:val="4"/>
        <w:numPr>
          <w:ilvl w:val="0"/>
          <w:numId w:val="93"/>
        </w:numPr>
        <w:ind w:left="426" w:hanging="426"/>
        <w:rPr>
          <w:rFonts w:hint="eastAsia"/>
        </w:rPr>
      </w:pPr>
      <w:bookmarkStart w:id="434" w:name="OLE_LINK16"/>
      <w:bookmarkStart w:id="435" w:name="OLE_LINK18"/>
      <w:r>
        <w:rPr>
          <w:rFonts w:hint="eastAsia"/>
        </w:rPr>
        <w:t>可转换公司债券的说明</w:t>
      </w:r>
    </w:p>
    <w:sdt>
      <w:sdtPr>
        <w:rPr>
          <w:rFonts w:hint="eastAsia"/>
        </w:rPr>
        <w:alias w:val="是否适用：可转换公司债券的转股条件、转股时间说明[双击切换]"/>
        <w:tag w:val="_GBC_2b6cb515ba4c417781662a31ccbd84e3"/>
        <w:id w:val="1194734697"/>
        <w:placeholder>
          <w:docPart w:val="GBC22222222222222222222222222222"/>
        </w:placeholder>
      </w:sdtPr>
      <w:sdtContent>
        <w:p w14:paraId="1CB7B8C3" w14:textId="77777777" w:rsidR="00577D08" w:rsidRDefault="00330FC0">
          <w:pPr>
            <w:spacing w:before="60" w:after="6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F37D10E" w14:textId="77777777" w:rsidR="00577D08" w:rsidRDefault="00330FC0">
      <w:pPr>
        <w:spacing w:before="60" w:after="60"/>
      </w:pPr>
      <w:r>
        <w:rPr>
          <w:rFonts w:hint="eastAsia"/>
        </w:rPr>
        <w:t>转股权会计处理及判断依据</w:t>
      </w:r>
    </w:p>
    <w:sdt>
      <w:sdtPr>
        <w:alias w:val="是否适用：转股权会计处理及判断依据[双击切换]"/>
        <w:tag w:val="_GBC_8ec57a1730b24863aa91d9cece86f4d1"/>
        <w:id w:val="-1825971127"/>
        <w:placeholder>
          <w:docPart w:val="GBC22222222222222222222222222222"/>
        </w:placeholder>
      </w:sdtPr>
      <w:sdtContent>
        <w:p w14:paraId="2B5BD31D" w14:textId="77777777" w:rsidR="00577D08" w:rsidRDefault="00330FC0">
          <w:pPr>
            <w:spacing w:before="60" w:after="6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CBECEE1" w14:textId="77777777" w:rsidR="00577D08" w:rsidRDefault="00330FC0">
      <w:pPr>
        <w:pStyle w:val="4"/>
        <w:numPr>
          <w:ilvl w:val="0"/>
          <w:numId w:val="93"/>
        </w:numPr>
        <w:tabs>
          <w:tab w:val="left" w:pos="672"/>
        </w:tabs>
        <w:rPr>
          <w:rFonts w:ascii="宋体" w:hAnsi="宋体" w:hint="eastAsia"/>
          <w:color w:val="000000" w:themeColor="text1"/>
          <w:szCs w:val="21"/>
        </w:rPr>
      </w:pPr>
      <w:bookmarkStart w:id="436" w:name="_Hlk184976397"/>
      <w:bookmarkEnd w:id="434"/>
      <w:bookmarkEnd w:id="435"/>
      <w:r>
        <w:rPr>
          <w:rFonts w:ascii="宋体" w:hAnsi="宋体" w:hint="eastAsia"/>
          <w:color w:val="000000" w:themeColor="text1"/>
          <w:szCs w:val="21"/>
        </w:rPr>
        <w:lastRenderedPageBreak/>
        <w:t>划分为金融负债的其他金融工具说明</w:t>
      </w:r>
    </w:p>
    <w:p w14:paraId="3F139BA7" w14:textId="77777777" w:rsidR="00577D08" w:rsidRDefault="00330FC0">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53513c1d69be4ad5ae1f8e792b460c3a"/>
        <w:id w:val="-212668010"/>
        <w:placeholder>
          <w:docPart w:val="GBC22222222222222222222222222222"/>
        </w:placeholder>
      </w:sdtPr>
      <w:sdtContent>
        <w:p w14:paraId="6E4730B4"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C245DD4" w14:textId="77777777" w:rsidR="00577D08" w:rsidRDefault="00330FC0">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e613ba16b53e4bbb8a851aaf5017e3db"/>
        <w:id w:val="-1912455687"/>
        <w:placeholder>
          <w:docPart w:val="GBC22222222222222222222222222222"/>
        </w:placeholder>
      </w:sdtPr>
      <w:sdtContent>
        <w:p w14:paraId="5A307258"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F9F7C21" w14:textId="77777777" w:rsidR="00577D08" w:rsidRDefault="00330FC0">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204081d4f834a93a4a19ca79b51cf77"/>
        <w:id w:val="1861540301"/>
        <w:placeholder>
          <w:docPart w:val="GBC22222222222222222222222222222"/>
        </w:placeholder>
      </w:sdtPr>
      <w:sdtContent>
        <w:p w14:paraId="7469AF83" w14:textId="77777777" w:rsidR="00577D08" w:rsidRDefault="00330FC0">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436"/>
    <w:p w14:paraId="157F3745" w14:textId="77777777" w:rsidR="00577D08" w:rsidRDefault="00330FC0">
      <w:pPr>
        <w:spacing w:before="60" w:after="60"/>
      </w:pPr>
      <w:r>
        <w:rPr>
          <w:rFonts w:hint="eastAsia"/>
        </w:rPr>
        <w:t>其他说明：</w:t>
      </w:r>
    </w:p>
    <w:sdt>
      <w:sdtPr>
        <w:alias w:val="是否适用：应付债券的其他说明[双击切换]"/>
        <w:tag w:val="_GBC_2068e4e6d2994d6f8cfa9ecc26b171d4"/>
        <w:id w:val="565922136"/>
        <w:placeholder>
          <w:docPart w:val="GBC22222222222222222222222222222"/>
        </w:placeholder>
      </w:sdtPr>
      <w:sdtContent>
        <w:p w14:paraId="4C77FD26" w14:textId="77777777" w:rsidR="00577D08" w:rsidRDefault="00330FC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23785A7" w14:textId="77777777" w:rsidR="00577D08" w:rsidRDefault="00330FC0">
      <w:pPr>
        <w:pStyle w:val="3"/>
        <w:numPr>
          <w:ilvl w:val="0"/>
          <w:numId w:val="61"/>
        </w:numPr>
        <w:tabs>
          <w:tab w:val="left" w:pos="504"/>
        </w:tabs>
        <w:rPr>
          <w:szCs w:val="21"/>
        </w:rPr>
      </w:pPr>
      <w:bookmarkStart w:id="437" w:name="_Hlk24026742"/>
      <w:r>
        <w:rPr>
          <w:rFonts w:hint="eastAsia"/>
          <w:szCs w:val="21"/>
        </w:rPr>
        <w:t>租赁负债</w:t>
      </w:r>
    </w:p>
    <w:sdt>
      <w:sdtPr>
        <w:alias w:val="是否适用：租赁负债[双击切换]"/>
        <w:tag w:val="_GBC_abf9a23b0ddc4b63b6f39d768c084973"/>
        <w:id w:val="721017015"/>
        <w:placeholder>
          <w:docPart w:val="GBC22222222222222222222222222222"/>
        </w:placeholder>
      </w:sdtPr>
      <w:sdtContent>
        <w:p w14:paraId="170F324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D07D89B" w14:textId="627A8044" w:rsidR="00577D08" w:rsidRDefault="00330FC0">
      <w:pPr>
        <w:jc w:val="right"/>
      </w:pPr>
      <w:r>
        <w:rPr>
          <w:rFonts w:hint="eastAsia"/>
        </w:rPr>
        <w:t>单位：</w:t>
      </w:r>
      <w:sdt>
        <w:sdtPr>
          <w:rPr>
            <w:rFonts w:hint="eastAsia"/>
          </w:rPr>
          <w:alias w:val="单位：租赁负债"/>
          <w:tag w:val="_GBC_33e504b2a4a34d41946083d1a309022f"/>
          <w:id w:val="110909069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租赁负债"/>
          <w:tag w:val="_GBC_90ebb9825c5740c794669c2bf1475590"/>
          <w:id w:val="1797096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5"/>
        <w:gridCol w:w="2921"/>
        <w:gridCol w:w="2922"/>
      </w:tblGrid>
      <w:tr w:rsidR="00577D08" w14:paraId="5B289F29" w14:textId="77777777">
        <w:trPr>
          <w:cantSplit/>
          <w:trHeight w:val="307"/>
        </w:trPr>
        <w:sdt>
          <w:sdtPr>
            <w:tag w:val="_PLD_a05982b715d74082b7e01db9e1e265ef"/>
            <w:id w:val="-1090768685"/>
          </w:sdtPr>
          <w:sdtContent>
            <w:tc>
              <w:tcPr>
                <w:tcW w:w="3205" w:type="dxa"/>
                <w:vAlign w:val="center"/>
              </w:tcPr>
              <w:p w14:paraId="710D88D9" w14:textId="77777777" w:rsidR="00577D08" w:rsidRDefault="00330FC0">
                <w:pPr>
                  <w:jc w:val="center"/>
                </w:pPr>
                <w:r>
                  <w:rPr>
                    <w:rFonts w:hint="eastAsia"/>
                  </w:rPr>
                  <w:t>项目</w:t>
                </w:r>
              </w:p>
            </w:tc>
          </w:sdtContent>
        </w:sdt>
        <w:sdt>
          <w:sdtPr>
            <w:tag w:val="_PLD_84a0d8719b674f50bfcfc1c6ed86fed6"/>
            <w:id w:val="1886914121"/>
          </w:sdtPr>
          <w:sdtContent>
            <w:tc>
              <w:tcPr>
                <w:tcW w:w="2921" w:type="dxa"/>
                <w:vAlign w:val="center"/>
              </w:tcPr>
              <w:p w14:paraId="2F47E52B" w14:textId="77777777" w:rsidR="00577D08" w:rsidRDefault="00330FC0">
                <w:pPr>
                  <w:jc w:val="center"/>
                </w:pPr>
                <w:r>
                  <w:rPr>
                    <w:rFonts w:hint="eastAsia"/>
                  </w:rPr>
                  <w:t>期末余额</w:t>
                </w:r>
              </w:p>
            </w:tc>
          </w:sdtContent>
        </w:sdt>
        <w:sdt>
          <w:sdtPr>
            <w:tag w:val="_PLD_d601589800f8414abb18e7477e7b41d6"/>
            <w:id w:val="1719550860"/>
          </w:sdtPr>
          <w:sdtContent>
            <w:tc>
              <w:tcPr>
                <w:tcW w:w="2922" w:type="dxa"/>
                <w:vAlign w:val="center"/>
              </w:tcPr>
              <w:p w14:paraId="742F71AB" w14:textId="77777777" w:rsidR="00577D08" w:rsidRDefault="00330FC0">
                <w:pPr>
                  <w:jc w:val="center"/>
                </w:pPr>
                <w:r>
                  <w:rPr>
                    <w:rFonts w:hint="eastAsia"/>
                  </w:rPr>
                  <w:t>期初余额</w:t>
                </w:r>
              </w:p>
            </w:tc>
          </w:sdtContent>
        </w:sdt>
      </w:tr>
      <w:tr w:rsidR="00577D08" w14:paraId="27FFD434" w14:textId="77777777">
        <w:trPr>
          <w:cantSplit/>
          <w:trHeight w:val="186"/>
        </w:trPr>
        <w:tc>
          <w:tcPr>
            <w:tcW w:w="3205" w:type="dxa"/>
          </w:tcPr>
          <w:p w14:paraId="406ED36B" w14:textId="77777777" w:rsidR="00577D08" w:rsidRDefault="00330FC0">
            <w:r>
              <w:rPr>
                <w:rFonts w:hint="eastAsia"/>
              </w:rPr>
              <w:t>租赁付款额</w:t>
            </w:r>
          </w:p>
        </w:tc>
        <w:tc>
          <w:tcPr>
            <w:tcW w:w="2921" w:type="dxa"/>
          </w:tcPr>
          <w:p w14:paraId="76B17C72" w14:textId="77777777" w:rsidR="00577D08" w:rsidRDefault="00330FC0">
            <w:pPr>
              <w:jc w:val="right"/>
            </w:pPr>
            <w:r>
              <w:t>12,513,769.05</w:t>
            </w:r>
          </w:p>
        </w:tc>
        <w:tc>
          <w:tcPr>
            <w:tcW w:w="2922" w:type="dxa"/>
          </w:tcPr>
          <w:p w14:paraId="120013AF" w14:textId="77777777" w:rsidR="00577D08" w:rsidRDefault="00330FC0">
            <w:pPr>
              <w:jc w:val="right"/>
            </w:pPr>
            <w:r>
              <w:t>3,241,847.62</w:t>
            </w:r>
          </w:p>
        </w:tc>
      </w:tr>
      <w:tr w:rsidR="00577D08" w14:paraId="03E35734" w14:textId="77777777">
        <w:trPr>
          <w:cantSplit/>
          <w:trHeight w:val="186"/>
        </w:trPr>
        <w:tc>
          <w:tcPr>
            <w:tcW w:w="3205" w:type="dxa"/>
          </w:tcPr>
          <w:p w14:paraId="1C7C8823" w14:textId="77777777" w:rsidR="00577D08" w:rsidRDefault="00330FC0">
            <w:r>
              <w:rPr>
                <w:rFonts w:hint="eastAsia"/>
              </w:rPr>
              <w:t>减：未确认融资费用</w:t>
            </w:r>
          </w:p>
        </w:tc>
        <w:tc>
          <w:tcPr>
            <w:tcW w:w="2921" w:type="dxa"/>
          </w:tcPr>
          <w:p w14:paraId="707F77DC" w14:textId="77777777" w:rsidR="00577D08" w:rsidRDefault="00330FC0">
            <w:pPr>
              <w:jc w:val="right"/>
            </w:pPr>
            <w:r>
              <w:t>383,953.04</w:t>
            </w:r>
          </w:p>
        </w:tc>
        <w:tc>
          <w:tcPr>
            <w:tcW w:w="2922" w:type="dxa"/>
          </w:tcPr>
          <w:p w14:paraId="65262842" w14:textId="77777777" w:rsidR="00577D08" w:rsidRDefault="00330FC0">
            <w:pPr>
              <w:jc w:val="right"/>
            </w:pPr>
            <w:r>
              <w:t>186,357.12</w:t>
            </w:r>
          </w:p>
        </w:tc>
      </w:tr>
      <w:tr w:rsidR="00577D08" w14:paraId="7A5A92EE" w14:textId="77777777">
        <w:trPr>
          <w:cantSplit/>
          <w:trHeight w:val="186"/>
        </w:trPr>
        <w:tc>
          <w:tcPr>
            <w:tcW w:w="3205" w:type="dxa"/>
            <w:vAlign w:val="center"/>
          </w:tcPr>
          <w:p w14:paraId="43951698" w14:textId="77777777" w:rsidR="00577D08" w:rsidRDefault="00330FC0">
            <w:pPr>
              <w:jc w:val="center"/>
            </w:pPr>
            <w:r>
              <w:rPr>
                <w:rFonts w:hint="eastAsia"/>
              </w:rPr>
              <w:t>合计</w:t>
            </w:r>
          </w:p>
        </w:tc>
        <w:tc>
          <w:tcPr>
            <w:tcW w:w="2921" w:type="dxa"/>
          </w:tcPr>
          <w:p w14:paraId="4990A19B" w14:textId="77777777" w:rsidR="00577D08" w:rsidRDefault="00330FC0">
            <w:pPr>
              <w:jc w:val="right"/>
            </w:pPr>
            <w:r>
              <w:t>12,129,816.01</w:t>
            </w:r>
          </w:p>
        </w:tc>
        <w:tc>
          <w:tcPr>
            <w:tcW w:w="2922" w:type="dxa"/>
          </w:tcPr>
          <w:p w14:paraId="4C948FB9" w14:textId="77777777" w:rsidR="00577D08" w:rsidRDefault="00330FC0">
            <w:pPr>
              <w:jc w:val="right"/>
            </w:pPr>
            <w:r>
              <w:t>3,055,490.50</w:t>
            </w:r>
          </w:p>
        </w:tc>
      </w:tr>
    </w:tbl>
    <w:p w14:paraId="7FC3B5C9" w14:textId="77777777" w:rsidR="00577D08" w:rsidRDefault="00330FC0">
      <w:pPr>
        <w:snapToGrid w:val="0"/>
        <w:spacing w:before="60" w:after="60" w:line="240" w:lineRule="atLeast"/>
      </w:pPr>
      <w:r>
        <w:rPr>
          <w:rFonts w:hint="eastAsia"/>
        </w:rPr>
        <w:t>其他说明：</w:t>
      </w:r>
    </w:p>
    <w:sdt>
      <w:sdtPr>
        <w:alias w:val="租赁负债其他说明"/>
        <w:tag w:val="_GBC_d655dad6394141cbbfbca3ff3319cddc"/>
        <w:id w:val="-1716496136"/>
        <w:placeholder>
          <w:docPart w:val="GBC22222222222222222222222222222"/>
        </w:placeholder>
      </w:sdtPr>
      <w:sdtContent>
        <w:p w14:paraId="1221CDA5" w14:textId="77777777" w:rsidR="00577D08" w:rsidRDefault="00330FC0">
          <w:r>
            <w:rPr>
              <w:rFonts w:hint="eastAsia"/>
            </w:rPr>
            <w:t>无</w:t>
          </w:r>
        </w:p>
      </w:sdtContent>
    </w:sdt>
    <w:bookmarkEnd w:id="437"/>
    <w:p w14:paraId="35DADC87"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长期应付款</w:t>
      </w:r>
    </w:p>
    <w:p w14:paraId="284AF99E" w14:textId="77777777" w:rsidR="00577D08" w:rsidRDefault="00330FC0">
      <w:pPr>
        <w:pStyle w:val="4"/>
        <w:rPr>
          <w:rFonts w:hint="eastAsia"/>
        </w:rPr>
      </w:pPr>
      <w:bookmarkStart w:id="438" w:name="_Hlk532911038"/>
      <w:r>
        <w:rPr>
          <w:rFonts w:hint="eastAsia"/>
        </w:rPr>
        <w:t>项目列示</w:t>
      </w:r>
    </w:p>
    <w:sdt>
      <w:sdtPr>
        <w:alias w:val="是否适用：长期应付款分类列示[双击切换]"/>
        <w:tag w:val="_GBC_90d4a9bd673140ef9c99898da48d1614"/>
        <w:id w:val="-1951312752"/>
        <w:placeholder>
          <w:docPart w:val="GBC22222222222222222222222222222"/>
        </w:placeholder>
      </w:sdtPr>
      <w:sdtContent>
        <w:p w14:paraId="5F56DC5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24EF8ED" w14:textId="2CB6A325" w:rsidR="00577D08" w:rsidRDefault="00330FC0">
      <w:pPr>
        <w:jc w:val="right"/>
      </w:pPr>
      <w:r>
        <w:rPr>
          <w:rFonts w:hint="eastAsia"/>
        </w:rPr>
        <w:t>单位：</w:t>
      </w:r>
      <w:sdt>
        <w:sdtPr>
          <w:rPr>
            <w:rFonts w:hint="eastAsia"/>
          </w:rPr>
          <w:alias w:val="单位：长期应付款分类列示"/>
          <w:tag w:val="_GBC_6f1c5753ac2941b597e1d984d66c55a3"/>
          <w:id w:val="16679015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长期应付款分类列示"/>
          <w:tag w:val="_GBC_8f45b0164513461a90709633a96141c4"/>
          <w:id w:val="15731620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77D08" w14:paraId="766AEF68" w14:textId="77777777">
        <w:sdt>
          <w:sdtPr>
            <w:tag w:val="_PLD_2038af4a07e447f88ceb8aedfaa7f12b"/>
            <w:id w:val="668986812"/>
          </w:sdtPr>
          <w:sdtContent>
            <w:tc>
              <w:tcPr>
                <w:tcW w:w="3308" w:type="dxa"/>
                <w:vAlign w:val="center"/>
              </w:tcPr>
              <w:p w14:paraId="4AB06C58" w14:textId="77777777" w:rsidR="00577D08" w:rsidRDefault="00330FC0">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8b56081577b84bd3b322c0202b6a7142"/>
            <w:id w:val="-1452001475"/>
          </w:sdtPr>
          <w:sdtContent>
            <w:tc>
              <w:tcPr>
                <w:tcW w:w="2863" w:type="dxa"/>
                <w:vAlign w:val="center"/>
              </w:tcPr>
              <w:p w14:paraId="6D395A69" w14:textId="77777777" w:rsidR="00577D08" w:rsidRDefault="00330FC0">
                <w:pPr>
                  <w:jc w:val="center"/>
                </w:pPr>
                <w:r>
                  <w:rPr>
                    <w:rFonts w:hint="eastAsia"/>
                  </w:rPr>
                  <w:t>期末余额</w:t>
                </w:r>
              </w:p>
            </w:tc>
          </w:sdtContent>
        </w:sdt>
        <w:sdt>
          <w:sdtPr>
            <w:tag w:val="_PLD_2fa2691f59be4fb398c9e37e50109f5a"/>
            <w:id w:val="1676840025"/>
          </w:sdtPr>
          <w:sdtContent>
            <w:tc>
              <w:tcPr>
                <w:tcW w:w="2877" w:type="dxa"/>
                <w:vAlign w:val="center"/>
              </w:tcPr>
              <w:p w14:paraId="4C4E644E" w14:textId="77777777" w:rsidR="00577D08" w:rsidRDefault="00330FC0">
                <w:pPr>
                  <w:jc w:val="center"/>
                </w:pPr>
                <w:r>
                  <w:rPr>
                    <w:rFonts w:hint="eastAsia"/>
                  </w:rPr>
                  <w:t>期初余额</w:t>
                </w:r>
              </w:p>
            </w:tc>
          </w:sdtContent>
        </w:sdt>
      </w:tr>
      <w:tr w:rsidR="00577D08" w14:paraId="559C2B40" w14:textId="77777777">
        <w:tc>
          <w:tcPr>
            <w:tcW w:w="3308" w:type="dxa"/>
            <w:vAlign w:val="center"/>
          </w:tcPr>
          <w:p w14:paraId="7F6F5845" w14:textId="77777777" w:rsidR="00577D08" w:rsidRDefault="00330FC0">
            <w:pPr>
              <w:tabs>
                <w:tab w:val="right" w:pos="3690"/>
                <w:tab w:val="right" w:pos="5130"/>
                <w:tab w:val="right" w:pos="6030"/>
                <w:tab w:val="right" w:pos="7650"/>
                <w:tab w:val="right" w:pos="9270"/>
              </w:tabs>
              <w:adjustRightInd w:val="0"/>
              <w:snapToGrid w:val="0"/>
            </w:pPr>
            <w:r>
              <w:rPr>
                <w:rFonts w:hint="eastAsia"/>
              </w:rPr>
              <w:t>长期应付款</w:t>
            </w:r>
          </w:p>
        </w:tc>
        <w:tc>
          <w:tcPr>
            <w:tcW w:w="2863" w:type="dxa"/>
          </w:tcPr>
          <w:p w14:paraId="6D9A5A0E" w14:textId="77777777" w:rsidR="00577D08" w:rsidRDefault="00330FC0">
            <w:pPr>
              <w:tabs>
                <w:tab w:val="right" w:pos="3690"/>
                <w:tab w:val="right" w:pos="5130"/>
                <w:tab w:val="right" w:pos="6030"/>
                <w:tab w:val="right" w:pos="7650"/>
                <w:tab w:val="right" w:pos="9270"/>
              </w:tabs>
              <w:adjustRightInd w:val="0"/>
              <w:snapToGrid w:val="0"/>
              <w:jc w:val="right"/>
            </w:pPr>
            <w:r>
              <w:t>141,501,816.72</w:t>
            </w:r>
          </w:p>
        </w:tc>
        <w:tc>
          <w:tcPr>
            <w:tcW w:w="2877" w:type="dxa"/>
            <w:vAlign w:val="center"/>
          </w:tcPr>
          <w:p w14:paraId="557DC930" w14:textId="77777777" w:rsidR="00577D08" w:rsidRDefault="00577D08">
            <w:pPr>
              <w:tabs>
                <w:tab w:val="right" w:pos="3690"/>
                <w:tab w:val="right" w:pos="5130"/>
                <w:tab w:val="right" w:pos="6030"/>
                <w:tab w:val="right" w:pos="7650"/>
                <w:tab w:val="right" w:pos="9270"/>
              </w:tabs>
              <w:adjustRightInd w:val="0"/>
              <w:snapToGrid w:val="0"/>
              <w:jc w:val="right"/>
            </w:pPr>
          </w:p>
        </w:tc>
      </w:tr>
      <w:tr w:rsidR="00577D08" w14:paraId="75D90680" w14:textId="77777777">
        <w:tc>
          <w:tcPr>
            <w:tcW w:w="3308" w:type="dxa"/>
            <w:vAlign w:val="center"/>
          </w:tcPr>
          <w:p w14:paraId="633416E8" w14:textId="77777777" w:rsidR="00577D08" w:rsidRDefault="00330FC0">
            <w:pPr>
              <w:tabs>
                <w:tab w:val="right" w:pos="3690"/>
                <w:tab w:val="right" w:pos="5130"/>
                <w:tab w:val="right" w:pos="6030"/>
                <w:tab w:val="right" w:pos="7650"/>
                <w:tab w:val="right" w:pos="9270"/>
              </w:tabs>
              <w:adjustRightInd w:val="0"/>
              <w:snapToGrid w:val="0"/>
            </w:pPr>
            <w:r>
              <w:rPr>
                <w:rFonts w:hint="eastAsia"/>
              </w:rPr>
              <w:t>合计</w:t>
            </w:r>
          </w:p>
        </w:tc>
        <w:tc>
          <w:tcPr>
            <w:tcW w:w="2863" w:type="dxa"/>
          </w:tcPr>
          <w:p w14:paraId="605FA842" w14:textId="77777777" w:rsidR="00577D08" w:rsidRDefault="00330FC0">
            <w:pPr>
              <w:tabs>
                <w:tab w:val="right" w:pos="3690"/>
                <w:tab w:val="right" w:pos="5130"/>
                <w:tab w:val="right" w:pos="6030"/>
                <w:tab w:val="right" w:pos="7650"/>
                <w:tab w:val="right" w:pos="9270"/>
              </w:tabs>
              <w:adjustRightInd w:val="0"/>
              <w:snapToGrid w:val="0"/>
              <w:jc w:val="right"/>
            </w:pPr>
            <w:r>
              <w:t>141,501,816.72</w:t>
            </w:r>
          </w:p>
        </w:tc>
        <w:tc>
          <w:tcPr>
            <w:tcW w:w="2877" w:type="dxa"/>
            <w:vAlign w:val="center"/>
          </w:tcPr>
          <w:p w14:paraId="50C6CDFB" w14:textId="77777777" w:rsidR="00577D08" w:rsidRDefault="00577D08">
            <w:pPr>
              <w:tabs>
                <w:tab w:val="right" w:pos="3690"/>
                <w:tab w:val="right" w:pos="5130"/>
                <w:tab w:val="right" w:pos="6030"/>
                <w:tab w:val="right" w:pos="7650"/>
                <w:tab w:val="right" w:pos="9270"/>
              </w:tabs>
              <w:adjustRightInd w:val="0"/>
              <w:snapToGrid w:val="0"/>
              <w:jc w:val="right"/>
            </w:pPr>
          </w:p>
        </w:tc>
      </w:tr>
    </w:tbl>
    <w:p w14:paraId="21DB410E" w14:textId="77777777" w:rsidR="00577D08" w:rsidRDefault="00330FC0">
      <w:bookmarkStart w:id="439" w:name="_Hlk532911057"/>
      <w:bookmarkEnd w:id="438"/>
      <w:r>
        <w:rPr>
          <w:rFonts w:hint="eastAsia"/>
        </w:rPr>
        <w:t>其他说明：</w:t>
      </w:r>
    </w:p>
    <w:sdt>
      <w:sdtPr>
        <w:alias w:val="是否适用：长期应付款分类列示其他说明[双击切换]"/>
        <w:tag w:val="_GBC_e7daa7f55cea4e3d835be6ee6457b35d"/>
        <w:id w:val="-1751573011"/>
        <w:placeholder>
          <w:docPart w:val="GBC22222222222222222222222222222"/>
        </w:placeholder>
      </w:sdtPr>
      <w:sdtContent>
        <w:p w14:paraId="735B86E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39"/>
    <w:p w14:paraId="1954584B" w14:textId="77777777" w:rsidR="00577D08" w:rsidRDefault="00330FC0">
      <w:pPr>
        <w:pStyle w:val="4"/>
        <w:ind w:left="360" w:hanging="360"/>
        <w:rPr>
          <w:rFonts w:hint="eastAsia"/>
        </w:rPr>
      </w:pPr>
      <w:r>
        <w:rPr>
          <w:rFonts w:hint="eastAsia"/>
        </w:rPr>
        <w:t>长期应付款</w:t>
      </w:r>
    </w:p>
    <w:p w14:paraId="53CBE43A" w14:textId="77777777" w:rsidR="00577D08" w:rsidRDefault="00330FC0">
      <w:pPr>
        <w:pStyle w:val="5"/>
        <w:numPr>
          <w:ilvl w:val="0"/>
          <w:numId w:val="94"/>
        </w:numPr>
        <w:ind w:leftChars="0"/>
      </w:pPr>
      <w:r>
        <w:rPr>
          <w:rFonts w:hint="eastAsia"/>
        </w:rPr>
        <w:t>按款项性质列示长期应付款</w:t>
      </w:r>
    </w:p>
    <w:sdt>
      <w:sdtPr>
        <w:alias w:val="是否适用：按款项性质列示长期应付款[双击切换]"/>
        <w:tag w:val="_GBC_6a4cca7cce5341018cd4836f32746cd9"/>
        <w:id w:val="539248979"/>
        <w:placeholder>
          <w:docPart w:val="GBC22222222222222222222222222222"/>
        </w:placeholder>
      </w:sdtPr>
      <w:sdtContent>
        <w:p w14:paraId="4FFF5AA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24509B1" w14:textId="2583C001" w:rsidR="00577D08" w:rsidRDefault="00330FC0">
      <w:pPr>
        <w:jc w:val="right"/>
      </w:pPr>
      <w:r>
        <w:rPr>
          <w:rFonts w:hint="eastAsia"/>
        </w:rPr>
        <w:t>单位：</w:t>
      </w:r>
      <w:sdt>
        <w:sdtPr>
          <w:rPr>
            <w:rFonts w:hint="eastAsia"/>
          </w:rPr>
          <w:alias w:val="单位：财务附注：长期应付款"/>
          <w:tag w:val="_GBC_ddf7b9d28f164198ac6c2f6a82b47d41"/>
          <w:id w:val="12047608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长期应付款"/>
          <w:tag w:val="_GBC_f93228408d4f48699309d8ab4da673ba"/>
          <w:id w:val="12601755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208"/>
        <w:gridCol w:w="2924"/>
        <w:gridCol w:w="2926"/>
      </w:tblGrid>
      <w:tr w:rsidR="00577D08" w14:paraId="0315E8EB" w14:textId="77777777">
        <w:trPr>
          <w:cantSplit/>
          <w:trHeight w:val="307"/>
        </w:trPr>
        <w:sdt>
          <w:sdtPr>
            <w:tag w:val="_PLD_80697eb0741143188d1783ddd81c2db2"/>
            <w:id w:val="1087959361"/>
          </w:sdtPr>
          <w:sdtContent>
            <w:tc>
              <w:tcPr>
                <w:tcW w:w="3208" w:type="dxa"/>
                <w:vAlign w:val="center"/>
              </w:tcPr>
              <w:p w14:paraId="7D91830B" w14:textId="77777777" w:rsidR="00577D08" w:rsidRDefault="00330FC0">
                <w:pPr>
                  <w:jc w:val="center"/>
                </w:pPr>
                <w:r>
                  <w:rPr>
                    <w:rFonts w:hint="eastAsia"/>
                  </w:rPr>
                  <w:t>项目</w:t>
                </w:r>
              </w:p>
            </w:tc>
          </w:sdtContent>
        </w:sdt>
        <w:sdt>
          <w:sdtPr>
            <w:tag w:val="_PLD_b45e38f9b06048e18bf5d20429299b7b"/>
            <w:id w:val="-1194923821"/>
          </w:sdtPr>
          <w:sdtContent>
            <w:tc>
              <w:tcPr>
                <w:tcW w:w="2924" w:type="dxa"/>
                <w:vAlign w:val="center"/>
              </w:tcPr>
              <w:p w14:paraId="525D4298" w14:textId="77777777" w:rsidR="00577D08" w:rsidRDefault="00330FC0">
                <w:pPr>
                  <w:jc w:val="center"/>
                </w:pPr>
                <w:r>
                  <w:rPr>
                    <w:rFonts w:hint="eastAsia"/>
                  </w:rPr>
                  <w:t>期末余额</w:t>
                </w:r>
              </w:p>
            </w:tc>
          </w:sdtContent>
        </w:sdt>
        <w:sdt>
          <w:sdtPr>
            <w:tag w:val="_PLD_361897af892e4de98bc2cf056e2b512c"/>
            <w:id w:val="1197816619"/>
          </w:sdtPr>
          <w:sdtContent>
            <w:tc>
              <w:tcPr>
                <w:tcW w:w="2926" w:type="dxa"/>
                <w:vAlign w:val="center"/>
              </w:tcPr>
              <w:p w14:paraId="5ED095F6" w14:textId="77777777" w:rsidR="00577D08" w:rsidRDefault="00330FC0">
                <w:pPr>
                  <w:jc w:val="center"/>
                </w:pPr>
                <w:r>
                  <w:rPr>
                    <w:rFonts w:hint="eastAsia"/>
                  </w:rPr>
                  <w:t>期初余额</w:t>
                </w:r>
              </w:p>
            </w:tc>
          </w:sdtContent>
        </w:sdt>
      </w:tr>
      <w:tr w:rsidR="00577D08" w14:paraId="51D8186C" w14:textId="77777777">
        <w:trPr>
          <w:cantSplit/>
          <w:trHeight w:val="186"/>
        </w:trPr>
        <w:tc>
          <w:tcPr>
            <w:tcW w:w="3208" w:type="dxa"/>
          </w:tcPr>
          <w:p w14:paraId="7A953E15" w14:textId="77777777" w:rsidR="00577D08" w:rsidRDefault="00330FC0">
            <w:r>
              <w:rPr>
                <w:rFonts w:hint="eastAsia"/>
              </w:rPr>
              <w:t>中银金融租赁有限公司</w:t>
            </w:r>
          </w:p>
        </w:tc>
        <w:tc>
          <w:tcPr>
            <w:tcW w:w="2924" w:type="dxa"/>
          </w:tcPr>
          <w:p w14:paraId="4A7BAD1B" w14:textId="77777777" w:rsidR="00577D08" w:rsidRDefault="00330FC0">
            <w:pPr>
              <w:jc w:val="right"/>
            </w:pPr>
            <w:r>
              <w:rPr>
                <w:rFonts w:hint="eastAsia"/>
              </w:rPr>
              <w:t>141,501,816.72</w:t>
            </w:r>
          </w:p>
        </w:tc>
        <w:tc>
          <w:tcPr>
            <w:tcW w:w="2926" w:type="dxa"/>
            <w:vAlign w:val="center"/>
          </w:tcPr>
          <w:p w14:paraId="05ACD0EF" w14:textId="77777777" w:rsidR="00577D08" w:rsidRDefault="00577D08">
            <w:pPr>
              <w:jc w:val="right"/>
            </w:pPr>
          </w:p>
        </w:tc>
      </w:tr>
      <w:tr w:rsidR="00577D08" w14:paraId="369621EF" w14:textId="77777777">
        <w:trPr>
          <w:cantSplit/>
          <w:trHeight w:val="186"/>
        </w:trPr>
        <w:tc>
          <w:tcPr>
            <w:tcW w:w="3208" w:type="dxa"/>
          </w:tcPr>
          <w:p w14:paraId="6A2DB888" w14:textId="77777777" w:rsidR="00577D08" w:rsidRDefault="00330FC0">
            <w:pPr>
              <w:jc w:val="center"/>
            </w:pPr>
            <w:r>
              <w:rPr>
                <w:rFonts w:hint="eastAsia"/>
              </w:rPr>
              <w:t>合计</w:t>
            </w:r>
          </w:p>
        </w:tc>
        <w:tc>
          <w:tcPr>
            <w:tcW w:w="2924" w:type="dxa"/>
          </w:tcPr>
          <w:p w14:paraId="770D1650" w14:textId="77777777" w:rsidR="00577D08" w:rsidRDefault="00330FC0">
            <w:pPr>
              <w:jc w:val="right"/>
            </w:pPr>
            <w:r>
              <w:rPr>
                <w:rFonts w:hint="eastAsia"/>
              </w:rPr>
              <w:t>141,501,816.72</w:t>
            </w:r>
          </w:p>
        </w:tc>
        <w:tc>
          <w:tcPr>
            <w:tcW w:w="2926" w:type="dxa"/>
            <w:vAlign w:val="center"/>
          </w:tcPr>
          <w:p w14:paraId="4C1E0441" w14:textId="77777777" w:rsidR="00577D08" w:rsidRDefault="00577D08">
            <w:pPr>
              <w:jc w:val="right"/>
            </w:pPr>
          </w:p>
        </w:tc>
      </w:tr>
    </w:tbl>
    <w:p w14:paraId="38A08C04" w14:textId="77777777" w:rsidR="00577D08" w:rsidRDefault="00330FC0">
      <w:pPr>
        <w:snapToGrid w:val="0"/>
        <w:spacing w:before="60" w:after="60" w:line="240" w:lineRule="atLeast"/>
      </w:pPr>
      <w:r>
        <w:rPr>
          <w:rFonts w:hint="eastAsia"/>
        </w:rPr>
        <w:t>其他说明：</w:t>
      </w:r>
    </w:p>
    <w:p w14:paraId="02284628" w14:textId="77777777" w:rsidR="00577D08" w:rsidRDefault="00000000">
      <w:pPr>
        <w:snapToGrid w:val="0"/>
        <w:spacing w:line="240" w:lineRule="atLeast"/>
      </w:pPr>
      <w:sdt>
        <w:sdtPr>
          <w:alias w:val="长期应付款的说明"/>
          <w:tag w:val="_GBC_1e1004e075cc4ec6b1e314219a582067"/>
          <w:id w:val="677474454"/>
          <w:placeholder>
            <w:docPart w:val="GBC22222222222222222222222222222"/>
          </w:placeholder>
        </w:sdtPr>
        <w:sdtContent>
          <w:r w:rsidR="00330FC0">
            <w:rPr>
              <w:rFonts w:hint="eastAsia"/>
            </w:rPr>
            <w:t>无</w:t>
          </w:r>
        </w:sdtContent>
      </w:sdt>
    </w:p>
    <w:p w14:paraId="5E1811B2" w14:textId="77777777" w:rsidR="00577D08" w:rsidRDefault="00330FC0">
      <w:pPr>
        <w:pStyle w:val="4"/>
        <w:ind w:left="360" w:hanging="360"/>
        <w:rPr>
          <w:rFonts w:hint="eastAsia"/>
        </w:rPr>
      </w:pPr>
      <w:r>
        <w:rPr>
          <w:rFonts w:hint="eastAsia"/>
        </w:rPr>
        <w:t>专项应付款</w:t>
      </w:r>
    </w:p>
    <w:p w14:paraId="5C6BB71A" w14:textId="77777777" w:rsidR="00577D08" w:rsidRDefault="00330FC0">
      <w:pPr>
        <w:pStyle w:val="5"/>
        <w:numPr>
          <w:ilvl w:val="0"/>
          <w:numId w:val="95"/>
        </w:numPr>
        <w:ind w:leftChars="0"/>
        <w:rPr>
          <w:rFonts w:asciiTheme="minorHAnsi" w:hAnsiTheme="minorHAnsi" w:cstheme="minorBidi"/>
          <w:kern w:val="0"/>
          <w:szCs w:val="24"/>
        </w:rPr>
      </w:pPr>
      <w:r>
        <w:rPr>
          <w:rFonts w:asciiTheme="minorHAnsi" w:hAnsiTheme="minorHAnsi" w:cstheme="minorBidi" w:hint="eastAsia"/>
          <w:kern w:val="0"/>
          <w:szCs w:val="24"/>
        </w:rPr>
        <w:t>按款项性质列示专项应付款</w:t>
      </w:r>
    </w:p>
    <w:sdt>
      <w:sdtPr>
        <w:alias w:val="是否适用：专项应付款[双击切换]"/>
        <w:tag w:val="_GBC_857ddecb5bce4a0f99e428cd2635aa03"/>
        <w:id w:val="-1952855736"/>
        <w:placeholder>
          <w:docPart w:val="GBC22222222222222222222222222222"/>
        </w:placeholder>
      </w:sdtPr>
      <w:sdtContent>
        <w:p w14:paraId="2B5C3E5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CD00D36" w14:textId="77777777" w:rsidR="00577D08" w:rsidRDefault="00330FC0">
      <w:pPr>
        <w:pStyle w:val="3"/>
        <w:numPr>
          <w:ilvl w:val="0"/>
          <w:numId w:val="61"/>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33191973"/>
        <w:placeholder>
          <w:docPart w:val="GBC22222222222222222222222222222"/>
        </w:placeholder>
      </w:sdtPr>
      <w:sdtContent>
        <w:p w14:paraId="24978B4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4C751F9" w14:textId="77777777" w:rsidR="00577D08" w:rsidRDefault="00577D08"/>
    <w:p w14:paraId="4DA0B139" w14:textId="77777777" w:rsidR="00577D08" w:rsidRDefault="00330FC0">
      <w:pPr>
        <w:pStyle w:val="3"/>
        <w:numPr>
          <w:ilvl w:val="0"/>
          <w:numId w:val="61"/>
        </w:numPr>
        <w:tabs>
          <w:tab w:val="left" w:pos="504"/>
        </w:tabs>
        <w:rPr>
          <w:rFonts w:ascii="宋体" w:hAnsi="宋体" w:hint="eastAsia"/>
          <w:szCs w:val="21"/>
        </w:rPr>
      </w:pPr>
      <w:bookmarkStart w:id="440" w:name="_Hlk533670325"/>
      <w:r>
        <w:rPr>
          <w:rFonts w:ascii="宋体" w:hAnsi="宋体" w:hint="eastAsia"/>
          <w:szCs w:val="21"/>
        </w:rPr>
        <w:lastRenderedPageBreak/>
        <w:t>预计负债</w:t>
      </w:r>
    </w:p>
    <w:sdt>
      <w:sdtPr>
        <w:alias w:val="是否适用：预计负债[双击切换]"/>
        <w:tag w:val="_GBC_d57ab9083835465c9b1fdeb5ed46b3ce"/>
        <w:id w:val="-1845391178"/>
        <w:placeholder>
          <w:docPart w:val="GBC22222222222222222222222222222"/>
        </w:placeholder>
      </w:sdtPr>
      <w:sdtContent>
        <w:p w14:paraId="28BBA38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17D91B7" w14:textId="08D0FF10" w:rsidR="00577D08" w:rsidRDefault="00330FC0">
      <w:pPr>
        <w:jc w:val="right"/>
      </w:pPr>
      <w:r>
        <w:rPr>
          <w:rFonts w:hint="eastAsia"/>
        </w:rPr>
        <w:t>单位：</w:t>
      </w:r>
      <w:sdt>
        <w:sdtPr>
          <w:rPr>
            <w:rFonts w:hint="eastAsia"/>
          </w:rPr>
          <w:alias w:val="单位：财务附注：预计负债"/>
          <w:tag w:val="_GBC_579154bdef014b44aba03cac00df126c"/>
          <w:id w:val="280741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预计负债"/>
          <w:tag w:val="_GBC_1129ab1db6684ceb91f0593c32b5d268"/>
          <w:id w:val="6981299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264"/>
        <w:gridCol w:w="2264"/>
        <w:gridCol w:w="2264"/>
        <w:gridCol w:w="2264"/>
      </w:tblGrid>
      <w:tr w:rsidR="00577D08" w14:paraId="0BFCC20A" w14:textId="77777777">
        <w:trPr>
          <w:cantSplit/>
        </w:trPr>
        <w:sdt>
          <w:sdtPr>
            <w:tag w:val="_PLD_afddd1066e934e598ead7a6e38343c21"/>
            <w:id w:val="-504134532"/>
          </w:sdtPr>
          <w:sdtContent>
            <w:tc>
              <w:tcPr>
                <w:tcW w:w="2264" w:type="dxa"/>
                <w:vAlign w:val="center"/>
              </w:tcPr>
              <w:p w14:paraId="094BF63F" w14:textId="77777777" w:rsidR="00577D08" w:rsidRDefault="00330FC0">
                <w:pPr>
                  <w:ind w:right="105"/>
                  <w:jc w:val="center"/>
                </w:pPr>
                <w:r>
                  <w:rPr>
                    <w:rFonts w:hint="eastAsia"/>
                  </w:rPr>
                  <w:t>项目</w:t>
                </w:r>
              </w:p>
            </w:tc>
          </w:sdtContent>
        </w:sdt>
        <w:sdt>
          <w:sdtPr>
            <w:tag w:val="_PLD_34e5a75912204ec1a95f806f18cf2748"/>
            <w:id w:val="-129398253"/>
          </w:sdtPr>
          <w:sdtContent>
            <w:tc>
              <w:tcPr>
                <w:tcW w:w="2264" w:type="dxa"/>
                <w:vAlign w:val="center"/>
              </w:tcPr>
              <w:p w14:paraId="42327D6B" w14:textId="77777777" w:rsidR="00577D08" w:rsidRDefault="00330FC0">
                <w:pPr>
                  <w:jc w:val="center"/>
                </w:pPr>
                <w:r>
                  <w:rPr>
                    <w:rFonts w:hint="eastAsia"/>
                  </w:rPr>
                  <w:t>期末余额</w:t>
                </w:r>
              </w:p>
            </w:tc>
          </w:sdtContent>
        </w:sdt>
        <w:sdt>
          <w:sdtPr>
            <w:tag w:val="_PLD_d493e26e1fb643299cea253bb9f43ca1"/>
            <w:id w:val="1271049197"/>
          </w:sdtPr>
          <w:sdtContent>
            <w:tc>
              <w:tcPr>
                <w:tcW w:w="2264" w:type="dxa"/>
                <w:vAlign w:val="center"/>
              </w:tcPr>
              <w:p w14:paraId="260243FF" w14:textId="77777777" w:rsidR="00577D08" w:rsidRDefault="00330FC0">
                <w:pPr>
                  <w:jc w:val="center"/>
                </w:pPr>
                <w:r>
                  <w:rPr>
                    <w:rFonts w:hint="eastAsia"/>
                  </w:rPr>
                  <w:t>期初余额</w:t>
                </w:r>
              </w:p>
            </w:tc>
          </w:sdtContent>
        </w:sdt>
        <w:sdt>
          <w:sdtPr>
            <w:tag w:val="_PLD_4ab9627b71924167a2397cf4a5d9e546"/>
            <w:id w:val="152496883"/>
          </w:sdtPr>
          <w:sdtContent>
            <w:tc>
              <w:tcPr>
                <w:tcW w:w="2264" w:type="dxa"/>
                <w:vAlign w:val="center"/>
              </w:tcPr>
              <w:p w14:paraId="3FF7441C" w14:textId="77777777" w:rsidR="00577D08" w:rsidRDefault="00330FC0">
                <w:pPr>
                  <w:jc w:val="center"/>
                </w:pPr>
                <w:r>
                  <w:rPr>
                    <w:rFonts w:hint="eastAsia"/>
                  </w:rPr>
                  <w:t>形成原因</w:t>
                </w:r>
              </w:p>
            </w:tc>
          </w:sdtContent>
        </w:sdt>
      </w:tr>
      <w:tr w:rsidR="00577D08" w14:paraId="7B2EFA41" w14:textId="77777777">
        <w:trPr>
          <w:cantSplit/>
        </w:trPr>
        <w:tc>
          <w:tcPr>
            <w:tcW w:w="2264" w:type="dxa"/>
            <w:vAlign w:val="center"/>
          </w:tcPr>
          <w:p w14:paraId="7AACA144" w14:textId="77777777" w:rsidR="00577D08" w:rsidRDefault="00330FC0">
            <w:pPr>
              <w:ind w:right="105"/>
            </w:pPr>
            <w:r>
              <w:rPr>
                <w:rFonts w:hint="eastAsia"/>
              </w:rPr>
              <w:t>产品质量保证</w:t>
            </w:r>
          </w:p>
        </w:tc>
        <w:tc>
          <w:tcPr>
            <w:tcW w:w="2264" w:type="dxa"/>
          </w:tcPr>
          <w:p w14:paraId="4BB3B147" w14:textId="77777777" w:rsidR="00577D08" w:rsidRDefault="00330FC0">
            <w:pPr>
              <w:jc w:val="right"/>
            </w:pPr>
            <w:r>
              <w:rPr>
                <w:rFonts w:hint="eastAsia"/>
              </w:rPr>
              <w:t>2,858,417.02</w:t>
            </w:r>
          </w:p>
        </w:tc>
        <w:tc>
          <w:tcPr>
            <w:tcW w:w="2264" w:type="dxa"/>
          </w:tcPr>
          <w:p w14:paraId="47A4C922" w14:textId="77777777" w:rsidR="00577D08" w:rsidRDefault="00330FC0">
            <w:pPr>
              <w:jc w:val="right"/>
            </w:pPr>
            <w:r>
              <w:rPr>
                <w:rFonts w:hint="eastAsia"/>
              </w:rPr>
              <w:t>1,104,687.52</w:t>
            </w:r>
          </w:p>
        </w:tc>
        <w:tc>
          <w:tcPr>
            <w:tcW w:w="2264" w:type="dxa"/>
          </w:tcPr>
          <w:p w14:paraId="17C4FD1D" w14:textId="77777777" w:rsidR="00577D08" w:rsidRDefault="00330FC0">
            <w:pPr>
              <w:ind w:right="73"/>
            </w:pPr>
            <w:r>
              <w:rPr>
                <w:rFonts w:hint="eastAsia"/>
              </w:rPr>
              <w:t>售后服务费</w:t>
            </w:r>
          </w:p>
        </w:tc>
      </w:tr>
      <w:tr w:rsidR="00577D08" w14:paraId="7AC3483B" w14:textId="77777777">
        <w:trPr>
          <w:cantSplit/>
        </w:trPr>
        <w:tc>
          <w:tcPr>
            <w:tcW w:w="2264" w:type="dxa"/>
            <w:vAlign w:val="center"/>
          </w:tcPr>
          <w:p w14:paraId="54437CB5" w14:textId="77777777" w:rsidR="00577D08" w:rsidRDefault="00330FC0">
            <w:pPr>
              <w:ind w:right="105"/>
            </w:pPr>
            <w:r>
              <w:rPr>
                <w:rFonts w:hint="eastAsia"/>
              </w:rPr>
              <w:t>未决诉讼</w:t>
            </w:r>
          </w:p>
        </w:tc>
        <w:tc>
          <w:tcPr>
            <w:tcW w:w="2264" w:type="dxa"/>
          </w:tcPr>
          <w:p w14:paraId="3C141794" w14:textId="77777777" w:rsidR="00577D08" w:rsidRDefault="00330FC0">
            <w:pPr>
              <w:jc w:val="right"/>
            </w:pPr>
            <w:r>
              <w:rPr>
                <w:rFonts w:hint="eastAsia"/>
              </w:rPr>
              <w:t>35,000.00</w:t>
            </w:r>
          </w:p>
        </w:tc>
        <w:tc>
          <w:tcPr>
            <w:tcW w:w="2264" w:type="dxa"/>
          </w:tcPr>
          <w:p w14:paraId="69D94ADA" w14:textId="77777777" w:rsidR="00577D08" w:rsidRDefault="00330FC0">
            <w:pPr>
              <w:jc w:val="right"/>
            </w:pPr>
            <w:r>
              <w:rPr>
                <w:rFonts w:hint="eastAsia"/>
              </w:rPr>
              <w:t>134,585.16</w:t>
            </w:r>
          </w:p>
        </w:tc>
        <w:tc>
          <w:tcPr>
            <w:tcW w:w="2264" w:type="dxa"/>
          </w:tcPr>
          <w:p w14:paraId="50196EFA" w14:textId="77777777" w:rsidR="00577D08" w:rsidRDefault="00330FC0">
            <w:r>
              <w:rPr>
                <w:rFonts w:hint="eastAsia"/>
              </w:rPr>
              <w:t>诉讼</w:t>
            </w:r>
          </w:p>
        </w:tc>
      </w:tr>
      <w:tr w:rsidR="00577D08" w14:paraId="4F9C0871" w14:textId="77777777">
        <w:trPr>
          <w:cantSplit/>
        </w:trPr>
        <w:tc>
          <w:tcPr>
            <w:tcW w:w="2264" w:type="dxa"/>
            <w:vAlign w:val="center"/>
          </w:tcPr>
          <w:p w14:paraId="30B6F05A" w14:textId="77777777" w:rsidR="00577D08" w:rsidRDefault="00330FC0">
            <w:pPr>
              <w:ind w:right="105"/>
              <w:jc w:val="center"/>
            </w:pPr>
            <w:r>
              <w:rPr>
                <w:rFonts w:hint="eastAsia"/>
              </w:rPr>
              <w:t>合计</w:t>
            </w:r>
          </w:p>
        </w:tc>
        <w:tc>
          <w:tcPr>
            <w:tcW w:w="2264" w:type="dxa"/>
          </w:tcPr>
          <w:p w14:paraId="752F7C57" w14:textId="77777777" w:rsidR="00577D08" w:rsidRDefault="00330FC0">
            <w:pPr>
              <w:jc w:val="right"/>
            </w:pPr>
            <w:r>
              <w:t>2,893,417.02</w:t>
            </w:r>
          </w:p>
        </w:tc>
        <w:tc>
          <w:tcPr>
            <w:tcW w:w="2264" w:type="dxa"/>
          </w:tcPr>
          <w:p w14:paraId="39C21908" w14:textId="77777777" w:rsidR="00577D08" w:rsidRDefault="00330FC0">
            <w:pPr>
              <w:jc w:val="right"/>
            </w:pPr>
            <w:r>
              <w:t>1,239,272.68</w:t>
            </w:r>
          </w:p>
        </w:tc>
        <w:tc>
          <w:tcPr>
            <w:tcW w:w="2264" w:type="dxa"/>
          </w:tcPr>
          <w:p w14:paraId="66471275" w14:textId="77777777" w:rsidR="00577D08" w:rsidRDefault="00330FC0">
            <w:pPr>
              <w:jc w:val="center"/>
              <w:rPr>
                <w:color w:val="000000" w:themeColor="text1"/>
              </w:rPr>
            </w:pPr>
            <w:r>
              <w:t>/</w:t>
            </w:r>
          </w:p>
        </w:tc>
      </w:tr>
    </w:tbl>
    <w:p w14:paraId="2FFCAD25" w14:textId="77777777" w:rsidR="00577D08" w:rsidRDefault="00330FC0">
      <w:pPr>
        <w:snapToGrid w:val="0"/>
        <w:spacing w:before="60" w:after="60"/>
      </w:pPr>
      <w:r>
        <w:rPr>
          <w:rFonts w:hint="eastAsia"/>
        </w:rPr>
        <w:t>其他说明，包括重要预计负债的相关重要假设、估计说明：</w:t>
      </w:r>
    </w:p>
    <w:sdt>
      <w:sdtPr>
        <w:alias w:val="预计负债的说明"/>
        <w:tag w:val="_GBC_6e5c9571d9134db08ab20372e7d011c7"/>
        <w:id w:val="-839695426"/>
        <w:placeholder>
          <w:docPart w:val="GBC22222222222222222222222222222"/>
        </w:placeholder>
      </w:sdtPr>
      <w:sdtContent>
        <w:p w14:paraId="0B8B32F8" w14:textId="77777777" w:rsidR="00577D08" w:rsidRDefault="00330FC0">
          <w:pPr>
            <w:autoSpaceDE w:val="0"/>
            <w:autoSpaceDN w:val="0"/>
            <w:adjustRightInd w:val="0"/>
          </w:pPr>
          <w:r>
            <w:rPr>
              <w:rFonts w:hint="eastAsia"/>
            </w:rPr>
            <w:t>无</w:t>
          </w:r>
        </w:p>
      </w:sdtContent>
    </w:sdt>
    <w:bookmarkEnd w:id="440"/>
    <w:p w14:paraId="762F155A"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递延收益</w:t>
      </w:r>
    </w:p>
    <w:p w14:paraId="075325EB" w14:textId="77777777" w:rsidR="00577D08" w:rsidRDefault="00330FC0">
      <w:pPr>
        <w:pStyle w:val="aff9"/>
        <w:ind w:firstLineChars="0" w:firstLine="0"/>
        <w:jc w:val="left"/>
        <w:rPr>
          <w:rFonts w:ascii="宋体" w:hAnsi="宋体" w:cs="宋体" w:hint="eastAsia"/>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468710804"/>
        <w:placeholder>
          <w:docPart w:val="GBC22222222222222222222222222222"/>
        </w:placeholder>
      </w:sdtPr>
      <w:sdtContent>
        <w:p w14:paraId="1BE2648B" w14:textId="77777777" w:rsidR="00577D08" w:rsidRDefault="00330FC0">
          <w:pPr>
            <w:pStyle w:val="aff9"/>
            <w:ind w:firstLineChars="0" w:firstLine="0"/>
            <w:jc w:val="left"/>
            <w:rPr>
              <w:rFonts w:ascii="宋体" w:hAnsi="宋体" w:cs="宋体" w:hint="eastAsia"/>
              <w:kern w:val="0"/>
              <w:szCs w:val="21"/>
            </w:rPr>
          </w:pPr>
          <w:r>
            <w:rPr>
              <w:rFonts w:ascii="宋体" w:hAnsi="宋体" w:cs="宋体"/>
              <w:kern w:val="0"/>
              <w:szCs w:val="21"/>
            </w:rPr>
            <w:fldChar w:fldCharType="begin"/>
          </w:r>
          <w:r>
            <w:rPr>
              <w:rFonts w:ascii="宋体" w:hAnsi="宋体" w:cs="宋体"/>
              <w:kern w:val="0"/>
              <w:szCs w:val="21"/>
            </w:rPr>
            <w:instrText xml:space="preserve"> </w:instrText>
          </w:r>
          <w:r>
            <w:rPr>
              <w:rFonts w:ascii="宋体" w:hAnsi="宋体" w:cs="宋体" w:hint="eastAsia"/>
              <w:kern w:val="0"/>
              <w:szCs w:val="21"/>
            </w:rPr>
            <w:instrText xml:space="preserve">MACROBUTTON  SnrToggleCheckbox √适用 </w:instrText>
          </w:r>
          <w:r>
            <w:rPr>
              <w:rFonts w:ascii="宋体" w:hAnsi="宋体" w:cs="宋体"/>
              <w:kern w:val="0"/>
              <w:szCs w:val="21"/>
            </w:rPr>
            <w:instrText xml:space="preserve"> </w:instrText>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14:paraId="5737D680" w14:textId="42B8D7F3" w:rsidR="00577D08" w:rsidRDefault="00330FC0">
      <w:pPr>
        <w:pStyle w:val="aff9"/>
        <w:ind w:firstLineChars="0" w:firstLine="0"/>
        <w:jc w:val="right"/>
        <w:rPr>
          <w:rFonts w:ascii="宋体" w:hAnsi="宋体" w:hint="eastAsia"/>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4315866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r w:rsidR="00CC5C32">
            <w:rPr>
              <w:rFonts w:ascii="宋体" w:hAnsi="宋体" w:hint="eastAsia"/>
              <w:szCs w:val="21"/>
            </w:rPr>
            <w:t xml:space="preserve"> </w:t>
          </w:r>
        </w:sdtContent>
      </w:sdt>
      <w:r>
        <w:rPr>
          <w:rFonts w:ascii="宋体" w:hAnsi="宋体" w:hint="eastAsia"/>
          <w:szCs w:val="21"/>
        </w:rPr>
        <w:t>币种：</w:t>
      </w:r>
      <w:sdt>
        <w:sdtPr>
          <w:rPr>
            <w:rFonts w:ascii="宋体" w:hAnsi="宋体" w:hint="eastAsia"/>
            <w:szCs w:val="21"/>
          </w:rPr>
          <w:alias w:val="币种：财务附注：递延收益"/>
          <w:tag w:val="_GBC_99380f3ab3514d54aa39945566772fb3"/>
          <w:id w:val="-4840123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042"/>
        <w:gridCol w:w="1434"/>
        <w:gridCol w:w="1329"/>
        <w:gridCol w:w="1329"/>
        <w:gridCol w:w="1434"/>
        <w:gridCol w:w="2255"/>
      </w:tblGrid>
      <w:tr w:rsidR="00577D08" w14:paraId="346EC072" w14:textId="77777777">
        <w:trPr>
          <w:cantSplit/>
          <w:trHeight w:val="335"/>
        </w:trPr>
        <w:sdt>
          <w:sdtPr>
            <w:tag w:val="_PLD_06c0ddfa4a2746ca8f12eddff124e05c"/>
            <w:id w:val="1587496609"/>
          </w:sdtPr>
          <w:sdtContent>
            <w:tc>
              <w:tcPr>
                <w:tcW w:w="0" w:type="auto"/>
                <w:vAlign w:val="center"/>
              </w:tcPr>
              <w:p w14:paraId="142CDA93" w14:textId="77777777" w:rsidR="00577D08" w:rsidRDefault="00330FC0">
                <w:pPr>
                  <w:jc w:val="center"/>
                </w:pPr>
                <w:r>
                  <w:rPr>
                    <w:rFonts w:hint="eastAsia"/>
                  </w:rPr>
                  <w:t>项目</w:t>
                </w:r>
              </w:p>
            </w:tc>
          </w:sdtContent>
        </w:sdt>
        <w:sdt>
          <w:sdtPr>
            <w:tag w:val="_PLD_4c41187d18a94eb4908c030c31b5a141"/>
            <w:id w:val="-599635069"/>
          </w:sdtPr>
          <w:sdtContent>
            <w:tc>
              <w:tcPr>
                <w:tcW w:w="0" w:type="auto"/>
                <w:vAlign w:val="center"/>
              </w:tcPr>
              <w:p w14:paraId="17C9E65D" w14:textId="77777777" w:rsidR="00577D08" w:rsidRDefault="00330FC0">
                <w:pPr>
                  <w:jc w:val="center"/>
                </w:pPr>
                <w:r>
                  <w:rPr>
                    <w:rFonts w:hint="eastAsia"/>
                  </w:rPr>
                  <w:t>期初余额</w:t>
                </w:r>
              </w:p>
            </w:tc>
          </w:sdtContent>
        </w:sdt>
        <w:sdt>
          <w:sdtPr>
            <w:tag w:val="_PLD_7823db68b61845e58a185dffbbfd2804"/>
            <w:id w:val="571390076"/>
          </w:sdtPr>
          <w:sdtContent>
            <w:tc>
              <w:tcPr>
                <w:tcW w:w="0" w:type="auto"/>
                <w:vAlign w:val="center"/>
              </w:tcPr>
              <w:p w14:paraId="379730AA" w14:textId="77777777" w:rsidR="00577D08" w:rsidRDefault="00330FC0">
                <w:pPr>
                  <w:jc w:val="center"/>
                </w:pPr>
                <w:r>
                  <w:rPr>
                    <w:rFonts w:hint="eastAsia"/>
                  </w:rPr>
                  <w:t>本期增加</w:t>
                </w:r>
              </w:p>
            </w:tc>
          </w:sdtContent>
        </w:sdt>
        <w:sdt>
          <w:sdtPr>
            <w:tag w:val="_PLD_53b43bfd28984007852c2e00c870c71e"/>
            <w:id w:val="-517157936"/>
          </w:sdtPr>
          <w:sdtContent>
            <w:tc>
              <w:tcPr>
                <w:tcW w:w="0" w:type="auto"/>
                <w:vAlign w:val="center"/>
              </w:tcPr>
              <w:p w14:paraId="3E32AA0C" w14:textId="77777777" w:rsidR="00577D08" w:rsidRDefault="00330FC0">
                <w:pPr>
                  <w:jc w:val="center"/>
                </w:pPr>
                <w:r>
                  <w:rPr>
                    <w:rFonts w:hint="eastAsia"/>
                  </w:rPr>
                  <w:t>本期减少</w:t>
                </w:r>
              </w:p>
            </w:tc>
          </w:sdtContent>
        </w:sdt>
        <w:bookmarkStart w:id="441" w:name="OLE_LINK66" w:displacedByCustomXml="next"/>
        <w:bookmarkStart w:id="442" w:name="OLE_LINK67" w:displacedByCustomXml="next"/>
        <w:sdt>
          <w:sdtPr>
            <w:tag w:val="_PLD_f07e96209c8b4d728b2a1b24ad38bcf7"/>
            <w:id w:val="1487586109"/>
          </w:sdtPr>
          <w:sdtContent>
            <w:tc>
              <w:tcPr>
                <w:tcW w:w="0" w:type="auto"/>
                <w:vAlign w:val="center"/>
              </w:tcPr>
              <w:p w14:paraId="38B2625B" w14:textId="77777777" w:rsidR="00577D08" w:rsidRDefault="00330FC0">
                <w:pPr>
                  <w:jc w:val="center"/>
                </w:pPr>
                <w:r>
                  <w:rPr>
                    <w:rFonts w:hint="eastAsia"/>
                  </w:rPr>
                  <w:t>期末余额</w:t>
                </w:r>
              </w:p>
            </w:tc>
          </w:sdtContent>
        </w:sdt>
        <w:bookmarkEnd w:id="441" w:displacedByCustomXml="next"/>
        <w:bookmarkEnd w:id="442" w:displacedByCustomXml="next"/>
        <w:sdt>
          <w:sdtPr>
            <w:tag w:val="_PLD_86dc51c05b1340c5968feded0e64c1f1"/>
            <w:id w:val="1550494780"/>
          </w:sdtPr>
          <w:sdtContent>
            <w:tc>
              <w:tcPr>
                <w:tcW w:w="0" w:type="auto"/>
                <w:vAlign w:val="center"/>
              </w:tcPr>
              <w:p w14:paraId="2E74084A" w14:textId="77777777" w:rsidR="00577D08" w:rsidRDefault="00330FC0">
                <w:pPr>
                  <w:jc w:val="center"/>
                </w:pPr>
                <w:r>
                  <w:rPr>
                    <w:rFonts w:hint="eastAsia"/>
                  </w:rPr>
                  <w:t>形成原因</w:t>
                </w:r>
              </w:p>
            </w:tc>
          </w:sdtContent>
        </w:sdt>
      </w:tr>
      <w:tr w:rsidR="00577D08" w14:paraId="5997F050" w14:textId="77777777">
        <w:trPr>
          <w:cantSplit/>
        </w:trPr>
        <w:tc>
          <w:tcPr>
            <w:tcW w:w="0" w:type="auto"/>
            <w:vAlign w:val="center"/>
          </w:tcPr>
          <w:p w14:paraId="17D9ACC9" w14:textId="77777777" w:rsidR="00577D08" w:rsidRDefault="00330FC0">
            <w:r>
              <w:rPr>
                <w:rFonts w:hint="eastAsia"/>
              </w:rPr>
              <w:t>政府补助</w:t>
            </w:r>
          </w:p>
        </w:tc>
        <w:tc>
          <w:tcPr>
            <w:tcW w:w="0" w:type="auto"/>
            <w:vAlign w:val="center"/>
          </w:tcPr>
          <w:p w14:paraId="14C6468E" w14:textId="77777777" w:rsidR="00577D08" w:rsidRDefault="00330FC0">
            <w:pPr>
              <w:jc w:val="right"/>
            </w:pPr>
            <w:r>
              <w:rPr>
                <w:rFonts w:hint="eastAsia"/>
              </w:rPr>
              <w:t>73,234,976.95</w:t>
            </w:r>
          </w:p>
        </w:tc>
        <w:tc>
          <w:tcPr>
            <w:tcW w:w="0" w:type="auto"/>
            <w:vAlign w:val="center"/>
          </w:tcPr>
          <w:p w14:paraId="158D7D85" w14:textId="77777777" w:rsidR="00577D08" w:rsidRDefault="00330FC0">
            <w:pPr>
              <w:jc w:val="right"/>
            </w:pPr>
            <w:r>
              <w:rPr>
                <w:rFonts w:hint="eastAsia"/>
              </w:rPr>
              <w:t>1,100,000.00</w:t>
            </w:r>
          </w:p>
        </w:tc>
        <w:tc>
          <w:tcPr>
            <w:tcW w:w="0" w:type="auto"/>
            <w:vAlign w:val="center"/>
          </w:tcPr>
          <w:p w14:paraId="7015192D" w14:textId="77777777" w:rsidR="00577D08" w:rsidRDefault="00330FC0">
            <w:pPr>
              <w:jc w:val="right"/>
            </w:pPr>
            <w:r>
              <w:rPr>
                <w:rFonts w:hint="eastAsia"/>
              </w:rPr>
              <w:t>5,984,743.43</w:t>
            </w:r>
          </w:p>
        </w:tc>
        <w:tc>
          <w:tcPr>
            <w:tcW w:w="0" w:type="auto"/>
            <w:vAlign w:val="center"/>
          </w:tcPr>
          <w:p w14:paraId="7473C696" w14:textId="77777777" w:rsidR="00577D08" w:rsidRDefault="00330FC0">
            <w:pPr>
              <w:jc w:val="right"/>
            </w:pPr>
            <w:r>
              <w:rPr>
                <w:rFonts w:hint="eastAsia"/>
              </w:rPr>
              <w:t>68,350,233.52</w:t>
            </w:r>
          </w:p>
        </w:tc>
        <w:tc>
          <w:tcPr>
            <w:tcW w:w="0" w:type="auto"/>
          </w:tcPr>
          <w:p w14:paraId="1896506C" w14:textId="77777777" w:rsidR="00577D08" w:rsidRDefault="00330FC0">
            <w:r>
              <w:rPr>
                <w:rFonts w:hint="eastAsia"/>
              </w:rPr>
              <w:t>与资产相关的政府补助</w:t>
            </w:r>
          </w:p>
        </w:tc>
      </w:tr>
      <w:tr w:rsidR="00577D08" w14:paraId="249E0CB0" w14:textId="77777777">
        <w:trPr>
          <w:cantSplit/>
        </w:trPr>
        <w:tc>
          <w:tcPr>
            <w:tcW w:w="0" w:type="auto"/>
            <w:vAlign w:val="center"/>
          </w:tcPr>
          <w:p w14:paraId="34EB05EE" w14:textId="77777777" w:rsidR="00577D08" w:rsidRDefault="00330FC0">
            <w:pPr>
              <w:jc w:val="center"/>
            </w:pPr>
            <w:r>
              <w:rPr>
                <w:rFonts w:hint="eastAsia"/>
              </w:rPr>
              <w:t>合计</w:t>
            </w:r>
          </w:p>
        </w:tc>
        <w:tc>
          <w:tcPr>
            <w:tcW w:w="0" w:type="auto"/>
            <w:vAlign w:val="center"/>
          </w:tcPr>
          <w:p w14:paraId="374F3F46" w14:textId="77777777" w:rsidR="00577D08" w:rsidRDefault="00330FC0">
            <w:pPr>
              <w:jc w:val="right"/>
            </w:pPr>
            <w:r>
              <w:t>73,234,976.95</w:t>
            </w:r>
          </w:p>
        </w:tc>
        <w:tc>
          <w:tcPr>
            <w:tcW w:w="0" w:type="auto"/>
            <w:vAlign w:val="center"/>
          </w:tcPr>
          <w:p w14:paraId="763B22AA" w14:textId="77777777" w:rsidR="00577D08" w:rsidRDefault="00330FC0">
            <w:pPr>
              <w:jc w:val="right"/>
            </w:pPr>
            <w:r>
              <w:t>1,100,000.00</w:t>
            </w:r>
          </w:p>
        </w:tc>
        <w:tc>
          <w:tcPr>
            <w:tcW w:w="0" w:type="auto"/>
            <w:vAlign w:val="center"/>
          </w:tcPr>
          <w:p w14:paraId="55ADC37A" w14:textId="77777777" w:rsidR="00577D08" w:rsidRDefault="00330FC0">
            <w:pPr>
              <w:jc w:val="right"/>
            </w:pPr>
            <w:r>
              <w:t>5,984,743.43</w:t>
            </w:r>
          </w:p>
        </w:tc>
        <w:tc>
          <w:tcPr>
            <w:tcW w:w="0" w:type="auto"/>
            <w:vAlign w:val="center"/>
          </w:tcPr>
          <w:p w14:paraId="0630F292" w14:textId="77777777" w:rsidR="00577D08" w:rsidRDefault="00330FC0">
            <w:pPr>
              <w:jc w:val="right"/>
            </w:pPr>
            <w:r>
              <w:t>68,350,233.52</w:t>
            </w:r>
          </w:p>
        </w:tc>
        <w:tc>
          <w:tcPr>
            <w:tcW w:w="0" w:type="auto"/>
          </w:tcPr>
          <w:p w14:paraId="1ED676F3" w14:textId="77777777" w:rsidR="00577D08" w:rsidRDefault="00330FC0">
            <w:pPr>
              <w:jc w:val="center"/>
            </w:pPr>
            <w:r>
              <w:t>/</w:t>
            </w:r>
          </w:p>
        </w:tc>
      </w:tr>
    </w:tbl>
    <w:p w14:paraId="5E598F8E" w14:textId="77777777" w:rsidR="00577D08" w:rsidRDefault="00330FC0">
      <w:pPr>
        <w:spacing w:before="60" w:after="60"/>
      </w:pPr>
      <w:bookmarkStart w:id="443" w:name="_Hlk532902569"/>
      <w:bookmarkStart w:id="444" w:name="_Hlk532902543"/>
      <w:bookmarkStart w:id="445" w:name="OLE_LINK84"/>
      <w:bookmarkStart w:id="446" w:name="OLE_LINK85"/>
      <w:bookmarkEnd w:id="443"/>
      <w:bookmarkEnd w:id="444"/>
      <w:r>
        <w:rPr>
          <w:rFonts w:hint="eastAsia"/>
        </w:rPr>
        <w:t>其他说明：</w:t>
      </w:r>
    </w:p>
    <w:sdt>
      <w:sdtPr>
        <w:alias w:val="是否适用：递延收益的其他说明[双击切换]"/>
        <w:tag w:val="_GBC_0c28db54a76349869056f2b92b5d9400"/>
        <w:id w:val="-782269199"/>
        <w:placeholder>
          <w:docPart w:val="GBC22222222222222222222222222222"/>
        </w:placeholder>
      </w:sdtPr>
      <w:sdtContent>
        <w:p w14:paraId="2CE52FB3" w14:textId="77777777" w:rsidR="00577D08" w:rsidRDefault="00330FC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F63BC31" w14:textId="77777777" w:rsidR="00577D08" w:rsidRDefault="00330FC0">
      <w:pPr>
        <w:pStyle w:val="3"/>
        <w:numPr>
          <w:ilvl w:val="0"/>
          <w:numId w:val="61"/>
        </w:numPr>
        <w:tabs>
          <w:tab w:val="left" w:pos="504"/>
        </w:tabs>
        <w:rPr>
          <w:rFonts w:ascii="宋体" w:hAnsi="宋体" w:hint="eastAsia"/>
          <w:szCs w:val="21"/>
        </w:rPr>
      </w:pPr>
      <w:bookmarkStart w:id="447" w:name="_Hlk533670383"/>
      <w:bookmarkEnd w:id="445"/>
      <w:bookmarkEnd w:id="446"/>
      <w:r>
        <w:rPr>
          <w:rFonts w:ascii="宋体" w:hAnsi="宋体" w:hint="eastAsia"/>
          <w:szCs w:val="21"/>
        </w:rPr>
        <w:t>其他非流动负债</w:t>
      </w:r>
    </w:p>
    <w:sdt>
      <w:sdtPr>
        <w:alias w:val="是否适用：其他非流动负债[双击切换]"/>
        <w:tag w:val="_GBC_05e5676f32624ce18727385761bd1a9a"/>
        <w:id w:val="-31278330"/>
        <w:placeholder>
          <w:docPart w:val="GBC22222222222222222222222222222"/>
        </w:placeholder>
      </w:sdtPr>
      <w:sdtContent>
        <w:p w14:paraId="60379FA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47"/>
    <w:p w14:paraId="50F4D39C"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股本</w:t>
      </w:r>
    </w:p>
    <w:sdt>
      <w:sdtPr>
        <w:alias w:val="是否适用：股本[双击切换]"/>
        <w:tag w:val="_GBC_a2069fb3657946ee9810a9154eb11422"/>
        <w:id w:val="1030074198"/>
        <w:placeholder>
          <w:docPart w:val="GBC22222222222222222222222222222"/>
        </w:placeholder>
      </w:sdtPr>
      <w:sdtContent>
        <w:p w14:paraId="5B66F0D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73375C1" w14:textId="7CCADDCB" w:rsidR="00577D08" w:rsidRDefault="00330FC0">
      <w:pPr>
        <w:jc w:val="right"/>
      </w:pPr>
      <w:r>
        <w:rPr>
          <w:rFonts w:hint="eastAsia"/>
        </w:rPr>
        <w:t>单位：</w:t>
      </w:r>
      <w:sdt>
        <w:sdtPr>
          <w:rPr>
            <w:rFonts w:hint="eastAsia"/>
          </w:rPr>
          <w:alias w:val="单位：财务附注：股本"/>
          <w:tag w:val="_GBC_e2cacf7f2d9f4ad78dce53a3e345569e"/>
          <w:id w:val="-5943213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股本"/>
          <w:tag w:val="_GBC_a1c9c99744d0466d8ff5672b2b69076a"/>
          <w:id w:val="19898958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529"/>
        <w:gridCol w:w="636"/>
        <w:gridCol w:w="636"/>
        <w:gridCol w:w="846"/>
        <w:gridCol w:w="1231"/>
        <w:gridCol w:w="1231"/>
        <w:gridCol w:w="1529"/>
      </w:tblGrid>
      <w:tr w:rsidR="00577D08" w14:paraId="4CC65DB4" w14:textId="77777777">
        <w:trPr>
          <w:cantSplit/>
          <w:trHeight w:val="270"/>
        </w:trPr>
        <w:sdt>
          <w:sdtPr>
            <w:tag w:val="_PLD_59c3e97e3f674ae6805374496a9434cd"/>
            <w:id w:val="894087100"/>
            <w:showingPlcHdr/>
          </w:sdtPr>
          <w:sdtContent>
            <w:tc>
              <w:tcPr>
                <w:tcW w:w="0" w:type="auto"/>
                <w:vMerge w:val="restart"/>
                <w:tcBorders>
                  <w:top w:val="single" w:sz="4" w:space="0" w:color="auto"/>
                  <w:left w:val="single" w:sz="4" w:space="0" w:color="auto"/>
                  <w:bottom w:val="single" w:sz="4" w:space="0" w:color="auto"/>
                  <w:right w:val="single" w:sz="4" w:space="0" w:color="auto"/>
                </w:tcBorders>
                <w:vAlign w:val="center"/>
              </w:tcPr>
              <w:p w14:paraId="2C391F51" w14:textId="77777777" w:rsidR="00577D08" w:rsidRDefault="00330FC0">
                <w:pPr>
                  <w:jc w:val="center"/>
                </w:pPr>
                <w:r>
                  <w:rPr>
                    <w:rStyle w:val="affb"/>
                    <w:rFonts w:hint="eastAsia"/>
                  </w:rPr>
                  <w:t xml:space="preserve">　</w:t>
                </w:r>
              </w:p>
            </w:tc>
          </w:sdtContent>
        </w:sdt>
        <w:sdt>
          <w:sdtPr>
            <w:tag w:val="_PLD_fd63a619db16496bad52eeb145839158"/>
            <w:id w:val="335283970"/>
          </w:sdtPr>
          <w:sdtContent>
            <w:tc>
              <w:tcPr>
                <w:tcW w:w="0" w:type="auto"/>
                <w:vMerge w:val="restart"/>
                <w:tcBorders>
                  <w:top w:val="single" w:sz="4" w:space="0" w:color="auto"/>
                  <w:left w:val="single" w:sz="4" w:space="0" w:color="auto"/>
                  <w:right w:val="single" w:sz="4" w:space="0" w:color="auto"/>
                </w:tcBorders>
                <w:vAlign w:val="center"/>
              </w:tcPr>
              <w:p w14:paraId="267334BA" w14:textId="77777777" w:rsidR="00577D08" w:rsidRDefault="00330FC0">
                <w:pPr>
                  <w:jc w:val="center"/>
                </w:pPr>
                <w:r>
                  <w:rPr>
                    <w:rFonts w:hint="eastAsia"/>
                  </w:rPr>
                  <w:t>期初余额</w:t>
                </w:r>
              </w:p>
            </w:tc>
          </w:sdtContent>
        </w:sdt>
        <w:sdt>
          <w:sdtPr>
            <w:tag w:val="_PLD_2cb33d9d8b0d47539581498c039e86aa"/>
            <w:id w:val="847602573"/>
          </w:sdtPr>
          <w:sdtContent>
            <w:tc>
              <w:tcPr>
                <w:tcW w:w="0" w:type="auto"/>
                <w:gridSpan w:val="5"/>
                <w:tcBorders>
                  <w:top w:val="single" w:sz="4" w:space="0" w:color="auto"/>
                  <w:left w:val="single" w:sz="4" w:space="0" w:color="auto"/>
                  <w:bottom w:val="single" w:sz="4" w:space="0" w:color="auto"/>
                  <w:right w:val="single" w:sz="4" w:space="0" w:color="auto"/>
                </w:tcBorders>
                <w:vAlign w:val="center"/>
              </w:tcPr>
              <w:p w14:paraId="2CBA964B" w14:textId="77777777" w:rsidR="00577D08" w:rsidRDefault="00330FC0">
                <w:pPr>
                  <w:jc w:val="center"/>
                </w:pPr>
                <w:r>
                  <w:rPr>
                    <w:rFonts w:hint="eastAsia"/>
                  </w:rPr>
                  <w:t>本次变动增减（</w:t>
                </w:r>
                <w:r>
                  <w:rPr>
                    <w:rFonts w:hint="eastAsia"/>
                  </w:rPr>
                  <w:t>+</w:t>
                </w:r>
                <w:r>
                  <w:rPr>
                    <w:rFonts w:hint="eastAsia"/>
                  </w:rPr>
                  <w:t>、</w:t>
                </w:r>
                <w:r>
                  <w:rPr>
                    <w:rFonts w:hint="eastAsia"/>
                  </w:rPr>
                  <w:t>-</w:t>
                </w:r>
                <w:r>
                  <w:rPr>
                    <w:rFonts w:hint="eastAsia"/>
                  </w:rPr>
                  <w:t>）</w:t>
                </w:r>
              </w:p>
            </w:tc>
          </w:sdtContent>
        </w:sdt>
        <w:sdt>
          <w:sdtPr>
            <w:tag w:val="_PLD_e579078cb28f47a09273701ab9e2e37a"/>
            <w:id w:val="1636447108"/>
          </w:sdtPr>
          <w:sdtContent>
            <w:tc>
              <w:tcPr>
                <w:tcW w:w="0" w:type="auto"/>
                <w:vMerge w:val="restart"/>
                <w:tcBorders>
                  <w:top w:val="single" w:sz="4" w:space="0" w:color="auto"/>
                  <w:left w:val="single" w:sz="4" w:space="0" w:color="auto"/>
                  <w:right w:val="single" w:sz="4" w:space="0" w:color="auto"/>
                </w:tcBorders>
                <w:vAlign w:val="center"/>
              </w:tcPr>
              <w:p w14:paraId="0D24831B" w14:textId="77777777" w:rsidR="00577D08" w:rsidRDefault="00330FC0">
                <w:pPr>
                  <w:jc w:val="center"/>
                </w:pPr>
                <w:r>
                  <w:rPr>
                    <w:rFonts w:hint="eastAsia"/>
                  </w:rPr>
                  <w:t>期末余额</w:t>
                </w:r>
              </w:p>
            </w:tc>
          </w:sdtContent>
        </w:sdt>
      </w:tr>
      <w:tr w:rsidR="00577D08" w14:paraId="45758C0C" w14:textId="77777777">
        <w:trPr>
          <w:cantSplit/>
          <w:trHeight w:val="312"/>
        </w:trPr>
        <w:tc>
          <w:tcPr>
            <w:tcW w:w="0" w:type="auto"/>
            <w:vMerge/>
            <w:tcBorders>
              <w:top w:val="single" w:sz="4" w:space="0" w:color="auto"/>
              <w:left w:val="single" w:sz="4" w:space="0" w:color="auto"/>
              <w:bottom w:val="single" w:sz="4" w:space="0" w:color="auto"/>
              <w:right w:val="single" w:sz="4" w:space="0" w:color="auto"/>
            </w:tcBorders>
            <w:vAlign w:val="center"/>
          </w:tcPr>
          <w:p w14:paraId="71059363" w14:textId="77777777" w:rsidR="00577D08" w:rsidRDefault="00577D08"/>
        </w:tc>
        <w:tc>
          <w:tcPr>
            <w:tcW w:w="0" w:type="auto"/>
            <w:vMerge/>
            <w:tcBorders>
              <w:left w:val="single" w:sz="4" w:space="0" w:color="auto"/>
              <w:bottom w:val="single" w:sz="4" w:space="0" w:color="auto"/>
              <w:right w:val="single" w:sz="4" w:space="0" w:color="auto"/>
            </w:tcBorders>
            <w:vAlign w:val="center"/>
          </w:tcPr>
          <w:p w14:paraId="7DF4245D" w14:textId="77777777" w:rsidR="00577D08" w:rsidRDefault="00577D08">
            <w:pPr>
              <w:ind w:leftChars="-119" w:left="-250" w:firstLineChars="119" w:firstLine="250"/>
            </w:pPr>
          </w:p>
        </w:tc>
        <w:sdt>
          <w:sdtPr>
            <w:tag w:val="_PLD_2f067dcfa40a4e2d896a383f16e2e483"/>
            <w:id w:val="-1913224495"/>
          </w:sdtPr>
          <w:sdtContent>
            <w:tc>
              <w:tcPr>
                <w:tcW w:w="0" w:type="auto"/>
                <w:tcBorders>
                  <w:top w:val="single" w:sz="4" w:space="0" w:color="auto"/>
                  <w:left w:val="single" w:sz="4" w:space="0" w:color="auto"/>
                  <w:bottom w:val="single" w:sz="4" w:space="0" w:color="auto"/>
                  <w:right w:val="single" w:sz="4" w:space="0" w:color="auto"/>
                </w:tcBorders>
                <w:vAlign w:val="center"/>
              </w:tcPr>
              <w:p w14:paraId="1A23F71A" w14:textId="77777777" w:rsidR="00577D08" w:rsidRDefault="00330FC0">
                <w:pPr>
                  <w:jc w:val="center"/>
                </w:pPr>
                <w:r>
                  <w:rPr>
                    <w:rFonts w:hint="eastAsia"/>
                  </w:rPr>
                  <w:t>发行</w:t>
                </w:r>
              </w:p>
              <w:p w14:paraId="70CB68E6" w14:textId="77777777" w:rsidR="00577D08" w:rsidRDefault="00330FC0">
                <w:pPr>
                  <w:jc w:val="center"/>
                </w:pPr>
                <w:r>
                  <w:rPr>
                    <w:rFonts w:hint="eastAsia"/>
                  </w:rPr>
                  <w:t>新股</w:t>
                </w:r>
              </w:p>
            </w:tc>
          </w:sdtContent>
        </w:sdt>
        <w:sdt>
          <w:sdtPr>
            <w:tag w:val="_PLD_afc58df66e0343a29873ec3c2270451e"/>
            <w:id w:val="-388963947"/>
          </w:sdtPr>
          <w:sdtContent>
            <w:tc>
              <w:tcPr>
                <w:tcW w:w="0" w:type="auto"/>
                <w:tcBorders>
                  <w:top w:val="single" w:sz="4" w:space="0" w:color="auto"/>
                  <w:left w:val="single" w:sz="4" w:space="0" w:color="auto"/>
                  <w:bottom w:val="single" w:sz="4" w:space="0" w:color="auto"/>
                  <w:right w:val="single" w:sz="4" w:space="0" w:color="auto"/>
                </w:tcBorders>
                <w:vAlign w:val="center"/>
              </w:tcPr>
              <w:p w14:paraId="46843232" w14:textId="77777777" w:rsidR="00577D08" w:rsidRDefault="00330FC0">
                <w:pPr>
                  <w:jc w:val="center"/>
                </w:pPr>
                <w:r>
                  <w:rPr>
                    <w:rFonts w:hint="eastAsia"/>
                  </w:rPr>
                  <w:t>送股</w:t>
                </w:r>
              </w:p>
            </w:tc>
          </w:sdtContent>
        </w:sdt>
        <w:sdt>
          <w:sdtPr>
            <w:tag w:val="_PLD_31d618a387e243239ea8ee139a3a39da"/>
            <w:id w:val="2033218507"/>
          </w:sdtPr>
          <w:sdtContent>
            <w:tc>
              <w:tcPr>
                <w:tcW w:w="0" w:type="auto"/>
                <w:tcBorders>
                  <w:top w:val="single" w:sz="4" w:space="0" w:color="auto"/>
                  <w:left w:val="single" w:sz="4" w:space="0" w:color="auto"/>
                  <w:bottom w:val="single" w:sz="4" w:space="0" w:color="auto"/>
                  <w:right w:val="single" w:sz="4" w:space="0" w:color="auto"/>
                </w:tcBorders>
                <w:vAlign w:val="center"/>
              </w:tcPr>
              <w:p w14:paraId="58867EB4" w14:textId="77777777" w:rsidR="00577D08" w:rsidRDefault="00330FC0">
                <w:pPr>
                  <w:jc w:val="center"/>
                </w:pPr>
                <w:r>
                  <w:rPr>
                    <w:rFonts w:hint="eastAsia"/>
                  </w:rPr>
                  <w:t>公积金</w:t>
                </w:r>
              </w:p>
              <w:p w14:paraId="3AB7B7BA" w14:textId="77777777" w:rsidR="00577D08" w:rsidRDefault="00330FC0">
                <w:pPr>
                  <w:jc w:val="center"/>
                </w:pPr>
                <w:r>
                  <w:rPr>
                    <w:rFonts w:hint="eastAsia"/>
                  </w:rPr>
                  <w:t>转股</w:t>
                </w:r>
              </w:p>
            </w:tc>
          </w:sdtContent>
        </w:sdt>
        <w:sdt>
          <w:sdtPr>
            <w:tag w:val="_PLD_12526084dedd4dc68d673c8a71c73862"/>
            <w:id w:val="-1618218833"/>
          </w:sdtPr>
          <w:sdtContent>
            <w:tc>
              <w:tcPr>
                <w:tcW w:w="0" w:type="auto"/>
                <w:tcBorders>
                  <w:top w:val="single" w:sz="4" w:space="0" w:color="auto"/>
                  <w:left w:val="single" w:sz="4" w:space="0" w:color="auto"/>
                  <w:bottom w:val="single" w:sz="4" w:space="0" w:color="auto"/>
                  <w:right w:val="single" w:sz="4" w:space="0" w:color="auto"/>
                </w:tcBorders>
                <w:vAlign w:val="center"/>
              </w:tcPr>
              <w:p w14:paraId="35102979" w14:textId="77777777" w:rsidR="00577D08" w:rsidRDefault="00330FC0">
                <w:pPr>
                  <w:jc w:val="center"/>
                </w:pPr>
                <w:r>
                  <w:rPr>
                    <w:rFonts w:hint="eastAsia"/>
                  </w:rPr>
                  <w:t>其他</w:t>
                </w:r>
              </w:p>
            </w:tc>
          </w:sdtContent>
        </w:sdt>
        <w:sdt>
          <w:sdtPr>
            <w:tag w:val="_PLD_fe70bd23af2d4fd680087e555e574f82"/>
            <w:id w:val="-643887617"/>
          </w:sdtPr>
          <w:sdtContent>
            <w:tc>
              <w:tcPr>
                <w:tcW w:w="0" w:type="auto"/>
                <w:tcBorders>
                  <w:top w:val="single" w:sz="4" w:space="0" w:color="auto"/>
                  <w:left w:val="single" w:sz="4" w:space="0" w:color="auto"/>
                  <w:bottom w:val="single" w:sz="4" w:space="0" w:color="auto"/>
                  <w:right w:val="single" w:sz="4" w:space="0" w:color="auto"/>
                </w:tcBorders>
                <w:vAlign w:val="center"/>
              </w:tcPr>
              <w:p w14:paraId="4813C4B3" w14:textId="77777777" w:rsidR="00577D08" w:rsidRDefault="00330FC0">
                <w:pPr>
                  <w:jc w:val="center"/>
                </w:pPr>
                <w:r>
                  <w:rPr>
                    <w:rFonts w:hint="eastAsia"/>
                  </w:rPr>
                  <w:t>小计</w:t>
                </w:r>
              </w:p>
            </w:tc>
          </w:sdtContent>
        </w:sdt>
        <w:tc>
          <w:tcPr>
            <w:tcW w:w="0" w:type="auto"/>
            <w:vMerge/>
            <w:tcBorders>
              <w:left w:val="single" w:sz="4" w:space="0" w:color="auto"/>
              <w:bottom w:val="single" w:sz="4" w:space="0" w:color="auto"/>
              <w:right w:val="single" w:sz="4" w:space="0" w:color="auto"/>
            </w:tcBorders>
            <w:vAlign w:val="center"/>
          </w:tcPr>
          <w:p w14:paraId="396DD447" w14:textId="77777777" w:rsidR="00577D08" w:rsidRDefault="00577D08"/>
        </w:tc>
      </w:tr>
      <w:tr w:rsidR="00577D08" w14:paraId="36912710"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498A838C" w14:textId="77777777" w:rsidR="00577D08" w:rsidRDefault="00330FC0">
            <w:pPr>
              <w:jc w:val="center"/>
            </w:pPr>
            <w:r>
              <w:rPr>
                <w:rFonts w:hint="eastAsia"/>
              </w:rPr>
              <w:t>股份总数</w:t>
            </w:r>
          </w:p>
        </w:tc>
        <w:tc>
          <w:tcPr>
            <w:tcW w:w="0" w:type="auto"/>
            <w:tcBorders>
              <w:top w:val="single" w:sz="4" w:space="0" w:color="auto"/>
              <w:left w:val="single" w:sz="4" w:space="0" w:color="auto"/>
              <w:bottom w:val="single" w:sz="4" w:space="0" w:color="auto"/>
              <w:right w:val="single" w:sz="4" w:space="0" w:color="auto"/>
            </w:tcBorders>
          </w:tcPr>
          <w:p w14:paraId="61E56DDF" w14:textId="77777777" w:rsidR="00577D08" w:rsidRDefault="00330FC0">
            <w:pPr>
              <w:jc w:val="right"/>
            </w:pPr>
            <w:r>
              <w:t>333,167,407.00</w:t>
            </w:r>
          </w:p>
        </w:tc>
        <w:tc>
          <w:tcPr>
            <w:tcW w:w="0" w:type="auto"/>
            <w:tcBorders>
              <w:top w:val="single" w:sz="4" w:space="0" w:color="auto"/>
              <w:left w:val="single" w:sz="4" w:space="0" w:color="auto"/>
              <w:bottom w:val="single" w:sz="4" w:space="0" w:color="auto"/>
              <w:right w:val="single" w:sz="4" w:space="0" w:color="auto"/>
            </w:tcBorders>
          </w:tcPr>
          <w:p w14:paraId="39B4DFF3" w14:textId="77777777" w:rsidR="00577D08" w:rsidRDefault="00577D08">
            <w:pPr>
              <w:jc w:val="right"/>
            </w:pPr>
          </w:p>
        </w:tc>
        <w:tc>
          <w:tcPr>
            <w:tcW w:w="0" w:type="auto"/>
            <w:tcBorders>
              <w:top w:val="single" w:sz="4" w:space="0" w:color="auto"/>
              <w:left w:val="single" w:sz="4" w:space="0" w:color="auto"/>
              <w:bottom w:val="single" w:sz="4" w:space="0" w:color="auto"/>
              <w:right w:val="single" w:sz="4" w:space="0" w:color="auto"/>
            </w:tcBorders>
          </w:tcPr>
          <w:p w14:paraId="6B00423E" w14:textId="77777777" w:rsidR="00577D08" w:rsidRDefault="00577D08">
            <w:pPr>
              <w:jc w:val="right"/>
            </w:pPr>
          </w:p>
        </w:tc>
        <w:tc>
          <w:tcPr>
            <w:tcW w:w="0" w:type="auto"/>
            <w:tcBorders>
              <w:top w:val="single" w:sz="4" w:space="0" w:color="auto"/>
              <w:left w:val="single" w:sz="4" w:space="0" w:color="auto"/>
              <w:bottom w:val="single" w:sz="4" w:space="0" w:color="auto"/>
              <w:right w:val="single" w:sz="4" w:space="0" w:color="auto"/>
            </w:tcBorders>
          </w:tcPr>
          <w:p w14:paraId="03FA43FB" w14:textId="77777777" w:rsidR="00577D08" w:rsidRDefault="00577D08">
            <w:pPr>
              <w:jc w:val="right"/>
            </w:pPr>
          </w:p>
        </w:tc>
        <w:tc>
          <w:tcPr>
            <w:tcW w:w="0" w:type="auto"/>
            <w:tcBorders>
              <w:top w:val="single" w:sz="4" w:space="0" w:color="auto"/>
              <w:left w:val="single" w:sz="4" w:space="0" w:color="auto"/>
              <w:bottom w:val="single" w:sz="4" w:space="0" w:color="auto"/>
              <w:right w:val="single" w:sz="4" w:space="0" w:color="auto"/>
            </w:tcBorders>
          </w:tcPr>
          <w:p w14:paraId="330EA69D" w14:textId="77777777" w:rsidR="00577D08" w:rsidRDefault="00330FC0">
            <w:pPr>
              <w:jc w:val="right"/>
            </w:pPr>
            <w:r>
              <w:t>-814,000.00</w:t>
            </w:r>
          </w:p>
        </w:tc>
        <w:tc>
          <w:tcPr>
            <w:tcW w:w="0" w:type="auto"/>
            <w:tcBorders>
              <w:top w:val="single" w:sz="4" w:space="0" w:color="auto"/>
              <w:left w:val="single" w:sz="4" w:space="0" w:color="auto"/>
              <w:bottom w:val="single" w:sz="4" w:space="0" w:color="auto"/>
              <w:right w:val="single" w:sz="4" w:space="0" w:color="auto"/>
            </w:tcBorders>
          </w:tcPr>
          <w:p w14:paraId="541A91E0" w14:textId="77777777" w:rsidR="00577D08" w:rsidRDefault="00330FC0">
            <w:pPr>
              <w:jc w:val="right"/>
            </w:pPr>
            <w:r>
              <w:t>-814,000.00</w:t>
            </w:r>
          </w:p>
        </w:tc>
        <w:tc>
          <w:tcPr>
            <w:tcW w:w="0" w:type="auto"/>
            <w:tcBorders>
              <w:top w:val="single" w:sz="4" w:space="0" w:color="auto"/>
              <w:left w:val="single" w:sz="4" w:space="0" w:color="auto"/>
              <w:bottom w:val="single" w:sz="4" w:space="0" w:color="auto"/>
              <w:right w:val="single" w:sz="4" w:space="0" w:color="auto"/>
            </w:tcBorders>
          </w:tcPr>
          <w:p w14:paraId="1A5B2B19" w14:textId="77777777" w:rsidR="00577D08" w:rsidRDefault="00330FC0">
            <w:pPr>
              <w:jc w:val="right"/>
            </w:pPr>
            <w:r>
              <w:t>332,353,407.00</w:t>
            </w:r>
          </w:p>
        </w:tc>
      </w:tr>
    </w:tbl>
    <w:p w14:paraId="79946780" w14:textId="77777777" w:rsidR="00577D08" w:rsidRDefault="00330FC0">
      <w:pPr>
        <w:spacing w:before="60" w:after="60"/>
      </w:pPr>
      <w:r>
        <w:rPr>
          <w:rFonts w:hint="eastAsia"/>
        </w:rPr>
        <w:t>其他说明：</w:t>
      </w:r>
    </w:p>
    <w:sdt>
      <w:sdtPr>
        <w:alias w:val="股本变动情况说明"/>
        <w:tag w:val="_GBC_6600e13aac194caa9cb58963beb3073e"/>
        <w:id w:val="916750064"/>
        <w:placeholder>
          <w:docPart w:val="GBC22222222222222222222222222222"/>
        </w:placeholder>
      </w:sdtPr>
      <w:sdtContent>
        <w:p w14:paraId="4D539FC5" w14:textId="77777777" w:rsidR="00577D08" w:rsidRDefault="00330FC0">
          <w:r>
            <w:rPr>
              <w:rFonts w:hint="eastAsia"/>
            </w:rPr>
            <w:t>本期减少系公司本期回购注销限制性股票所致。</w:t>
          </w:r>
        </w:p>
      </w:sdtContent>
    </w:sdt>
    <w:p w14:paraId="1C253597" w14:textId="77777777" w:rsidR="00577D08" w:rsidRDefault="00330FC0">
      <w:pPr>
        <w:pStyle w:val="3"/>
        <w:numPr>
          <w:ilvl w:val="0"/>
          <w:numId w:val="61"/>
        </w:numPr>
        <w:tabs>
          <w:tab w:val="left" w:pos="504"/>
        </w:tabs>
        <w:rPr>
          <w:rFonts w:ascii="宋体" w:hAnsi="宋体" w:hint="eastAsia"/>
          <w:szCs w:val="21"/>
        </w:rPr>
      </w:pPr>
      <w:r>
        <w:rPr>
          <w:rFonts w:ascii="宋体" w:hAnsi="宋体" w:cs="宋体" w:hint="eastAsia"/>
          <w:bCs w:val="0"/>
          <w:kern w:val="0"/>
          <w:szCs w:val="21"/>
        </w:rPr>
        <w:t>其</w:t>
      </w:r>
      <w:r>
        <w:rPr>
          <w:rFonts w:ascii="宋体" w:hAnsi="宋体" w:hint="eastAsia"/>
          <w:szCs w:val="21"/>
        </w:rPr>
        <w:t>他权益工具</w:t>
      </w:r>
    </w:p>
    <w:p w14:paraId="5A85A058" w14:textId="77777777" w:rsidR="00577D08" w:rsidRDefault="00330FC0">
      <w:pPr>
        <w:pStyle w:val="4"/>
        <w:numPr>
          <w:ilvl w:val="0"/>
          <w:numId w:val="96"/>
        </w:numPr>
        <w:ind w:left="426" w:hanging="426"/>
        <w:rPr>
          <w:rFonts w:hint="eastAsia"/>
        </w:rPr>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300045637"/>
        <w:placeholder>
          <w:docPart w:val="GBC22222222222222222222222222222"/>
        </w:placeholder>
      </w:sdtPr>
      <w:sdtContent>
        <w:p w14:paraId="53653C8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DD05B8A" w14:textId="77777777" w:rsidR="00577D08" w:rsidRDefault="00330FC0">
      <w:pPr>
        <w:pStyle w:val="4"/>
        <w:numPr>
          <w:ilvl w:val="0"/>
          <w:numId w:val="96"/>
        </w:numPr>
        <w:ind w:left="426" w:hanging="426"/>
        <w:rPr>
          <w:rFonts w:hint="eastAsia"/>
        </w:rPr>
      </w:pPr>
      <w:bookmarkStart w:id="448" w:name="_Hlk89785156"/>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660436252"/>
        <w:placeholder>
          <w:docPart w:val="GBC22222222222222222222222222222"/>
        </w:placeholder>
      </w:sdtPr>
      <w:sdtContent>
        <w:p w14:paraId="6D549C1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1F41768" w14:textId="77777777" w:rsidR="00577D08" w:rsidRDefault="00330FC0">
      <w:bookmarkStart w:id="449" w:name="_Hlk89785136"/>
      <w:bookmarkEnd w:id="448"/>
      <w:r>
        <w:rPr>
          <w:rFonts w:hint="eastAsia"/>
        </w:rPr>
        <w:t>其他权益工具本期增减变动情况、变动原因说明，以及相关会计处理的依据：</w:t>
      </w:r>
    </w:p>
    <w:sdt>
      <w:sdtPr>
        <w:alias w:val="是否适用：其他权益工具本期增减变动情况、变动原因说明，以及相关会计处理的依据[双击切换]"/>
        <w:tag w:val="_GBC_e803942788b34e5092c70a4cbf71f4b5"/>
        <w:id w:val="1603374416"/>
        <w:placeholder>
          <w:docPart w:val="GBC22222222222222222222222222222"/>
        </w:placeholder>
      </w:sdtPr>
      <w:sdtContent>
        <w:p w14:paraId="6C32EBE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8904E02" w14:textId="77777777" w:rsidR="00577D08" w:rsidRDefault="00330FC0">
      <w:bookmarkStart w:id="450" w:name="_Hlk89785124"/>
      <w:bookmarkEnd w:id="449"/>
      <w:r>
        <w:rPr>
          <w:rFonts w:hint="eastAsia"/>
        </w:rPr>
        <w:t>其他说明：</w:t>
      </w:r>
    </w:p>
    <w:sdt>
      <w:sdtPr>
        <w:alias w:val="是否适用：其他权益工具的其他说明[双击切换]"/>
        <w:tag w:val="_GBC_af2e32ae9c704175a99ebad592dec5f2"/>
        <w:id w:val="-2056005801"/>
        <w:placeholder>
          <w:docPart w:val="GBC22222222222222222222222222222"/>
        </w:placeholder>
      </w:sdtPr>
      <w:sdtContent>
        <w:p w14:paraId="530DAE5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50"/>
    <w:p w14:paraId="4EE5428D"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资本公积</w:t>
      </w:r>
    </w:p>
    <w:sdt>
      <w:sdtPr>
        <w:alias w:val="是否适用：资本公积[双击切换]"/>
        <w:tag w:val="_GBC_58b0344d8757456787af32396840e233"/>
        <w:id w:val="229428923"/>
        <w:placeholder>
          <w:docPart w:val="GBC22222222222222222222222222222"/>
        </w:placeholder>
      </w:sdtPr>
      <w:sdtContent>
        <w:p w14:paraId="4C36EEF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27B62F5" w14:textId="17E277EC" w:rsidR="00577D08" w:rsidRDefault="00330FC0">
      <w:pPr>
        <w:jc w:val="right"/>
      </w:pPr>
      <w:r>
        <w:rPr>
          <w:rFonts w:hint="eastAsia"/>
        </w:rPr>
        <w:t>单位：</w:t>
      </w:r>
      <w:sdt>
        <w:sdtPr>
          <w:rPr>
            <w:rFonts w:hint="eastAsia"/>
          </w:rPr>
          <w:alias w:val="单位：财务附注：资本公积"/>
          <w:tag w:val="_GBC_1b11e7474fd44870ad976b16c25b20f4"/>
          <w:id w:val="10487260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资本公积"/>
          <w:tag w:val="_GBC_6c523a4f3a0744439ef148664a9f722b"/>
          <w:id w:val="14411029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361"/>
        <w:gridCol w:w="1669"/>
        <w:gridCol w:w="1562"/>
        <w:gridCol w:w="1562"/>
        <w:gridCol w:w="1669"/>
      </w:tblGrid>
      <w:tr w:rsidR="00577D08" w14:paraId="14D3E746" w14:textId="77777777">
        <w:sdt>
          <w:sdtPr>
            <w:tag w:val="_PLD_b4e0b77813064aeb83afd63c7bafbdab"/>
            <w:id w:val="-113214974"/>
          </w:sdtPr>
          <w:sdtContent>
            <w:tc>
              <w:tcPr>
                <w:tcW w:w="1338" w:type="pct"/>
                <w:vAlign w:val="center"/>
              </w:tcPr>
              <w:p w14:paraId="0290454C" w14:textId="77777777" w:rsidR="00577D08" w:rsidRDefault="00330FC0">
                <w:pPr>
                  <w:autoSpaceDE w:val="0"/>
                  <w:autoSpaceDN w:val="0"/>
                  <w:adjustRightInd w:val="0"/>
                  <w:snapToGrid w:val="0"/>
                  <w:jc w:val="center"/>
                </w:pPr>
                <w:r>
                  <w:rPr>
                    <w:rFonts w:hint="eastAsia"/>
                  </w:rPr>
                  <w:t>项目</w:t>
                </w:r>
              </w:p>
            </w:tc>
          </w:sdtContent>
        </w:sdt>
        <w:sdt>
          <w:sdtPr>
            <w:tag w:val="_PLD_2e3387dfd4d8490ca15036edd55f5d7b"/>
            <w:id w:val="58527258"/>
          </w:sdtPr>
          <w:sdtContent>
            <w:tc>
              <w:tcPr>
                <w:tcW w:w="946" w:type="pct"/>
                <w:vAlign w:val="center"/>
              </w:tcPr>
              <w:p w14:paraId="73BF247C" w14:textId="77777777" w:rsidR="00577D08" w:rsidRDefault="00330FC0">
                <w:pPr>
                  <w:autoSpaceDE w:val="0"/>
                  <w:autoSpaceDN w:val="0"/>
                  <w:adjustRightInd w:val="0"/>
                  <w:snapToGrid w:val="0"/>
                  <w:jc w:val="center"/>
                </w:pPr>
                <w:r>
                  <w:rPr>
                    <w:rFonts w:hint="eastAsia"/>
                  </w:rPr>
                  <w:t>期初余额</w:t>
                </w:r>
              </w:p>
            </w:tc>
          </w:sdtContent>
        </w:sdt>
        <w:sdt>
          <w:sdtPr>
            <w:tag w:val="_PLD_48beb7e26e4d4ae4b8c76cfd47809420"/>
            <w:id w:val="1449196094"/>
          </w:sdtPr>
          <w:sdtContent>
            <w:tc>
              <w:tcPr>
                <w:tcW w:w="885" w:type="pct"/>
                <w:vAlign w:val="center"/>
              </w:tcPr>
              <w:p w14:paraId="06E7ABE1" w14:textId="77777777" w:rsidR="00577D08" w:rsidRDefault="00330FC0">
                <w:pPr>
                  <w:autoSpaceDE w:val="0"/>
                  <w:autoSpaceDN w:val="0"/>
                  <w:adjustRightInd w:val="0"/>
                  <w:snapToGrid w:val="0"/>
                  <w:jc w:val="center"/>
                </w:pPr>
                <w:r>
                  <w:rPr>
                    <w:rFonts w:hint="eastAsia"/>
                  </w:rPr>
                  <w:t>本期增加</w:t>
                </w:r>
              </w:p>
            </w:tc>
          </w:sdtContent>
        </w:sdt>
        <w:sdt>
          <w:sdtPr>
            <w:tag w:val="_PLD_146cd5e556074222b88edab30b505382"/>
            <w:id w:val="-1856645714"/>
          </w:sdtPr>
          <w:sdtContent>
            <w:tc>
              <w:tcPr>
                <w:tcW w:w="885" w:type="pct"/>
                <w:vAlign w:val="center"/>
              </w:tcPr>
              <w:p w14:paraId="00B9807A" w14:textId="77777777" w:rsidR="00577D08" w:rsidRDefault="00330FC0">
                <w:pPr>
                  <w:autoSpaceDE w:val="0"/>
                  <w:autoSpaceDN w:val="0"/>
                  <w:adjustRightInd w:val="0"/>
                  <w:snapToGrid w:val="0"/>
                  <w:jc w:val="center"/>
                </w:pPr>
                <w:r>
                  <w:rPr>
                    <w:rFonts w:hint="eastAsia"/>
                  </w:rPr>
                  <w:t>本期减少</w:t>
                </w:r>
              </w:p>
            </w:tc>
          </w:sdtContent>
        </w:sdt>
        <w:sdt>
          <w:sdtPr>
            <w:tag w:val="_PLD_ce18950b18064dc1ac40e20c98bf9dcb"/>
            <w:id w:val="-451243398"/>
          </w:sdtPr>
          <w:sdtContent>
            <w:tc>
              <w:tcPr>
                <w:tcW w:w="946" w:type="pct"/>
                <w:vAlign w:val="center"/>
              </w:tcPr>
              <w:p w14:paraId="67828276" w14:textId="77777777" w:rsidR="00577D08" w:rsidRDefault="00330FC0">
                <w:pPr>
                  <w:autoSpaceDE w:val="0"/>
                  <w:autoSpaceDN w:val="0"/>
                  <w:adjustRightInd w:val="0"/>
                  <w:snapToGrid w:val="0"/>
                  <w:jc w:val="center"/>
                </w:pPr>
                <w:r>
                  <w:rPr>
                    <w:rFonts w:hint="eastAsia"/>
                  </w:rPr>
                  <w:t>期末余额</w:t>
                </w:r>
              </w:p>
            </w:tc>
          </w:sdtContent>
        </w:sdt>
      </w:tr>
      <w:tr w:rsidR="00577D08" w14:paraId="0B6963FC" w14:textId="77777777">
        <w:tc>
          <w:tcPr>
            <w:tcW w:w="1338" w:type="pct"/>
            <w:vAlign w:val="center"/>
          </w:tcPr>
          <w:p w14:paraId="205C37C8" w14:textId="77777777" w:rsidR="00577D08" w:rsidRDefault="00330FC0">
            <w:pPr>
              <w:autoSpaceDE w:val="0"/>
              <w:autoSpaceDN w:val="0"/>
              <w:adjustRightInd w:val="0"/>
              <w:snapToGrid w:val="0"/>
            </w:pPr>
            <w:r>
              <w:rPr>
                <w:rFonts w:hint="eastAsia"/>
              </w:rPr>
              <w:lastRenderedPageBreak/>
              <w:t>资本溢价（股本溢价）</w:t>
            </w:r>
          </w:p>
        </w:tc>
        <w:tc>
          <w:tcPr>
            <w:tcW w:w="946" w:type="pct"/>
          </w:tcPr>
          <w:p w14:paraId="0CD4B4D9" w14:textId="77777777" w:rsidR="00577D08" w:rsidRDefault="00330FC0">
            <w:pPr>
              <w:autoSpaceDE w:val="0"/>
              <w:autoSpaceDN w:val="0"/>
              <w:adjustRightInd w:val="0"/>
              <w:snapToGrid w:val="0"/>
              <w:jc w:val="right"/>
            </w:pPr>
            <w:r>
              <w:t>956,093,166.95</w:t>
            </w:r>
          </w:p>
        </w:tc>
        <w:tc>
          <w:tcPr>
            <w:tcW w:w="885" w:type="pct"/>
          </w:tcPr>
          <w:p w14:paraId="572A9D5B" w14:textId="77777777" w:rsidR="00577D08" w:rsidRDefault="00330FC0">
            <w:pPr>
              <w:autoSpaceDE w:val="0"/>
              <w:autoSpaceDN w:val="0"/>
              <w:adjustRightInd w:val="0"/>
              <w:snapToGrid w:val="0"/>
              <w:jc w:val="right"/>
            </w:pPr>
            <w:r>
              <w:t>24,801,517.95</w:t>
            </w:r>
          </w:p>
        </w:tc>
        <w:tc>
          <w:tcPr>
            <w:tcW w:w="885" w:type="pct"/>
          </w:tcPr>
          <w:p w14:paraId="18E39290" w14:textId="77777777" w:rsidR="00577D08" w:rsidRDefault="00330FC0">
            <w:pPr>
              <w:autoSpaceDE w:val="0"/>
              <w:autoSpaceDN w:val="0"/>
              <w:adjustRightInd w:val="0"/>
              <w:snapToGrid w:val="0"/>
              <w:jc w:val="right"/>
            </w:pPr>
            <w:r>
              <w:t>10,272,060.00</w:t>
            </w:r>
          </w:p>
        </w:tc>
        <w:tc>
          <w:tcPr>
            <w:tcW w:w="946" w:type="pct"/>
          </w:tcPr>
          <w:p w14:paraId="6D7A645E" w14:textId="77777777" w:rsidR="00577D08" w:rsidRDefault="00330FC0">
            <w:pPr>
              <w:autoSpaceDE w:val="0"/>
              <w:autoSpaceDN w:val="0"/>
              <w:adjustRightInd w:val="0"/>
              <w:snapToGrid w:val="0"/>
              <w:jc w:val="right"/>
            </w:pPr>
            <w:r>
              <w:t>970,622,624.90</w:t>
            </w:r>
          </w:p>
        </w:tc>
      </w:tr>
      <w:tr w:rsidR="00577D08" w14:paraId="1B3243B9" w14:textId="77777777">
        <w:tc>
          <w:tcPr>
            <w:tcW w:w="1338" w:type="pct"/>
            <w:vAlign w:val="center"/>
          </w:tcPr>
          <w:p w14:paraId="652D7B82" w14:textId="77777777" w:rsidR="00577D08" w:rsidRDefault="00330FC0">
            <w:pPr>
              <w:autoSpaceDE w:val="0"/>
              <w:autoSpaceDN w:val="0"/>
              <w:adjustRightInd w:val="0"/>
              <w:snapToGrid w:val="0"/>
            </w:pPr>
            <w:r>
              <w:rPr>
                <w:rFonts w:hint="eastAsia"/>
              </w:rPr>
              <w:t>其他资本公积</w:t>
            </w:r>
          </w:p>
        </w:tc>
        <w:tc>
          <w:tcPr>
            <w:tcW w:w="946" w:type="pct"/>
          </w:tcPr>
          <w:p w14:paraId="1CE81693" w14:textId="77777777" w:rsidR="00577D08" w:rsidRDefault="00330FC0">
            <w:pPr>
              <w:autoSpaceDE w:val="0"/>
              <w:autoSpaceDN w:val="0"/>
              <w:adjustRightInd w:val="0"/>
              <w:snapToGrid w:val="0"/>
              <w:jc w:val="right"/>
            </w:pPr>
            <w:r>
              <w:t>4,780,555.56</w:t>
            </w:r>
          </w:p>
        </w:tc>
        <w:tc>
          <w:tcPr>
            <w:tcW w:w="885" w:type="pct"/>
          </w:tcPr>
          <w:p w14:paraId="0EB6D1E8" w14:textId="77777777" w:rsidR="00577D08" w:rsidRDefault="00330FC0">
            <w:pPr>
              <w:autoSpaceDE w:val="0"/>
              <w:autoSpaceDN w:val="0"/>
              <w:adjustRightInd w:val="0"/>
              <w:snapToGrid w:val="0"/>
              <w:jc w:val="right"/>
            </w:pPr>
            <w:r>
              <w:t>4,198,070.34</w:t>
            </w:r>
          </w:p>
        </w:tc>
        <w:tc>
          <w:tcPr>
            <w:tcW w:w="885" w:type="pct"/>
          </w:tcPr>
          <w:p w14:paraId="169F7638" w14:textId="77777777" w:rsidR="00577D08" w:rsidRDefault="00577D08">
            <w:pPr>
              <w:autoSpaceDE w:val="0"/>
              <w:autoSpaceDN w:val="0"/>
              <w:adjustRightInd w:val="0"/>
              <w:snapToGrid w:val="0"/>
              <w:jc w:val="right"/>
            </w:pPr>
          </w:p>
        </w:tc>
        <w:tc>
          <w:tcPr>
            <w:tcW w:w="946" w:type="pct"/>
          </w:tcPr>
          <w:p w14:paraId="7E86FA03" w14:textId="77777777" w:rsidR="00577D08" w:rsidRDefault="00330FC0">
            <w:pPr>
              <w:autoSpaceDE w:val="0"/>
              <w:autoSpaceDN w:val="0"/>
              <w:adjustRightInd w:val="0"/>
              <w:snapToGrid w:val="0"/>
              <w:jc w:val="right"/>
            </w:pPr>
            <w:r>
              <w:t>8,978,625.90</w:t>
            </w:r>
          </w:p>
        </w:tc>
      </w:tr>
      <w:tr w:rsidR="00577D08" w14:paraId="5CF7896F" w14:textId="77777777">
        <w:tc>
          <w:tcPr>
            <w:tcW w:w="1338" w:type="pct"/>
            <w:vAlign w:val="center"/>
          </w:tcPr>
          <w:p w14:paraId="725CC2C8" w14:textId="77777777" w:rsidR="00577D08" w:rsidRDefault="00330FC0">
            <w:pPr>
              <w:autoSpaceDE w:val="0"/>
              <w:autoSpaceDN w:val="0"/>
              <w:adjustRightInd w:val="0"/>
              <w:snapToGrid w:val="0"/>
              <w:jc w:val="center"/>
            </w:pPr>
            <w:r>
              <w:rPr>
                <w:rFonts w:hint="eastAsia"/>
              </w:rPr>
              <w:t>合计</w:t>
            </w:r>
          </w:p>
        </w:tc>
        <w:tc>
          <w:tcPr>
            <w:tcW w:w="946" w:type="pct"/>
          </w:tcPr>
          <w:p w14:paraId="6BA963CC" w14:textId="77777777" w:rsidR="00577D08" w:rsidRDefault="00330FC0">
            <w:pPr>
              <w:autoSpaceDE w:val="0"/>
              <w:autoSpaceDN w:val="0"/>
              <w:adjustRightInd w:val="0"/>
              <w:snapToGrid w:val="0"/>
              <w:jc w:val="right"/>
            </w:pPr>
            <w:r>
              <w:t>960,873,722.51</w:t>
            </w:r>
          </w:p>
        </w:tc>
        <w:tc>
          <w:tcPr>
            <w:tcW w:w="885" w:type="pct"/>
          </w:tcPr>
          <w:p w14:paraId="5C666DBD" w14:textId="77777777" w:rsidR="00577D08" w:rsidRDefault="00330FC0">
            <w:pPr>
              <w:autoSpaceDE w:val="0"/>
              <w:autoSpaceDN w:val="0"/>
              <w:adjustRightInd w:val="0"/>
              <w:snapToGrid w:val="0"/>
              <w:jc w:val="right"/>
            </w:pPr>
            <w:r>
              <w:t>28,999,588.29</w:t>
            </w:r>
          </w:p>
        </w:tc>
        <w:tc>
          <w:tcPr>
            <w:tcW w:w="885" w:type="pct"/>
          </w:tcPr>
          <w:p w14:paraId="608CC366" w14:textId="77777777" w:rsidR="00577D08" w:rsidRDefault="00330FC0">
            <w:pPr>
              <w:autoSpaceDE w:val="0"/>
              <w:autoSpaceDN w:val="0"/>
              <w:adjustRightInd w:val="0"/>
              <w:snapToGrid w:val="0"/>
              <w:jc w:val="right"/>
            </w:pPr>
            <w:r>
              <w:t>10,272,060.00</w:t>
            </w:r>
          </w:p>
        </w:tc>
        <w:tc>
          <w:tcPr>
            <w:tcW w:w="946" w:type="pct"/>
          </w:tcPr>
          <w:p w14:paraId="133114CC" w14:textId="77777777" w:rsidR="00577D08" w:rsidRDefault="00330FC0">
            <w:pPr>
              <w:autoSpaceDE w:val="0"/>
              <w:autoSpaceDN w:val="0"/>
              <w:adjustRightInd w:val="0"/>
              <w:snapToGrid w:val="0"/>
              <w:jc w:val="right"/>
            </w:pPr>
            <w:r>
              <w:t>979,601,250.80</w:t>
            </w:r>
          </w:p>
        </w:tc>
      </w:tr>
    </w:tbl>
    <w:p w14:paraId="1F60516D" w14:textId="77777777" w:rsidR="00577D08" w:rsidRDefault="00330FC0">
      <w:r>
        <w:rPr>
          <w:rFonts w:hint="eastAsia"/>
        </w:rPr>
        <w:t>其他说明，包括本期增减变动情况、变动原因说明：</w:t>
      </w:r>
    </w:p>
    <w:p w14:paraId="4D207DDE" w14:textId="77777777" w:rsidR="00577D08" w:rsidRDefault="00000000">
      <w:pPr>
        <w:spacing w:line="360" w:lineRule="exact"/>
        <w:ind w:firstLineChars="200" w:firstLine="420"/>
      </w:pPr>
      <w:sdt>
        <w:sdtPr>
          <w:alias w:val="资本公积说明"/>
          <w:tag w:val="_GBC_bd957b69783b49af88b2c285825bd0fc"/>
          <w:id w:val="-1620061696"/>
          <w:placeholder>
            <w:docPart w:val="GBC22222222222222222222222222222"/>
          </w:placeholder>
        </w:sdtPr>
        <w:sdtContent>
          <w:r w:rsidR="00330FC0">
            <w:rPr>
              <w:rFonts w:hint="eastAsia"/>
            </w:rPr>
            <w:t>股本溢价本期增加</w:t>
          </w:r>
          <w:r w:rsidR="00330FC0">
            <w:rPr>
              <w:rFonts w:hint="eastAsia"/>
            </w:rPr>
            <w:t>24,801,517.95</w:t>
          </w:r>
          <w:r w:rsidR="00330FC0">
            <w:rPr>
              <w:rFonts w:hint="eastAsia"/>
            </w:rPr>
            <w:t>元，系本期收购云变电气少数股权支付的股权成本与享有其净资产的差额；本期减少</w:t>
          </w:r>
          <w:r w:rsidR="00330FC0">
            <w:rPr>
              <w:rFonts w:hint="eastAsia"/>
            </w:rPr>
            <w:t>10,272,060.00</w:t>
          </w:r>
          <w:r w:rsidR="00330FC0">
            <w:rPr>
              <w:rFonts w:hint="eastAsia"/>
            </w:rPr>
            <w:t>元，系本期实施股权激励计划，公司从二级市场回购股票价格与股权激励授予价差冲减资本公积</w:t>
          </w:r>
          <w:r w:rsidR="00330FC0">
            <w:rPr>
              <w:rFonts w:hint="eastAsia"/>
            </w:rPr>
            <w:t xml:space="preserve"> 4,500,800.00</w:t>
          </w:r>
          <w:r w:rsidR="00330FC0">
            <w:rPr>
              <w:rFonts w:hint="eastAsia"/>
            </w:rPr>
            <w:t>元，本期因业绩考核不达标及离职激励对象所持限售股回购注销涉及回购注销限制性股票冲减资本公积</w:t>
          </w:r>
          <w:r w:rsidR="00330FC0">
            <w:rPr>
              <w:rFonts w:hint="eastAsia"/>
            </w:rPr>
            <w:t xml:space="preserve"> 5,771,260.00</w:t>
          </w:r>
          <w:r w:rsidR="00330FC0">
            <w:rPr>
              <w:rFonts w:hint="eastAsia"/>
            </w:rPr>
            <w:t>元；其他资本公积本期增加</w:t>
          </w:r>
          <w:r w:rsidR="00330FC0">
            <w:rPr>
              <w:rFonts w:hint="eastAsia"/>
            </w:rPr>
            <w:t>4,198,070.34</w:t>
          </w:r>
          <w:r w:rsidR="00330FC0">
            <w:rPr>
              <w:rFonts w:hint="eastAsia"/>
            </w:rPr>
            <w:t>元，主要系公司本期实施股权激励计划确认的股权激励费用</w:t>
          </w:r>
          <w:r w:rsidR="00330FC0">
            <w:rPr>
              <w:rFonts w:hint="eastAsia"/>
            </w:rPr>
            <w:t>4,168,728.17</w:t>
          </w:r>
          <w:r w:rsidR="00330FC0">
            <w:rPr>
              <w:rFonts w:hint="eastAsia"/>
            </w:rPr>
            <w:t>元。</w:t>
          </w:r>
        </w:sdtContent>
      </w:sdt>
    </w:p>
    <w:p w14:paraId="72897B1F"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库存股</w:t>
      </w:r>
    </w:p>
    <w:sdt>
      <w:sdtPr>
        <w:alias w:val="是否适用：库存股[双击切换]"/>
        <w:tag w:val="_GBC_8e4fbb6e216145d28e75f17bb16e2ed0"/>
        <w:id w:val="-1546053686"/>
        <w:placeholder>
          <w:docPart w:val="GBC22222222222222222222222222222"/>
        </w:placeholder>
      </w:sdtPr>
      <w:sdtContent>
        <w:p w14:paraId="1F454D6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0B7F722" w14:textId="1D026C29" w:rsidR="00577D08" w:rsidRDefault="00330FC0" w:rsidP="00CC5C32">
      <w:pPr>
        <w:pStyle w:val="aff9"/>
        <w:wordWrap w:val="0"/>
        <w:ind w:firstLineChars="0" w:firstLine="0"/>
        <w:jc w:val="right"/>
        <w:rPr>
          <w:rFonts w:ascii="宋体" w:hAnsi="宋体" w:hint="eastAsia"/>
          <w:szCs w:val="21"/>
        </w:rPr>
      </w:pPr>
      <w:r>
        <w:rPr>
          <w:rFonts w:ascii="宋体" w:hAnsi="宋体" w:hint="eastAsia"/>
          <w:szCs w:val="21"/>
        </w:rPr>
        <w:t>单位：</w:t>
      </w:r>
      <w:sdt>
        <w:sdtPr>
          <w:rPr>
            <w:rFonts w:ascii="宋体" w:hAnsi="宋体" w:hint="eastAsia"/>
            <w:szCs w:val="21"/>
          </w:rPr>
          <w:alias w:val="单位：财务附注：库存股"/>
          <w:tag w:val="_GBC_1762a395ee414a4ab9d088576fc67b95"/>
          <w:id w:val="-41377751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r w:rsidR="00CC5C32">
            <w:rPr>
              <w:rFonts w:ascii="宋体" w:hAnsi="宋体" w:hint="eastAsia"/>
              <w:szCs w:val="21"/>
            </w:rPr>
            <w:t xml:space="preserve">- </w:t>
          </w:r>
        </w:sdtContent>
      </w:sdt>
      <w:r>
        <w:rPr>
          <w:rFonts w:ascii="宋体" w:hAnsi="宋体" w:hint="eastAsia"/>
          <w:szCs w:val="21"/>
        </w:rPr>
        <w:t>币种：</w:t>
      </w:r>
      <w:sdt>
        <w:sdtPr>
          <w:rPr>
            <w:rFonts w:ascii="宋体" w:hAnsi="宋体" w:hint="eastAsia"/>
            <w:szCs w:val="21"/>
          </w:rPr>
          <w:alias w:val="币种：财务附注：库存股"/>
          <w:tag w:val="_GBC_aa9b77277b2f445fb00ee31519c400b8"/>
          <w:id w:val="-7237546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12"/>
        <w:gridCol w:w="1808"/>
        <w:gridCol w:w="1837"/>
        <w:gridCol w:w="1849"/>
        <w:gridCol w:w="1851"/>
      </w:tblGrid>
      <w:tr w:rsidR="00577D08" w14:paraId="08D065C2" w14:textId="77777777">
        <w:sdt>
          <w:sdtPr>
            <w:tag w:val="_PLD_3bb42fd3c8c244e1ba361777cd8b061c"/>
            <w:id w:val="135999424"/>
          </w:sdtPr>
          <w:sdtContent>
            <w:tc>
              <w:tcPr>
                <w:tcW w:w="1712" w:type="dxa"/>
                <w:vAlign w:val="center"/>
              </w:tcPr>
              <w:p w14:paraId="6C90B774" w14:textId="77777777" w:rsidR="00577D08" w:rsidRDefault="00330FC0">
                <w:pPr>
                  <w:jc w:val="center"/>
                </w:pPr>
                <w:r>
                  <w:rPr>
                    <w:rFonts w:hint="eastAsia"/>
                  </w:rPr>
                  <w:t>项目</w:t>
                </w:r>
              </w:p>
            </w:tc>
          </w:sdtContent>
        </w:sdt>
        <w:sdt>
          <w:sdtPr>
            <w:tag w:val="_PLD_dbccb5fb3e6647159adf418aaf7a819d"/>
            <w:id w:val="428087335"/>
          </w:sdtPr>
          <w:sdtContent>
            <w:tc>
              <w:tcPr>
                <w:tcW w:w="1808" w:type="dxa"/>
                <w:vAlign w:val="center"/>
              </w:tcPr>
              <w:p w14:paraId="06DAD0C2" w14:textId="77777777" w:rsidR="00577D08" w:rsidRDefault="00330FC0">
                <w:pPr>
                  <w:jc w:val="center"/>
                </w:pPr>
                <w:r>
                  <w:rPr>
                    <w:rFonts w:hint="eastAsia"/>
                  </w:rPr>
                  <w:t>期初余额</w:t>
                </w:r>
              </w:p>
            </w:tc>
          </w:sdtContent>
        </w:sdt>
        <w:sdt>
          <w:sdtPr>
            <w:tag w:val="_PLD_efd45699d9ff4436b9e070adb8fb59ad"/>
            <w:id w:val="-306251504"/>
          </w:sdtPr>
          <w:sdtContent>
            <w:tc>
              <w:tcPr>
                <w:tcW w:w="1837" w:type="dxa"/>
                <w:vAlign w:val="center"/>
              </w:tcPr>
              <w:p w14:paraId="13876072" w14:textId="77777777" w:rsidR="00577D08" w:rsidRDefault="00330FC0">
                <w:pPr>
                  <w:jc w:val="center"/>
                </w:pPr>
                <w:r>
                  <w:rPr>
                    <w:rFonts w:hint="eastAsia"/>
                  </w:rPr>
                  <w:t>本期增加</w:t>
                </w:r>
              </w:p>
            </w:tc>
          </w:sdtContent>
        </w:sdt>
        <w:sdt>
          <w:sdtPr>
            <w:tag w:val="_PLD_98330c8585594c0b8f1ac93353a4e2bc"/>
            <w:id w:val="1147005160"/>
          </w:sdtPr>
          <w:sdtContent>
            <w:tc>
              <w:tcPr>
                <w:tcW w:w="1849" w:type="dxa"/>
                <w:vAlign w:val="center"/>
              </w:tcPr>
              <w:p w14:paraId="4B8BB135" w14:textId="77777777" w:rsidR="00577D08" w:rsidRDefault="00330FC0">
                <w:pPr>
                  <w:jc w:val="center"/>
                </w:pPr>
                <w:r>
                  <w:rPr>
                    <w:rFonts w:hint="eastAsia"/>
                  </w:rPr>
                  <w:t>本期减少</w:t>
                </w:r>
              </w:p>
            </w:tc>
          </w:sdtContent>
        </w:sdt>
        <w:sdt>
          <w:sdtPr>
            <w:tag w:val="_PLD_6d3e824a5a6f4f1fbc66e6ffabf43d1e"/>
            <w:id w:val="2057276303"/>
          </w:sdtPr>
          <w:sdtContent>
            <w:tc>
              <w:tcPr>
                <w:tcW w:w="1851" w:type="dxa"/>
                <w:vAlign w:val="center"/>
              </w:tcPr>
              <w:p w14:paraId="491A1625" w14:textId="77777777" w:rsidR="00577D08" w:rsidRDefault="00330FC0">
                <w:pPr>
                  <w:jc w:val="center"/>
                </w:pPr>
                <w:r>
                  <w:rPr>
                    <w:rFonts w:hint="eastAsia"/>
                  </w:rPr>
                  <w:t>期末余额</w:t>
                </w:r>
              </w:p>
            </w:tc>
          </w:sdtContent>
        </w:sdt>
      </w:tr>
      <w:tr w:rsidR="00577D08" w14:paraId="2AEBFF60" w14:textId="77777777">
        <w:tc>
          <w:tcPr>
            <w:tcW w:w="1712" w:type="dxa"/>
            <w:vAlign w:val="center"/>
          </w:tcPr>
          <w:p w14:paraId="3DDC6E90" w14:textId="77777777" w:rsidR="00577D08" w:rsidRDefault="00330FC0">
            <w:r>
              <w:rPr>
                <w:rFonts w:hint="eastAsia"/>
              </w:rPr>
              <w:t>库存股</w:t>
            </w:r>
          </w:p>
        </w:tc>
        <w:tc>
          <w:tcPr>
            <w:tcW w:w="1808" w:type="dxa"/>
          </w:tcPr>
          <w:p w14:paraId="4C8A4ECC" w14:textId="77777777" w:rsidR="00577D08" w:rsidRDefault="00330FC0">
            <w:pPr>
              <w:jc w:val="right"/>
            </w:pPr>
            <w:r>
              <w:t>30,893,741.28</w:t>
            </w:r>
          </w:p>
        </w:tc>
        <w:tc>
          <w:tcPr>
            <w:tcW w:w="1837" w:type="dxa"/>
          </w:tcPr>
          <w:p w14:paraId="70FDC2B2" w14:textId="77777777" w:rsidR="00577D08" w:rsidRDefault="00330FC0">
            <w:pPr>
              <w:jc w:val="right"/>
            </w:pPr>
            <w:r>
              <w:t>4,605,200.00</w:t>
            </w:r>
          </w:p>
        </w:tc>
        <w:tc>
          <w:tcPr>
            <w:tcW w:w="1849" w:type="dxa"/>
          </w:tcPr>
          <w:p w14:paraId="522317A8" w14:textId="77777777" w:rsidR="00577D08" w:rsidRDefault="00330FC0">
            <w:pPr>
              <w:jc w:val="right"/>
            </w:pPr>
            <w:r>
              <w:t>15,691,260.00</w:t>
            </w:r>
          </w:p>
        </w:tc>
        <w:tc>
          <w:tcPr>
            <w:tcW w:w="1851" w:type="dxa"/>
          </w:tcPr>
          <w:p w14:paraId="274F5E93" w14:textId="77777777" w:rsidR="00577D08" w:rsidRDefault="00330FC0">
            <w:pPr>
              <w:jc w:val="right"/>
            </w:pPr>
            <w:r>
              <w:t>19,807,681.28</w:t>
            </w:r>
          </w:p>
        </w:tc>
      </w:tr>
      <w:tr w:rsidR="00577D08" w14:paraId="52754D15" w14:textId="77777777">
        <w:tc>
          <w:tcPr>
            <w:tcW w:w="1712" w:type="dxa"/>
            <w:vAlign w:val="center"/>
          </w:tcPr>
          <w:p w14:paraId="3AB0D4C6" w14:textId="77777777" w:rsidR="00577D08" w:rsidRDefault="00330FC0">
            <w:pPr>
              <w:jc w:val="center"/>
            </w:pPr>
            <w:r>
              <w:rPr>
                <w:rFonts w:hint="eastAsia"/>
              </w:rPr>
              <w:t>合计</w:t>
            </w:r>
          </w:p>
        </w:tc>
        <w:tc>
          <w:tcPr>
            <w:tcW w:w="1808" w:type="dxa"/>
          </w:tcPr>
          <w:p w14:paraId="2CDF9409" w14:textId="77777777" w:rsidR="00577D08" w:rsidRDefault="00330FC0">
            <w:pPr>
              <w:jc w:val="right"/>
            </w:pPr>
            <w:r>
              <w:t>30,893,741.28</w:t>
            </w:r>
          </w:p>
        </w:tc>
        <w:tc>
          <w:tcPr>
            <w:tcW w:w="1837" w:type="dxa"/>
          </w:tcPr>
          <w:p w14:paraId="183EEA86" w14:textId="77777777" w:rsidR="00577D08" w:rsidRDefault="00330FC0">
            <w:pPr>
              <w:jc w:val="right"/>
            </w:pPr>
            <w:r>
              <w:t>4,605,200.00</w:t>
            </w:r>
          </w:p>
        </w:tc>
        <w:tc>
          <w:tcPr>
            <w:tcW w:w="1849" w:type="dxa"/>
          </w:tcPr>
          <w:p w14:paraId="40B7D492" w14:textId="77777777" w:rsidR="00577D08" w:rsidRDefault="00330FC0">
            <w:pPr>
              <w:jc w:val="right"/>
            </w:pPr>
            <w:r>
              <w:t>15,691,260.00</w:t>
            </w:r>
          </w:p>
        </w:tc>
        <w:tc>
          <w:tcPr>
            <w:tcW w:w="1851" w:type="dxa"/>
          </w:tcPr>
          <w:p w14:paraId="6762C03A" w14:textId="77777777" w:rsidR="00577D08" w:rsidRDefault="00330FC0">
            <w:pPr>
              <w:jc w:val="right"/>
            </w:pPr>
            <w:r>
              <w:t>19,807,681.28</w:t>
            </w:r>
          </w:p>
        </w:tc>
      </w:tr>
    </w:tbl>
    <w:p w14:paraId="791AFA90" w14:textId="77777777" w:rsidR="00577D08" w:rsidRDefault="00330FC0">
      <w:r>
        <w:rPr>
          <w:rFonts w:hint="eastAsia"/>
        </w:rPr>
        <w:t>其他说明，包括本期增减变动情况、变动原因说明：</w:t>
      </w:r>
    </w:p>
    <w:sdt>
      <w:sdtPr>
        <w:alias w:val="库存股情况说明"/>
        <w:tag w:val="_GBC_42d286884eca4cfab482f6fcc10c0c0b"/>
        <w:id w:val="1345135323"/>
        <w:placeholder>
          <w:docPart w:val="GBC22222222222222222222222222222"/>
        </w:placeholder>
      </w:sdtPr>
      <w:sdtContent>
        <w:p w14:paraId="1B0B61A6" w14:textId="77777777" w:rsidR="00577D08" w:rsidRDefault="00330FC0">
          <w:pPr>
            <w:spacing w:line="360" w:lineRule="exact"/>
            <w:ind w:firstLineChars="200" w:firstLine="420"/>
          </w:pPr>
          <w:r>
            <w:rPr>
              <w:rFonts w:hint="eastAsia"/>
            </w:rPr>
            <w:t>（</w:t>
          </w:r>
          <w:r>
            <w:rPr>
              <w:rFonts w:hint="eastAsia"/>
            </w:rPr>
            <w:t>1</w:t>
          </w:r>
          <w:r>
            <w:rPr>
              <w:rFonts w:hint="eastAsia"/>
            </w:rPr>
            <w:t>）根据公司</w:t>
          </w:r>
          <w:r>
            <w:rPr>
              <w:rFonts w:hint="eastAsia"/>
            </w:rPr>
            <w:t>2025</w:t>
          </w:r>
          <w:r>
            <w:rPr>
              <w:rFonts w:hint="eastAsia"/>
            </w:rPr>
            <w:t>年</w:t>
          </w:r>
          <w:r>
            <w:rPr>
              <w:rFonts w:hint="eastAsia"/>
            </w:rPr>
            <w:t>1</w:t>
          </w:r>
          <w:r>
            <w:rPr>
              <w:rFonts w:hint="eastAsia"/>
            </w:rPr>
            <w:t>月</w:t>
          </w:r>
          <w:r>
            <w:rPr>
              <w:rFonts w:hint="eastAsia"/>
            </w:rPr>
            <w:t>20</w:t>
          </w:r>
          <w:r>
            <w:rPr>
              <w:rFonts w:hint="eastAsia"/>
            </w:rPr>
            <w:t>日第四届董事会第十次会议审议通过的《关于向</w:t>
          </w:r>
          <w:r>
            <w:rPr>
              <w:rFonts w:hint="eastAsia"/>
            </w:rPr>
            <w:t>2024</w:t>
          </w:r>
          <w:r>
            <w:rPr>
              <w:rFonts w:hint="eastAsia"/>
            </w:rPr>
            <w:t>年限制性股票激励计划激励对象授予预留部分限制性股票的议案》，公司确定以</w:t>
          </w:r>
          <w:r>
            <w:rPr>
              <w:rFonts w:hint="eastAsia"/>
            </w:rPr>
            <w:t>2025</w:t>
          </w:r>
          <w:r>
            <w:rPr>
              <w:rFonts w:hint="eastAsia"/>
            </w:rPr>
            <w:t>年</w:t>
          </w:r>
          <w:r>
            <w:rPr>
              <w:rFonts w:hint="eastAsia"/>
            </w:rPr>
            <w:t>1</w:t>
          </w:r>
          <w:r>
            <w:rPr>
              <w:rFonts w:hint="eastAsia"/>
            </w:rPr>
            <w:t>月</w:t>
          </w:r>
          <w:r>
            <w:rPr>
              <w:rFonts w:hint="eastAsia"/>
            </w:rPr>
            <w:t>20</w:t>
          </w:r>
          <w:r>
            <w:rPr>
              <w:rFonts w:hint="eastAsia"/>
            </w:rPr>
            <w:t>日为预留授予日，拟向</w:t>
          </w:r>
          <w:r>
            <w:rPr>
              <w:rFonts w:hint="eastAsia"/>
            </w:rPr>
            <w:t>32</w:t>
          </w:r>
          <w:r>
            <w:rPr>
              <w:rFonts w:hint="eastAsia"/>
            </w:rPr>
            <w:t>名符合预留授予条件的激励对象，授予预留限制性股票</w:t>
          </w:r>
          <w:r>
            <w:rPr>
              <w:rFonts w:hint="eastAsia"/>
            </w:rPr>
            <w:t>60</w:t>
          </w:r>
          <w:r>
            <w:rPr>
              <w:rFonts w:hint="eastAsia"/>
            </w:rPr>
            <w:t>万股，授予价格为</w:t>
          </w:r>
          <w:r>
            <w:rPr>
              <w:rFonts w:hint="eastAsia"/>
            </w:rPr>
            <w:t>7.94</w:t>
          </w:r>
          <w:r>
            <w:rPr>
              <w:rFonts w:hint="eastAsia"/>
            </w:rPr>
            <w:t>元</w:t>
          </w:r>
          <w:r>
            <w:rPr>
              <w:rFonts w:hint="eastAsia"/>
            </w:rPr>
            <w:t>/</w:t>
          </w:r>
          <w:r>
            <w:rPr>
              <w:rFonts w:hint="eastAsia"/>
            </w:rPr>
            <w:t>股。因</w:t>
          </w:r>
          <w:r>
            <w:rPr>
              <w:rFonts w:hint="eastAsia"/>
            </w:rPr>
            <w:t>1</w:t>
          </w:r>
          <w:r>
            <w:rPr>
              <w:rFonts w:hint="eastAsia"/>
            </w:rPr>
            <w:t>名股权激励对象放弃认购，本次实际向</w:t>
          </w:r>
          <w:r>
            <w:rPr>
              <w:rFonts w:hint="eastAsia"/>
            </w:rPr>
            <w:t>31</w:t>
          </w:r>
          <w:r>
            <w:rPr>
              <w:rFonts w:hint="eastAsia"/>
            </w:rPr>
            <w:t>名激励对象授予预留限制性股票</w:t>
          </w:r>
          <w:r>
            <w:rPr>
              <w:rFonts w:hint="eastAsia"/>
            </w:rPr>
            <w:t>58</w:t>
          </w:r>
          <w:r>
            <w:rPr>
              <w:rFonts w:hint="eastAsia"/>
            </w:rPr>
            <w:t>万股，应收股权激励对象股票认购款合计</w:t>
          </w:r>
          <w:r>
            <w:rPr>
              <w:rFonts w:hint="eastAsia"/>
            </w:rPr>
            <w:t>4,605,200.00</w:t>
          </w:r>
          <w:r>
            <w:rPr>
              <w:rFonts w:hint="eastAsia"/>
            </w:rPr>
            <w:t>元，增加库存股</w:t>
          </w:r>
          <w:r>
            <w:rPr>
              <w:rFonts w:hint="eastAsia"/>
            </w:rPr>
            <w:t>4,605,200.00</w:t>
          </w:r>
          <w:r>
            <w:rPr>
              <w:rFonts w:hint="eastAsia"/>
            </w:rPr>
            <w:t>元；从二级市场回购股票的成本均价为</w:t>
          </w:r>
          <w:r>
            <w:rPr>
              <w:rFonts w:hint="eastAsia"/>
            </w:rPr>
            <w:t>15.70</w:t>
          </w:r>
          <w:r>
            <w:rPr>
              <w:rFonts w:hint="eastAsia"/>
            </w:rPr>
            <w:t>元</w:t>
          </w:r>
          <w:r>
            <w:rPr>
              <w:rFonts w:hint="eastAsia"/>
            </w:rPr>
            <w:t>/</w:t>
          </w:r>
          <w:r>
            <w:rPr>
              <w:rFonts w:hint="eastAsia"/>
            </w:rPr>
            <w:t>股，授予员工限制性股票相应减少库存股</w:t>
          </w:r>
          <w:r>
            <w:rPr>
              <w:rFonts w:hint="eastAsia"/>
            </w:rPr>
            <w:t>9,106,000.00</w:t>
          </w:r>
          <w:r>
            <w:rPr>
              <w:rFonts w:hint="eastAsia"/>
            </w:rPr>
            <w:t>元。</w:t>
          </w:r>
        </w:p>
        <w:p w14:paraId="1EADD02F" w14:textId="77777777" w:rsidR="00577D08" w:rsidRDefault="00330FC0">
          <w:pPr>
            <w:spacing w:line="360" w:lineRule="exact"/>
            <w:ind w:firstLineChars="200" w:firstLine="420"/>
          </w:pPr>
          <w:r>
            <w:rPr>
              <w:rFonts w:hint="eastAsia"/>
            </w:rPr>
            <w:t>（</w:t>
          </w:r>
          <w:r>
            <w:rPr>
              <w:rFonts w:hint="eastAsia"/>
            </w:rPr>
            <w:t>2</w:t>
          </w:r>
          <w:r>
            <w:rPr>
              <w:rFonts w:hint="eastAsia"/>
            </w:rPr>
            <w:t>）根据公司</w:t>
          </w:r>
          <w:r>
            <w:rPr>
              <w:rFonts w:hint="eastAsia"/>
            </w:rPr>
            <w:t>2025</w:t>
          </w:r>
          <w:r>
            <w:rPr>
              <w:rFonts w:hint="eastAsia"/>
            </w:rPr>
            <w:t>年</w:t>
          </w:r>
          <w:r>
            <w:rPr>
              <w:rFonts w:hint="eastAsia"/>
            </w:rPr>
            <w:t>4</w:t>
          </w:r>
          <w:r>
            <w:rPr>
              <w:rFonts w:hint="eastAsia"/>
            </w:rPr>
            <w:t>月</w:t>
          </w:r>
          <w:r>
            <w:rPr>
              <w:rFonts w:hint="eastAsia"/>
            </w:rPr>
            <w:t>24</w:t>
          </w:r>
          <w:r>
            <w:rPr>
              <w:rFonts w:hint="eastAsia"/>
            </w:rPr>
            <w:t>日第四届董事会第十二次会议和第四届监事会第十一次会议审议通过的《关于</w:t>
          </w:r>
          <w:r>
            <w:rPr>
              <w:rFonts w:hint="eastAsia"/>
            </w:rPr>
            <w:t>2024</w:t>
          </w:r>
          <w:r>
            <w:rPr>
              <w:rFonts w:hint="eastAsia"/>
            </w:rPr>
            <w:t>年限制性股票激励计划首次授予部分第一个解除限售期解除限售条件未成就暨回购注销部分限制性股票并调整回购价格的议案》</w:t>
          </w:r>
          <w:r>
            <w:rPr>
              <w:rFonts w:hint="eastAsia"/>
            </w:rPr>
            <w:t>,</w:t>
          </w:r>
          <w:r>
            <w:rPr>
              <w:rFonts w:hint="eastAsia"/>
            </w:rPr>
            <w:t>根据公司《</w:t>
          </w:r>
          <w:r>
            <w:rPr>
              <w:rFonts w:hint="eastAsia"/>
            </w:rPr>
            <w:t>2024</w:t>
          </w:r>
          <w:r>
            <w:rPr>
              <w:rFonts w:hint="eastAsia"/>
            </w:rPr>
            <w:t>年限制性股票激励计划》和《</w:t>
          </w:r>
          <w:r>
            <w:rPr>
              <w:rFonts w:hint="eastAsia"/>
            </w:rPr>
            <w:t>2024</w:t>
          </w:r>
          <w:r>
            <w:rPr>
              <w:rFonts w:hint="eastAsia"/>
            </w:rPr>
            <w:t>年限制性股票激励计划实施考核管理办法》相关规定：因公司层面业绩考核不达标涉及回购注销首次授予的激励对象合计</w:t>
          </w:r>
          <w:r>
            <w:rPr>
              <w:rFonts w:hint="eastAsia"/>
            </w:rPr>
            <w:t>57</w:t>
          </w:r>
          <w:r>
            <w:rPr>
              <w:rFonts w:hint="eastAsia"/>
            </w:rPr>
            <w:t>人第一期限售股共计</w:t>
          </w:r>
          <w:r>
            <w:rPr>
              <w:rFonts w:hint="eastAsia"/>
            </w:rPr>
            <w:t>765,000</w:t>
          </w:r>
          <w:r>
            <w:rPr>
              <w:rFonts w:hint="eastAsia"/>
            </w:rPr>
            <w:t>股；因首次授予的激励对象中</w:t>
          </w:r>
          <w:r>
            <w:rPr>
              <w:rFonts w:hint="eastAsia"/>
            </w:rPr>
            <w:t>2</w:t>
          </w:r>
          <w:r>
            <w:rPr>
              <w:rFonts w:hint="eastAsia"/>
            </w:rPr>
            <w:t>名已离职激励对象所持已获授但尚未解除限售的第二期和第三期限制性股票进行全部回购注销，涉及</w:t>
          </w:r>
          <w:r>
            <w:rPr>
              <w:rFonts w:hint="eastAsia"/>
            </w:rPr>
            <w:t>49,000</w:t>
          </w:r>
          <w:r>
            <w:rPr>
              <w:rFonts w:hint="eastAsia"/>
            </w:rPr>
            <w:t>股限售股，减少库存股</w:t>
          </w:r>
          <w:r>
            <w:rPr>
              <w:rFonts w:hint="eastAsia"/>
            </w:rPr>
            <w:t>6,585,260.00</w:t>
          </w:r>
          <w:r>
            <w:rPr>
              <w:rFonts w:hint="eastAsia"/>
            </w:rPr>
            <w:t>元。</w:t>
          </w:r>
        </w:p>
        <w:p w14:paraId="0D185B5E" w14:textId="77777777" w:rsidR="00577D08" w:rsidRDefault="00330FC0">
          <w:pPr>
            <w:spacing w:line="360" w:lineRule="exact"/>
            <w:ind w:firstLineChars="200" w:firstLine="420"/>
            <w:rPr>
              <w:b/>
            </w:rPr>
          </w:pPr>
          <w:r>
            <w:rPr>
              <w:rFonts w:hint="eastAsia"/>
            </w:rPr>
            <w:t>（</w:t>
          </w:r>
          <w:r>
            <w:rPr>
              <w:rFonts w:hint="eastAsia"/>
            </w:rPr>
            <w:t>3</w:t>
          </w:r>
          <w:r>
            <w:rPr>
              <w:rFonts w:hint="eastAsia"/>
            </w:rPr>
            <w:t>）根据公司</w:t>
          </w:r>
          <w:r>
            <w:rPr>
              <w:rFonts w:hint="eastAsia"/>
            </w:rPr>
            <w:t>2025</w:t>
          </w:r>
          <w:r>
            <w:rPr>
              <w:rFonts w:hint="eastAsia"/>
            </w:rPr>
            <w:t>年</w:t>
          </w:r>
          <w:r>
            <w:rPr>
              <w:rFonts w:hint="eastAsia"/>
            </w:rPr>
            <w:t>12</w:t>
          </w:r>
          <w:r>
            <w:rPr>
              <w:rFonts w:hint="eastAsia"/>
            </w:rPr>
            <w:t>月</w:t>
          </w:r>
          <w:r>
            <w:rPr>
              <w:rFonts w:hint="eastAsia"/>
            </w:rPr>
            <w:t>9</w:t>
          </w:r>
          <w:r>
            <w:rPr>
              <w:rFonts w:hint="eastAsia"/>
            </w:rPr>
            <w:t>日第四届董事会第十五次会议和</w:t>
          </w:r>
          <w:r>
            <w:rPr>
              <w:rFonts w:hint="eastAsia"/>
            </w:rPr>
            <w:t>2025</w:t>
          </w:r>
          <w:r>
            <w:rPr>
              <w:rFonts w:hint="eastAsia"/>
            </w:rPr>
            <w:t>年</w:t>
          </w:r>
          <w:r>
            <w:rPr>
              <w:rFonts w:hint="eastAsia"/>
            </w:rPr>
            <w:t>12</w:t>
          </w:r>
          <w:r>
            <w:rPr>
              <w:rFonts w:hint="eastAsia"/>
            </w:rPr>
            <w:t>月</w:t>
          </w:r>
          <w:r>
            <w:rPr>
              <w:rFonts w:hint="eastAsia"/>
            </w:rPr>
            <w:t>26</w:t>
          </w:r>
          <w:r>
            <w:rPr>
              <w:rFonts w:hint="eastAsia"/>
            </w:rPr>
            <w:t>日</w:t>
          </w:r>
          <w:r>
            <w:rPr>
              <w:rFonts w:hint="eastAsia"/>
            </w:rPr>
            <w:t>2025</w:t>
          </w:r>
          <w:r>
            <w:rPr>
              <w:rFonts w:hint="eastAsia"/>
            </w:rPr>
            <w:t>年第一次临时股东大会审议通过的《关于终止实施</w:t>
          </w:r>
          <w:r>
            <w:rPr>
              <w:rFonts w:hint="eastAsia"/>
            </w:rPr>
            <w:t>2024</w:t>
          </w:r>
          <w:r>
            <w:rPr>
              <w:rFonts w:hint="eastAsia"/>
            </w:rPr>
            <w:t>年限制性股票激励计划暨回购注销相关限制性股票并调整回购价格的议案》，同意公司终止实施</w:t>
          </w:r>
          <w:r>
            <w:rPr>
              <w:rFonts w:hint="eastAsia"/>
            </w:rPr>
            <w:t>2024</w:t>
          </w:r>
          <w:r>
            <w:rPr>
              <w:rFonts w:hint="eastAsia"/>
            </w:rPr>
            <w:t>年限制性股票激励计划及相配套文件，同意回购已授予未解锁限制性股票共计</w:t>
          </w:r>
          <w:r>
            <w:rPr>
              <w:rFonts w:hint="eastAsia"/>
            </w:rPr>
            <w:t>2,316,000</w:t>
          </w:r>
          <w:r>
            <w:rPr>
              <w:rFonts w:hint="eastAsia"/>
            </w:rPr>
            <w:t>股，并将回购价格调整为</w:t>
          </w:r>
          <w:r>
            <w:rPr>
              <w:rFonts w:hint="eastAsia"/>
            </w:rPr>
            <w:t>7.89</w:t>
          </w:r>
          <w:r>
            <w:rPr>
              <w:rFonts w:hint="eastAsia"/>
            </w:rPr>
            <w:t>元</w:t>
          </w:r>
          <w:r>
            <w:rPr>
              <w:rFonts w:hint="eastAsia"/>
            </w:rPr>
            <w:t>/</w:t>
          </w:r>
          <w:r>
            <w:rPr>
              <w:rFonts w:hint="eastAsia"/>
            </w:rPr>
            <w:t>股，同意注销</w:t>
          </w:r>
          <w:r>
            <w:rPr>
              <w:rFonts w:hint="eastAsia"/>
            </w:rPr>
            <w:t>2024</w:t>
          </w:r>
          <w:r>
            <w:rPr>
              <w:rFonts w:hint="eastAsia"/>
            </w:rPr>
            <w:t>年限制性股票激励计划已授予未解锁的</w:t>
          </w:r>
          <w:r>
            <w:rPr>
              <w:rFonts w:hint="eastAsia"/>
            </w:rPr>
            <w:t>2,316,000</w:t>
          </w:r>
          <w:r>
            <w:rPr>
              <w:rFonts w:hint="eastAsia"/>
            </w:rPr>
            <w:t>股及未授予的</w:t>
          </w:r>
          <w:r>
            <w:rPr>
              <w:rFonts w:hint="eastAsia"/>
            </w:rPr>
            <w:t>70,000</w:t>
          </w:r>
          <w:r>
            <w:rPr>
              <w:rFonts w:hint="eastAsia"/>
            </w:rPr>
            <w:t>股合计</w:t>
          </w:r>
          <w:r>
            <w:rPr>
              <w:rFonts w:hint="eastAsia"/>
            </w:rPr>
            <w:t>2,386,000</w:t>
          </w:r>
          <w:r>
            <w:rPr>
              <w:rFonts w:hint="eastAsia"/>
            </w:rPr>
            <w:t>股股票。截至本财务报告批准报出日，上述限制性股票已全部回购注销。</w:t>
          </w:r>
        </w:p>
      </w:sdtContent>
    </w:sdt>
    <w:p w14:paraId="7A75D2C7" w14:textId="77777777" w:rsidR="00577D08" w:rsidRDefault="00577D08"/>
    <w:p w14:paraId="15240DE3" w14:textId="77777777" w:rsidR="00577D08" w:rsidRDefault="00577D08">
      <w:pPr>
        <w:sectPr w:rsidR="00577D08">
          <w:pgSz w:w="11906" w:h="16838"/>
          <w:pgMar w:top="1440" w:right="1797" w:bottom="1525" w:left="1276" w:header="856" w:footer="992" w:gutter="0"/>
          <w:cols w:space="425"/>
          <w:docGrid w:linePitch="312"/>
        </w:sectPr>
      </w:pPr>
    </w:p>
    <w:p w14:paraId="23357F07" w14:textId="77777777" w:rsidR="00577D08" w:rsidRDefault="00330FC0">
      <w:pPr>
        <w:pStyle w:val="3"/>
        <w:numPr>
          <w:ilvl w:val="0"/>
          <w:numId w:val="61"/>
        </w:numPr>
        <w:tabs>
          <w:tab w:val="left" w:pos="504"/>
        </w:tabs>
        <w:rPr>
          <w:rFonts w:ascii="宋体" w:hAnsi="宋体" w:hint="eastAsia"/>
          <w:szCs w:val="21"/>
        </w:rPr>
      </w:pPr>
      <w:bookmarkStart w:id="451" w:name="_Hlk10537776"/>
      <w:bookmarkStart w:id="452" w:name="_Hlk24027351"/>
      <w:bookmarkEnd w:id="451"/>
      <w:r>
        <w:rPr>
          <w:rFonts w:ascii="宋体" w:hAnsi="宋体" w:hint="eastAsia"/>
          <w:szCs w:val="21"/>
        </w:rPr>
        <w:lastRenderedPageBreak/>
        <w:t>其他综合收益</w:t>
      </w:r>
    </w:p>
    <w:sdt>
      <w:sdtPr>
        <w:alias w:val="是否适用：其他综合收益[双击切换]"/>
        <w:tag w:val="_GBC_60105f81909745c788232a2118ec8260"/>
        <w:id w:val="1902243263"/>
        <w:placeholder>
          <w:docPart w:val="GBC22222222222222222222222222222"/>
        </w:placeholder>
      </w:sdtPr>
      <w:sdtContent>
        <w:p w14:paraId="565706E9"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3B0EA8A" w14:textId="1C7AAF36" w:rsidR="00577D08" w:rsidRDefault="00330FC0">
      <w:pPr>
        <w:jc w:val="right"/>
      </w:pPr>
      <w:r>
        <w:rPr>
          <w:rFonts w:hint="eastAsia"/>
        </w:rPr>
        <w:t>单位：</w:t>
      </w:r>
      <w:sdt>
        <w:sdtPr>
          <w:rPr>
            <w:rFonts w:hint="eastAsia"/>
          </w:rPr>
          <w:alias w:val="单位：财务附注：其他综合收益情况"/>
          <w:tag w:val="_GBC_e409bf7299734ac38578b7aeaafe4b22"/>
          <w:id w:val="3932455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其他综合收益情况"/>
          <w:tag w:val="_GBC_27d655d96e764a21a47eae18f25945dc"/>
          <w:id w:val="-3220509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541"/>
        <w:gridCol w:w="1541"/>
        <w:gridCol w:w="1542"/>
        <w:gridCol w:w="1542"/>
        <w:gridCol w:w="1542"/>
        <w:gridCol w:w="1542"/>
        <w:gridCol w:w="1544"/>
        <w:gridCol w:w="1528"/>
      </w:tblGrid>
      <w:tr w:rsidR="00577D08" w14:paraId="2E635C36" w14:textId="77777777">
        <w:trPr>
          <w:trHeight w:val="215"/>
        </w:trPr>
        <w:sdt>
          <w:sdtPr>
            <w:tag w:val="_PLD_b9ff3615ccfb4fb8b5b240bdfb50f58f"/>
            <w:id w:val="-219592217"/>
          </w:sdtPr>
          <w:sdtContent>
            <w:tc>
              <w:tcPr>
                <w:tcW w:w="556" w:type="pct"/>
                <w:vMerge w:val="restart"/>
                <w:vAlign w:val="center"/>
              </w:tcPr>
              <w:p w14:paraId="15229E6E" w14:textId="77777777" w:rsidR="00577D08" w:rsidRDefault="00330FC0">
                <w:pPr>
                  <w:jc w:val="center"/>
                </w:pPr>
                <w:r>
                  <w:rPr>
                    <w:rFonts w:hint="eastAsia"/>
                  </w:rPr>
                  <w:t>项目</w:t>
                </w:r>
              </w:p>
            </w:tc>
          </w:sdtContent>
        </w:sdt>
        <w:sdt>
          <w:sdtPr>
            <w:tag w:val="_PLD_c452eb3cb7084e41ba725641dbad27ab"/>
            <w:id w:val="1926534544"/>
          </w:sdtPr>
          <w:sdtContent>
            <w:tc>
              <w:tcPr>
                <w:tcW w:w="556" w:type="pct"/>
                <w:vMerge w:val="restart"/>
                <w:vAlign w:val="center"/>
              </w:tcPr>
              <w:p w14:paraId="6C24A3D2" w14:textId="77777777" w:rsidR="00577D08" w:rsidRDefault="00330FC0">
                <w:pPr>
                  <w:jc w:val="center"/>
                </w:pPr>
                <w:r>
                  <w:rPr>
                    <w:rFonts w:hint="eastAsia"/>
                  </w:rPr>
                  <w:t>期初</w:t>
                </w:r>
              </w:p>
              <w:p w14:paraId="54ADA287" w14:textId="77777777" w:rsidR="00577D08" w:rsidRDefault="00330FC0">
                <w:pPr>
                  <w:jc w:val="center"/>
                </w:pPr>
                <w:r>
                  <w:rPr>
                    <w:rFonts w:hint="eastAsia"/>
                  </w:rPr>
                  <w:t>余额</w:t>
                </w:r>
              </w:p>
            </w:tc>
          </w:sdtContent>
        </w:sdt>
        <w:sdt>
          <w:sdtPr>
            <w:tag w:val="_PLD_c4c67158aa744717a253a7b51b99ed00"/>
            <w:id w:val="230663917"/>
          </w:sdtPr>
          <w:sdtContent>
            <w:tc>
              <w:tcPr>
                <w:tcW w:w="3337" w:type="pct"/>
                <w:gridSpan w:val="6"/>
                <w:vAlign w:val="center"/>
              </w:tcPr>
              <w:p w14:paraId="2440FCF8" w14:textId="77777777" w:rsidR="00577D08" w:rsidRDefault="00330FC0">
                <w:pPr>
                  <w:jc w:val="center"/>
                </w:pPr>
                <w:r>
                  <w:rPr>
                    <w:rFonts w:hint="eastAsia"/>
                  </w:rPr>
                  <w:t>本期发生金额</w:t>
                </w:r>
              </w:p>
            </w:tc>
          </w:sdtContent>
        </w:sdt>
        <w:sdt>
          <w:sdtPr>
            <w:tag w:val="_PLD_2fcdc30e089b48d0af01eff4e6c0c7ad"/>
            <w:id w:val="1008559784"/>
          </w:sdtPr>
          <w:sdtContent>
            <w:tc>
              <w:tcPr>
                <w:tcW w:w="551" w:type="pct"/>
                <w:vMerge w:val="restart"/>
                <w:vAlign w:val="center"/>
              </w:tcPr>
              <w:p w14:paraId="6C358D75" w14:textId="77777777" w:rsidR="00577D08" w:rsidRDefault="00330FC0">
                <w:pPr>
                  <w:jc w:val="center"/>
                </w:pPr>
                <w:r>
                  <w:rPr>
                    <w:rFonts w:hint="eastAsia"/>
                  </w:rPr>
                  <w:t>期末</w:t>
                </w:r>
              </w:p>
              <w:p w14:paraId="5D80B9C3" w14:textId="77777777" w:rsidR="00577D08" w:rsidRDefault="00330FC0">
                <w:pPr>
                  <w:jc w:val="center"/>
                </w:pPr>
                <w:r>
                  <w:rPr>
                    <w:rFonts w:hint="eastAsia"/>
                  </w:rPr>
                  <w:t>余额</w:t>
                </w:r>
              </w:p>
            </w:tc>
          </w:sdtContent>
        </w:sdt>
      </w:tr>
      <w:tr w:rsidR="00577D08" w14:paraId="7CD49F58" w14:textId="77777777">
        <w:tc>
          <w:tcPr>
            <w:tcW w:w="556" w:type="pct"/>
            <w:vMerge/>
            <w:vAlign w:val="center"/>
          </w:tcPr>
          <w:p w14:paraId="34D54C73" w14:textId="77777777" w:rsidR="00577D08" w:rsidRDefault="00577D08">
            <w:pPr>
              <w:jc w:val="center"/>
            </w:pPr>
          </w:p>
        </w:tc>
        <w:tc>
          <w:tcPr>
            <w:tcW w:w="556" w:type="pct"/>
            <w:vMerge/>
            <w:vAlign w:val="center"/>
          </w:tcPr>
          <w:p w14:paraId="75E2A088" w14:textId="77777777" w:rsidR="00577D08" w:rsidRDefault="00577D08">
            <w:pPr>
              <w:jc w:val="center"/>
            </w:pPr>
          </w:p>
        </w:tc>
        <w:sdt>
          <w:sdtPr>
            <w:tag w:val="_PLD_08b0381418824e1685e4223515aed1f1"/>
            <w:id w:val="-1941825699"/>
          </w:sdtPr>
          <w:sdtContent>
            <w:tc>
              <w:tcPr>
                <w:tcW w:w="556" w:type="pct"/>
                <w:vAlign w:val="center"/>
              </w:tcPr>
              <w:p w14:paraId="1235698F" w14:textId="77777777" w:rsidR="00577D08" w:rsidRDefault="00330FC0">
                <w:pPr>
                  <w:jc w:val="center"/>
                </w:pPr>
                <w:r>
                  <w:rPr>
                    <w:rFonts w:hint="eastAsia"/>
                  </w:rPr>
                  <w:t>本期所得税前发生额</w:t>
                </w:r>
              </w:p>
            </w:tc>
          </w:sdtContent>
        </w:sdt>
        <w:sdt>
          <w:sdtPr>
            <w:tag w:val="_PLD_b9b4a9789ab94b46aa682fa396296a6f"/>
            <w:id w:val="-1864497606"/>
          </w:sdtPr>
          <w:sdtContent>
            <w:tc>
              <w:tcPr>
                <w:tcW w:w="556" w:type="pct"/>
                <w:vAlign w:val="center"/>
              </w:tcPr>
              <w:p w14:paraId="261F5902" w14:textId="77777777" w:rsidR="00577D08" w:rsidRDefault="00330FC0">
                <w:pPr>
                  <w:jc w:val="center"/>
                </w:pPr>
                <w:r>
                  <w:rPr>
                    <w:rFonts w:hint="eastAsia"/>
                  </w:rPr>
                  <w:t>减：前期计入其他综合收益当期转入损益</w:t>
                </w:r>
              </w:p>
            </w:tc>
          </w:sdtContent>
        </w:sdt>
        <w:tc>
          <w:tcPr>
            <w:tcW w:w="556" w:type="pct"/>
            <w:vAlign w:val="center"/>
          </w:tcPr>
          <w:sdt>
            <w:sdtPr>
              <w:tag w:val="_PLD_a38fa46c72bd4d5dbd427d2107ab58cc"/>
              <w:id w:val="1000695873"/>
            </w:sdtPr>
            <w:sdtContent>
              <w:p w14:paraId="1BA67533" w14:textId="77777777" w:rsidR="00577D08" w:rsidRDefault="00330FC0">
                <w:pPr>
                  <w:jc w:val="center"/>
                </w:pPr>
                <w:r>
                  <w:rPr>
                    <w:rFonts w:hint="eastAsia"/>
                  </w:rPr>
                  <w:t>减：前期计入其他综合收益当期转入留存收益</w:t>
                </w:r>
              </w:p>
            </w:sdtContent>
          </w:sdt>
        </w:tc>
        <w:sdt>
          <w:sdtPr>
            <w:tag w:val="_PLD_3aa0b45624ce4714ba49e23b657915b8"/>
            <w:id w:val="-834530424"/>
          </w:sdtPr>
          <w:sdtContent>
            <w:tc>
              <w:tcPr>
                <w:tcW w:w="556" w:type="pct"/>
                <w:vAlign w:val="center"/>
              </w:tcPr>
              <w:p w14:paraId="5BEAE657" w14:textId="77777777" w:rsidR="00577D08" w:rsidRDefault="00330FC0">
                <w:pPr>
                  <w:jc w:val="center"/>
                </w:pPr>
                <w:r>
                  <w:rPr>
                    <w:rFonts w:hint="eastAsia"/>
                  </w:rPr>
                  <w:t>减：所得税费用</w:t>
                </w:r>
              </w:p>
            </w:tc>
          </w:sdtContent>
        </w:sdt>
        <w:sdt>
          <w:sdtPr>
            <w:tag w:val="_PLD_8b3cddc1172740f1a089204a9d0cbe76"/>
            <w:id w:val="-2120443824"/>
          </w:sdtPr>
          <w:sdtContent>
            <w:tc>
              <w:tcPr>
                <w:tcW w:w="556" w:type="pct"/>
                <w:vAlign w:val="center"/>
              </w:tcPr>
              <w:p w14:paraId="5D937603" w14:textId="77777777" w:rsidR="00577D08" w:rsidRDefault="00330FC0">
                <w:pPr>
                  <w:jc w:val="center"/>
                </w:pPr>
                <w:r>
                  <w:rPr>
                    <w:rFonts w:hint="eastAsia"/>
                  </w:rPr>
                  <w:t>税后归属于母公司</w:t>
                </w:r>
              </w:p>
            </w:tc>
          </w:sdtContent>
        </w:sdt>
        <w:sdt>
          <w:sdtPr>
            <w:tag w:val="_PLD_addbe2b10c3b49449f4532c4ee8679a0"/>
            <w:id w:val="-1601629644"/>
          </w:sdtPr>
          <w:sdtContent>
            <w:tc>
              <w:tcPr>
                <w:tcW w:w="557" w:type="pct"/>
                <w:vAlign w:val="center"/>
              </w:tcPr>
              <w:p w14:paraId="7D234C32" w14:textId="77777777" w:rsidR="00577D08" w:rsidRDefault="00330FC0">
                <w:pPr>
                  <w:jc w:val="center"/>
                </w:pPr>
                <w:r>
                  <w:rPr>
                    <w:rFonts w:hint="eastAsia"/>
                  </w:rPr>
                  <w:t>税后归属于少数股东</w:t>
                </w:r>
              </w:p>
            </w:tc>
          </w:sdtContent>
        </w:sdt>
        <w:tc>
          <w:tcPr>
            <w:tcW w:w="551" w:type="pct"/>
            <w:vMerge/>
            <w:vAlign w:val="center"/>
          </w:tcPr>
          <w:p w14:paraId="4E2F04B6" w14:textId="77777777" w:rsidR="00577D08" w:rsidRDefault="00577D08">
            <w:pPr>
              <w:jc w:val="center"/>
            </w:pPr>
          </w:p>
        </w:tc>
      </w:tr>
      <w:tr w:rsidR="00577D08" w14:paraId="421DAE2A" w14:textId="77777777">
        <w:tc>
          <w:tcPr>
            <w:tcW w:w="556" w:type="pct"/>
            <w:vAlign w:val="center"/>
          </w:tcPr>
          <w:p w14:paraId="03F1DC06" w14:textId="77777777" w:rsidR="00577D08" w:rsidRDefault="00330FC0">
            <w:r>
              <w:rPr>
                <w:rFonts w:hint="eastAsia"/>
              </w:rPr>
              <w:t>一、不能重分类进损益的其他综合收益</w:t>
            </w:r>
          </w:p>
        </w:tc>
        <w:tc>
          <w:tcPr>
            <w:tcW w:w="556" w:type="pct"/>
            <w:vAlign w:val="center"/>
          </w:tcPr>
          <w:p w14:paraId="709278C4" w14:textId="77777777" w:rsidR="00577D08" w:rsidRDefault="00330FC0">
            <w:pPr>
              <w:jc w:val="right"/>
            </w:pPr>
            <w:r>
              <w:t>2,027,597.71</w:t>
            </w:r>
          </w:p>
        </w:tc>
        <w:tc>
          <w:tcPr>
            <w:tcW w:w="556" w:type="pct"/>
            <w:vAlign w:val="center"/>
          </w:tcPr>
          <w:p w14:paraId="3E2FE5F3" w14:textId="77777777" w:rsidR="00577D08" w:rsidRDefault="00330FC0">
            <w:pPr>
              <w:jc w:val="right"/>
            </w:pPr>
            <w:r>
              <w:t>-1,084,683.60</w:t>
            </w:r>
          </w:p>
        </w:tc>
        <w:tc>
          <w:tcPr>
            <w:tcW w:w="556" w:type="pct"/>
            <w:vAlign w:val="center"/>
          </w:tcPr>
          <w:p w14:paraId="4E9560BC" w14:textId="77777777" w:rsidR="00577D08" w:rsidRDefault="00577D08">
            <w:pPr>
              <w:jc w:val="right"/>
            </w:pPr>
          </w:p>
        </w:tc>
        <w:tc>
          <w:tcPr>
            <w:tcW w:w="556" w:type="pct"/>
            <w:vAlign w:val="center"/>
          </w:tcPr>
          <w:p w14:paraId="53ACF4BF" w14:textId="77777777" w:rsidR="00577D08" w:rsidRDefault="00577D08">
            <w:pPr>
              <w:jc w:val="right"/>
            </w:pPr>
          </w:p>
        </w:tc>
        <w:tc>
          <w:tcPr>
            <w:tcW w:w="556" w:type="pct"/>
            <w:vAlign w:val="center"/>
          </w:tcPr>
          <w:p w14:paraId="2D36252B" w14:textId="77777777" w:rsidR="00577D08" w:rsidRDefault="00330FC0">
            <w:pPr>
              <w:jc w:val="right"/>
            </w:pPr>
            <w:r>
              <w:t>-162,702.54</w:t>
            </w:r>
          </w:p>
        </w:tc>
        <w:tc>
          <w:tcPr>
            <w:tcW w:w="556" w:type="pct"/>
            <w:vAlign w:val="center"/>
          </w:tcPr>
          <w:p w14:paraId="113CBE09" w14:textId="77777777" w:rsidR="00577D08" w:rsidRDefault="00330FC0">
            <w:pPr>
              <w:jc w:val="right"/>
            </w:pPr>
            <w:r>
              <w:t>-1,003,663.26</w:t>
            </w:r>
          </w:p>
        </w:tc>
        <w:tc>
          <w:tcPr>
            <w:tcW w:w="557" w:type="pct"/>
            <w:vAlign w:val="center"/>
          </w:tcPr>
          <w:p w14:paraId="625329D2" w14:textId="77777777" w:rsidR="00577D08" w:rsidRDefault="00330FC0">
            <w:pPr>
              <w:jc w:val="right"/>
            </w:pPr>
            <w:r>
              <w:t>81,682.20</w:t>
            </w:r>
          </w:p>
        </w:tc>
        <w:tc>
          <w:tcPr>
            <w:tcW w:w="551" w:type="pct"/>
            <w:vAlign w:val="center"/>
          </w:tcPr>
          <w:p w14:paraId="2B78533A" w14:textId="77777777" w:rsidR="00577D08" w:rsidRDefault="00330FC0">
            <w:pPr>
              <w:jc w:val="right"/>
            </w:pPr>
            <w:r>
              <w:t>1,023,934.45</w:t>
            </w:r>
          </w:p>
        </w:tc>
      </w:tr>
      <w:tr w:rsidR="00577D08" w14:paraId="2A2B8C8E" w14:textId="77777777">
        <w:tc>
          <w:tcPr>
            <w:tcW w:w="556" w:type="pct"/>
            <w:vAlign w:val="center"/>
          </w:tcPr>
          <w:p w14:paraId="07AF4FC9" w14:textId="77777777" w:rsidR="00577D08" w:rsidRDefault="00330FC0">
            <w:r>
              <w:rPr>
                <w:rFonts w:hint="eastAsia"/>
              </w:rPr>
              <w:t>其中：重新计量设定受益计划变动额</w:t>
            </w:r>
          </w:p>
        </w:tc>
        <w:tc>
          <w:tcPr>
            <w:tcW w:w="556" w:type="pct"/>
            <w:vAlign w:val="center"/>
          </w:tcPr>
          <w:p w14:paraId="6B949348" w14:textId="77777777" w:rsidR="00577D08" w:rsidRDefault="00577D08">
            <w:pPr>
              <w:jc w:val="right"/>
            </w:pPr>
          </w:p>
        </w:tc>
        <w:tc>
          <w:tcPr>
            <w:tcW w:w="556" w:type="pct"/>
            <w:vAlign w:val="center"/>
          </w:tcPr>
          <w:p w14:paraId="3DE31303" w14:textId="77777777" w:rsidR="00577D08" w:rsidRDefault="00577D08">
            <w:pPr>
              <w:jc w:val="right"/>
            </w:pPr>
          </w:p>
        </w:tc>
        <w:tc>
          <w:tcPr>
            <w:tcW w:w="556" w:type="pct"/>
            <w:vAlign w:val="center"/>
          </w:tcPr>
          <w:p w14:paraId="4B5D3C9F" w14:textId="77777777" w:rsidR="00577D08" w:rsidRDefault="00577D08">
            <w:pPr>
              <w:jc w:val="right"/>
            </w:pPr>
          </w:p>
        </w:tc>
        <w:tc>
          <w:tcPr>
            <w:tcW w:w="556" w:type="pct"/>
            <w:vAlign w:val="center"/>
          </w:tcPr>
          <w:p w14:paraId="52EB7421" w14:textId="77777777" w:rsidR="00577D08" w:rsidRDefault="00577D08">
            <w:pPr>
              <w:jc w:val="right"/>
            </w:pPr>
          </w:p>
        </w:tc>
        <w:tc>
          <w:tcPr>
            <w:tcW w:w="556" w:type="pct"/>
            <w:vAlign w:val="center"/>
          </w:tcPr>
          <w:p w14:paraId="2DD3040F" w14:textId="77777777" w:rsidR="00577D08" w:rsidRDefault="00577D08">
            <w:pPr>
              <w:jc w:val="right"/>
            </w:pPr>
          </w:p>
        </w:tc>
        <w:tc>
          <w:tcPr>
            <w:tcW w:w="556" w:type="pct"/>
            <w:vAlign w:val="center"/>
          </w:tcPr>
          <w:p w14:paraId="134F86C6" w14:textId="77777777" w:rsidR="00577D08" w:rsidRDefault="00577D08">
            <w:pPr>
              <w:jc w:val="right"/>
            </w:pPr>
          </w:p>
        </w:tc>
        <w:tc>
          <w:tcPr>
            <w:tcW w:w="557" w:type="pct"/>
            <w:vAlign w:val="center"/>
          </w:tcPr>
          <w:p w14:paraId="6CF20CCE" w14:textId="77777777" w:rsidR="00577D08" w:rsidRDefault="00577D08">
            <w:pPr>
              <w:jc w:val="right"/>
            </w:pPr>
          </w:p>
        </w:tc>
        <w:tc>
          <w:tcPr>
            <w:tcW w:w="551" w:type="pct"/>
            <w:vAlign w:val="center"/>
          </w:tcPr>
          <w:p w14:paraId="1CE2217D" w14:textId="77777777" w:rsidR="00577D08" w:rsidRDefault="00577D08">
            <w:pPr>
              <w:jc w:val="right"/>
            </w:pPr>
          </w:p>
        </w:tc>
      </w:tr>
      <w:tr w:rsidR="00577D08" w14:paraId="77169A9E" w14:textId="77777777">
        <w:tc>
          <w:tcPr>
            <w:tcW w:w="556" w:type="pct"/>
            <w:vAlign w:val="center"/>
          </w:tcPr>
          <w:p w14:paraId="63BBFCC0" w14:textId="77777777" w:rsidR="00577D08" w:rsidRDefault="00330FC0">
            <w:pPr>
              <w:ind w:firstLineChars="100" w:firstLine="210"/>
            </w:pPr>
            <w:r>
              <w:rPr>
                <w:rFonts w:hint="eastAsia"/>
              </w:rPr>
              <w:t>权益法下不能转损益的其他综合收益</w:t>
            </w:r>
          </w:p>
        </w:tc>
        <w:tc>
          <w:tcPr>
            <w:tcW w:w="556" w:type="pct"/>
            <w:vAlign w:val="center"/>
          </w:tcPr>
          <w:p w14:paraId="3DDC316F" w14:textId="77777777" w:rsidR="00577D08" w:rsidRDefault="00577D08">
            <w:pPr>
              <w:jc w:val="right"/>
            </w:pPr>
          </w:p>
        </w:tc>
        <w:tc>
          <w:tcPr>
            <w:tcW w:w="556" w:type="pct"/>
            <w:vAlign w:val="center"/>
          </w:tcPr>
          <w:p w14:paraId="43614771" w14:textId="77777777" w:rsidR="00577D08" w:rsidRDefault="00577D08">
            <w:pPr>
              <w:jc w:val="right"/>
            </w:pPr>
          </w:p>
        </w:tc>
        <w:tc>
          <w:tcPr>
            <w:tcW w:w="556" w:type="pct"/>
            <w:vAlign w:val="center"/>
          </w:tcPr>
          <w:p w14:paraId="05FE84E8" w14:textId="77777777" w:rsidR="00577D08" w:rsidRDefault="00577D08">
            <w:pPr>
              <w:jc w:val="right"/>
            </w:pPr>
          </w:p>
        </w:tc>
        <w:tc>
          <w:tcPr>
            <w:tcW w:w="556" w:type="pct"/>
            <w:vAlign w:val="center"/>
          </w:tcPr>
          <w:p w14:paraId="103D7D5E" w14:textId="77777777" w:rsidR="00577D08" w:rsidRDefault="00577D08">
            <w:pPr>
              <w:jc w:val="right"/>
            </w:pPr>
          </w:p>
        </w:tc>
        <w:tc>
          <w:tcPr>
            <w:tcW w:w="556" w:type="pct"/>
            <w:vAlign w:val="center"/>
          </w:tcPr>
          <w:p w14:paraId="21FF44C2" w14:textId="77777777" w:rsidR="00577D08" w:rsidRDefault="00577D08">
            <w:pPr>
              <w:jc w:val="right"/>
            </w:pPr>
          </w:p>
        </w:tc>
        <w:tc>
          <w:tcPr>
            <w:tcW w:w="556" w:type="pct"/>
            <w:vAlign w:val="center"/>
          </w:tcPr>
          <w:p w14:paraId="58FD9680" w14:textId="77777777" w:rsidR="00577D08" w:rsidRDefault="00577D08">
            <w:pPr>
              <w:jc w:val="right"/>
            </w:pPr>
          </w:p>
        </w:tc>
        <w:tc>
          <w:tcPr>
            <w:tcW w:w="557" w:type="pct"/>
            <w:vAlign w:val="center"/>
          </w:tcPr>
          <w:p w14:paraId="1383860B" w14:textId="77777777" w:rsidR="00577D08" w:rsidRDefault="00577D08">
            <w:pPr>
              <w:jc w:val="right"/>
            </w:pPr>
          </w:p>
        </w:tc>
        <w:tc>
          <w:tcPr>
            <w:tcW w:w="551" w:type="pct"/>
            <w:vAlign w:val="center"/>
          </w:tcPr>
          <w:p w14:paraId="37BA09CC" w14:textId="77777777" w:rsidR="00577D08" w:rsidRDefault="00577D08">
            <w:pPr>
              <w:jc w:val="right"/>
            </w:pPr>
          </w:p>
        </w:tc>
      </w:tr>
      <w:tr w:rsidR="00577D08" w14:paraId="5BE0BC2F" w14:textId="77777777">
        <w:tc>
          <w:tcPr>
            <w:tcW w:w="556" w:type="pct"/>
            <w:vAlign w:val="center"/>
          </w:tcPr>
          <w:p w14:paraId="3936927D" w14:textId="77777777" w:rsidR="00577D08" w:rsidRDefault="00330FC0">
            <w:pPr>
              <w:ind w:firstLineChars="100" w:firstLine="210"/>
            </w:pPr>
            <w:r>
              <w:rPr>
                <w:rFonts w:hint="eastAsia"/>
              </w:rPr>
              <w:t>其他权益工具投资公允价值变动</w:t>
            </w:r>
          </w:p>
        </w:tc>
        <w:tc>
          <w:tcPr>
            <w:tcW w:w="556" w:type="pct"/>
            <w:vAlign w:val="center"/>
          </w:tcPr>
          <w:p w14:paraId="7D9E9F3F" w14:textId="77777777" w:rsidR="00577D08" w:rsidRDefault="00330FC0">
            <w:pPr>
              <w:jc w:val="right"/>
            </w:pPr>
            <w:r>
              <w:t>2,027,597.71</w:t>
            </w:r>
          </w:p>
        </w:tc>
        <w:tc>
          <w:tcPr>
            <w:tcW w:w="556" w:type="pct"/>
            <w:vAlign w:val="center"/>
          </w:tcPr>
          <w:p w14:paraId="49502BEC" w14:textId="77777777" w:rsidR="00577D08" w:rsidRDefault="00330FC0">
            <w:pPr>
              <w:jc w:val="right"/>
            </w:pPr>
            <w:r>
              <w:t>-1,084,683.60</w:t>
            </w:r>
          </w:p>
        </w:tc>
        <w:tc>
          <w:tcPr>
            <w:tcW w:w="556" w:type="pct"/>
            <w:vAlign w:val="center"/>
          </w:tcPr>
          <w:p w14:paraId="23B1D647" w14:textId="77777777" w:rsidR="00577D08" w:rsidRDefault="00577D08">
            <w:pPr>
              <w:jc w:val="right"/>
            </w:pPr>
          </w:p>
        </w:tc>
        <w:tc>
          <w:tcPr>
            <w:tcW w:w="556" w:type="pct"/>
            <w:vAlign w:val="center"/>
          </w:tcPr>
          <w:p w14:paraId="78761797" w14:textId="77777777" w:rsidR="00577D08" w:rsidRDefault="00577D08">
            <w:pPr>
              <w:jc w:val="right"/>
            </w:pPr>
          </w:p>
        </w:tc>
        <w:tc>
          <w:tcPr>
            <w:tcW w:w="556" w:type="pct"/>
            <w:vAlign w:val="center"/>
          </w:tcPr>
          <w:p w14:paraId="6573E5BA" w14:textId="77777777" w:rsidR="00577D08" w:rsidRDefault="00330FC0">
            <w:pPr>
              <w:jc w:val="right"/>
            </w:pPr>
            <w:r>
              <w:t>-162,702.54</w:t>
            </w:r>
          </w:p>
        </w:tc>
        <w:tc>
          <w:tcPr>
            <w:tcW w:w="556" w:type="pct"/>
            <w:vAlign w:val="center"/>
          </w:tcPr>
          <w:p w14:paraId="2A4103BD" w14:textId="77777777" w:rsidR="00577D08" w:rsidRDefault="00330FC0">
            <w:pPr>
              <w:jc w:val="right"/>
            </w:pPr>
            <w:r>
              <w:t>-1,003,663.26</w:t>
            </w:r>
          </w:p>
        </w:tc>
        <w:tc>
          <w:tcPr>
            <w:tcW w:w="557" w:type="pct"/>
            <w:vAlign w:val="center"/>
          </w:tcPr>
          <w:p w14:paraId="1B39241B" w14:textId="77777777" w:rsidR="00577D08" w:rsidRDefault="00330FC0">
            <w:pPr>
              <w:jc w:val="right"/>
            </w:pPr>
            <w:r>
              <w:t>81,682.20</w:t>
            </w:r>
          </w:p>
        </w:tc>
        <w:tc>
          <w:tcPr>
            <w:tcW w:w="551" w:type="pct"/>
            <w:vAlign w:val="center"/>
          </w:tcPr>
          <w:p w14:paraId="7A2AED5B" w14:textId="77777777" w:rsidR="00577D08" w:rsidRDefault="00330FC0">
            <w:pPr>
              <w:jc w:val="right"/>
            </w:pPr>
            <w:r>
              <w:t>1,023,934.45</w:t>
            </w:r>
          </w:p>
        </w:tc>
      </w:tr>
      <w:tr w:rsidR="00577D08" w14:paraId="250C8232" w14:textId="77777777">
        <w:tc>
          <w:tcPr>
            <w:tcW w:w="556" w:type="pct"/>
            <w:vAlign w:val="center"/>
          </w:tcPr>
          <w:p w14:paraId="57A0484A" w14:textId="77777777" w:rsidR="00577D08" w:rsidRDefault="00330FC0">
            <w:pPr>
              <w:ind w:firstLineChars="100" w:firstLine="210"/>
            </w:pPr>
            <w:r>
              <w:rPr>
                <w:rFonts w:hint="eastAsia"/>
              </w:rPr>
              <w:t>企业自身信用风险公允价值变动</w:t>
            </w:r>
          </w:p>
        </w:tc>
        <w:tc>
          <w:tcPr>
            <w:tcW w:w="556" w:type="pct"/>
            <w:vAlign w:val="center"/>
          </w:tcPr>
          <w:p w14:paraId="3B022A55" w14:textId="77777777" w:rsidR="00577D08" w:rsidRDefault="00577D08">
            <w:pPr>
              <w:jc w:val="right"/>
            </w:pPr>
          </w:p>
        </w:tc>
        <w:tc>
          <w:tcPr>
            <w:tcW w:w="556" w:type="pct"/>
            <w:vAlign w:val="center"/>
          </w:tcPr>
          <w:p w14:paraId="5D1EC47C" w14:textId="77777777" w:rsidR="00577D08" w:rsidRDefault="00577D08">
            <w:pPr>
              <w:jc w:val="right"/>
            </w:pPr>
          </w:p>
        </w:tc>
        <w:tc>
          <w:tcPr>
            <w:tcW w:w="556" w:type="pct"/>
            <w:vAlign w:val="center"/>
          </w:tcPr>
          <w:p w14:paraId="0064BF70" w14:textId="77777777" w:rsidR="00577D08" w:rsidRDefault="00577D08">
            <w:pPr>
              <w:jc w:val="right"/>
            </w:pPr>
          </w:p>
        </w:tc>
        <w:tc>
          <w:tcPr>
            <w:tcW w:w="556" w:type="pct"/>
            <w:vAlign w:val="center"/>
          </w:tcPr>
          <w:p w14:paraId="3410DEDD" w14:textId="77777777" w:rsidR="00577D08" w:rsidRDefault="00577D08">
            <w:pPr>
              <w:jc w:val="right"/>
            </w:pPr>
          </w:p>
        </w:tc>
        <w:tc>
          <w:tcPr>
            <w:tcW w:w="556" w:type="pct"/>
            <w:vAlign w:val="center"/>
          </w:tcPr>
          <w:p w14:paraId="0642A074" w14:textId="77777777" w:rsidR="00577D08" w:rsidRDefault="00577D08">
            <w:pPr>
              <w:jc w:val="right"/>
            </w:pPr>
          </w:p>
        </w:tc>
        <w:tc>
          <w:tcPr>
            <w:tcW w:w="556" w:type="pct"/>
            <w:vAlign w:val="center"/>
          </w:tcPr>
          <w:p w14:paraId="45122DAD" w14:textId="77777777" w:rsidR="00577D08" w:rsidRDefault="00577D08">
            <w:pPr>
              <w:jc w:val="right"/>
            </w:pPr>
          </w:p>
        </w:tc>
        <w:tc>
          <w:tcPr>
            <w:tcW w:w="557" w:type="pct"/>
            <w:vAlign w:val="center"/>
          </w:tcPr>
          <w:p w14:paraId="656F0DC7" w14:textId="77777777" w:rsidR="00577D08" w:rsidRDefault="00577D08">
            <w:pPr>
              <w:jc w:val="right"/>
            </w:pPr>
          </w:p>
        </w:tc>
        <w:tc>
          <w:tcPr>
            <w:tcW w:w="551" w:type="pct"/>
            <w:vAlign w:val="center"/>
          </w:tcPr>
          <w:p w14:paraId="70707384" w14:textId="77777777" w:rsidR="00577D08" w:rsidRDefault="00577D08">
            <w:pPr>
              <w:jc w:val="right"/>
            </w:pPr>
          </w:p>
        </w:tc>
      </w:tr>
      <w:tr w:rsidR="00577D08" w14:paraId="7290C6F9" w14:textId="77777777">
        <w:tc>
          <w:tcPr>
            <w:tcW w:w="556" w:type="pct"/>
            <w:vAlign w:val="center"/>
          </w:tcPr>
          <w:p w14:paraId="6BEB79B9" w14:textId="77777777" w:rsidR="00577D08" w:rsidRDefault="00330FC0">
            <w:r>
              <w:rPr>
                <w:rFonts w:hint="eastAsia"/>
              </w:rPr>
              <w:t>二、将重分类进损益的其他综合收益</w:t>
            </w:r>
          </w:p>
        </w:tc>
        <w:tc>
          <w:tcPr>
            <w:tcW w:w="556" w:type="pct"/>
            <w:vAlign w:val="center"/>
          </w:tcPr>
          <w:p w14:paraId="43A9ABF0" w14:textId="77777777" w:rsidR="00577D08" w:rsidRDefault="00577D08">
            <w:pPr>
              <w:jc w:val="right"/>
            </w:pPr>
          </w:p>
        </w:tc>
        <w:tc>
          <w:tcPr>
            <w:tcW w:w="556" w:type="pct"/>
            <w:vAlign w:val="center"/>
          </w:tcPr>
          <w:p w14:paraId="5F35E83B" w14:textId="77777777" w:rsidR="00577D08" w:rsidRDefault="00577D08">
            <w:pPr>
              <w:jc w:val="right"/>
            </w:pPr>
          </w:p>
        </w:tc>
        <w:tc>
          <w:tcPr>
            <w:tcW w:w="556" w:type="pct"/>
            <w:vAlign w:val="center"/>
          </w:tcPr>
          <w:p w14:paraId="321B1BAA" w14:textId="77777777" w:rsidR="00577D08" w:rsidRDefault="00577D08">
            <w:pPr>
              <w:jc w:val="right"/>
            </w:pPr>
          </w:p>
        </w:tc>
        <w:tc>
          <w:tcPr>
            <w:tcW w:w="556" w:type="pct"/>
            <w:vAlign w:val="center"/>
          </w:tcPr>
          <w:p w14:paraId="550128BD" w14:textId="77777777" w:rsidR="00577D08" w:rsidRDefault="00577D08">
            <w:pPr>
              <w:jc w:val="right"/>
            </w:pPr>
          </w:p>
        </w:tc>
        <w:tc>
          <w:tcPr>
            <w:tcW w:w="556" w:type="pct"/>
            <w:vAlign w:val="center"/>
          </w:tcPr>
          <w:p w14:paraId="2884CEA7" w14:textId="77777777" w:rsidR="00577D08" w:rsidRDefault="00577D08">
            <w:pPr>
              <w:jc w:val="right"/>
            </w:pPr>
          </w:p>
        </w:tc>
        <w:tc>
          <w:tcPr>
            <w:tcW w:w="556" w:type="pct"/>
            <w:vAlign w:val="center"/>
          </w:tcPr>
          <w:p w14:paraId="09F8970A" w14:textId="77777777" w:rsidR="00577D08" w:rsidRDefault="00577D08">
            <w:pPr>
              <w:jc w:val="right"/>
            </w:pPr>
          </w:p>
        </w:tc>
        <w:tc>
          <w:tcPr>
            <w:tcW w:w="557" w:type="pct"/>
            <w:vAlign w:val="center"/>
          </w:tcPr>
          <w:p w14:paraId="20C72138" w14:textId="77777777" w:rsidR="00577D08" w:rsidRDefault="00577D08">
            <w:pPr>
              <w:jc w:val="right"/>
            </w:pPr>
          </w:p>
        </w:tc>
        <w:tc>
          <w:tcPr>
            <w:tcW w:w="551" w:type="pct"/>
            <w:vAlign w:val="center"/>
          </w:tcPr>
          <w:p w14:paraId="125218DE" w14:textId="77777777" w:rsidR="00577D08" w:rsidRDefault="00577D08">
            <w:pPr>
              <w:jc w:val="right"/>
            </w:pPr>
          </w:p>
        </w:tc>
      </w:tr>
      <w:tr w:rsidR="00577D08" w14:paraId="70B3D8A1" w14:textId="77777777">
        <w:tc>
          <w:tcPr>
            <w:tcW w:w="556" w:type="pct"/>
            <w:vAlign w:val="center"/>
          </w:tcPr>
          <w:p w14:paraId="372E45DA" w14:textId="77777777" w:rsidR="00577D08" w:rsidRDefault="00330FC0">
            <w:r>
              <w:rPr>
                <w:rFonts w:hint="eastAsia"/>
              </w:rPr>
              <w:t>其中：权益法下可转损益的其他综合收益</w:t>
            </w:r>
          </w:p>
        </w:tc>
        <w:tc>
          <w:tcPr>
            <w:tcW w:w="556" w:type="pct"/>
            <w:vAlign w:val="center"/>
          </w:tcPr>
          <w:p w14:paraId="053A9EBB" w14:textId="77777777" w:rsidR="00577D08" w:rsidRDefault="00577D08">
            <w:pPr>
              <w:jc w:val="right"/>
            </w:pPr>
          </w:p>
        </w:tc>
        <w:tc>
          <w:tcPr>
            <w:tcW w:w="556" w:type="pct"/>
            <w:vAlign w:val="center"/>
          </w:tcPr>
          <w:p w14:paraId="34E819F1" w14:textId="77777777" w:rsidR="00577D08" w:rsidRDefault="00577D08">
            <w:pPr>
              <w:jc w:val="right"/>
            </w:pPr>
          </w:p>
        </w:tc>
        <w:tc>
          <w:tcPr>
            <w:tcW w:w="556" w:type="pct"/>
            <w:vAlign w:val="center"/>
          </w:tcPr>
          <w:p w14:paraId="4737FA42" w14:textId="77777777" w:rsidR="00577D08" w:rsidRDefault="00577D08">
            <w:pPr>
              <w:jc w:val="right"/>
            </w:pPr>
          </w:p>
        </w:tc>
        <w:tc>
          <w:tcPr>
            <w:tcW w:w="556" w:type="pct"/>
            <w:vAlign w:val="center"/>
          </w:tcPr>
          <w:p w14:paraId="4988894C" w14:textId="77777777" w:rsidR="00577D08" w:rsidRDefault="00577D08">
            <w:pPr>
              <w:jc w:val="right"/>
            </w:pPr>
          </w:p>
        </w:tc>
        <w:tc>
          <w:tcPr>
            <w:tcW w:w="556" w:type="pct"/>
            <w:vAlign w:val="center"/>
          </w:tcPr>
          <w:p w14:paraId="160801DA" w14:textId="77777777" w:rsidR="00577D08" w:rsidRDefault="00577D08">
            <w:pPr>
              <w:jc w:val="right"/>
            </w:pPr>
          </w:p>
        </w:tc>
        <w:tc>
          <w:tcPr>
            <w:tcW w:w="556" w:type="pct"/>
            <w:vAlign w:val="center"/>
          </w:tcPr>
          <w:p w14:paraId="4C3BC87C" w14:textId="77777777" w:rsidR="00577D08" w:rsidRDefault="00577D08">
            <w:pPr>
              <w:jc w:val="right"/>
            </w:pPr>
          </w:p>
        </w:tc>
        <w:tc>
          <w:tcPr>
            <w:tcW w:w="557" w:type="pct"/>
            <w:vAlign w:val="center"/>
          </w:tcPr>
          <w:p w14:paraId="2C87110B" w14:textId="77777777" w:rsidR="00577D08" w:rsidRDefault="00577D08">
            <w:pPr>
              <w:jc w:val="right"/>
            </w:pPr>
          </w:p>
        </w:tc>
        <w:tc>
          <w:tcPr>
            <w:tcW w:w="551" w:type="pct"/>
            <w:vAlign w:val="center"/>
          </w:tcPr>
          <w:p w14:paraId="54A59E39" w14:textId="77777777" w:rsidR="00577D08" w:rsidRDefault="00577D08">
            <w:pPr>
              <w:jc w:val="right"/>
            </w:pPr>
          </w:p>
        </w:tc>
      </w:tr>
      <w:tr w:rsidR="00577D08" w14:paraId="603A8548" w14:textId="77777777">
        <w:tc>
          <w:tcPr>
            <w:tcW w:w="556" w:type="pct"/>
            <w:vAlign w:val="center"/>
          </w:tcPr>
          <w:p w14:paraId="3E8A9638" w14:textId="77777777" w:rsidR="00577D08" w:rsidRDefault="00330FC0">
            <w:pPr>
              <w:ind w:firstLineChars="100" w:firstLine="210"/>
            </w:pPr>
            <w:r>
              <w:rPr>
                <w:rFonts w:hint="eastAsia"/>
              </w:rPr>
              <w:lastRenderedPageBreak/>
              <w:t>其他债权投资公允价值变动</w:t>
            </w:r>
          </w:p>
        </w:tc>
        <w:tc>
          <w:tcPr>
            <w:tcW w:w="556" w:type="pct"/>
            <w:vAlign w:val="center"/>
          </w:tcPr>
          <w:p w14:paraId="65B1B463" w14:textId="77777777" w:rsidR="00577D08" w:rsidRDefault="00577D08">
            <w:pPr>
              <w:jc w:val="right"/>
            </w:pPr>
          </w:p>
        </w:tc>
        <w:tc>
          <w:tcPr>
            <w:tcW w:w="556" w:type="pct"/>
            <w:vAlign w:val="center"/>
          </w:tcPr>
          <w:p w14:paraId="6D623632" w14:textId="77777777" w:rsidR="00577D08" w:rsidRDefault="00577D08">
            <w:pPr>
              <w:jc w:val="right"/>
            </w:pPr>
          </w:p>
        </w:tc>
        <w:tc>
          <w:tcPr>
            <w:tcW w:w="556" w:type="pct"/>
            <w:vAlign w:val="center"/>
          </w:tcPr>
          <w:p w14:paraId="6BC5FC25" w14:textId="77777777" w:rsidR="00577D08" w:rsidRDefault="00577D08">
            <w:pPr>
              <w:jc w:val="right"/>
            </w:pPr>
          </w:p>
        </w:tc>
        <w:tc>
          <w:tcPr>
            <w:tcW w:w="556" w:type="pct"/>
            <w:vAlign w:val="center"/>
          </w:tcPr>
          <w:p w14:paraId="25670B82" w14:textId="77777777" w:rsidR="00577D08" w:rsidRDefault="00577D08">
            <w:pPr>
              <w:jc w:val="right"/>
            </w:pPr>
          </w:p>
        </w:tc>
        <w:tc>
          <w:tcPr>
            <w:tcW w:w="556" w:type="pct"/>
            <w:vAlign w:val="center"/>
          </w:tcPr>
          <w:p w14:paraId="7D313BA3" w14:textId="77777777" w:rsidR="00577D08" w:rsidRDefault="00577D08">
            <w:pPr>
              <w:jc w:val="right"/>
            </w:pPr>
          </w:p>
        </w:tc>
        <w:tc>
          <w:tcPr>
            <w:tcW w:w="556" w:type="pct"/>
            <w:vAlign w:val="center"/>
          </w:tcPr>
          <w:p w14:paraId="64C9CC02" w14:textId="77777777" w:rsidR="00577D08" w:rsidRDefault="00577D08">
            <w:pPr>
              <w:jc w:val="right"/>
            </w:pPr>
          </w:p>
        </w:tc>
        <w:tc>
          <w:tcPr>
            <w:tcW w:w="557" w:type="pct"/>
            <w:vAlign w:val="center"/>
          </w:tcPr>
          <w:p w14:paraId="2CA442DE" w14:textId="77777777" w:rsidR="00577D08" w:rsidRDefault="00577D08">
            <w:pPr>
              <w:jc w:val="right"/>
            </w:pPr>
          </w:p>
        </w:tc>
        <w:tc>
          <w:tcPr>
            <w:tcW w:w="551" w:type="pct"/>
            <w:vAlign w:val="center"/>
          </w:tcPr>
          <w:p w14:paraId="34A605D5" w14:textId="77777777" w:rsidR="00577D08" w:rsidRDefault="00577D08">
            <w:pPr>
              <w:jc w:val="right"/>
            </w:pPr>
          </w:p>
        </w:tc>
      </w:tr>
      <w:tr w:rsidR="00577D08" w14:paraId="0556FCE1" w14:textId="77777777">
        <w:tc>
          <w:tcPr>
            <w:tcW w:w="556" w:type="pct"/>
            <w:vAlign w:val="center"/>
          </w:tcPr>
          <w:p w14:paraId="4018113E" w14:textId="77777777" w:rsidR="00577D08" w:rsidRDefault="00330FC0">
            <w:pPr>
              <w:ind w:firstLineChars="100" w:firstLine="210"/>
            </w:pPr>
            <w:r>
              <w:rPr>
                <w:rFonts w:hint="eastAsia"/>
              </w:rPr>
              <w:t>金融资产重分类计入其他综合收益的金额</w:t>
            </w:r>
          </w:p>
        </w:tc>
        <w:tc>
          <w:tcPr>
            <w:tcW w:w="556" w:type="pct"/>
            <w:vAlign w:val="center"/>
          </w:tcPr>
          <w:p w14:paraId="765A5B8D" w14:textId="77777777" w:rsidR="00577D08" w:rsidRDefault="00577D08">
            <w:pPr>
              <w:jc w:val="right"/>
            </w:pPr>
          </w:p>
        </w:tc>
        <w:tc>
          <w:tcPr>
            <w:tcW w:w="556" w:type="pct"/>
            <w:vAlign w:val="center"/>
          </w:tcPr>
          <w:p w14:paraId="03771CDF" w14:textId="77777777" w:rsidR="00577D08" w:rsidRDefault="00577D08">
            <w:pPr>
              <w:jc w:val="right"/>
            </w:pPr>
          </w:p>
        </w:tc>
        <w:tc>
          <w:tcPr>
            <w:tcW w:w="556" w:type="pct"/>
            <w:vAlign w:val="center"/>
          </w:tcPr>
          <w:p w14:paraId="0B9B592D" w14:textId="77777777" w:rsidR="00577D08" w:rsidRDefault="00577D08">
            <w:pPr>
              <w:jc w:val="right"/>
            </w:pPr>
          </w:p>
        </w:tc>
        <w:tc>
          <w:tcPr>
            <w:tcW w:w="556" w:type="pct"/>
            <w:vAlign w:val="center"/>
          </w:tcPr>
          <w:p w14:paraId="61B8D5BB" w14:textId="77777777" w:rsidR="00577D08" w:rsidRDefault="00577D08">
            <w:pPr>
              <w:jc w:val="right"/>
            </w:pPr>
          </w:p>
        </w:tc>
        <w:tc>
          <w:tcPr>
            <w:tcW w:w="556" w:type="pct"/>
            <w:vAlign w:val="center"/>
          </w:tcPr>
          <w:p w14:paraId="0AEC6498" w14:textId="77777777" w:rsidR="00577D08" w:rsidRDefault="00577D08">
            <w:pPr>
              <w:jc w:val="right"/>
            </w:pPr>
          </w:p>
        </w:tc>
        <w:tc>
          <w:tcPr>
            <w:tcW w:w="556" w:type="pct"/>
            <w:vAlign w:val="center"/>
          </w:tcPr>
          <w:p w14:paraId="29DBBFC9" w14:textId="77777777" w:rsidR="00577D08" w:rsidRDefault="00577D08">
            <w:pPr>
              <w:jc w:val="right"/>
            </w:pPr>
          </w:p>
        </w:tc>
        <w:tc>
          <w:tcPr>
            <w:tcW w:w="557" w:type="pct"/>
            <w:vAlign w:val="center"/>
          </w:tcPr>
          <w:p w14:paraId="6E594E12" w14:textId="77777777" w:rsidR="00577D08" w:rsidRDefault="00577D08">
            <w:pPr>
              <w:jc w:val="right"/>
            </w:pPr>
          </w:p>
        </w:tc>
        <w:tc>
          <w:tcPr>
            <w:tcW w:w="551" w:type="pct"/>
            <w:vAlign w:val="center"/>
          </w:tcPr>
          <w:p w14:paraId="7314F063" w14:textId="77777777" w:rsidR="00577D08" w:rsidRDefault="00577D08">
            <w:pPr>
              <w:jc w:val="right"/>
            </w:pPr>
          </w:p>
        </w:tc>
      </w:tr>
      <w:tr w:rsidR="00577D08" w14:paraId="4BD3AD08" w14:textId="77777777">
        <w:tc>
          <w:tcPr>
            <w:tcW w:w="556" w:type="pct"/>
            <w:vAlign w:val="center"/>
          </w:tcPr>
          <w:p w14:paraId="75300167" w14:textId="77777777" w:rsidR="00577D08" w:rsidRDefault="00330FC0">
            <w:pPr>
              <w:ind w:firstLineChars="100" w:firstLine="210"/>
            </w:pPr>
            <w:r>
              <w:rPr>
                <w:rFonts w:hint="eastAsia"/>
              </w:rPr>
              <w:t>其他债权投资信用减值准备</w:t>
            </w:r>
          </w:p>
        </w:tc>
        <w:tc>
          <w:tcPr>
            <w:tcW w:w="556" w:type="pct"/>
            <w:vAlign w:val="center"/>
          </w:tcPr>
          <w:p w14:paraId="4DB2B910" w14:textId="77777777" w:rsidR="00577D08" w:rsidRDefault="00577D08">
            <w:pPr>
              <w:jc w:val="right"/>
            </w:pPr>
          </w:p>
        </w:tc>
        <w:tc>
          <w:tcPr>
            <w:tcW w:w="556" w:type="pct"/>
            <w:vAlign w:val="center"/>
          </w:tcPr>
          <w:p w14:paraId="5C728356" w14:textId="77777777" w:rsidR="00577D08" w:rsidRDefault="00577D08">
            <w:pPr>
              <w:jc w:val="right"/>
            </w:pPr>
          </w:p>
        </w:tc>
        <w:tc>
          <w:tcPr>
            <w:tcW w:w="556" w:type="pct"/>
            <w:vAlign w:val="center"/>
          </w:tcPr>
          <w:p w14:paraId="302562FE" w14:textId="77777777" w:rsidR="00577D08" w:rsidRDefault="00577D08">
            <w:pPr>
              <w:jc w:val="right"/>
            </w:pPr>
          </w:p>
        </w:tc>
        <w:tc>
          <w:tcPr>
            <w:tcW w:w="556" w:type="pct"/>
            <w:vAlign w:val="center"/>
          </w:tcPr>
          <w:p w14:paraId="25538191" w14:textId="77777777" w:rsidR="00577D08" w:rsidRDefault="00577D08">
            <w:pPr>
              <w:jc w:val="right"/>
            </w:pPr>
          </w:p>
        </w:tc>
        <w:tc>
          <w:tcPr>
            <w:tcW w:w="556" w:type="pct"/>
            <w:vAlign w:val="center"/>
          </w:tcPr>
          <w:p w14:paraId="0F9E629B" w14:textId="77777777" w:rsidR="00577D08" w:rsidRDefault="00577D08">
            <w:pPr>
              <w:jc w:val="right"/>
            </w:pPr>
          </w:p>
        </w:tc>
        <w:tc>
          <w:tcPr>
            <w:tcW w:w="556" w:type="pct"/>
            <w:vAlign w:val="center"/>
          </w:tcPr>
          <w:p w14:paraId="4A39A05C" w14:textId="77777777" w:rsidR="00577D08" w:rsidRDefault="00577D08">
            <w:pPr>
              <w:jc w:val="right"/>
            </w:pPr>
          </w:p>
        </w:tc>
        <w:tc>
          <w:tcPr>
            <w:tcW w:w="557" w:type="pct"/>
            <w:vAlign w:val="center"/>
          </w:tcPr>
          <w:p w14:paraId="1FC9D146" w14:textId="77777777" w:rsidR="00577D08" w:rsidRDefault="00577D08">
            <w:pPr>
              <w:jc w:val="right"/>
            </w:pPr>
          </w:p>
        </w:tc>
        <w:tc>
          <w:tcPr>
            <w:tcW w:w="551" w:type="pct"/>
            <w:vAlign w:val="center"/>
          </w:tcPr>
          <w:p w14:paraId="1C6E3AD5" w14:textId="77777777" w:rsidR="00577D08" w:rsidRDefault="00577D08">
            <w:pPr>
              <w:jc w:val="right"/>
            </w:pPr>
          </w:p>
        </w:tc>
      </w:tr>
      <w:tr w:rsidR="00577D08" w14:paraId="223B9A60" w14:textId="77777777">
        <w:tc>
          <w:tcPr>
            <w:tcW w:w="556" w:type="pct"/>
            <w:vAlign w:val="center"/>
          </w:tcPr>
          <w:p w14:paraId="12A1F9D4" w14:textId="77777777" w:rsidR="00577D08" w:rsidRDefault="00330FC0">
            <w:pPr>
              <w:ind w:firstLineChars="100" w:firstLine="210"/>
            </w:pPr>
            <w:r>
              <w:rPr>
                <w:rFonts w:hint="eastAsia"/>
              </w:rPr>
              <w:t>现金流量套期储备</w:t>
            </w:r>
          </w:p>
        </w:tc>
        <w:tc>
          <w:tcPr>
            <w:tcW w:w="556" w:type="pct"/>
            <w:vAlign w:val="center"/>
          </w:tcPr>
          <w:p w14:paraId="6AF9FF66" w14:textId="77777777" w:rsidR="00577D08" w:rsidRDefault="00577D08">
            <w:pPr>
              <w:jc w:val="right"/>
            </w:pPr>
          </w:p>
        </w:tc>
        <w:tc>
          <w:tcPr>
            <w:tcW w:w="556" w:type="pct"/>
            <w:vAlign w:val="center"/>
          </w:tcPr>
          <w:p w14:paraId="13C7CD8A" w14:textId="77777777" w:rsidR="00577D08" w:rsidRDefault="00577D08">
            <w:pPr>
              <w:jc w:val="right"/>
            </w:pPr>
          </w:p>
        </w:tc>
        <w:tc>
          <w:tcPr>
            <w:tcW w:w="556" w:type="pct"/>
            <w:vAlign w:val="center"/>
          </w:tcPr>
          <w:p w14:paraId="7324E6BE" w14:textId="77777777" w:rsidR="00577D08" w:rsidRDefault="00577D08">
            <w:pPr>
              <w:jc w:val="right"/>
            </w:pPr>
          </w:p>
        </w:tc>
        <w:tc>
          <w:tcPr>
            <w:tcW w:w="556" w:type="pct"/>
            <w:vAlign w:val="center"/>
          </w:tcPr>
          <w:p w14:paraId="69B50F64" w14:textId="77777777" w:rsidR="00577D08" w:rsidRDefault="00577D08">
            <w:pPr>
              <w:jc w:val="right"/>
            </w:pPr>
          </w:p>
        </w:tc>
        <w:tc>
          <w:tcPr>
            <w:tcW w:w="556" w:type="pct"/>
            <w:vAlign w:val="center"/>
          </w:tcPr>
          <w:p w14:paraId="621C5FA5" w14:textId="77777777" w:rsidR="00577D08" w:rsidRDefault="00577D08">
            <w:pPr>
              <w:jc w:val="right"/>
            </w:pPr>
          </w:p>
        </w:tc>
        <w:tc>
          <w:tcPr>
            <w:tcW w:w="556" w:type="pct"/>
            <w:vAlign w:val="center"/>
          </w:tcPr>
          <w:p w14:paraId="758E217E" w14:textId="77777777" w:rsidR="00577D08" w:rsidRDefault="00577D08">
            <w:pPr>
              <w:jc w:val="right"/>
            </w:pPr>
          </w:p>
        </w:tc>
        <w:tc>
          <w:tcPr>
            <w:tcW w:w="557" w:type="pct"/>
            <w:vAlign w:val="center"/>
          </w:tcPr>
          <w:p w14:paraId="68A7D5D5" w14:textId="77777777" w:rsidR="00577D08" w:rsidRDefault="00577D08">
            <w:pPr>
              <w:jc w:val="right"/>
            </w:pPr>
          </w:p>
        </w:tc>
        <w:tc>
          <w:tcPr>
            <w:tcW w:w="551" w:type="pct"/>
            <w:vAlign w:val="center"/>
          </w:tcPr>
          <w:p w14:paraId="09C33E59" w14:textId="77777777" w:rsidR="00577D08" w:rsidRDefault="00577D08">
            <w:pPr>
              <w:jc w:val="right"/>
            </w:pPr>
          </w:p>
        </w:tc>
      </w:tr>
      <w:tr w:rsidR="00577D08" w14:paraId="6DB5B0EA" w14:textId="77777777">
        <w:tc>
          <w:tcPr>
            <w:tcW w:w="556" w:type="pct"/>
            <w:vAlign w:val="center"/>
          </w:tcPr>
          <w:p w14:paraId="639E17A2" w14:textId="77777777" w:rsidR="00577D08" w:rsidRDefault="00330FC0">
            <w:pPr>
              <w:ind w:firstLineChars="100" w:firstLine="210"/>
            </w:pPr>
            <w:r>
              <w:rPr>
                <w:rFonts w:hint="eastAsia"/>
              </w:rPr>
              <w:t>外币财务报表折算差额</w:t>
            </w:r>
          </w:p>
        </w:tc>
        <w:tc>
          <w:tcPr>
            <w:tcW w:w="556" w:type="pct"/>
            <w:vAlign w:val="center"/>
          </w:tcPr>
          <w:p w14:paraId="42FD9BFC" w14:textId="77777777" w:rsidR="00577D08" w:rsidRDefault="00577D08">
            <w:pPr>
              <w:jc w:val="right"/>
            </w:pPr>
          </w:p>
        </w:tc>
        <w:tc>
          <w:tcPr>
            <w:tcW w:w="556" w:type="pct"/>
            <w:vAlign w:val="center"/>
          </w:tcPr>
          <w:p w14:paraId="1655EF3C" w14:textId="77777777" w:rsidR="00577D08" w:rsidRDefault="00577D08">
            <w:pPr>
              <w:jc w:val="right"/>
            </w:pPr>
          </w:p>
        </w:tc>
        <w:tc>
          <w:tcPr>
            <w:tcW w:w="556" w:type="pct"/>
            <w:vAlign w:val="center"/>
          </w:tcPr>
          <w:p w14:paraId="79C79EB8" w14:textId="77777777" w:rsidR="00577D08" w:rsidRDefault="00577D08">
            <w:pPr>
              <w:jc w:val="right"/>
            </w:pPr>
          </w:p>
        </w:tc>
        <w:tc>
          <w:tcPr>
            <w:tcW w:w="556" w:type="pct"/>
            <w:vAlign w:val="center"/>
          </w:tcPr>
          <w:p w14:paraId="7A20F572" w14:textId="77777777" w:rsidR="00577D08" w:rsidRDefault="00577D08">
            <w:pPr>
              <w:jc w:val="right"/>
            </w:pPr>
          </w:p>
        </w:tc>
        <w:tc>
          <w:tcPr>
            <w:tcW w:w="556" w:type="pct"/>
            <w:vAlign w:val="center"/>
          </w:tcPr>
          <w:p w14:paraId="5D751950" w14:textId="77777777" w:rsidR="00577D08" w:rsidRDefault="00577D08">
            <w:pPr>
              <w:jc w:val="right"/>
            </w:pPr>
          </w:p>
        </w:tc>
        <w:tc>
          <w:tcPr>
            <w:tcW w:w="556" w:type="pct"/>
            <w:vAlign w:val="center"/>
          </w:tcPr>
          <w:p w14:paraId="7058F87D" w14:textId="77777777" w:rsidR="00577D08" w:rsidRDefault="00577D08">
            <w:pPr>
              <w:jc w:val="right"/>
            </w:pPr>
          </w:p>
        </w:tc>
        <w:tc>
          <w:tcPr>
            <w:tcW w:w="557" w:type="pct"/>
            <w:vAlign w:val="center"/>
          </w:tcPr>
          <w:p w14:paraId="2041B8DE" w14:textId="77777777" w:rsidR="00577D08" w:rsidRDefault="00577D08">
            <w:pPr>
              <w:jc w:val="right"/>
            </w:pPr>
          </w:p>
        </w:tc>
        <w:tc>
          <w:tcPr>
            <w:tcW w:w="551" w:type="pct"/>
            <w:vAlign w:val="center"/>
          </w:tcPr>
          <w:p w14:paraId="145DCE07" w14:textId="77777777" w:rsidR="00577D08" w:rsidRDefault="00577D08">
            <w:pPr>
              <w:jc w:val="right"/>
            </w:pPr>
          </w:p>
        </w:tc>
      </w:tr>
      <w:tr w:rsidR="00577D08" w14:paraId="30CA001C" w14:textId="77777777">
        <w:tc>
          <w:tcPr>
            <w:tcW w:w="556" w:type="pct"/>
            <w:vAlign w:val="center"/>
          </w:tcPr>
          <w:p w14:paraId="6E51010F" w14:textId="77777777" w:rsidR="00577D08" w:rsidRDefault="00330FC0">
            <w:r>
              <w:rPr>
                <w:rFonts w:hint="eastAsia"/>
              </w:rPr>
              <w:t>其他综合收益合计</w:t>
            </w:r>
          </w:p>
        </w:tc>
        <w:tc>
          <w:tcPr>
            <w:tcW w:w="556" w:type="pct"/>
            <w:vAlign w:val="center"/>
          </w:tcPr>
          <w:p w14:paraId="34A286A0" w14:textId="77777777" w:rsidR="00577D08" w:rsidRDefault="00330FC0">
            <w:pPr>
              <w:jc w:val="right"/>
            </w:pPr>
            <w:r>
              <w:t>2,027,597.71</w:t>
            </w:r>
          </w:p>
        </w:tc>
        <w:tc>
          <w:tcPr>
            <w:tcW w:w="556" w:type="pct"/>
            <w:vAlign w:val="center"/>
          </w:tcPr>
          <w:p w14:paraId="5A136A6F" w14:textId="77777777" w:rsidR="00577D08" w:rsidRDefault="00330FC0">
            <w:pPr>
              <w:jc w:val="right"/>
            </w:pPr>
            <w:r>
              <w:t>-1,084,683.60</w:t>
            </w:r>
          </w:p>
        </w:tc>
        <w:tc>
          <w:tcPr>
            <w:tcW w:w="556" w:type="pct"/>
            <w:vAlign w:val="center"/>
          </w:tcPr>
          <w:p w14:paraId="35E71B03" w14:textId="77777777" w:rsidR="00577D08" w:rsidRDefault="00577D08">
            <w:pPr>
              <w:jc w:val="right"/>
            </w:pPr>
          </w:p>
        </w:tc>
        <w:tc>
          <w:tcPr>
            <w:tcW w:w="556" w:type="pct"/>
            <w:vAlign w:val="center"/>
          </w:tcPr>
          <w:p w14:paraId="7E041123" w14:textId="77777777" w:rsidR="00577D08" w:rsidRDefault="00577D08">
            <w:pPr>
              <w:jc w:val="right"/>
            </w:pPr>
          </w:p>
        </w:tc>
        <w:tc>
          <w:tcPr>
            <w:tcW w:w="556" w:type="pct"/>
            <w:vAlign w:val="center"/>
          </w:tcPr>
          <w:p w14:paraId="7D125DC1" w14:textId="77777777" w:rsidR="00577D08" w:rsidRDefault="00330FC0">
            <w:pPr>
              <w:jc w:val="right"/>
            </w:pPr>
            <w:r>
              <w:t>-162,702.54</w:t>
            </w:r>
          </w:p>
        </w:tc>
        <w:tc>
          <w:tcPr>
            <w:tcW w:w="556" w:type="pct"/>
            <w:vAlign w:val="center"/>
          </w:tcPr>
          <w:p w14:paraId="44A3A0A3" w14:textId="77777777" w:rsidR="00577D08" w:rsidRDefault="00330FC0">
            <w:pPr>
              <w:jc w:val="right"/>
            </w:pPr>
            <w:r>
              <w:t>-1,003,663.26</w:t>
            </w:r>
          </w:p>
        </w:tc>
        <w:tc>
          <w:tcPr>
            <w:tcW w:w="557" w:type="pct"/>
            <w:vAlign w:val="center"/>
          </w:tcPr>
          <w:p w14:paraId="545659DE" w14:textId="77777777" w:rsidR="00577D08" w:rsidRDefault="00330FC0">
            <w:pPr>
              <w:jc w:val="right"/>
            </w:pPr>
            <w:r>
              <w:t>81,682.20</w:t>
            </w:r>
          </w:p>
        </w:tc>
        <w:tc>
          <w:tcPr>
            <w:tcW w:w="551" w:type="pct"/>
            <w:vAlign w:val="center"/>
          </w:tcPr>
          <w:p w14:paraId="0FC26C86" w14:textId="77777777" w:rsidR="00577D08" w:rsidRDefault="00330FC0">
            <w:pPr>
              <w:jc w:val="right"/>
            </w:pPr>
            <w:r>
              <w:t>1,023,934.45</w:t>
            </w:r>
          </w:p>
        </w:tc>
      </w:tr>
    </w:tbl>
    <w:p w14:paraId="50730B30" w14:textId="77777777" w:rsidR="00577D08" w:rsidRDefault="00330FC0">
      <w:pPr>
        <w:spacing w:before="60" w:after="60"/>
        <w:rPr>
          <w:b/>
        </w:rPr>
      </w:pPr>
      <w:r>
        <w:rPr>
          <w:rFonts w:hint="eastAsia"/>
        </w:rPr>
        <w:t>其他说明，包括对现金流量套期损益的有效部分转为被套期项目初始确认金额调整：</w:t>
      </w:r>
    </w:p>
    <w:sdt>
      <w:sdtPr>
        <w:rPr>
          <w:rFonts w:hint="eastAsia"/>
        </w:rPr>
        <w:alias w:val="综合收益情况"/>
        <w:tag w:val="_GBC_5d84d969b6cc4ff285c66258c1721a98"/>
        <w:id w:val="-1512841097"/>
        <w:placeholder>
          <w:docPart w:val="GBC22222222222222222222222222222"/>
        </w:placeholder>
      </w:sdtPr>
      <w:sdtContent>
        <w:p w14:paraId="6881022F" w14:textId="77777777" w:rsidR="00577D08" w:rsidRDefault="00330FC0">
          <w:r>
            <w:rPr>
              <w:rFonts w:hint="eastAsia"/>
            </w:rPr>
            <w:t>无</w:t>
          </w:r>
        </w:p>
      </w:sdtContent>
    </w:sdt>
    <w:p w14:paraId="383DA56F" w14:textId="77777777" w:rsidR="00577D08" w:rsidRDefault="00577D08"/>
    <w:p w14:paraId="30005D6E" w14:textId="77777777" w:rsidR="00577D08" w:rsidRDefault="00577D08">
      <w:pPr>
        <w:sectPr w:rsidR="00577D08">
          <w:pgSz w:w="16838" w:h="11906" w:orient="landscape"/>
          <w:pgMar w:top="1276" w:right="1440" w:bottom="1797" w:left="1525" w:header="856" w:footer="992" w:gutter="0"/>
          <w:cols w:space="425"/>
          <w:docGrid w:linePitch="312"/>
        </w:sectPr>
      </w:pPr>
    </w:p>
    <w:bookmarkEnd w:id="452"/>
    <w:p w14:paraId="190D1117"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lastRenderedPageBreak/>
        <w:t>专项储备</w:t>
      </w:r>
    </w:p>
    <w:sdt>
      <w:sdtPr>
        <w:alias w:val="是否适用：专项储备[双击切换]"/>
        <w:tag w:val="_GBC_0e2f337ccf9a4bc6919cf02a896e57c1"/>
        <w:id w:val="-1341381763"/>
        <w:placeholder>
          <w:docPart w:val="GBC22222222222222222222222222222"/>
        </w:placeholder>
      </w:sdtPr>
      <w:sdtContent>
        <w:p w14:paraId="255567D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87C62D7" w14:textId="7E833D7D" w:rsidR="00577D08" w:rsidRDefault="00330FC0">
      <w:pPr>
        <w:pStyle w:val="aff9"/>
        <w:ind w:firstLineChars="0" w:firstLine="0"/>
        <w:jc w:val="right"/>
        <w:rPr>
          <w:rFonts w:ascii="宋体" w:hAnsi="宋体" w:hint="eastAsia"/>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96180296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r w:rsidR="00CC5C32">
            <w:rPr>
              <w:rFonts w:ascii="宋体" w:hAnsi="宋体" w:hint="eastAsia"/>
              <w:szCs w:val="21"/>
            </w:rPr>
            <w:t xml:space="preserve"> </w:t>
          </w:r>
        </w:sdtContent>
      </w:sdt>
      <w:r>
        <w:rPr>
          <w:rFonts w:ascii="宋体" w:hAnsi="宋体" w:hint="eastAsia"/>
          <w:szCs w:val="21"/>
        </w:rPr>
        <w:t>币种：</w:t>
      </w:r>
      <w:sdt>
        <w:sdtPr>
          <w:rPr>
            <w:rFonts w:ascii="宋体" w:hAnsi="宋体" w:hint="eastAsia"/>
            <w:szCs w:val="21"/>
          </w:rPr>
          <w:alias w:val="币种：财务附注：专项储备"/>
          <w:tag w:val="_GBC_0d38a2dae28a4705ad4e665e5fcad88c"/>
          <w:id w:val="19509662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12"/>
        <w:gridCol w:w="1822"/>
        <w:gridCol w:w="1822"/>
        <w:gridCol w:w="1864"/>
        <w:gridCol w:w="1837"/>
      </w:tblGrid>
      <w:tr w:rsidR="00577D08" w14:paraId="5F2A9616" w14:textId="77777777">
        <w:sdt>
          <w:sdtPr>
            <w:tag w:val="_PLD_1b8418d949a749fe8d001c0cc33cf61e"/>
            <w:id w:val="1007018197"/>
          </w:sdtPr>
          <w:sdtContent>
            <w:tc>
              <w:tcPr>
                <w:tcW w:w="1712" w:type="dxa"/>
                <w:vAlign w:val="center"/>
              </w:tcPr>
              <w:p w14:paraId="36E8A880" w14:textId="77777777" w:rsidR="00577D08" w:rsidRDefault="00330FC0">
                <w:pPr>
                  <w:jc w:val="center"/>
                </w:pPr>
                <w:r>
                  <w:rPr>
                    <w:rFonts w:hint="eastAsia"/>
                  </w:rPr>
                  <w:t>项目</w:t>
                </w:r>
              </w:p>
            </w:tc>
          </w:sdtContent>
        </w:sdt>
        <w:sdt>
          <w:sdtPr>
            <w:tag w:val="_PLD_080ff0821e57448ea6f6c5e836583c19"/>
            <w:id w:val="-937750250"/>
          </w:sdtPr>
          <w:sdtContent>
            <w:tc>
              <w:tcPr>
                <w:tcW w:w="1822" w:type="dxa"/>
                <w:vAlign w:val="center"/>
              </w:tcPr>
              <w:p w14:paraId="1694FA8A" w14:textId="77777777" w:rsidR="00577D08" w:rsidRDefault="00330FC0">
                <w:pPr>
                  <w:jc w:val="center"/>
                </w:pPr>
                <w:r>
                  <w:rPr>
                    <w:rFonts w:hint="eastAsia"/>
                  </w:rPr>
                  <w:t>期初余额</w:t>
                </w:r>
              </w:p>
            </w:tc>
          </w:sdtContent>
        </w:sdt>
        <w:sdt>
          <w:sdtPr>
            <w:tag w:val="_PLD_99281caa76a54a77b09eef392dfa3e36"/>
            <w:id w:val="-1217196747"/>
          </w:sdtPr>
          <w:sdtContent>
            <w:tc>
              <w:tcPr>
                <w:tcW w:w="1822" w:type="dxa"/>
                <w:vAlign w:val="center"/>
              </w:tcPr>
              <w:p w14:paraId="6C5C30E9" w14:textId="77777777" w:rsidR="00577D08" w:rsidRDefault="00330FC0">
                <w:pPr>
                  <w:jc w:val="center"/>
                </w:pPr>
                <w:r>
                  <w:rPr>
                    <w:rFonts w:hint="eastAsia"/>
                  </w:rPr>
                  <w:t>本期增加</w:t>
                </w:r>
              </w:p>
            </w:tc>
          </w:sdtContent>
        </w:sdt>
        <w:sdt>
          <w:sdtPr>
            <w:tag w:val="_PLD_c1f0c2bb01df4af28d10ddd8f2af79a9"/>
            <w:id w:val="-455417141"/>
          </w:sdtPr>
          <w:sdtContent>
            <w:tc>
              <w:tcPr>
                <w:tcW w:w="1864" w:type="dxa"/>
                <w:vAlign w:val="center"/>
              </w:tcPr>
              <w:p w14:paraId="27CD3E00" w14:textId="77777777" w:rsidR="00577D08" w:rsidRDefault="00330FC0">
                <w:pPr>
                  <w:jc w:val="center"/>
                </w:pPr>
                <w:r>
                  <w:rPr>
                    <w:rFonts w:hint="eastAsia"/>
                  </w:rPr>
                  <w:t>本期减少</w:t>
                </w:r>
              </w:p>
            </w:tc>
          </w:sdtContent>
        </w:sdt>
        <w:sdt>
          <w:sdtPr>
            <w:tag w:val="_PLD_c07fab254eb14bc88273a7ed58442223"/>
            <w:id w:val="-301546446"/>
          </w:sdtPr>
          <w:sdtContent>
            <w:tc>
              <w:tcPr>
                <w:tcW w:w="1837" w:type="dxa"/>
                <w:vAlign w:val="center"/>
              </w:tcPr>
              <w:p w14:paraId="07D05A73" w14:textId="77777777" w:rsidR="00577D08" w:rsidRDefault="00330FC0">
                <w:pPr>
                  <w:jc w:val="center"/>
                </w:pPr>
                <w:r>
                  <w:rPr>
                    <w:rFonts w:hint="eastAsia"/>
                  </w:rPr>
                  <w:t>期末余额</w:t>
                </w:r>
              </w:p>
            </w:tc>
          </w:sdtContent>
        </w:sdt>
      </w:tr>
      <w:tr w:rsidR="00577D08" w14:paraId="77F92A9E" w14:textId="77777777">
        <w:tc>
          <w:tcPr>
            <w:tcW w:w="1712" w:type="dxa"/>
            <w:vAlign w:val="center"/>
          </w:tcPr>
          <w:p w14:paraId="7FCCBF8D" w14:textId="77777777" w:rsidR="00577D08" w:rsidRDefault="00330FC0">
            <w:r>
              <w:rPr>
                <w:rFonts w:hint="eastAsia"/>
              </w:rPr>
              <w:t>安全生产费</w:t>
            </w:r>
          </w:p>
        </w:tc>
        <w:tc>
          <w:tcPr>
            <w:tcW w:w="1822" w:type="dxa"/>
          </w:tcPr>
          <w:p w14:paraId="6CDD8433" w14:textId="77777777" w:rsidR="00577D08" w:rsidRDefault="00330FC0">
            <w:pPr>
              <w:jc w:val="right"/>
            </w:pPr>
            <w:r>
              <w:t>22,440,561.28</w:t>
            </w:r>
          </w:p>
        </w:tc>
        <w:tc>
          <w:tcPr>
            <w:tcW w:w="1822" w:type="dxa"/>
          </w:tcPr>
          <w:p w14:paraId="09257BA9" w14:textId="77777777" w:rsidR="00577D08" w:rsidRDefault="00330FC0">
            <w:pPr>
              <w:jc w:val="right"/>
            </w:pPr>
            <w:r>
              <w:t>16,235,252.26</w:t>
            </w:r>
          </w:p>
        </w:tc>
        <w:tc>
          <w:tcPr>
            <w:tcW w:w="1864" w:type="dxa"/>
          </w:tcPr>
          <w:p w14:paraId="7E05C1DB" w14:textId="77777777" w:rsidR="00577D08" w:rsidRDefault="00330FC0">
            <w:pPr>
              <w:jc w:val="right"/>
            </w:pPr>
            <w:r>
              <w:t>15,960,291.86</w:t>
            </w:r>
          </w:p>
        </w:tc>
        <w:tc>
          <w:tcPr>
            <w:tcW w:w="1837" w:type="dxa"/>
          </w:tcPr>
          <w:p w14:paraId="3DEAE8FE" w14:textId="77777777" w:rsidR="00577D08" w:rsidRDefault="00330FC0">
            <w:pPr>
              <w:jc w:val="right"/>
            </w:pPr>
            <w:r>
              <w:t>22,715,521.68</w:t>
            </w:r>
          </w:p>
        </w:tc>
      </w:tr>
      <w:tr w:rsidR="00577D08" w14:paraId="7A181C5E" w14:textId="77777777">
        <w:tc>
          <w:tcPr>
            <w:tcW w:w="1712" w:type="dxa"/>
            <w:vAlign w:val="center"/>
          </w:tcPr>
          <w:p w14:paraId="2CE4E124" w14:textId="77777777" w:rsidR="00577D08" w:rsidRDefault="00330FC0">
            <w:pPr>
              <w:jc w:val="center"/>
            </w:pPr>
            <w:r>
              <w:rPr>
                <w:rFonts w:hint="eastAsia"/>
              </w:rPr>
              <w:t>合计</w:t>
            </w:r>
          </w:p>
        </w:tc>
        <w:tc>
          <w:tcPr>
            <w:tcW w:w="1822" w:type="dxa"/>
          </w:tcPr>
          <w:p w14:paraId="639DF1BA" w14:textId="77777777" w:rsidR="00577D08" w:rsidRDefault="00330FC0">
            <w:pPr>
              <w:jc w:val="right"/>
            </w:pPr>
            <w:r>
              <w:t>22,440,561.28</w:t>
            </w:r>
          </w:p>
        </w:tc>
        <w:tc>
          <w:tcPr>
            <w:tcW w:w="1822" w:type="dxa"/>
          </w:tcPr>
          <w:p w14:paraId="3D4F49A2" w14:textId="77777777" w:rsidR="00577D08" w:rsidRDefault="00330FC0">
            <w:pPr>
              <w:jc w:val="right"/>
            </w:pPr>
            <w:r>
              <w:t>16,235,252.26</w:t>
            </w:r>
          </w:p>
        </w:tc>
        <w:tc>
          <w:tcPr>
            <w:tcW w:w="1864" w:type="dxa"/>
          </w:tcPr>
          <w:p w14:paraId="25C89642" w14:textId="77777777" w:rsidR="00577D08" w:rsidRDefault="00330FC0">
            <w:pPr>
              <w:jc w:val="right"/>
            </w:pPr>
            <w:r>
              <w:t>15,960,291.86</w:t>
            </w:r>
          </w:p>
        </w:tc>
        <w:tc>
          <w:tcPr>
            <w:tcW w:w="1837" w:type="dxa"/>
          </w:tcPr>
          <w:p w14:paraId="1B39239E" w14:textId="77777777" w:rsidR="00577D08" w:rsidRDefault="00330FC0">
            <w:pPr>
              <w:jc w:val="right"/>
            </w:pPr>
            <w:r>
              <w:t>22,715,521.68</w:t>
            </w:r>
          </w:p>
        </w:tc>
      </w:tr>
    </w:tbl>
    <w:p w14:paraId="0A05364A" w14:textId="77777777" w:rsidR="00577D08" w:rsidRDefault="00330FC0">
      <w:r>
        <w:rPr>
          <w:rFonts w:hint="eastAsia"/>
        </w:rPr>
        <w:t>其他说明，包括本期增减变动情况、变动原因说明：</w:t>
      </w:r>
    </w:p>
    <w:p w14:paraId="05007D58" w14:textId="77777777" w:rsidR="00577D08" w:rsidRDefault="00000000">
      <w:pPr>
        <w:spacing w:line="360" w:lineRule="exact"/>
        <w:ind w:firstLineChars="200" w:firstLine="420"/>
      </w:pPr>
      <w:sdt>
        <w:sdtPr>
          <w:alias w:val="专项储备情况说明"/>
          <w:tag w:val="_GBC_a75c8c7cc1e44ab5a1585f4a9964199c"/>
          <w:id w:val="612642490"/>
          <w:placeholder>
            <w:docPart w:val="GBC22222222222222222222222222222"/>
          </w:placeholder>
        </w:sdtPr>
        <w:sdtContent>
          <w:r w:rsidR="00330FC0">
            <w:rPr>
              <w:rFonts w:hint="eastAsia"/>
            </w:rPr>
            <w:t>本公司安全生产费按照财政部、应急部</w:t>
          </w:r>
          <w:r w:rsidR="00330FC0">
            <w:rPr>
              <w:rFonts w:hint="eastAsia"/>
            </w:rPr>
            <w:t>2022</w:t>
          </w:r>
          <w:r w:rsidR="00330FC0">
            <w:rPr>
              <w:rFonts w:hint="eastAsia"/>
            </w:rPr>
            <w:t>年</w:t>
          </w:r>
          <w:r w:rsidR="00330FC0">
            <w:rPr>
              <w:rFonts w:hint="eastAsia"/>
            </w:rPr>
            <w:t>11</w:t>
          </w:r>
          <w:r w:rsidR="00330FC0">
            <w:rPr>
              <w:rFonts w:hint="eastAsia"/>
            </w:rPr>
            <w:t>月</w:t>
          </w:r>
          <w:r w:rsidR="00330FC0">
            <w:rPr>
              <w:rFonts w:hint="eastAsia"/>
            </w:rPr>
            <w:t>21</w:t>
          </w:r>
          <w:r w:rsidR="00330FC0">
            <w:rPr>
              <w:rFonts w:hint="eastAsia"/>
            </w:rPr>
            <w:t>日发布的《企业安全生产费用提取和使用管理办法》（财资〔</w:t>
          </w:r>
          <w:r w:rsidR="00330FC0">
            <w:rPr>
              <w:rFonts w:hint="eastAsia"/>
            </w:rPr>
            <w:t>2022</w:t>
          </w:r>
          <w:r w:rsidR="00330FC0">
            <w:rPr>
              <w:rFonts w:hint="eastAsia"/>
            </w:rPr>
            <w:t>〕</w:t>
          </w:r>
          <w:r w:rsidR="00330FC0">
            <w:rPr>
              <w:rFonts w:hint="eastAsia"/>
            </w:rPr>
            <w:t>136</w:t>
          </w:r>
          <w:r w:rsidR="00330FC0">
            <w:rPr>
              <w:rFonts w:hint="eastAsia"/>
            </w:rPr>
            <w:t>号）执行。</w:t>
          </w:r>
        </w:sdtContent>
      </w:sdt>
    </w:p>
    <w:p w14:paraId="7ED53EE1"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盈余公积</w:t>
      </w:r>
    </w:p>
    <w:sdt>
      <w:sdtPr>
        <w:alias w:val="是否适用：盈余公积[双击切换]"/>
        <w:tag w:val="_GBC_5a507b0ba3a44a2c828e4df049852353"/>
        <w:id w:val="-759524466"/>
        <w:placeholder>
          <w:docPart w:val="GBC22222222222222222222222222222"/>
        </w:placeholder>
      </w:sdtPr>
      <w:sdtContent>
        <w:p w14:paraId="55DA3A7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002DE3F" w14:textId="32098994" w:rsidR="00577D08" w:rsidRDefault="00330FC0">
      <w:pPr>
        <w:jc w:val="right"/>
      </w:pPr>
      <w:r>
        <w:rPr>
          <w:rFonts w:hint="eastAsia"/>
        </w:rPr>
        <w:t>单位：</w:t>
      </w:r>
      <w:sdt>
        <w:sdtPr>
          <w:rPr>
            <w:rFonts w:hint="eastAsia"/>
          </w:rPr>
          <w:alias w:val="单位：财务附注：盈余公积"/>
          <w:tag w:val="_GBC_8ca7c8f8d04e47ff92c33109bbf55576"/>
          <w:id w:val="3423558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盈余公积"/>
          <w:tag w:val="_GBC_24d833c69b8448ca876fbf8299519039"/>
          <w:id w:val="6450887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59"/>
        <w:gridCol w:w="1784"/>
        <w:gridCol w:w="1789"/>
        <w:gridCol w:w="1802"/>
        <w:gridCol w:w="1789"/>
      </w:tblGrid>
      <w:tr w:rsidR="00577D08" w14:paraId="51049F25" w14:textId="77777777">
        <w:sdt>
          <w:sdtPr>
            <w:tag w:val="_PLD_448cc13fae91499a9f41c6e4c1f51937"/>
            <w:id w:val="-591392984"/>
          </w:sdtPr>
          <w:sdtContent>
            <w:tc>
              <w:tcPr>
                <w:tcW w:w="940" w:type="pct"/>
                <w:vAlign w:val="center"/>
              </w:tcPr>
              <w:p w14:paraId="7914F4FE" w14:textId="77777777" w:rsidR="00577D08" w:rsidRDefault="00330FC0">
                <w:pPr>
                  <w:autoSpaceDE w:val="0"/>
                  <w:autoSpaceDN w:val="0"/>
                  <w:adjustRightInd w:val="0"/>
                  <w:snapToGrid w:val="0"/>
                  <w:jc w:val="center"/>
                </w:pPr>
                <w:r>
                  <w:rPr>
                    <w:rFonts w:hint="eastAsia"/>
                  </w:rPr>
                  <w:t>项目</w:t>
                </w:r>
              </w:p>
            </w:tc>
          </w:sdtContent>
        </w:sdt>
        <w:sdt>
          <w:sdtPr>
            <w:tag w:val="_PLD_112a59f6ca7b4b5f8ced860f9465eb1a"/>
            <w:id w:val="-842774119"/>
          </w:sdtPr>
          <w:sdtContent>
            <w:tc>
              <w:tcPr>
                <w:tcW w:w="1011" w:type="pct"/>
                <w:vAlign w:val="center"/>
              </w:tcPr>
              <w:p w14:paraId="3407B9DF" w14:textId="77777777" w:rsidR="00577D08" w:rsidRDefault="00330FC0">
                <w:pPr>
                  <w:autoSpaceDE w:val="0"/>
                  <w:autoSpaceDN w:val="0"/>
                  <w:adjustRightInd w:val="0"/>
                  <w:snapToGrid w:val="0"/>
                  <w:jc w:val="center"/>
                </w:pPr>
                <w:r>
                  <w:rPr>
                    <w:rFonts w:hint="eastAsia"/>
                  </w:rPr>
                  <w:t>期初余额</w:t>
                </w:r>
              </w:p>
            </w:tc>
          </w:sdtContent>
        </w:sdt>
        <w:sdt>
          <w:sdtPr>
            <w:tag w:val="_PLD_a2c4f4720dd7427b93c04e32666cfd69"/>
            <w:id w:val="-1212802462"/>
          </w:sdtPr>
          <w:sdtContent>
            <w:tc>
              <w:tcPr>
                <w:tcW w:w="1014" w:type="pct"/>
                <w:vAlign w:val="center"/>
              </w:tcPr>
              <w:p w14:paraId="277274C2" w14:textId="77777777" w:rsidR="00577D08" w:rsidRDefault="00330FC0">
                <w:pPr>
                  <w:autoSpaceDE w:val="0"/>
                  <w:autoSpaceDN w:val="0"/>
                  <w:adjustRightInd w:val="0"/>
                  <w:snapToGrid w:val="0"/>
                  <w:jc w:val="center"/>
                </w:pPr>
                <w:r>
                  <w:rPr>
                    <w:rFonts w:hint="eastAsia"/>
                  </w:rPr>
                  <w:t>本期增加</w:t>
                </w:r>
              </w:p>
            </w:tc>
          </w:sdtContent>
        </w:sdt>
        <w:sdt>
          <w:sdtPr>
            <w:tag w:val="_PLD_ad1876bb4d7c41eaa003da876ae9e601"/>
            <w:id w:val="1625658238"/>
          </w:sdtPr>
          <w:sdtContent>
            <w:tc>
              <w:tcPr>
                <w:tcW w:w="1021" w:type="pct"/>
                <w:vAlign w:val="center"/>
              </w:tcPr>
              <w:p w14:paraId="6CF5FAA9" w14:textId="77777777" w:rsidR="00577D08" w:rsidRDefault="00330FC0">
                <w:pPr>
                  <w:autoSpaceDE w:val="0"/>
                  <w:autoSpaceDN w:val="0"/>
                  <w:adjustRightInd w:val="0"/>
                  <w:snapToGrid w:val="0"/>
                  <w:jc w:val="center"/>
                </w:pPr>
                <w:r>
                  <w:rPr>
                    <w:rFonts w:hint="eastAsia"/>
                  </w:rPr>
                  <w:t>本期减少</w:t>
                </w:r>
              </w:p>
            </w:tc>
          </w:sdtContent>
        </w:sdt>
        <w:sdt>
          <w:sdtPr>
            <w:tag w:val="_PLD_45d6cc2a2d2140619579c3f035df8d6a"/>
            <w:id w:val="-1542044989"/>
          </w:sdtPr>
          <w:sdtContent>
            <w:tc>
              <w:tcPr>
                <w:tcW w:w="1014" w:type="pct"/>
                <w:vAlign w:val="center"/>
              </w:tcPr>
              <w:p w14:paraId="339E0A79" w14:textId="77777777" w:rsidR="00577D08" w:rsidRDefault="00330FC0">
                <w:pPr>
                  <w:autoSpaceDE w:val="0"/>
                  <w:autoSpaceDN w:val="0"/>
                  <w:adjustRightInd w:val="0"/>
                  <w:snapToGrid w:val="0"/>
                  <w:jc w:val="center"/>
                </w:pPr>
                <w:r>
                  <w:rPr>
                    <w:rFonts w:hint="eastAsia"/>
                  </w:rPr>
                  <w:t>期末余额</w:t>
                </w:r>
              </w:p>
            </w:tc>
          </w:sdtContent>
        </w:sdt>
      </w:tr>
      <w:tr w:rsidR="00577D08" w14:paraId="07EDB3F4" w14:textId="77777777">
        <w:tc>
          <w:tcPr>
            <w:tcW w:w="940" w:type="pct"/>
            <w:vAlign w:val="center"/>
          </w:tcPr>
          <w:p w14:paraId="395A2A74" w14:textId="77777777" w:rsidR="00577D08" w:rsidRDefault="00330FC0">
            <w:pPr>
              <w:autoSpaceDE w:val="0"/>
              <w:autoSpaceDN w:val="0"/>
              <w:adjustRightInd w:val="0"/>
              <w:snapToGrid w:val="0"/>
              <w:jc w:val="both"/>
            </w:pPr>
            <w:r>
              <w:rPr>
                <w:rFonts w:hint="eastAsia"/>
              </w:rPr>
              <w:t>法定盈余公积</w:t>
            </w:r>
          </w:p>
        </w:tc>
        <w:tc>
          <w:tcPr>
            <w:tcW w:w="1011" w:type="pct"/>
          </w:tcPr>
          <w:p w14:paraId="531B8014" w14:textId="77777777" w:rsidR="00577D08" w:rsidRDefault="00330FC0">
            <w:pPr>
              <w:autoSpaceDE w:val="0"/>
              <w:autoSpaceDN w:val="0"/>
              <w:adjustRightInd w:val="0"/>
              <w:snapToGrid w:val="0"/>
              <w:ind w:right="180"/>
              <w:jc w:val="right"/>
            </w:pPr>
            <w:r>
              <w:t>122,195,454.42</w:t>
            </w:r>
          </w:p>
        </w:tc>
        <w:tc>
          <w:tcPr>
            <w:tcW w:w="1014" w:type="pct"/>
          </w:tcPr>
          <w:p w14:paraId="610D543C" w14:textId="77777777" w:rsidR="00577D08" w:rsidRDefault="00330FC0">
            <w:pPr>
              <w:autoSpaceDE w:val="0"/>
              <w:autoSpaceDN w:val="0"/>
              <w:adjustRightInd w:val="0"/>
              <w:snapToGrid w:val="0"/>
              <w:ind w:right="180"/>
              <w:jc w:val="right"/>
            </w:pPr>
            <w:r>
              <w:t>4,851,665.71</w:t>
            </w:r>
          </w:p>
        </w:tc>
        <w:tc>
          <w:tcPr>
            <w:tcW w:w="1021" w:type="pct"/>
          </w:tcPr>
          <w:p w14:paraId="57655AE3" w14:textId="77777777" w:rsidR="00577D08" w:rsidRDefault="00577D08">
            <w:pPr>
              <w:autoSpaceDE w:val="0"/>
              <w:autoSpaceDN w:val="0"/>
              <w:adjustRightInd w:val="0"/>
              <w:snapToGrid w:val="0"/>
              <w:ind w:right="180"/>
              <w:jc w:val="right"/>
            </w:pPr>
          </w:p>
        </w:tc>
        <w:tc>
          <w:tcPr>
            <w:tcW w:w="1014" w:type="pct"/>
          </w:tcPr>
          <w:p w14:paraId="665C8F2E" w14:textId="77777777" w:rsidR="00577D08" w:rsidRDefault="00330FC0">
            <w:pPr>
              <w:autoSpaceDE w:val="0"/>
              <w:autoSpaceDN w:val="0"/>
              <w:adjustRightInd w:val="0"/>
              <w:snapToGrid w:val="0"/>
              <w:ind w:right="180"/>
              <w:jc w:val="right"/>
            </w:pPr>
            <w:r>
              <w:t>127,047,120.13</w:t>
            </w:r>
          </w:p>
        </w:tc>
      </w:tr>
      <w:tr w:rsidR="00577D08" w14:paraId="0F24F3F6" w14:textId="77777777">
        <w:tc>
          <w:tcPr>
            <w:tcW w:w="940" w:type="pct"/>
            <w:vAlign w:val="center"/>
          </w:tcPr>
          <w:p w14:paraId="451D3BC2" w14:textId="77777777" w:rsidR="00577D08" w:rsidRDefault="00330FC0">
            <w:pPr>
              <w:autoSpaceDE w:val="0"/>
              <w:autoSpaceDN w:val="0"/>
              <w:adjustRightInd w:val="0"/>
              <w:snapToGrid w:val="0"/>
              <w:jc w:val="center"/>
            </w:pPr>
            <w:r>
              <w:rPr>
                <w:rFonts w:hint="eastAsia"/>
              </w:rPr>
              <w:t>合计</w:t>
            </w:r>
          </w:p>
        </w:tc>
        <w:tc>
          <w:tcPr>
            <w:tcW w:w="1011" w:type="pct"/>
          </w:tcPr>
          <w:p w14:paraId="0D8A4A16" w14:textId="77777777" w:rsidR="00577D08" w:rsidRDefault="00330FC0">
            <w:pPr>
              <w:autoSpaceDE w:val="0"/>
              <w:autoSpaceDN w:val="0"/>
              <w:adjustRightInd w:val="0"/>
              <w:snapToGrid w:val="0"/>
              <w:ind w:right="180"/>
              <w:jc w:val="right"/>
            </w:pPr>
            <w:r>
              <w:t>122,195,454.42</w:t>
            </w:r>
          </w:p>
        </w:tc>
        <w:tc>
          <w:tcPr>
            <w:tcW w:w="1014" w:type="pct"/>
          </w:tcPr>
          <w:p w14:paraId="0D48E1D9" w14:textId="77777777" w:rsidR="00577D08" w:rsidRDefault="00330FC0">
            <w:pPr>
              <w:autoSpaceDE w:val="0"/>
              <w:autoSpaceDN w:val="0"/>
              <w:adjustRightInd w:val="0"/>
              <w:snapToGrid w:val="0"/>
              <w:ind w:right="180"/>
              <w:jc w:val="right"/>
            </w:pPr>
            <w:r>
              <w:t>4,851,665.71</w:t>
            </w:r>
          </w:p>
        </w:tc>
        <w:tc>
          <w:tcPr>
            <w:tcW w:w="1021" w:type="pct"/>
          </w:tcPr>
          <w:p w14:paraId="400CE99F" w14:textId="77777777" w:rsidR="00577D08" w:rsidRDefault="00577D08">
            <w:pPr>
              <w:autoSpaceDE w:val="0"/>
              <w:autoSpaceDN w:val="0"/>
              <w:adjustRightInd w:val="0"/>
              <w:snapToGrid w:val="0"/>
              <w:ind w:right="180"/>
              <w:jc w:val="right"/>
            </w:pPr>
          </w:p>
        </w:tc>
        <w:tc>
          <w:tcPr>
            <w:tcW w:w="1014" w:type="pct"/>
          </w:tcPr>
          <w:p w14:paraId="4A6B3D8C" w14:textId="77777777" w:rsidR="00577D08" w:rsidRDefault="00330FC0">
            <w:pPr>
              <w:autoSpaceDE w:val="0"/>
              <w:autoSpaceDN w:val="0"/>
              <w:adjustRightInd w:val="0"/>
              <w:snapToGrid w:val="0"/>
              <w:ind w:right="180"/>
              <w:jc w:val="right"/>
            </w:pPr>
            <w:r>
              <w:t>127,047,120.13</w:t>
            </w:r>
          </w:p>
        </w:tc>
      </w:tr>
    </w:tbl>
    <w:p w14:paraId="17AFDE84" w14:textId="77777777" w:rsidR="00577D08" w:rsidRDefault="00330FC0">
      <w:pPr>
        <w:spacing w:before="60" w:after="60"/>
      </w:pPr>
      <w:r>
        <w:rPr>
          <w:rFonts w:hint="eastAsia"/>
        </w:rPr>
        <w:t>盈余公积说明，包括本期增减变动情况、变动原因说明：</w:t>
      </w:r>
    </w:p>
    <w:sdt>
      <w:sdtPr>
        <w:alias w:val="盈余公积说明"/>
        <w:tag w:val="_GBC_538b8c4ba55d480592f5f9485177617e"/>
        <w:id w:val="-1965030389"/>
        <w:placeholder>
          <w:docPart w:val="GBC22222222222222222222222222222"/>
        </w:placeholder>
      </w:sdtPr>
      <w:sdtContent>
        <w:p w14:paraId="50F81FA1" w14:textId="77777777" w:rsidR="00577D08" w:rsidRDefault="00330FC0">
          <w:pPr>
            <w:autoSpaceDE w:val="0"/>
            <w:autoSpaceDN w:val="0"/>
            <w:adjustRightInd w:val="0"/>
          </w:pPr>
          <w:r>
            <w:rPr>
              <w:rFonts w:hint="eastAsia"/>
            </w:rPr>
            <w:t>本期增加</w:t>
          </w:r>
          <w:r>
            <w:rPr>
              <w:rFonts w:hint="eastAsia"/>
            </w:rPr>
            <w:t>4,851,665.71</w:t>
          </w:r>
          <w:r>
            <w:rPr>
              <w:rFonts w:hint="eastAsia"/>
            </w:rPr>
            <w:t>元，系按母公司本期实现净利润的</w:t>
          </w:r>
          <w:r>
            <w:rPr>
              <w:rFonts w:hint="eastAsia"/>
            </w:rPr>
            <w:t>10%</w:t>
          </w:r>
          <w:r>
            <w:rPr>
              <w:rFonts w:hint="eastAsia"/>
            </w:rPr>
            <w:t>计提法定盈余公积。</w:t>
          </w:r>
        </w:p>
      </w:sdtContent>
    </w:sdt>
    <w:p w14:paraId="59E24DBC"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未分配利润</w:t>
      </w:r>
    </w:p>
    <w:p w14:paraId="59CD14DD" w14:textId="77777777" w:rsidR="00577D08" w:rsidRDefault="00000000">
      <w:sdt>
        <w:sdtPr>
          <w:alias w:val="是否适用：未分配利润[双击切换]"/>
          <w:tag w:val="_GBC_0ccb002da9b649db91afd1ca2a9330f8"/>
          <w:id w:val="1542786378"/>
          <w:lock w:val="contentLocked"/>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2BA64DE2" w14:textId="16B9B4C6" w:rsidR="00577D08" w:rsidRDefault="00330FC0">
      <w:pPr>
        <w:jc w:val="right"/>
      </w:pPr>
      <w:r>
        <w:rPr>
          <w:rFonts w:hint="eastAsia"/>
        </w:rPr>
        <w:t>单位：</w:t>
      </w:r>
      <w:sdt>
        <w:sdtPr>
          <w:rPr>
            <w:rFonts w:hint="eastAsia"/>
          </w:rPr>
          <w:alias w:val="单位：财务附注：未分配利润"/>
          <w:tag w:val="_GBC_fc12fabcd66949d39f6f74b747284465"/>
          <w:id w:val="63507539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未分配利润"/>
          <w:tag w:val="_GBC_7b3accd97aa744c08d773ec06b05684e"/>
          <w:id w:val="-20226117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5012"/>
        <w:gridCol w:w="1992"/>
        <w:gridCol w:w="1819"/>
      </w:tblGrid>
      <w:tr w:rsidR="00577D08" w14:paraId="5C23A746" w14:textId="77777777">
        <w:trPr>
          <w:cantSplit/>
        </w:trPr>
        <w:sdt>
          <w:sdtPr>
            <w:tag w:val="_PLD_30da0a90f08b46f090b6fee887a691bc"/>
            <w:id w:val="-1035884922"/>
          </w:sdtPr>
          <w:sdtContent>
            <w:tc>
              <w:tcPr>
                <w:tcW w:w="2840" w:type="pct"/>
                <w:vAlign w:val="center"/>
              </w:tcPr>
              <w:p w14:paraId="2606AAA6" w14:textId="77777777" w:rsidR="00577D08" w:rsidRDefault="00330FC0">
                <w:pPr>
                  <w:jc w:val="center"/>
                </w:pPr>
                <w:r>
                  <w:rPr>
                    <w:rFonts w:hint="eastAsia"/>
                  </w:rPr>
                  <w:t>项目</w:t>
                </w:r>
              </w:p>
            </w:tc>
          </w:sdtContent>
        </w:sdt>
        <w:sdt>
          <w:sdtPr>
            <w:tag w:val="_PLD_27c0ff4064964dc5b9e335151d04b603"/>
            <w:id w:val="-844399331"/>
          </w:sdtPr>
          <w:sdtContent>
            <w:tc>
              <w:tcPr>
                <w:tcW w:w="1129" w:type="pct"/>
                <w:vAlign w:val="center"/>
              </w:tcPr>
              <w:p w14:paraId="68CD6A15" w14:textId="77777777" w:rsidR="00577D08" w:rsidRDefault="00330FC0">
                <w:pPr>
                  <w:jc w:val="center"/>
                </w:pPr>
                <w:r>
                  <w:rPr>
                    <w:rFonts w:hint="eastAsia"/>
                  </w:rPr>
                  <w:t>本期</w:t>
                </w:r>
              </w:p>
            </w:tc>
          </w:sdtContent>
        </w:sdt>
        <w:sdt>
          <w:sdtPr>
            <w:tag w:val="_PLD_613460741a0147b7be8212812793694e"/>
            <w:id w:val="284776991"/>
          </w:sdtPr>
          <w:sdtContent>
            <w:tc>
              <w:tcPr>
                <w:tcW w:w="1031" w:type="pct"/>
                <w:vAlign w:val="center"/>
              </w:tcPr>
              <w:p w14:paraId="2B6BA848" w14:textId="77777777" w:rsidR="00577D08" w:rsidRDefault="00330FC0">
                <w:pPr>
                  <w:jc w:val="center"/>
                </w:pPr>
                <w:r>
                  <w:rPr>
                    <w:rFonts w:hint="eastAsia"/>
                  </w:rPr>
                  <w:t>上期</w:t>
                </w:r>
              </w:p>
            </w:tc>
          </w:sdtContent>
        </w:sdt>
      </w:tr>
      <w:tr w:rsidR="00577D08" w14:paraId="797252A2" w14:textId="77777777">
        <w:trPr>
          <w:cantSplit/>
        </w:trPr>
        <w:tc>
          <w:tcPr>
            <w:tcW w:w="2840" w:type="pct"/>
            <w:vAlign w:val="center"/>
          </w:tcPr>
          <w:p w14:paraId="5ED50F74" w14:textId="77777777" w:rsidR="00577D08" w:rsidRDefault="00330FC0">
            <w:r>
              <w:rPr>
                <w:rFonts w:hint="eastAsia"/>
              </w:rPr>
              <w:t>调整前上期末未分配利润</w:t>
            </w:r>
          </w:p>
        </w:tc>
        <w:tc>
          <w:tcPr>
            <w:tcW w:w="1129" w:type="pct"/>
          </w:tcPr>
          <w:p w14:paraId="2EBECBFA" w14:textId="77777777" w:rsidR="00577D08" w:rsidRDefault="00330FC0">
            <w:pPr>
              <w:ind w:right="6"/>
              <w:jc w:val="right"/>
            </w:pPr>
            <w:r>
              <w:t>1,003,432,341.75</w:t>
            </w:r>
          </w:p>
        </w:tc>
        <w:tc>
          <w:tcPr>
            <w:tcW w:w="1031" w:type="pct"/>
          </w:tcPr>
          <w:p w14:paraId="68A412CE" w14:textId="77777777" w:rsidR="00577D08" w:rsidRDefault="00330FC0">
            <w:pPr>
              <w:jc w:val="right"/>
            </w:pPr>
            <w:r>
              <w:t>992,249,846.86</w:t>
            </w:r>
          </w:p>
        </w:tc>
      </w:tr>
      <w:tr w:rsidR="00577D08" w14:paraId="15A9F493" w14:textId="77777777">
        <w:trPr>
          <w:cantSplit/>
        </w:trPr>
        <w:tc>
          <w:tcPr>
            <w:tcW w:w="2840" w:type="pct"/>
            <w:vAlign w:val="center"/>
          </w:tcPr>
          <w:p w14:paraId="31D8FCF9" w14:textId="77777777" w:rsidR="00577D08" w:rsidRDefault="00330FC0">
            <w:r>
              <w:rPr>
                <w:rFonts w:hint="eastAsia"/>
              </w:rPr>
              <w:t>调整期初未分配利润合计数（调增</w:t>
            </w:r>
            <w:r>
              <w:t>+</w:t>
            </w:r>
            <w:r>
              <w:rPr>
                <w:rFonts w:hint="eastAsia"/>
              </w:rPr>
              <w:t>，调减－）</w:t>
            </w:r>
          </w:p>
        </w:tc>
        <w:tc>
          <w:tcPr>
            <w:tcW w:w="1129" w:type="pct"/>
          </w:tcPr>
          <w:p w14:paraId="6C6DBA7D" w14:textId="77777777" w:rsidR="00577D08" w:rsidRDefault="00577D08">
            <w:pPr>
              <w:ind w:right="6"/>
              <w:jc w:val="right"/>
            </w:pPr>
          </w:p>
        </w:tc>
        <w:tc>
          <w:tcPr>
            <w:tcW w:w="1031" w:type="pct"/>
          </w:tcPr>
          <w:p w14:paraId="48984C0A" w14:textId="77777777" w:rsidR="00577D08" w:rsidRDefault="00577D08">
            <w:pPr>
              <w:ind w:right="6"/>
              <w:jc w:val="right"/>
            </w:pPr>
          </w:p>
        </w:tc>
      </w:tr>
      <w:tr w:rsidR="00577D08" w14:paraId="25EF4D0F" w14:textId="77777777">
        <w:trPr>
          <w:cantSplit/>
        </w:trPr>
        <w:tc>
          <w:tcPr>
            <w:tcW w:w="2840" w:type="pct"/>
            <w:vAlign w:val="center"/>
          </w:tcPr>
          <w:p w14:paraId="3418762F" w14:textId="77777777" w:rsidR="00577D08" w:rsidRDefault="00330FC0">
            <w:r>
              <w:rPr>
                <w:rFonts w:hint="eastAsia"/>
              </w:rPr>
              <w:t>调整后期初未分配利润</w:t>
            </w:r>
          </w:p>
        </w:tc>
        <w:tc>
          <w:tcPr>
            <w:tcW w:w="1129" w:type="pct"/>
          </w:tcPr>
          <w:p w14:paraId="297AA731" w14:textId="77777777" w:rsidR="00577D08" w:rsidRDefault="00330FC0">
            <w:pPr>
              <w:ind w:right="6"/>
              <w:jc w:val="right"/>
            </w:pPr>
            <w:r>
              <w:t>1,003,432,341.75</w:t>
            </w:r>
          </w:p>
        </w:tc>
        <w:tc>
          <w:tcPr>
            <w:tcW w:w="1031" w:type="pct"/>
          </w:tcPr>
          <w:p w14:paraId="616CCC87" w14:textId="77777777" w:rsidR="00577D08" w:rsidRDefault="00330FC0">
            <w:pPr>
              <w:ind w:right="6"/>
              <w:jc w:val="right"/>
            </w:pPr>
            <w:r>
              <w:t>992,249,846.86</w:t>
            </w:r>
          </w:p>
        </w:tc>
      </w:tr>
      <w:tr w:rsidR="00577D08" w14:paraId="4EC277F3" w14:textId="77777777">
        <w:trPr>
          <w:cantSplit/>
        </w:trPr>
        <w:tc>
          <w:tcPr>
            <w:tcW w:w="2840" w:type="pct"/>
            <w:vAlign w:val="center"/>
          </w:tcPr>
          <w:p w14:paraId="686BEF25" w14:textId="77777777" w:rsidR="00577D08" w:rsidRDefault="00330FC0">
            <w:pPr>
              <w:ind w:right="6"/>
            </w:pPr>
            <w:r>
              <w:rPr>
                <w:rFonts w:hint="eastAsia"/>
              </w:rPr>
              <w:t>加：本期归属于母公司所有者的净利润</w:t>
            </w:r>
          </w:p>
        </w:tc>
        <w:tc>
          <w:tcPr>
            <w:tcW w:w="1129" w:type="pct"/>
          </w:tcPr>
          <w:p w14:paraId="0FC24F36" w14:textId="77777777" w:rsidR="00577D08" w:rsidRDefault="00330FC0">
            <w:pPr>
              <w:ind w:right="6"/>
              <w:jc w:val="right"/>
            </w:pPr>
            <w:r>
              <w:t>69,243,219.73</w:t>
            </w:r>
          </w:p>
        </w:tc>
        <w:tc>
          <w:tcPr>
            <w:tcW w:w="1031" w:type="pct"/>
          </w:tcPr>
          <w:p w14:paraId="2C658C42" w14:textId="77777777" w:rsidR="00577D08" w:rsidRDefault="00330FC0">
            <w:pPr>
              <w:ind w:right="6"/>
              <w:jc w:val="right"/>
            </w:pPr>
            <w:r>
              <w:t>65,166,472.45</w:t>
            </w:r>
          </w:p>
        </w:tc>
      </w:tr>
      <w:tr w:rsidR="00577D08" w14:paraId="3FBAB68B" w14:textId="77777777">
        <w:trPr>
          <w:cantSplit/>
        </w:trPr>
        <w:tc>
          <w:tcPr>
            <w:tcW w:w="2840" w:type="pct"/>
            <w:vAlign w:val="center"/>
          </w:tcPr>
          <w:p w14:paraId="1580730E" w14:textId="77777777" w:rsidR="00577D08" w:rsidRDefault="00330FC0">
            <w:pPr>
              <w:autoSpaceDE w:val="0"/>
              <w:autoSpaceDN w:val="0"/>
              <w:adjustRightInd w:val="0"/>
            </w:pPr>
            <w:r>
              <w:rPr>
                <w:rFonts w:hint="eastAsia"/>
              </w:rPr>
              <w:t>减：提取法定盈余公积</w:t>
            </w:r>
          </w:p>
        </w:tc>
        <w:tc>
          <w:tcPr>
            <w:tcW w:w="1129" w:type="pct"/>
          </w:tcPr>
          <w:p w14:paraId="7BCAA863" w14:textId="77777777" w:rsidR="00577D08" w:rsidRDefault="00330FC0">
            <w:pPr>
              <w:jc w:val="right"/>
            </w:pPr>
            <w:r>
              <w:t>4,851,665.71</w:t>
            </w:r>
          </w:p>
        </w:tc>
        <w:tc>
          <w:tcPr>
            <w:tcW w:w="1031" w:type="pct"/>
          </w:tcPr>
          <w:p w14:paraId="28AAE909" w14:textId="77777777" w:rsidR="00577D08" w:rsidRDefault="00330FC0">
            <w:pPr>
              <w:ind w:right="6"/>
              <w:jc w:val="right"/>
            </w:pPr>
            <w:r>
              <w:t>4,106,781.71</w:t>
            </w:r>
          </w:p>
        </w:tc>
      </w:tr>
      <w:tr w:rsidR="00577D08" w14:paraId="6CDBFC1E" w14:textId="77777777">
        <w:trPr>
          <w:cantSplit/>
        </w:trPr>
        <w:tc>
          <w:tcPr>
            <w:tcW w:w="2840" w:type="pct"/>
            <w:vAlign w:val="center"/>
          </w:tcPr>
          <w:p w14:paraId="78F9B5C7" w14:textId="77777777" w:rsidR="00577D08" w:rsidRDefault="00330FC0">
            <w:pPr>
              <w:autoSpaceDE w:val="0"/>
              <w:autoSpaceDN w:val="0"/>
              <w:adjustRightInd w:val="0"/>
              <w:ind w:firstLine="420"/>
            </w:pPr>
            <w:r>
              <w:rPr>
                <w:rFonts w:hint="eastAsia"/>
              </w:rPr>
              <w:t>提取任意盈余公积</w:t>
            </w:r>
          </w:p>
        </w:tc>
        <w:tc>
          <w:tcPr>
            <w:tcW w:w="1129" w:type="pct"/>
          </w:tcPr>
          <w:p w14:paraId="1EBF97D8" w14:textId="77777777" w:rsidR="00577D08" w:rsidRDefault="00577D08">
            <w:pPr>
              <w:jc w:val="right"/>
            </w:pPr>
          </w:p>
        </w:tc>
        <w:tc>
          <w:tcPr>
            <w:tcW w:w="1031" w:type="pct"/>
          </w:tcPr>
          <w:p w14:paraId="3730F962" w14:textId="77777777" w:rsidR="00577D08" w:rsidRDefault="00577D08">
            <w:pPr>
              <w:ind w:right="6"/>
              <w:jc w:val="right"/>
            </w:pPr>
          </w:p>
        </w:tc>
      </w:tr>
      <w:tr w:rsidR="00577D08" w14:paraId="42BAD567" w14:textId="77777777">
        <w:trPr>
          <w:cantSplit/>
        </w:trPr>
        <w:tc>
          <w:tcPr>
            <w:tcW w:w="2840" w:type="pct"/>
            <w:vAlign w:val="center"/>
          </w:tcPr>
          <w:p w14:paraId="4E63EABB" w14:textId="77777777" w:rsidR="00577D08" w:rsidRDefault="00330FC0">
            <w:pPr>
              <w:autoSpaceDE w:val="0"/>
              <w:autoSpaceDN w:val="0"/>
              <w:adjustRightInd w:val="0"/>
              <w:ind w:firstLine="420"/>
            </w:pPr>
            <w:r>
              <w:rPr>
                <w:rFonts w:hint="eastAsia"/>
              </w:rPr>
              <w:t>提取一般风险准备</w:t>
            </w:r>
          </w:p>
        </w:tc>
        <w:tc>
          <w:tcPr>
            <w:tcW w:w="1129" w:type="pct"/>
          </w:tcPr>
          <w:p w14:paraId="6A30EE0F" w14:textId="77777777" w:rsidR="00577D08" w:rsidRDefault="00577D08">
            <w:pPr>
              <w:jc w:val="right"/>
            </w:pPr>
          </w:p>
        </w:tc>
        <w:tc>
          <w:tcPr>
            <w:tcW w:w="1031" w:type="pct"/>
          </w:tcPr>
          <w:p w14:paraId="7229A564" w14:textId="77777777" w:rsidR="00577D08" w:rsidRDefault="00577D08">
            <w:pPr>
              <w:ind w:right="6"/>
              <w:jc w:val="right"/>
            </w:pPr>
          </w:p>
        </w:tc>
      </w:tr>
      <w:tr w:rsidR="00577D08" w14:paraId="327F5E1E" w14:textId="77777777">
        <w:trPr>
          <w:cantSplit/>
        </w:trPr>
        <w:tc>
          <w:tcPr>
            <w:tcW w:w="2840" w:type="pct"/>
            <w:vAlign w:val="center"/>
          </w:tcPr>
          <w:p w14:paraId="1499B5CD" w14:textId="77777777" w:rsidR="00577D08" w:rsidRDefault="00330FC0">
            <w:pPr>
              <w:autoSpaceDE w:val="0"/>
              <w:autoSpaceDN w:val="0"/>
              <w:adjustRightInd w:val="0"/>
              <w:ind w:firstLine="420"/>
            </w:pPr>
            <w:r>
              <w:rPr>
                <w:rFonts w:hint="eastAsia"/>
              </w:rPr>
              <w:t>应付普通股股利</w:t>
            </w:r>
          </w:p>
        </w:tc>
        <w:tc>
          <w:tcPr>
            <w:tcW w:w="1129" w:type="pct"/>
          </w:tcPr>
          <w:p w14:paraId="67E023BB" w14:textId="77777777" w:rsidR="00577D08" w:rsidRDefault="00330FC0">
            <w:pPr>
              <w:jc w:val="right"/>
            </w:pPr>
            <w:r>
              <w:t>16,614,031.95</w:t>
            </w:r>
          </w:p>
        </w:tc>
        <w:tc>
          <w:tcPr>
            <w:tcW w:w="1031" w:type="pct"/>
          </w:tcPr>
          <w:p w14:paraId="1CC7A7DC" w14:textId="77777777" w:rsidR="00577D08" w:rsidRDefault="00330FC0">
            <w:pPr>
              <w:ind w:right="6"/>
              <w:jc w:val="right"/>
            </w:pPr>
            <w:r>
              <w:t>49,877,195.85</w:t>
            </w:r>
          </w:p>
        </w:tc>
      </w:tr>
      <w:tr w:rsidR="00577D08" w14:paraId="508388FA" w14:textId="77777777">
        <w:trPr>
          <w:cantSplit/>
        </w:trPr>
        <w:tc>
          <w:tcPr>
            <w:tcW w:w="2840" w:type="pct"/>
            <w:vAlign w:val="center"/>
          </w:tcPr>
          <w:p w14:paraId="5B4A6B68" w14:textId="77777777" w:rsidR="00577D08" w:rsidRDefault="00330FC0">
            <w:pPr>
              <w:autoSpaceDE w:val="0"/>
              <w:autoSpaceDN w:val="0"/>
              <w:adjustRightInd w:val="0"/>
              <w:ind w:firstLine="420"/>
            </w:pPr>
            <w:r>
              <w:rPr>
                <w:rFonts w:hint="eastAsia"/>
              </w:rPr>
              <w:t>转作股本的普通股股利</w:t>
            </w:r>
          </w:p>
        </w:tc>
        <w:tc>
          <w:tcPr>
            <w:tcW w:w="1129" w:type="pct"/>
          </w:tcPr>
          <w:p w14:paraId="51074BB3" w14:textId="77777777" w:rsidR="00577D08" w:rsidRDefault="00577D08">
            <w:pPr>
              <w:jc w:val="right"/>
            </w:pPr>
          </w:p>
        </w:tc>
        <w:tc>
          <w:tcPr>
            <w:tcW w:w="1031" w:type="pct"/>
          </w:tcPr>
          <w:p w14:paraId="1FEFE07B" w14:textId="77777777" w:rsidR="00577D08" w:rsidRDefault="00577D08">
            <w:pPr>
              <w:ind w:right="6"/>
              <w:jc w:val="right"/>
            </w:pPr>
          </w:p>
        </w:tc>
      </w:tr>
      <w:tr w:rsidR="00577D08" w14:paraId="51DC9FC0" w14:textId="77777777">
        <w:trPr>
          <w:cantSplit/>
        </w:trPr>
        <w:tc>
          <w:tcPr>
            <w:tcW w:w="2840" w:type="pct"/>
            <w:vAlign w:val="center"/>
          </w:tcPr>
          <w:p w14:paraId="612AC4CC" w14:textId="77777777" w:rsidR="00577D08" w:rsidRDefault="00330FC0">
            <w:pPr>
              <w:autoSpaceDE w:val="0"/>
              <w:autoSpaceDN w:val="0"/>
              <w:adjustRightInd w:val="0"/>
              <w:ind w:firstLine="420"/>
            </w:pPr>
            <w:r>
              <w:rPr>
                <w:rFonts w:hint="eastAsia"/>
              </w:rPr>
              <w:t>其他</w:t>
            </w:r>
            <w:r>
              <w:rPr>
                <w:rFonts w:hint="eastAsia"/>
              </w:rPr>
              <w:t>[</w:t>
            </w:r>
            <w:r>
              <w:rPr>
                <w:rFonts w:hint="eastAsia"/>
              </w:rPr>
              <w:t>注</w:t>
            </w:r>
            <w:r>
              <w:rPr>
                <w:rFonts w:hint="eastAsia"/>
              </w:rPr>
              <w:t>]</w:t>
            </w:r>
          </w:p>
        </w:tc>
        <w:tc>
          <w:tcPr>
            <w:tcW w:w="1129" w:type="pct"/>
          </w:tcPr>
          <w:p w14:paraId="40CCA81E" w14:textId="77777777" w:rsidR="00577D08" w:rsidRDefault="00330FC0">
            <w:pPr>
              <w:jc w:val="right"/>
            </w:pPr>
            <w:r>
              <w:t>-498,300.00</w:t>
            </w:r>
          </w:p>
        </w:tc>
        <w:tc>
          <w:tcPr>
            <w:tcW w:w="1031" w:type="pct"/>
          </w:tcPr>
          <w:p w14:paraId="065A50DB" w14:textId="77777777" w:rsidR="00577D08" w:rsidRDefault="00577D08">
            <w:pPr>
              <w:ind w:right="6"/>
              <w:jc w:val="right"/>
            </w:pPr>
          </w:p>
        </w:tc>
      </w:tr>
      <w:tr w:rsidR="00577D08" w14:paraId="66D8E7E2" w14:textId="77777777">
        <w:trPr>
          <w:cantSplit/>
        </w:trPr>
        <w:tc>
          <w:tcPr>
            <w:tcW w:w="2840" w:type="pct"/>
            <w:vAlign w:val="center"/>
          </w:tcPr>
          <w:p w14:paraId="17E95973" w14:textId="77777777" w:rsidR="00577D08" w:rsidRDefault="00330FC0">
            <w:pPr>
              <w:autoSpaceDE w:val="0"/>
              <w:autoSpaceDN w:val="0"/>
              <w:adjustRightInd w:val="0"/>
            </w:pPr>
            <w:r>
              <w:rPr>
                <w:rFonts w:hint="eastAsia"/>
              </w:rPr>
              <w:t>期末未分配利润</w:t>
            </w:r>
          </w:p>
        </w:tc>
        <w:tc>
          <w:tcPr>
            <w:tcW w:w="1129" w:type="pct"/>
          </w:tcPr>
          <w:p w14:paraId="6E195C4D" w14:textId="77777777" w:rsidR="00577D08" w:rsidRDefault="00330FC0">
            <w:pPr>
              <w:jc w:val="right"/>
            </w:pPr>
            <w:r>
              <w:t>1,051,708,163.82</w:t>
            </w:r>
          </w:p>
        </w:tc>
        <w:tc>
          <w:tcPr>
            <w:tcW w:w="1031" w:type="pct"/>
          </w:tcPr>
          <w:p w14:paraId="5DF6F9C5" w14:textId="77777777" w:rsidR="00577D08" w:rsidRDefault="00330FC0">
            <w:pPr>
              <w:ind w:right="6"/>
              <w:jc w:val="right"/>
            </w:pPr>
            <w:r>
              <w:t>1,003,432,341.75</w:t>
            </w:r>
          </w:p>
        </w:tc>
      </w:tr>
    </w:tbl>
    <w:p w14:paraId="2A44C9D4" w14:textId="77777777" w:rsidR="00577D08" w:rsidRDefault="00330FC0">
      <w:pPr>
        <w:spacing w:before="60" w:after="60"/>
        <w:rPr>
          <w:color w:val="000000" w:themeColor="text1"/>
        </w:rPr>
      </w:pPr>
      <w:r>
        <w:rPr>
          <w:rFonts w:hint="eastAsia"/>
          <w:color w:val="000000" w:themeColor="text1"/>
        </w:rPr>
        <w:t>注：其他系公司回购限制性股票的价格剔除</w:t>
      </w:r>
      <w:r>
        <w:rPr>
          <w:rFonts w:hint="eastAsia"/>
          <w:color w:val="000000" w:themeColor="text1"/>
        </w:rPr>
        <w:t>2023</w:t>
      </w:r>
      <w:r>
        <w:rPr>
          <w:rFonts w:hint="eastAsia"/>
          <w:color w:val="000000" w:themeColor="text1"/>
        </w:rPr>
        <w:t>年和</w:t>
      </w:r>
      <w:r>
        <w:rPr>
          <w:rFonts w:hint="eastAsia"/>
          <w:color w:val="000000" w:themeColor="text1"/>
        </w:rPr>
        <w:t>2024</w:t>
      </w:r>
      <w:r>
        <w:rPr>
          <w:rFonts w:hint="eastAsia"/>
          <w:color w:val="000000" w:themeColor="text1"/>
        </w:rPr>
        <w:t>年分红款，其分红款所对应的相关限制性回购义务款未来无需支付的款项直接冲减留存收益。</w:t>
      </w:r>
    </w:p>
    <w:p w14:paraId="2BFFA61B" w14:textId="77777777" w:rsidR="00577D08" w:rsidRDefault="00330FC0">
      <w:pPr>
        <w:spacing w:before="60" w:after="60"/>
        <w:rPr>
          <w:color w:val="000000" w:themeColor="text1"/>
        </w:rPr>
      </w:pPr>
      <w:r>
        <w:rPr>
          <w:rFonts w:hint="eastAsia"/>
          <w:color w:val="000000" w:themeColor="text1"/>
        </w:rPr>
        <w:t>调整期初未分配利润明细：</w:t>
      </w:r>
    </w:p>
    <w:p w14:paraId="0994165B" w14:textId="77777777" w:rsidR="00577D08" w:rsidRDefault="00330FC0">
      <w:r>
        <w:rPr>
          <w:rFonts w:hint="eastAsia"/>
        </w:rPr>
        <w:t>1</w:t>
      </w:r>
      <w:r>
        <w:rPr>
          <w:rFonts w:hint="eastAsia"/>
        </w:rPr>
        <w:t>、由于《企业会计准则》及其相关新规定进行追溯调整，影响期初未分配利润</w:t>
      </w:r>
      <w:sdt>
        <w:sdtPr>
          <w:rPr>
            <w:rFonts w:hint="eastAsia"/>
          </w:rPr>
          <w:alias w:val="依据《企业会计准则》及其相关规定进行追溯调整影响年初未分配利润合计"/>
          <w:tag w:val="_GBC_1fcb28b764eb43c48b913d5e107ed4eb"/>
          <w:id w:val="-1595168311"/>
          <w:placeholder>
            <w:docPart w:val="GBC22222222222222222222222222222"/>
          </w:placeholder>
        </w:sdtPr>
        <w:sdtContent>
          <w:r>
            <w:rPr>
              <w:rFonts w:hint="eastAsia"/>
            </w:rPr>
            <w:t>0</w:t>
          </w:r>
        </w:sdtContent>
      </w:sdt>
      <w:r>
        <w:rPr>
          <w:rFonts w:hint="eastAsia"/>
        </w:rPr>
        <w:t>元。</w:t>
      </w:r>
    </w:p>
    <w:p w14:paraId="112A4B8C" w14:textId="77777777" w:rsidR="00577D08" w:rsidRDefault="00330FC0">
      <w:r>
        <w:rPr>
          <w:rFonts w:hint="eastAsia"/>
        </w:rPr>
        <w:t>2</w:t>
      </w:r>
      <w:r>
        <w:rPr>
          <w:rFonts w:hint="eastAsia"/>
        </w:rPr>
        <w:t>、由于会计政策变更，影响期初未分配利润</w:t>
      </w:r>
      <w:sdt>
        <w:sdtPr>
          <w:rPr>
            <w:rFonts w:hint="eastAsia"/>
          </w:rPr>
          <w:alias w:val="由于会计政策变更影响年初未分配利润"/>
          <w:tag w:val="_GBC_0f2691a265a44dd08d91157d1df0cf3f"/>
          <w:id w:val="-291207529"/>
          <w:placeholder>
            <w:docPart w:val="GBC22222222222222222222222222222"/>
          </w:placeholder>
        </w:sdtPr>
        <w:sdtContent>
          <w:r>
            <w:rPr>
              <w:rFonts w:hint="eastAsia"/>
            </w:rPr>
            <w:t>0</w:t>
          </w:r>
        </w:sdtContent>
      </w:sdt>
      <w:r>
        <w:rPr>
          <w:rFonts w:hint="eastAsia"/>
        </w:rPr>
        <w:t>元。</w:t>
      </w:r>
    </w:p>
    <w:p w14:paraId="1EA0ECF6" w14:textId="77777777" w:rsidR="00577D08" w:rsidRDefault="00330FC0">
      <w:r>
        <w:rPr>
          <w:rFonts w:hint="eastAsia"/>
        </w:rPr>
        <w:t>3</w:t>
      </w:r>
      <w:r>
        <w:rPr>
          <w:rFonts w:hint="eastAsia"/>
        </w:rPr>
        <w:t>、由于重大会计差错更正，影响期初未分配利润</w:t>
      </w:r>
      <w:sdt>
        <w:sdtPr>
          <w:rPr>
            <w:rFonts w:hint="eastAsia"/>
          </w:rPr>
          <w:alias w:val="由于重大会计差错更正影响年初未分配利润"/>
          <w:tag w:val="_GBC_6558a990019646559dec1140b9f53b0c"/>
          <w:id w:val="-1241703527"/>
          <w:placeholder>
            <w:docPart w:val="GBC22222222222222222222222222222"/>
          </w:placeholder>
        </w:sdtPr>
        <w:sdtContent>
          <w:r>
            <w:rPr>
              <w:rFonts w:hint="eastAsia"/>
            </w:rPr>
            <w:t>0</w:t>
          </w:r>
        </w:sdtContent>
      </w:sdt>
      <w:r>
        <w:rPr>
          <w:rFonts w:hint="eastAsia"/>
        </w:rPr>
        <w:t>元。</w:t>
      </w:r>
    </w:p>
    <w:p w14:paraId="1EAF6E90" w14:textId="77777777" w:rsidR="00577D08" w:rsidRDefault="00330FC0">
      <w:r>
        <w:rPr>
          <w:rFonts w:hint="eastAsia"/>
        </w:rPr>
        <w:t>4</w:t>
      </w:r>
      <w:r>
        <w:rPr>
          <w:rFonts w:hint="eastAsia"/>
        </w:rPr>
        <w:t>、由于同一控制导致的合并范围变更，影响期初未分配利润</w:t>
      </w:r>
      <w:sdt>
        <w:sdtPr>
          <w:rPr>
            <w:rFonts w:hint="eastAsia"/>
          </w:rPr>
          <w:alias w:val="同一控制导致的合并范围变更影响年初未分配利润"/>
          <w:tag w:val="_GBC_f30de8253e8b446d94ba7a482cf7cae5"/>
          <w:id w:val="31861211"/>
          <w:placeholder>
            <w:docPart w:val="GBC22222222222222222222222222222"/>
          </w:placeholder>
        </w:sdtPr>
        <w:sdtContent>
          <w:r>
            <w:rPr>
              <w:rFonts w:hint="eastAsia"/>
            </w:rPr>
            <w:t>0</w:t>
          </w:r>
        </w:sdtContent>
      </w:sdt>
      <w:r>
        <w:rPr>
          <w:rFonts w:hint="eastAsia"/>
        </w:rPr>
        <w:t>元。</w:t>
      </w:r>
    </w:p>
    <w:p w14:paraId="4B3151F2" w14:textId="77777777" w:rsidR="00577D08" w:rsidRDefault="00330FC0">
      <w:r>
        <w:rPr>
          <w:rFonts w:hint="eastAsia"/>
        </w:rPr>
        <w:t>5</w:t>
      </w:r>
      <w:r>
        <w:rPr>
          <w:rFonts w:hint="eastAsia"/>
        </w:rPr>
        <w:t>、其他调整合计影响期初未分配利润</w:t>
      </w:r>
      <w:sdt>
        <w:sdtPr>
          <w:rPr>
            <w:rFonts w:hint="eastAsia"/>
          </w:rPr>
          <w:alias w:val="其他调整合计影响年初未分配利润"/>
          <w:tag w:val="_GBC_7fea08c189344f12b9e1dc7c084896bb"/>
          <w:id w:val="364332947"/>
          <w:placeholder>
            <w:docPart w:val="GBC22222222222222222222222222222"/>
          </w:placeholder>
        </w:sdtPr>
        <w:sdtContent>
          <w:r>
            <w:rPr>
              <w:rFonts w:hint="eastAsia"/>
            </w:rPr>
            <w:t>0</w:t>
          </w:r>
        </w:sdtContent>
      </w:sdt>
      <w:r>
        <w:rPr>
          <w:rFonts w:hint="eastAsia"/>
        </w:rPr>
        <w:t>元。</w:t>
      </w:r>
    </w:p>
    <w:p w14:paraId="3E217D44" w14:textId="77777777" w:rsidR="00577D08" w:rsidRDefault="00330FC0">
      <w:pPr>
        <w:pStyle w:val="3"/>
        <w:numPr>
          <w:ilvl w:val="0"/>
          <w:numId w:val="61"/>
        </w:numPr>
        <w:tabs>
          <w:tab w:val="left" w:pos="504"/>
        </w:tabs>
        <w:rPr>
          <w:szCs w:val="21"/>
        </w:rPr>
      </w:pPr>
      <w:r>
        <w:rPr>
          <w:szCs w:val="21"/>
        </w:rPr>
        <w:t>营业</w:t>
      </w:r>
      <w:r>
        <w:rPr>
          <w:rFonts w:ascii="宋体" w:hAnsi="宋体"/>
          <w:szCs w:val="21"/>
        </w:rPr>
        <w:t>收入</w:t>
      </w:r>
      <w:r>
        <w:rPr>
          <w:szCs w:val="21"/>
        </w:rPr>
        <w:t>和营业成本</w:t>
      </w:r>
    </w:p>
    <w:p w14:paraId="25CF7711" w14:textId="77777777" w:rsidR="00577D08" w:rsidRDefault="00330FC0">
      <w:pPr>
        <w:pStyle w:val="4"/>
        <w:numPr>
          <w:ilvl w:val="0"/>
          <w:numId w:val="97"/>
        </w:numPr>
        <w:ind w:left="426" w:hanging="426"/>
        <w:rPr>
          <w:rFonts w:hint="eastAsia"/>
        </w:rPr>
      </w:pPr>
      <w:r>
        <w:rPr>
          <w:rFonts w:hint="eastAsia"/>
        </w:rPr>
        <w:t>营业收入和营业成本情况</w:t>
      </w:r>
    </w:p>
    <w:sdt>
      <w:sdtPr>
        <w:alias w:val="是否适用：营业收入和营业成本[双击切换]"/>
        <w:tag w:val="_GBC_c0388196e3634afc823f4b5822c5937a"/>
        <w:id w:val="416300077"/>
        <w:placeholder>
          <w:docPart w:val="GBC22222222222222222222222222222"/>
        </w:placeholder>
      </w:sdtPr>
      <w:sdtContent>
        <w:p w14:paraId="23178717" w14:textId="639E4F61"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r w:rsidR="00CC5C32">
            <w:rPr>
              <w:rFonts w:ascii="宋体" w:hAnsi="宋体"/>
            </w:rPr>
            <w:t xml:space="preserve"> </w:t>
          </w:r>
        </w:p>
      </w:sdtContent>
    </w:sdt>
    <w:p w14:paraId="58A654DF" w14:textId="204EDE08" w:rsidR="00577D08" w:rsidRDefault="00330FC0">
      <w:pPr>
        <w:jc w:val="right"/>
      </w:pPr>
      <w:r>
        <w:rPr>
          <w:rFonts w:hint="eastAsia"/>
          <w:bCs/>
        </w:rPr>
        <w:t>单位：</w:t>
      </w:r>
      <w:sdt>
        <w:sdtPr>
          <w:rPr>
            <w:rFonts w:hint="eastAsia"/>
            <w:bCs/>
          </w:rPr>
          <w:alias w:val="单位：财务附注：营业收入"/>
          <w:tag w:val="_GBC_65cadde8ae1e4b178e7f2737b89bb434"/>
          <w:id w:val="-5722764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rPr>
            <w:t>元</w:t>
          </w:r>
          <w:r w:rsidR="00CC5C32">
            <w:rPr>
              <w:rFonts w:hint="eastAsia"/>
              <w:bCs/>
            </w:rPr>
            <w:t xml:space="preserve"> </w:t>
          </w:r>
        </w:sdtContent>
      </w:sdt>
      <w:r>
        <w:rPr>
          <w:rFonts w:hint="eastAsia"/>
          <w:bCs/>
        </w:rPr>
        <w:t>币种：</w:t>
      </w:r>
      <w:sdt>
        <w:sdtPr>
          <w:rPr>
            <w:rFonts w:hint="eastAsia"/>
            <w:bCs/>
          </w:rPr>
          <w:alias w:val="币种：财务附注：营业收入"/>
          <w:tag w:val="_GBC_1371c944b91f437595273e807317f64f"/>
          <w:id w:val="13415762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rPr>
            <w:t>人民币</w:t>
          </w:r>
        </w:sdtContent>
      </w:sdt>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1889"/>
        <w:gridCol w:w="1902"/>
        <w:gridCol w:w="1900"/>
        <w:gridCol w:w="1900"/>
      </w:tblGrid>
      <w:tr w:rsidR="00577D08" w14:paraId="4EFC95CA" w14:textId="77777777">
        <w:sdt>
          <w:sdtPr>
            <w:tag w:val="_PLD_77e8683f75cd4c9e919404e1278fe9a0"/>
            <w:id w:val="-853495107"/>
          </w:sdtPr>
          <w:sdtContent>
            <w:tc>
              <w:tcPr>
                <w:tcW w:w="1456" w:type="dxa"/>
                <w:vMerge w:val="restart"/>
                <w:tcBorders>
                  <w:top w:val="single" w:sz="4" w:space="0" w:color="auto"/>
                  <w:left w:val="single" w:sz="4" w:space="0" w:color="auto"/>
                  <w:right w:val="single" w:sz="4" w:space="0" w:color="auto"/>
                </w:tcBorders>
                <w:vAlign w:val="center"/>
              </w:tcPr>
              <w:p w14:paraId="0012CED9" w14:textId="77777777" w:rsidR="00577D08" w:rsidRDefault="00330FC0">
                <w:pPr>
                  <w:jc w:val="center"/>
                </w:pPr>
                <w:r>
                  <w:rPr>
                    <w:rFonts w:hint="eastAsia"/>
                  </w:rPr>
                  <w:t>项目</w:t>
                </w:r>
              </w:p>
            </w:tc>
          </w:sdtContent>
        </w:sdt>
        <w:sdt>
          <w:sdtPr>
            <w:tag w:val="_PLD_e956f55a311f45a19dc3ce9396b931c9"/>
            <w:id w:val="1306581932"/>
          </w:sdtPr>
          <w:sdtContent>
            <w:tc>
              <w:tcPr>
                <w:tcW w:w="3791" w:type="dxa"/>
                <w:gridSpan w:val="2"/>
                <w:tcBorders>
                  <w:top w:val="single" w:sz="4" w:space="0" w:color="auto"/>
                  <w:left w:val="single" w:sz="4" w:space="0" w:color="auto"/>
                  <w:bottom w:val="single" w:sz="4" w:space="0" w:color="auto"/>
                  <w:right w:val="single" w:sz="4" w:space="0" w:color="auto"/>
                </w:tcBorders>
                <w:vAlign w:val="center"/>
              </w:tcPr>
              <w:p w14:paraId="6C961A85" w14:textId="77777777" w:rsidR="00577D08" w:rsidRDefault="00330FC0">
                <w:pPr>
                  <w:jc w:val="center"/>
                </w:pPr>
                <w:r>
                  <w:rPr>
                    <w:rFonts w:hint="eastAsia"/>
                  </w:rPr>
                  <w:t>本期发生额</w:t>
                </w:r>
              </w:p>
            </w:tc>
          </w:sdtContent>
        </w:sdt>
        <w:sdt>
          <w:sdtPr>
            <w:tag w:val="_PLD_d175a7df90684e2bbdccc1ba942f2760"/>
            <w:id w:val="-1394111158"/>
          </w:sdtPr>
          <w:sdtContent>
            <w:tc>
              <w:tcPr>
                <w:tcW w:w="3800" w:type="dxa"/>
                <w:gridSpan w:val="2"/>
                <w:tcBorders>
                  <w:top w:val="single" w:sz="4" w:space="0" w:color="auto"/>
                  <w:left w:val="single" w:sz="4" w:space="0" w:color="auto"/>
                  <w:bottom w:val="single" w:sz="4" w:space="0" w:color="auto"/>
                  <w:right w:val="single" w:sz="4" w:space="0" w:color="auto"/>
                </w:tcBorders>
                <w:vAlign w:val="center"/>
              </w:tcPr>
              <w:p w14:paraId="5584494B" w14:textId="77777777" w:rsidR="00577D08" w:rsidRDefault="00330FC0">
                <w:pPr>
                  <w:jc w:val="center"/>
                </w:pPr>
                <w:r>
                  <w:rPr>
                    <w:rFonts w:hint="eastAsia"/>
                  </w:rPr>
                  <w:t>上期发生额</w:t>
                </w:r>
              </w:p>
            </w:tc>
          </w:sdtContent>
        </w:sdt>
      </w:tr>
      <w:tr w:rsidR="00577D08" w14:paraId="5DEF196B" w14:textId="77777777">
        <w:tc>
          <w:tcPr>
            <w:tcW w:w="1456" w:type="dxa"/>
            <w:vMerge/>
            <w:tcBorders>
              <w:left w:val="single" w:sz="4" w:space="0" w:color="auto"/>
              <w:bottom w:val="single" w:sz="4" w:space="0" w:color="auto"/>
              <w:right w:val="single" w:sz="4" w:space="0" w:color="auto"/>
            </w:tcBorders>
            <w:vAlign w:val="center"/>
          </w:tcPr>
          <w:p w14:paraId="4B0B5487" w14:textId="77777777" w:rsidR="00577D08" w:rsidRDefault="00577D08">
            <w:pPr>
              <w:jc w:val="center"/>
            </w:pPr>
          </w:p>
        </w:tc>
        <w:sdt>
          <w:sdtPr>
            <w:tag w:val="_PLD_fe053e4bca564a1fbda44c85256ce067"/>
            <w:id w:val="-1432048666"/>
          </w:sdtPr>
          <w:sdtContent>
            <w:tc>
              <w:tcPr>
                <w:tcW w:w="1889" w:type="dxa"/>
                <w:tcBorders>
                  <w:top w:val="single" w:sz="4" w:space="0" w:color="auto"/>
                  <w:left w:val="single" w:sz="4" w:space="0" w:color="auto"/>
                  <w:bottom w:val="single" w:sz="4" w:space="0" w:color="auto"/>
                  <w:right w:val="single" w:sz="4" w:space="0" w:color="auto"/>
                </w:tcBorders>
                <w:vAlign w:val="center"/>
              </w:tcPr>
              <w:p w14:paraId="0CB69956" w14:textId="77777777" w:rsidR="00577D08" w:rsidRDefault="00330FC0">
                <w:pPr>
                  <w:jc w:val="center"/>
                </w:pPr>
                <w:r>
                  <w:rPr>
                    <w:rFonts w:hint="eastAsia"/>
                  </w:rPr>
                  <w:t>收入</w:t>
                </w:r>
              </w:p>
            </w:tc>
          </w:sdtContent>
        </w:sdt>
        <w:sdt>
          <w:sdtPr>
            <w:tag w:val="_PLD_88be7d92d03d4168a79d4492be4a258c"/>
            <w:id w:val="-355574201"/>
          </w:sdtPr>
          <w:sdtContent>
            <w:tc>
              <w:tcPr>
                <w:tcW w:w="1902" w:type="dxa"/>
                <w:tcBorders>
                  <w:top w:val="single" w:sz="4" w:space="0" w:color="auto"/>
                  <w:left w:val="single" w:sz="4" w:space="0" w:color="auto"/>
                  <w:bottom w:val="single" w:sz="4" w:space="0" w:color="auto"/>
                  <w:right w:val="single" w:sz="4" w:space="0" w:color="auto"/>
                </w:tcBorders>
                <w:vAlign w:val="center"/>
              </w:tcPr>
              <w:p w14:paraId="542526FF" w14:textId="77777777" w:rsidR="00577D08" w:rsidRDefault="00330FC0">
                <w:pPr>
                  <w:jc w:val="center"/>
                </w:pPr>
                <w:r>
                  <w:rPr>
                    <w:rFonts w:hint="eastAsia"/>
                  </w:rPr>
                  <w:t>成本</w:t>
                </w:r>
              </w:p>
            </w:tc>
          </w:sdtContent>
        </w:sdt>
        <w:sdt>
          <w:sdtPr>
            <w:tag w:val="_PLD_5ba4682bc5644bc38c4b795c78508b1f"/>
            <w:id w:val="663756593"/>
          </w:sdtPr>
          <w:sdtContent>
            <w:tc>
              <w:tcPr>
                <w:tcW w:w="1900" w:type="dxa"/>
                <w:tcBorders>
                  <w:top w:val="single" w:sz="4" w:space="0" w:color="auto"/>
                  <w:left w:val="single" w:sz="4" w:space="0" w:color="auto"/>
                  <w:bottom w:val="single" w:sz="4" w:space="0" w:color="auto"/>
                  <w:right w:val="single" w:sz="4" w:space="0" w:color="auto"/>
                </w:tcBorders>
                <w:vAlign w:val="center"/>
              </w:tcPr>
              <w:p w14:paraId="3055EBAA" w14:textId="77777777" w:rsidR="00577D08" w:rsidRDefault="00330FC0">
                <w:pPr>
                  <w:jc w:val="center"/>
                </w:pPr>
                <w:r>
                  <w:rPr>
                    <w:rFonts w:hint="eastAsia"/>
                  </w:rPr>
                  <w:t>收入</w:t>
                </w:r>
              </w:p>
            </w:tc>
          </w:sdtContent>
        </w:sdt>
        <w:sdt>
          <w:sdtPr>
            <w:tag w:val="_PLD_94a3ede4ab834e37a20364f2c6897976"/>
            <w:id w:val="-556161264"/>
          </w:sdtPr>
          <w:sdtContent>
            <w:tc>
              <w:tcPr>
                <w:tcW w:w="1900" w:type="dxa"/>
                <w:tcBorders>
                  <w:top w:val="single" w:sz="4" w:space="0" w:color="auto"/>
                  <w:left w:val="single" w:sz="4" w:space="0" w:color="auto"/>
                  <w:bottom w:val="single" w:sz="4" w:space="0" w:color="auto"/>
                  <w:right w:val="single" w:sz="4" w:space="0" w:color="auto"/>
                </w:tcBorders>
                <w:vAlign w:val="center"/>
              </w:tcPr>
              <w:p w14:paraId="6B3EA93A" w14:textId="77777777" w:rsidR="00577D08" w:rsidRDefault="00330FC0">
                <w:pPr>
                  <w:jc w:val="center"/>
                </w:pPr>
                <w:r>
                  <w:rPr>
                    <w:rFonts w:hint="eastAsia"/>
                  </w:rPr>
                  <w:t>成本</w:t>
                </w:r>
              </w:p>
            </w:tc>
          </w:sdtContent>
        </w:sdt>
      </w:tr>
      <w:tr w:rsidR="00577D08" w14:paraId="6E70DE79" w14:textId="77777777">
        <w:tc>
          <w:tcPr>
            <w:tcW w:w="1456" w:type="dxa"/>
            <w:tcBorders>
              <w:top w:val="single" w:sz="4" w:space="0" w:color="auto"/>
              <w:left w:val="single" w:sz="4" w:space="0" w:color="auto"/>
              <w:bottom w:val="single" w:sz="4" w:space="0" w:color="auto"/>
              <w:right w:val="single" w:sz="4" w:space="0" w:color="auto"/>
            </w:tcBorders>
            <w:vAlign w:val="center"/>
          </w:tcPr>
          <w:p w14:paraId="38AF07BF" w14:textId="77777777" w:rsidR="00577D08" w:rsidRDefault="00330FC0">
            <w:r>
              <w:rPr>
                <w:rFonts w:hint="eastAsia"/>
              </w:rPr>
              <w:t>主营业务</w:t>
            </w:r>
          </w:p>
        </w:tc>
        <w:tc>
          <w:tcPr>
            <w:tcW w:w="1889" w:type="dxa"/>
            <w:tcBorders>
              <w:top w:val="single" w:sz="4" w:space="0" w:color="auto"/>
              <w:left w:val="single" w:sz="4" w:space="0" w:color="auto"/>
              <w:bottom w:val="single" w:sz="4" w:space="0" w:color="auto"/>
              <w:right w:val="single" w:sz="4" w:space="0" w:color="auto"/>
            </w:tcBorders>
          </w:tcPr>
          <w:p w14:paraId="2DC8F71D" w14:textId="77777777" w:rsidR="00577D08" w:rsidRDefault="00330FC0">
            <w:pPr>
              <w:jc w:val="right"/>
            </w:pPr>
            <w:r>
              <w:t xml:space="preserve"> 3,789,072,546.11 </w:t>
            </w:r>
          </w:p>
        </w:tc>
        <w:tc>
          <w:tcPr>
            <w:tcW w:w="1902" w:type="dxa"/>
            <w:tcBorders>
              <w:top w:val="single" w:sz="4" w:space="0" w:color="auto"/>
              <w:left w:val="single" w:sz="4" w:space="0" w:color="auto"/>
              <w:bottom w:val="single" w:sz="4" w:space="0" w:color="auto"/>
              <w:right w:val="single" w:sz="4" w:space="0" w:color="auto"/>
            </w:tcBorders>
          </w:tcPr>
          <w:p w14:paraId="11BCED61" w14:textId="77777777" w:rsidR="00577D08" w:rsidRDefault="00330FC0">
            <w:pPr>
              <w:jc w:val="right"/>
            </w:pPr>
            <w:r>
              <w:t xml:space="preserve"> 3,349,684,230.37 </w:t>
            </w:r>
          </w:p>
        </w:tc>
        <w:tc>
          <w:tcPr>
            <w:tcW w:w="1900" w:type="dxa"/>
            <w:tcBorders>
              <w:top w:val="single" w:sz="4" w:space="0" w:color="auto"/>
              <w:left w:val="single" w:sz="4" w:space="0" w:color="auto"/>
              <w:bottom w:val="single" w:sz="4" w:space="0" w:color="auto"/>
              <w:right w:val="single" w:sz="4" w:space="0" w:color="auto"/>
            </w:tcBorders>
          </w:tcPr>
          <w:p w14:paraId="17EB4D8D" w14:textId="77777777" w:rsidR="00577D08" w:rsidRDefault="00330FC0">
            <w:pPr>
              <w:jc w:val="right"/>
            </w:pPr>
            <w:r>
              <w:t>3,267,532,228.32</w:t>
            </w:r>
          </w:p>
        </w:tc>
        <w:tc>
          <w:tcPr>
            <w:tcW w:w="1900" w:type="dxa"/>
            <w:tcBorders>
              <w:top w:val="single" w:sz="4" w:space="0" w:color="auto"/>
              <w:left w:val="single" w:sz="4" w:space="0" w:color="auto"/>
              <w:bottom w:val="single" w:sz="4" w:space="0" w:color="auto"/>
              <w:right w:val="single" w:sz="4" w:space="0" w:color="auto"/>
            </w:tcBorders>
          </w:tcPr>
          <w:p w14:paraId="390ACD40" w14:textId="77777777" w:rsidR="00577D08" w:rsidRDefault="00330FC0">
            <w:pPr>
              <w:jc w:val="right"/>
            </w:pPr>
            <w:r>
              <w:t>2,905,643,833.14</w:t>
            </w:r>
          </w:p>
        </w:tc>
      </w:tr>
      <w:tr w:rsidR="00577D08" w14:paraId="295C6420" w14:textId="77777777">
        <w:tc>
          <w:tcPr>
            <w:tcW w:w="1456" w:type="dxa"/>
            <w:tcBorders>
              <w:top w:val="single" w:sz="4" w:space="0" w:color="auto"/>
              <w:left w:val="single" w:sz="4" w:space="0" w:color="auto"/>
              <w:bottom w:val="single" w:sz="4" w:space="0" w:color="auto"/>
              <w:right w:val="single" w:sz="4" w:space="0" w:color="auto"/>
            </w:tcBorders>
            <w:vAlign w:val="center"/>
          </w:tcPr>
          <w:p w14:paraId="7B13BA12" w14:textId="77777777" w:rsidR="00577D08" w:rsidRDefault="00330FC0">
            <w:r>
              <w:rPr>
                <w:rFonts w:hint="eastAsia"/>
              </w:rPr>
              <w:t>其他业务</w:t>
            </w:r>
          </w:p>
        </w:tc>
        <w:tc>
          <w:tcPr>
            <w:tcW w:w="1889" w:type="dxa"/>
            <w:tcBorders>
              <w:top w:val="single" w:sz="4" w:space="0" w:color="auto"/>
              <w:left w:val="single" w:sz="4" w:space="0" w:color="auto"/>
              <w:bottom w:val="single" w:sz="4" w:space="0" w:color="auto"/>
              <w:right w:val="single" w:sz="4" w:space="0" w:color="auto"/>
            </w:tcBorders>
          </w:tcPr>
          <w:p w14:paraId="3ED636F4" w14:textId="77777777" w:rsidR="00577D08" w:rsidRDefault="00330FC0">
            <w:pPr>
              <w:jc w:val="right"/>
            </w:pPr>
            <w:r>
              <w:t xml:space="preserve"> 127,935,733.07 </w:t>
            </w:r>
          </w:p>
        </w:tc>
        <w:tc>
          <w:tcPr>
            <w:tcW w:w="1902" w:type="dxa"/>
            <w:tcBorders>
              <w:top w:val="single" w:sz="4" w:space="0" w:color="auto"/>
              <w:left w:val="single" w:sz="4" w:space="0" w:color="auto"/>
              <w:bottom w:val="single" w:sz="4" w:space="0" w:color="auto"/>
              <w:right w:val="single" w:sz="4" w:space="0" w:color="auto"/>
            </w:tcBorders>
          </w:tcPr>
          <w:p w14:paraId="3B071691" w14:textId="77777777" w:rsidR="00577D08" w:rsidRDefault="00330FC0">
            <w:pPr>
              <w:jc w:val="right"/>
            </w:pPr>
            <w:r>
              <w:t xml:space="preserve"> 120,505,379.99 </w:t>
            </w:r>
          </w:p>
        </w:tc>
        <w:tc>
          <w:tcPr>
            <w:tcW w:w="1900" w:type="dxa"/>
            <w:tcBorders>
              <w:top w:val="single" w:sz="4" w:space="0" w:color="auto"/>
              <w:left w:val="single" w:sz="4" w:space="0" w:color="auto"/>
              <w:bottom w:val="single" w:sz="4" w:space="0" w:color="auto"/>
              <w:right w:val="single" w:sz="4" w:space="0" w:color="auto"/>
            </w:tcBorders>
          </w:tcPr>
          <w:p w14:paraId="19F9900B" w14:textId="77777777" w:rsidR="00577D08" w:rsidRDefault="00330FC0">
            <w:pPr>
              <w:jc w:val="right"/>
            </w:pPr>
            <w:r>
              <w:t>84,037,774.98</w:t>
            </w:r>
          </w:p>
        </w:tc>
        <w:tc>
          <w:tcPr>
            <w:tcW w:w="1900" w:type="dxa"/>
            <w:tcBorders>
              <w:top w:val="single" w:sz="4" w:space="0" w:color="auto"/>
              <w:left w:val="single" w:sz="4" w:space="0" w:color="auto"/>
              <w:bottom w:val="single" w:sz="4" w:space="0" w:color="auto"/>
              <w:right w:val="single" w:sz="4" w:space="0" w:color="auto"/>
            </w:tcBorders>
          </w:tcPr>
          <w:p w14:paraId="1617C7E5" w14:textId="77777777" w:rsidR="00577D08" w:rsidRDefault="00330FC0">
            <w:pPr>
              <w:jc w:val="right"/>
            </w:pPr>
            <w:r>
              <w:t>78,308,021.10</w:t>
            </w:r>
          </w:p>
        </w:tc>
      </w:tr>
      <w:tr w:rsidR="00577D08" w14:paraId="1F89AA30" w14:textId="77777777">
        <w:tc>
          <w:tcPr>
            <w:tcW w:w="1456" w:type="dxa"/>
            <w:tcBorders>
              <w:top w:val="single" w:sz="4" w:space="0" w:color="auto"/>
              <w:left w:val="single" w:sz="4" w:space="0" w:color="auto"/>
              <w:bottom w:val="single" w:sz="4" w:space="0" w:color="auto"/>
              <w:right w:val="single" w:sz="4" w:space="0" w:color="auto"/>
            </w:tcBorders>
            <w:vAlign w:val="center"/>
          </w:tcPr>
          <w:p w14:paraId="5879E17C" w14:textId="77777777" w:rsidR="00577D08" w:rsidRDefault="00330FC0">
            <w:pPr>
              <w:jc w:val="center"/>
            </w:pPr>
            <w:r>
              <w:rPr>
                <w:rFonts w:hint="eastAsia"/>
              </w:rPr>
              <w:t>合计</w:t>
            </w:r>
          </w:p>
        </w:tc>
        <w:tc>
          <w:tcPr>
            <w:tcW w:w="1889" w:type="dxa"/>
            <w:tcBorders>
              <w:top w:val="single" w:sz="4" w:space="0" w:color="auto"/>
              <w:left w:val="single" w:sz="4" w:space="0" w:color="auto"/>
              <w:bottom w:val="single" w:sz="4" w:space="0" w:color="auto"/>
              <w:right w:val="single" w:sz="4" w:space="0" w:color="auto"/>
            </w:tcBorders>
          </w:tcPr>
          <w:p w14:paraId="56CC4549" w14:textId="77777777" w:rsidR="00577D08" w:rsidRDefault="00330FC0">
            <w:pPr>
              <w:jc w:val="right"/>
            </w:pPr>
            <w:r>
              <w:t xml:space="preserve"> 3,917,008,279.18 </w:t>
            </w:r>
          </w:p>
        </w:tc>
        <w:tc>
          <w:tcPr>
            <w:tcW w:w="1902" w:type="dxa"/>
            <w:tcBorders>
              <w:top w:val="single" w:sz="4" w:space="0" w:color="auto"/>
              <w:left w:val="single" w:sz="4" w:space="0" w:color="auto"/>
              <w:bottom w:val="single" w:sz="4" w:space="0" w:color="auto"/>
              <w:right w:val="single" w:sz="4" w:space="0" w:color="auto"/>
            </w:tcBorders>
          </w:tcPr>
          <w:p w14:paraId="758AE94B" w14:textId="77777777" w:rsidR="00577D08" w:rsidRDefault="00330FC0">
            <w:pPr>
              <w:jc w:val="right"/>
            </w:pPr>
            <w:r>
              <w:t xml:space="preserve"> 3,470,189,610.36 </w:t>
            </w:r>
          </w:p>
        </w:tc>
        <w:tc>
          <w:tcPr>
            <w:tcW w:w="1900" w:type="dxa"/>
            <w:tcBorders>
              <w:top w:val="single" w:sz="4" w:space="0" w:color="auto"/>
              <w:left w:val="single" w:sz="4" w:space="0" w:color="auto"/>
              <w:bottom w:val="single" w:sz="4" w:space="0" w:color="auto"/>
              <w:right w:val="single" w:sz="4" w:space="0" w:color="auto"/>
            </w:tcBorders>
          </w:tcPr>
          <w:p w14:paraId="6D24D209" w14:textId="77777777" w:rsidR="00577D08" w:rsidRDefault="00330FC0">
            <w:pPr>
              <w:jc w:val="right"/>
            </w:pPr>
            <w:r>
              <w:t>3,351,570,003.30</w:t>
            </w:r>
          </w:p>
        </w:tc>
        <w:tc>
          <w:tcPr>
            <w:tcW w:w="1900" w:type="dxa"/>
            <w:tcBorders>
              <w:top w:val="single" w:sz="4" w:space="0" w:color="auto"/>
              <w:left w:val="single" w:sz="4" w:space="0" w:color="auto"/>
              <w:bottom w:val="single" w:sz="4" w:space="0" w:color="auto"/>
              <w:right w:val="single" w:sz="4" w:space="0" w:color="auto"/>
            </w:tcBorders>
          </w:tcPr>
          <w:p w14:paraId="389AA3C6" w14:textId="77777777" w:rsidR="00577D08" w:rsidRDefault="00330FC0">
            <w:pPr>
              <w:jc w:val="right"/>
            </w:pPr>
            <w:r>
              <w:t>2,983,951,854.24</w:t>
            </w:r>
          </w:p>
        </w:tc>
      </w:tr>
    </w:tbl>
    <w:bookmarkStart w:id="453" w:name="_Hlk533756233" w:displacedByCustomXml="next"/>
    <w:sdt>
      <w:sdtPr>
        <w:rPr>
          <w:rFonts w:ascii="宋体" w:eastAsia="宋体" w:hAnsi="宋体" w:cs="宋体" w:hint="eastAsia"/>
          <w:b w:val="0"/>
          <w:bCs w:val="0"/>
          <w:kern w:val="0"/>
          <w:szCs w:val="24"/>
        </w:rPr>
        <w:alias w:val="模块:合同产生的收入的情况"/>
        <w:tag w:val="_SEC_020e88e24a604d8684cb34b724e2379b"/>
        <w:id w:val="2037080594"/>
        <w:placeholder>
          <w:docPart w:val="GBC22222222222222222222222222222"/>
        </w:placeholder>
      </w:sdtPr>
      <w:sdtEndPr>
        <w:rPr>
          <w:rFonts w:ascii="Times New Roman" w:hAnsi="Times New Roman" w:cs="Times New Roman" w:hint="default"/>
          <w:szCs w:val="20"/>
        </w:rPr>
      </w:sdtEndPr>
      <w:sdtContent>
        <w:p w14:paraId="7F52C34F" w14:textId="77777777" w:rsidR="00577D08" w:rsidRDefault="00330FC0">
          <w:pPr>
            <w:pStyle w:val="4"/>
            <w:numPr>
              <w:ilvl w:val="0"/>
              <w:numId w:val="97"/>
            </w:numPr>
            <w:ind w:left="426" w:hanging="426"/>
            <w:rPr>
              <w:rFonts w:hint="eastAsia"/>
            </w:rPr>
          </w:pPr>
          <w:r>
            <w:rPr>
              <w:rFonts w:hint="eastAsia"/>
            </w:rPr>
            <w:t>营业收入、营业成本的分解信息</w:t>
          </w:r>
        </w:p>
        <w:sdt>
          <w:sdtPr>
            <w:rPr>
              <w:rFonts w:ascii="宋体" w:hAnsi="宋体"/>
              <w:szCs w:val="21"/>
            </w:rPr>
            <w:alias w:val="是否适用：营业收入、营业成本的分解信息 [双击切换]"/>
            <w:tag w:val="_GBC_9ca3964974eb4c71856442f0683fa140"/>
            <w:id w:val="2005309646"/>
            <w:placeholder>
              <w:docPart w:val="GBC22222222222222222222222222222"/>
            </w:placeholder>
          </w:sdtPr>
          <w:sdtContent>
            <w:p w14:paraId="251B9FAB" w14:textId="77777777" w:rsidR="00577D08" w:rsidRDefault="00330FC0">
              <w:pPr>
                <w:pStyle w:val="aff9"/>
                <w:ind w:firstLineChars="0" w:firstLine="0"/>
                <w:jc w:val="left"/>
                <w:rPr>
                  <w:rFonts w:ascii="宋体" w:hAnsi="宋体" w:hint="eastAsia"/>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14:paraId="2FC9213D" w14:textId="22B531F9" w:rsidR="00577D08" w:rsidRDefault="00330FC0">
          <w:pPr>
            <w:pStyle w:val="aff9"/>
            <w:ind w:firstLineChars="0" w:firstLine="0"/>
            <w:jc w:val="right"/>
            <w:rPr>
              <w:rFonts w:ascii="宋体" w:hAnsi="宋体" w:hint="eastAsia"/>
              <w:szCs w:val="21"/>
            </w:rPr>
          </w:pPr>
          <w:r>
            <w:rPr>
              <w:rFonts w:ascii="宋体" w:hAnsi="宋体" w:hint="eastAsia"/>
              <w:szCs w:val="21"/>
            </w:rPr>
            <w:t>单位：</w:t>
          </w:r>
          <w:sdt>
            <w:sdtPr>
              <w:rPr>
                <w:rFonts w:ascii="宋体" w:hAnsi="宋体" w:hint="eastAsia"/>
                <w:szCs w:val="21"/>
              </w:rPr>
              <w:alias w:val="单位：营业收入、营业成本的分解信息 "/>
              <w:tag w:val="_GBC_712aadfd959247489c16d4246880bfef"/>
              <w:id w:val="19884382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r w:rsidR="00CC5C32">
                <w:rPr>
                  <w:rFonts w:ascii="宋体" w:hAnsi="宋体" w:hint="eastAsia"/>
                  <w:szCs w:val="21"/>
                </w:rPr>
                <w:t xml:space="preserve"> </w:t>
              </w:r>
            </w:sdtContent>
          </w:sdt>
          <w:r>
            <w:rPr>
              <w:rFonts w:ascii="宋体" w:hAnsi="宋体" w:hint="eastAsia"/>
              <w:szCs w:val="21"/>
            </w:rPr>
            <w:t>币种：</w:t>
          </w:r>
          <w:sdt>
            <w:sdtPr>
              <w:rPr>
                <w:rFonts w:ascii="宋体" w:hAnsi="宋体" w:hint="eastAsia"/>
                <w:szCs w:val="21"/>
              </w:rPr>
              <w:alias w:val="币种：营业收入、营业成本的分解信息 "/>
              <w:tag w:val="_GBC_ca9b26593dbf458b829ac632033cd724"/>
              <w:id w:val="-3515763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359"/>
            <w:gridCol w:w="2926"/>
          </w:tblGrid>
          <w:tr w:rsidR="00577D08" w14:paraId="7F31B161" w14:textId="77777777">
            <w:sdt>
              <w:sdtPr>
                <w:tag w:val="_PLD_0e9269f20e6e4b7f8a6a8c59b9077225"/>
                <w:id w:val="-683746344"/>
              </w:sdtPr>
              <w:sdtContent>
                <w:tc>
                  <w:tcPr>
                    <w:tcW w:w="2005" w:type="pct"/>
                    <w:vMerge w:val="restart"/>
                    <w:tcBorders>
                      <w:top w:val="single" w:sz="4" w:space="0" w:color="auto"/>
                      <w:left w:val="single" w:sz="4" w:space="0" w:color="auto"/>
                      <w:right w:val="single" w:sz="4" w:space="0" w:color="auto"/>
                    </w:tcBorders>
                    <w:vAlign w:val="center"/>
                  </w:tcPr>
                  <w:p w14:paraId="520CEAE4" w14:textId="77777777" w:rsidR="00577D08" w:rsidRDefault="00330FC0">
                    <w:pPr>
                      <w:jc w:val="center"/>
                    </w:pPr>
                    <w:r>
                      <w:rPr>
                        <w:rFonts w:hint="eastAsia"/>
                      </w:rPr>
                      <w:t>合同分类</w:t>
                    </w:r>
                  </w:p>
                </w:tc>
              </w:sdtContent>
            </w:sdt>
            <w:sdt>
              <w:sdtPr>
                <w:tag w:val="_PLD_4c617eb15d544d45ba3090cf4fb369da"/>
                <w:id w:val="324784348"/>
              </w:sdtPr>
              <w:sdtContent>
                <w:tc>
                  <w:tcPr>
                    <w:tcW w:w="2995" w:type="pct"/>
                    <w:gridSpan w:val="2"/>
                    <w:tcBorders>
                      <w:top w:val="single" w:sz="4" w:space="0" w:color="auto"/>
                      <w:left w:val="single" w:sz="4" w:space="0" w:color="auto"/>
                      <w:bottom w:val="single" w:sz="4" w:space="0" w:color="auto"/>
                      <w:right w:val="single" w:sz="4" w:space="0" w:color="auto"/>
                    </w:tcBorders>
                    <w:vAlign w:val="center"/>
                  </w:tcPr>
                  <w:p w14:paraId="549BFC7A" w14:textId="77777777" w:rsidR="00577D08" w:rsidRDefault="00330FC0">
                    <w:pPr>
                      <w:jc w:val="center"/>
                    </w:pPr>
                    <w:r>
                      <w:rPr>
                        <w:rFonts w:hint="eastAsia"/>
                      </w:rPr>
                      <w:t>合计</w:t>
                    </w:r>
                  </w:p>
                </w:tc>
              </w:sdtContent>
            </w:sdt>
          </w:tr>
          <w:tr w:rsidR="00577D08" w14:paraId="31E093EE" w14:textId="77777777">
            <w:tc>
              <w:tcPr>
                <w:tcW w:w="2005" w:type="pct"/>
                <w:vMerge/>
                <w:tcBorders>
                  <w:left w:val="single" w:sz="4" w:space="0" w:color="auto"/>
                  <w:bottom w:val="single" w:sz="4" w:space="0" w:color="auto"/>
                  <w:right w:val="single" w:sz="4" w:space="0" w:color="auto"/>
                </w:tcBorders>
                <w:vAlign w:val="center"/>
              </w:tcPr>
              <w:p w14:paraId="306EC702" w14:textId="77777777" w:rsidR="00577D08" w:rsidRDefault="00577D08">
                <w:pPr>
                  <w:jc w:val="center"/>
                </w:pPr>
              </w:p>
            </w:tc>
            <w:sdt>
              <w:sdtPr>
                <w:tag w:val="_PLD_63400df9f177476bb0975376f62b78b9"/>
                <w:id w:val="2010240773"/>
              </w:sdtPr>
              <w:sdtContent>
                <w:tc>
                  <w:tcPr>
                    <w:tcW w:w="1337" w:type="pct"/>
                    <w:tcBorders>
                      <w:top w:val="single" w:sz="4" w:space="0" w:color="auto"/>
                      <w:left w:val="single" w:sz="4" w:space="0" w:color="auto"/>
                      <w:bottom w:val="single" w:sz="4" w:space="0" w:color="auto"/>
                      <w:right w:val="single" w:sz="4" w:space="0" w:color="auto"/>
                    </w:tcBorders>
                    <w:vAlign w:val="center"/>
                  </w:tcPr>
                  <w:p w14:paraId="24D55971" w14:textId="77777777" w:rsidR="00577D08" w:rsidRDefault="00330FC0">
                    <w:pPr>
                      <w:jc w:val="center"/>
                    </w:pPr>
                    <w:r>
                      <w:rPr>
                        <w:rFonts w:hint="eastAsia"/>
                      </w:rPr>
                      <w:t>营业收入</w:t>
                    </w:r>
                  </w:p>
                </w:tc>
              </w:sdtContent>
            </w:sdt>
            <w:sdt>
              <w:sdtPr>
                <w:tag w:val="_PLD_ccb1ce0fea894f5892ff4f8ace575517"/>
                <w:id w:val="1242767703"/>
              </w:sdtPr>
              <w:sdtContent>
                <w:tc>
                  <w:tcPr>
                    <w:tcW w:w="1658" w:type="pct"/>
                    <w:tcBorders>
                      <w:top w:val="single" w:sz="4" w:space="0" w:color="auto"/>
                      <w:left w:val="single" w:sz="4" w:space="0" w:color="auto"/>
                      <w:bottom w:val="single" w:sz="4" w:space="0" w:color="auto"/>
                      <w:right w:val="single" w:sz="4" w:space="0" w:color="auto"/>
                    </w:tcBorders>
                    <w:vAlign w:val="center"/>
                  </w:tcPr>
                  <w:p w14:paraId="27D502FE" w14:textId="77777777" w:rsidR="00577D08" w:rsidRDefault="00330FC0">
                    <w:pPr>
                      <w:jc w:val="center"/>
                    </w:pPr>
                    <w:r>
                      <w:rPr>
                        <w:rFonts w:hint="eastAsia"/>
                      </w:rPr>
                      <w:t>营业成本</w:t>
                    </w:r>
                  </w:p>
                </w:tc>
              </w:sdtContent>
            </w:sdt>
          </w:tr>
          <w:tr w:rsidR="00577D08" w14:paraId="6D2C3DAB" w14:textId="77777777">
            <w:tc>
              <w:tcPr>
                <w:tcW w:w="2005" w:type="pct"/>
                <w:tcBorders>
                  <w:top w:val="single" w:sz="4" w:space="0" w:color="auto"/>
                  <w:left w:val="single" w:sz="4" w:space="0" w:color="auto"/>
                  <w:bottom w:val="single" w:sz="4" w:space="0" w:color="auto"/>
                  <w:right w:val="single" w:sz="4" w:space="0" w:color="auto"/>
                </w:tcBorders>
                <w:vAlign w:val="center"/>
              </w:tcPr>
              <w:p w14:paraId="0F97DA25" w14:textId="77777777" w:rsidR="00577D08" w:rsidRDefault="00330FC0">
                <w:r>
                  <w:rPr>
                    <w:rFonts w:hint="eastAsia"/>
                  </w:rPr>
                  <w:t>商品类型</w:t>
                </w:r>
              </w:p>
            </w:tc>
            <w:tc>
              <w:tcPr>
                <w:tcW w:w="1337" w:type="pct"/>
                <w:tcBorders>
                  <w:top w:val="single" w:sz="4" w:space="0" w:color="auto"/>
                  <w:left w:val="single" w:sz="4" w:space="0" w:color="auto"/>
                  <w:bottom w:val="single" w:sz="4" w:space="0" w:color="auto"/>
                  <w:right w:val="single" w:sz="4" w:space="0" w:color="auto"/>
                </w:tcBorders>
                <w:vAlign w:val="center"/>
              </w:tcPr>
              <w:p w14:paraId="4F987842" w14:textId="77777777" w:rsidR="00577D08" w:rsidRDefault="00330FC0">
                <w:pPr>
                  <w:jc w:val="right"/>
                </w:pPr>
                <w:r>
                  <w:rPr>
                    <w:rFonts w:hint="eastAsia"/>
                  </w:rPr>
                  <w:t xml:space="preserve">　</w:t>
                </w:r>
              </w:p>
            </w:tc>
            <w:tc>
              <w:tcPr>
                <w:tcW w:w="1658" w:type="pct"/>
                <w:tcBorders>
                  <w:top w:val="single" w:sz="4" w:space="0" w:color="auto"/>
                  <w:left w:val="single" w:sz="4" w:space="0" w:color="auto"/>
                  <w:bottom w:val="single" w:sz="4" w:space="0" w:color="auto"/>
                  <w:right w:val="single" w:sz="4" w:space="0" w:color="auto"/>
                </w:tcBorders>
                <w:vAlign w:val="center"/>
              </w:tcPr>
              <w:p w14:paraId="274A6C5F" w14:textId="77777777" w:rsidR="00577D08" w:rsidRDefault="00330FC0">
                <w:pPr>
                  <w:jc w:val="right"/>
                </w:pPr>
                <w:r>
                  <w:rPr>
                    <w:rFonts w:hint="eastAsia"/>
                  </w:rPr>
                  <w:t xml:space="preserve">　</w:t>
                </w:r>
              </w:p>
            </w:tc>
          </w:tr>
          <w:tr w:rsidR="00577D08" w14:paraId="360A621D" w14:textId="77777777">
            <w:tc>
              <w:tcPr>
                <w:tcW w:w="2005" w:type="pct"/>
                <w:tcBorders>
                  <w:top w:val="single" w:sz="4" w:space="0" w:color="auto"/>
                  <w:left w:val="single" w:sz="4" w:space="0" w:color="auto"/>
                  <w:bottom w:val="single" w:sz="4" w:space="0" w:color="auto"/>
                  <w:right w:val="single" w:sz="4" w:space="0" w:color="auto"/>
                </w:tcBorders>
              </w:tcPr>
              <w:p w14:paraId="5546BC0F" w14:textId="77777777" w:rsidR="00577D08" w:rsidRDefault="00330FC0">
                <w:pPr>
                  <w:ind w:firstLineChars="200" w:firstLine="420"/>
                </w:pPr>
                <w:r>
                  <w:rPr>
                    <w:rFonts w:hint="eastAsia"/>
                  </w:rPr>
                  <w:t>输配电及控制设备</w:t>
                </w:r>
              </w:p>
            </w:tc>
            <w:tc>
              <w:tcPr>
                <w:tcW w:w="1337" w:type="pct"/>
                <w:tcBorders>
                  <w:top w:val="single" w:sz="4" w:space="0" w:color="auto"/>
                  <w:left w:val="single" w:sz="4" w:space="0" w:color="auto"/>
                  <w:bottom w:val="single" w:sz="4" w:space="0" w:color="auto"/>
                  <w:right w:val="single" w:sz="4" w:space="0" w:color="auto"/>
                </w:tcBorders>
              </w:tcPr>
              <w:p w14:paraId="15A97DDE" w14:textId="77777777" w:rsidR="00577D08" w:rsidRDefault="00330FC0">
                <w:pPr>
                  <w:jc w:val="right"/>
                </w:pPr>
                <w:r>
                  <w:t xml:space="preserve"> 2,510,833,995.19 </w:t>
                </w:r>
              </w:p>
            </w:tc>
            <w:tc>
              <w:tcPr>
                <w:tcW w:w="1658" w:type="pct"/>
                <w:tcBorders>
                  <w:top w:val="single" w:sz="4" w:space="0" w:color="auto"/>
                  <w:left w:val="single" w:sz="4" w:space="0" w:color="auto"/>
                  <w:bottom w:val="single" w:sz="4" w:space="0" w:color="auto"/>
                  <w:right w:val="single" w:sz="4" w:space="0" w:color="auto"/>
                </w:tcBorders>
              </w:tcPr>
              <w:p w14:paraId="224E6F23" w14:textId="77777777" w:rsidR="00577D08" w:rsidRDefault="00330FC0">
                <w:pPr>
                  <w:jc w:val="right"/>
                </w:pPr>
                <w:r>
                  <w:t xml:space="preserve"> 2,178,856,428.66 </w:t>
                </w:r>
              </w:p>
            </w:tc>
          </w:tr>
          <w:tr w:rsidR="00577D08" w14:paraId="35B23F23" w14:textId="77777777">
            <w:tc>
              <w:tcPr>
                <w:tcW w:w="2005" w:type="pct"/>
                <w:tcBorders>
                  <w:top w:val="single" w:sz="4" w:space="0" w:color="auto"/>
                  <w:left w:val="single" w:sz="4" w:space="0" w:color="auto"/>
                  <w:bottom w:val="single" w:sz="4" w:space="0" w:color="auto"/>
                  <w:right w:val="single" w:sz="4" w:space="0" w:color="auto"/>
                </w:tcBorders>
              </w:tcPr>
              <w:p w14:paraId="4762C88D" w14:textId="77777777" w:rsidR="00577D08" w:rsidRDefault="00330FC0">
                <w:pPr>
                  <w:ind w:firstLineChars="200" w:firstLine="420"/>
                </w:pPr>
                <w:r>
                  <w:rPr>
                    <w:rFonts w:hint="eastAsia"/>
                  </w:rPr>
                  <w:t>取向硅钢</w:t>
                </w:r>
              </w:p>
            </w:tc>
            <w:tc>
              <w:tcPr>
                <w:tcW w:w="1337" w:type="pct"/>
                <w:tcBorders>
                  <w:top w:val="single" w:sz="4" w:space="0" w:color="auto"/>
                  <w:left w:val="single" w:sz="4" w:space="0" w:color="auto"/>
                  <w:bottom w:val="single" w:sz="4" w:space="0" w:color="auto"/>
                  <w:right w:val="single" w:sz="4" w:space="0" w:color="auto"/>
                </w:tcBorders>
              </w:tcPr>
              <w:p w14:paraId="33B4B725" w14:textId="77777777" w:rsidR="00577D08" w:rsidRDefault="00330FC0">
                <w:pPr>
                  <w:jc w:val="right"/>
                </w:pPr>
                <w:r>
                  <w:t xml:space="preserve"> 1,278,238,550.92 </w:t>
                </w:r>
              </w:p>
            </w:tc>
            <w:tc>
              <w:tcPr>
                <w:tcW w:w="1658" w:type="pct"/>
                <w:tcBorders>
                  <w:top w:val="single" w:sz="4" w:space="0" w:color="auto"/>
                  <w:left w:val="single" w:sz="4" w:space="0" w:color="auto"/>
                  <w:bottom w:val="single" w:sz="4" w:space="0" w:color="auto"/>
                  <w:right w:val="single" w:sz="4" w:space="0" w:color="auto"/>
                </w:tcBorders>
              </w:tcPr>
              <w:p w14:paraId="36E2CBD3" w14:textId="77777777" w:rsidR="00577D08" w:rsidRDefault="00330FC0">
                <w:pPr>
                  <w:jc w:val="right"/>
                </w:pPr>
                <w:r>
                  <w:t xml:space="preserve"> 1,170,827,801.71 </w:t>
                </w:r>
              </w:p>
            </w:tc>
          </w:tr>
          <w:tr w:rsidR="00577D08" w14:paraId="4DFD1E34" w14:textId="77777777">
            <w:tc>
              <w:tcPr>
                <w:tcW w:w="2005" w:type="pct"/>
                <w:tcBorders>
                  <w:top w:val="single" w:sz="4" w:space="0" w:color="auto"/>
                  <w:left w:val="single" w:sz="4" w:space="0" w:color="auto"/>
                  <w:bottom w:val="single" w:sz="4" w:space="0" w:color="auto"/>
                  <w:right w:val="single" w:sz="4" w:space="0" w:color="auto"/>
                </w:tcBorders>
              </w:tcPr>
              <w:p w14:paraId="122CE142" w14:textId="77777777" w:rsidR="00577D08" w:rsidRDefault="00330FC0">
                <w:pPr>
                  <w:ind w:firstLineChars="200" w:firstLine="420"/>
                </w:pPr>
                <w:r>
                  <w:rPr>
                    <w:rFonts w:hint="eastAsia"/>
                  </w:rPr>
                  <w:t>其他业务</w:t>
                </w:r>
              </w:p>
            </w:tc>
            <w:tc>
              <w:tcPr>
                <w:tcW w:w="1337" w:type="pct"/>
                <w:tcBorders>
                  <w:top w:val="single" w:sz="4" w:space="0" w:color="auto"/>
                  <w:left w:val="single" w:sz="4" w:space="0" w:color="auto"/>
                  <w:bottom w:val="single" w:sz="4" w:space="0" w:color="auto"/>
                  <w:right w:val="single" w:sz="4" w:space="0" w:color="auto"/>
                </w:tcBorders>
              </w:tcPr>
              <w:p w14:paraId="5ECA55A6" w14:textId="77777777" w:rsidR="00577D08" w:rsidRDefault="00330FC0">
                <w:pPr>
                  <w:jc w:val="right"/>
                </w:pPr>
                <w:r>
                  <w:t xml:space="preserve"> 127,935,733.07 </w:t>
                </w:r>
              </w:p>
            </w:tc>
            <w:tc>
              <w:tcPr>
                <w:tcW w:w="1658" w:type="pct"/>
                <w:tcBorders>
                  <w:top w:val="single" w:sz="4" w:space="0" w:color="auto"/>
                  <w:left w:val="single" w:sz="4" w:space="0" w:color="auto"/>
                  <w:bottom w:val="single" w:sz="4" w:space="0" w:color="auto"/>
                  <w:right w:val="single" w:sz="4" w:space="0" w:color="auto"/>
                </w:tcBorders>
              </w:tcPr>
              <w:p w14:paraId="1344B5BF" w14:textId="77777777" w:rsidR="00577D08" w:rsidRDefault="00330FC0">
                <w:pPr>
                  <w:jc w:val="right"/>
                </w:pPr>
                <w:r>
                  <w:t xml:space="preserve"> 120,505,379.99 </w:t>
                </w:r>
              </w:p>
            </w:tc>
          </w:tr>
          <w:tr w:rsidR="00577D08" w14:paraId="53C3A11F" w14:textId="77777777">
            <w:tc>
              <w:tcPr>
                <w:tcW w:w="2005" w:type="pct"/>
                <w:tcBorders>
                  <w:top w:val="single" w:sz="4" w:space="0" w:color="auto"/>
                  <w:left w:val="single" w:sz="4" w:space="0" w:color="auto"/>
                  <w:bottom w:val="single" w:sz="4" w:space="0" w:color="auto"/>
                  <w:right w:val="single" w:sz="4" w:space="0" w:color="auto"/>
                </w:tcBorders>
                <w:vAlign w:val="center"/>
              </w:tcPr>
              <w:p w14:paraId="027C851D" w14:textId="77777777" w:rsidR="00577D08" w:rsidRDefault="00330FC0">
                <w:r>
                  <w:rPr>
                    <w:rFonts w:hint="eastAsia"/>
                  </w:rPr>
                  <w:t>按商品转让的时间分类</w:t>
                </w:r>
              </w:p>
            </w:tc>
            <w:tc>
              <w:tcPr>
                <w:tcW w:w="1337" w:type="pct"/>
                <w:tcBorders>
                  <w:top w:val="single" w:sz="4" w:space="0" w:color="auto"/>
                  <w:left w:val="single" w:sz="4" w:space="0" w:color="auto"/>
                  <w:bottom w:val="single" w:sz="4" w:space="0" w:color="auto"/>
                  <w:right w:val="single" w:sz="4" w:space="0" w:color="auto"/>
                </w:tcBorders>
              </w:tcPr>
              <w:p w14:paraId="7E0B634D" w14:textId="77777777" w:rsidR="00577D08" w:rsidRDefault="00577D08">
                <w:pPr>
                  <w:jc w:val="right"/>
                </w:pPr>
              </w:p>
            </w:tc>
            <w:tc>
              <w:tcPr>
                <w:tcW w:w="1658" w:type="pct"/>
                <w:tcBorders>
                  <w:top w:val="single" w:sz="4" w:space="0" w:color="auto"/>
                  <w:left w:val="single" w:sz="4" w:space="0" w:color="auto"/>
                  <w:bottom w:val="single" w:sz="4" w:space="0" w:color="auto"/>
                  <w:right w:val="single" w:sz="4" w:space="0" w:color="auto"/>
                </w:tcBorders>
              </w:tcPr>
              <w:p w14:paraId="15ED82E7" w14:textId="77777777" w:rsidR="00577D08" w:rsidRDefault="00577D08">
                <w:pPr>
                  <w:jc w:val="right"/>
                </w:pPr>
              </w:p>
            </w:tc>
          </w:tr>
          <w:tr w:rsidR="00577D08" w14:paraId="4962B82A" w14:textId="77777777">
            <w:tc>
              <w:tcPr>
                <w:tcW w:w="2005" w:type="pct"/>
                <w:tcBorders>
                  <w:top w:val="single" w:sz="4" w:space="0" w:color="auto"/>
                  <w:left w:val="single" w:sz="4" w:space="0" w:color="auto"/>
                  <w:bottom w:val="single" w:sz="4" w:space="0" w:color="auto"/>
                  <w:right w:val="single" w:sz="4" w:space="0" w:color="auto"/>
                </w:tcBorders>
              </w:tcPr>
              <w:p w14:paraId="13090DDD" w14:textId="77777777" w:rsidR="00577D08" w:rsidRDefault="00330FC0">
                <w:pPr>
                  <w:ind w:firstLineChars="200" w:firstLine="420"/>
                </w:pPr>
                <w:r>
                  <w:rPr>
                    <w:rFonts w:hint="eastAsia"/>
                  </w:rPr>
                  <w:t>在某一时点确认收入</w:t>
                </w:r>
              </w:p>
            </w:tc>
            <w:tc>
              <w:tcPr>
                <w:tcW w:w="1337" w:type="pct"/>
                <w:tcBorders>
                  <w:top w:val="single" w:sz="4" w:space="0" w:color="auto"/>
                  <w:left w:val="single" w:sz="4" w:space="0" w:color="auto"/>
                  <w:bottom w:val="single" w:sz="4" w:space="0" w:color="auto"/>
                  <w:right w:val="single" w:sz="4" w:space="0" w:color="auto"/>
                </w:tcBorders>
              </w:tcPr>
              <w:p w14:paraId="5D658477" w14:textId="77777777" w:rsidR="00577D08" w:rsidRDefault="00330FC0">
                <w:pPr>
                  <w:jc w:val="right"/>
                </w:pPr>
                <w:r>
                  <w:t xml:space="preserve"> 3,917,008,279.18 </w:t>
                </w:r>
              </w:p>
            </w:tc>
            <w:tc>
              <w:tcPr>
                <w:tcW w:w="1658" w:type="pct"/>
                <w:tcBorders>
                  <w:top w:val="single" w:sz="4" w:space="0" w:color="auto"/>
                  <w:left w:val="single" w:sz="4" w:space="0" w:color="auto"/>
                  <w:bottom w:val="single" w:sz="4" w:space="0" w:color="auto"/>
                  <w:right w:val="single" w:sz="4" w:space="0" w:color="auto"/>
                </w:tcBorders>
              </w:tcPr>
              <w:p w14:paraId="1A97B761" w14:textId="77777777" w:rsidR="00577D08" w:rsidRDefault="00330FC0">
                <w:pPr>
                  <w:jc w:val="right"/>
                </w:pPr>
                <w:r>
                  <w:t xml:space="preserve"> 3,470,189,610.36 </w:t>
                </w:r>
              </w:p>
            </w:tc>
          </w:tr>
          <w:tr w:rsidR="00577D08" w14:paraId="63FED82F" w14:textId="77777777">
            <w:tc>
              <w:tcPr>
                <w:tcW w:w="2005" w:type="pct"/>
                <w:tcBorders>
                  <w:top w:val="single" w:sz="4" w:space="0" w:color="auto"/>
                  <w:left w:val="single" w:sz="4" w:space="0" w:color="auto"/>
                  <w:bottom w:val="single" w:sz="4" w:space="0" w:color="auto"/>
                  <w:right w:val="single" w:sz="4" w:space="0" w:color="auto"/>
                </w:tcBorders>
              </w:tcPr>
              <w:p w14:paraId="6B3FF860" w14:textId="77777777" w:rsidR="00577D08" w:rsidRDefault="00330FC0">
                <w:pPr>
                  <w:ind w:firstLineChars="200" w:firstLine="420"/>
                </w:pPr>
                <w:r>
                  <w:rPr>
                    <w:rFonts w:hint="eastAsia"/>
                  </w:rPr>
                  <w:t>在某一时段内确认收入</w:t>
                </w:r>
              </w:p>
            </w:tc>
            <w:tc>
              <w:tcPr>
                <w:tcW w:w="1337" w:type="pct"/>
                <w:tcBorders>
                  <w:top w:val="single" w:sz="4" w:space="0" w:color="auto"/>
                  <w:left w:val="single" w:sz="4" w:space="0" w:color="auto"/>
                  <w:bottom w:val="single" w:sz="4" w:space="0" w:color="auto"/>
                  <w:right w:val="single" w:sz="4" w:space="0" w:color="auto"/>
                </w:tcBorders>
              </w:tcPr>
              <w:p w14:paraId="102861E8" w14:textId="77777777" w:rsidR="00577D08" w:rsidRDefault="00577D08">
                <w:pPr>
                  <w:jc w:val="right"/>
                </w:pPr>
              </w:p>
            </w:tc>
            <w:tc>
              <w:tcPr>
                <w:tcW w:w="1658" w:type="pct"/>
                <w:tcBorders>
                  <w:top w:val="single" w:sz="4" w:space="0" w:color="auto"/>
                  <w:left w:val="single" w:sz="4" w:space="0" w:color="auto"/>
                  <w:bottom w:val="single" w:sz="4" w:space="0" w:color="auto"/>
                  <w:right w:val="single" w:sz="4" w:space="0" w:color="auto"/>
                </w:tcBorders>
              </w:tcPr>
              <w:p w14:paraId="7840AB76" w14:textId="77777777" w:rsidR="00577D08" w:rsidRDefault="00577D08">
                <w:pPr>
                  <w:jc w:val="right"/>
                </w:pPr>
              </w:p>
            </w:tc>
          </w:tr>
          <w:tr w:rsidR="00577D08" w14:paraId="48EDFC9D" w14:textId="77777777">
            <w:tc>
              <w:tcPr>
                <w:tcW w:w="2005" w:type="pct"/>
                <w:tcBorders>
                  <w:top w:val="single" w:sz="4" w:space="0" w:color="auto"/>
                  <w:left w:val="single" w:sz="4" w:space="0" w:color="auto"/>
                  <w:bottom w:val="single" w:sz="4" w:space="0" w:color="auto"/>
                  <w:right w:val="single" w:sz="4" w:space="0" w:color="auto"/>
                </w:tcBorders>
                <w:vAlign w:val="center"/>
              </w:tcPr>
              <w:p w14:paraId="42B868E7" w14:textId="77777777" w:rsidR="00577D08" w:rsidRDefault="00330FC0">
                <w:pPr>
                  <w:jc w:val="center"/>
                </w:pPr>
                <w:r>
                  <w:rPr>
                    <w:rFonts w:hint="eastAsia"/>
                  </w:rPr>
                  <w:t>合计</w:t>
                </w:r>
              </w:p>
            </w:tc>
            <w:tc>
              <w:tcPr>
                <w:tcW w:w="1337" w:type="pct"/>
                <w:tcBorders>
                  <w:top w:val="single" w:sz="4" w:space="0" w:color="auto"/>
                  <w:left w:val="single" w:sz="4" w:space="0" w:color="auto"/>
                  <w:bottom w:val="single" w:sz="4" w:space="0" w:color="auto"/>
                  <w:right w:val="single" w:sz="4" w:space="0" w:color="auto"/>
                </w:tcBorders>
              </w:tcPr>
              <w:p w14:paraId="379D39FD" w14:textId="77777777" w:rsidR="00577D08" w:rsidRDefault="00330FC0">
                <w:pPr>
                  <w:jc w:val="right"/>
                </w:pPr>
                <w:r>
                  <w:t xml:space="preserve"> 3,917,008,279.18 </w:t>
                </w:r>
              </w:p>
            </w:tc>
            <w:tc>
              <w:tcPr>
                <w:tcW w:w="1658" w:type="pct"/>
                <w:tcBorders>
                  <w:top w:val="single" w:sz="4" w:space="0" w:color="auto"/>
                  <w:left w:val="single" w:sz="4" w:space="0" w:color="auto"/>
                  <w:bottom w:val="single" w:sz="4" w:space="0" w:color="auto"/>
                  <w:right w:val="single" w:sz="4" w:space="0" w:color="auto"/>
                </w:tcBorders>
              </w:tcPr>
              <w:p w14:paraId="25C6711C" w14:textId="77777777" w:rsidR="00577D08" w:rsidRDefault="00330FC0">
                <w:pPr>
                  <w:jc w:val="right"/>
                </w:pPr>
                <w:r>
                  <w:t xml:space="preserve"> 3,470,189,610.36 </w:t>
                </w:r>
              </w:p>
            </w:tc>
          </w:tr>
        </w:tbl>
        <w:p w14:paraId="6D00EAC6" w14:textId="77777777" w:rsidR="00577D08" w:rsidRDefault="00330FC0">
          <w:r>
            <w:rPr>
              <w:rFonts w:hint="eastAsia"/>
            </w:rPr>
            <w:t>其他说明：</w:t>
          </w:r>
        </w:p>
        <w:sdt>
          <w:sdtPr>
            <w:alias w:val="是否适用：营业收入、营业成本的分解信息说明 [双击切换]"/>
            <w:tag w:val="_GBC_f134aa472e8b45f8af819092314ab743"/>
            <w:id w:val="1525678539"/>
            <w:placeholder>
              <w:docPart w:val="GBC22222222222222222222222222222"/>
            </w:placeholder>
          </w:sdtPr>
          <w:sdtContent>
            <w:p w14:paraId="573BA2A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5DC53F6" w14:textId="77777777" w:rsidR="00577D08" w:rsidRDefault="00000000"/>
      </w:sdtContent>
    </w:sdt>
    <w:p w14:paraId="108DD60B" w14:textId="77777777" w:rsidR="00577D08" w:rsidRDefault="00330FC0">
      <w:pPr>
        <w:pStyle w:val="4"/>
        <w:numPr>
          <w:ilvl w:val="0"/>
          <w:numId w:val="97"/>
        </w:numPr>
        <w:ind w:left="426" w:hanging="426"/>
        <w:rPr>
          <w:rFonts w:hint="eastAsia"/>
        </w:rPr>
      </w:pPr>
      <w:bookmarkStart w:id="454" w:name="_Hlk533670431"/>
      <w:bookmarkEnd w:id="453"/>
      <w:r>
        <w:rPr>
          <w:rFonts w:hint="eastAsia"/>
        </w:rPr>
        <w:t>履约义务的说明</w:t>
      </w:r>
    </w:p>
    <w:sdt>
      <w:sdtPr>
        <w:alias w:val="是否适用：履约义务的说明[双击切换]"/>
        <w:tag w:val="_GBC_2bcc2970f5df4fc982ad2497089d8292"/>
        <w:id w:val="-1815634246"/>
        <w:placeholder>
          <w:docPart w:val="GBC22222222222222222222222222222"/>
        </w:placeholder>
      </w:sdtPr>
      <w:sdtContent>
        <w:p w14:paraId="2C59170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0D50F67" w14:textId="77777777" w:rsidR="00577D08" w:rsidRDefault="00330FC0">
      <w:pPr>
        <w:pStyle w:val="4"/>
        <w:numPr>
          <w:ilvl w:val="0"/>
          <w:numId w:val="97"/>
        </w:numPr>
        <w:ind w:left="426" w:hanging="426"/>
        <w:rPr>
          <w:rFonts w:hint="eastAsia"/>
        </w:rPr>
      </w:pPr>
      <w:bookmarkStart w:id="455" w:name="_Hlk533423938"/>
      <w:bookmarkEnd w:id="454"/>
      <w:r>
        <w:rPr>
          <w:rFonts w:hint="eastAsia"/>
        </w:rPr>
        <w:t>分摊至剩余履约义务的说明</w:t>
      </w:r>
    </w:p>
    <w:sdt>
      <w:sdtPr>
        <w:alias w:val="是否适用：分摊至剩余履约义务的说明[双击切换]"/>
        <w:tag w:val="_GBC_67defaacf38a42549a2ed747c0fdb075"/>
        <w:id w:val="-90784481"/>
        <w:placeholder>
          <w:docPart w:val="GBC22222222222222222222222222222"/>
        </w:placeholder>
      </w:sdtPr>
      <w:sdtContent>
        <w:p w14:paraId="38BCD48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55"/>
    <w:p w14:paraId="3F3257D2" w14:textId="77777777" w:rsidR="00577D08" w:rsidRDefault="00330FC0">
      <w:pPr>
        <w:pStyle w:val="4"/>
        <w:numPr>
          <w:ilvl w:val="0"/>
          <w:numId w:val="97"/>
        </w:numPr>
        <w:ind w:left="426" w:hanging="426"/>
        <w:rPr>
          <w:rFonts w:hint="eastAsia"/>
        </w:rPr>
      </w:pPr>
      <w:r>
        <w:rPr>
          <w:rFonts w:hint="eastAsia"/>
        </w:rPr>
        <w:t>重大合同变更或重大交易价格调整</w:t>
      </w:r>
    </w:p>
    <w:sdt>
      <w:sdtPr>
        <w:alias w:val="是否适用：重大合同变更或重大交易价格调整[双击切换]"/>
        <w:tag w:val="_GBC_0445697eb8d6440497b15f440010cd1d"/>
        <w:id w:val="-311479866"/>
        <w:placeholder>
          <w:docPart w:val="GBC22222222222222222222222222222"/>
        </w:placeholder>
      </w:sdtPr>
      <w:sdtContent>
        <w:p w14:paraId="095FFB2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32647A" w14:textId="77777777" w:rsidR="00577D08" w:rsidRDefault="00330FC0">
      <w:pPr>
        <w:spacing w:before="60" w:after="60"/>
      </w:pPr>
      <w:bookmarkStart w:id="456" w:name="_Hlk26364697"/>
      <w:r>
        <w:rPr>
          <w:rFonts w:hint="eastAsia"/>
        </w:rPr>
        <w:t>其他说明：</w:t>
      </w:r>
    </w:p>
    <w:p w14:paraId="22457257" w14:textId="77777777" w:rsidR="00577D08" w:rsidRDefault="00000000">
      <w:sdt>
        <w:sdtPr>
          <w:alias w:val="主营业务说明"/>
          <w:tag w:val="_GBC_817222ab73384ad1a188a632c919c846"/>
          <w:id w:val="1846204269"/>
          <w:placeholder>
            <w:docPart w:val="GBC22222222222222222222222222222"/>
          </w:placeholder>
        </w:sdtPr>
        <w:sdtContent>
          <w:r w:rsidR="00330FC0">
            <w:rPr>
              <w:rFonts w:hint="eastAsia"/>
            </w:rPr>
            <w:t>无</w:t>
          </w:r>
        </w:sdtContent>
      </w:sdt>
    </w:p>
    <w:bookmarkEnd w:id="456"/>
    <w:p w14:paraId="5D403B29"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税金及附加</w:t>
      </w:r>
    </w:p>
    <w:sdt>
      <w:sdtPr>
        <w:alias w:val="是否适用：税金及附加[双击切换]"/>
        <w:tag w:val="_GBC_08eb9cdd2a3940549b0f2b47081f0a3d"/>
        <w:id w:val="-654223849"/>
        <w:placeholder>
          <w:docPart w:val="GBC22222222222222222222222222222"/>
        </w:placeholder>
      </w:sdtPr>
      <w:sdtContent>
        <w:p w14:paraId="042A7FA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D6F980F" w14:textId="0C3D86E5" w:rsidR="00577D08" w:rsidRDefault="00330FC0">
      <w:pPr>
        <w:jc w:val="right"/>
        <w:rPr>
          <w:b/>
        </w:rPr>
      </w:pPr>
      <w:r>
        <w:rPr>
          <w:rFonts w:hint="eastAsia"/>
        </w:rPr>
        <w:t>单位：</w:t>
      </w:r>
      <w:sdt>
        <w:sdtPr>
          <w:rPr>
            <w:rFonts w:hint="eastAsia"/>
          </w:rPr>
          <w:alias w:val="单位：财务附注：税金及附加"/>
          <w:tag w:val="_GBC_6e5742d697d44a7dabc4411d4cd3c055"/>
          <w:id w:val="2892648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税金及附加"/>
          <w:tag w:val="_GBC_7ad96346369145ef9c54edaefcc18214"/>
          <w:id w:val="-6235390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907"/>
        <w:gridCol w:w="3074"/>
        <w:gridCol w:w="3074"/>
      </w:tblGrid>
      <w:tr w:rsidR="00577D08" w14:paraId="4A7CF290" w14:textId="77777777">
        <w:sdt>
          <w:sdtPr>
            <w:tag w:val="_PLD_82dcdcc171754a7b940a70d1c7daa5c1"/>
            <w:id w:val="2117020489"/>
          </w:sdtPr>
          <w:sdtContent>
            <w:tc>
              <w:tcPr>
                <w:tcW w:w="2907" w:type="dxa"/>
                <w:vAlign w:val="center"/>
              </w:tcPr>
              <w:p w14:paraId="6D295D59" w14:textId="77777777" w:rsidR="00577D08" w:rsidRDefault="00330FC0">
                <w:pPr>
                  <w:autoSpaceDE w:val="0"/>
                  <w:autoSpaceDN w:val="0"/>
                  <w:adjustRightInd w:val="0"/>
                  <w:snapToGrid w:val="0"/>
                  <w:spacing w:line="240" w:lineRule="atLeast"/>
                  <w:jc w:val="center"/>
                </w:pPr>
                <w:r>
                  <w:rPr>
                    <w:rFonts w:hint="eastAsia"/>
                  </w:rPr>
                  <w:t>项目</w:t>
                </w:r>
              </w:p>
            </w:tc>
          </w:sdtContent>
        </w:sdt>
        <w:sdt>
          <w:sdtPr>
            <w:tag w:val="_PLD_a015e641f9074bee9ed1ee81511407cc"/>
            <w:id w:val="-254285759"/>
          </w:sdtPr>
          <w:sdtContent>
            <w:tc>
              <w:tcPr>
                <w:tcW w:w="3074" w:type="dxa"/>
                <w:vAlign w:val="center"/>
              </w:tcPr>
              <w:p w14:paraId="66EF20BB" w14:textId="77777777" w:rsidR="00577D08" w:rsidRDefault="00330FC0">
                <w:pPr>
                  <w:jc w:val="center"/>
                </w:pPr>
                <w:r>
                  <w:rPr>
                    <w:rFonts w:hint="eastAsia"/>
                  </w:rPr>
                  <w:t>本期发生额</w:t>
                </w:r>
              </w:p>
            </w:tc>
          </w:sdtContent>
        </w:sdt>
        <w:sdt>
          <w:sdtPr>
            <w:tag w:val="_PLD_5e944d291c9a4b0aab9f6558226d9112"/>
            <w:id w:val="1955599087"/>
          </w:sdtPr>
          <w:sdtContent>
            <w:tc>
              <w:tcPr>
                <w:tcW w:w="3074" w:type="dxa"/>
                <w:vAlign w:val="center"/>
              </w:tcPr>
              <w:p w14:paraId="7EC79A72" w14:textId="77777777" w:rsidR="00577D08" w:rsidRDefault="00330FC0">
                <w:pPr>
                  <w:jc w:val="center"/>
                </w:pPr>
                <w:r>
                  <w:rPr>
                    <w:rFonts w:hint="eastAsia"/>
                  </w:rPr>
                  <w:t>上期发生额</w:t>
                </w:r>
              </w:p>
            </w:tc>
          </w:sdtContent>
        </w:sdt>
      </w:tr>
      <w:tr w:rsidR="00577D08" w14:paraId="11445269" w14:textId="77777777">
        <w:tc>
          <w:tcPr>
            <w:tcW w:w="2907" w:type="dxa"/>
          </w:tcPr>
          <w:p w14:paraId="36724E90" w14:textId="77777777" w:rsidR="00577D08" w:rsidRDefault="00330FC0">
            <w:pPr>
              <w:autoSpaceDE w:val="0"/>
              <w:autoSpaceDN w:val="0"/>
              <w:adjustRightInd w:val="0"/>
              <w:snapToGrid w:val="0"/>
              <w:spacing w:line="240" w:lineRule="atLeast"/>
            </w:pPr>
            <w:r>
              <w:rPr>
                <w:rFonts w:hint="eastAsia"/>
              </w:rPr>
              <w:t>房产税</w:t>
            </w:r>
          </w:p>
        </w:tc>
        <w:tc>
          <w:tcPr>
            <w:tcW w:w="3074" w:type="dxa"/>
          </w:tcPr>
          <w:p w14:paraId="5A3CB264" w14:textId="77777777" w:rsidR="00577D08" w:rsidRDefault="00330FC0">
            <w:pPr>
              <w:autoSpaceDE w:val="0"/>
              <w:autoSpaceDN w:val="0"/>
              <w:adjustRightInd w:val="0"/>
              <w:snapToGrid w:val="0"/>
              <w:spacing w:line="240" w:lineRule="atLeast"/>
              <w:jc w:val="right"/>
            </w:pPr>
            <w:r>
              <w:rPr>
                <w:rFonts w:hint="eastAsia"/>
              </w:rPr>
              <w:t>10,222,876.36</w:t>
            </w:r>
          </w:p>
        </w:tc>
        <w:tc>
          <w:tcPr>
            <w:tcW w:w="3074" w:type="dxa"/>
          </w:tcPr>
          <w:p w14:paraId="65949C7D" w14:textId="77777777" w:rsidR="00577D08" w:rsidRDefault="00330FC0">
            <w:pPr>
              <w:jc w:val="right"/>
            </w:pPr>
            <w:r>
              <w:rPr>
                <w:rFonts w:hint="eastAsia"/>
              </w:rPr>
              <w:t>6,829,934.79</w:t>
            </w:r>
          </w:p>
        </w:tc>
      </w:tr>
      <w:tr w:rsidR="00577D08" w14:paraId="652EFB72" w14:textId="77777777">
        <w:tc>
          <w:tcPr>
            <w:tcW w:w="2907" w:type="dxa"/>
          </w:tcPr>
          <w:p w14:paraId="051A484F" w14:textId="77777777" w:rsidR="00577D08" w:rsidRDefault="00330FC0">
            <w:pPr>
              <w:autoSpaceDE w:val="0"/>
              <w:autoSpaceDN w:val="0"/>
              <w:adjustRightInd w:val="0"/>
              <w:snapToGrid w:val="0"/>
              <w:spacing w:line="240" w:lineRule="atLeast"/>
            </w:pPr>
            <w:r>
              <w:rPr>
                <w:rFonts w:hint="eastAsia"/>
              </w:rPr>
              <w:t>土地使用税</w:t>
            </w:r>
          </w:p>
        </w:tc>
        <w:tc>
          <w:tcPr>
            <w:tcW w:w="3074" w:type="dxa"/>
          </w:tcPr>
          <w:p w14:paraId="5C54C116" w14:textId="77777777" w:rsidR="00577D08" w:rsidRDefault="00330FC0">
            <w:pPr>
              <w:autoSpaceDE w:val="0"/>
              <w:autoSpaceDN w:val="0"/>
              <w:adjustRightInd w:val="0"/>
              <w:snapToGrid w:val="0"/>
              <w:spacing w:line="240" w:lineRule="atLeast"/>
              <w:jc w:val="right"/>
            </w:pPr>
            <w:r>
              <w:rPr>
                <w:rFonts w:hint="eastAsia"/>
              </w:rPr>
              <w:t>4,434,983.62</w:t>
            </w:r>
          </w:p>
        </w:tc>
        <w:tc>
          <w:tcPr>
            <w:tcW w:w="3074" w:type="dxa"/>
          </w:tcPr>
          <w:p w14:paraId="3A804049" w14:textId="77777777" w:rsidR="00577D08" w:rsidRDefault="00330FC0">
            <w:pPr>
              <w:jc w:val="right"/>
            </w:pPr>
            <w:r>
              <w:rPr>
                <w:rFonts w:hint="eastAsia"/>
              </w:rPr>
              <w:t>4,047,915.11</w:t>
            </w:r>
          </w:p>
        </w:tc>
      </w:tr>
      <w:tr w:rsidR="00577D08" w14:paraId="1B5F5D61" w14:textId="77777777">
        <w:tc>
          <w:tcPr>
            <w:tcW w:w="2907" w:type="dxa"/>
          </w:tcPr>
          <w:p w14:paraId="567136D4" w14:textId="77777777" w:rsidR="00577D08" w:rsidRDefault="00330FC0">
            <w:pPr>
              <w:autoSpaceDE w:val="0"/>
              <w:autoSpaceDN w:val="0"/>
              <w:adjustRightInd w:val="0"/>
              <w:snapToGrid w:val="0"/>
              <w:spacing w:line="240" w:lineRule="atLeast"/>
            </w:pPr>
            <w:r>
              <w:rPr>
                <w:rFonts w:hint="eastAsia"/>
              </w:rPr>
              <w:t>城市维护建设税</w:t>
            </w:r>
          </w:p>
        </w:tc>
        <w:tc>
          <w:tcPr>
            <w:tcW w:w="3074" w:type="dxa"/>
          </w:tcPr>
          <w:p w14:paraId="50514ADE" w14:textId="77777777" w:rsidR="00577D08" w:rsidRDefault="00330FC0">
            <w:pPr>
              <w:autoSpaceDE w:val="0"/>
              <w:autoSpaceDN w:val="0"/>
              <w:adjustRightInd w:val="0"/>
              <w:snapToGrid w:val="0"/>
              <w:spacing w:line="240" w:lineRule="atLeast"/>
              <w:jc w:val="right"/>
            </w:pPr>
            <w:r>
              <w:rPr>
                <w:rFonts w:hint="eastAsia"/>
              </w:rPr>
              <w:t>3,467,332.36</w:t>
            </w:r>
          </w:p>
        </w:tc>
        <w:tc>
          <w:tcPr>
            <w:tcW w:w="3074" w:type="dxa"/>
          </w:tcPr>
          <w:p w14:paraId="59B1F70C" w14:textId="77777777" w:rsidR="00577D08" w:rsidRDefault="00330FC0">
            <w:pPr>
              <w:jc w:val="right"/>
            </w:pPr>
            <w:r>
              <w:rPr>
                <w:rFonts w:hint="eastAsia"/>
              </w:rPr>
              <w:t>1,465,076.44</w:t>
            </w:r>
          </w:p>
        </w:tc>
      </w:tr>
      <w:tr w:rsidR="00577D08" w14:paraId="0F234685" w14:textId="77777777">
        <w:tc>
          <w:tcPr>
            <w:tcW w:w="2907" w:type="dxa"/>
          </w:tcPr>
          <w:p w14:paraId="348E19CC" w14:textId="77777777" w:rsidR="00577D08" w:rsidRDefault="00330FC0">
            <w:pPr>
              <w:autoSpaceDE w:val="0"/>
              <w:autoSpaceDN w:val="0"/>
              <w:adjustRightInd w:val="0"/>
              <w:snapToGrid w:val="0"/>
              <w:spacing w:line="240" w:lineRule="atLeast"/>
            </w:pPr>
            <w:r>
              <w:rPr>
                <w:rFonts w:hint="eastAsia"/>
              </w:rPr>
              <w:t>印花税</w:t>
            </w:r>
          </w:p>
        </w:tc>
        <w:tc>
          <w:tcPr>
            <w:tcW w:w="3074" w:type="dxa"/>
          </w:tcPr>
          <w:p w14:paraId="4A806C7E" w14:textId="77777777" w:rsidR="00577D08" w:rsidRDefault="00330FC0">
            <w:pPr>
              <w:autoSpaceDE w:val="0"/>
              <w:autoSpaceDN w:val="0"/>
              <w:adjustRightInd w:val="0"/>
              <w:snapToGrid w:val="0"/>
              <w:spacing w:line="240" w:lineRule="atLeast"/>
              <w:jc w:val="right"/>
            </w:pPr>
            <w:r>
              <w:rPr>
                <w:rFonts w:hint="eastAsia"/>
              </w:rPr>
              <w:t>2,612,308.63</w:t>
            </w:r>
          </w:p>
        </w:tc>
        <w:tc>
          <w:tcPr>
            <w:tcW w:w="3074" w:type="dxa"/>
          </w:tcPr>
          <w:p w14:paraId="3BCEFF41" w14:textId="77777777" w:rsidR="00577D08" w:rsidRDefault="00330FC0">
            <w:pPr>
              <w:jc w:val="right"/>
            </w:pPr>
            <w:r>
              <w:rPr>
                <w:rFonts w:hint="eastAsia"/>
              </w:rPr>
              <w:t>2,887,272.94</w:t>
            </w:r>
          </w:p>
        </w:tc>
      </w:tr>
      <w:tr w:rsidR="00577D08" w14:paraId="3C4325E2" w14:textId="77777777">
        <w:tc>
          <w:tcPr>
            <w:tcW w:w="2907" w:type="dxa"/>
          </w:tcPr>
          <w:p w14:paraId="575510FD" w14:textId="77777777" w:rsidR="00577D08" w:rsidRDefault="00330FC0">
            <w:pPr>
              <w:autoSpaceDE w:val="0"/>
              <w:autoSpaceDN w:val="0"/>
              <w:adjustRightInd w:val="0"/>
              <w:snapToGrid w:val="0"/>
              <w:spacing w:line="240" w:lineRule="atLeast"/>
            </w:pPr>
            <w:r>
              <w:rPr>
                <w:rFonts w:hint="eastAsia"/>
              </w:rPr>
              <w:t>教育费附加</w:t>
            </w:r>
          </w:p>
        </w:tc>
        <w:tc>
          <w:tcPr>
            <w:tcW w:w="3074" w:type="dxa"/>
          </w:tcPr>
          <w:p w14:paraId="7579AE59" w14:textId="77777777" w:rsidR="00577D08" w:rsidRDefault="00330FC0">
            <w:pPr>
              <w:autoSpaceDE w:val="0"/>
              <w:autoSpaceDN w:val="0"/>
              <w:adjustRightInd w:val="0"/>
              <w:snapToGrid w:val="0"/>
              <w:spacing w:line="240" w:lineRule="atLeast"/>
              <w:jc w:val="right"/>
            </w:pPr>
            <w:r>
              <w:rPr>
                <w:rFonts w:hint="eastAsia"/>
              </w:rPr>
              <w:t>1,488,791.61</w:t>
            </w:r>
          </w:p>
        </w:tc>
        <w:tc>
          <w:tcPr>
            <w:tcW w:w="3074" w:type="dxa"/>
          </w:tcPr>
          <w:p w14:paraId="58227083" w14:textId="77777777" w:rsidR="00577D08" w:rsidRDefault="00330FC0">
            <w:pPr>
              <w:jc w:val="right"/>
            </w:pPr>
            <w:r>
              <w:rPr>
                <w:rFonts w:hint="eastAsia"/>
              </w:rPr>
              <w:t>628,019.01</w:t>
            </w:r>
          </w:p>
        </w:tc>
      </w:tr>
      <w:tr w:rsidR="00577D08" w14:paraId="63E8A411" w14:textId="77777777">
        <w:tc>
          <w:tcPr>
            <w:tcW w:w="2907" w:type="dxa"/>
          </w:tcPr>
          <w:p w14:paraId="77113633" w14:textId="77777777" w:rsidR="00577D08" w:rsidRDefault="00330FC0">
            <w:pPr>
              <w:autoSpaceDE w:val="0"/>
              <w:autoSpaceDN w:val="0"/>
              <w:adjustRightInd w:val="0"/>
              <w:snapToGrid w:val="0"/>
              <w:spacing w:line="240" w:lineRule="atLeast"/>
            </w:pPr>
            <w:r>
              <w:rPr>
                <w:rFonts w:hint="eastAsia"/>
              </w:rPr>
              <w:t>地方教育附加</w:t>
            </w:r>
          </w:p>
        </w:tc>
        <w:tc>
          <w:tcPr>
            <w:tcW w:w="3074" w:type="dxa"/>
          </w:tcPr>
          <w:p w14:paraId="6A594054" w14:textId="77777777" w:rsidR="00577D08" w:rsidRDefault="00330FC0">
            <w:pPr>
              <w:autoSpaceDE w:val="0"/>
              <w:autoSpaceDN w:val="0"/>
              <w:adjustRightInd w:val="0"/>
              <w:snapToGrid w:val="0"/>
              <w:spacing w:line="240" w:lineRule="atLeast"/>
              <w:jc w:val="right"/>
            </w:pPr>
            <w:r>
              <w:rPr>
                <w:rFonts w:hint="eastAsia"/>
              </w:rPr>
              <w:t>992,527.77</w:t>
            </w:r>
          </w:p>
        </w:tc>
        <w:tc>
          <w:tcPr>
            <w:tcW w:w="3074" w:type="dxa"/>
          </w:tcPr>
          <w:p w14:paraId="7D05D5D1" w14:textId="77777777" w:rsidR="00577D08" w:rsidRDefault="00330FC0">
            <w:pPr>
              <w:jc w:val="right"/>
            </w:pPr>
            <w:r>
              <w:rPr>
                <w:rFonts w:hint="eastAsia"/>
              </w:rPr>
              <w:t>418,679.35</w:t>
            </w:r>
          </w:p>
        </w:tc>
      </w:tr>
      <w:tr w:rsidR="00577D08" w14:paraId="30561A9F" w14:textId="77777777">
        <w:tc>
          <w:tcPr>
            <w:tcW w:w="2907" w:type="dxa"/>
          </w:tcPr>
          <w:p w14:paraId="6EEB04CD" w14:textId="77777777" w:rsidR="00577D08" w:rsidRDefault="00330FC0">
            <w:pPr>
              <w:autoSpaceDE w:val="0"/>
              <w:autoSpaceDN w:val="0"/>
              <w:adjustRightInd w:val="0"/>
              <w:snapToGrid w:val="0"/>
              <w:spacing w:line="240" w:lineRule="atLeast"/>
            </w:pPr>
            <w:r>
              <w:rPr>
                <w:rFonts w:hint="eastAsia"/>
              </w:rPr>
              <w:t>车船税</w:t>
            </w:r>
          </w:p>
        </w:tc>
        <w:tc>
          <w:tcPr>
            <w:tcW w:w="3074" w:type="dxa"/>
          </w:tcPr>
          <w:p w14:paraId="49242A80" w14:textId="77777777" w:rsidR="00577D08" w:rsidRDefault="00330FC0">
            <w:pPr>
              <w:autoSpaceDE w:val="0"/>
              <w:autoSpaceDN w:val="0"/>
              <w:adjustRightInd w:val="0"/>
              <w:snapToGrid w:val="0"/>
              <w:spacing w:line="240" w:lineRule="atLeast"/>
              <w:jc w:val="right"/>
            </w:pPr>
            <w:r>
              <w:rPr>
                <w:rFonts w:hint="eastAsia"/>
              </w:rPr>
              <w:t>33,674.40</w:t>
            </w:r>
          </w:p>
        </w:tc>
        <w:tc>
          <w:tcPr>
            <w:tcW w:w="3074" w:type="dxa"/>
          </w:tcPr>
          <w:p w14:paraId="0B7F5E6C" w14:textId="77777777" w:rsidR="00577D08" w:rsidRDefault="00330FC0">
            <w:pPr>
              <w:jc w:val="right"/>
            </w:pPr>
            <w:r>
              <w:rPr>
                <w:rFonts w:hint="eastAsia"/>
              </w:rPr>
              <w:t>29,332.50</w:t>
            </w:r>
          </w:p>
        </w:tc>
      </w:tr>
      <w:tr w:rsidR="00577D08" w14:paraId="65FBB679" w14:textId="77777777">
        <w:tc>
          <w:tcPr>
            <w:tcW w:w="2907" w:type="dxa"/>
          </w:tcPr>
          <w:p w14:paraId="724800E1" w14:textId="77777777" w:rsidR="00577D08" w:rsidRDefault="00330FC0">
            <w:pPr>
              <w:autoSpaceDE w:val="0"/>
              <w:autoSpaceDN w:val="0"/>
              <w:adjustRightInd w:val="0"/>
              <w:snapToGrid w:val="0"/>
              <w:spacing w:line="240" w:lineRule="atLeast"/>
            </w:pPr>
            <w:r>
              <w:rPr>
                <w:rFonts w:hint="eastAsia"/>
              </w:rPr>
              <w:t>环境保护税</w:t>
            </w:r>
          </w:p>
        </w:tc>
        <w:tc>
          <w:tcPr>
            <w:tcW w:w="3074" w:type="dxa"/>
          </w:tcPr>
          <w:p w14:paraId="4F569DA4" w14:textId="77777777" w:rsidR="00577D08" w:rsidRDefault="00330FC0">
            <w:pPr>
              <w:autoSpaceDE w:val="0"/>
              <w:autoSpaceDN w:val="0"/>
              <w:adjustRightInd w:val="0"/>
              <w:snapToGrid w:val="0"/>
              <w:spacing w:line="240" w:lineRule="atLeast"/>
              <w:jc w:val="right"/>
            </w:pPr>
            <w:r>
              <w:rPr>
                <w:rFonts w:hint="eastAsia"/>
              </w:rPr>
              <w:t>384,559.57</w:t>
            </w:r>
          </w:p>
        </w:tc>
        <w:tc>
          <w:tcPr>
            <w:tcW w:w="3074" w:type="dxa"/>
          </w:tcPr>
          <w:p w14:paraId="48EA779E" w14:textId="77777777" w:rsidR="00577D08" w:rsidRDefault="00330FC0">
            <w:pPr>
              <w:jc w:val="right"/>
            </w:pPr>
            <w:r>
              <w:rPr>
                <w:rFonts w:hint="eastAsia"/>
              </w:rPr>
              <w:t>344,530.89</w:t>
            </w:r>
          </w:p>
        </w:tc>
      </w:tr>
      <w:tr w:rsidR="00577D08" w14:paraId="3B805891" w14:textId="77777777">
        <w:tc>
          <w:tcPr>
            <w:tcW w:w="2907" w:type="dxa"/>
            <w:vAlign w:val="center"/>
          </w:tcPr>
          <w:p w14:paraId="04942424" w14:textId="77777777" w:rsidR="00577D08" w:rsidRDefault="00330FC0">
            <w:pPr>
              <w:autoSpaceDE w:val="0"/>
              <w:autoSpaceDN w:val="0"/>
              <w:adjustRightInd w:val="0"/>
              <w:snapToGrid w:val="0"/>
              <w:spacing w:line="240" w:lineRule="atLeast"/>
              <w:jc w:val="center"/>
            </w:pPr>
            <w:r>
              <w:rPr>
                <w:rFonts w:hint="eastAsia"/>
              </w:rPr>
              <w:t>合计</w:t>
            </w:r>
          </w:p>
        </w:tc>
        <w:tc>
          <w:tcPr>
            <w:tcW w:w="3074" w:type="dxa"/>
          </w:tcPr>
          <w:p w14:paraId="423B26EF" w14:textId="77777777" w:rsidR="00577D08" w:rsidRDefault="00330FC0">
            <w:pPr>
              <w:autoSpaceDE w:val="0"/>
              <w:autoSpaceDN w:val="0"/>
              <w:adjustRightInd w:val="0"/>
              <w:snapToGrid w:val="0"/>
              <w:spacing w:line="240" w:lineRule="atLeast"/>
              <w:jc w:val="right"/>
            </w:pPr>
            <w:r>
              <w:t>23,637,054.32</w:t>
            </w:r>
          </w:p>
        </w:tc>
        <w:tc>
          <w:tcPr>
            <w:tcW w:w="3074" w:type="dxa"/>
          </w:tcPr>
          <w:p w14:paraId="72517EF4" w14:textId="77777777" w:rsidR="00577D08" w:rsidRDefault="00330FC0">
            <w:pPr>
              <w:jc w:val="right"/>
            </w:pPr>
            <w:r>
              <w:t>16,650,761.03</w:t>
            </w:r>
          </w:p>
        </w:tc>
      </w:tr>
    </w:tbl>
    <w:p w14:paraId="45D28B51" w14:textId="77777777" w:rsidR="00577D08" w:rsidRDefault="00330FC0">
      <w:pPr>
        <w:spacing w:before="60" w:after="60"/>
      </w:pPr>
      <w:r>
        <w:rPr>
          <w:rFonts w:hint="eastAsia"/>
        </w:rPr>
        <w:t>其他说明：</w:t>
      </w:r>
    </w:p>
    <w:sdt>
      <w:sdtPr>
        <w:rPr>
          <w:rFonts w:hint="eastAsia"/>
        </w:rPr>
        <w:alias w:val="税金及附加说明"/>
        <w:tag w:val="_GBC_d333a7e7c5ed4b7896c9db975439c1ec"/>
        <w:id w:val="-1751886404"/>
        <w:placeholder>
          <w:docPart w:val="GBC22222222222222222222222222222"/>
        </w:placeholder>
      </w:sdtPr>
      <w:sdtContent>
        <w:p w14:paraId="393777B2" w14:textId="77777777" w:rsidR="00577D08" w:rsidRDefault="00330FC0">
          <w:r>
            <w:rPr>
              <w:rFonts w:hint="eastAsia"/>
            </w:rPr>
            <w:t>无</w:t>
          </w:r>
        </w:p>
      </w:sdtContent>
    </w:sdt>
    <w:p w14:paraId="1FF7B644" w14:textId="77777777" w:rsidR="00577D08" w:rsidRDefault="00330FC0">
      <w:pPr>
        <w:pStyle w:val="3"/>
        <w:numPr>
          <w:ilvl w:val="0"/>
          <w:numId w:val="61"/>
        </w:numPr>
        <w:tabs>
          <w:tab w:val="left" w:pos="504"/>
        </w:tabs>
        <w:rPr>
          <w:rFonts w:ascii="宋体" w:hAnsi="宋体" w:cs="宋体" w:hint="eastAsia"/>
          <w:bCs w:val="0"/>
          <w:kern w:val="0"/>
          <w:szCs w:val="21"/>
        </w:rPr>
      </w:pPr>
      <w:r>
        <w:rPr>
          <w:rFonts w:ascii="宋体" w:hAnsi="宋体" w:cs="宋体" w:hint="eastAsia"/>
          <w:bCs w:val="0"/>
          <w:kern w:val="0"/>
          <w:szCs w:val="21"/>
        </w:rPr>
        <w:lastRenderedPageBreak/>
        <w:t>销售费用</w:t>
      </w:r>
    </w:p>
    <w:sdt>
      <w:sdtPr>
        <w:alias w:val="是否适用：销售费用[双击切换]"/>
        <w:tag w:val="_GBC_1a0ad35d35924f068ce1b2a2dc02a25f"/>
        <w:id w:val="1823772073"/>
        <w:placeholder>
          <w:docPart w:val="GBC22222222222222222222222222222"/>
        </w:placeholder>
      </w:sdtPr>
      <w:sdtContent>
        <w:p w14:paraId="7D1816E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034AC90" w14:textId="7BC4F6C9" w:rsidR="00577D08" w:rsidRDefault="00330FC0">
      <w:pPr>
        <w:pStyle w:val="aff9"/>
        <w:ind w:firstLineChars="0" w:firstLine="0"/>
        <w:jc w:val="right"/>
        <w:rPr>
          <w:rFonts w:ascii="宋体" w:hAnsi="宋体" w:hint="eastAsia"/>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5402763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r w:rsidR="00CC5C32">
            <w:rPr>
              <w:rFonts w:ascii="宋体" w:hAnsi="宋体" w:hint="eastAsia"/>
              <w:szCs w:val="21"/>
            </w:rPr>
            <w:t xml:space="preserve"> </w:t>
          </w:r>
        </w:sdtContent>
      </w:sdt>
      <w:r>
        <w:rPr>
          <w:rFonts w:ascii="宋体" w:hAnsi="宋体" w:hint="eastAsia"/>
          <w:szCs w:val="21"/>
        </w:rPr>
        <w:t>币种：</w:t>
      </w:r>
      <w:sdt>
        <w:sdtPr>
          <w:rPr>
            <w:rFonts w:ascii="宋体" w:hAnsi="宋体" w:hint="eastAsia"/>
            <w:szCs w:val="21"/>
          </w:rPr>
          <w:alias w:val="币种：销售费用"/>
          <w:tag w:val="_GBC_57a629bddf6343a1aebbefc90d9378b0"/>
          <w:id w:val="17422078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859"/>
        <w:gridCol w:w="2857"/>
      </w:tblGrid>
      <w:tr w:rsidR="00577D08" w14:paraId="516676E0" w14:textId="77777777">
        <w:sdt>
          <w:sdtPr>
            <w:tag w:val="_PLD_27c4bc503cfe4eafa415de62f182f2c1"/>
            <w:id w:val="978273555"/>
          </w:sdtPr>
          <w:sdtContent>
            <w:tc>
              <w:tcPr>
                <w:tcW w:w="3331" w:type="dxa"/>
                <w:tcBorders>
                  <w:top w:val="single" w:sz="4" w:space="0" w:color="auto"/>
                  <w:left w:val="single" w:sz="4" w:space="0" w:color="auto"/>
                  <w:bottom w:val="single" w:sz="4" w:space="0" w:color="auto"/>
                  <w:right w:val="single" w:sz="4" w:space="0" w:color="auto"/>
                </w:tcBorders>
                <w:vAlign w:val="center"/>
              </w:tcPr>
              <w:p w14:paraId="1FCCCCC8" w14:textId="77777777" w:rsidR="00577D08" w:rsidRDefault="00330FC0">
                <w:pPr>
                  <w:jc w:val="center"/>
                </w:pPr>
                <w:r>
                  <w:rPr>
                    <w:rFonts w:hint="eastAsia"/>
                  </w:rPr>
                  <w:t>项目</w:t>
                </w:r>
              </w:p>
            </w:tc>
          </w:sdtContent>
        </w:sdt>
        <w:sdt>
          <w:sdtPr>
            <w:tag w:val="_PLD_105cce5212fb42a182b1fd8e309ba67c"/>
            <w:id w:val="1090587213"/>
          </w:sdtPr>
          <w:sdtContent>
            <w:tc>
              <w:tcPr>
                <w:tcW w:w="2859" w:type="dxa"/>
                <w:tcBorders>
                  <w:top w:val="single" w:sz="4" w:space="0" w:color="auto"/>
                  <w:left w:val="single" w:sz="4" w:space="0" w:color="auto"/>
                  <w:bottom w:val="single" w:sz="4" w:space="0" w:color="auto"/>
                  <w:right w:val="single" w:sz="4" w:space="0" w:color="auto"/>
                </w:tcBorders>
                <w:vAlign w:val="center"/>
              </w:tcPr>
              <w:p w14:paraId="0ED8DE8A" w14:textId="77777777" w:rsidR="00577D08" w:rsidRDefault="00330FC0">
                <w:pPr>
                  <w:jc w:val="center"/>
                </w:pPr>
                <w:r>
                  <w:rPr>
                    <w:rFonts w:hint="eastAsia"/>
                  </w:rPr>
                  <w:t>本期发生额</w:t>
                </w:r>
              </w:p>
            </w:tc>
          </w:sdtContent>
        </w:sdt>
        <w:sdt>
          <w:sdtPr>
            <w:tag w:val="_PLD_5f148659054c4187a80f7bdffc9e9cde"/>
            <w:id w:val="1973548674"/>
          </w:sdtPr>
          <w:sdtContent>
            <w:tc>
              <w:tcPr>
                <w:tcW w:w="2857" w:type="dxa"/>
                <w:tcBorders>
                  <w:top w:val="single" w:sz="4" w:space="0" w:color="auto"/>
                  <w:left w:val="single" w:sz="4" w:space="0" w:color="auto"/>
                  <w:bottom w:val="single" w:sz="4" w:space="0" w:color="auto"/>
                  <w:right w:val="single" w:sz="4" w:space="0" w:color="auto"/>
                </w:tcBorders>
                <w:vAlign w:val="center"/>
              </w:tcPr>
              <w:p w14:paraId="30DE0B5B" w14:textId="77777777" w:rsidR="00577D08" w:rsidRDefault="00330FC0">
                <w:pPr>
                  <w:jc w:val="center"/>
                </w:pPr>
                <w:r>
                  <w:rPr>
                    <w:rFonts w:hint="eastAsia"/>
                  </w:rPr>
                  <w:t>上期发生额</w:t>
                </w:r>
              </w:p>
            </w:tc>
          </w:sdtContent>
        </w:sdt>
      </w:tr>
      <w:tr w:rsidR="00577D08" w14:paraId="1480A1D4" w14:textId="77777777">
        <w:tc>
          <w:tcPr>
            <w:tcW w:w="3331" w:type="dxa"/>
            <w:tcBorders>
              <w:top w:val="single" w:sz="4" w:space="0" w:color="auto"/>
              <w:left w:val="single" w:sz="4" w:space="0" w:color="auto"/>
              <w:bottom w:val="single" w:sz="4" w:space="0" w:color="auto"/>
              <w:right w:val="single" w:sz="4" w:space="0" w:color="auto"/>
            </w:tcBorders>
          </w:tcPr>
          <w:p w14:paraId="62EB60E4" w14:textId="77777777" w:rsidR="00577D08" w:rsidRDefault="00330FC0">
            <w:r>
              <w:rPr>
                <w:rFonts w:hint="eastAsia"/>
              </w:rPr>
              <w:t>职工薪酬</w:t>
            </w:r>
          </w:p>
        </w:tc>
        <w:tc>
          <w:tcPr>
            <w:tcW w:w="2859" w:type="dxa"/>
            <w:tcBorders>
              <w:top w:val="single" w:sz="4" w:space="0" w:color="auto"/>
              <w:left w:val="single" w:sz="4" w:space="0" w:color="auto"/>
              <w:bottom w:val="single" w:sz="4" w:space="0" w:color="auto"/>
              <w:right w:val="single" w:sz="4" w:space="0" w:color="auto"/>
            </w:tcBorders>
          </w:tcPr>
          <w:p w14:paraId="7AF0EBC8" w14:textId="77777777" w:rsidR="00577D08" w:rsidRDefault="00330FC0">
            <w:pPr>
              <w:jc w:val="right"/>
            </w:pPr>
            <w:r>
              <w:t>49,477,273.47</w:t>
            </w:r>
          </w:p>
        </w:tc>
        <w:tc>
          <w:tcPr>
            <w:tcW w:w="2857" w:type="dxa"/>
            <w:tcBorders>
              <w:top w:val="single" w:sz="4" w:space="0" w:color="auto"/>
              <w:left w:val="single" w:sz="4" w:space="0" w:color="auto"/>
              <w:bottom w:val="single" w:sz="4" w:space="0" w:color="auto"/>
              <w:right w:val="single" w:sz="4" w:space="0" w:color="auto"/>
            </w:tcBorders>
          </w:tcPr>
          <w:p w14:paraId="07925983" w14:textId="77777777" w:rsidR="00577D08" w:rsidRDefault="00330FC0">
            <w:pPr>
              <w:jc w:val="right"/>
            </w:pPr>
            <w:r>
              <w:t>43,785,810.60</w:t>
            </w:r>
          </w:p>
        </w:tc>
      </w:tr>
      <w:tr w:rsidR="00577D08" w14:paraId="2B4F72FD" w14:textId="77777777">
        <w:tc>
          <w:tcPr>
            <w:tcW w:w="3331" w:type="dxa"/>
            <w:tcBorders>
              <w:top w:val="single" w:sz="4" w:space="0" w:color="auto"/>
              <w:left w:val="single" w:sz="4" w:space="0" w:color="auto"/>
              <w:bottom w:val="single" w:sz="4" w:space="0" w:color="auto"/>
              <w:right w:val="single" w:sz="4" w:space="0" w:color="auto"/>
            </w:tcBorders>
          </w:tcPr>
          <w:p w14:paraId="25CCEE13" w14:textId="77777777" w:rsidR="00577D08" w:rsidRDefault="00330FC0">
            <w:r>
              <w:rPr>
                <w:rFonts w:hint="eastAsia"/>
              </w:rPr>
              <w:t>业务招待费</w:t>
            </w:r>
          </w:p>
        </w:tc>
        <w:tc>
          <w:tcPr>
            <w:tcW w:w="2859" w:type="dxa"/>
            <w:tcBorders>
              <w:top w:val="single" w:sz="4" w:space="0" w:color="auto"/>
              <w:left w:val="single" w:sz="4" w:space="0" w:color="auto"/>
              <w:bottom w:val="single" w:sz="4" w:space="0" w:color="auto"/>
              <w:right w:val="single" w:sz="4" w:space="0" w:color="auto"/>
            </w:tcBorders>
          </w:tcPr>
          <w:p w14:paraId="41D62140" w14:textId="77777777" w:rsidR="00577D08" w:rsidRDefault="00330FC0">
            <w:pPr>
              <w:jc w:val="right"/>
            </w:pPr>
            <w:r>
              <w:t>25,200,001.39</w:t>
            </w:r>
          </w:p>
        </w:tc>
        <w:tc>
          <w:tcPr>
            <w:tcW w:w="2857" w:type="dxa"/>
            <w:tcBorders>
              <w:top w:val="single" w:sz="4" w:space="0" w:color="auto"/>
              <w:left w:val="single" w:sz="4" w:space="0" w:color="auto"/>
              <w:bottom w:val="single" w:sz="4" w:space="0" w:color="auto"/>
              <w:right w:val="single" w:sz="4" w:space="0" w:color="auto"/>
            </w:tcBorders>
          </w:tcPr>
          <w:p w14:paraId="4EC65FA1" w14:textId="77777777" w:rsidR="00577D08" w:rsidRDefault="00330FC0">
            <w:pPr>
              <w:jc w:val="right"/>
            </w:pPr>
            <w:r>
              <w:t>29,542,691.08</w:t>
            </w:r>
          </w:p>
        </w:tc>
      </w:tr>
      <w:tr w:rsidR="00577D08" w14:paraId="1972535B" w14:textId="77777777">
        <w:tc>
          <w:tcPr>
            <w:tcW w:w="3331" w:type="dxa"/>
            <w:tcBorders>
              <w:top w:val="single" w:sz="4" w:space="0" w:color="auto"/>
              <w:left w:val="single" w:sz="4" w:space="0" w:color="auto"/>
              <w:bottom w:val="single" w:sz="4" w:space="0" w:color="auto"/>
              <w:right w:val="single" w:sz="4" w:space="0" w:color="auto"/>
            </w:tcBorders>
          </w:tcPr>
          <w:p w14:paraId="21FB2309" w14:textId="77777777" w:rsidR="00577D08" w:rsidRDefault="00330FC0">
            <w:r>
              <w:rPr>
                <w:rFonts w:hint="eastAsia"/>
              </w:rPr>
              <w:t>办公及差旅费</w:t>
            </w:r>
          </w:p>
        </w:tc>
        <w:tc>
          <w:tcPr>
            <w:tcW w:w="2859" w:type="dxa"/>
            <w:tcBorders>
              <w:top w:val="single" w:sz="4" w:space="0" w:color="auto"/>
              <w:left w:val="single" w:sz="4" w:space="0" w:color="auto"/>
              <w:bottom w:val="single" w:sz="4" w:space="0" w:color="auto"/>
              <w:right w:val="single" w:sz="4" w:space="0" w:color="auto"/>
            </w:tcBorders>
          </w:tcPr>
          <w:p w14:paraId="3A7BE2EB" w14:textId="77777777" w:rsidR="00577D08" w:rsidRDefault="00330FC0">
            <w:pPr>
              <w:jc w:val="right"/>
            </w:pPr>
            <w:r>
              <w:t>21,616,183.96</w:t>
            </w:r>
          </w:p>
        </w:tc>
        <w:tc>
          <w:tcPr>
            <w:tcW w:w="2857" w:type="dxa"/>
            <w:tcBorders>
              <w:top w:val="single" w:sz="4" w:space="0" w:color="auto"/>
              <w:left w:val="single" w:sz="4" w:space="0" w:color="auto"/>
              <w:bottom w:val="single" w:sz="4" w:space="0" w:color="auto"/>
              <w:right w:val="single" w:sz="4" w:space="0" w:color="auto"/>
            </w:tcBorders>
          </w:tcPr>
          <w:p w14:paraId="3DBD1242" w14:textId="77777777" w:rsidR="00577D08" w:rsidRDefault="00330FC0">
            <w:pPr>
              <w:jc w:val="right"/>
            </w:pPr>
            <w:r>
              <w:t>21,225,260.92</w:t>
            </w:r>
          </w:p>
        </w:tc>
      </w:tr>
      <w:tr w:rsidR="00577D08" w14:paraId="58E79627" w14:textId="77777777">
        <w:tc>
          <w:tcPr>
            <w:tcW w:w="3331" w:type="dxa"/>
            <w:tcBorders>
              <w:top w:val="single" w:sz="4" w:space="0" w:color="auto"/>
              <w:left w:val="single" w:sz="4" w:space="0" w:color="auto"/>
              <w:bottom w:val="single" w:sz="4" w:space="0" w:color="auto"/>
              <w:right w:val="single" w:sz="4" w:space="0" w:color="auto"/>
            </w:tcBorders>
          </w:tcPr>
          <w:p w14:paraId="51F49AAE" w14:textId="77777777" w:rsidR="00577D08" w:rsidRDefault="00330FC0">
            <w:r>
              <w:rPr>
                <w:rFonts w:hint="eastAsia"/>
              </w:rPr>
              <w:t>投标服务费</w:t>
            </w:r>
          </w:p>
        </w:tc>
        <w:tc>
          <w:tcPr>
            <w:tcW w:w="2859" w:type="dxa"/>
            <w:tcBorders>
              <w:top w:val="single" w:sz="4" w:space="0" w:color="auto"/>
              <w:left w:val="single" w:sz="4" w:space="0" w:color="auto"/>
              <w:bottom w:val="single" w:sz="4" w:space="0" w:color="auto"/>
              <w:right w:val="single" w:sz="4" w:space="0" w:color="auto"/>
            </w:tcBorders>
          </w:tcPr>
          <w:p w14:paraId="2FDEF023" w14:textId="77777777" w:rsidR="00577D08" w:rsidRDefault="00330FC0">
            <w:pPr>
              <w:jc w:val="right"/>
            </w:pPr>
            <w:r>
              <w:t>9,857,530.70</w:t>
            </w:r>
          </w:p>
        </w:tc>
        <w:tc>
          <w:tcPr>
            <w:tcW w:w="2857" w:type="dxa"/>
            <w:tcBorders>
              <w:top w:val="single" w:sz="4" w:space="0" w:color="auto"/>
              <w:left w:val="single" w:sz="4" w:space="0" w:color="auto"/>
              <w:bottom w:val="single" w:sz="4" w:space="0" w:color="auto"/>
              <w:right w:val="single" w:sz="4" w:space="0" w:color="auto"/>
            </w:tcBorders>
          </w:tcPr>
          <w:p w14:paraId="16AF29E9" w14:textId="77777777" w:rsidR="00577D08" w:rsidRDefault="00330FC0">
            <w:pPr>
              <w:jc w:val="right"/>
            </w:pPr>
            <w:r>
              <w:t>9,759,081.21</w:t>
            </w:r>
          </w:p>
        </w:tc>
      </w:tr>
      <w:tr w:rsidR="00577D08" w14:paraId="4A0D83BB" w14:textId="77777777">
        <w:tc>
          <w:tcPr>
            <w:tcW w:w="3331" w:type="dxa"/>
            <w:tcBorders>
              <w:top w:val="single" w:sz="4" w:space="0" w:color="auto"/>
              <w:left w:val="single" w:sz="4" w:space="0" w:color="auto"/>
              <w:bottom w:val="single" w:sz="4" w:space="0" w:color="auto"/>
              <w:right w:val="single" w:sz="4" w:space="0" w:color="auto"/>
            </w:tcBorders>
          </w:tcPr>
          <w:p w14:paraId="47782D16" w14:textId="77777777" w:rsidR="00577D08" w:rsidRDefault="00330FC0">
            <w:r>
              <w:rPr>
                <w:rFonts w:hint="eastAsia"/>
              </w:rPr>
              <w:t>其他</w:t>
            </w:r>
          </w:p>
        </w:tc>
        <w:tc>
          <w:tcPr>
            <w:tcW w:w="2859" w:type="dxa"/>
            <w:tcBorders>
              <w:top w:val="single" w:sz="4" w:space="0" w:color="auto"/>
              <w:left w:val="single" w:sz="4" w:space="0" w:color="auto"/>
              <w:bottom w:val="single" w:sz="4" w:space="0" w:color="auto"/>
              <w:right w:val="single" w:sz="4" w:space="0" w:color="auto"/>
            </w:tcBorders>
          </w:tcPr>
          <w:p w14:paraId="68667371" w14:textId="77777777" w:rsidR="00577D08" w:rsidRDefault="00330FC0">
            <w:pPr>
              <w:jc w:val="right"/>
            </w:pPr>
            <w:r>
              <w:t>7,914,109.79</w:t>
            </w:r>
          </w:p>
        </w:tc>
        <w:tc>
          <w:tcPr>
            <w:tcW w:w="2857" w:type="dxa"/>
            <w:tcBorders>
              <w:top w:val="single" w:sz="4" w:space="0" w:color="auto"/>
              <w:left w:val="single" w:sz="4" w:space="0" w:color="auto"/>
              <w:bottom w:val="single" w:sz="4" w:space="0" w:color="auto"/>
              <w:right w:val="single" w:sz="4" w:space="0" w:color="auto"/>
            </w:tcBorders>
          </w:tcPr>
          <w:p w14:paraId="3D6796B5" w14:textId="77777777" w:rsidR="00577D08" w:rsidRDefault="00330FC0">
            <w:pPr>
              <w:jc w:val="right"/>
            </w:pPr>
            <w:r>
              <w:t>11,977,459.79</w:t>
            </w:r>
          </w:p>
        </w:tc>
      </w:tr>
      <w:tr w:rsidR="00577D08" w14:paraId="31396392" w14:textId="77777777">
        <w:tc>
          <w:tcPr>
            <w:tcW w:w="3331" w:type="dxa"/>
            <w:tcBorders>
              <w:top w:val="single" w:sz="4" w:space="0" w:color="auto"/>
              <w:left w:val="single" w:sz="4" w:space="0" w:color="auto"/>
              <w:bottom w:val="single" w:sz="4" w:space="0" w:color="auto"/>
              <w:right w:val="single" w:sz="4" w:space="0" w:color="auto"/>
            </w:tcBorders>
            <w:vAlign w:val="center"/>
          </w:tcPr>
          <w:p w14:paraId="03837EF2" w14:textId="77777777" w:rsidR="00577D08" w:rsidRDefault="00330FC0">
            <w:pPr>
              <w:jc w:val="center"/>
            </w:pPr>
            <w:r>
              <w:rPr>
                <w:rFonts w:hint="eastAsia"/>
              </w:rPr>
              <w:t>合计</w:t>
            </w:r>
          </w:p>
        </w:tc>
        <w:tc>
          <w:tcPr>
            <w:tcW w:w="2859" w:type="dxa"/>
            <w:tcBorders>
              <w:top w:val="single" w:sz="4" w:space="0" w:color="auto"/>
              <w:left w:val="single" w:sz="4" w:space="0" w:color="auto"/>
              <w:bottom w:val="single" w:sz="4" w:space="0" w:color="auto"/>
              <w:right w:val="single" w:sz="4" w:space="0" w:color="auto"/>
            </w:tcBorders>
          </w:tcPr>
          <w:p w14:paraId="66A9AD81" w14:textId="77777777" w:rsidR="00577D08" w:rsidRDefault="00330FC0">
            <w:pPr>
              <w:jc w:val="right"/>
            </w:pPr>
            <w:r>
              <w:t>114,065,099.31</w:t>
            </w:r>
          </w:p>
        </w:tc>
        <w:tc>
          <w:tcPr>
            <w:tcW w:w="2857" w:type="dxa"/>
            <w:tcBorders>
              <w:top w:val="single" w:sz="4" w:space="0" w:color="auto"/>
              <w:left w:val="single" w:sz="4" w:space="0" w:color="auto"/>
              <w:bottom w:val="single" w:sz="4" w:space="0" w:color="auto"/>
              <w:right w:val="single" w:sz="4" w:space="0" w:color="auto"/>
            </w:tcBorders>
          </w:tcPr>
          <w:p w14:paraId="1672126B" w14:textId="77777777" w:rsidR="00577D08" w:rsidRDefault="00330FC0">
            <w:pPr>
              <w:jc w:val="right"/>
            </w:pPr>
            <w:r>
              <w:t>116,290,303.60</w:t>
            </w:r>
          </w:p>
        </w:tc>
      </w:tr>
    </w:tbl>
    <w:p w14:paraId="01ADA392" w14:textId="77777777" w:rsidR="00577D08" w:rsidRDefault="00330FC0">
      <w:pPr>
        <w:spacing w:before="60" w:after="60"/>
      </w:pPr>
      <w:r>
        <w:rPr>
          <w:rFonts w:hint="eastAsia"/>
        </w:rPr>
        <w:t>其他说明：</w:t>
      </w:r>
    </w:p>
    <w:sdt>
      <w:sdtPr>
        <w:alias w:val="销售费用的其他说明事项"/>
        <w:tag w:val="_GBC_da5acaab2dfe4976b479907a904edb4f"/>
        <w:id w:val="1062984526"/>
        <w:placeholder>
          <w:docPart w:val="GBC22222222222222222222222222222"/>
        </w:placeholder>
      </w:sdtPr>
      <w:sdtContent>
        <w:p w14:paraId="7D68CF1C" w14:textId="77777777" w:rsidR="00577D08" w:rsidRDefault="00330FC0">
          <w:r>
            <w:rPr>
              <w:rFonts w:hint="eastAsia"/>
            </w:rPr>
            <w:t>无</w:t>
          </w:r>
        </w:p>
      </w:sdtContent>
    </w:sdt>
    <w:p w14:paraId="38DE526C" w14:textId="77777777" w:rsidR="00577D08" w:rsidRDefault="00330FC0">
      <w:pPr>
        <w:pStyle w:val="3"/>
        <w:numPr>
          <w:ilvl w:val="0"/>
          <w:numId w:val="61"/>
        </w:numPr>
        <w:tabs>
          <w:tab w:val="left" w:pos="504"/>
        </w:tabs>
        <w:rPr>
          <w:szCs w:val="21"/>
        </w:rPr>
      </w:pPr>
      <w:bookmarkStart w:id="457" w:name="_Hlk155098459"/>
      <w:bookmarkStart w:id="458" w:name="_Hlk532912714"/>
      <w:r>
        <w:rPr>
          <w:rFonts w:hint="eastAsia"/>
          <w:szCs w:val="21"/>
        </w:rPr>
        <w:t>管理费用</w:t>
      </w:r>
    </w:p>
    <w:sdt>
      <w:sdtPr>
        <w:alias w:val="是否适用：管理费用[双击切换]"/>
        <w:tag w:val="_GBC_b376fd9abaac4f3b8e5956b8dcd72faf"/>
        <w:id w:val="-1704852009"/>
        <w:placeholder>
          <w:docPart w:val="GBC22222222222222222222222222222"/>
        </w:placeholder>
      </w:sdtPr>
      <w:sdtContent>
        <w:p w14:paraId="440CBD5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7C8B714" w14:textId="5A59A46F" w:rsidR="00577D08" w:rsidRDefault="00330FC0">
      <w:pPr>
        <w:jc w:val="right"/>
      </w:pPr>
      <w:r>
        <w:rPr>
          <w:rFonts w:hint="eastAsia"/>
        </w:rPr>
        <w:t>单位：</w:t>
      </w:r>
      <w:sdt>
        <w:sdtPr>
          <w:rPr>
            <w:rFonts w:hint="eastAsia"/>
          </w:rPr>
          <w:alias w:val="单位：管理费用"/>
          <w:tag w:val="_GBC_73606f31bd404afb8bfe5aabe1a68278"/>
          <w:id w:val="16637363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管理费用"/>
          <w:tag w:val="_GBC_0549259a290d43c39c63d67cdad7f80d"/>
          <w:id w:val="-15788153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77D08" w14:paraId="0E4F86BB" w14:textId="77777777">
        <w:sdt>
          <w:sdtPr>
            <w:tag w:val="_PLD_588268d9a550441d943c27cfc1105eb0"/>
            <w:id w:val="1897703301"/>
          </w:sdtPr>
          <w:sdtContent>
            <w:tc>
              <w:tcPr>
                <w:tcW w:w="4005" w:type="dxa"/>
                <w:tcBorders>
                  <w:top w:val="single" w:sz="4" w:space="0" w:color="auto"/>
                  <w:left w:val="single" w:sz="4" w:space="0" w:color="auto"/>
                  <w:bottom w:val="single" w:sz="4" w:space="0" w:color="auto"/>
                  <w:right w:val="single" w:sz="4" w:space="0" w:color="auto"/>
                </w:tcBorders>
                <w:vAlign w:val="center"/>
              </w:tcPr>
              <w:p w14:paraId="2A245980" w14:textId="77777777" w:rsidR="00577D08" w:rsidRDefault="00330FC0">
                <w:pPr>
                  <w:jc w:val="center"/>
                </w:pPr>
                <w:r>
                  <w:rPr>
                    <w:rFonts w:hint="eastAsia"/>
                  </w:rPr>
                  <w:t>项目</w:t>
                </w:r>
              </w:p>
            </w:tc>
          </w:sdtContent>
        </w:sdt>
        <w:sdt>
          <w:sdtPr>
            <w:tag w:val="_PLD_0e4f4d04bcb2408d8a5744ac90a1f89b"/>
            <w:id w:val="-120925630"/>
          </w:sdtPr>
          <w:sdtContent>
            <w:tc>
              <w:tcPr>
                <w:tcW w:w="2604" w:type="dxa"/>
                <w:tcBorders>
                  <w:top w:val="single" w:sz="4" w:space="0" w:color="auto"/>
                  <w:left w:val="single" w:sz="4" w:space="0" w:color="auto"/>
                  <w:bottom w:val="single" w:sz="4" w:space="0" w:color="auto"/>
                  <w:right w:val="single" w:sz="4" w:space="0" w:color="auto"/>
                </w:tcBorders>
                <w:vAlign w:val="center"/>
              </w:tcPr>
              <w:p w14:paraId="4F8A582B" w14:textId="77777777" w:rsidR="00577D08" w:rsidRDefault="00330FC0">
                <w:pPr>
                  <w:jc w:val="center"/>
                </w:pPr>
                <w:r>
                  <w:rPr>
                    <w:rFonts w:hint="eastAsia"/>
                  </w:rPr>
                  <w:t>本期发生额</w:t>
                </w:r>
              </w:p>
            </w:tc>
          </w:sdtContent>
        </w:sdt>
        <w:sdt>
          <w:sdtPr>
            <w:tag w:val="_PLD_6f1ab61237164c0db56540ae1980b62c"/>
            <w:id w:val="-1724593801"/>
          </w:sdtPr>
          <w:sdtContent>
            <w:tc>
              <w:tcPr>
                <w:tcW w:w="2439" w:type="dxa"/>
                <w:tcBorders>
                  <w:top w:val="single" w:sz="4" w:space="0" w:color="auto"/>
                  <w:left w:val="single" w:sz="4" w:space="0" w:color="auto"/>
                  <w:bottom w:val="single" w:sz="4" w:space="0" w:color="auto"/>
                  <w:right w:val="single" w:sz="4" w:space="0" w:color="auto"/>
                </w:tcBorders>
                <w:vAlign w:val="center"/>
              </w:tcPr>
              <w:p w14:paraId="09654D34" w14:textId="77777777" w:rsidR="00577D08" w:rsidRDefault="00330FC0">
                <w:pPr>
                  <w:jc w:val="center"/>
                </w:pPr>
                <w:r>
                  <w:rPr>
                    <w:rFonts w:hint="eastAsia"/>
                  </w:rPr>
                  <w:t>上期发生额</w:t>
                </w:r>
              </w:p>
            </w:tc>
          </w:sdtContent>
        </w:sdt>
      </w:tr>
      <w:tr w:rsidR="00577D08" w14:paraId="01C80B2A" w14:textId="77777777">
        <w:tc>
          <w:tcPr>
            <w:tcW w:w="4005" w:type="dxa"/>
            <w:tcBorders>
              <w:top w:val="single" w:sz="4" w:space="0" w:color="auto"/>
              <w:left w:val="single" w:sz="4" w:space="0" w:color="auto"/>
              <w:bottom w:val="single" w:sz="4" w:space="0" w:color="auto"/>
              <w:right w:val="single" w:sz="4" w:space="0" w:color="auto"/>
            </w:tcBorders>
          </w:tcPr>
          <w:p w14:paraId="1BF06850" w14:textId="77777777" w:rsidR="00577D08" w:rsidRDefault="00330FC0">
            <w:r>
              <w:rPr>
                <w:rFonts w:hint="eastAsia"/>
              </w:rPr>
              <w:t>职工薪酬</w:t>
            </w:r>
          </w:p>
        </w:tc>
        <w:tc>
          <w:tcPr>
            <w:tcW w:w="2604" w:type="dxa"/>
            <w:tcBorders>
              <w:top w:val="single" w:sz="4" w:space="0" w:color="auto"/>
              <w:left w:val="single" w:sz="4" w:space="0" w:color="auto"/>
              <w:bottom w:val="single" w:sz="4" w:space="0" w:color="auto"/>
              <w:right w:val="single" w:sz="4" w:space="0" w:color="auto"/>
            </w:tcBorders>
          </w:tcPr>
          <w:p w14:paraId="70DE7743" w14:textId="77777777" w:rsidR="00577D08" w:rsidRDefault="00330FC0">
            <w:pPr>
              <w:jc w:val="right"/>
            </w:pPr>
            <w:r>
              <w:t>57,582,610.44</w:t>
            </w:r>
          </w:p>
        </w:tc>
        <w:tc>
          <w:tcPr>
            <w:tcW w:w="2439" w:type="dxa"/>
            <w:tcBorders>
              <w:top w:val="single" w:sz="4" w:space="0" w:color="auto"/>
              <w:left w:val="single" w:sz="4" w:space="0" w:color="auto"/>
              <w:bottom w:val="single" w:sz="4" w:space="0" w:color="auto"/>
              <w:right w:val="single" w:sz="4" w:space="0" w:color="auto"/>
            </w:tcBorders>
          </w:tcPr>
          <w:p w14:paraId="21923A01" w14:textId="77777777" w:rsidR="00577D08" w:rsidRDefault="00330FC0">
            <w:pPr>
              <w:jc w:val="right"/>
            </w:pPr>
            <w:r>
              <w:t>43,978,341.15</w:t>
            </w:r>
          </w:p>
        </w:tc>
      </w:tr>
      <w:tr w:rsidR="00577D08" w14:paraId="68E17AC3" w14:textId="77777777">
        <w:tc>
          <w:tcPr>
            <w:tcW w:w="4005" w:type="dxa"/>
            <w:tcBorders>
              <w:top w:val="single" w:sz="4" w:space="0" w:color="auto"/>
              <w:left w:val="single" w:sz="4" w:space="0" w:color="auto"/>
              <w:bottom w:val="single" w:sz="4" w:space="0" w:color="auto"/>
              <w:right w:val="single" w:sz="4" w:space="0" w:color="auto"/>
            </w:tcBorders>
          </w:tcPr>
          <w:p w14:paraId="7260F2B7" w14:textId="77777777" w:rsidR="00577D08" w:rsidRDefault="00330FC0">
            <w:r>
              <w:rPr>
                <w:rFonts w:hint="eastAsia"/>
              </w:rPr>
              <w:t>折旧及摊销</w:t>
            </w:r>
          </w:p>
        </w:tc>
        <w:tc>
          <w:tcPr>
            <w:tcW w:w="2604" w:type="dxa"/>
            <w:tcBorders>
              <w:top w:val="single" w:sz="4" w:space="0" w:color="auto"/>
              <w:left w:val="single" w:sz="4" w:space="0" w:color="auto"/>
              <w:bottom w:val="single" w:sz="4" w:space="0" w:color="auto"/>
              <w:right w:val="single" w:sz="4" w:space="0" w:color="auto"/>
            </w:tcBorders>
          </w:tcPr>
          <w:p w14:paraId="0C4C59FC" w14:textId="77777777" w:rsidR="00577D08" w:rsidRDefault="00330FC0">
            <w:pPr>
              <w:jc w:val="right"/>
            </w:pPr>
            <w:r>
              <w:t>26,753,785.22</w:t>
            </w:r>
          </w:p>
        </w:tc>
        <w:tc>
          <w:tcPr>
            <w:tcW w:w="2439" w:type="dxa"/>
            <w:tcBorders>
              <w:top w:val="single" w:sz="4" w:space="0" w:color="auto"/>
              <w:left w:val="single" w:sz="4" w:space="0" w:color="auto"/>
              <w:bottom w:val="single" w:sz="4" w:space="0" w:color="auto"/>
              <w:right w:val="single" w:sz="4" w:space="0" w:color="auto"/>
            </w:tcBorders>
          </w:tcPr>
          <w:p w14:paraId="6824DA8E" w14:textId="77777777" w:rsidR="00577D08" w:rsidRDefault="00330FC0">
            <w:pPr>
              <w:jc w:val="right"/>
            </w:pPr>
            <w:r>
              <w:t>20,921,669.00</w:t>
            </w:r>
          </w:p>
        </w:tc>
      </w:tr>
      <w:tr w:rsidR="00577D08" w14:paraId="5CD3F268" w14:textId="77777777">
        <w:tc>
          <w:tcPr>
            <w:tcW w:w="4005" w:type="dxa"/>
            <w:tcBorders>
              <w:top w:val="single" w:sz="4" w:space="0" w:color="auto"/>
              <w:left w:val="single" w:sz="4" w:space="0" w:color="auto"/>
              <w:bottom w:val="single" w:sz="4" w:space="0" w:color="auto"/>
              <w:right w:val="single" w:sz="4" w:space="0" w:color="auto"/>
            </w:tcBorders>
          </w:tcPr>
          <w:p w14:paraId="2D2F6A60" w14:textId="77777777" w:rsidR="00577D08" w:rsidRDefault="00330FC0">
            <w:r>
              <w:rPr>
                <w:rFonts w:hint="eastAsia"/>
              </w:rPr>
              <w:t>安全生产费</w:t>
            </w:r>
          </w:p>
        </w:tc>
        <w:tc>
          <w:tcPr>
            <w:tcW w:w="2604" w:type="dxa"/>
            <w:tcBorders>
              <w:top w:val="single" w:sz="4" w:space="0" w:color="auto"/>
              <w:left w:val="single" w:sz="4" w:space="0" w:color="auto"/>
              <w:bottom w:val="single" w:sz="4" w:space="0" w:color="auto"/>
              <w:right w:val="single" w:sz="4" w:space="0" w:color="auto"/>
            </w:tcBorders>
          </w:tcPr>
          <w:p w14:paraId="0F10AF0F" w14:textId="77777777" w:rsidR="00577D08" w:rsidRDefault="00330FC0">
            <w:pPr>
              <w:jc w:val="right"/>
            </w:pPr>
            <w:r>
              <w:t>16,151,210.63</w:t>
            </w:r>
          </w:p>
        </w:tc>
        <w:tc>
          <w:tcPr>
            <w:tcW w:w="2439" w:type="dxa"/>
            <w:tcBorders>
              <w:top w:val="single" w:sz="4" w:space="0" w:color="auto"/>
              <w:left w:val="single" w:sz="4" w:space="0" w:color="auto"/>
              <w:bottom w:val="single" w:sz="4" w:space="0" w:color="auto"/>
              <w:right w:val="single" w:sz="4" w:space="0" w:color="auto"/>
            </w:tcBorders>
          </w:tcPr>
          <w:p w14:paraId="0E187F2F" w14:textId="77777777" w:rsidR="00577D08" w:rsidRDefault="00330FC0">
            <w:pPr>
              <w:jc w:val="right"/>
            </w:pPr>
            <w:r>
              <w:t>13,915,332.61</w:t>
            </w:r>
          </w:p>
        </w:tc>
      </w:tr>
      <w:tr w:rsidR="00577D08" w14:paraId="2C8C77D6" w14:textId="77777777">
        <w:tc>
          <w:tcPr>
            <w:tcW w:w="4005" w:type="dxa"/>
            <w:tcBorders>
              <w:top w:val="single" w:sz="4" w:space="0" w:color="auto"/>
              <w:left w:val="single" w:sz="4" w:space="0" w:color="auto"/>
              <w:bottom w:val="single" w:sz="4" w:space="0" w:color="auto"/>
              <w:right w:val="single" w:sz="4" w:space="0" w:color="auto"/>
            </w:tcBorders>
          </w:tcPr>
          <w:p w14:paraId="4A0772CC" w14:textId="77777777" w:rsidR="00577D08" w:rsidRDefault="00330FC0">
            <w:r>
              <w:rPr>
                <w:rFonts w:hint="eastAsia"/>
              </w:rPr>
              <w:t>业务招待费</w:t>
            </w:r>
          </w:p>
        </w:tc>
        <w:tc>
          <w:tcPr>
            <w:tcW w:w="2604" w:type="dxa"/>
            <w:tcBorders>
              <w:top w:val="single" w:sz="4" w:space="0" w:color="auto"/>
              <w:left w:val="single" w:sz="4" w:space="0" w:color="auto"/>
              <w:bottom w:val="single" w:sz="4" w:space="0" w:color="auto"/>
              <w:right w:val="single" w:sz="4" w:space="0" w:color="auto"/>
            </w:tcBorders>
          </w:tcPr>
          <w:p w14:paraId="1ACBCEFC" w14:textId="77777777" w:rsidR="00577D08" w:rsidRDefault="00330FC0">
            <w:pPr>
              <w:jc w:val="right"/>
            </w:pPr>
            <w:r>
              <w:t>11,376,041.36</w:t>
            </w:r>
          </w:p>
        </w:tc>
        <w:tc>
          <w:tcPr>
            <w:tcW w:w="2439" w:type="dxa"/>
            <w:tcBorders>
              <w:top w:val="single" w:sz="4" w:space="0" w:color="auto"/>
              <w:left w:val="single" w:sz="4" w:space="0" w:color="auto"/>
              <w:bottom w:val="single" w:sz="4" w:space="0" w:color="auto"/>
              <w:right w:val="single" w:sz="4" w:space="0" w:color="auto"/>
            </w:tcBorders>
          </w:tcPr>
          <w:p w14:paraId="17D048FB" w14:textId="77777777" w:rsidR="00577D08" w:rsidRDefault="00330FC0">
            <w:pPr>
              <w:jc w:val="right"/>
            </w:pPr>
            <w:r>
              <w:t>12,783,892.89</w:t>
            </w:r>
          </w:p>
        </w:tc>
      </w:tr>
      <w:tr w:rsidR="00577D08" w14:paraId="7C458E9C" w14:textId="77777777">
        <w:tc>
          <w:tcPr>
            <w:tcW w:w="4005" w:type="dxa"/>
            <w:tcBorders>
              <w:top w:val="single" w:sz="4" w:space="0" w:color="auto"/>
              <w:left w:val="single" w:sz="4" w:space="0" w:color="auto"/>
              <w:bottom w:val="single" w:sz="4" w:space="0" w:color="auto"/>
              <w:right w:val="single" w:sz="4" w:space="0" w:color="auto"/>
            </w:tcBorders>
          </w:tcPr>
          <w:p w14:paraId="23DE1E7E" w14:textId="77777777" w:rsidR="00577D08" w:rsidRDefault="00330FC0">
            <w:r>
              <w:rPr>
                <w:rFonts w:hint="eastAsia"/>
              </w:rPr>
              <w:t>中介机构服务费</w:t>
            </w:r>
          </w:p>
        </w:tc>
        <w:tc>
          <w:tcPr>
            <w:tcW w:w="2604" w:type="dxa"/>
            <w:tcBorders>
              <w:top w:val="single" w:sz="4" w:space="0" w:color="auto"/>
              <w:left w:val="single" w:sz="4" w:space="0" w:color="auto"/>
              <w:bottom w:val="single" w:sz="4" w:space="0" w:color="auto"/>
              <w:right w:val="single" w:sz="4" w:space="0" w:color="auto"/>
            </w:tcBorders>
          </w:tcPr>
          <w:p w14:paraId="1B4481C5" w14:textId="77777777" w:rsidR="00577D08" w:rsidRDefault="00330FC0">
            <w:pPr>
              <w:jc w:val="right"/>
            </w:pPr>
            <w:r>
              <w:t>7,816,786.39</w:t>
            </w:r>
          </w:p>
        </w:tc>
        <w:tc>
          <w:tcPr>
            <w:tcW w:w="2439" w:type="dxa"/>
            <w:tcBorders>
              <w:top w:val="single" w:sz="4" w:space="0" w:color="auto"/>
              <w:left w:val="single" w:sz="4" w:space="0" w:color="auto"/>
              <w:bottom w:val="single" w:sz="4" w:space="0" w:color="auto"/>
              <w:right w:val="single" w:sz="4" w:space="0" w:color="auto"/>
            </w:tcBorders>
          </w:tcPr>
          <w:p w14:paraId="2E332CAC" w14:textId="77777777" w:rsidR="00577D08" w:rsidRDefault="00330FC0">
            <w:pPr>
              <w:jc w:val="right"/>
            </w:pPr>
            <w:r>
              <w:t>10,498,916.72</w:t>
            </w:r>
          </w:p>
        </w:tc>
      </w:tr>
      <w:tr w:rsidR="00577D08" w14:paraId="443AC8D3" w14:textId="77777777">
        <w:tc>
          <w:tcPr>
            <w:tcW w:w="4005" w:type="dxa"/>
            <w:tcBorders>
              <w:top w:val="single" w:sz="4" w:space="0" w:color="auto"/>
              <w:left w:val="single" w:sz="4" w:space="0" w:color="auto"/>
              <w:bottom w:val="single" w:sz="4" w:space="0" w:color="auto"/>
              <w:right w:val="single" w:sz="4" w:space="0" w:color="auto"/>
            </w:tcBorders>
          </w:tcPr>
          <w:p w14:paraId="137CE57E" w14:textId="77777777" w:rsidR="00577D08" w:rsidRDefault="00330FC0">
            <w:r>
              <w:rPr>
                <w:rFonts w:hint="eastAsia"/>
              </w:rPr>
              <w:t>水电及物业费</w:t>
            </w:r>
          </w:p>
        </w:tc>
        <w:tc>
          <w:tcPr>
            <w:tcW w:w="2604" w:type="dxa"/>
            <w:tcBorders>
              <w:top w:val="single" w:sz="4" w:space="0" w:color="auto"/>
              <w:left w:val="single" w:sz="4" w:space="0" w:color="auto"/>
              <w:bottom w:val="single" w:sz="4" w:space="0" w:color="auto"/>
              <w:right w:val="single" w:sz="4" w:space="0" w:color="auto"/>
            </w:tcBorders>
          </w:tcPr>
          <w:p w14:paraId="397CDF20" w14:textId="77777777" w:rsidR="00577D08" w:rsidRDefault="00330FC0">
            <w:pPr>
              <w:jc w:val="right"/>
            </w:pPr>
            <w:r>
              <w:t>4,114,782.32</w:t>
            </w:r>
          </w:p>
        </w:tc>
        <w:tc>
          <w:tcPr>
            <w:tcW w:w="2439" w:type="dxa"/>
            <w:tcBorders>
              <w:top w:val="single" w:sz="4" w:space="0" w:color="auto"/>
              <w:left w:val="single" w:sz="4" w:space="0" w:color="auto"/>
              <w:bottom w:val="single" w:sz="4" w:space="0" w:color="auto"/>
              <w:right w:val="single" w:sz="4" w:space="0" w:color="auto"/>
            </w:tcBorders>
          </w:tcPr>
          <w:p w14:paraId="0688ABFD" w14:textId="77777777" w:rsidR="00577D08" w:rsidRDefault="00330FC0">
            <w:pPr>
              <w:jc w:val="right"/>
            </w:pPr>
            <w:r>
              <w:t>3,438,550.39</w:t>
            </w:r>
          </w:p>
        </w:tc>
      </w:tr>
      <w:tr w:rsidR="00577D08" w14:paraId="483F97C6" w14:textId="77777777">
        <w:tc>
          <w:tcPr>
            <w:tcW w:w="4005" w:type="dxa"/>
            <w:tcBorders>
              <w:top w:val="single" w:sz="4" w:space="0" w:color="auto"/>
              <w:left w:val="single" w:sz="4" w:space="0" w:color="auto"/>
              <w:bottom w:val="single" w:sz="4" w:space="0" w:color="auto"/>
              <w:right w:val="single" w:sz="4" w:space="0" w:color="auto"/>
            </w:tcBorders>
          </w:tcPr>
          <w:p w14:paraId="1E371E2C" w14:textId="77777777" w:rsidR="00577D08" w:rsidRDefault="00330FC0">
            <w:r>
              <w:rPr>
                <w:rFonts w:hint="eastAsia"/>
              </w:rPr>
              <w:t>办公费</w:t>
            </w:r>
          </w:p>
        </w:tc>
        <w:tc>
          <w:tcPr>
            <w:tcW w:w="2604" w:type="dxa"/>
            <w:tcBorders>
              <w:top w:val="single" w:sz="4" w:space="0" w:color="auto"/>
              <w:left w:val="single" w:sz="4" w:space="0" w:color="auto"/>
              <w:bottom w:val="single" w:sz="4" w:space="0" w:color="auto"/>
              <w:right w:val="single" w:sz="4" w:space="0" w:color="auto"/>
            </w:tcBorders>
          </w:tcPr>
          <w:p w14:paraId="438D3774" w14:textId="77777777" w:rsidR="00577D08" w:rsidRDefault="00330FC0">
            <w:pPr>
              <w:jc w:val="right"/>
            </w:pPr>
            <w:r>
              <w:t>1,996,290.52</w:t>
            </w:r>
          </w:p>
        </w:tc>
        <w:tc>
          <w:tcPr>
            <w:tcW w:w="2439" w:type="dxa"/>
            <w:tcBorders>
              <w:top w:val="single" w:sz="4" w:space="0" w:color="auto"/>
              <w:left w:val="single" w:sz="4" w:space="0" w:color="auto"/>
              <w:bottom w:val="single" w:sz="4" w:space="0" w:color="auto"/>
              <w:right w:val="single" w:sz="4" w:space="0" w:color="auto"/>
            </w:tcBorders>
          </w:tcPr>
          <w:p w14:paraId="1B954332" w14:textId="77777777" w:rsidR="00577D08" w:rsidRDefault="00330FC0">
            <w:pPr>
              <w:jc w:val="right"/>
            </w:pPr>
            <w:r>
              <w:t>2,709,062.26</w:t>
            </w:r>
          </w:p>
        </w:tc>
      </w:tr>
      <w:tr w:rsidR="00577D08" w14:paraId="2D96C921" w14:textId="77777777">
        <w:tc>
          <w:tcPr>
            <w:tcW w:w="4005" w:type="dxa"/>
            <w:tcBorders>
              <w:top w:val="single" w:sz="4" w:space="0" w:color="auto"/>
              <w:left w:val="single" w:sz="4" w:space="0" w:color="auto"/>
              <w:bottom w:val="single" w:sz="4" w:space="0" w:color="auto"/>
              <w:right w:val="single" w:sz="4" w:space="0" w:color="auto"/>
            </w:tcBorders>
          </w:tcPr>
          <w:p w14:paraId="4AAE7320" w14:textId="77777777" w:rsidR="00577D08" w:rsidRDefault="00330FC0">
            <w:r>
              <w:rPr>
                <w:rFonts w:hint="eastAsia"/>
              </w:rPr>
              <w:t>差旅费</w:t>
            </w:r>
          </w:p>
        </w:tc>
        <w:tc>
          <w:tcPr>
            <w:tcW w:w="2604" w:type="dxa"/>
            <w:tcBorders>
              <w:top w:val="single" w:sz="4" w:space="0" w:color="auto"/>
              <w:left w:val="single" w:sz="4" w:space="0" w:color="auto"/>
              <w:bottom w:val="single" w:sz="4" w:space="0" w:color="auto"/>
              <w:right w:val="single" w:sz="4" w:space="0" w:color="auto"/>
            </w:tcBorders>
          </w:tcPr>
          <w:p w14:paraId="2183778E" w14:textId="77777777" w:rsidR="00577D08" w:rsidRDefault="00330FC0">
            <w:pPr>
              <w:jc w:val="right"/>
            </w:pPr>
            <w:r>
              <w:t>1,696,203.97</w:t>
            </w:r>
          </w:p>
        </w:tc>
        <w:tc>
          <w:tcPr>
            <w:tcW w:w="2439" w:type="dxa"/>
            <w:tcBorders>
              <w:top w:val="single" w:sz="4" w:space="0" w:color="auto"/>
              <w:left w:val="single" w:sz="4" w:space="0" w:color="auto"/>
              <w:bottom w:val="single" w:sz="4" w:space="0" w:color="auto"/>
              <w:right w:val="single" w:sz="4" w:space="0" w:color="auto"/>
            </w:tcBorders>
          </w:tcPr>
          <w:p w14:paraId="4B8E4FC3" w14:textId="77777777" w:rsidR="00577D08" w:rsidRDefault="00330FC0">
            <w:pPr>
              <w:jc w:val="right"/>
            </w:pPr>
            <w:r>
              <w:t>1,264,962.80</w:t>
            </w:r>
          </w:p>
        </w:tc>
      </w:tr>
      <w:tr w:rsidR="00577D08" w14:paraId="0F9B66BB" w14:textId="77777777">
        <w:tc>
          <w:tcPr>
            <w:tcW w:w="4005" w:type="dxa"/>
            <w:tcBorders>
              <w:top w:val="single" w:sz="4" w:space="0" w:color="auto"/>
              <w:left w:val="single" w:sz="4" w:space="0" w:color="auto"/>
              <w:bottom w:val="single" w:sz="4" w:space="0" w:color="auto"/>
              <w:right w:val="single" w:sz="4" w:space="0" w:color="auto"/>
            </w:tcBorders>
          </w:tcPr>
          <w:p w14:paraId="0CAEAFF0" w14:textId="77777777" w:rsidR="00577D08" w:rsidRDefault="00330FC0">
            <w:r>
              <w:rPr>
                <w:rFonts w:hint="eastAsia"/>
              </w:rPr>
              <w:t>其他</w:t>
            </w:r>
          </w:p>
        </w:tc>
        <w:tc>
          <w:tcPr>
            <w:tcW w:w="2604" w:type="dxa"/>
            <w:tcBorders>
              <w:top w:val="single" w:sz="4" w:space="0" w:color="auto"/>
              <w:left w:val="single" w:sz="4" w:space="0" w:color="auto"/>
              <w:bottom w:val="single" w:sz="4" w:space="0" w:color="auto"/>
              <w:right w:val="single" w:sz="4" w:space="0" w:color="auto"/>
            </w:tcBorders>
          </w:tcPr>
          <w:p w14:paraId="24A03F77" w14:textId="77777777" w:rsidR="00577D08" w:rsidRDefault="00330FC0">
            <w:pPr>
              <w:jc w:val="right"/>
            </w:pPr>
            <w:r>
              <w:t>5,935,960.22</w:t>
            </w:r>
          </w:p>
        </w:tc>
        <w:tc>
          <w:tcPr>
            <w:tcW w:w="2439" w:type="dxa"/>
            <w:tcBorders>
              <w:top w:val="single" w:sz="4" w:space="0" w:color="auto"/>
              <w:left w:val="single" w:sz="4" w:space="0" w:color="auto"/>
              <w:bottom w:val="single" w:sz="4" w:space="0" w:color="auto"/>
              <w:right w:val="single" w:sz="4" w:space="0" w:color="auto"/>
            </w:tcBorders>
          </w:tcPr>
          <w:p w14:paraId="32AF7154" w14:textId="77777777" w:rsidR="00577D08" w:rsidRDefault="00330FC0">
            <w:pPr>
              <w:jc w:val="right"/>
            </w:pPr>
            <w:r>
              <w:t>6,768,363.41</w:t>
            </w:r>
          </w:p>
        </w:tc>
      </w:tr>
      <w:tr w:rsidR="00577D08" w14:paraId="7CD7318D" w14:textId="77777777">
        <w:tc>
          <w:tcPr>
            <w:tcW w:w="4005" w:type="dxa"/>
            <w:tcBorders>
              <w:top w:val="single" w:sz="4" w:space="0" w:color="auto"/>
              <w:left w:val="single" w:sz="4" w:space="0" w:color="auto"/>
              <w:bottom w:val="single" w:sz="4" w:space="0" w:color="auto"/>
              <w:right w:val="single" w:sz="4" w:space="0" w:color="auto"/>
            </w:tcBorders>
            <w:vAlign w:val="center"/>
          </w:tcPr>
          <w:p w14:paraId="57C0C4C9" w14:textId="77777777" w:rsidR="00577D08" w:rsidRDefault="00330FC0">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tcPr>
          <w:p w14:paraId="194A3D58" w14:textId="77777777" w:rsidR="00577D08" w:rsidRDefault="00330FC0">
            <w:pPr>
              <w:jc w:val="right"/>
            </w:pPr>
            <w:r>
              <w:t>133,423,671.07</w:t>
            </w:r>
          </w:p>
        </w:tc>
        <w:tc>
          <w:tcPr>
            <w:tcW w:w="2439" w:type="dxa"/>
            <w:tcBorders>
              <w:top w:val="single" w:sz="4" w:space="0" w:color="auto"/>
              <w:left w:val="single" w:sz="4" w:space="0" w:color="auto"/>
              <w:bottom w:val="single" w:sz="4" w:space="0" w:color="auto"/>
              <w:right w:val="single" w:sz="4" w:space="0" w:color="auto"/>
            </w:tcBorders>
          </w:tcPr>
          <w:p w14:paraId="50202924" w14:textId="77777777" w:rsidR="00577D08" w:rsidRDefault="00330FC0">
            <w:pPr>
              <w:jc w:val="right"/>
            </w:pPr>
            <w:r>
              <w:t>116,279,091.23</w:t>
            </w:r>
          </w:p>
        </w:tc>
      </w:tr>
    </w:tbl>
    <w:p w14:paraId="6694E881" w14:textId="77777777" w:rsidR="00577D08" w:rsidRDefault="00330FC0">
      <w:r>
        <w:rPr>
          <w:rFonts w:hint="eastAsia"/>
        </w:rPr>
        <w:t>其他说明：</w:t>
      </w:r>
    </w:p>
    <w:sdt>
      <w:sdtPr>
        <w:alias w:val="管理费用的其他说明事项"/>
        <w:tag w:val="_GBC_9b151103b3714e6c9261d3362f24bd0a"/>
        <w:id w:val="1157963885"/>
        <w:placeholder>
          <w:docPart w:val="GBC22222222222222222222222222222"/>
        </w:placeholder>
      </w:sdtPr>
      <w:sdtContent>
        <w:p w14:paraId="79A8877C" w14:textId="77777777" w:rsidR="00577D08" w:rsidRDefault="00330FC0">
          <w:r>
            <w:rPr>
              <w:rFonts w:hint="eastAsia"/>
            </w:rPr>
            <w:t>无</w:t>
          </w:r>
        </w:p>
      </w:sdtContent>
    </w:sdt>
    <w:p w14:paraId="51628C18" w14:textId="77777777" w:rsidR="00577D08" w:rsidRDefault="00330FC0">
      <w:pPr>
        <w:pStyle w:val="3"/>
        <w:numPr>
          <w:ilvl w:val="0"/>
          <w:numId w:val="61"/>
        </w:numPr>
        <w:tabs>
          <w:tab w:val="left" w:pos="504"/>
        </w:tabs>
        <w:rPr>
          <w:szCs w:val="21"/>
        </w:rPr>
      </w:pPr>
      <w:r>
        <w:rPr>
          <w:rFonts w:hint="eastAsia"/>
          <w:szCs w:val="21"/>
        </w:rPr>
        <w:t>研发费用</w:t>
      </w:r>
    </w:p>
    <w:sdt>
      <w:sdtPr>
        <w:alias w:val="是否适用：研发费用[双击切换]"/>
        <w:tag w:val="_GBC_9898510b9c0a486f9cd9779f4b72b75c"/>
        <w:id w:val="960535041"/>
        <w:placeholder>
          <w:docPart w:val="GBC22222222222222222222222222222"/>
        </w:placeholder>
      </w:sdtPr>
      <w:sdtContent>
        <w:p w14:paraId="4CA54BDC"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C5C1A46" w14:textId="618D3534" w:rsidR="00577D08" w:rsidRDefault="00330FC0">
      <w:pPr>
        <w:pStyle w:val="aff9"/>
        <w:ind w:left="420" w:firstLineChars="0" w:firstLine="0"/>
        <w:jc w:val="right"/>
        <w:rPr>
          <w:szCs w:val="21"/>
        </w:rPr>
      </w:pPr>
      <w:r>
        <w:rPr>
          <w:rFonts w:hint="eastAsia"/>
          <w:szCs w:val="21"/>
        </w:rPr>
        <w:t>单位：</w:t>
      </w:r>
      <w:sdt>
        <w:sdtPr>
          <w:rPr>
            <w:rFonts w:hint="eastAsia"/>
            <w:szCs w:val="21"/>
          </w:rPr>
          <w:alias w:val="单位：研发费用"/>
          <w:tag w:val="_GBC_f2389528805243908680cac1cbf74aac"/>
          <w:id w:val="17564779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sdtContent>
      </w:sdt>
      <w:r>
        <w:rPr>
          <w:rFonts w:hint="eastAsia"/>
          <w:szCs w:val="21"/>
        </w:rPr>
        <w:t>币种：</w:t>
      </w:r>
      <w:sdt>
        <w:sdtPr>
          <w:rPr>
            <w:rFonts w:hint="eastAsia"/>
            <w:szCs w:val="21"/>
          </w:rPr>
          <w:alias w:val="币种：研发费用"/>
          <w:tag w:val="_GBC_fd53f958c2294dce9fb017f8207a7ff4"/>
          <w:id w:val="57626252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77D08" w14:paraId="2C309499" w14:textId="77777777">
        <w:sdt>
          <w:sdtPr>
            <w:tag w:val="_PLD_70c22a459f7a4323bcf2b066e0398aee"/>
            <w:id w:val="2081012879"/>
          </w:sdtPr>
          <w:sdtContent>
            <w:tc>
              <w:tcPr>
                <w:tcW w:w="4005" w:type="dxa"/>
                <w:tcBorders>
                  <w:top w:val="single" w:sz="4" w:space="0" w:color="auto"/>
                  <w:left w:val="single" w:sz="4" w:space="0" w:color="auto"/>
                  <w:bottom w:val="single" w:sz="4" w:space="0" w:color="auto"/>
                  <w:right w:val="single" w:sz="4" w:space="0" w:color="auto"/>
                </w:tcBorders>
                <w:vAlign w:val="center"/>
              </w:tcPr>
              <w:p w14:paraId="7468EA16" w14:textId="77777777" w:rsidR="00577D08" w:rsidRDefault="00330FC0">
                <w:pPr>
                  <w:jc w:val="center"/>
                </w:pPr>
                <w:r>
                  <w:rPr>
                    <w:rFonts w:hint="eastAsia"/>
                  </w:rPr>
                  <w:t>项目</w:t>
                </w:r>
              </w:p>
            </w:tc>
          </w:sdtContent>
        </w:sdt>
        <w:sdt>
          <w:sdtPr>
            <w:tag w:val="_PLD_76c559fcf2df4f56bfb2994739826eb3"/>
            <w:id w:val="557288505"/>
          </w:sdtPr>
          <w:sdtContent>
            <w:tc>
              <w:tcPr>
                <w:tcW w:w="2604" w:type="dxa"/>
                <w:tcBorders>
                  <w:top w:val="single" w:sz="4" w:space="0" w:color="auto"/>
                  <w:left w:val="single" w:sz="4" w:space="0" w:color="auto"/>
                  <w:bottom w:val="single" w:sz="4" w:space="0" w:color="auto"/>
                  <w:right w:val="single" w:sz="4" w:space="0" w:color="auto"/>
                </w:tcBorders>
                <w:vAlign w:val="center"/>
              </w:tcPr>
              <w:p w14:paraId="77E9352A" w14:textId="77777777" w:rsidR="00577D08" w:rsidRDefault="00330FC0">
                <w:pPr>
                  <w:jc w:val="center"/>
                </w:pPr>
                <w:r>
                  <w:rPr>
                    <w:rFonts w:hint="eastAsia"/>
                  </w:rPr>
                  <w:t>本期发生额</w:t>
                </w:r>
              </w:p>
            </w:tc>
          </w:sdtContent>
        </w:sdt>
        <w:sdt>
          <w:sdtPr>
            <w:tag w:val="_PLD_ec7e9f373a83410d886ebef444573eb8"/>
            <w:id w:val="-1260290305"/>
          </w:sdtPr>
          <w:sdtContent>
            <w:tc>
              <w:tcPr>
                <w:tcW w:w="2439" w:type="dxa"/>
                <w:tcBorders>
                  <w:top w:val="single" w:sz="4" w:space="0" w:color="auto"/>
                  <w:left w:val="single" w:sz="4" w:space="0" w:color="auto"/>
                  <w:bottom w:val="single" w:sz="4" w:space="0" w:color="auto"/>
                  <w:right w:val="single" w:sz="4" w:space="0" w:color="auto"/>
                </w:tcBorders>
                <w:vAlign w:val="center"/>
              </w:tcPr>
              <w:p w14:paraId="48A9911B" w14:textId="77777777" w:rsidR="00577D08" w:rsidRDefault="00330FC0">
                <w:pPr>
                  <w:jc w:val="center"/>
                </w:pPr>
                <w:r>
                  <w:rPr>
                    <w:rFonts w:hint="eastAsia"/>
                  </w:rPr>
                  <w:t>上期发生额</w:t>
                </w:r>
              </w:p>
            </w:tc>
          </w:sdtContent>
        </w:sdt>
      </w:tr>
      <w:tr w:rsidR="00577D08" w14:paraId="2312B1D1" w14:textId="77777777">
        <w:tc>
          <w:tcPr>
            <w:tcW w:w="4005" w:type="dxa"/>
            <w:tcBorders>
              <w:top w:val="single" w:sz="4" w:space="0" w:color="auto"/>
              <w:left w:val="single" w:sz="4" w:space="0" w:color="auto"/>
              <w:bottom w:val="single" w:sz="4" w:space="0" w:color="auto"/>
              <w:right w:val="single" w:sz="4" w:space="0" w:color="auto"/>
            </w:tcBorders>
          </w:tcPr>
          <w:p w14:paraId="5EC1789D" w14:textId="77777777" w:rsidR="00577D08" w:rsidRDefault="00330FC0">
            <w:r>
              <w:rPr>
                <w:rFonts w:hint="eastAsia"/>
              </w:rPr>
              <w:t>职工薪酬</w:t>
            </w:r>
          </w:p>
        </w:tc>
        <w:tc>
          <w:tcPr>
            <w:tcW w:w="2604" w:type="dxa"/>
            <w:tcBorders>
              <w:top w:val="single" w:sz="4" w:space="0" w:color="auto"/>
              <w:left w:val="single" w:sz="4" w:space="0" w:color="auto"/>
              <w:bottom w:val="single" w:sz="4" w:space="0" w:color="auto"/>
              <w:right w:val="single" w:sz="4" w:space="0" w:color="auto"/>
            </w:tcBorders>
          </w:tcPr>
          <w:p w14:paraId="3F3D005E" w14:textId="77777777" w:rsidR="00577D08" w:rsidRDefault="00330FC0">
            <w:pPr>
              <w:jc w:val="right"/>
            </w:pPr>
            <w:r>
              <w:rPr>
                <w:rFonts w:hint="eastAsia"/>
              </w:rPr>
              <w:t xml:space="preserve"> 18,357,728.21 </w:t>
            </w:r>
          </w:p>
        </w:tc>
        <w:tc>
          <w:tcPr>
            <w:tcW w:w="2439" w:type="dxa"/>
            <w:tcBorders>
              <w:top w:val="single" w:sz="4" w:space="0" w:color="auto"/>
              <w:left w:val="single" w:sz="4" w:space="0" w:color="auto"/>
              <w:bottom w:val="single" w:sz="4" w:space="0" w:color="auto"/>
              <w:right w:val="single" w:sz="4" w:space="0" w:color="auto"/>
            </w:tcBorders>
          </w:tcPr>
          <w:p w14:paraId="2243EE1E" w14:textId="77777777" w:rsidR="00577D08" w:rsidRDefault="00330FC0">
            <w:pPr>
              <w:jc w:val="right"/>
            </w:pPr>
            <w:r>
              <w:rPr>
                <w:rFonts w:hint="eastAsia"/>
              </w:rPr>
              <w:t xml:space="preserve"> 18,466,534.33 </w:t>
            </w:r>
          </w:p>
        </w:tc>
      </w:tr>
      <w:tr w:rsidR="00577D08" w14:paraId="437865B7" w14:textId="77777777">
        <w:tc>
          <w:tcPr>
            <w:tcW w:w="4005" w:type="dxa"/>
            <w:tcBorders>
              <w:top w:val="single" w:sz="4" w:space="0" w:color="auto"/>
              <w:left w:val="single" w:sz="4" w:space="0" w:color="auto"/>
              <w:bottom w:val="single" w:sz="4" w:space="0" w:color="auto"/>
              <w:right w:val="single" w:sz="4" w:space="0" w:color="auto"/>
            </w:tcBorders>
          </w:tcPr>
          <w:p w14:paraId="1F3C6C41" w14:textId="77777777" w:rsidR="00577D08" w:rsidRDefault="00330FC0">
            <w:r>
              <w:rPr>
                <w:rFonts w:hint="eastAsia"/>
              </w:rPr>
              <w:t>材料费</w:t>
            </w:r>
          </w:p>
        </w:tc>
        <w:tc>
          <w:tcPr>
            <w:tcW w:w="2604" w:type="dxa"/>
            <w:tcBorders>
              <w:top w:val="single" w:sz="4" w:space="0" w:color="auto"/>
              <w:left w:val="single" w:sz="4" w:space="0" w:color="auto"/>
              <w:bottom w:val="single" w:sz="4" w:space="0" w:color="auto"/>
              <w:right w:val="single" w:sz="4" w:space="0" w:color="auto"/>
            </w:tcBorders>
          </w:tcPr>
          <w:p w14:paraId="6C11BE78" w14:textId="77777777" w:rsidR="00577D08" w:rsidRDefault="00330FC0">
            <w:pPr>
              <w:jc w:val="right"/>
            </w:pPr>
            <w:r>
              <w:rPr>
                <w:rFonts w:hint="eastAsia"/>
              </w:rPr>
              <w:t xml:space="preserve"> 12,648,700.06 </w:t>
            </w:r>
          </w:p>
        </w:tc>
        <w:tc>
          <w:tcPr>
            <w:tcW w:w="2439" w:type="dxa"/>
            <w:tcBorders>
              <w:top w:val="single" w:sz="4" w:space="0" w:color="auto"/>
              <w:left w:val="single" w:sz="4" w:space="0" w:color="auto"/>
              <w:bottom w:val="single" w:sz="4" w:space="0" w:color="auto"/>
              <w:right w:val="single" w:sz="4" w:space="0" w:color="auto"/>
            </w:tcBorders>
          </w:tcPr>
          <w:p w14:paraId="7FC4FF05" w14:textId="77777777" w:rsidR="00577D08" w:rsidRDefault="00330FC0">
            <w:pPr>
              <w:jc w:val="right"/>
            </w:pPr>
            <w:r>
              <w:rPr>
                <w:rFonts w:hint="eastAsia"/>
              </w:rPr>
              <w:t xml:space="preserve"> 12,412,181.86 </w:t>
            </w:r>
          </w:p>
        </w:tc>
      </w:tr>
      <w:tr w:rsidR="00577D08" w14:paraId="72848201" w14:textId="77777777">
        <w:tc>
          <w:tcPr>
            <w:tcW w:w="4005" w:type="dxa"/>
            <w:tcBorders>
              <w:top w:val="single" w:sz="4" w:space="0" w:color="auto"/>
              <w:left w:val="single" w:sz="4" w:space="0" w:color="auto"/>
              <w:bottom w:val="single" w:sz="4" w:space="0" w:color="auto"/>
              <w:right w:val="single" w:sz="4" w:space="0" w:color="auto"/>
            </w:tcBorders>
          </w:tcPr>
          <w:p w14:paraId="7CE303E7" w14:textId="77777777" w:rsidR="00577D08" w:rsidRDefault="00330FC0">
            <w:r>
              <w:rPr>
                <w:rFonts w:hint="eastAsia"/>
              </w:rPr>
              <w:t>检测费及委外研究费用</w:t>
            </w:r>
          </w:p>
        </w:tc>
        <w:tc>
          <w:tcPr>
            <w:tcW w:w="2604" w:type="dxa"/>
            <w:tcBorders>
              <w:top w:val="single" w:sz="4" w:space="0" w:color="auto"/>
              <w:left w:val="single" w:sz="4" w:space="0" w:color="auto"/>
              <w:bottom w:val="single" w:sz="4" w:space="0" w:color="auto"/>
              <w:right w:val="single" w:sz="4" w:space="0" w:color="auto"/>
            </w:tcBorders>
          </w:tcPr>
          <w:p w14:paraId="2C19C0BC" w14:textId="77777777" w:rsidR="00577D08" w:rsidRDefault="00330FC0">
            <w:pPr>
              <w:jc w:val="right"/>
            </w:pPr>
            <w:r>
              <w:rPr>
                <w:rFonts w:hint="eastAsia"/>
              </w:rPr>
              <w:t xml:space="preserve"> 6,360,409.15 </w:t>
            </w:r>
          </w:p>
        </w:tc>
        <w:tc>
          <w:tcPr>
            <w:tcW w:w="2439" w:type="dxa"/>
            <w:tcBorders>
              <w:top w:val="single" w:sz="4" w:space="0" w:color="auto"/>
              <w:left w:val="single" w:sz="4" w:space="0" w:color="auto"/>
              <w:bottom w:val="single" w:sz="4" w:space="0" w:color="auto"/>
              <w:right w:val="single" w:sz="4" w:space="0" w:color="auto"/>
            </w:tcBorders>
          </w:tcPr>
          <w:p w14:paraId="7303C409" w14:textId="77777777" w:rsidR="00577D08" w:rsidRDefault="00330FC0">
            <w:pPr>
              <w:jc w:val="right"/>
            </w:pPr>
            <w:r>
              <w:rPr>
                <w:rFonts w:hint="eastAsia"/>
              </w:rPr>
              <w:t xml:space="preserve"> 6,835,610.53 </w:t>
            </w:r>
          </w:p>
        </w:tc>
      </w:tr>
      <w:tr w:rsidR="00577D08" w14:paraId="35D5D053" w14:textId="77777777">
        <w:tc>
          <w:tcPr>
            <w:tcW w:w="4005" w:type="dxa"/>
            <w:tcBorders>
              <w:top w:val="single" w:sz="4" w:space="0" w:color="auto"/>
              <w:left w:val="single" w:sz="4" w:space="0" w:color="auto"/>
              <w:bottom w:val="single" w:sz="4" w:space="0" w:color="auto"/>
              <w:right w:val="single" w:sz="4" w:space="0" w:color="auto"/>
            </w:tcBorders>
          </w:tcPr>
          <w:p w14:paraId="607C6090" w14:textId="77777777" w:rsidR="00577D08" w:rsidRDefault="00330FC0">
            <w:r>
              <w:rPr>
                <w:rFonts w:hint="eastAsia"/>
              </w:rPr>
              <w:t>折旧费</w:t>
            </w:r>
          </w:p>
        </w:tc>
        <w:tc>
          <w:tcPr>
            <w:tcW w:w="2604" w:type="dxa"/>
            <w:tcBorders>
              <w:top w:val="single" w:sz="4" w:space="0" w:color="auto"/>
              <w:left w:val="single" w:sz="4" w:space="0" w:color="auto"/>
              <w:bottom w:val="single" w:sz="4" w:space="0" w:color="auto"/>
              <w:right w:val="single" w:sz="4" w:space="0" w:color="auto"/>
            </w:tcBorders>
          </w:tcPr>
          <w:p w14:paraId="1E916C6D" w14:textId="77777777" w:rsidR="00577D08" w:rsidRDefault="00330FC0">
            <w:pPr>
              <w:jc w:val="right"/>
            </w:pPr>
            <w:r>
              <w:rPr>
                <w:rFonts w:hint="eastAsia"/>
              </w:rPr>
              <w:t xml:space="preserve"> 5,875,908.89 </w:t>
            </w:r>
          </w:p>
        </w:tc>
        <w:tc>
          <w:tcPr>
            <w:tcW w:w="2439" w:type="dxa"/>
            <w:tcBorders>
              <w:top w:val="single" w:sz="4" w:space="0" w:color="auto"/>
              <w:left w:val="single" w:sz="4" w:space="0" w:color="auto"/>
              <w:bottom w:val="single" w:sz="4" w:space="0" w:color="auto"/>
              <w:right w:val="single" w:sz="4" w:space="0" w:color="auto"/>
            </w:tcBorders>
          </w:tcPr>
          <w:p w14:paraId="4BF94B97" w14:textId="77777777" w:rsidR="00577D08" w:rsidRDefault="00330FC0">
            <w:pPr>
              <w:jc w:val="right"/>
            </w:pPr>
            <w:r>
              <w:rPr>
                <w:rFonts w:hint="eastAsia"/>
              </w:rPr>
              <w:t xml:space="preserve"> 5,045,800.22 </w:t>
            </w:r>
          </w:p>
        </w:tc>
      </w:tr>
      <w:tr w:rsidR="00577D08" w14:paraId="22859875" w14:textId="77777777">
        <w:tc>
          <w:tcPr>
            <w:tcW w:w="4005" w:type="dxa"/>
            <w:tcBorders>
              <w:top w:val="single" w:sz="4" w:space="0" w:color="auto"/>
              <w:left w:val="single" w:sz="4" w:space="0" w:color="auto"/>
              <w:bottom w:val="single" w:sz="4" w:space="0" w:color="auto"/>
              <w:right w:val="single" w:sz="4" w:space="0" w:color="auto"/>
            </w:tcBorders>
          </w:tcPr>
          <w:p w14:paraId="66A5CC47" w14:textId="77777777" w:rsidR="00577D08" w:rsidRDefault="00330FC0">
            <w:r>
              <w:rPr>
                <w:rFonts w:hint="eastAsia"/>
              </w:rPr>
              <w:t>燃料及动力</w:t>
            </w:r>
          </w:p>
        </w:tc>
        <w:tc>
          <w:tcPr>
            <w:tcW w:w="2604" w:type="dxa"/>
            <w:tcBorders>
              <w:top w:val="single" w:sz="4" w:space="0" w:color="auto"/>
              <w:left w:val="single" w:sz="4" w:space="0" w:color="auto"/>
              <w:bottom w:val="single" w:sz="4" w:space="0" w:color="auto"/>
              <w:right w:val="single" w:sz="4" w:space="0" w:color="auto"/>
            </w:tcBorders>
          </w:tcPr>
          <w:p w14:paraId="019AAE9E" w14:textId="77777777" w:rsidR="00577D08" w:rsidRDefault="00330FC0">
            <w:pPr>
              <w:jc w:val="right"/>
            </w:pPr>
            <w:r>
              <w:rPr>
                <w:rFonts w:hint="eastAsia"/>
              </w:rPr>
              <w:t xml:space="preserve"> 172,159.09 </w:t>
            </w:r>
          </w:p>
        </w:tc>
        <w:tc>
          <w:tcPr>
            <w:tcW w:w="2439" w:type="dxa"/>
            <w:tcBorders>
              <w:top w:val="single" w:sz="4" w:space="0" w:color="auto"/>
              <w:left w:val="single" w:sz="4" w:space="0" w:color="auto"/>
              <w:bottom w:val="single" w:sz="4" w:space="0" w:color="auto"/>
              <w:right w:val="single" w:sz="4" w:space="0" w:color="auto"/>
            </w:tcBorders>
          </w:tcPr>
          <w:p w14:paraId="26298950" w14:textId="77777777" w:rsidR="00577D08" w:rsidRDefault="00330FC0">
            <w:pPr>
              <w:jc w:val="right"/>
            </w:pPr>
            <w:r>
              <w:rPr>
                <w:rFonts w:hint="eastAsia"/>
              </w:rPr>
              <w:t xml:space="preserve"> 164,200.33 </w:t>
            </w:r>
          </w:p>
        </w:tc>
      </w:tr>
      <w:tr w:rsidR="00577D08" w14:paraId="32E23B3F" w14:textId="77777777">
        <w:tc>
          <w:tcPr>
            <w:tcW w:w="4005" w:type="dxa"/>
            <w:tcBorders>
              <w:top w:val="single" w:sz="4" w:space="0" w:color="auto"/>
              <w:left w:val="single" w:sz="4" w:space="0" w:color="auto"/>
              <w:bottom w:val="single" w:sz="4" w:space="0" w:color="auto"/>
              <w:right w:val="single" w:sz="4" w:space="0" w:color="auto"/>
            </w:tcBorders>
          </w:tcPr>
          <w:p w14:paraId="7A369009" w14:textId="77777777" w:rsidR="00577D08" w:rsidRDefault="00330FC0">
            <w:r>
              <w:rPr>
                <w:rFonts w:hint="eastAsia"/>
              </w:rPr>
              <w:t>其他</w:t>
            </w:r>
          </w:p>
        </w:tc>
        <w:tc>
          <w:tcPr>
            <w:tcW w:w="2604" w:type="dxa"/>
            <w:tcBorders>
              <w:top w:val="single" w:sz="4" w:space="0" w:color="auto"/>
              <w:left w:val="single" w:sz="4" w:space="0" w:color="auto"/>
              <w:bottom w:val="single" w:sz="4" w:space="0" w:color="auto"/>
              <w:right w:val="single" w:sz="4" w:space="0" w:color="auto"/>
            </w:tcBorders>
          </w:tcPr>
          <w:p w14:paraId="1A40B56D" w14:textId="77777777" w:rsidR="00577D08" w:rsidRDefault="00330FC0">
            <w:pPr>
              <w:jc w:val="right"/>
            </w:pPr>
            <w:r>
              <w:rPr>
                <w:rFonts w:hint="eastAsia"/>
              </w:rPr>
              <w:t xml:space="preserve"> 2,339,247.92 </w:t>
            </w:r>
          </w:p>
        </w:tc>
        <w:tc>
          <w:tcPr>
            <w:tcW w:w="2439" w:type="dxa"/>
            <w:tcBorders>
              <w:top w:val="single" w:sz="4" w:space="0" w:color="auto"/>
              <w:left w:val="single" w:sz="4" w:space="0" w:color="auto"/>
              <w:bottom w:val="single" w:sz="4" w:space="0" w:color="auto"/>
              <w:right w:val="single" w:sz="4" w:space="0" w:color="auto"/>
            </w:tcBorders>
          </w:tcPr>
          <w:p w14:paraId="3F7CD41D" w14:textId="77777777" w:rsidR="00577D08" w:rsidRDefault="00330FC0">
            <w:pPr>
              <w:jc w:val="right"/>
            </w:pPr>
            <w:r>
              <w:rPr>
                <w:rFonts w:hint="eastAsia"/>
              </w:rPr>
              <w:t xml:space="preserve"> 1,800,605.08 </w:t>
            </w:r>
          </w:p>
        </w:tc>
      </w:tr>
      <w:tr w:rsidR="00577D08" w14:paraId="59BA020E" w14:textId="77777777">
        <w:tc>
          <w:tcPr>
            <w:tcW w:w="4005" w:type="dxa"/>
            <w:tcBorders>
              <w:top w:val="single" w:sz="4" w:space="0" w:color="auto"/>
              <w:left w:val="single" w:sz="4" w:space="0" w:color="auto"/>
              <w:bottom w:val="single" w:sz="4" w:space="0" w:color="auto"/>
              <w:right w:val="single" w:sz="4" w:space="0" w:color="auto"/>
            </w:tcBorders>
            <w:vAlign w:val="center"/>
          </w:tcPr>
          <w:p w14:paraId="2C07AA24" w14:textId="77777777" w:rsidR="00577D08" w:rsidRDefault="00330FC0">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tcPr>
          <w:p w14:paraId="3D170124" w14:textId="77777777" w:rsidR="00577D08" w:rsidRDefault="00330FC0">
            <w:pPr>
              <w:jc w:val="right"/>
            </w:pPr>
            <w:r>
              <w:t xml:space="preserve"> 45,754,153.32 </w:t>
            </w:r>
          </w:p>
        </w:tc>
        <w:tc>
          <w:tcPr>
            <w:tcW w:w="2439" w:type="dxa"/>
            <w:tcBorders>
              <w:top w:val="single" w:sz="4" w:space="0" w:color="auto"/>
              <w:left w:val="single" w:sz="4" w:space="0" w:color="auto"/>
              <w:bottom w:val="single" w:sz="4" w:space="0" w:color="auto"/>
              <w:right w:val="single" w:sz="4" w:space="0" w:color="auto"/>
            </w:tcBorders>
          </w:tcPr>
          <w:p w14:paraId="3693A8A8" w14:textId="77777777" w:rsidR="00577D08" w:rsidRDefault="00330FC0">
            <w:pPr>
              <w:jc w:val="right"/>
            </w:pPr>
            <w:r>
              <w:t xml:space="preserve"> 44,724,932.35 </w:t>
            </w:r>
          </w:p>
        </w:tc>
      </w:tr>
    </w:tbl>
    <w:p w14:paraId="4FEDC8CC" w14:textId="77777777" w:rsidR="00577D08" w:rsidRDefault="00330FC0">
      <w:r>
        <w:rPr>
          <w:rFonts w:hint="eastAsia"/>
        </w:rPr>
        <w:t>其他说明：</w:t>
      </w:r>
    </w:p>
    <w:sdt>
      <w:sdtPr>
        <w:alias w:val="研发费用其他说明"/>
        <w:tag w:val="_GBC_da0db64d68d44b2fa6262eeadfe7c926"/>
        <w:id w:val="1566216446"/>
        <w:placeholder>
          <w:docPart w:val="GBC22222222222222222222222222222"/>
        </w:placeholder>
      </w:sdtPr>
      <w:sdtContent>
        <w:p w14:paraId="703D21A8" w14:textId="77777777" w:rsidR="00577D08" w:rsidRDefault="00330FC0">
          <w:r>
            <w:rPr>
              <w:rFonts w:hint="eastAsia"/>
            </w:rPr>
            <w:t>无</w:t>
          </w:r>
        </w:p>
      </w:sdtContent>
    </w:sdt>
    <w:bookmarkEnd w:id="457"/>
    <w:bookmarkEnd w:id="458"/>
    <w:p w14:paraId="74412B48" w14:textId="77777777" w:rsidR="00577D08" w:rsidRDefault="00330FC0">
      <w:pPr>
        <w:pStyle w:val="3"/>
        <w:numPr>
          <w:ilvl w:val="0"/>
          <w:numId w:val="61"/>
        </w:numPr>
        <w:tabs>
          <w:tab w:val="left" w:pos="504"/>
        </w:tabs>
        <w:rPr>
          <w:szCs w:val="21"/>
        </w:rPr>
      </w:pPr>
      <w:r>
        <w:rPr>
          <w:rFonts w:hint="eastAsia"/>
          <w:szCs w:val="21"/>
        </w:rPr>
        <w:t>财务费用</w:t>
      </w:r>
    </w:p>
    <w:sdt>
      <w:sdtPr>
        <w:alias w:val="是否适用：财务费用[双击切换]"/>
        <w:tag w:val="_GBC_7e467c6faebc402ab141f588df31680d"/>
        <w:id w:val="-878090177"/>
        <w:placeholder>
          <w:docPart w:val="GBC22222222222222222222222222222"/>
        </w:placeholder>
      </w:sdtPr>
      <w:sdtContent>
        <w:p w14:paraId="03264FBD"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FCDAC65" w14:textId="2AC875AC" w:rsidR="00577D08" w:rsidRDefault="00330FC0">
      <w:pPr>
        <w:jc w:val="right"/>
      </w:pPr>
      <w:r>
        <w:rPr>
          <w:rFonts w:hint="eastAsia"/>
        </w:rPr>
        <w:t>单位：</w:t>
      </w:r>
      <w:sdt>
        <w:sdtPr>
          <w:rPr>
            <w:rFonts w:hint="eastAsia"/>
          </w:rPr>
          <w:alias w:val="单位：财务费用"/>
          <w:tag w:val="_GBC_adcf988d29cd43aba011ce1310eac264"/>
          <w:id w:val="-17925053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费用"/>
          <w:tag w:val="_GBC_f6066e571d54449daf358ae3037f9712"/>
          <w:id w:val="13483666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77D08" w14:paraId="708DEADD" w14:textId="77777777">
        <w:sdt>
          <w:sdtPr>
            <w:tag w:val="_PLD_49977e87dd3f474489b24bbaed00293d"/>
            <w:id w:val="977272836"/>
          </w:sdtPr>
          <w:sdtContent>
            <w:tc>
              <w:tcPr>
                <w:tcW w:w="4005" w:type="dxa"/>
                <w:tcBorders>
                  <w:top w:val="single" w:sz="4" w:space="0" w:color="auto"/>
                  <w:left w:val="single" w:sz="4" w:space="0" w:color="auto"/>
                  <w:bottom w:val="single" w:sz="4" w:space="0" w:color="auto"/>
                  <w:right w:val="single" w:sz="4" w:space="0" w:color="auto"/>
                </w:tcBorders>
                <w:vAlign w:val="center"/>
              </w:tcPr>
              <w:p w14:paraId="405B9B60" w14:textId="77777777" w:rsidR="00577D08" w:rsidRDefault="00330FC0">
                <w:pPr>
                  <w:jc w:val="center"/>
                </w:pPr>
                <w:r>
                  <w:rPr>
                    <w:rFonts w:hint="eastAsia"/>
                  </w:rPr>
                  <w:t>项目</w:t>
                </w:r>
              </w:p>
            </w:tc>
          </w:sdtContent>
        </w:sdt>
        <w:sdt>
          <w:sdtPr>
            <w:tag w:val="_PLD_f64aa2e290ce4904a39347c56117acb7"/>
            <w:id w:val="-681891836"/>
          </w:sdtPr>
          <w:sdtContent>
            <w:tc>
              <w:tcPr>
                <w:tcW w:w="2604" w:type="dxa"/>
                <w:tcBorders>
                  <w:top w:val="single" w:sz="4" w:space="0" w:color="auto"/>
                  <w:left w:val="single" w:sz="4" w:space="0" w:color="auto"/>
                  <w:bottom w:val="single" w:sz="4" w:space="0" w:color="auto"/>
                  <w:right w:val="single" w:sz="4" w:space="0" w:color="auto"/>
                </w:tcBorders>
                <w:vAlign w:val="center"/>
              </w:tcPr>
              <w:p w14:paraId="15648606" w14:textId="77777777" w:rsidR="00577D08" w:rsidRDefault="00330FC0">
                <w:pPr>
                  <w:jc w:val="center"/>
                </w:pPr>
                <w:r>
                  <w:rPr>
                    <w:rFonts w:hint="eastAsia"/>
                  </w:rPr>
                  <w:t>本期发生额</w:t>
                </w:r>
              </w:p>
            </w:tc>
          </w:sdtContent>
        </w:sdt>
        <w:sdt>
          <w:sdtPr>
            <w:tag w:val="_PLD_178c78585f7e495ebd86923cb8c24338"/>
            <w:id w:val="1842266355"/>
          </w:sdtPr>
          <w:sdtContent>
            <w:tc>
              <w:tcPr>
                <w:tcW w:w="2439" w:type="dxa"/>
                <w:tcBorders>
                  <w:top w:val="single" w:sz="4" w:space="0" w:color="auto"/>
                  <w:left w:val="single" w:sz="4" w:space="0" w:color="auto"/>
                  <w:bottom w:val="single" w:sz="4" w:space="0" w:color="auto"/>
                  <w:right w:val="single" w:sz="4" w:space="0" w:color="auto"/>
                </w:tcBorders>
                <w:vAlign w:val="center"/>
              </w:tcPr>
              <w:p w14:paraId="4C7646FB" w14:textId="77777777" w:rsidR="00577D08" w:rsidRDefault="00330FC0">
                <w:pPr>
                  <w:jc w:val="center"/>
                </w:pPr>
                <w:r>
                  <w:rPr>
                    <w:rFonts w:hint="eastAsia"/>
                  </w:rPr>
                  <w:t>上期发生额</w:t>
                </w:r>
              </w:p>
            </w:tc>
          </w:sdtContent>
        </w:sdt>
      </w:tr>
      <w:tr w:rsidR="00577D08" w14:paraId="54135161" w14:textId="77777777">
        <w:tc>
          <w:tcPr>
            <w:tcW w:w="4005" w:type="dxa"/>
            <w:tcBorders>
              <w:top w:val="single" w:sz="4" w:space="0" w:color="auto"/>
              <w:left w:val="single" w:sz="4" w:space="0" w:color="auto"/>
              <w:bottom w:val="single" w:sz="4" w:space="0" w:color="auto"/>
              <w:right w:val="single" w:sz="4" w:space="0" w:color="auto"/>
            </w:tcBorders>
          </w:tcPr>
          <w:p w14:paraId="0F781EC4" w14:textId="77777777" w:rsidR="00577D08" w:rsidRDefault="00330FC0">
            <w:r>
              <w:rPr>
                <w:rFonts w:hint="eastAsia"/>
              </w:rPr>
              <w:t>利息支出</w:t>
            </w:r>
          </w:p>
        </w:tc>
        <w:tc>
          <w:tcPr>
            <w:tcW w:w="2604" w:type="dxa"/>
            <w:tcBorders>
              <w:top w:val="single" w:sz="4" w:space="0" w:color="auto"/>
              <w:left w:val="single" w:sz="4" w:space="0" w:color="auto"/>
              <w:bottom w:val="single" w:sz="4" w:space="0" w:color="auto"/>
              <w:right w:val="single" w:sz="4" w:space="0" w:color="auto"/>
            </w:tcBorders>
          </w:tcPr>
          <w:p w14:paraId="0E41100F" w14:textId="77777777" w:rsidR="00577D08" w:rsidRDefault="00330FC0">
            <w:pPr>
              <w:jc w:val="right"/>
            </w:pPr>
            <w:r>
              <w:t>54,422,737.64</w:t>
            </w:r>
          </w:p>
        </w:tc>
        <w:tc>
          <w:tcPr>
            <w:tcW w:w="2439" w:type="dxa"/>
            <w:tcBorders>
              <w:top w:val="single" w:sz="4" w:space="0" w:color="auto"/>
              <w:left w:val="single" w:sz="4" w:space="0" w:color="auto"/>
              <w:bottom w:val="single" w:sz="4" w:space="0" w:color="auto"/>
              <w:right w:val="single" w:sz="4" w:space="0" w:color="auto"/>
            </w:tcBorders>
          </w:tcPr>
          <w:p w14:paraId="7111D488" w14:textId="77777777" w:rsidR="00577D08" w:rsidRDefault="00330FC0">
            <w:pPr>
              <w:jc w:val="right"/>
            </w:pPr>
            <w:r>
              <w:t>45,468,802.87</w:t>
            </w:r>
          </w:p>
        </w:tc>
      </w:tr>
      <w:tr w:rsidR="00577D08" w14:paraId="393531A2" w14:textId="77777777">
        <w:tc>
          <w:tcPr>
            <w:tcW w:w="4005" w:type="dxa"/>
            <w:tcBorders>
              <w:top w:val="single" w:sz="4" w:space="0" w:color="auto"/>
              <w:left w:val="single" w:sz="4" w:space="0" w:color="auto"/>
              <w:bottom w:val="single" w:sz="4" w:space="0" w:color="auto"/>
              <w:right w:val="single" w:sz="4" w:space="0" w:color="auto"/>
            </w:tcBorders>
          </w:tcPr>
          <w:p w14:paraId="0425C657" w14:textId="77777777" w:rsidR="00577D08" w:rsidRDefault="00330FC0">
            <w:r>
              <w:rPr>
                <w:rFonts w:hint="eastAsia"/>
              </w:rPr>
              <w:lastRenderedPageBreak/>
              <w:t>减：利息收入</w:t>
            </w:r>
          </w:p>
        </w:tc>
        <w:tc>
          <w:tcPr>
            <w:tcW w:w="2604" w:type="dxa"/>
            <w:tcBorders>
              <w:top w:val="single" w:sz="4" w:space="0" w:color="auto"/>
              <w:left w:val="single" w:sz="4" w:space="0" w:color="auto"/>
              <w:bottom w:val="single" w:sz="4" w:space="0" w:color="auto"/>
              <w:right w:val="single" w:sz="4" w:space="0" w:color="auto"/>
            </w:tcBorders>
          </w:tcPr>
          <w:p w14:paraId="3836B1C0" w14:textId="77777777" w:rsidR="00577D08" w:rsidRDefault="00330FC0">
            <w:pPr>
              <w:jc w:val="right"/>
            </w:pPr>
            <w:r>
              <w:t>35,670,116.64</w:t>
            </w:r>
          </w:p>
        </w:tc>
        <w:tc>
          <w:tcPr>
            <w:tcW w:w="2439" w:type="dxa"/>
            <w:tcBorders>
              <w:top w:val="single" w:sz="4" w:space="0" w:color="auto"/>
              <w:left w:val="single" w:sz="4" w:space="0" w:color="auto"/>
              <w:bottom w:val="single" w:sz="4" w:space="0" w:color="auto"/>
              <w:right w:val="single" w:sz="4" w:space="0" w:color="auto"/>
            </w:tcBorders>
          </w:tcPr>
          <w:p w14:paraId="254DEACB" w14:textId="77777777" w:rsidR="00577D08" w:rsidRDefault="00330FC0">
            <w:pPr>
              <w:jc w:val="right"/>
            </w:pPr>
            <w:r>
              <w:t>35,603,221.13</w:t>
            </w:r>
          </w:p>
        </w:tc>
      </w:tr>
      <w:tr w:rsidR="00577D08" w14:paraId="7C4A9B0A" w14:textId="77777777">
        <w:tc>
          <w:tcPr>
            <w:tcW w:w="4005" w:type="dxa"/>
            <w:tcBorders>
              <w:top w:val="single" w:sz="4" w:space="0" w:color="auto"/>
              <w:left w:val="single" w:sz="4" w:space="0" w:color="auto"/>
              <w:bottom w:val="single" w:sz="4" w:space="0" w:color="auto"/>
              <w:right w:val="single" w:sz="4" w:space="0" w:color="auto"/>
            </w:tcBorders>
          </w:tcPr>
          <w:p w14:paraId="48BDDD0E" w14:textId="77777777" w:rsidR="00577D08" w:rsidRDefault="00330FC0">
            <w:r>
              <w:rPr>
                <w:rFonts w:hint="eastAsia"/>
              </w:rPr>
              <w:t>汇兑损益</w:t>
            </w:r>
          </w:p>
        </w:tc>
        <w:tc>
          <w:tcPr>
            <w:tcW w:w="2604" w:type="dxa"/>
            <w:tcBorders>
              <w:top w:val="single" w:sz="4" w:space="0" w:color="auto"/>
              <w:left w:val="single" w:sz="4" w:space="0" w:color="auto"/>
              <w:bottom w:val="single" w:sz="4" w:space="0" w:color="auto"/>
              <w:right w:val="single" w:sz="4" w:space="0" w:color="auto"/>
            </w:tcBorders>
          </w:tcPr>
          <w:p w14:paraId="36D64DAF" w14:textId="77777777" w:rsidR="00577D08" w:rsidRDefault="00330FC0">
            <w:pPr>
              <w:jc w:val="right"/>
            </w:pPr>
            <w:r>
              <w:t>1,140,707.80</w:t>
            </w:r>
          </w:p>
        </w:tc>
        <w:tc>
          <w:tcPr>
            <w:tcW w:w="2439" w:type="dxa"/>
            <w:tcBorders>
              <w:top w:val="single" w:sz="4" w:space="0" w:color="auto"/>
              <w:left w:val="single" w:sz="4" w:space="0" w:color="auto"/>
              <w:bottom w:val="single" w:sz="4" w:space="0" w:color="auto"/>
              <w:right w:val="single" w:sz="4" w:space="0" w:color="auto"/>
            </w:tcBorders>
          </w:tcPr>
          <w:p w14:paraId="566F061E" w14:textId="77777777" w:rsidR="00577D08" w:rsidRDefault="00330FC0">
            <w:pPr>
              <w:jc w:val="right"/>
            </w:pPr>
            <w:r>
              <w:t>-3,266,151.91</w:t>
            </w:r>
          </w:p>
        </w:tc>
      </w:tr>
      <w:tr w:rsidR="00577D08" w14:paraId="760CC0E2" w14:textId="77777777">
        <w:tc>
          <w:tcPr>
            <w:tcW w:w="4005" w:type="dxa"/>
            <w:tcBorders>
              <w:top w:val="single" w:sz="4" w:space="0" w:color="auto"/>
              <w:left w:val="single" w:sz="4" w:space="0" w:color="auto"/>
              <w:bottom w:val="single" w:sz="4" w:space="0" w:color="auto"/>
              <w:right w:val="single" w:sz="4" w:space="0" w:color="auto"/>
            </w:tcBorders>
          </w:tcPr>
          <w:p w14:paraId="552ACF49" w14:textId="77777777" w:rsidR="00577D08" w:rsidRDefault="00330FC0">
            <w:r>
              <w:rPr>
                <w:rFonts w:hint="eastAsia"/>
              </w:rPr>
              <w:t>手续费</w:t>
            </w:r>
          </w:p>
        </w:tc>
        <w:tc>
          <w:tcPr>
            <w:tcW w:w="2604" w:type="dxa"/>
            <w:tcBorders>
              <w:top w:val="single" w:sz="4" w:space="0" w:color="auto"/>
              <w:left w:val="single" w:sz="4" w:space="0" w:color="auto"/>
              <w:bottom w:val="single" w:sz="4" w:space="0" w:color="auto"/>
              <w:right w:val="single" w:sz="4" w:space="0" w:color="auto"/>
            </w:tcBorders>
          </w:tcPr>
          <w:p w14:paraId="665EF8B6" w14:textId="77777777" w:rsidR="00577D08" w:rsidRDefault="00330FC0">
            <w:pPr>
              <w:jc w:val="right"/>
            </w:pPr>
            <w:r>
              <w:t>1,933,190.67</w:t>
            </w:r>
          </w:p>
        </w:tc>
        <w:tc>
          <w:tcPr>
            <w:tcW w:w="2439" w:type="dxa"/>
            <w:tcBorders>
              <w:top w:val="single" w:sz="4" w:space="0" w:color="auto"/>
              <w:left w:val="single" w:sz="4" w:space="0" w:color="auto"/>
              <w:bottom w:val="single" w:sz="4" w:space="0" w:color="auto"/>
              <w:right w:val="single" w:sz="4" w:space="0" w:color="auto"/>
            </w:tcBorders>
          </w:tcPr>
          <w:p w14:paraId="64784C1C" w14:textId="77777777" w:rsidR="00577D08" w:rsidRDefault="00330FC0">
            <w:pPr>
              <w:jc w:val="right"/>
            </w:pPr>
            <w:r>
              <w:t>1,529,761.99</w:t>
            </w:r>
          </w:p>
        </w:tc>
      </w:tr>
      <w:tr w:rsidR="00577D08" w14:paraId="5746D06F" w14:textId="77777777">
        <w:tc>
          <w:tcPr>
            <w:tcW w:w="4005" w:type="dxa"/>
            <w:tcBorders>
              <w:top w:val="single" w:sz="4" w:space="0" w:color="auto"/>
              <w:left w:val="single" w:sz="4" w:space="0" w:color="auto"/>
              <w:bottom w:val="single" w:sz="4" w:space="0" w:color="auto"/>
              <w:right w:val="single" w:sz="4" w:space="0" w:color="auto"/>
            </w:tcBorders>
            <w:vAlign w:val="center"/>
          </w:tcPr>
          <w:p w14:paraId="6250A1D3" w14:textId="77777777" w:rsidR="00577D08" w:rsidRDefault="00330FC0">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tcPr>
          <w:p w14:paraId="4A5D0214" w14:textId="77777777" w:rsidR="00577D08" w:rsidRDefault="00330FC0">
            <w:pPr>
              <w:jc w:val="right"/>
            </w:pPr>
            <w:r>
              <w:t>21,826,519.47</w:t>
            </w:r>
          </w:p>
        </w:tc>
        <w:tc>
          <w:tcPr>
            <w:tcW w:w="2439" w:type="dxa"/>
            <w:tcBorders>
              <w:top w:val="single" w:sz="4" w:space="0" w:color="auto"/>
              <w:left w:val="single" w:sz="4" w:space="0" w:color="auto"/>
              <w:bottom w:val="single" w:sz="4" w:space="0" w:color="auto"/>
              <w:right w:val="single" w:sz="4" w:space="0" w:color="auto"/>
            </w:tcBorders>
          </w:tcPr>
          <w:p w14:paraId="6D259EB7" w14:textId="77777777" w:rsidR="00577D08" w:rsidRDefault="00330FC0">
            <w:pPr>
              <w:jc w:val="right"/>
            </w:pPr>
            <w:r>
              <w:t>8,129,191.82</w:t>
            </w:r>
          </w:p>
        </w:tc>
      </w:tr>
    </w:tbl>
    <w:p w14:paraId="52B71933" w14:textId="77777777" w:rsidR="00577D08" w:rsidRDefault="00330FC0">
      <w:r>
        <w:rPr>
          <w:rFonts w:hint="eastAsia"/>
        </w:rPr>
        <w:t>其他说明：</w:t>
      </w:r>
    </w:p>
    <w:sdt>
      <w:sdtPr>
        <w:alias w:val="财务费用的其他说明事项"/>
        <w:tag w:val="_GBC_ac6200ee95c7483d9ee9565f49369f9a"/>
        <w:id w:val="-1647664404"/>
        <w:placeholder>
          <w:docPart w:val="GBC22222222222222222222222222222"/>
        </w:placeholder>
      </w:sdtPr>
      <w:sdtContent>
        <w:p w14:paraId="554EA26D" w14:textId="77777777" w:rsidR="00577D08" w:rsidRDefault="00330FC0">
          <w:r>
            <w:rPr>
              <w:rFonts w:hint="eastAsia"/>
            </w:rPr>
            <w:t>无</w:t>
          </w:r>
        </w:p>
      </w:sdtContent>
    </w:sdt>
    <w:p w14:paraId="44BA14D3" w14:textId="77777777" w:rsidR="00577D08" w:rsidRDefault="00330FC0">
      <w:pPr>
        <w:pStyle w:val="3"/>
        <w:numPr>
          <w:ilvl w:val="0"/>
          <w:numId w:val="61"/>
        </w:numPr>
        <w:tabs>
          <w:tab w:val="left" w:pos="504"/>
        </w:tabs>
      </w:pPr>
      <w:r>
        <w:rPr>
          <w:rFonts w:hint="eastAsia"/>
        </w:rPr>
        <w:t>其他收益</w:t>
      </w:r>
    </w:p>
    <w:sdt>
      <w:sdtPr>
        <w:rPr>
          <w:bCs/>
        </w:rPr>
        <w:alias w:val="是否适用：财务报表其他收益[双击切换]"/>
        <w:tag w:val="_GBC_24722ffac3b6474db1e1d7972d6e4a7b"/>
        <w:id w:val="-1497262844"/>
        <w:placeholder>
          <w:docPart w:val="GBC22222222222222222222222222222"/>
        </w:placeholder>
      </w:sdtPr>
      <w:sdtContent>
        <w:p w14:paraId="31BDCBB4" w14:textId="77777777" w:rsidR="00577D08" w:rsidRDefault="00330FC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593C8531" w14:textId="5389BCF3" w:rsidR="00577D08" w:rsidRDefault="00330FC0">
      <w:pPr>
        <w:pStyle w:val="aff9"/>
        <w:ind w:left="420" w:firstLineChars="0" w:firstLine="0"/>
        <w:jc w:val="right"/>
        <w:rPr>
          <w:bCs/>
        </w:rPr>
      </w:pPr>
      <w:r>
        <w:rPr>
          <w:bCs/>
        </w:rPr>
        <w:t>单位：</w:t>
      </w:r>
      <w:sdt>
        <w:sdtPr>
          <w:rPr>
            <w:bCs/>
          </w:rPr>
          <w:alias w:val="单位：财务报表其他收益明细"/>
          <w:tag w:val="_GBC_74ea52f952324be7ab2c4c494ff673ce"/>
          <w:id w:val="1220474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r w:rsidR="00CC5C32">
            <w:rPr>
              <w:rFonts w:hint="eastAsia"/>
              <w:bCs/>
            </w:rPr>
            <w:t xml:space="preserve"> </w:t>
          </w:r>
        </w:sdtContent>
      </w:sdt>
      <w:r>
        <w:rPr>
          <w:bCs/>
        </w:rPr>
        <w:t>币种：</w:t>
      </w:r>
      <w:sdt>
        <w:sdtPr>
          <w:rPr>
            <w:bCs/>
          </w:rPr>
          <w:alias w:val="币种：财务报表其他收益明细"/>
          <w:tag w:val="_GBC_8360ed9b182a496c9b5d2220a414a4cb"/>
          <w:id w:val="-10553069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77D08" w14:paraId="452B22BD" w14:textId="77777777">
        <w:sdt>
          <w:sdtPr>
            <w:tag w:val="_PLD_7df5d6dc8fe1463b8e0d41784241e311"/>
            <w:id w:val="989533244"/>
          </w:sdtPr>
          <w:sdtContent>
            <w:tc>
              <w:tcPr>
                <w:tcW w:w="3015" w:type="dxa"/>
                <w:vAlign w:val="center"/>
              </w:tcPr>
              <w:p w14:paraId="01CE899D" w14:textId="77777777" w:rsidR="00577D08" w:rsidRDefault="00330FC0">
                <w:pPr>
                  <w:widowControl w:val="0"/>
                  <w:jc w:val="center"/>
                </w:pPr>
                <w:r>
                  <w:rPr>
                    <w:rFonts w:hint="eastAsia"/>
                  </w:rPr>
                  <w:t>按性质分类</w:t>
                </w:r>
              </w:p>
            </w:tc>
          </w:sdtContent>
        </w:sdt>
        <w:sdt>
          <w:sdtPr>
            <w:tag w:val="_PLD_2c34d48a6a534080943d2d340c325c15"/>
            <w:id w:val="-1792966741"/>
          </w:sdtPr>
          <w:sdtContent>
            <w:tc>
              <w:tcPr>
                <w:tcW w:w="3016" w:type="dxa"/>
                <w:vAlign w:val="center"/>
              </w:tcPr>
              <w:p w14:paraId="6B81F338" w14:textId="77777777" w:rsidR="00577D08" w:rsidRDefault="00330FC0">
                <w:pPr>
                  <w:widowControl w:val="0"/>
                  <w:jc w:val="center"/>
                </w:pPr>
                <w:r>
                  <w:rPr>
                    <w:rFonts w:hint="eastAsia"/>
                  </w:rPr>
                  <w:t>本期发生额</w:t>
                </w:r>
              </w:p>
            </w:tc>
          </w:sdtContent>
        </w:sdt>
        <w:sdt>
          <w:sdtPr>
            <w:tag w:val="_PLD_1a2c9ed0a9704089897421e22b8696dd"/>
            <w:id w:val="302890110"/>
          </w:sdtPr>
          <w:sdtContent>
            <w:tc>
              <w:tcPr>
                <w:tcW w:w="3016" w:type="dxa"/>
                <w:vAlign w:val="center"/>
              </w:tcPr>
              <w:p w14:paraId="735CAB78" w14:textId="77777777" w:rsidR="00577D08" w:rsidRDefault="00330FC0">
                <w:pPr>
                  <w:widowControl w:val="0"/>
                  <w:jc w:val="center"/>
                </w:pPr>
                <w:r>
                  <w:rPr>
                    <w:rFonts w:hint="eastAsia"/>
                  </w:rPr>
                  <w:t>上期发生额</w:t>
                </w:r>
              </w:p>
            </w:tc>
          </w:sdtContent>
        </w:sdt>
      </w:tr>
      <w:tr w:rsidR="00577D08" w14:paraId="11B2C090" w14:textId="77777777">
        <w:tc>
          <w:tcPr>
            <w:tcW w:w="3015" w:type="dxa"/>
          </w:tcPr>
          <w:p w14:paraId="22E08826" w14:textId="77777777" w:rsidR="00577D08" w:rsidRDefault="00330FC0">
            <w:pPr>
              <w:widowControl w:val="0"/>
            </w:pPr>
            <w:r>
              <w:rPr>
                <w:rFonts w:hint="eastAsia"/>
              </w:rPr>
              <w:t>与资产相关的政府补助</w:t>
            </w:r>
          </w:p>
        </w:tc>
        <w:tc>
          <w:tcPr>
            <w:tcW w:w="3016" w:type="dxa"/>
          </w:tcPr>
          <w:p w14:paraId="1AD3EB54" w14:textId="77777777" w:rsidR="00577D08" w:rsidRDefault="00330FC0">
            <w:pPr>
              <w:widowControl w:val="0"/>
              <w:jc w:val="right"/>
            </w:pPr>
            <w:r>
              <w:rPr>
                <w:rFonts w:hint="eastAsia"/>
              </w:rPr>
              <w:t>5,984,743.43</w:t>
            </w:r>
          </w:p>
        </w:tc>
        <w:tc>
          <w:tcPr>
            <w:tcW w:w="3016" w:type="dxa"/>
          </w:tcPr>
          <w:p w14:paraId="4EF7C0F8" w14:textId="77777777" w:rsidR="00577D08" w:rsidRDefault="00330FC0">
            <w:pPr>
              <w:widowControl w:val="0"/>
              <w:jc w:val="right"/>
            </w:pPr>
            <w:r>
              <w:rPr>
                <w:rFonts w:hint="eastAsia"/>
              </w:rPr>
              <w:t>6,001,122.52</w:t>
            </w:r>
          </w:p>
        </w:tc>
      </w:tr>
      <w:tr w:rsidR="00577D08" w14:paraId="33359237" w14:textId="77777777">
        <w:tc>
          <w:tcPr>
            <w:tcW w:w="3015" w:type="dxa"/>
          </w:tcPr>
          <w:p w14:paraId="11921F52" w14:textId="77777777" w:rsidR="00577D08" w:rsidRDefault="00330FC0">
            <w:pPr>
              <w:widowControl w:val="0"/>
            </w:pPr>
            <w:r>
              <w:rPr>
                <w:rFonts w:hint="eastAsia"/>
              </w:rPr>
              <w:t>与收益相关的政府补助</w:t>
            </w:r>
          </w:p>
        </w:tc>
        <w:tc>
          <w:tcPr>
            <w:tcW w:w="3016" w:type="dxa"/>
          </w:tcPr>
          <w:p w14:paraId="2DC83973" w14:textId="77777777" w:rsidR="00577D08" w:rsidRDefault="00330FC0">
            <w:pPr>
              <w:widowControl w:val="0"/>
              <w:jc w:val="right"/>
            </w:pPr>
            <w:r>
              <w:rPr>
                <w:rFonts w:hint="eastAsia"/>
              </w:rPr>
              <w:t>5,619,706.73</w:t>
            </w:r>
          </w:p>
        </w:tc>
        <w:tc>
          <w:tcPr>
            <w:tcW w:w="3016" w:type="dxa"/>
          </w:tcPr>
          <w:p w14:paraId="7550AE24" w14:textId="77777777" w:rsidR="00577D08" w:rsidRDefault="00330FC0">
            <w:pPr>
              <w:widowControl w:val="0"/>
              <w:jc w:val="right"/>
            </w:pPr>
            <w:r>
              <w:rPr>
                <w:rFonts w:hint="eastAsia"/>
              </w:rPr>
              <w:t>48,636,425.91</w:t>
            </w:r>
          </w:p>
        </w:tc>
      </w:tr>
      <w:tr w:rsidR="00577D08" w14:paraId="3224E13D" w14:textId="77777777">
        <w:tc>
          <w:tcPr>
            <w:tcW w:w="3015" w:type="dxa"/>
          </w:tcPr>
          <w:p w14:paraId="29371AA1" w14:textId="77777777" w:rsidR="00577D08" w:rsidRDefault="00330FC0">
            <w:pPr>
              <w:widowControl w:val="0"/>
            </w:pPr>
            <w:r>
              <w:rPr>
                <w:rFonts w:hint="eastAsia"/>
              </w:rPr>
              <w:t>增值税加计抵减</w:t>
            </w:r>
          </w:p>
        </w:tc>
        <w:tc>
          <w:tcPr>
            <w:tcW w:w="3016" w:type="dxa"/>
          </w:tcPr>
          <w:p w14:paraId="42055360" w14:textId="77777777" w:rsidR="00577D08" w:rsidRDefault="00330FC0">
            <w:pPr>
              <w:widowControl w:val="0"/>
              <w:jc w:val="right"/>
            </w:pPr>
            <w:r>
              <w:rPr>
                <w:rFonts w:hint="eastAsia"/>
              </w:rPr>
              <w:t>17,332,042.44</w:t>
            </w:r>
          </w:p>
        </w:tc>
        <w:tc>
          <w:tcPr>
            <w:tcW w:w="3016" w:type="dxa"/>
          </w:tcPr>
          <w:p w14:paraId="615C6F40" w14:textId="77777777" w:rsidR="00577D08" w:rsidRDefault="00330FC0">
            <w:pPr>
              <w:widowControl w:val="0"/>
              <w:jc w:val="right"/>
            </w:pPr>
            <w:r>
              <w:rPr>
                <w:rFonts w:hint="eastAsia"/>
              </w:rPr>
              <w:t>19,831,643.10</w:t>
            </w:r>
          </w:p>
        </w:tc>
      </w:tr>
      <w:tr w:rsidR="00577D08" w14:paraId="2404E904" w14:textId="77777777">
        <w:tc>
          <w:tcPr>
            <w:tcW w:w="3015" w:type="dxa"/>
          </w:tcPr>
          <w:p w14:paraId="4BE1A5B8" w14:textId="77777777" w:rsidR="00577D08" w:rsidRDefault="00330FC0">
            <w:pPr>
              <w:widowControl w:val="0"/>
            </w:pPr>
            <w:r>
              <w:rPr>
                <w:rFonts w:hint="eastAsia"/>
              </w:rPr>
              <w:t>代扣个人所得税手续费返还</w:t>
            </w:r>
          </w:p>
        </w:tc>
        <w:tc>
          <w:tcPr>
            <w:tcW w:w="3016" w:type="dxa"/>
          </w:tcPr>
          <w:p w14:paraId="2A9F6567" w14:textId="77777777" w:rsidR="00577D08" w:rsidRDefault="00330FC0">
            <w:pPr>
              <w:widowControl w:val="0"/>
              <w:jc w:val="right"/>
            </w:pPr>
            <w:r>
              <w:rPr>
                <w:rFonts w:hint="eastAsia"/>
              </w:rPr>
              <w:t>204,486.41</w:t>
            </w:r>
          </w:p>
        </w:tc>
        <w:tc>
          <w:tcPr>
            <w:tcW w:w="3016" w:type="dxa"/>
          </w:tcPr>
          <w:p w14:paraId="4001E6ED" w14:textId="77777777" w:rsidR="00577D08" w:rsidRDefault="00330FC0">
            <w:pPr>
              <w:widowControl w:val="0"/>
              <w:jc w:val="right"/>
            </w:pPr>
            <w:r>
              <w:rPr>
                <w:rFonts w:hint="eastAsia"/>
              </w:rPr>
              <w:t>146,094.68</w:t>
            </w:r>
          </w:p>
        </w:tc>
      </w:tr>
      <w:tr w:rsidR="00577D08" w14:paraId="76CB6DFC" w14:textId="77777777">
        <w:tc>
          <w:tcPr>
            <w:tcW w:w="3015" w:type="dxa"/>
            <w:vAlign w:val="center"/>
          </w:tcPr>
          <w:p w14:paraId="6B6C0CE7" w14:textId="77777777" w:rsidR="00577D08" w:rsidRDefault="00330FC0">
            <w:pPr>
              <w:widowControl w:val="0"/>
              <w:jc w:val="center"/>
            </w:pPr>
            <w:r>
              <w:rPr>
                <w:rFonts w:hint="eastAsia"/>
              </w:rPr>
              <w:t>合计</w:t>
            </w:r>
          </w:p>
        </w:tc>
        <w:tc>
          <w:tcPr>
            <w:tcW w:w="3016" w:type="dxa"/>
          </w:tcPr>
          <w:p w14:paraId="2B37DA94" w14:textId="77777777" w:rsidR="00577D08" w:rsidRDefault="00330FC0">
            <w:pPr>
              <w:widowControl w:val="0"/>
              <w:jc w:val="right"/>
            </w:pPr>
            <w:r>
              <w:t>29,140,979.01</w:t>
            </w:r>
          </w:p>
        </w:tc>
        <w:tc>
          <w:tcPr>
            <w:tcW w:w="3016" w:type="dxa"/>
          </w:tcPr>
          <w:p w14:paraId="18C91F88" w14:textId="77777777" w:rsidR="00577D08" w:rsidRDefault="00330FC0">
            <w:pPr>
              <w:widowControl w:val="0"/>
              <w:jc w:val="right"/>
            </w:pPr>
            <w:r>
              <w:t>74,615,286.21</w:t>
            </w:r>
          </w:p>
        </w:tc>
      </w:tr>
    </w:tbl>
    <w:p w14:paraId="7547449F" w14:textId="77777777" w:rsidR="00577D08" w:rsidRDefault="00330FC0">
      <w:r>
        <w:rPr>
          <w:rFonts w:hint="eastAsia"/>
        </w:rPr>
        <w:t>其他说明：</w:t>
      </w:r>
    </w:p>
    <w:sdt>
      <w:sdtPr>
        <w:alias w:val="财务报表其他收益其他说明"/>
        <w:tag w:val="_GBC_4b4ba73a66704c609e7c6617d0fa6694"/>
        <w:id w:val="-1741244694"/>
        <w:placeholder>
          <w:docPart w:val="GBC22222222222222222222222222222"/>
        </w:placeholder>
      </w:sdtPr>
      <w:sdtContent>
        <w:p w14:paraId="4A206D24" w14:textId="77777777" w:rsidR="00577D08" w:rsidRDefault="00330FC0">
          <w:r>
            <w:rPr>
              <w:rFonts w:hint="eastAsia"/>
            </w:rPr>
            <w:t>无</w:t>
          </w:r>
        </w:p>
      </w:sdtContent>
    </w:sdt>
    <w:p w14:paraId="5907CEC6" w14:textId="77777777" w:rsidR="00577D08" w:rsidRDefault="00330FC0">
      <w:pPr>
        <w:pStyle w:val="3"/>
        <w:numPr>
          <w:ilvl w:val="0"/>
          <w:numId w:val="61"/>
        </w:numPr>
        <w:tabs>
          <w:tab w:val="left" w:pos="504"/>
        </w:tabs>
        <w:rPr>
          <w:rFonts w:ascii="宋体" w:hAnsi="宋体" w:hint="eastAsia"/>
          <w:szCs w:val="21"/>
        </w:rPr>
      </w:pPr>
      <w:bookmarkStart w:id="459" w:name="_Hlk11857276"/>
      <w:bookmarkStart w:id="460" w:name="_Hlk24027658"/>
      <w:bookmarkEnd w:id="459"/>
      <w:r>
        <w:rPr>
          <w:rFonts w:ascii="宋体" w:hAnsi="宋体" w:hint="eastAsia"/>
          <w:szCs w:val="21"/>
        </w:rPr>
        <w:t>投资收益</w:t>
      </w:r>
    </w:p>
    <w:sdt>
      <w:sdtPr>
        <w:alias w:val="是否适用：投资收益[双击切换]"/>
        <w:tag w:val="_GBC_f581223c46c2426aa46b9e88b6b47f4f"/>
        <w:id w:val="-1551531747"/>
        <w:placeholder>
          <w:docPart w:val="GBC22222222222222222222222222222"/>
        </w:placeholder>
      </w:sdtPr>
      <w:sdtContent>
        <w:p w14:paraId="1B9473D3"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92C1CBA" w14:textId="21F8D2AD" w:rsidR="00577D08" w:rsidRDefault="00330FC0">
      <w:pPr>
        <w:jc w:val="right"/>
        <w:rPr>
          <w:b/>
        </w:rPr>
      </w:pPr>
      <w:bookmarkStart w:id="461" w:name="_Hlk10538462"/>
      <w:r>
        <w:t>单位</w:t>
      </w:r>
      <w:r>
        <w:rPr>
          <w:rFonts w:hint="eastAsia"/>
        </w:rPr>
        <w:t>：</w:t>
      </w:r>
      <w:sdt>
        <w:sdtPr>
          <w:rPr>
            <w:rFonts w:hint="eastAsia"/>
          </w:rPr>
          <w:alias w:val="单位：财务附注：会计报表中的投资收益项目增加"/>
          <w:tag w:val="_GBC_aeb04d73052c442cb4e2c86d75a8fbb5"/>
          <w:id w:val="-16508924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t>币种</w:t>
      </w:r>
      <w:r>
        <w:rPr>
          <w:rFonts w:hint="eastAsia"/>
        </w:rPr>
        <w:t>：</w:t>
      </w:r>
      <w:sdt>
        <w:sdtPr>
          <w:rPr>
            <w:rFonts w:hint="eastAsia"/>
          </w:rPr>
          <w:alias w:val="币种：财务附注：会计报表中的投资收益项目增加"/>
          <w:tag w:val="_GBC_9845e736e0054165b2ee74d48d6dd757"/>
          <w:id w:val="2919499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692"/>
        <w:gridCol w:w="2703"/>
      </w:tblGrid>
      <w:tr w:rsidR="00577D08" w14:paraId="06397B5B" w14:textId="77777777">
        <w:sdt>
          <w:sdtPr>
            <w:tag w:val="_PLD_998e1ec79cfc4df397c6fa0a751f3489"/>
            <w:id w:val="-1404821465"/>
          </w:sdtPr>
          <w:sdtContent>
            <w:tc>
              <w:tcPr>
                <w:tcW w:w="3652" w:type="dxa"/>
                <w:vAlign w:val="center"/>
              </w:tcPr>
              <w:p w14:paraId="1C56D274" w14:textId="77777777" w:rsidR="00577D08" w:rsidRDefault="00330FC0">
                <w:pPr>
                  <w:ind w:left="420" w:hanging="420"/>
                  <w:jc w:val="center"/>
                </w:pPr>
                <w:r>
                  <w:rPr>
                    <w:rFonts w:hint="eastAsia"/>
                  </w:rPr>
                  <w:t>项目</w:t>
                </w:r>
              </w:p>
            </w:tc>
          </w:sdtContent>
        </w:sdt>
        <w:sdt>
          <w:sdtPr>
            <w:tag w:val="_PLD_239208f1271348119306f77c15ab0ec0"/>
            <w:id w:val="-1186829598"/>
          </w:sdtPr>
          <w:sdtContent>
            <w:tc>
              <w:tcPr>
                <w:tcW w:w="2692" w:type="dxa"/>
                <w:vAlign w:val="center"/>
              </w:tcPr>
              <w:p w14:paraId="49D47F89" w14:textId="77777777" w:rsidR="00577D08" w:rsidRDefault="00330FC0">
                <w:pPr>
                  <w:jc w:val="center"/>
                </w:pPr>
                <w:r>
                  <w:rPr>
                    <w:rFonts w:hint="eastAsia"/>
                  </w:rPr>
                  <w:t>本期发生额</w:t>
                </w:r>
              </w:p>
            </w:tc>
          </w:sdtContent>
        </w:sdt>
        <w:sdt>
          <w:sdtPr>
            <w:tag w:val="_PLD_c548c34a5b7b4e3eb5536d1408d6cc7b"/>
            <w:id w:val="-1292427476"/>
          </w:sdtPr>
          <w:sdtContent>
            <w:tc>
              <w:tcPr>
                <w:tcW w:w="2703" w:type="dxa"/>
                <w:vAlign w:val="center"/>
              </w:tcPr>
              <w:p w14:paraId="782D8AF9" w14:textId="77777777" w:rsidR="00577D08" w:rsidRDefault="00330FC0">
                <w:pPr>
                  <w:jc w:val="center"/>
                </w:pPr>
                <w:r>
                  <w:rPr>
                    <w:rFonts w:hint="eastAsia"/>
                  </w:rPr>
                  <w:t>上期发生额</w:t>
                </w:r>
              </w:p>
            </w:tc>
          </w:sdtContent>
        </w:sdt>
      </w:tr>
      <w:tr w:rsidR="00577D08" w14:paraId="582AD0C0" w14:textId="77777777">
        <w:tc>
          <w:tcPr>
            <w:tcW w:w="3652" w:type="dxa"/>
            <w:vAlign w:val="center"/>
          </w:tcPr>
          <w:p w14:paraId="663E0023" w14:textId="77777777" w:rsidR="00577D08" w:rsidRDefault="00330FC0">
            <w:r>
              <w:rPr>
                <w:rFonts w:hint="eastAsia"/>
              </w:rPr>
              <w:t>权益法核算的长期股权投资收益</w:t>
            </w:r>
          </w:p>
        </w:tc>
        <w:tc>
          <w:tcPr>
            <w:tcW w:w="2692" w:type="dxa"/>
            <w:vAlign w:val="center"/>
          </w:tcPr>
          <w:p w14:paraId="739833C0" w14:textId="77777777" w:rsidR="00577D08" w:rsidRDefault="00330FC0">
            <w:pPr>
              <w:jc w:val="right"/>
            </w:pPr>
            <w:r>
              <w:t>-2,614,130.95</w:t>
            </w:r>
          </w:p>
        </w:tc>
        <w:tc>
          <w:tcPr>
            <w:tcW w:w="2703" w:type="dxa"/>
            <w:vAlign w:val="center"/>
          </w:tcPr>
          <w:p w14:paraId="31064250" w14:textId="77777777" w:rsidR="00577D08" w:rsidRDefault="00330FC0">
            <w:pPr>
              <w:jc w:val="right"/>
            </w:pPr>
            <w:r>
              <w:t>-524,873.05</w:t>
            </w:r>
          </w:p>
        </w:tc>
      </w:tr>
      <w:tr w:rsidR="00577D08" w14:paraId="0076FD6D" w14:textId="77777777">
        <w:tc>
          <w:tcPr>
            <w:tcW w:w="3652" w:type="dxa"/>
            <w:vAlign w:val="center"/>
          </w:tcPr>
          <w:p w14:paraId="7D973FD8" w14:textId="77777777" w:rsidR="00577D08" w:rsidRDefault="00330FC0">
            <w:r>
              <w:rPr>
                <w:rFonts w:hint="eastAsia"/>
              </w:rPr>
              <w:t>处置长期股权投资产生的投资收益</w:t>
            </w:r>
          </w:p>
        </w:tc>
        <w:tc>
          <w:tcPr>
            <w:tcW w:w="2692" w:type="dxa"/>
            <w:vAlign w:val="center"/>
          </w:tcPr>
          <w:p w14:paraId="2E794977" w14:textId="77777777" w:rsidR="00577D08" w:rsidRDefault="00577D08">
            <w:pPr>
              <w:jc w:val="right"/>
            </w:pPr>
          </w:p>
        </w:tc>
        <w:tc>
          <w:tcPr>
            <w:tcW w:w="2703" w:type="dxa"/>
            <w:vAlign w:val="center"/>
          </w:tcPr>
          <w:p w14:paraId="7E0427C7" w14:textId="77777777" w:rsidR="00577D08" w:rsidRDefault="00577D08">
            <w:pPr>
              <w:jc w:val="right"/>
            </w:pPr>
          </w:p>
        </w:tc>
      </w:tr>
      <w:tr w:rsidR="00577D08" w14:paraId="3A89D181" w14:textId="77777777">
        <w:tc>
          <w:tcPr>
            <w:tcW w:w="3652" w:type="dxa"/>
            <w:vAlign w:val="center"/>
          </w:tcPr>
          <w:p w14:paraId="6FE4E316" w14:textId="77777777" w:rsidR="00577D08" w:rsidRDefault="00330FC0">
            <w:r>
              <w:rPr>
                <w:rFonts w:hint="eastAsia"/>
              </w:rPr>
              <w:t>交易性金融资产在持有期间的投资收益</w:t>
            </w:r>
          </w:p>
        </w:tc>
        <w:tc>
          <w:tcPr>
            <w:tcW w:w="2692" w:type="dxa"/>
            <w:vAlign w:val="center"/>
          </w:tcPr>
          <w:p w14:paraId="3AE8AE71" w14:textId="77777777" w:rsidR="00577D08" w:rsidRDefault="00577D08">
            <w:pPr>
              <w:jc w:val="right"/>
            </w:pPr>
          </w:p>
        </w:tc>
        <w:tc>
          <w:tcPr>
            <w:tcW w:w="2703" w:type="dxa"/>
            <w:vAlign w:val="center"/>
          </w:tcPr>
          <w:p w14:paraId="0B78F634" w14:textId="77777777" w:rsidR="00577D08" w:rsidRDefault="00577D08">
            <w:pPr>
              <w:jc w:val="right"/>
            </w:pPr>
          </w:p>
        </w:tc>
      </w:tr>
      <w:tr w:rsidR="00577D08" w14:paraId="2C310CF0" w14:textId="77777777">
        <w:tc>
          <w:tcPr>
            <w:tcW w:w="3652" w:type="dxa"/>
            <w:vAlign w:val="center"/>
          </w:tcPr>
          <w:p w14:paraId="54370692" w14:textId="77777777" w:rsidR="00577D08" w:rsidRDefault="00330FC0">
            <w:r>
              <w:rPr>
                <w:rFonts w:hint="eastAsia"/>
              </w:rPr>
              <w:t>其他权益工具投资在持有期间取得的股利收入</w:t>
            </w:r>
          </w:p>
        </w:tc>
        <w:tc>
          <w:tcPr>
            <w:tcW w:w="2692" w:type="dxa"/>
            <w:vAlign w:val="center"/>
          </w:tcPr>
          <w:p w14:paraId="5E03FE88" w14:textId="77777777" w:rsidR="00577D08" w:rsidRDefault="00330FC0">
            <w:pPr>
              <w:jc w:val="right"/>
            </w:pPr>
            <w:r>
              <w:t>1,116,598.33</w:t>
            </w:r>
          </w:p>
        </w:tc>
        <w:tc>
          <w:tcPr>
            <w:tcW w:w="2703" w:type="dxa"/>
            <w:vAlign w:val="center"/>
          </w:tcPr>
          <w:p w14:paraId="5A488C09" w14:textId="77777777" w:rsidR="00577D08" w:rsidRDefault="00330FC0">
            <w:pPr>
              <w:jc w:val="right"/>
            </w:pPr>
            <w:r>
              <w:t>782,223.75</w:t>
            </w:r>
          </w:p>
        </w:tc>
      </w:tr>
      <w:tr w:rsidR="00577D08" w14:paraId="42BD82DB" w14:textId="77777777">
        <w:tc>
          <w:tcPr>
            <w:tcW w:w="3652" w:type="dxa"/>
            <w:vAlign w:val="center"/>
          </w:tcPr>
          <w:p w14:paraId="70CA1A97" w14:textId="77777777" w:rsidR="00577D08" w:rsidRDefault="00330FC0">
            <w:r>
              <w:rPr>
                <w:rFonts w:hint="eastAsia"/>
              </w:rPr>
              <w:t>债权投资在持有期间取得的利息收入</w:t>
            </w:r>
          </w:p>
        </w:tc>
        <w:tc>
          <w:tcPr>
            <w:tcW w:w="2692" w:type="dxa"/>
            <w:vAlign w:val="center"/>
          </w:tcPr>
          <w:p w14:paraId="146B1708" w14:textId="77777777" w:rsidR="00577D08" w:rsidRDefault="00577D08">
            <w:pPr>
              <w:jc w:val="right"/>
            </w:pPr>
          </w:p>
        </w:tc>
        <w:tc>
          <w:tcPr>
            <w:tcW w:w="2703" w:type="dxa"/>
            <w:vAlign w:val="center"/>
          </w:tcPr>
          <w:p w14:paraId="6B5F5144" w14:textId="77777777" w:rsidR="00577D08" w:rsidRDefault="00577D08">
            <w:pPr>
              <w:jc w:val="right"/>
            </w:pPr>
          </w:p>
        </w:tc>
      </w:tr>
      <w:tr w:rsidR="00577D08" w14:paraId="06793D0C" w14:textId="77777777">
        <w:tc>
          <w:tcPr>
            <w:tcW w:w="3652" w:type="dxa"/>
            <w:vAlign w:val="center"/>
          </w:tcPr>
          <w:p w14:paraId="7B51EDC9" w14:textId="77777777" w:rsidR="00577D08" w:rsidRDefault="00330FC0">
            <w:r>
              <w:rPr>
                <w:rFonts w:hint="eastAsia"/>
              </w:rPr>
              <w:t>其他债权投资在持有期间取得的利息收入</w:t>
            </w:r>
          </w:p>
        </w:tc>
        <w:tc>
          <w:tcPr>
            <w:tcW w:w="2692" w:type="dxa"/>
            <w:vAlign w:val="center"/>
          </w:tcPr>
          <w:p w14:paraId="111C3D3F" w14:textId="77777777" w:rsidR="00577D08" w:rsidRDefault="00577D08">
            <w:pPr>
              <w:jc w:val="right"/>
            </w:pPr>
          </w:p>
        </w:tc>
        <w:tc>
          <w:tcPr>
            <w:tcW w:w="2703" w:type="dxa"/>
            <w:vAlign w:val="center"/>
          </w:tcPr>
          <w:p w14:paraId="03664BDE" w14:textId="77777777" w:rsidR="00577D08" w:rsidRDefault="00577D08">
            <w:pPr>
              <w:jc w:val="right"/>
            </w:pPr>
          </w:p>
        </w:tc>
      </w:tr>
      <w:tr w:rsidR="00577D08" w14:paraId="2E1AA5FA" w14:textId="77777777">
        <w:tc>
          <w:tcPr>
            <w:tcW w:w="3652" w:type="dxa"/>
            <w:vAlign w:val="center"/>
          </w:tcPr>
          <w:p w14:paraId="7427AE14" w14:textId="77777777" w:rsidR="00577D08" w:rsidRDefault="00330FC0">
            <w:r>
              <w:rPr>
                <w:rFonts w:hint="eastAsia"/>
              </w:rPr>
              <w:t>处置交易性金融资产取得的投资收益</w:t>
            </w:r>
          </w:p>
        </w:tc>
        <w:tc>
          <w:tcPr>
            <w:tcW w:w="2692" w:type="dxa"/>
            <w:vAlign w:val="center"/>
          </w:tcPr>
          <w:p w14:paraId="314E225D" w14:textId="77777777" w:rsidR="00577D08" w:rsidRDefault="00330FC0">
            <w:pPr>
              <w:jc w:val="right"/>
            </w:pPr>
            <w:r>
              <w:t>70,897.54</w:t>
            </w:r>
          </w:p>
        </w:tc>
        <w:tc>
          <w:tcPr>
            <w:tcW w:w="2703" w:type="dxa"/>
            <w:vAlign w:val="center"/>
          </w:tcPr>
          <w:p w14:paraId="1D890F3F" w14:textId="77777777" w:rsidR="00577D08" w:rsidRDefault="00330FC0">
            <w:pPr>
              <w:jc w:val="right"/>
            </w:pPr>
            <w:r>
              <w:t>138,299.26</w:t>
            </w:r>
          </w:p>
        </w:tc>
      </w:tr>
      <w:tr w:rsidR="00577D08" w14:paraId="55945994" w14:textId="77777777">
        <w:tc>
          <w:tcPr>
            <w:tcW w:w="3652" w:type="dxa"/>
            <w:vAlign w:val="center"/>
          </w:tcPr>
          <w:p w14:paraId="4F5E233D" w14:textId="77777777" w:rsidR="00577D08" w:rsidRDefault="00330FC0">
            <w:r>
              <w:rPr>
                <w:rFonts w:hint="eastAsia"/>
              </w:rPr>
              <w:t>处置其他权益工具投资取得的投资收益</w:t>
            </w:r>
          </w:p>
        </w:tc>
        <w:tc>
          <w:tcPr>
            <w:tcW w:w="2692" w:type="dxa"/>
            <w:vAlign w:val="center"/>
          </w:tcPr>
          <w:p w14:paraId="697AB692" w14:textId="77777777" w:rsidR="00577D08" w:rsidRDefault="00577D08">
            <w:pPr>
              <w:jc w:val="right"/>
            </w:pPr>
          </w:p>
        </w:tc>
        <w:tc>
          <w:tcPr>
            <w:tcW w:w="2703" w:type="dxa"/>
            <w:vAlign w:val="center"/>
          </w:tcPr>
          <w:p w14:paraId="23BAEFF5" w14:textId="77777777" w:rsidR="00577D08" w:rsidRDefault="00577D08">
            <w:pPr>
              <w:jc w:val="right"/>
            </w:pPr>
          </w:p>
        </w:tc>
      </w:tr>
      <w:tr w:rsidR="00577D08" w14:paraId="4D92787D" w14:textId="77777777">
        <w:tc>
          <w:tcPr>
            <w:tcW w:w="3652" w:type="dxa"/>
            <w:vAlign w:val="center"/>
          </w:tcPr>
          <w:p w14:paraId="373D58DC" w14:textId="77777777" w:rsidR="00577D08" w:rsidRDefault="00330FC0">
            <w:r>
              <w:rPr>
                <w:rFonts w:hint="eastAsia"/>
              </w:rPr>
              <w:t>处置债权投资取得的投资收益</w:t>
            </w:r>
          </w:p>
        </w:tc>
        <w:tc>
          <w:tcPr>
            <w:tcW w:w="2692" w:type="dxa"/>
            <w:vAlign w:val="center"/>
          </w:tcPr>
          <w:p w14:paraId="4786BE72" w14:textId="77777777" w:rsidR="00577D08" w:rsidRDefault="00577D08">
            <w:pPr>
              <w:jc w:val="right"/>
            </w:pPr>
          </w:p>
        </w:tc>
        <w:tc>
          <w:tcPr>
            <w:tcW w:w="2703" w:type="dxa"/>
            <w:vAlign w:val="center"/>
          </w:tcPr>
          <w:p w14:paraId="1745030B" w14:textId="77777777" w:rsidR="00577D08" w:rsidRDefault="00577D08">
            <w:pPr>
              <w:jc w:val="right"/>
            </w:pPr>
          </w:p>
        </w:tc>
      </w:tr>
      <w:tr w:rsidR="00577D08" w14:paraId="48FCD4F7" w14:textId="77777777">
        <w:tc>
          <w:tcPr>
            <w:tcW w:w="3652" w:type="dxa"/>
            <w:vAlign w:val="center"/>
          </w:tcPr>
          <w:p w14:paraId="072535CB" w14:textId="77777777" w:rsidR="00577D08" w:rsidRDefault="00330FC0">
            <w:r>
              <w:rPr>
                <w:rFonts w:hint="eastAsia"/>
              </w:rPr>
              <w:t>处置其他债权投资取得的投资收益</w:t>
            </w:r>
          </w:p>
        </w:tc>
        <w:tc>
          <w:tcPr>
            <w:tcW w:w="2692" w:type="dxa"/>
            <w:vAlign w:val="center"/>
          </w:tcPr>
          <w:p w14:paraId="398D732E" w14:textId="77777777" w:rsidR="00577D08" w:rsidRDefault="00577D08">
            <w:pPr>
              <w:jc w:val="right"/>
            </w:pPr>
          </w:p>
        </w:tc>
        <w:tc>
          <w:tcPr>
            <w:tcW w:w="2703" w:type="dxa"/>
            <w:vAlign w:val="center"/>
          </w:tcPr>
          <w:p w14:paraId="02887BAA" w14:textId="77777777" w:rsidR="00577D08" w:rsidRDefault="00577D08">
            <w:pPr>
              <w:jc w:val="right"/>
            </w:pPr>
          </w:p>
        </w:tc>
      </w:tr>
      <w:tr w:rsidR="00577D08" w14:paraId="745FA152" w14:textId="77777777">
        <w:tc>
          <w:tcPr>
            <w:tcW w:w="3652" w:type="dxa"/>
            <w:vAlign w:val="center"/>
          </w:tcPr>
          <w:p w14:paraId="2682E804" w14:textId="77777777" w:rsidR="00577D08" w:rsidRDefault="00330FC0">
            <w:r>
              <w:rPr>
                <w:rFonts w:hint="eastAsia"/>
              </w:rPr>
              <w:t>债务重组收益</w:t>
            </w:r>
          </w:p>
        </w:tc>
        <w:tc>
          <w:tcPr>
            <w:tcW w:w="2692" w:type="dxa"/>
            <w:vAlign w:val="center"/>
          </w:tcPr>
          <w:p w14:paraId="070BBB98" w14:textId="77777777" w:rsidR="00577D08" w:rsidRDefault="00577D08">
            <w:pPr>
              <w:jc w:val="right"/>
            </w:pPr>
          </w:p>
        </w:tc>
        <w:tc>
          <w:tcPr>
            <w:tcW w:w="2703" w:type="dxa"/>
            <w:vAlign w:val="center"/>
          </w:tcPr>
          <w:p w14:paraId="68287D66" w14:textId="77777777" w:rsidR="00577D08" w:rsidRDefault="00577D08">
            <w:pPr>
              <w:jc w:val="right"/>
            </w:pPr>
          </w:p>
        </w:tc>
      </w:tr>
      <w:tr w:rsidR="00577D08" w14:paraId="626F4330" w14:textId="77777777">
        <w:tc>
          <w:tcPr>
            <w:tcW w:w="3652" w:type="dxa"/>
          </w:tcPr>
          <w:p w14:paraId="13BCBCE1" w14:textId="77777777" w:rsidR="00577D08" w:rsidRDefault="00330FC0">
            <w:r>
              <w:rPr>
                <w:rFonts w:hint="eastAsia"/>
              </w:rPr>
              <w:t>贴现未到期票据终止确认贴现息</w:t>
            </w:r>
          </w:p>
        </w:tc>
        <w:tc>
          <w:tcPr>
            <w:tcW w:w="2692" w:type="dxa"/>
            <w:vAlign w:val="center"/>
          </w:tcPr>
          <w:p w14:paraId="4AA6C167" w14:textId="77777777" w:rsidR="00577D08" w:rsidRDefault="00330FC0">
            <w:pPr>
              <w:jc w:val="right"/>
            </w:pPr>
            <w:r>
              <w:t>-152,064.43</w:t>
            </w:r>
          </w:p>
        </w:tc>
        <w:tc>
          <w:tcPr>
            <w:tcW w:w="2703" w:type="dxa"/>
            <w:vAlign w:val="center"/>
          </w:tcPr>
          <w:p w14:paraId="7A567910" w14:textId="77777777" w:rsidR="00577D08" w:rsidRDefault="00330FC0">
            <w:pPr>
              <w:jc w:val="right"/>
            </w:pPr>
            <w:r>
              <w:t>-111,023.38</w:t>
            </w:r>
          </w:p>
        </w:tc>
      </w:tr>
      <w:tr w:rsidR="00577D08" w14:paraId="54DD01D3" w14:textId="77777777">
        <w:tc>
          <w:tcPr>
            <w:tcW w:w="3652" w:type="dxa"/>
            <w:vAlign w:val="center"/>
          </w:tcPr>
          <w:p w14:paraId="61716353" w14:textId="77777777" w:rsidR="00577D08" w:rsidRDefault="00330FC0">
            <w:pPr>
              <w:jc w:val="center"/>
            </w:pPr>
            <w:r>
              <w:rPr>
                <w:rFonts w:hint="eastAsia"/>
              </w:rPr>
              <w:t>合计</w:t>
            </w:r>
          </w:p>
        </w:tc>
        <w:tc>
          <w:tcPr>
            <w:tcW w:w="2692" w:type="dxa"/>
            <w:vAlign w:val="center"/>
          </w:tcPr>
          <w:p w14:paraId="55FC4DA7" w14:textId="77777777" w:rsidR="00577D08" w:rsidRDefault="00330FC0">
            <w:pPr>
              <w:jc w:val="right"/>
            </w:pPr>
            <w:r>
              <w:t>-1,578,699.51</w:t>
            </w:r>
          </w:p>
        </w:tc>
        <w:tc>
          <w:tcPr>
            <w:tcW w:w="2703" w:type="dxa"/>
            <w:vAlign w:val="center"/>
          </w:tcPr>
          <w:p w14:paraId="4B3BEC17" w14:textId="77777777" w:rsidR="00577D08" w:rsidRDefault="00330FC0">
            <w:pPr>
              <w:jc w:val="right"/>
            </w:pPr>
            <w:r>
              <w:t>284,626.58</w:t>
            </w:r>
          </w:p>
        </w:tc>
      </w:tr>
    </w:tbl>
    <w:bookmarkEnd w:id="461"/>
    <w:p w14:paraId="3D9BE2D4" w14:textId="77777777" w:rsidR="00577D08" w:rsidRDefault="00330FC0">
      <w:pPr>
        <w:spacing w:before="60" w:after="60" w:line="360" w:lineRule="exact"/>
      </w:pPr>
      <w:r>
        <w:rPr>
          <w:rFonts w:hint="eastAsia"/>
        </w:rPr>
        <w:t>其他说明：</w:t>
      </w:r>
    </w:p>
    <w:sdt>
      <w:sdtPr>
        <w:rPr>
          <w:rFonts w:hint="eastAsia"/>
        </w:rPr>
        <w:alias w:val="投资收益说明"/>
        <w:tag w:val="_GBC_4461c08be8cf4739a76957c4ebbfc521"/>
        <w:id w:val="642234442"/>
        <w:placeholder>
          <w:docPart w:val="GBC22222222222222222222222222222"/>
        </w:placeholder>
      </w:sdtPr>
      <w:sdtContent>
        <w:p w14:paraId="2059BD6D" w14:textId="77777777" w:rsidR="00577D08" w:rsidRDefault="00330FC0">
          <w:pPr>
            <w:autoSpaceDE w:val="0"/>
            <w:autoSpaceDN w:val="0"/>
            <w:adjustRightInd w:val="0"/>
          </w:pPr>
          <w:r>
            <w:rPr>
              <w:rFonts w:hint="eastAsia"/>
            </w:rPr>
            <w:t>无</w:t>
          </w:r>
        </w:p>
      </w:sdtContent>
    </w:sdt>
    <w:bookmarkEnd w:id="460"/>
    <w:p w14:paraId="2DC4D358" w14:textId="77777777" w:rsidR="00577D08" w:rsidRDefault="00330FC0">
      <w:pPr>
        <w:pStyle w:val="3"/>
        <w:numPr>
          <w:ilvl w:val="0"/>
          <w:numId w:val="61"/>
        </w:numPr>
        <w:tabs>
          <w:tab w:val="left" w:pos="504"/>
        </w:tabs>
        <w:rPr>
          <w:szCs w:val="21"/>
        </w:rPr>
      </w:pPr>
      <w:r>
        <w:rPr>
          <w:rFonts w:hint="eastAsia"/>
          <w:szCs w:val="21"/>
        </w:rPr>
        <w:t>净敞口套期收益</w:t>
      </w:r>
    </w:p>
    <w:sdt>
      <w:sdtPr>
        <w:alias w:val="是否适用：净敞口套期收益[双击切换]"/>
        <w:tag w:val="_GBC_0b9c0635e78547e1b23b27daf08672cd"/>
        <w:id w:val="1240594366"/>
        <w:placeholder>
          <w:docPart w:val="GBC22222222222222222222222222222"/>
        </w:placeholder>
      </w:sdtPr>
      <w:sdtContent>
        <w:p w14:paraId="72EC9B2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A090C3E" w14:textId="77777777" w:rsidR="00577D08" w:rsidRDefault="00330FC0">
      <w:pPr>
        <w:pStyle w:val="3"/>
        <w:numPr>
          <w:ilvl w:val="0"/>
          <w:numId w:val="61"/>
        </w:numPr>
        <w:tabs>
          <w:tab w:val="left" w:pos="504"/>
        </w:tabs>
        <w:rPr>
          <w:rFonts w:ascii="宋体" w:hAnsi="宋体" w:hint="eastAsia"/>
          <w:szCs w:val="21"/>
        </w:rPr>
      </w:pPr>
      <w:bookmarkStart w:id="462" w:name="_Hlk534895224"/>
      <w:r>
        <w:rPr>
          <w:rFonts w:ascii="宋体" w:hAnsi="宋体" w:hint="eastAsia"/>
          <w:szCs w:val="21"/>
        </w:rPr>
        <w:t>公允价值变动收益</w:t>
      </w:r>
    </w:p>
    <w:sdt>
      <w:sdtPr>
        <w:alias w:val="是否适用：公允价值变动收益[双击切换]"/>
        <w:tag w:val="_GBC_703e46a239ba45afa37afdd4dcae0cb4"/>
        <w:id w:val="107084005"/>
        <w:placeholder>
          <w:docPart w:val="GBC22222222222222222222222222222"/>
        </w:placeholder>
      </w:sdtPr>
      <w:sdtContent>
        <w:p w14:paraId="4827A81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62"/>
    <w:p w14:paraId="3467BCFE" w14:textId="0A08172C" w:rsidR="00577D08" w:rsidRDefault="00330FC0">
      <w:pPr>
        <w:jc w:val="right"/>
      </w:pPr>
      <w:r>
        <w:rPr>
          <w:rFonts w:hint="eastAsia"/>
        </w:rPr>
        <w:t>单位：</w:t>
      </w:r>
      <w:sdt>
        <w:sdtPr>
          <w:rPr>
            <w:rFonts w:hint="eastAsia"/>
          </w:rPr>
          <w:alias w:val="单位：财务附注：公允价值变动收益"/>
          <w:tag w:val="_GBC_c4e1118ffbdf4d6f90815a9b487cc79b"/>
          <w:id w:val="-1648426433"/>
          <w:placeholder>
            <w:docPart w:val="642D562FB03F4CD6A8CD26CB10AADAB1"/>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公允价值变动收益"/>
          <w:tag w:val="_GBC_704565e01a4148fe85dcf135bb9be9b6"/>
          <w:id w:val="1669676044"/>
          <w:placeholder>
            <w:docPart w:val="642D562FB03F4CD6A8CD26CB10AADAB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6"/>
        <w:gridCol w:w="2825"/>
        <w:gridCol w:w="2825"/>
      </w:tblGrid>
      <w:tr w:rsidR="00577D08" w14:paraId="72BF72E2" w14:textId="77777777">
        <w:sdt>
          <w:sdtPr>
            <w:tag w:val="_PLD_6e9a92135b46440eb6d0daa39f0ec40f"/>
            <w:id w:val="-147215494"/>
          </w:sdtPr>
          <w:sdtContent>
            <w:tc>
              <w:tcPr>
                <w:tcW w:w="3396" w:type="dxa"/>
                <w:tcBorders>
                  <w:top w:val="single" w:sz="4" w:space="0" w:color="auto"/>
                  <w:left w:val="single" w:sz="4" w:space="0" w:color="auto"/>
                  <w:bottom w:val="single" w:sz="4" w:space="0" w:color="auto"/>
                  <w:right w:val="single" w:sz="4" w:space="0" w:color="auto"/>
                </w:tcBorders>
                <w:vAlign w:val="center"/>
              </w:tcPr>
              <w:p w14:paraId="0ACA18D2" w14:textId="77777777" w:rsidR="00577D08" w:rsidRDefault="00330FC0">
                <w:pPr>
                  <w:autoSpaceDE w:val="0"/>
                  <w:autoSpaceDN w:val="0"/>
                  <w:adjustRightInd w:val="0"/>
                  <w:jc w:val="center"/>
                </w:pPr>
                <w:r>
                  <w:rPr>
                    <w:rFonts w:hint="eastAsia"/>
                  </w:rPr>
                  <w:t>产生公允价值变动收益的来源</w:t>
                </w:r>
              </w:p>
            </w:tc>
          </w:sdtContent>
        </w:sdt>
        <w:sdt>
          <w:sdtPr>
            <w:tag w:val="_PLD_7cd0c8223b6b499990a24553e928cba4"/>
            <w:id w:val="-884872436"/>
          </w:sdtPr>
          <w:sdtContent>
            <w:tc>
              <w:tcPr>
                <w:tcW w:w="2825" w:type="dxa"/>
                <w:tcBorders>
                  <w:top w:val="single" w:sz="4" w:space="0" w:color="auto"/>
                  <w:left w:val="single" w:sz="4" w:space="0" w:color="auto"/>
                  <w:bottom w:val="single" w:sz="4" w:space="0" w:color="auto"/>
                  <w:right w:val="single" w:sz="4" w:space="0" w:color="auto"/>
                </w:tcBorders>
                <w:vAlign w:val="center"/>
              </w:tcPr>
              <w:p w14:paraId="0626DAC7" w14:textId="77777777" w:rsidR="00577D08" w:rsidRDefault="00330FC0">
                <w:pPr>
                  <w:autoSpaceDE w:val="0"/>
                  <w:autoSpaceDN w:val="0"/>
                  <w:adjustRightInd w:val="0"/>
                  <w:jc w:val="center"/>
                </w:pPr>
                <w:r>
                  <w:rPr>
                    <w:rFonts w:hint="eastAsia"/>
                  </w:rPr>
                  <w:t>本期发生额</w:t>
                </w:r>
              </w:p>
            </w:tc>
          </w:sdtContent>
        </w:sdt>
        <w:sdt>
          <w:sdtPr>
            <w:tag w:val="_PLD_1ebddc94af9345a99e7800415f9811c7"/>
            <w:id w:val="-1637789261"/>
          </w:sdtPr>
          <w:sdtContent>
            <w:tc>
              <w:tcPr>
                <w:tcW w:w="2825" w:type="dxa"/>
                <w:tcBorders>
                  <w:top w:val="single" w:sz="4" w:space="0" w:color="auto"/>
                  <w:left w:val="single" w:sz="4" w:space="0" w:color="auto"/>
                  <w:bottom w:val="single" w:sz="4" w:space="0" w:color="auto"/>
                  <w:right w:val="single" w:sz="4" w:space="0" w:color="auto"/>
                </w:tcBorders>
                <w:vAlign w:val="center"/>
              </w:tcPr>
              <w:p w14:paraId="1BA3B766" w14:textId="77777777" w:rsidR="00577D08" w:rsidRDefault="00330FC0">
                <w:pPr>
                  <w:autoSpaceDE w:val="0"/>
                  <w:autoSpaceDN w:val="0"/>
                  <w:adjustRightInd w:val="0"/>
                  <w:jc w:val="center"/>
                </w:pPr>
                <w:r>
                  <w:rPr>
                    <w:rFonts w:hint="eastAsia"/>
                  </w:rPr>
                  <w:t>上期发生额</w:t>
                </w:r>
              </w:p>
            </w:tc>
          </w:sdtContent>
        </w:sdt>
      </w:tr>
      <w:tr w:rsidR="00577D08" w14:paraId="31C87401" w14:textId="77777777">
        <w:tc>
          <w:tcPr>
            <w:tcW w:w="3396" w:type="dxa"/>
            <w:tcBorders>
              <w:top w:val="single" w:sz="4" w:space="0" w:color="auto"/>
              <w:left w:val="single" w:sz="4" w:space="0" w:color="auto"/>
              <w:bottom w:val="single" w:sz="4" w:space="0" w:color="auto"/>
              <w:right w:val="single" w:sz="4" w:space="0" w:color="auto"/>
            </w:tcBorders>
            <w:vAlign w:val="center"/>
          </w:tcPr>
          <w:p w14:paraId="35A73619" w14:textId="77777777" w:rsidR="00577D08" w:rsidRDefault="00330FC0">
            <w:r>
              <w:rPr>
                <w:rFonts w:hint="eastAsia"/>
              </w:rPr>
              <w:lastRenderedPageBreak/>
              <w:t>交易性金融资产</w:t>
            </w:r>
          </w:p>
        </w:tc>
        <w:tc>
          <w:tcPr>
            <w:tcW w:w="2825" w:type="dxa"/>
            <w:tcBorders>
              <w:top w:val="single" w:sz="4" w:space="0" w:color="auto"/>
              <w:left w:val="single" w:sz="4" w:space="0" w:color="auto"/>
              <w:bottom w:val="single" w:sz="4" w:space="0" w:color="auto"/>
              <w:right w:val="single" w:sz="4" w:space="0" w:color="auto"/>
            </w:tcBorders>
            <w:vAlign w:val="center"/>
          </w:tcPr>
          <w:p w14:paraId="6AD3296F" w14:textId="77777777" w:rsidR="00577D08" w:rsidRDefault="00577D08">
            <w:pPr>
              <w:autoSpaceDE w:val="0"/>
              <w:autoSpaceDN w:val="0"/>
              <w:adjustRightInd w:val="0"/>
              <w:jc w:val="right"/>
            </w:pPr>
          </w:p>
        </w:tc>
        <w:tc>
          <w:tcPr>
            <w:tcW w:w="2825" w:type="dxa"/>
            <w:tcBorders>
              <w:top w:val="single" w:sz="4" w:space="0" w:color="auto"/>
              <w:left w:val="single" w:sz="4" w:space="0" w:color="auto"/>
              <w:bottom w:val="single" w:sz="4" w:space="0" w:color="auto"/>
              <w:right w:val="single" w:sz="4" w:space="0" w:color="auto"/>
            </w:tcBorders>
            <w:vAlign w:val="center"/>
          </w:tcPr>
          <w:p w14:paraId="41E964AF" w14:textId="77777777" w:rsidR="00577D08" w:rsidRDefault="00577D08">
            <w:pPr>
              <w:autoSpaceDE w:val="0"/>
              <w:autoSpaceDN w:val="0"/>
              <w:adjustRightInd w:val="0"/>
              <w:jc w:val="right"/>
            </w:pPr>
          </w:p>
        </w:tc>
      </w:tr>
      <w:tr w:rsidR="00577D08" w14:paraId="525C982C" w14:textId="77777777">
        <w:tc>
          <w:tcPr>
            <w:tcW w:w="3396" w:type="dxa"/>
            <w:tcBorders>
              <w:top w:val="single" w:sz="4" w:space="0" w:color="auto"/>
              <w:left w:val="single" w:sz="4" w:space="0" w:color="auto"/>
              <w:bottom w:val="single" w:sz="4" w:space="0" w:color="auto"/>
              <w:right w:val="single" w:sz="4" w:space="0" w:color="auto"/>
            </w:tcBorders>
            <w:vAlign w:val="center"/>
          </w:tcPr>
          <w:p w14:paraId="72170973" w14:textId="77777777" w:rsidR="00577D08" w:rsidRDefault="00330FC0">
            <w:r>
              <w:rPr>
                <w:rFonts w:hint="eastAsia"/>
              </w:rPr>
              <w:t>其中：结构性存款</w:t>
            </w:r>
          </w:p>
        </w:tc>
        <w:tc>
          <w:tcPr>
            <w:tcW w:w="2825" w:type="dxa"/>
            <w:tcBorders>
              <w:top w:val="single" w:sz="4" w:space="0" w:color="auto"/>
              <w:left w:val="single" w:sz="4" w:space="0" w:color="auto"/>
              <w:bottom w:val="single" w:sz="4" w:space="0" w:color="auto"/>
              <w:right w:val="single" w:sz="4" w:space="0" w:color="auto"/>
            </w:tcBorders>
            <w:vAlign w:val="center"/>
          </w:tcPr>
          <w:p w14:paraId="78D27EBB" w14:textId="77777777" w:rsidR="00577D08" w:rsidRDefault="00577D08">
            <w:pPr>
              <w:autoSpaceDE w:val="0"/>
              <w:autoSpaceDN w:val="0"/>
              <w:adjustRightInd w:val="0"/>
              <w:jc w:val="right"/>
            </w:pPr>
          </w:p>
        </w:tc>
        <w:tc>
          <w:tcPr>
            <w:tcW w:w="2825" w:type="dxa"/>
            <w:tcBorders>
              <w:top w:val="single" w:sz="4" w:space="0" w:color="auto"/>
              <w:left w:val="single" w:sz="4" w:space="0" w:color="auto"/>
              <w:bottom w:val="single" w:sz="4" w:space="0" w:color="auto"/>
              <w:right w:val="single" w:sz="4" w:space="0" w:color="auto"/>
            </w:tcBorders>
          </w:tcPr>
          <w:p w14:paraId="3E54B2D0" w14:textId="77777777" w:rsidR="00577D08" w:rsidRDefault="00330FC0">
            <w:pPr>
              <w:autoSpaceDE w:val="0"/>
              <w:autoSpaceDN w:val="0"/>
              <w:adjustRightInd w:val="0"/>
              <w:jc w:val="right"/>
            </w:pPr>
            <w:r>
              <w:t>58,819.44</w:t>
            </w:r>
          </w:p>
        </w:tc>
      </w:tr>
      <w:tr w:rsidR="00577D08" w14:paraId="6A2D2666" w14:textId="77777777">
        <w:tc>
          <w:tcPr>
            <w:tcW w:w="3396" w:type="dxa"/>
            <w:tcBorders>
              <w:top w:val="single" w:sz="4" w:space="0" w:color="auto"/>
              <w:left w:val="single" w:sz="4" w:space="0" w:color="auto"/>
              <w:bottom w:val="single" w:sz="4" w:space="0" w:color="auto"/>
              <w:right w:val="single" w:sz="4" w:space="0" w:color="auto"/>
            </w:tcBorders>
            <w:vAlign w:val="center"/>
          </w:tcPr>
          <w:p w14:paraId="4546BC2E" w14:textId="77777777" w:rsidR="00577D08" w:rsidRDefault="00330FC0">
            <w:r>
              <w:rPr>
                <w:rFonts w:hint="eastAsia"/>
              </w:rPr>
              <w:t>交易性金融负债</w:t>
            </w:r>
          </w:p>
        </w:tc>
        <w:tc>
          <w:tcPr>
            <w:tcW w:w="2825" w:type="dxa"/>
            <w:tcBorders>
              <w:top w:val="single" w:sz="4" w:space="0" w:color="auto"/>
              <w:left w:val="single" w:sz="4" w:space="0" w:color="auto"/>
              <w:bottom w:val="single" w:sz="4" w:space="0" w:color="auto"/>
              <w:right w:val="single" w:sz="4" w:space="0" w:color="auto"/>
            </w:tcBorders>
            <w:vAlign w:val="center"/>
          </w:tcPr>
          <w:p w14:paraId="45AE15A4" w14:textId="77777777" w:rsidR="00577D08" w:rsidRDefault="00577D08">
            <w:pPr>
              <w:autoSpaceDE w:val="0"/>
              <w:autoSpaceDN w:val="0"/>
              <w:adjustRightInd w:val="0"/>
              <w:jc w:val="right"/>
            </w:pPr>
          </w:p>
        </w:tc>
        <w:tc>
          <w:tcPr>
            <w:tcW w:w="2825" w:type="dxa"/>
            <w:tcBorders>
              <w:top w:val="single" w:sz="4" w:space="0" w:color="auto"/>
              <w:left w:val="single" w:sz="4" w:space="0" w:color="auto"/>
              <w:bottom w:val="single" w:sz="4" w:space="0" w:color="auto"/>
              <w:right w:val="single" w:sz="4" w:space="0" w:color="auto"/>
            </w:tcBorders>
          </w:tcPr>
          <w:p w14:paraId="428101C1" w14:textId="77777777" w:rsidR="00577D08" w:rsidRDefault="00577D08">
            <w:pPr>
              <w:autoSpaceDE w:val="0"/>
              <w:autoSpaceDN w:val="0"/>
              <w:adjustRightInd w:val="0"/>
              <w:jc w:val="right"/>
            </w:pPr>
          </w:p>
        </w:tc>
      </w:tr>
      <w:tr w:rsidR="00577D08" w14:paraId="61A4B6DF" w14:textId="77777777">
        <w:tc>
          <w:tcPr>
            <w:tcW w:w="3396" w:type="dxa"/>
            <w:tcBorders>
              <w:top w:val="single" w:sz="4" w:space="0" w:color="auto"/>
              <w:left w:val="single" w:sz="4" w:space="0" w:color="auto"/>
              <w:bottom w:val="single" w:sz="4" w:space="0" w:color="auto"/>
              <w:right w:val="single" w:sz="4" w:space="0" w:color="auto"/>
            </w:tcBorders>
            <w:vAlign w:val="center"/>
          </w:tcPr>
          <w:p w14:paraId="6126F65D" w14:textId="77777777" w:rsidR="00577D08" w:rsidRDefault="00330FC0">
            <w:r>
              <w:rPr>
                <w:rFonts w:hint="eastAsia"/>
              </w:rPr>
              <w:t>按公允价值计量的投资性房地产</w:t>
            </w:r>
          </w:p>
        </w:tc>
        <w:tc>
          <w:tcPr>
            <w:tcW w:w="2825" w:type="dxa"/>
            <w:tcBorders>
              <w:top w:val="single" w:sz="4" w:space="0" w:color="auto"/>
              <w:left w:val="single" w:sz="4" w:space="0" w:color="auto"/>
              <w:bottom w:val="single" w:sz="4" w:space="0" w:color="auto"/>
              <w:right w:val="single" w:sz="4" w:space="0" w:color="auto"/>
            </w:tcBorders>
            <w:vAlign w:val="center"/>
          </w:tcPr>
          <w:p w14:paraId="2EC6296D" w14:textId="77777777" w:rsidR="00577D08" w:rsidRDefault="00577D08">
            <w:pPr>
              <w:autoSpaceDE w:val="0"/>
              <w:autoSpaceDN w:val="0"/>
              <w:adjustRightInd w:val="0"/>
              <w:jc w:val="right"/>
            </w:pPr>
          </w:p>
        </w:tc>
        <w:tc>
          <w:tcPr>
            <w:tcW w:w="2825" w:type="dxa"/>
            <w:tcBorders>
              <w:top w:val="single" w:sz="4" w:space="0" w:color="auto"/>
              <w:left w:val="single" w:sz="4" w:space="0" w:color="auto"/>
              <w:bottom w:val="single" w:sz="4" w:space="0" w:color="auto"/>
              <w:right w:val="single" w:sz="4" w:space="0" w:color="auto"/>
            </w:tcBorders>
          </w:tcPr>
          <w:p w14:paraId="032FF3B2" w14:textId="77777777" w:rsidR="00577D08" w:rsidRDefault="00577D08">
            <w:pPr>
              <w:autoSpaceDE w:val="0"/>
              <w:autoSpaceDN w:val="0"/>
              <w:adjustRightInd w:val="0"/>
              <w:jc w:val="right"/>
            </w:pPr>
          </w:p>
        </w:tc>
      </w:tr>
      <w:tr w:rsidR="00577D08" w14:paraId="1BE1E717" w14:textId="77777777">
        <w:tc>
          <w:tcPr>
            <w:tcW w:w="3396" w:type="dxa"/>
            <w:tcBorders>
              <w:top w:val="single" w:sz="4" w:space="0" w:color="auto"/>
              <w:left w:val="single" w:sz="4" w:space="0" w:color="auto"/>
              <w:bottom w:val="single" w:sz="4" w:space="0" w:color="auto"/>
              <w:right w:val="single" w:sz="4" w:space="0" w:color="auto"/>
            </w:tcBorders>
            <w:vAlign w:val="center"/>
          </w:tcPr>
          <w:p w14:paraId="07088699" w14:textId="77777777" w:rsidR="00577D08" w:rsidRDefault="00330FC0">
            <w:pPr>
              <w:autoSpaceDE w:val="0"/>
              <w:autoSpaceDN w:val="0"/>
              <w:adjustRightInd w:val="0"/>
              <w:jc w:val="center"/>
            </w:pPr>
            <w:r>
              <w:rPr>
                <w:rFonts w:hint="eastAsia"/>
              </w:rPr>
              <w:t>合计</w:t>
            </w:r>
          </w:p>
        </w:tc>
        <w:tc>
          <w:tcPr>
            <w:tcW w:w="2825" w:type="dxa"/>
            <w:tcBorders>
              <w:top w:val="single" w:sz="4" w:space="0" w:color="auto"/>
              <w:left w:val="single" w:sz="4" w:space="0" w:color="auto"/>
              <w:bottom w:val="single" w:sz="4" w:space="0" w:color="auto"/>
              <w:right w:val="single" w:sz="4" w:space="0" w:color="auto"/>
            </w:tcBorders>
            <w:vAlign w:val="center"/>
          </w:tcPr>
          <w:p w14:paraId="6D20502E" w14:textId="77777777" w:rsidR="00577D08" w:rsidRDefault="00577D08">
            <w:pPr>
              <w:jc w:val="right"/>
            </w:pPr>
          </w:p>
        </w:tc>
        <w:tc>
          <w:tcPr>
            <w:tcW w:w="2825" w:type="dxa"/>
            <w:tcBorders>
              <w:top w:val="single" w:sz="4" w:space="0" w:color="auto"/>
              <w:left w:val="single" w:sz="4" w:space="0" w:color="auto"/>
              <w:bottom w:val="single" w:sz="4" w:space="0" w:color="auto"/>
              <w:right w:val="single" w:sz="4" w:space="0" w:color="auto"/>
            </w:tcBorders>
          </w:tcPr>
          <w:p w14:paraId="0BB0E22F" w14:textId="77777777" w:rsidR="00577D08" w:rsidRDefault="00330FC0">
            <w:pPr>
              <w:autoSpaceDE w:val="0"/>
              <w:autoSpaceDN w:val="0"/>
              <w:adjustRightInd w:val="0"/>
              <w:jc w:val="right"/>
            </w:pPr>
            <w:r>
              <w:t>58,819.44</w:t>
            </w:r>
          </w:p>
        </w:tc>
      </w:tr>
    </w:tbl>
    <w:p w14:paraId="446B11CE" w14:textId="77777777" w:rsidR="00577D08" w:rsidRDefault="00330FC0">
      <w:pPr>
        <w:spacing w:before="60" w:after="60"/>
      </w:pPr>
      <w:r>
        <w:rPr>
          <w:rFonts w:hint="eastAsia"/>
        </w:rPr>
        <w:t>其他说明：</w:t>
      </w:r>
    </w:p>
    <w:sdt>
      <w:sdtPr>
        <w:rPr>
          <w:rFonts w:hint="eastAsia"/>
        </w:rPr>
        <w:alias w:val="公允价值变动收益的说明"/>
        <w:tag w:val="_GBC_2de79fa0260c440dae18401771bdd5db"/>
        <w:id w:val="-1776632968"/>
        <w:placeholder>
          <w:docPart w:val="642D562FB03F4CD6A8CD26CB10AADAB1"/>
        </w:placeholder>
      </w:sdtPr>
      <w:sdtContent>
        <w:p w14:paraId="5A96EB5E" w14:textId="77777777" w:rsidR="00577D08" w:rsidRDefault="00330FC0">
          <w:r>
            <w:rPr>
              <w:rFonts w:hint="eastAsia"/>
            </w:rPr>
            <w:t>无</w:t>
          </w:r>
        </w:p>
      </w:sdtContent>
    </w:sdt>
    <w:p w14:paraId="6AD065B0" w14:textId="77777777" w:rsidR="00577D08" w:rsidRDefault="00330FC0">
      <w:pPr>
        <w:pStyle w:val="3"/>
        <w:numPr>
          <w:ilvl w:val="0"/>
          <w:numId w:val="61"/>
        </w:numPr>
        <w:tabs>
          <w:tab w:val="left" w:pos="504"/>
        </w:tabs>
      </w:pPr>
      <w:r>
        <w:rPr>
          <w:rFonts w:hint="eastAsia"/>
        </w:rPr>
        <w:t>信用减值损失</w:t>
      </w:r>
    </w:p>
    <w:sdt>
      <w:sdtPr>
        <w:alias w:val="是否适用：信用减值损失[双击切换]"/>
        <w:tag w:val="_GBC_3e1c9d9dad6c4530991d2befd4b098e3"/>
        <w:id w:val="-1762752836"/>
        <w:placeholder>
          <w:docPart w:val="GBC22222222222222222222222222222"/>
        </w:placeholder>
      </w:sdtPr>
      <w:sdtContent>
        <w:p w14:paraId="57DA0A65"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2CDAF76" w14:textId="523D8C25" w:rsidR="00577D08" w:rsidRDefault="00330FC0">
      <w:pPr>
        <w:pStyle w:val="aff9"/>
        <w:ind w:left="420" w:firstLineChars="0" w:firstLine="0"/>
        <w:jc w:val="right"/>
      </w:pPr>
      <w:r>
        <w:rPr>
          <w:rFonts w:hint="eastAsia"/>
        </w:rPr>
        <w:t>单位：</w:t>
      </w:r>
      <w:sdt>
        <w:sdtPr>
          <w:rPr>
            <w:rFonts w:hint="eastAsia"/>
          </w:rPr>
          <w:alias w:val="单位：信用减值损失"/>
          <w:tag w:val="_GBC_64c0f12c02d44b548838a6936d90e525"/>
          <w:id w:val="7500860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信用减值损失"/>
          <w:tag w:val="_GBC_4d6a964234bf4666a052d68fb8b9d060"/>
          <w:id w:val="-8498666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0"/>
        <w:gridCol w:w="2687"/>
        <w:gridCol w:w="2711"/>
      </w:tblGrid>
      <w:tr w:rsidR="00577D08" w14:paraId="33F99520" w14:textId="77777777">
        <w:sdt>
          <w:sdtPr>
            <w:tag w:val="_PLD_32efbc222fba4f8b87e71fbd7550f57d"/>
            <w:id w:val="-607041000"/>
          </w:sdtPr>
          <w:sdtContent>
            <w:tc>
              <w:tcPr>
                <w:tcW w:w="3650" w:type="dxa"/>
                <w:vAlign w:val="center"/>
              </w:tcPr>
              <w:p w14:paraId="07D13BDB" w14:textId="77777777" w:rsidR="00577D08" w:rsidRDefault="00330FC0">
                <w:pPr>
                  <w:jc w:val="center"/>
                </w:pPr>
                <w:r>
                  <w:rPr>
                    <w:rFonts w:hint="eastAsia"/>
                  </w:rPr>
                  <w:t>项目</w:t>
                </w:r>
              </w:p>
            </w:tc>
          </w:sdtContent>
        </w:sdt>
        <w:sdt>
          <w:sdtPr>
            <w:tag w:val="_PLD_57fc93ac35684eca9207e23d2b2d6664"/>
            <w:id w:val="-652755008"/>
          </w:sdtPr>
          <w:sdtContent>
            <w:tc>
              <w:tcPr>
                <w:tcW w:w="2687" w:type="dxa"/>
                <w:vAlign w:val="center"/>
              </w:tcPr>
              <w:p w14:paraId="00F1E8F3" w14:textId="77777777" w:rsidR="00577D08" w:rsidRDefault="00330FC0">
                <w:pPr>
                  <w:jc w:val="center"/>
                </w:pPr>
                <w:r>
                  <w:rPr>
                    <w:rFonts w:hint="eastAsia"/>
                  </w:rPr>
                  <w:t>本期发生额</w:t>
                </w:r>
              </w:p>
            </w:tc>
          </w:sdtContent>
        </w:sdt>
        <w:sdt>
          <w:sdtPr>
            <w:tag w:val="_PLD_ddb6bc4a58314fb2abbbb04ed4af2419"/>
            <w:id w:val="-2087454399"/>
          </w:sdtPr>
          <w:sdtContent>
            <w:tc>
              <w:tcPr>
                <w:tcW w:w="2711" w:type="dxa"/>
                <w:vAlign w:val="center"/>
              </w:tcPr>
              <w:p w14:paraId="5B826215" w14:textId="77777777" w:rsidR="00577D08" w:rsidRDefault="00330FC0">
                <w:pPr>
                  <w:jc w:val="center"/>
                </w:pPr>
                <w:r>
                  <w:rPr>
                    <w:rFonts w:hint="eastAsia"/>
                  </w:rPr>
                  <w:t>上期发生额</w:t>
                </w:r>
              </w:p>
            </w:tc>
          </w:sdtContent>
        </w:sdt>
      </w:tr>
      <w:tr w:rsidR="00577D08" w14:paraId="1F05054A" w14:textId="77777777">
        <w:tc>
          <w:tcPr>
            <w:tcW w:w="3650" w:type="dxa"/>
          </w:tcPr>
          <w:p w14:paraId="08DAB53C" w14:textId="77777777" w:rsidR="00577D08" w:rsidRDefault="00330FC0">
            <w:r>
              <w:rPr>
                <w:rFonts w:hint="eastAsia"/>
              </w:rPr>
              <w:t>应收账款坏账损失</w:t>
            </w:r>
          </w:p>
        </w:tc>
        <w:tc>
          <w:tcPr>
            <w:tcW w:w="2687" w:type="dxa"/>
          </w:tcPr>
          <w:p w14:paraId="496772A6" w14:textId="77777777" w:rsidR="00577D08" w:rsidRDefault="00330FC0">
            <w:pPr>
              <w:jc w:val="right"/>
            </w:pPr>
            <w:r>
              <w:rPr>
                <w:rFonts w:hint="eastAsia"/>
              </w:rPr>
              <w:t>-31,873,444.82</w:t>
            </w:r>
          </w:p>
        </w:tc>
        <w:tc>
          <w:tcPr>
            <w:tcW w:w="2711" w:type="dxa"/>
          </w:tcPr>
          <w:p w14:paraId="20A61875" w14:textId="77777777" w:rsidR="00577D08" w:rsidRDefault="00330FC0">
            <w:pPr>
              <w:jc w:val="right"/>
            </w:pPr>
            <w:r>
              <w:rPr>
                <w:rFonts w:hint="eastAsia"/>
              </w:rPr>
              <w:t>-12,257,078.14</w:t>
            </w:r>
          </w:p>
        </w:tc>
      </w:tr>
      <w:tr w:rsidR="00577D08" w14:paraId="718BD1DA" w14:textId="77777777">
        <w:tc>
          <w:tcPr>
            <w:tcW w:w="3650" w:type="dxa"/>
          </w:tcPr>
          <w:p w14:paraId="1EA8B7FC" w14:textId="77777777" w:rsidR="00577D08" w:rsidRDefault="00330FC0">
            <w:r>
              <w:rPr>
                <w:rFonts w:hint="eastAsia"/>
              </w:rPr>
              <w:t>应收票据坏账损失</w:t>
            </w:r>
          </w:p>
        </w:tc>
        <w:tc>
          <w:tcPr>
            <w:tcW w:w="2687" w:type="dxa"/>
          </w:tcPr>
          <w:p w14:paraId="49A6F8B1" w14:textId="77777777" w:rsidR="00577D08" w:rsidRDefault="00330FC0">
            <w:pPr>
              <w:jc w:val="right"/>
            </w:pPr>
            <w:r>
              <w:rPr>
                <w:rFonts w:hint="eastAsia"/>
              </w:rPr>
              <w:t>-87,957.96</w:t>
            </w:r>
          </w:p>
        </w:tc>
        <w:tc>
          <w:tcPr>
            <w:tcW w:w="2711" w:type="dxa"/>
          </w:tcPr>
          <w:p w14:paraId="259F7658" w14:textId="77777777" w:rsidR="00577D08" w:rsidRDefault="00330FC0">
            <w:pPr>
              <w:jc w:val="right"/>
            </w:pPr>
            <w:r>
              <w:rPr>
                <w:rFonts w:hint="eastAsia"/>
              </w:rPr>
              <w:t>-4,207,521.55</w:t>
            </w:r>
          </w:p>
        </w:tc>
      </w:tr>
      <w:tr w:rsidR="00577D08" w14:paraId="3F60C278" w14:textId="77777777">
        <w:tc>
          <w:tcPr>
            <w:tcW w:w="3650" w:type="dxa"/>
          </w:tcPr>
          <w:p w14:paraId="1BFE87C4" w14:textId="77777777" w:rsidR="00577D08" w:rsidRDefault="00330FC0">
            <w:r>
              <w:rPr>
                <w:rFonts w:hint="eastAsia"/>
              </w:rPr>
              <w:t>应收款项融资坏账损失</w:t>
            </w:r>
          </w:p>
        </w:tc>
        <w:tc>
          <w:tcPr>
            <w:tcW w:w="2687" w:type="dxa"/>
          </w:tcPr>
          <w:p w14:paraId="0EAB2F84" w14:textId="77777777" w:rsidR="00577D08" w:rsidRDefault="00330FC0">
            <w:pPr>
              <w:jc w:val="right"/>
            </w:pPr>
            <w:r>
              <w:rPr>
                <w:rFonts w:hint="eastAsia"/>
              </w:rPr>
              <w:t>-295,110.14</w:t>
            </w:r>
          </w:p>
        </w:tc>
        <w:tc>
          <w:tcPr>
            <w:tcW w:w="2711" w:type="dxa"/>
          </w:tcPr>
          <w:p w14:paraId="584A8F1A" w14:textId="77777777" w:rsidR="00577D08" w:rsidRDefault="00330FC0">
            <w:pPr>
              <w:jc w:val="right"/>
            </w:pPr>
            <w:r>
              <w:rPr>
                <w:rFonts w:hint="eastAsia"/>
              </w:rPr>
              <w:t>378,918.50</w:t>
            </w:r>
          </w:p>
        </w:tc>
      </w:tr>
      <w:tr w:rsidR="00577D08" w14:paraId="2359D2F2" w14:textId="77777777">
        <w:tc>
          <w:tcPr>
            <w:tcW w:w="3650" w:type="dxa"/>
          </w:tcPr>
          <w:p w14:paraId="7E115041" w14:textId="77777777" w:rsidR="00577D08" w:rsidRDefault="00330FC0">
            <w:r>
              <w:rPr>
                <w:rFonts w:hint="eastAsia"/>
              </w:rPr>
              <w:t>其他应收款坏账损失</w:t>
            </w:r>
          </w:p>
        </w:tc>
        <w:tc>
          <w:tcPr>
            <w:tcW w:w="2687" w:type="dxa"/>
          </w:tcPr>
          <w:p w14:paraId="7940C592" w14:textId="77777777" w:rsidR="00577D08" w:rsidRDefault="00330FC0">
            <w:pPr>
              <w:jc w:val="right"/>
            </w:pPr>
            <w:r>
              <w:rPr>
                <w:rFonts w:hint="eastAsia"/>
              </w:rPr>
              <w:t>-71,264.74</w:t>
            </w:r>
          </w:p>
        </w:tc>
        <w:tc>
          <w:tcPr>
            <w:tcW w:w="2711" w:type="dxa"/>
          </w:tcPr>
          <w:p w14:paraId="44E86AE6" w14:textId="77777777" w:rsidR="00577D08" w:rsidRDefault="00330FC0">
            <w:pPr>
              <w:jc w:val="right"/>
            </w:pPr>
            <w:r>
              <w:rPr>
                <w:rFonts w:hint="eastAsia"/>
              </w:rPr>
              <w:t>-628,966.90</w:t>
            </w:r>
          </w:p>
        </w:tc>
      </w:tr>
      <w:tr w:rsidR="00577D08" w14:paraId="10127AF2" w14:textId="77777777">
        <w:tc>
          <w:tcPr>
            <w:tcW w:w="3650" w:type="dxa"/>
          </w:tcPr>
          <w:p w14:paraId="47FE5C24" w14:textId="77777777" w:rsidR="00577D08" w:rsidRDefault="00330FC0">
            <w:r>
              <w:rPr>
                <w:rFonts w:hint="eastAsia"/>
              </w:rPr>
              <w:t>长期应收款坏账损失</w:t>
            </w:r>
          </w:p>
        </w:tc>
        <w:tc>
          <w:tcPr>
            <w:tcW w:w="2687" w:type="dxa"/>
          </w:tcPr>
          <w:p w14:paraId="04219CD6" w14:textId="77777777" w:rsidR="00577D08" w:rsidRDefault="00330FC0">
            <w:pPr>
              <w:jc w:val="right"/>
            </w:pPr>
            <w:r>
              <w:rPr>
                <w:rFonts w:hint="eastAsia"/>
              </w:rPr>
              <w:t>-211,456.59</w:t>
            </w:r>
          </w:p>
        </w:tc>
        <w:tc>
          <w:tcPr>
            <w:tcW w:w="2711" w:type="dxa"/>
          </w:tcPr>
          <w:p w14:paraId="188A635C" w14:textId="77777777" w:rsidR="00577D08" w:rsidRDefault="00330FC0">
            <w:pPr>
              <w:jc w:val="right"/>
            </w:pPr>
            <w:r>
              <w:rPr>
                <w:rFonts w:hint="eastAsia"/>
              </w:rPr>
              <w:t>-628,053.16</w:t>
            </w:r>
          </w:p>
        </w:tc>
      </w:tr>
      <w:tr w:rsidR="00577D08" w14:paraId="1AD58C29" w14:textId="77777777">
        <w:tc>
          <w:tcPr>
            <w:tcW w:w="3650" w:type="dxa"/>
          </w:tcPr>
          <w:p w14:paraId="30034412" w14:textId="77777777" w:rsidR="00577D08" w:rsidRDefault="00330FC0">
            <w:r>
              <w:rPr>
                <w:rFonts w:hint="eastAsia"/>
              </w:rPr>
              <w:t>一年内到期的非流动资产坏账损失</w:t>
            </w:r>
          </w:p>
        </w:tc>
        <w:tc>
          <w:tcPr>
            <w:tcW w:w="2687" w:type="dxa"/>
          </w:tcPr>
          <w:p w14:paraId="08573C30" w14:textId="77777777" w:rsidR="00577D08" w:rsidRDefault="00577D08">
            <w:pPr>
              <w:jc w:val="right"/>
            </w:pPr>
          </w:p>
        </w:tc>
        <w:tc>
          <w:tcPr>
            <w:tcW w:w="2711" w:type="dxa"/>
          </w:tcPr>
          <w:p w14:paraId="15ACA228" w14:textId="77777777" w:rsidR="00577D08" w:rsidRDefault="00330FC0">
            <w:pPr>
              <w:jc w:val="right"/>
            </w:pPr>
            <w:r>
              <w:rPr>
                <w:rFonts w:hint="eastAsia"/>
              </w:rPr>
              <w:t>6,868.39</w:t>
            </w:r>
          </w:p>
        </w:tc>
      </w:tr>
      <w:tr w:rsidR="00577D08" w14:paraId="32821938" w14:textId="77777777">
        <w:tc>
          <w:tcPr>
            <w:tcW w:w="3650" w:type="dxa"/>
            <w:vAlign w:val="center"/>
          </w:tcPr>
          <w:p w14:paraId="0D6EBA25" w14:textId="77777777" w:rsidR="00577D08" w:rsidRDefault="00330FC0">
            <w:pPr>
              <w:jc w:val="center"/>
            </w:pPr>
            <w:r>
              <w:rPr>
                <w:rFonts w:hint="eastAsia"/>
              </w:rPr>
              <w:t>合计</w:t>
            </w:r>
          </w:p>
        </w:tc>
        <w:tc>
          <w:tcPr>
            <w:tcW w:w="2687" w:type="dxa"/>
          </w:tcPr>
          <w:p w14:paraId="6BE7C839" w14:textId="77777777" w:rsidR="00577D08" w:rsidRDefault="00330FC0">
            <w:pPr>
              <w:jc w:val="right"/>
            </w:pPr>
            <w:r>
              <w:t>-32,539,234.25</w:t>
            </w:r>
          </w:p>
        </w:tc>
        <w:tc>
          <w:tcPr>
            <w:tcW w:w="2711" w:type="dxa"/>
          </w:tcPr>
          <w:p w14:paraId="35F9280C" w14:textId="77777777" w:rsidR="00577D08" w:rsidRDefault="00330FC0">
            <w:pPr>
              <w:jc w:val="right"/>
            </w:pPr>
            <w:r>
              <w:t>-17,335,832.86</w:t>
            </w:r>
          </w:p>
        </w:tc>
      </w:tr>
    </w:tbl>
    <w:p w14:paraId="440E5069" w14:textId="77777777" w:rsidR="00577D08" w:rsidRDefault="00330FC0">
      <w:r>
        <w:rPr>
          <w:rFonts w:hint="eastAsia"/>
        </w:rPr>
        <w:t>其他</w:t>
      </w:r>
      <w:r>
        <w:t>说明</w:t>
      </w:r>
      <w:r>
        <w:rPr>
          <w:rFonts w:hint="eastAsia"/>
        </w:rPr>
        <w:t>：</w:t>
      </w:r>
    </w:p>
    <w:sdt>
      <w:sdtPr>
        <w:alias w:val="信用减值损失其他说明"/>
        <w:tag w:val="_GBC_c4f5a3728c354e07a647f36805e2176b"/>
        <w:id w:val="-1579055304"/>
        <w:placeholder>
          <w:docPart w:val="GBC22222222222222222222222222222"/>
        </w:placeholder>
      </w:sdtPr>
      <w:sdtContent>
        <w:p w14:paraId="742FA887" w14:textId="77777777" w:rsidR="00577D08" w:rsidRDefault="00330FC0">
          <w:r>
            <w:rPr>
              <w:rFonts w:hint="eastAsia"/>
            </w:rPr>
            <w:t>无</w:t>
          </w:r>
        </w:p>
      </w:sdtContent>
    </w:sdt>
    <w:p w14:paraId="636141D2"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725140489"/>
        <w:placeholder>
          <w:docPart w:val="GBC22222222222222222222222222222"/>
        </w:placeholder>
      </w:sdtPr>
      <w:sdtContent>
        <w:p w14:paraId="2526FC0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39F006A" w14:textId="3EAA0377" w:rsidR="00577D08" w:rsidRDefault="00330FC0">
      <w:pPr>
        <w:jc w:val="right"/>
      </w:pPr>
      <w:r>
        <w:rPr>
          <w:rFonts w:hint="eastAsia"/>
        </w:rPr>
        <w:t>单位：</w:t>
      </w:r>
      <w:sdt>
        <w:sdtPr>
          <w:rPr>
            <w:rFonts w:hint="eastAsia"/>
          </w:rPr>
          <w:alias w:val="单位：财务附注：资产减值损失"/>
          <w:tag w:val="_GBC_fe85f36c54dd476ea970b9d8ae08135d"/>
          <w:id w:val="-8509498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资产减值损失"/>
          <w:tag w:val="_GBC_08596d3dbba143a8b694044119494ec6"/>
          <w:id w:val="-15071324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8"/>
        <w:gridCol w:w="2573"/>
        <w:gridCol w:w="3076"/>
      </w:tblGrid>
      <w:tr w:rsidR="00577D08" w14:paraId="68268676" w14:textId="77777777">
        <w:sdt>
          <w:sdtPr>
            <w:tag w:val="_PLD_344de032f71b4e06985c561df3bcf55a"/>
            <w:id w:val="-681587682"/>
          </w:sdtPr>
          <w:sdtContent>
            <w:tc>
              <w:tcPr>
                <w:tcW w:w="3398" w:type="dxa"/>
                <w:tcBorders>
                  <w:top w:val="single" w:sz="4" w:space="0" w:color="auto"/>
                  <w:left w:val="single" w:sz="4" w:space="0" w:color="auto"/>
                  <w:bottom w:val="single" w:sz="4" w:space="0" w:color="auto"/>
                  <w:right w:val="single" w:sz="4" w:space="0" w:color="auto"/>
                </w:tcBorders>
                <w:vAlign w:val="center"/>
              </w:tcPr>
              <w:p w14:paraId="65DFCFFA" w14:textId="77777777" w:rsidR="00577D08" w:rsidRDefault="00330FC0">
                <w:pPr>
                  <w:autoSpaceDE w:val="0"/>
                  <w:autoSpaceDN w:val="0"/>
                  <w:adjustRightInd w:val="0"/>
                  <w:jc w:val="center"/>
                </w:pPr>
                <w:r>
                  <w:rPr>
                    <w:rFonts w:hint="eastAsia"/>
                  </w:rPr>
                  <w:t>项目</w:t>
                </w:r>
              </w:p>
            </w:tc>
          </w:sdtContent>
        </w:sdt>
        <w:sdt>
          <w:sdtPr>
            <w:tag w:val="_PLD_9551307ec5c049a3aa84c3c7d3e61d92"/>
            <w:id w:val="34166663"/>
          </w:sdtPr>
          <w:sdtContent>
            <w:tc>
              <w:tcPr>
                <w:tcW w:w="2573" w:type="dxa"/>
                <w:tcBorders>
                  <w:top w:val="single" w:sz="4" w:space="0" w:color="auto"/>
                  <w:left w:val="single" w:sz="4" w:space="0" w:color="auto"/>
                  <w:bottom w:val="single" w:sz="4" w:space="0" w:color="auto"/>
                  <w:right w:val="single" w:sz="4" w:space="0" w:color="auto"/>
                </w:tcBorders>
                <w:vAlign w:val="center"/>
              </w:tcPr>
              <w:p w14:paraId="563A921F" w14:textId="77777777" w:rsidR="00577D08" w:rsidRDefault="00330FC0">
                <w:pPr>
                  <w:autoSpaceDE w:val="0"/>
                  <w:autoSpaceDN w:val="0"/>
                  <w:adjustRightInd w:val="0"/>
                  <w:jc w:val="center"/>
                </w:pPr>
                <w:r>
                  <w:rPr>
                    <w:rFonts w:hint="eastAsia"/>
                  </w:rPr>
                  <w:t>本期发生额</w:t>
                </w:r>
              </w:p>
            </w:tc>
          </w:sdtContent>
        </w:sdt>
        <w:sdt>
          <w:sdtPr>
            <w:tag w:val="_PLD_46a2a62cd1b1406f877f135b9d7e38a6"/>
            <w:id w:val="956451097"/>
          </w:sdtPr>
          <w:sdtContent>
            <w:tc>
              <w:tcPr>
                <w:tcW w:w="3076" w:type="dxa"/>
                <w:tcBorders>
                  <w:top w:val="single" w:sz="4" w:space="0" w:color="auto"/>
                  <w:left w:val="single" w:sz="4" w:space="0" w:color="auto"/>
                  <w:bottom w:val="single" w:sz="4" w:space="0" w:color="auto"/>
                  <w:right w:val="single" w:sz="4" w:space="0" w:color="auto"/>
                </w:tcBorders>
                <w:vAlign w:val="center"/>
              </w:tcPr>
              <w:p w14:paraId="2004831C" w14:textId="77777777" w:rsidR="00577D08" w:rsidRDefault="00330FC0">
                <w:pPr>
                  <w:autoSpaceDE w:val="0"/>
                  <w:autoSpaceDN w:val="0"/>
                  <w:adjustRightInd w:val="0"/>
                  <w:jc w:val="center"/>
                </w:pPr>
                <w:r>
                  <w:rPr>
                    <w:rFonts w:hint="eastAsia"/>
                  </w:rPr>
                  <w:t>上期发生额</w:t>
                </w:r>
              </w:p>
            </w:tc>
          </w:sdtContent>
        </w:sdt>
      </w:tr>
      <w:tr w:rsidR="00577D08" w14:paraId="7FF5118E" w14:textId="77777777">
        <w:tc>
          <w:tcPr>
            <w:tcW w:w="3398" w:type="dxa"/>
            <w:tcBorders>
              <w:top w:val="single" w:sz="4" w:space="0" w:color="auto"/>
              <w:left w:val="single" w:sz="4" w:space="0" w:color="auto"/>
              <w:bottom w:val="single" w:sz="4" w:space="0" w:color="auto"/>
              <w:right w:val="single" w:sz="4" w:space="0" w:color="auto"/>
            </w:tcBorders>
          </w:tcPr>
          <w:p w14:paraId="29014D09" w14:textId="77777777" w:rsidR="00577D08" w:rsidRDefault="00330FC0">
            <w:pPr>
              <w:autoSpaceDE w:val="0"/>
              <w:autoSpaceDN w:val="0"/>
              <w:adjustRightInd w:val="0"/>
            </w:pPr>
            <w:r>
              <w:rPr>
                <w:rFonts w:hint="eastAsia"/>
              </w:rPr>
              <w:t>一、合同资产减值损失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31F528E3"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252E6568" w14:textId="77777777" w:rsidR="00577D08" w:rsidRDefault="00577D08">
            <w:pPr>
              <w:jc w:val="right"/>
            </w:pPr>
          </w:p>
        </w:tc>
      </w:tr>
      <w:tr w:rsidR="00577D08" w14:paraId="3CF41A1A" w14:textId="77777777">
        <w:tc>
          <w:tcPr>
            <w:tcW w:w="3398" w:type="dxa"/>
            <w:tcBorders>
              <w:top w:val="single" w:sz="4" w:space="0" w:color="auto"/>
              <w:left w:val="single" w:sz="4" w:space="0" w:color="auto"/>
              <w:bottom w:val="single" w:sz="4" w:space="0" w:color="auto"/>
              <w:right w:val="single" w:sz="4" w:space="0" w:color="auto"/>
            </w:tcBorders>
          </w:tcPr>
          <w:p w14:paraId="77AF7F6D" w14:textId="77777777" w:rsidR="00577D08" w:rsidRDefault="00330FC0">
            <w:pPr>
              <w:autoSpaceDE w:val="0"/>
              <w:autoSpaceDN w:val="0"/>
              <w:adjustRightInd w:val="0"/>
            </w:pPr>
            <w:r>
              <w:rPr>
                <w:rFonts w:hint="eastAsia"/>
              </w:rPr>
              <w:t>二、存货跌价损失及合同履约成本减值损失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22B868C4" w14:textId="77777777" w:rsidR="00577D08" w:rsidRDefault="00330FC0">
            <w:pPr>
              <w:jc w:val="right"/>
            </w:pPr>
            <w:r>
              <w:t>-18,859,404.72</w:t>
            </w:r>
          </w:p>
        </w:tc>
        <w:tc>
          <w:tcPr>
            <w:tcW w:w="3076" w:type="dxa"/>
            <w:tcBorders>
              <w:top w:val="single" w:sz="4" w:space="0" w:color="auto"/>
              <w:left w:val="single" w:sz="4" w:space="0" w:color="auto"/>
              <w:bottom w:val="single" w:sz="4" w:space="0" w:color="auto"/>
              <w:right w:val="single" w:sz="4" w:space="0" w:color="auto"/>
            </w:tcBorders>
            <w:vAlign w:val="center"/>
          </w:tcPr>
          <w:p w14:paraId="1797FDE6" w14:textId="77777777" w:rsidR="00577D08" w:rsidRDefault="00330FC0">
            <w:pPr>
              <w:jc w:val="right"/>
            </w:pPr>
            <w:r>
              <w:t>-11,811,914.19</w:t>
            </w:r>
          </w:p>
        </w:tc>
      </w:tr>
      <w:tr w:rsidR="00577D08" w14:paraId="7591C5DB" w14:textId="77777777">
        <w:tc>
          <w:tcPr>
            <w:tcW w:w="3398" w:type="dxa"/>
            <w:tcBorders>
              <w:top w:val="single" w:sz="4" w:space="0" w:color="auto"/>
              <w:left w:val="single" w:sz="4" w:space="0" w:color="auto"/>
              <w:bottom w:val="single" w:sz="4" w:space="0" w:color="auto"/>
              <w:right w:val="single" w:sz="4" w:space="0" w:color="auto"/>
            </w:tcBorders>
          </w:tcPr>
          <w:p w14:paraId="7B9A1E19" w14:textId="77777777" w:rsidR="00577D08" w:rsidRDefault="00330FC0">
            <w:pPr>
              <w:autoSpaceDE w:val="0"/>
              <w:autoSpaceDN w:val="0"/>
              <w:adjustRightInd w:val="0"/>
            </w:pPr>
            <w:r>
              <w:rPr>
                <w:rFonts w:hint="eastAsia"/>
              </w:rPr>
              <w:t>三、长期股权投资减值损失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6281B04C" w14:textId="77777777" w:rsidR="00577D08" w:rsidRDefault="00577D08">
            <w:pPr>
              <w:autoSpaceDE w:val="0"/>
              <w:autoSpaceDN w:val="0"/>
              <w:adjustRightInd w:val="0"/>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24554055" w14:textId="77777777" w:rsidR="00577D08" w:rsidRDefault="00577D08">
            <w:pPr>
              <w:autoSpaceDE w:val="0"/>
              <w:autoSpaceDN w:val="0"/>
              <w:adjustRightInd w:val="0"/>
              <w:jc w:val="right"/>
            </w:pPr>
          </w:p>
        </w:tc>
      </w:tr>
      <w:tr w:rsidR="00577D08" w14:paraId="57B4A2A7" w14:textId="77777777">
        <w:tc>
          <w:tcPr>
            <w:tcW w:w="3398" w:type="dxa"/>
            <w:tcBorders>
              <w:top w:val="single" w:sz="4" w:space="0" w:color="auto"/>
              <w:left w:val="single" w:sz="4" w:space="0" w:color="auto"/>
              <w:bottom w:val="single" w:sz="4" w:space="0" w:color="auto"/>
              <w:right w:val="single" w:sz="4" w:space="0" w:color="auto"/>
            </w:tcBorders>
          </w:tcPr>
          <w:p w14:paraId="74605F9C" w14:textId="77777777" w:rsidR="00577D08" w:rsidRDefault="00330FC0">
            <w:pPr>
              <w:autoSpaceDE w:val="0"/>
              <w:autoSpaceDN w:val="0"/>
              <w:adjustRightInd w:val="0"/>
            </w:pPr>
            <w:r>
              <w:rPr>
                <w:rFonts w:hint="eastAsia"/>
              </w:rPr>
              <w:t>四、投资性房地产减值损失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3040EA05"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455E8F84" w14:textId="77777777" w:rsidR="00577D08" w:rsidRDefault="00577D08">
            <w:pPr>
              <w:jc w:val="right"/>
            </w:pPr>
          </w:p>
        </w:tc>
      </w:tr>
      <w:tr w:rsidR="00577D08" w14:paraId="33BB18B2" w14:textId="77777777">
        <w:tc>
          <w:tcPr>
            <w:tcW w:w="3398" w:type="dxa"/>
            <w:tcBorders>
              <w:top w:val="single" w:sz="4" w:space="0" w:color="auto"/>
              <w:left w:val="single" w:sz="4" w:space="0" w:color="auto"/>
              <w:bottom w:val="single" w:sz="4" w:space="0" w:color="auto"/>
              <w:right w:val="single" w:sz="4" w:space="0" w:color="auto"/>
            </w:tcBorders>
          </w:tcPr>
          <w:p w14:paraId="47D0C97E" w14:textId="77777777" w:rsidR="00577D08" w:rsidRDefault="00330FC0">
            <w:pPr>
              <w:autoSpaceDE w:val="0"/>
              <w:autoSpaceDN w:val="0"/>
              <w:adjustRightInd w:val="0"/>
            </w:pPr>
            <w:r>
              <w:rPr>
                <w:rFonts w:hint="eastAsia"/>
              </w:rPr>
              <w:t>五、固定资产减值损失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2FCEC509"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2A69B114" w14:textId="77777777" w:rsidR="00577D08" w:rsidRDefault="00577D08">
            <w:pPr>
              <w:jc w:val="right"/>
            </w:pPr>
          </w:p>
        </w:tc>
      </w:tr>
      <w:tr w:rsidR="00577D08" w14:paraId="5EDCB0C4" w14:textId="77777777">
        <w:tc>
          <w:tcPr>
            <w:tcW w:w="3398" w:type="dxa"/>
            <w:tcBorders>
              <w:top w:val="single" w:sz="4" w:space="0" w:color="auto"/>
              <w:left w:val="single" w:sz="4" w:space="0" w:color="auto"/>
              <w:bottom w:val="single" w:sz="4" w:space="0" w:color="auto"/>
              <w:right w:val="single" w:sz="4" w:space="0" w:color="auto"/>
            </w:tcBorders>
          </w:tcPr>
          <w:p w14:paraId="2BAF22A2" w14:textId="77777777" w:rsidR="00577D08" w:rsidRDefault="00330FC0">
            <w:pPr>
              <w:autoSpaceDE w:val="0"/>
              <w:autoSpaceDN w:val="0"/>
              <w:adjustRightInd w:val="0"/>
            </w:pPr>
            <w:r>
              <w:rPr>
                <w:rFonts w:hint="eastAsia"/>
              </w:rPr>
              <w:t>六、工程物资减值损失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78D05CA4"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6C7EFDD4" w14:textId="77777777" w:rsidR="00577D08" w:rsidRDefault="00577D08">
            <w:pPr>
              <w:jc w:val="right"/>
            </w:pPr>
          </w:p>
        </w:tc>
      </w:tr>
      <w:tr w:rsidR="00577D08" w14:paraId="643FFD3D" w14:textId="77777777">
        <w:tc>
          <w:tcPr>
            <w:tcW w:w="3398" w:type="dxa"/>
            <w:tcBorders>
              <w:top w:val="single" w:sz="4" w:space="0" w:color="auto"/>
              <w:left w:val="single" w:sz="4" w:space="0" w:color="auto"/>
              <w:bottom w:val="single" w:sz="4" w:space="0" w:color="auto"/>
              <w:right w:val="single" w:sz="4" w:space="0" w:color="auto"/>
            </w:tcBorders>
          </w:tcPr>
          <w:p w14:paraId="537627B1" w14:textId="77777777" w:rsidR="00577D08" w:rsidRDefault="00330FC0">
            <w:pPr>
              <w:autoSpaceDE w:val="0"/>
              <w:autoSpaceDN w:val="0"/>
              <w:adjustRightInd w:val="0"/>
            </w:pPr>
            <w:r>
              <w:rPr>
                <w:rFonts w:hint="eastAsia"/>
              </w:rPr>
              <w:t>七、在建工程减值损失</w:t>
            </w:r>
          </w:p>
        </w:tc>
        <w:tc>
          <w:tcPr>
            <w:tcW w:w="2573" w:type="dxa"/>
            <w:tcBorders>
              <w:top w:val="single" w:sz="4" w:space="0" w:color="auto"/>
              <w:left w:val="single" w:sz="4" w:space="0" w:color="auto"/>
              <w:bottom w:val="single" w:sz="4" w:space="0" w:color="auto"/>
              <w:right w:val="single" w:sz="4" w:space="0" w:color="auto"/>
            </w:tcBorders>
          </w:tcPr>
          <w:p w14:paraId="76DD9EFE" w14:textId="77777777" w:rsidR="00577D08" w:rsidRDefault="00330FC0">
            <w:pPr>
              <w:jc w:val="right"/>
            </w:pPr>
            <w:r>
              <w:t>-717,787.61</w:t>
            </w:r>
          </w:p>
        </w:tc>
        <w:tc>
          <w:tcPr>
            <w:tcW w:w="3076" w:type="dxa"/>
            <w:tcBorders>
              <w:top w:val="single" w:sz="4" w:space="0" w:color="auto"/>
              <w:left w:val="single" w:sz="4" w:space="0" w:color="auto"/>
              <w:bottom w:val="single" w:sz="4" w:space="0" w:color="auto"/>
              <w:right w:val="single" w:sz="4" w:space="0" w:color="auto"/>
            </w:tcBorders>
          </w:tcPr>
          <w:p w14:paraId="2F29737B" w14:textId="77777777" w:rsidR="00577D08" w:rsidRDefault="00330FC0">
            <w:pPr>
              <w:jc w:val="right"/>
            </w:pPr>
            <w:r>
              <w:t>-1,442,682.30</w:t>
            </w:r>
          </w:p>
        </w:tc>
      </w:tr>
      <w:tr w:rsidR="00577D08" w14:paraId="31529F10" w14:textId="77777777">
        <w:tc>
          <w:tcPr>
            <w:tcW w:w="3398" w:type="dxa"/>
            <w:tcBorders>
              <w:top w:val="single" w:sz="4" w:space="0" w:color="auto"/>
              <w:left w:val="single" w:sz="4" w:space="0" w:color="auto"/>
              <w:bottom w:val="single" w:sz="4" w:space="0" w:color="auto"/>
              <w:right w:val="single" w:sz="4" w:space="0" w:color="auto"/>
            </w:tcBorders>
          </w:tcPr>
          <w:p w14:paraId="05E2F8E9" w14:textId="77777777" w:rsidR="00577D08" w:rsidRDefault="00330FC0">
            <w:pPr>
              <w:autoSpaceDE w:val="0"/>
              <w:autoSpaceDN w:val="0"/>
              <w:adjustRightInd w:val="0"/>
            </w:pPr>
            <w:r>
              <w:rPr>
                <w:rFonts w:hint="eastAsia"/>
              </w:rPr>
              <w:t>八、生产性生物资产减值损失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6F73BDC3"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4643C7BE" w14:textId="77777777" w:rsidR="00577D08" w:rsidRDefault="00577D08">
            <w:pPr>
              <w:jc w:val="right"/>
            </w:pPr>
          </w:p>
        </w:tc>
      </w:tr>
      <w:tr w:rsidR="00577D08" w14:paraId="6E789106" w14:textId="77777777">
        <w:tc>
          <w:tcPr>
            <w:tcW w:w="3398" w:type="dxa"/>
            <w:tcBorders>
              <w:top w:val="single" w:sz="4" w:space="0" w:color="auto"/>
              <w:left w:val="single" w:sz="4" w:space="0" w:color="auto"/>
              <w:bottom w:val="single" w:sz="4" w:space="0" w:color="auto"/>
              <w:right w:val="single" w:sz="4" w:space="0" w:color="auto"/>
            </w:tcBorders>
          </w:tcPr>
          <w:p w14:paraId="49ACF6E3" w14:textId="77777777" w:rsidR="00577D08" w:rsidRDefault="00330FC0">
            <w:pPr>
              <w:autoSpaceDE w:val="0"/>
              <w:autoSpaceDN w:val="0"/>
              <w:adjustRightInd w:val="0"/>
            </w:pPr>
            <w:r>
              <w:rPr>
                <w:rFonts w:hint="eastAsia"/>
              </w:rPr>
              <w:t>九、油气资产减值损失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0B8846A6"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060AFC2A" w14:textId="77777777" w:rsidR="00577D08" w:rsidRDefault="00577D08">
            <w:pPr>
              <w:jc w:val="right"/>
            </w:pPr>
          </w:p>
        </w:tc>
      </w:tr>
      <w:tr w:rsidR="00577D08" w14:paraId="2F62B51C" w14:textId="77777777">
        <w:tc>
          <w:tcPr>
            <w:tcW w:w="3398" w:type="dxa"/>
            <w:tcBorders>
              <w:top w:val="single" w:sz="4" w:space="0" w:color="auto"/>
              <w:left w:val="single" w:sz="4" w:space="0" w:color="auto"/>
              <w:bottom w:val="single" w:sz="4" w:space="0" w:color="auto"/>
              <w:right w:val="single" w:sz="4" w:space="0" w:color="auto"/>
            </w:tcBorders>
          </w:tcPr>
          <w:p w14:paraId="2260951C" w14:textId="77777777" w:rsidR="00577D08" w:rsidRDefault="00330FC0">
            <w:pPr>
              <w:autoSpaceDE w:val="0"/>
              <w:autoSpaceDN w:val="0"/>
              <w:adjustRightInd w:val="0"/>
            </w:pPr>
            <w:r>
              <w:rPr>
                <w:rFonts w:hint="eastAsia"/>
              </w:rPr>
              <w:t>十、无形资产减值损失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6E450572"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68EEE20B" w14:textId="77777777" w:rsidR="00577D08" w:rsidRDefault="00577D08">
            <w:pPr>
              <w:jc w:val="right"/>
            </w:pPr>
          </w:p>
        </w:tc>
      </w:tr>
      <w:tr w:rsidR="00577D08" w14:paraId="1E2E1A99" w14:textId="77777777">
        <w:tc>
          <w:tcPr>
            <w:tcW w:w="3398" w:type="dxa"/>
            <w:tcBorders>
              <w:top w:val="single" w:sz="4" w:space="0" w:color="auto"/>
              <w:left w:val="single" w:sz="4" w:space="0" w:color="auto"/>
              <w:bottom w:val="single" w:sz="4" w:space="0" w:color="auto"/>
              <w:right w:val="single" w:sz="4" w:space="0" w:color="auto"/>
            </w:tcBorders>
          </w:tcPr>
          <w:p w14:paraId="78CAC956" w14:textId="77777777" w:rsidR="00577D08" w:rsidRDefault="00330FC0">
            <w:pPr>
              <w:autoSpaceDE w:val="0"/>
              <w:autoSpaceDN w:val="0"/>
              <w:adjustRightInd w:val="0"/>
            </w:pPr>
            <w:r>
              <w:rPr>
                <w:rFonts w:hint="eastAsia"/>
              </w:rPr>
              <w:t>十一、商誉减值损失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169AE41A"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4F2D76A9" w14:textId="77777777" w:rsidR="00577D08" w:rsidRDefault="00577D08">
            <w:pPr>
              <w:jc w:val="right"/>
            </w:pPr>
          </w:p>
        </w:tc>
      </w:tr>
      <w:tr w:rsidR="00577D08" w14:paraId="3EBD1554" w14:textId="77777777">
        <w:tc>
          <w:tcPr>
            <w:tcW w:w="3398" w:type="dxa"/>
            <w:tcBorders>
              <w:top w:val="single" w:sz="4" w:space="0" w:color="auto"/>
              <w:left w:val="single" w:sz="4" w:space="0" w:color="auto"/>
              <w:bottom w:val="single" w:sz="4" w:space="0" w:color="auto"/>
              <w:right w:val="single" w:sz="4" w:space="0" w:color="auto"/>
            </w:tcBorders>
          </w:tcPr>
          <w:p w14:paraId="69BF13F4" w14:textId="77777777" w:rsidR="00577D08" w:rsidRDefault="00330FC0">
            <w:pPr>
              <w:autoSpaceDE w:val="0"/>
              <w:autoSpaceDN w:val="0"/>
              <w:adjustRightInd w:val="0"/>
            </w:pPr>
            <w:r>
              <w:rPr>
                <w:rFonts w:hint="eastAsia"/>
              </w:rPr>
              <w:t>十二、其他</w:t>
            </w:r>
          </w:p>
        </w:tc>
        <w:tc>
          <w:tcPr>
            <w:tcW w:w="2573" w:type="dxa"/>
            <w:tcBorders>
              <w:top w:val="single" w:sz="4" w:space="0" w:color="auto"/>
              <w:left w:val="single" w:sz="4" w:space="0" w:color="auto"/>
              <w:bottom w:val="single" w:sz="4" w:space="0" w:color="auto"/>
              <w:right w:val="single" w:sz="4" w:space="0" w:color="auto"/>
            </w:tcBorders>
            <w:vAlign w:val="center"/>
          </w:tcPr>
          <w:p w14:paraId="626D7691" w14:textId="77777777" w:rsidR="00577D08" w:rsidRDefault="00577D08">
            <w:pPr>
              <w:jc w:val="right"/>
            </w:pPr>
          </w:p>
        </w:tc>
        <w:tc>
          <w:tcPr>
            <w:tcW w:w="3076" w:type="dxa"/>
            <w:tcBorders>
              <w:top w:val="single" w:sz="4" w:space="0" w:color="auto"/>
              <w:left w:val="single" w:sz="4" w:space="0" w:color="auto"/>
              <w:bottom w:val="single" w:sz="4" w:space="0" w:color="auto"/>
              <w:right w:val="single" w:sz="4" w:space="0" w:color="auto"/>
            </w:tcBorders>
            <w:vAlign w:val="center"/>
          </w:tcPr>
          <w:p w14:paraId="1C6A8D57" w14:textId="77777777" w:rsidR="00577D08" w:rsidRDefault="00577D08">
            <w:pPr>
              <w:jc w:val="right"/>
            </w:pPr>
          </w:p>
        </w:tc>
      </w:tr>
      <w:tr w:rsidR="00577D08" w14:paraId="70C03974" w14:textId="77777777">
        <w:tc>
          <w:tcPr>
            <w:tcW w:w="3398" w:type="dxa"/>
            <w:tcBorders>
              <w:top w:val="single" w:sz="4" w:space="0" w:color="auto"/>
              <w:left w:val="single" w:sz="4" w:space="0" w:color="auto"/>
              <w:bottom w:val="single" w:sz="4" w:space="0" w:color="auto"/>
              <w:right w:val="single" w:sz="4" w:space="0" w:color="auto"/>
            </w:tcBorders>
            <w:vAlign w:val="center"/>
          </w:tcPr>
          <w:p w14:paraId="76E7FF5E" w14:textId="77777777" w:rsidR="00577D08" w:rsidRDefault="00330FC0">
            <w:pPr>
              <w:autoSpaceDE w:val="0"/>
              <w:autoSpaceDN w:val="0"/>
              <w:adjustRightInd w:val="0"/>
              <w:jc w:val="center"/>
            </w:pPr>
            <w:r>
              <w:rPr>
                <w:rFonts w:hint="eastAsia"/>
              </w:rPr>
              <w:t>合计</w:t>
            </w:r>
          </w:p>
        </w:tc>
        <w:tc>
          <w:tcPr>
            <w:tcW w:w="2573" w:type="dxa"/>
            <w:tcBorders>
              <w:top w:val="single" w:sz="4" w:space="0" w:color="auto"/>
              <w:left w:val="single" w:sz="4" w:space="0" w:color="auto"/>
              <w:bottom w:val="single" w:sz="4" w:space="0" w:color="auto"/>
              <w:right w:val="single" w:sz="4" w:space="0" w:color="auto"/>
            </w:tcBorders>
          </w:tcPr>
          <w:p w14:paraId="3D3CC0C5" w14:textId="77777777" w:rsidR="00577D08" w:rsidRDefault="00330FC0">
            <w:pPr>
              <w:jc w:val="right"/>
            </w:pPr>
            <w:r>
              <w:t>-19,577,192.33</w:t>
            </w:r>
          </w:p>
        </w:tc>
        <w:tc>
          <w:tcPr>
            <w:tcW w:w="3076" w:type="dxa"/>
            <w:tcBorders>
              <w:top w:val="single" w:sz="4" w:space="0" w:color="auto"/>
              <w:left w:val="single" w:sz="4" w:space="0" w:color="auto"/>
              <w:bottom w:val="single" w:sz="4" w:space="0" w:color="auto"/>
              <w:right w:val="single" w:sz="4" w:space="0" w:color="auto"/>
            </w:tcBorders>
          </w:tcPr>
          <w:p w14:paraId="5EBC16B6" w14:textId="77777777" w:rsidR="00577D08" w:rsidRDefault="00330FC0">
            <w:pPr>
              <w:jc w:val="right"/>
            </w:pPr>
            <w:r>
              <w:t>-13,254,596.49</w:t>
            </w:r>
          </w:p>
        </w:tc>
      </w:tr>
    </w:tbl>
    <w:p w14:paraId="19690237" w14:textId="77777777" w:rsidR="00577D08" w:rsidRDefault="00330FC0">
      <w:pPr>
        <w:spacing w:before="60" w:after="60"/>
      </w:pPr>
      <w:r>
        <w:rPr>
          <w:rFonts w:hint="eastAsia"/>
        </w:rPr>
        <w:t>其他说明：</w:t>
      </w:r>
    </w:p>
    <w:sdt>
      <w:sdtPr>
        <w:alias w:val="资产减值损失的说明"/>
        <w:tag w:val="_GBC_1e9b73a63ce74456883b0a5fd2597461"/>
        <w:id w:val="-1612887939"/>
        <w:placeholder>
          <w:docPart w:val="GBC22222222222222222222222222222"/>
        </w:placeholder>
      </w:sdtPr>
      <w:sdtContent>
        <w:p w14:paraId="6C86C12F" w14:textId="77777777" w:rsidR="00577D08" w:rsidRDefault="00330FC0">
          <w:r>
            <w:rPr>
              <w:rFonts w:hint="eastAsia"/>
            </w:rPr>
            <w:t>无</w:t>
          </w:r>
        </w:p>
      </w:sdtContent>
    </w:sdt>
    <w:p w14:paraId="08AE13AD" w14:textId="77777777" w:rsidR="00577D08" w:rsidRDefault="00330FC0">
      <w:pPr>
        <w:pStyle w:val="3"/>
        <w:numPr>
          <w:ilvl w:val="0"/>
          <w:numId w:val="61"/>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1194343794"/>
        <w:lock w:val="contentLocked"/>
        <w:placeholder>
          <w:docPart w:val="GBC22222222222222222222222222222"/>
        </w:placeholder>
      </w:sdtPr>
      <w:sdtContent>
        <w:p w14:paraId="19358108" w14:textId="77777777" w:rsidR="00577D08" w:rsidRDefault="00330FC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34A3D7B0" w14:textId="5E0FFB51" w:rsidR="00577D08" w:rsidRDefault="00330FC0">
      <w:pPr>
        <w:pStyle w:val="aff9"/>
        <w:ind w:left="420" w:firstLineChars="0" w:firstLine="0"/>
        <w:jc w:val="right"/>
        <w:rPr>
          <w:bCs/>
        </w:rPr>
      </w:pPr>
      <w:r>
        <w:rPr>
          <w:bCs/>
        </w:rPr>
        <w:t>单位：</w:t>
      </w:r>
      <w:sdt>
        <w:sdtPr>
          <w:rPr>
            <w:bCs/>
          </w:rPr>
          <w:alias w:val="单位：资产处置收益明细"/>
          <w:tag w:val="_GBC_7ec9558ba3654efb8bffe62787e178bb"/>
          <w:id w:val="-20686493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r w:rsidR="00CC5C32">
            <w:rPr>
              <w:rFonts w:hint="eastAsia"/>
              <w:bCs/>
            </w:rPr>
            <w:t xml:space="preserve"> </w:t>
          </w:r>
        </w:sdtContent>
      </w:sdt>
      <w:r>
        <w:rPr>
          <w:bCs/>
        </w:rPr>
        <w:t>币种：</w:t>
      </w:r>
      <w:sdt>
        <w:sdtPr>
          <w:rPr>
            <w:bCs/>
          </w:rPr>
          <w:alias w:val="币种：资产处置收益明细"/>
          <w:tag w:val="_GBC_6a67bd424d2842be9fe48ecebd5d6f35"/>
          <w:id w:val="-3406959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77D08" w14:paraId="4F273CC7" w14:textId="77777777">
        <w:sdt>
          <w:sdtPr>
            <w:tag w:val="_PLD_6aa248f59d784f95a8d1e935bd71e05e"/>
            <w:id w:val="-973289205"/>
          </w:sdtPr>
          <w:sdtContent>
            <w:tc>
              <w:tcPr>
                <w:tcW w:w="3015" w:type="dxa"/>
                <w:vAlign w:val="center"/>
              </w:tcPr>
              <w:p w14:paraId="0C96553B" w14:textId="77777777" w:rsidR="00577D08" w:rsidRDefault="00330FC0">
                <w:pPr>
                  <w:widowControl w:val="0"/>
                  <w:jc w:val="center"/>
                </w:pPr>
                <w:r>
                  <w:rPr>
                    <w:rFonts w:hint="eastAsia"/>
                  </w:rPr>
                  <w:t>项目</w:t>
                </w:r>
              </w:p>
            </w:tc>
          </w:sdtContent>
        </w:sdt>
        <w:sdt>
          <w:sdtPr>
            <w:tag w:val="_PLD_130aaf0b75144f7d943c5d780cfc1b6b"/>
            <w:id w:val="540634315"/>
          </w:sdtPr>
          <w:sdtContent>
            <w:tc>
              <w:tcPr>
                <w:tcW w:w="3016" w:type="dxa"/>
                <w:vAlign w:val="center"/>
              </w:tcPr>
              <w:p w14:paraId="7E50672F" w14:textId="77777777" w:rsidR="00577D08" w:rsidRDefault="00330FC0">
                <w:pPr>
                  <w:widowControl w:val="0"/>
                  <w:jc w:val="center"/>
                </w:pPr>
                <w:r>
                  <w:rPr>
                    <w:rFonts w:hint="eastAsia"/>
                  </w:rPr>
                  <w:t>本期发生额</w:t>
                </w:r>
              </w:p>
            </w:tc>
          </w:sdtContent>
        </w:sdt>
        <w:sdt>
          <w:sdtPr>
            <w:tag w:val="_PLD_482f220f08ce46dc8e769190f957eec7"/>
            <w:id w:val="136316248"/>
          </w:sdtPr>
          <w:sdtContent>
            <w:tc>
              <w:tcPr>
                <w:tcW w:w="3016" w:type="dxa"/>
                <w:vAlign w:val="center"/>
              </w:tcPr>
              <w:p w14:paraId="6D938376" w14:textId="77777777" w:rsidR="00577D08" w:rsidRDefault="00330FC0">
                <w:pPr>
                  <w:widowControl w:val="0"/>
                  <w:jc w:val="center"/>
                </w:pPr>
                <w:r>
                  <w:rPr>
                    <w:rFonts w:hint="eastAsia"/>
                  </w:rPr>
                  <w:t>上期发生额</w:t>
                </w:r>
              </w:p>
            </w:tc>
          </w:sdtContent>
        </w:sdt>
      </w:tr>
      <w:tr w:rsidR="00577D08" w14:paraId="5539BFD7" w14:textId="77777777">
        <w:tc>
          <w:tcPr>
            <w:tcW w:w="3015" w:type="dxa"/>
            <w:vAlign w:val="center"/>
          </w:tcPr>
          <w:p w14:paraId="2F538253" w14:textId="77777777" w:rsidR="00577D08" w:rsidRDefault="00330FC0">
            <w:pPr>
              <w:widowControl w:val="0"/>
            </w:pPr>
            <w:r>
              <w:rPr>
                <w:rFonts w:hint="eastAsia"/>
              </w:rPr>
              <w:t>固定资产处置收益</w:t>
            </w:r>
          </w:p>
        </w:tc>
        <w:tc>
          <w:tcPr>
            <w:tcW w:w="3016" w:type="dxa"/>
          </w:tcPr>
          <w:p w14:paraId="31BB7070" w14:textId="77777777" w:rsidR="00577D08" w:rsidRDefault="00330FC0">
            <w:pPr>
              <w:widowControl w:val="0"/>
              <w:jc w:val="right"/>
            </w:pPr>
            <w:r>
              <w:t>46,466.81</w:t>
            </w:r>
          </w:p>
        </w:tc>
        <w:tc>
          <w:tcPr>
            <w:tcW w:w="3016" w:type="dxa"/>
          </w:tcPr>
          <w:p w14:paraId="7ED53AB2" w14:textId="77777777" w:rsidR="00577D08" w:rsidRDefault="00330FC0">
            <w:pPr>
              <w:widowControl w:val="0"/>
              <w:jc w:val="right"/>
            </w:pPr>
            <w:r>
              <w:t>555,200.04</w:t>
            </w:r>
          </w:p>
        </w:tc>
      </w:tr>
      <w:tr w:rsidR="00577D08" w14:paraId="612F63BC" w14:textId="77777777">
        <w:tc>
          <w:tcPr>
            <w:tcW w:w="3015" w:type="dxa"/>
            <w:vAlign w:val="center"/>
          </w:tcPr>
          <w:p w14:paraId="23817AA4" w14:textId="77777777" w:rsidR="00577D08" w:rsidRDefault="00330FC0">
            <w:pPr>
              <w:widowControl w:val="0"/>
              <w:jc w:val="center"/>
            </w:pPr>
            <w:r>
              <w:rPr>
                <w:rFonts w:hint="eastAsia"/>
              </w:rPr>
              <w:t>合计</w:t>
            </w:r>
          </w:p>
        </w:tc>
        <w:tc>
          <w:tcPr>
            <w:tcW w:w="3016" w:type="dxa"/>
          </w:tcPr>
          <w:p w14:paraId="394AAFC2" w14:textId="77777777" w:rsidR="00577D08" w:rsidRDefault="00330FC0">
            <w:pPr>
              <w:widowControl w:val="0"/>
              <w:jc w:val="right"/>
            </w:pPr>
            <w:r>
              <w:t>46,466.81</w:t>
            </w:r>
          </w:p>
        </w:tc>
        <w:tc>
          <w:tcPr>
            <w:tcW w:w="3016" w:type="dxa"/>
          </w:tcPr>
          <w:p w14:paraId="01457894" w14:textId="77777777" w:rsidR="00577D08" w:rsidRDefault="00330FC0">
            <w:pPr>
              <w:widowControl w:val="0"/>
              <w:jc w:val="right"/>
            </w:pPr>
            <w:r>
              <w:t>555,200.04</w:t>
            </w:r>
          </w:p>
        </w:tc>
      </w:tr>
    </w:tbl>
    <w:p w14:paraId="7212164F" w14:textId="77777777" w:rsidR="00577D08" w:rsidRDefault="00330FC0">
      <w:r>
        <w:rPr>
          <w:rFonts w:hint="eastAsia"/>
        </w:rPr>
        <w:lastRenderedPageBreak/>
        <w:t>其他说明：</w:t>
      </w:r>
    </w:p>
    <w:sdt>
      <w:sdtPr>
        <w:alias w:val="资产处置收益其他说明"/>
        <w:tag w:val="_GBC_a5d14cbbaa9b4b96b1c008693dadc2d6"/>
        <w:id w:val="1268812936"/>
        <w:placeholder>
          <w:docPart w:val="GBC22222222222222222222222222222"/>
        </w:placeholder>
      </w:sdtPr>
      <w:sdtContent>
        <w:p w14:paraId="3AEED966" w14:textId="77777777" w:rsidR="00577D08" w:rsidRDefault="00330FC0">
          <w:r>
            <w:rPr>
              <w:rFonts w:hint="eastAsia"/>
            </w:rPr>
            <w:t>无</w:t>
          </w:r>
        </w:p>
      </w:sdtContent>
    </w:sdt>
    <w:p w14:paraId="7816EBE7"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营业外收入</w:t>
      </w:r>
    </w:p>
    <w:p w14:paraId="2264F28F" w14:textId="77777777" w:rsidR="00577D08" w:rsidRDefault="00330FC0">
      <w:r>
        <w:rPr>
          <w:rFonts w:hint="eastAsia"/>
        </w:rPr>
        <w:t>营业外收入情况</w:t>
      </w:r>
    </w:p>
    <w:sdt>
      <w:sdtPr>
        <w:rPr>
          <w:rFonts w:hint="eastAsia"/>
        </w:rPr>
        <w:alias w:val="是否适用：营业外收入情况 [双击切换]"/>
        <w:tag w:val="_GBC_4aec8b65d0e744aaaddac8859ae249bc"/>
        <w:id w:val="-1572031907"/>
        <w:placeholder>
          <w:docPart w:val="GBC22222222222222222222222222222"/>
        </w:placeholder>
      </w:sdtPr>
      <w:sdtContent>
        <w:p w14:paraId="15BA1252"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E5D9A60" w14:textId="5517C259" w:rsidR="00577D08" w:rsidRDefault="00330FC0">
      <w:pPr>
        <w:jc w:val="right"/>
      </w:pPr>
      <w:r>
        <w:rPr>
          <w:rFonts w:hint="eastAsia"/>
        </w:rPr>
        <w:t>单位：</w:t>
      </w:r>
      <w:sdt>
        <w:sdtPr>
          <w:rPr>
            <w:rFonts w:hint="eastAsia"/>
          </w:rPr>
          <w:alias w:val="单位：财务附注：营业外收入"/>
          <w:tag w:val="_GBC_79d3fe1c29e746e7b2a9a9acfcc43449"/>
          <w:id w:val="2771544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营业外收入"/>
          <w:tag w:val="_GBC_4266913812da4517aa68b2f8bff79fbe"/>
          <w:id w:val="-3444777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1369"/>
        <w:gridCol w:w="1539"/>
        <w:gridCol w:w="3185"/>
      </w:tblGrid>
      <w:tr w:rsidR="00577D08" w14:paraId="7B5CC43F" w14:textId="77777777">
        <w:sdt>
          <w:sdtPr>
            <w:tag w:val="_PLD_1b52b1902e1443609ba6891d7076aebe"/>
            <w:id w:val="1363012100"/>
          </w:sdtPr>
          <w:sdtContent>
            <w:tc>
              <w:tcPr>
                <w:tcW w:w="1547" w:type="pct"/>
                <w:tcBorders>
                  <w:top w:val="single" w:sz="4" w:space="0" w:color="auto"/>
                  <w:left w:val="single" w:sz="4" w:space="0" w:color="auto"/>
                  <w:bottom w:val="single" w:sz="4" w:space="0" w:color="auto"/>
                  <w:right w:val="single" w:sz="4" w:space="0" w:color="auto"/>
                </w:tcBorders>
                <w:vAlign w:val="center"/>
              </w:tcPr>
              <w:p w14:paraId="07F80C67" w14:textId="77777777" w:rsidR="00577D08" w:rsidRDefault="00330FC0">
                <w:pPr>
                  <w:autoSpaceDE w:val="0"/>
                  <w:autoSpaceDN w:val="0"/>
                  <w:adjustRightInd w:val="0"/>
                  <w:jc w:val="center"/>
                </w:pPr>
                <w:r>
                  <w:rPr>
                    <w:rFonts w:hint="eastAsia"/>
                  </w:rPr>
                  <w:t>项目</w:t>
                </w:r>
              </w:p>
            </w:tc>
          </w:sdtContent>
        </w:sdt>
        <w:sdt>
          <w:sdtPr>
            <w:tag w:val="_PLD_9dc87bd465124a2289f545f76d28c96c"/>
            <w:id w:val="251947538"/>
          </w:sdtPr>
          <w:sdtContent>
            <w:tc>
              <w:tcPr>
                <w:tcW w:w="776" w:type="pct"/>
                <w:tcBorders>
                  <w:top w:val="single" w:sz="4" w:space="0" w:color="auto"/>
                  <w:left w:val="single" w:sz="4" w:space="0" w:color="auto"/>
                  <w:bottom w:val="single" w:sz="4" w:space="0" w:color="auto"/>
                  <w:right w:val="single" w:sz="4" w:space="0" w:color="auto"/>
                </w:tcBorders>
                <w:vAlign w:val="center"/>
              </w:tcPr>
              <w:p w14:paraId="52006F62" w14:textId="77777777" w:rsidR="00577D08" w:rsidRDefault="00330FC0">
                <w:pPr>
                  <w:autoSpaceDE w:val="0"/>
                  <w:autoSpaceDN w:val="0"/>
                  <w:adjustRightInd w:val="0"/>
                  <w:jc w:val="center"/>
                </w:pPr>
                <w:r>
                  <w:rPr>
                    <w:rFonts w:hint="eastAsia"/>
                  </w:rPr>
                  <w:t>本期发生额</w:t>
                </w:r>
              </w:p>
            </w:tc>
          </w:sdtContent>
        </w:sdt>
        <w:sdt>
          <w:sdtPr>
            <w:tag w:val="_PLD_e1b91f5db91a439083c1f9a1b7d17ef9"/>
            <w:id w:val="-2095157078"/>
          </w:sdtPr>
          <w:sdtContent>
            <w:tc>
              <w:tcPr>
                <w:tcW w:w="872" w:type="pct"/>
                <w:tcBorders>
                  <w:top w:val="single" w:sz="4" w:space="0" w:color="auto"/>
                  <w:left w:val="single" w:sz="4" w:space="0" w:color="auto"/>
                  <w:bottom w:val="single" w:sz="4" w:space="0" w:color="auto"/>
                  <w:right w:val="single" w:sz="4" w:space="0" w:color="auto"/>
                </w:tcBorders>
                <w:vAlign w:val="center"/>
              </w:tcPr>
              <w:p w14:paraId="75BDE3A1" w14:textId="77777777" w:rsidR="00577D08" w:rsidRDefault="00330FC0">
                <w:pPr>
                  <w:autoSpaceDE w:val="0"/>
                  <w:autoSpaceDN w:val="0"/>
                  <w:adjustRightInd w:val="0"/>
                  <w:jc w:val="center"/>
                </w:pPr>
                <w:r>
                  <w:rPr>
                    <w:rFonts w:hint="eastAsia"/>
                  </w:rPr>
                  <w:t>上期发生额</w:t>
                </w:r>
              </w:p>
            </w:tc>
          </w:sdtContent>
        </w:sdt>
        <w:sdt>
          <w:sdtPr>
            <w:tag w:val="_PLD_db1c9e08e7ea407889a350e8451d2848"/>
            <w:id w:val="2084175115"/>
          </w:sdtPr>
          <w:sdtContent>
            <w:tc>
              <w:tcPr>
                <w:tcW w:w="1805" w:type="pct"/>
                <w:tcBorders>
                  <w:top w:val="single" w:sz="4" w:space="0" w:color="auto"/>
                  <w:left w:val="single" w:sz="4" w:space="0" w:color="auto"/>
                  <w:bottom w:val="single" w:sz="4" w:space="0" w:color="auto"/>
                  <w:right w:val="single" w:sz="4" w:space="0" w:color="auto"/>
                </w:tcBorders>
                <w:vAlign w:val="center"/>
              </w:tcPr>
              <w:p w14:paraId="10D2A050" w14:textId="77777777" w:rsidR="00577D08" w:rsidRDefault="00330FC0">
                <w:pPr>
                  <w:autoSpaceDE w:val="0"/>
                  <w:autoSpaceDN w:val="0"/>
                  <w:adjustRightInd w:val="0"/>
                  <w:jc w:val="center"/>
                  <w:rPr>
                    <w:color w:val="FF0000"/>
                  </w:rPr>
                </w:pPr>
                <w:r>
                  <w:rPr>
                    <w:rFonts w:hint="eastAsia"/>
                  </w:rPr>
                  <w:t>计入当期非经常性损益的金额</w:t>
                </w:r>
              </w:p>
            </w:tc>
          </w:sdtContent>
        </w:sdt>
      </w:tr>
      <w:tr w:rsidR="00577D08" w14:paraId="28502097" w14:textId="77777777">
        <w:tc>
          <w:tcPr>
            <w:tcW w:w="1547" w:type="pct"/>
            <w:tcBorders>
              <w:top w:val="single" w:sz="4" w:space="0" w:color="auto"/>
              <w:left w:val="single" w:sz="4" w:space="0" w:color="auto"/>
              <w:bottom w:val="single" w:sz="4" w:space="0" w:color="auto"/>
              <w:right w:val="single" w:sz="4" w:space="0" w:color="auto"/>
            </w:tcBorders>
            <w:vAlign w:val="center"/>
          </w:tcPr>
          <w:p w14:paraId="30E1A504" w14:textId="77777777" w:rsidR="00577D08" w:rsidRDefault="00330FC0">
            <w:pPr>
              <w:autoSpaceDE w:val="0"/>
              <w:autoSpaceDN w:val="0"/>
              <w:adjustRightInd w:val="0"/>
            </w:pPr>
            <w:r>
              <w:rPr>
                <w:rFonts w:hint="eastAsia"/>
              </w:rPr>
              <w:t>非流动资产处置利得合计</w:t>
            </w:r>
          </w:p>
        </w:tc>
        <w:tc>
          <w:tcPr>
            <w:tcW w:w="776" w:type="pct"/>
            <w:tcBorders>
              <w:top w:val="single" w:sz="4" w:space="0" w:color="auto"/>
              <w:left w:val="single" w:sz="4" w:space="0" w:color="auto"/>
              <w:bottom w:val="single" w:sz="4" w:space="0" w:color="auto"/>
              <w:right w:val="single" w:sz="4" w:space="0" w:color="auto"/>
            </w:tcBorders>
          </w:tcPr>
          <w:p w14:paraId="5B84554E" w14:textId="77777777" w:rsidR="00577D08" w:rsidRDefault="00330FC0">
            <w:pPr>
              <w:jc w:val="right"/>
            </w:pPr>
            <w:r>
              <w:t>14,523.91</w:t>
            </w:r>
          </w:p>
        </w:tc>
        <w:tc>
          <w:tcPr>
            <w:tcW w:w="872" w:type="pct"/>
            <w:tcBorders>
              <w:top w:val="single" w:sz="4" w:space="0" w:color="auto"/>
              <w:left w:val="single" w:sz="4" w:space="0" w:color="auto"/>
              <w:bottom w:val="single" w:sz="4" w:space="0" w:color="auto"/>
              <w:right w:val="single" w:sz="4" w:space="0" w:color="auto"/>
            </w:tcBorders>
          </w:tcPr>
          <w:p w14:paraId="7EC97CC8" w14:textId="77777777" w:rsidR="00577D08" w:rsidRDefault="00330FC0">
            <w:pPr>
              <w:jc w:val="right"/>
            </w:pPr>
            <w:r>
              <w:t>523,284.75</w:t>
            </w:r>
          </w:p>
        </w:tc>
        <w:tc>
          <w:tcPr>
            <w:tcW w:w="1805" w:type="pct"/>
            <w:tcBorders>
              <w:top w:val="single" w:sz="4" w:space="0" w:color="auto"/>
              <w:left w:val="single" w:sz="4" w:space="0" w:color="auto"/>
              <w:bottom w:val="single" w:sz="4" w:space="0" w:color="auto"/>
              <w:right w:val="single" w:sz="4" w:space="0" w:color="auto"/>
            </w:tcBorders>
          </w:tcPr>
          <w:p w14:paraId="12C4F0A2" w14:textId="77777777" w:rsidR="00577D08" w:rsidRDefault="00330FC0">
            <w:pPr>
              <w:autoSpaceDE w:val="0"/>
              <w:autoSpaceDN w:val="0"/>
              <w:adjustRightInd w:val="0"/>
              <w:jc w:val="right"/>
            </w:pPr>
            <w:r>
              <w:t>14,523.91</w:t>
            </w:r>
          </w:p>
        </w:tc>
      </w:tr>
      <w:tr w:rsidR="00577D08" w14:paraId="63D2DAEE" w14:textId="77777777">
        <w:tc>
          <w:tcPr>
            <w:tcW w:w="1547" w:type="pct"/>
            <w:tcBorders>
              <w:top w:val="single" w:sz="4" w:space="0" w:color="auto"/>
              <w:left w:val="single" w:sz="4" w:space="0" w:color="auto"/>
              <w:bottom w:val="single" w:sz="4" w:space="0" w:color="auto"/>
              <w:right w:val="single" w:sz="4" w:space="0" w:color="auto"/>
            </w:tcBorders>
            <w:vAlign w:val="center"/>
          </w:tcPr>
          <w:p w14:paraId="24FEFB00" w14:textId="77777777" w:rsidR="00577D08" w:rsidRDefault="00330FC0">
            <w:pPr>
              <w:autoSpaceDE w:val="0"/>
              <w:autoSpaceDN w:val="0"/>
              <w:adjustRightInd w:val="0"/>
            </w:pPr>
            <w:r>
              <w:rPr>
                <w:rFonts w:hint="eastAsia"/>
              </w:rPr>
              <w:t>其中：固定资产处置利得</w:t>
            </w:r>
          </w:p>
        </w:tc>
        <w:tc>
          <w:tcPr>
            <w:tcW w:w="776" w:type="pct"/>
            <w:tcBorders>
              <w:top w:val="single" w:sz="4" w:space="0" w:color="auto"/>
              <w:left w:val="single" w:sz="4" w:space="0" w:color="auto"/>
              <w:bottom w:val="single" w:sz="4" w:space="0" w:color="auto"/>
              <w:right w:val="single" w:sz="4" w:space="0" w:color="auto"/>
            </w:tcBorders>
          </w:tcPr>
          <w:p w14:paraId="64F0070A" w14:textId="77777777" w:rsidR="00577D08" w:rsidRDefault="00330FC0">
            <w:pPr>
              <w:jc w:val="right"/>
            </w:pPr>
            <w:r>
              <w:t>14,523.91</w:t>
            </w:r>
          </w:p>
        </w:tc>
        <w:tc>
          <w:tcPr>
            <w:tcW w:w="872" w:type="pct"/>
            <w:tcBorders>
              <w:top w:val="single" w:sz="4" w:space="0" w:color="auto"/>
              <w:left w:val="single" w:sz="4" w:space="0" w:color="auto"/>
              <w:bottom w:val="single" w:sz="4" w:space="0" w:color="auto"/>
              <w:right w:val="single" w:sz="4" w:space="0" w:color="auto"/>
            </w:tcBorders>
          </w:tcPr>
          <w:p w14:paraId="674AF4E1" w14:textId="77777777" w:rsidR="00577D08" w:rsidRDefault="00330FC0">
            <w:pPr>
              <w:jc w:val="right"/>
            </w:pPr>
            <w:r>
              <w:t>523,284.75</w:t>
            </w:r>
          </w:p>
        </w:tc>
        <w:tc>
          <w:tcPr>
            <w:tcW w:w="1805" w:type="pct"/>
            <w:tcBorders>
              <w:top w:val="single" w:sz="4" w:space="0" w:color="auto"/>
              <w:left w:val="single" w:sz="4" w:space="0" w:color="auto"/>
              <w:bottom w:val="single" w:sz="4" w:space="0" w:color="auto"/>
              <w:right w:val="single" w:sz="4" w:space="0" w:color="auto"/>
            </w:tcBorders>
          </w:tcPr>
          <w:p w14:paraId="41A14B4F" w14:textId="77777777" w:rsidR="00577D08" w:rsidRDefault="00330FC0">
            <w:pPr>
              <w:autoSpaceDE w:val="0"/>
              <w:autoSpaceDN w:val="0"/>
              <w:adjustRightInd w:val="0"/>
              <w:jc w:val="right"/>
            </w:pPr>
            <w:r>
              <w:t>14,523.91</w:t>
            </w:r>
          </w:p>
        </w:tc>
      </w:tr>
      <w:tr w:rsidR="00577D08" w14:paraId="437F307E" w14:textId="77777777">
        <w:tc>
          <w:tcPr>
            <w:tcW w:w="1547" w:type="pct"/>
            <w:tcBorders>
              <w:top w:val="single" w:sz="4" w:space="0" w:color="auto"/>
              <w:left w:val="single" w:sz="4" w:space="0" w:color="auto"/>
              <w:bottom w:val="single" w:sz="4" w:space="0" w:color="auto"/>
              <w:right w:val="single" w:sz="4" w:space="0" w:color="auto"/>
            </w:tcBorders>
            <w:vAlign w:val="center"/>
          </w:tcPr>
          <w:p w14:paraId="2B25D65F" w14:textId="77777777" w:rsidR="00577D08" w:rsidRDefault="00330FC0">
            <w:pPr>
              <w:autoSpaceDE w:val="0"/>
              <w:autoSpaceDN w:val="0"/>
              <w:adjustRightInd w:val="0"/>
              <w:ind w:firstLineChars="300" w:firstLine="630"/>
            </w:pPr>
            <w:r>
              <w:rPr>
                <w:rFonts w:hint="eastAsia"/>
              </w:rPr>
              <w:t>无形资产处置利得</w:t>
            </w:r>
          </w:p>
        </w:tc>
        <w:tc>
          <w:tcPr>
            <w:tcW w:w="776" w:type="pct"/>
            <w:tcBorders>
              <w:top w:val="single" w:sz="4" w:space="0" w:color="auto"/>
              <w:left w:val="single" w:sz="4" w:space="0" w:color="auto"/>
              <w:bottom w:val="single" w:sz="4" w:space="0" w:color="auto"/>
              <w:right w:val="single" w:sz="4" w:space="0" w:color="auto"/>
            </w:tcBorders>
            <w:vAlign w:val="center"/>
          </w:tcPr>
          <w:p w14:paraId="659DC24B" w14:textId="77777777" w:rsidR="00577D08" w:rsidRDefault="00577D08">
            <w:pPr>
              <w:jc w:val="right"/>
            </w:pPr>
          </w:p>
        </w:tc>
        <w:tc>
          <w:tcPr>
            <w:tcW w:w="872" w:type="pct"/>
            <w:tcBorders>
              <w:top w:val="single" w:sz="4" w:space="0" w:color="auto"/>
              <w:left w:val="single" w:sz="4" w:space="0" w:color="auto"/>
              <w:bottom w:val="single" w:sz="4" w:space="0" w:color="auto"/>
              <w:right w:val="single" w:sz="4" w:space="0" w:color="auto"/>
            </w:tcBorders>
            <w:vAlign w:val="center"/>
          </w:tcPr>
          <w:p w14:paraId="70339188" w14:textId="77777777" w:rsidR="00577D08" w:rsidRDefault="00577D08">
            <w:pPr>
              <w:jc w:val="right"/>
            </w:pPr>
          </w:p>
        </w:tc>
        <w:tc>
          <w:tcPr>
            <w:tcW w:w="1805" w:type="pct"/>
            <w:tcBorders>
              <w:top w:val="single" w:sz="4" w:space="0" w:color="auto"/>
              <w:left w:val="single" w:sz="4" w:space="0" w:color="auto"/>
              <w:bottom w:val="single" w:sz="4" w:space="0" w:color="auto"/>
              <w:right w:val="single" w:sz="4" w:space="0" w:color="auto"/>
            </w:tcBorders>
            <w:vAlign w:val="center"/>
          </w:tcPr>
          <w:p w14:paraId="056309E4" w14:textId="77777777" w:rsidR="00577D08" w:rsidRDefault="00577D08">
            <w:pPr>
              <w:autoSpaceDE w:val="0"/>
              <w:autoSpaceDN w:val="0"/>
              <w:adjustRightInd w:val="0"/>
              <w:jc w:val="right"/>
            </w:pPr>
          </w:p>
        </w:tc>
      </w:tr>
      <w:tr w:rsidR="00577D08" w14:paraId="4D06B7F7" w14:textId="77777777">
        <w:tc>
          <w:tcPr>
            <w:tcW w:w="1547" w:type="pct"/>
            <w:tcBorders>
              <w:top w:val="single" w:sz="4" w:space="0" w:color="auto"/>
              <w:left w:val="single" w:sz="4" w:space="0" w:color="auto"/>
              <w:bottom w:val="single" w:sz="4" w:space="0" w:color="auto"/>
              <w:right w:val="single" w:sz="4" w:space="0" w:color="auto"/>
            </w:tcBorders>
            <w:vAlign w:val="center"/>
          </w:tcPr>
          <w:p w14:paraId="01742240" w14:textId="77777777" w:rsidR="00577D08" w:rsidRDefault="00330FC0">
            <w:pPr>
              <w:autoSpaceDE w:val="0"/>
              <w:autoSpaceDN w:val="0"/>
              <w:adjustRightInd w:val="0"/>
            </w:pPr>
            <w:r>
              <w:rPr>
                <w:rFonts w:hint="eastAsia"/>
              </w:rPr>
              <w:t>非货币性资产交换利得</w:t>
            </w:r>
          </w:p>
        </w:tc>
        <w:tc>
          <w:tcPr>
            <w:tcW w:w="776" w:type="pct"/>
            <w:tcBorders>
              <w:top w:val="single" w:sz="4" w:space="0" w:color="auto"/>
              <w:left w:val="single" w:sz="4" w:space="0" w:color="auto"/>
              <w:bottom w:val="single" w:sz="4" w:space="0" w:color="auto"/>
              <w:right w:val="single" w:sz="4" w:space="0" w:color="auto"/>
            </w:tcBorders>
            <w:vAlign w:val="center"/>
          </w:tcPr>
          <w:p w14:paraId="5F52A7DF" w14:textId="77777777" w:rsidR="00577D08" w:rsidRDefault="00577D08">
            <w:pPr>
              <w:jc w:val="right"/>
            </w:pPr>
          </w:p>
        </w:tc>
        <w:tc>
          <w:tcPr>
            <w:tcW w:w="872" w:type="pct"/>
            <w:tcBorders>
              <w:top w:val="single" w:sz="4" w:space="0" w:color="auto"/>
              <w:left w:val="single" w:sz="4" w:space="0" w:color="auto"/>
              <w:bottom w:val="single" w:sz="4" w:space="0" w:color="auto"/>
              <w:right w:val="single" w:sz="4" w:space="0" w:color="auto"/>
            </w:tcBorders>
            <w:vAlign w:val="center"/>
          </w:tcPr>
          <w:p w14:paraId="00FEFFD1" w14:textId="77777777" w:rsidR="00577D08" w:rsidRDefault="00577D08">
            <w:pPr>
              <w:jc w:val="right"/>
            </w:pPr>
          </w:p>
        </w:tc>
        <w:tc>
          <w:tcPr>
            <w:tcW w:w="1805" w:type="pct"/>
            <w:tcBorders>
              <w:top w:val="single" w:sz="4" w:space="0" w:color="auto"/>
              <w:left w:val="single" w:sz="4" w:space="0" w:color="auto"/>
              <w:bottom w:val="single" w:sz="4" w:space="0" w:color="auto"/>
              <w:right w:val="single" w:sz="4" w:space="0" w:color="auto"/>
            </w:tcBorders>
            <w:vAlign w:val="center"/>
          </w:tcPr>
          <w:p w14:paraId="51A89FC9" w14:textId="77777777" w:rsidR="00577D08" w:rsidRDefault="00577D08">
            <w:pPr>
              <w:autoSpaceDE w:val="0"/>
              <w:autoSpaceDN w:val="0"/>
              <w:adjustRightInd w:val="0"/>
              <w:jc w:val="right"/>
            </w:pPr>
          </w:p>
        </w:tc>
      </w:tr>
      <w:tr w:rsidR="00577D08" w14:paraId="6B708FFF" w14:textId="77777777">
        <w:tc>
          <w:tcPr>
            <w:tcW w:w="1547" w:type="pct"/>
            <w:tcBorders>
              <w:top w:val="single" w:sz="4" w:space="0" w:color="auto"/>
              <w:left w:val="single" w:sz="4" w:space="0" w:color="auto"/>
              <w:bottom w:val="single" w:sz="4" w:space="0" w:color="auto"/>
              <w:right w:val="single" w:sz="4" w:space="0" w:color="auto"/>
            </w:tcBorders>
            <w:vAlign w:val="center"/>
          </w:tcPr>
          <w:p w14:paraId="15CC4AC9" w14:textId="77777777" w:rsidR="00577D08" w:rsidRDefault="00330FC0">
            <w:pPr>
              <w:autoSpaceDE w:val="0"/>
              <w:autoSpaceDN w:val="0"/>
              <w:adjustRightInd w:val="0"/>
            </w:pPr>
            <w:r>
              <w:rPr>
                <w:rFonts w:hint="eastAsia"/>
              </w:rPr>
              <w:t>接受捐赠</w:t>
            </w:r>
          </w:p>
        </w:tc>
        <w:tc>
          <w:tcPr>
            <w:tcW w:w="776" w:type="pct"/>
            <w:tcBorders>
              <w:top w:val="single" w:sz="4" w:space="0" w:color="auto"/>
              <w:left w:val="single" w:sz="4" w:space="0" w:color="auto"/>
              <w:bottom w:val="single" w:sz="4" w:space="0" w:color="auto"/>
              <w:right w:val="single" w:sz="4" w:space="0" w:color="auto"/>
            </w:tcBorders>
            <w:vAlign w:val="center"/>
          </w:tcPr>
          <w:p w14:paraId="595DC281" w14:textId="77777777" w:rsidR="00577D08" w:rsidRDefault="00577D08">
            <w:pPr>
              <w:jc w:val="right"/>
            </w:pPr>
          </w:p>
        </w:tc>
        <w:tc>
          <w:tcPr>
            <w:tcW w:w="872" w:type="pct"/>
            <w:tcBorders>
              <w:top w:val="single" w:sz="4" w:space="0" w:color="auto"/>
              <w:left w:val="single" w:sz="4" w:space="0" w:color="auto"/>
              <w:bottom w:val="single" w:sz="4" w:space="0" w:color="auto"/>
              <w:right w:val="single" w:sz="4" w:space="0" w:color="auto"/>
            </w:tcBorders>
            <w:vAlign w:val="center"/>
          </w:tcPr>
          <w:p w14:paraId="7CFBC59F" w14:textId="77777777" w:rsidR="00577D08" w:rsidRDefault="00577D08">
            <w:pPr>
              <w:jc w:val="right"/>
            </w:pPr>
          </w:p>
        </w:tc>
        <w:tc>
          <w:tcPr>
            <w:tcW w:w="1805" w:type="pct"/>
            <w:tcBorders>
              <w:top w:val="single" w:sz="4" w:space="0" w:color="auto"/>
              <w:left w:val="single" w:sz="4" w:space="0" w:color="auto"/>
              <w:bottom w:val="single" w:sz="4" w:space="0" w:color="auto"/>
              <w:right w:val="single" w:sz="4" w:space="0" w:color="auto"/>
            </w:tcBorders>
            <w:vAlign w:val="center"/>
          </w:tcPr>
          <w:p w14:paraId="61D96124" w14:textId="77777777" w:rsidR="00577D08" w:rsidRDefault="00577D08">
            <w:pPr>
              <w:autoSpaceDE w:val="0"/>
              <w:autoSpaceDN w:val="0"/>
              <w:adjustRightInd w:val="0"/>
              <w:jc w:val="right"/>
            </w:pPr>
          </w:p>
        </w:tc>
      </w:tr>
      <w:tr w:rsidR="00577D08" w14:paraId="25DFECF9" w14:textId="77777777">
        <w:tc>
          <w:tcPr>
            <w:tcW w:w="1547" w:type="pct"/>
            <w:tcBorders>
              <w:top w:val="single" w:sz="4" w:space="0" w:color="auto"/>
              <w:left w:val="single" w:sz="4" w:space="0" w:color="auto"/>
              <w:bottom w:val="single" w:sz="4" w:space="0" w:color="auto"/>
              <w:right w:val="single" w:sz="4" w:space="0" w:color="auto"/>
            </w:tcBorders>
            <w:vAlign w:val="center"/>
          </w:tcPr>
          <w:p w14:paraId="58511562" w14:textId="77777777" w:rsidR="00577D08" w:rsidRDefault="00330FC0">
            <w:pPr>
              <w:ind w:right="6"/>
              <w:rPr>
                <w:bCs/>
              </w:rPr>
            </w:pPr>
            <w:r>
              <w:rPr>
                <w:rFonts w:hint="eastAsia"/>
                <w:bCs/>
              </w:rPr>
              <w:t>政府补助</w:t>
            </w:r>
          </w:p>
        </w:tc>
        <w:tc>
          <w:tcPr>
            <w:tcW w:w="776" w:type="pct"/>
            <w:tcBorders>
              <w:top w:val="single" w:sz="4" w:space="0" w:color="auto"/>
              <w:left w:val="single" w:sz="4" w:space="0" w:color="auto"/>
              <w:bottom w:val="single" w:sz="4" w:space="0" w:color="auto"/>
              <w:right w:val="single" w:sz="4" w:space="0" w:color="auto"/>
            </w:tcBorders>
            <w:vAlign w:val="center"/>
          </w:tcPr>
          <w:p w14:paraId="39AE323C" w14:textId="77777777" w:rsidR="00577D08" w:rsidRDefault="00577D08">
            <w:pPr>
              <w:jc w:val="right"/>
            </w:pPr>
          </w:p>
        </w:tc>
        <w:tc>
          <w:tcPr>
            <w:tcW w:w="872" w:type="pct"/>
            <w:tcBorders>
              <w:top w:val="single" w:sz="4" w:space="0" w:color="auto"/>
              <w:left w:val="single" w:sz="4" w:space="0" w:color="auto"/>
              <w:bottom w:val="single" w:sz="4" w:space="0" w:color="auto"/>
              <w:right w:val="single" w:sz="4" w:space="0" w:color="auto"/>
            </w:tcBorders>
            <w:vAlign w:val="center"/>
          </w:tcPr>
          <w:p w14:paraId="6AC9F545" w14:textId="77777777" w:rsidR="00577D08" w:rsidRDefault="00577D08">
            <w:pPr>
              <w:jc w:val="right"/>
            </w:pPr>
          </w:p>
        </w:tc>
        <w:tc>
          <w:tcPr>
            <w:tcW w:w="1805" w:type="pct"/>
            <w:tcBorders>
              <w:top w:val="single" w:sz="4" w:space="0" w:color="auto"/>
              <w:left w:val="single" w:sz="4" w:space="0" w:color="auto"/>
              <w:bottom w:val="single" w:sz="4" w:space="0" w:color="auto"/>
              <w:right w:val="single" w:sz="4" w:space="0" w:color="auto"/>
            </w:tcBorders>
            <w:vAlign w:val="center"/>
          </w:tcPr>
          <w:p w14:paraId="60D35139" w14:textId="77777777" w:rsidR="00577D08" w:rsidRDefault="00577D08">
            <w:pPr>
              <w:autoSpaceDE w:val="0"/>
              <w:autoSpaceDN w:val="0"/>
              <w:adjustRightInd w:val="0"/>
              <w:jc w:val="right"/>
            </w:pPr>
          </w:p>
        </w:tc>
      </w:tr>
      <w:tr w:rsidR="00577D08" w14:paraId="46CF6B72" w14:textId="77777777">
        <w:tc>
          <w:tcPr>
            <w:tcW w:w="1547" w:type="pct"/>
            <w:tcBorders>
              <w:top w:val="single" w:sz="4" w:space="0" w:color="auto"/>
              <w:left w:val="single" w:sz="4" w:space="0" w:color="auto"/>
              <w:bottom w:val="single" w:sz="4" w:space="0" w:color="auto"/>
              <w:right w:val="single" w:sz="4" w:space="0" w:color="auto"/>
            </w:tcBorders>
          </w:tcPr>
          <w:p w14:paraId="1A92CA33" w14:textId="77777777" w:rsidR="00577D08" w:rsidRDefault="00330FC0">
            <w:r>
              <w:rPr>
                <w:rFonts w:hint="eastAsia"/>
              </w:rPr>
              <w:t>其他</w:t>
            </w:r>
          </w:p>
        </w:tc>
        <w:tc>
          <w:tcPr>
            <w:tcW w:w="776" w:type="pct"/>
            <w:tcBorders>
              <w:top w:val="single" w:sz="4" w:space="0" w:color="auto"/>
              <w:left w:val="single" w:sz="4" w:space="0" w:color="auto"/>
              <w:bottom w:val="single" w:sz="4" w:space="0" w:color="auto"/>
              <w:right w:val="single" w:sz="4" w:space="0" w:color="auto"/>
            </w:tcBorders>
          </w:tcPr>
          <w:p w14:paraId="0C63D3C8" w14:textId="77777777" w:rsidR="00577D08" w:rsidRDefault="00577D08">
            <w:pPr>
              <w:jc w:val="right"/>
            </w:pPr>
          </w:p>
        </w:tc>
        <w:tc>
          <w:tcPr>
            <w:tcW w:w="872" w:type="pct"/>
            <w:tcBorders>
              <w:top w:val="single" w:sz="4" w:space="0" w:color="auto"/>
              <w:left w:val="single" w:sz="4" w:space="0" w:color="auto"/>
              <w:bottom w:val="single" w:sz="4" w:space="0" w:color="auto"/>
              <w:right w:val="single" w:sz="4" w:space="0" w:color="auto"/>
            </w:tcBorders>
          </w:tcPr>
          <w:p w14:paraId="6CC05D8B" w14:textId="77777777" w:rsidR="00577D08" w:rsidRDefault="00330FC0">
            <w:pPr>
              <w:jc w:val="right"/>
            </w:pPr>
            <w:r>
              <w:rPr>
                <w:rFonts w:hint="eastAsia"/>
              </w:rPr>
              <w:t>734,660.00</w:t>
            </w:r>
          </w:p>
        </w:tc>
        <w:tc>
          <w:tcPr>
            <w:tcW w:w="1805" w:type="pct"/>
            <w:tcBorders>
              <w:top w:val="single" w:sz="4" w:space="0" w:color="auto"/>
              <w:left w:val="single" w:sz="4" w:space="0" w:color="auto"/>
              <w:bottom w:val="single" w:sz="4" w:space="0" w:color="auto"/>
              <w:right w:val="single" w:sz="4" w:space="0" w:color="auto"/>
            </w:tcBorders>
          </w:tcPr>
          <w:p w14:paraId="2AD19F0C" w14:textId="77777777" w:rsidR="00577D08" w:rsidRDefault="00577D08">
            <w:pPr>
              <w:jc w:val="right"/>
            </w:pPr>
          </w:p>
        </w:tc>
      </w:tr>
      <w:tr w:rsidR="00577D08" w14:paraId="2C4D6428" w14:textId="77777777">
        <w:tc>
          <w:tcPr>
            <w:tcW w:w="1547" w:type="pct"/>
            <w:tcBorders>
              <w:top w:val="single" w:sz="4" w:space="0" w:color="auto"/>
              <w:left w:val="single" w:sz="4" w:space="0" w:color="auto"/>
              <w:bottom w:val="single" w:sz="4" w:space="0" w:color="auto"/>
              <w:right w:val="single" w:sz="4" w:space="0" w:color="auto"/>
            </w:tcBorders>
            <w:vAlign w:val="center"/>
          </w:tcPr>
          <w:p w14:paraId="1E59D752" w14:textId="77777777" w:rsidR="00577D08" w:rsidRDefault="00330FC0">
            <w:pPr>
              <w:jc w:val="center"/>
            </w:pPr>
            <w:r>
              <w:rPr>
                <w:rFonts w:hint="eastAsia"/>
              </w:rPr>
              <w:t>合计</w:t>
            </w:r>
          </w:p>
        </w:tc>
        <w:tc>
          <w:tcPr>
            <w:tcW w:w="776" w:type="pct"/>
            <w:tcBorders>
              <w:top w:val="single" w:sz="4" w:space="0" w:color="auto"/>
              <w:left w:val="single" w:sz="4" w:space="0" w:color="auto"/>
              <w:bottom w:val="single" w:sz="4" w:space="0" w:color="auto"/>
              <w:right w:val="single" w:sz="4" w:space="0" w:color="auto"/>
            </w:tcBorders>
          </w:tcPr>
          <w:p w14:paraId="77A635A2" w14:textId="77777777" w:rsidR="00577D08" w:rsidRDefault="00330FC0">
            <w:pPr>
              <w:jc w:val="right"/>
            </w:pPr>
            <w:r>
              <w:t>14,523.91</w:t>
            </w:r>
          </w:p>
        </w:tc>
        <w:tc>
          <w:tcPr>
            <w:tcW w:w="872" w:type="pct"/>
            <w:tcBorders>
              <w:top w:val="single" w:sz="4" w:space="0" w:color="auto"/>
              <w:left w:val="single" w:sz="4" w:space="0" w:color="auto"/>
              <w:bottom w:val="single" w:sz="4" w:space="0" w:color="auto"/>
              <w:right w:val="single" w:sz="4" w:space="0" w:color="auto"/>
            </w:tcBorders>
          </w:tcPr>
          <w:p w14:paraId="3E6487AE" w14:textId="77777777" w:rsidR="00577D08" w:rsidRDefault="00330FC0">
            <w:pPr>
              <w:jc w:val="right"/>
            </w:pPr>
            <w:r>
              <w:t>1,257,944.75</w:t>
            </w:r>
          </w:p>
        </w:tc>
        <w:tc>
          <w:tcPr>
            <w:tcW w:w="1805" w:type="pct"/>
            <w:tcBorders>
              <w:top w:val="single" w:sz="4" w:space="0" w:color="auto"/>
              <w:left w:val="single" w:sz="4" w:space="0" w:color="auto"/>
              <w:bottom w:val="single" w:sz="4" w:space="0" w:color="auto"/>
              <w:right w:val="single" w:sz="4" w:space="0" w:color="auto"/>
            </w:tcBorders>
          </w:tcPr>
          <w:p w14:paraId="31B5F38E" w14:textId="77777777" w:rsidR="00577D08" w:rsidRDefault="00330FC0">
            <w:pPr>
              <w:autoSpaceDE w:val="0"/>
              <w:autoSpaceDN w:val="0"/>
              <w:adjustRightInd w:val="0"/>
              <w:jc w:val="right"/>
            </w:pPr>
            <w:r>
              <w:t>14,523.91</w:t>
            </w:r>
          </w:p>
        </w:tc>
      </w:tr>
    </w:tbl>
    <w:p w14:paraId="300816A4" w14:textId="77777777" w:rsidR="00577D08" w:rsidRDefault="00330FC0">
      <w:pPr>
        <w:spacing w:before="60" w:after="60" w:line="360" w:lineRule="exact"/>
      </w:pPr>
      <w:r>
        <w:rPr>
          <w:rFonts w:hint="eastAsia"/>
        </w:rPr>
        <w:t>其他说明：</w:t>
      </w:r>
    </w:p>
    <w:sdt>
      <w:sdtPr>
        <w:alias w:val="是否适用：营业外收入说明[双击切换]"/>
        <w:tag w:val="_GBC_746f9c9c9cab4c2a87c7913a430e2392"/>
        <w:id w:val="-117148056"/>
        <w:placeholder>
          <w:docPart w:val="GBC22222222222222222222222222222"/>
        </w:placeholder>
      </w:sdtPr>
      <w:sdtContent>
        <w:p w14:paraId="41596FB0" w14:textId="77777777" w:rsidR="00577D08" w:rsidRDefault="00330FC0">
          <w:pPr>
            <w:spacing w:before="60" w:after="60" w:line="360" w:lineRule="exact"/>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1E922C"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营业外支出</w:t>
      </w:r>
    </w:p>
    <w:sdt>
      <w:sdtPr>
        <w:rPr>
          <w:rFonts w:hint="eastAsia"/>
        </w:rPr>
        <w:alias w:val="是否适用：营业外支出[双击切换]"/>
        <w:tag w:val="_GBC_8e8d3e6e563742f48edf759d6034f4ce"/>
        <w:id w:val="-269543682"/>
        <w:placeholder>
          <w:docPart w:val="GBC22222222222222222222222222222"/>
        </w:placeholder>
      </w:sdtPr>
      <w:sdtContent>
        <w:p w14:paraId="72DA76A7"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206C83F" w14:textId="5729EEE3" w:rsidR="00577D08" w:rsidRDefault="00330FC0">
      <w:pPr>
        <w:jc w:val="right"/>
      </w:pPr>
      <w:r>
        <w:rPr>
          <w:rFonts w:hint="eastAsia"/>
        </w:rPr>
        <w:t>单位：</w:t>
      </w:r>
      <w:sdt>
        <w:sdtPr>
          <w:rPr>
            <w:rFonts w:hint="eastAsia"/>
          </w:rPr>
          <w:alias w:val="单位：财务附注：营业外支出"/>
          <w:tag w:val="_GBC_825ccc5a51fd47a4888bf19121bc88e6"/>
          <w:id w:val="14933738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营业外支出"/>
          <w:tag w:val="_GBC_0236683596bd499a92bd40e4c42dc931"/>
          <w:id w:val="-16806479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492"/>
        <w:gridCol w:w="1600"/>
        <w:gridCol w:w="3085"/>
      </w:tblGrid>
      <w:tr w:rsidR="00577D08" w14:paraId="3A6C9C90" w14:textId="77777777">
        <w:sdt>
          <w:sdtPr>
            <w:tag w:val="_PLD_3e5b39f95fae41609c103f36a1017c54"/>
            <w:id w:val="-1336525743"/>
          </w:sdtPr>
          <w:sdtContent>
            <w:tc>
              <w:tcPr>
                <w:tcW w:w="1499" w:type="pct"/>
                <w:tcBorders>
                  <w:top w:val="single" w:sz="4" w:space="0" w:color="auto"/>
                  <w:left w:val="single" w:sz="4" w:space="0" w:color="auto"/>
                  <w:bottom w:val="single" w:sz="4" w:space="0" w:color="auto"/>
                  <w:right w:val="single" w:sz="4" w:space="0" w:color="auto"/>
                </w:tcBorders>
                <w:vAlign w:val="center"/>
              </w:tcPr>
              <w:p w14:paraId="193D022A" w14:textId="77777777" w:rsidR="00577D08" w:rsidRDefault="00330FC0">
                <w:pPr>
                  <w:autoSpaceDE w:val="0"/>
                  <w:autoSpaceDN w:val="0"/>
                  <w:adjustRightInd w:val="0"/>
                  <w:jc w:val="center"/>
                </w:pPr>
                <w:r>
                  <w:rPr>
                    <w:rFonts w:hint="eastAsia"/>
                  </w:rPr>
                  <w:t>项目</w:t>
                </w:r>
              </w:p>
            </w:tc>
          </w:sdtContent>
        </w:sdt>
        <w:sdt>
          <w:sdtPr>
            <w:tag w:val="_PLD_9ea5703e0d9641a1acf20638053e3dd5"/>
            <w:id w:val="1312526064"/>
          </w:sdtPr>
          <w:sdtContent>
            <w:tc>
              <w:tcPr>
                <w:tcW w:w="845" w:type="pct"/>
                <w:tcBorders>
                  <w:top w:val="single" w:sz="4" w:space="0" w:color="auto"/>
                  <w:left w:val="single" w:sz="4" w:space="0" w:color="auto"/>
                  <w:bottom w:val="single" w:sz="4" w:space="0" w:color="auto"/>
                  <w:right w:val="single" w:sz="4" w:space="0" w:color="auto"/>
                </w:tcBorders>
                <w:vAlign w:val="center"/>
              </w:tcPr>
              <w:p w14:paraId="5488C09A" w14:textId="77777777" w:rsidR="00577D08" w:rsidRDefault="00330FC0">
                <w:pPr>
                  <w:autoSpaceDE w:val="0"/>
                  <w:autoSpaceDN w:val="0"/>
                  <w:adjustRightInd w:val="0"/>
                  <w:jc w:val="center"/>
                </w:pPr>
                <w:r>
                  <w:rPr>
                    <w:rFonts w:hint="eastAsia"/>
                  </w:rPr>
                  <w:t>本期发生额</w:t>
                </w:r>
              </w:p>
            </w:tc>
          </w:sdtContent>
        </w:sdt>
        <w:sdt>
          <w:sdtPr>
            <w:tag w:val="_PLD_27cbc4bb29594bcfa61154a0d46b4d20"/>
            <w:id w:val="-438288178"/>
          </w:sdtPr>
          <w:sdtContent>
            <w:tc>
              <w:tcPr>
                <w:tcW w:w="907" w:type="pct"/>
                <w:tcBorders>
                  <w:top w:val="single" w:sz="4" w:space="0" w:color="auto"/>
                  <w:left w:val="single" w:sz="4" w:space="0" w:color="auto"/>
                  <w:bottom w:val="single" w:sz="4" w:space="0" w:color="auto"/>
                  <w:right w:val="single" w:sz="4" w:space="0" w:color="auto"/>
                </w:tcBorders>
                <w:vAlign w:val="center"/>
              </w:tcPr>
              <w:p w14:paraId="1D51A864" w14:textId="77777777" w:rsidR="00577D08" w:rsidRDefault="00330FC0">
                <w:pPr>
                  <w:autoSpaceDE w:val="0"/>
                  <w:autoSpaceDN w:val="0"/>
                  <w:adjustRightInd w:val="0"/>
                  <w:jc w:val="center"/>
                </w:pPr>
                <w:r>
                  <w:rPr>
                    <w:rFonts w:hint="eastAsia"/>
                  </w:rPr>
                  <w:t>上期发生额</w:t>
                </w:r>
              </w:p>
            </w:tc>
          </w:sdtContent>
        </w:sdt>
        <w:sdt>
          <w:sdtPr>
            <w:tag w:val="_PLD_cab5bf568f924fed9d087fb26b588481"/>
            <w:id w:val="2074388211"/>
          </w:sdtPr>
          <w:sdtContent>
            <w:tc>
              <w:tcPr>
                <w:tcW w:w="1748" w:type="pct"/>
                <w:tcBorders>
                  <w:top w:val="single" w:sz="4" w:space="0" w:color="auto"/>
                  <w:left w:val="single" w:sz="4" w:space="0" w:color="auto"/>
                  <w:bottom w:val="single" w:sz="4" w:space="0" w:color="auto"/>
                  <w:right w:val="single" w:sz="4" w:space="0" w:color="auto"/>
                </w:tcBorders>
                <w:vAlign w:val="center"/>
              </w:tcPr>
              <w:p w14:paraId="60B5D300" w14:textId="77777777" w:rsidR="00577D08" w:rsidRDefault="00330FC0">
                <w:pPr>
                  <w:autoSpaceDE w:val="0"/>
                  <w:autoSpaceDN w:val="0"/>
                  <w:adjustRightInd w:val="0"/>
                  <w:jc w:val="center"/>
                </w:pPr>
                <w:r>
                  <w:rPr>
                    <w:rFonts w:hint="eastAsia"/>
                  </w:rPr>
                  <w:t>计入当期非经常性损益的金额</w:t>
                </w:r>
              </w:p>
            </w:tc>
          </w:sdtContent>
        </w:sdt>
      </w:tr>
      <w:tr w:rsidR="00577D08" w14:paraId="5DA23D52" w14:textId="77777777">
        <w:tc>
          <w:tcPr>
            <w:tcW w:w="1499" w:type="pct"/>
            <w:tcBorders>
              <w:top w:val="single" w:sz="4" w:space="0" w:color="auto"/>
              <w:left w:val="single" w:sz="4" w:space="0" w:color="auto"/>
              <w:bottom w:val="single" w:sz="4" w:space="0" w:color="auto"/>
              <w:right w:val="single" w:sz="4" w:space="0" w:color="auto"/>
            </w:tcBorders>
            <w:vAlign w:val="center"/>
          </w:tcPr>
          <w:p w14:paraId="73BF19ED" w14:textId="77777777" w:rsidR="00577D08" w:rsidRDefault="00330FC0">
            <w:pPr>
              <w:autoSpaceDE w:val="0"/>
              <w:autoSpaceDN w:val="0"/>
              <w:adjustRightInd w:val="0"/>
            </w:pPr>
            <w:r>
              <w:rPr>
                <w:rFonts w:hint="eastAsia"/>
              </w:rPr>
              <w:t>非流动资产处置损失合计</w:t>
            </w:r>
          </w:p>
        </w:tc>
        <w:tc>
          <w:tcPr>
            <w:tcW w:w="845" w:type="pct"/>
            <w:tcBorders>
              <w:top w:val="single" w:sz="4" w:space="0" w:color="auto"/>
              <w:left w:val="single" w:sz="4" w:space="0" w:color="auto"/>
              <w:bottom w:val="single" w:sz="4" w:space="0" w:color="auto"/>
              <w:right w:val="single" w:sz="4" w:space="0" w:color="auto"/>
            </w:tcBorders>
          </w:tcPr>
          <w:p w14:paraId="05527C3B" w14:textId="77777777" w:rsidR="00577D08" w:rsidRDefault="00330FC0">
            <w:pPr>
              <w:jc w:val="right"/>
            </w:pPr>
            <w:r>
              <w:t>472,504.31</w:t>
            </w:r>
          </w:p>
        </w:tc>
        <w:tc>
          <w:tcPr>
            <w:tcW w:w="907" w:type="pct"/>
            <w:tcBorders>
              <w:top w:val="single" w:sz="4" w:space="0" w:color="auto"/>
              <w:left w:val="single" w:sz="4" w:space="0" w:color="auto"/>
              <w:bottom w:val="single" w:sz="4" w:space="0" w:color="auto"/>
              <w:right w:val="single" w:sz="4" w:space="0" w:color="auto"/>
            </w:tcBorders>
          </w:tcPr>
          <w:p w14:paraId="4874A2E6" w14:textId="77777777" w:rsidR="00577D08" w:rsidRDefault="00330FC0">
            <w:pPr>
              <w:jc w:val="right"/>
            </w:pPr>
            <w:r>
              <w:t>3,609,604.78</w:t>
            </w:r>
          </w:p>
        </w:tc>
        <w:tc>
          <w:tcPr>
            <w:tcW w:w="1748" w:type="pct"/>
            <w:tcBorders>
              <w:top w:val="single" w:sz="4" w:space="0" w:color="auto"/>
              <w:left w:val="single" w:sz="4" w:space="0" w:color="auto"/>
              <w:bottom w:val="single" w:sz="4" w:space="0" w:color="auto"/>
              <w:right w:val="single" w:sz="4" w:space="0" w:color="auto"/>
            </w:tcBorders>
          </w:tcPr>
          <w:p w14:paraId="3D9A25A0" w14:textId="77777777" w:rsidR="00577D08" w:rsidRDefault="00330FC0">
            <w:pPr>
              <w:autoSpaceDE w:val="0"/>
              <w:autoSpaceDN w:val="0"/>
              <w:adjustRightInd w:val="0"/>
              <w:jc w:val="right"/>
            </w:pPr>
            <w:r>
              <w:t>472,504.31</w:t>
            </w:r>
          </w:p>
        </w:tc>
      </w:tr>
      <w:tr w:rsidR="00577D08" w14:paraId="756448F4" w14:textId="77777777">
        <w:tc>
          <w:tcPr>
            <w:tcW w:w="1499" w:type="pct"/>
            <w:tcBorders>
              <w:top w:val="single" w:sz="4" w:space="0" w:color="auto"/>
              <w:left w:val="single" w:sz="4" w:space="0" w:color="auto"/>
              <w:bottom w:val="single" w:sz="4" w:space="0" w:color="auto"/>
              <w:right w:val="single" w:sz="4" w:space="0" w:color="auto"/>
            </w:tcBorders>
            <w:vAlign w:val="center"/>
          </w:tcPr>
          <w:p w14:paraId="34175698" w14:textId="77777777" w:rsidR="00577D08" w:rsidRDefault="00330FC0">
            <w:pPr>
              <w:autoSpaceDE w:val="0"/>
              <w:autoSpaceDN w:val="0"/>
              <w:adjustRightInd w:val="0"/>
            </w:pPr>
            <w:r>
              <w:rPr>
                <w:rFonts w:hint="eastAsia"/>
              </w:rPr>
              <w:t>其中：固定资产处置损失</w:t>
            </w:r>
          </w:p>
        </w:tc>
        <w:tc>
          <w:tcPr>
            <w:tcW w:w="845" w:type="pct"/>
            <w:tcBorders>
              <w:top w:val="single" w:sz="4" w:space="0" w:color="auto"/>
              <w:left w:val="single" w:sz="4" w:space="0" w:color="auto"/>
              <w:bottom w:val="single" w:sz="4" w:space="0" w:color="auto"/>
              <w:right w:val="single" w:sz="4" w:space="0" w:color="auto"/>
            </w:tcBorders>
          </w:tcPr>
          <w:p w14:paraId="7E61DCF5" w14:textId="77777777" w:rsidR="00577D08" w:rsidRDefault="00330FC0">
            <w:pPr>
              <w:jc w:val="right"/>
            </w:pPr>
            <w:r>
              <w:t>472,504.31</w:t>
            </w:r>
          </w:p>
        </w:tc>
        <w:tc>
          <w:tcPr>
            <w:tcW w:w="907" w:type="pct"/>
            <w:tcBorders>
              <w:top w:val="single" w:sz="4" w:space="0" w:color="auto"/>
              <w:left w:val="single" w:sz="4" w:space="0" w:color="auto"/>
              <w:bottom w:val="single" w:sz="4" w:space="0" w:color="auto"/>
              <w:right w:val="single" w:sz="4" w:space="0" w:color="auto"/>
            </w:tcBorders>
          </w:tcPr>
          <w:p w14:paraId="0B6697BF" w14:textId="77777777" w:rsidR="00577D08" w:rsidRDefault="00330FC0">
            <w:pPr>
              <w:jc w:val="right"/>
            </w:pPr>
            <w:r>
              <w:t>3,609,604.78</w:t>
            </w:r>
          </w:p>
        </w:tc>
        <w:tc>
          <w:tcPr>
            <w:tcW w:w="1748" w:type="pct"/>
            <w:tcBorders>
              <w:top w:val="single" w:sz="4" w:space="0" w:color="auto"/>
              <w:left w:val="single" w:sz="4" w:space="0" w:color="auto"/>
              <w:bottom w:val="single" w:sz="4" w:space="0" w:color="auto"/>
              <w:right w:val="single" w:sz="4" w:space="0" w:color="auto"/>
            </w:tcBorders>
          </w:tcPr>
          <w:p w14:paraId="79D82DDC" w14:textId="77777777" w:rsidR="00577D08" w:rsidRDefault="00330FC0">
            <w:pPr>
              <w:autoSpaceDE w:val="0"/>
              <w:autoSpaceDN w:val="0"/>
              <w:adjustRightInd w:val="0"/>
              <w:jc w:val="right"/>
            </w:pPr>
            <w:r>
              <w:t>472,504.31</w:t>
            </w:r>
          </w:p>
        </w:tc>
      </w:tr>
      <w:tr w:rsidR="00577D08" w14:paraId="379211C5" w14:textId="77777777">
        <w:tc>
          <w:tcPr>
            <w:tcW w:w="1499" w:type="pct"/>
            <w:tcBorders>
              <w:top w:val="single" w:sz="4" w:space="0" w:color="auto"/>
              <w:left w:val="single" w:sz="4" w:space="0" w:color="auto"/>
              <w:bottom w:val="single" w:sz="4" w:space="0" w:color="auto"/>
              <w:right w:val="single" w:sz="4" w:space="0" w:color="auto"/>
            </w:tcBorders>
            <w:vAlign w:val="center"/>
          </w:tcPr>
          <w:p w14:paraId="234FB88C" w14:textId="77777777" w:rsidR="00577D08" w:rsidRDefault="00330FC0">
            <w:pPr>
              <w:autoSpaceDE w:val="0"/>
              <w:autoSpaceDN w:val="0"/>
              <w:adjustRightInd w:val="0"/>
              <w:ind w:firstLineChars="300" w:firstLine="630"/>
            </w:pPr>
            <w:r>
              <w:rPr>
                <w:rFonts w:hint="eastAsia"/>
              </w:rPr>
              <w:t>无形资产处置损失</w:t>
            </w:r>
          </w:p>
        </w:tc>
        <w:tc>
          <w:tcPr>
            <w:tcW w:w="845" w:type="pct"/>
            <w:tcBorders>
              <w:top w:val="single" w:sz="4" w:space="0" w:color="auto"/>
              <w:left w:val="single" w:sz="4" w:space="0" w:color="auto"/>
              <w:bottom w:val="single" w:sz="4" w:space="0" w:color="auto"/>
              <w:right w:val="single" w:sz="4" w:space="0" w:color="auto"/>
            </w:tcBorders>
            <w:vAlign w:val="center"/>
          </w:tcPr>
          <w:p w14:paraId="446788BC" w14:textId="77777777" w:rsidR="00577D08" w:rsidRDefault="00577D08">
            <w:pPr>
              <w:jc w:val="right"/>
            </w:pPr>
          </w:p>
        </w:tc>
        <w:tc>
          <w:tcPr>
            <w:tcW w:w="907" w:type="pct"/>
            <w:tcBorders>
              <w:top w:val="single" w:sz="4" w:space="0" w:color="auto"/>
              <w:left w:val="single" w:sz="4" w:space="0" w:color="auto"/>
              <w:bottom w:val="single" w:sz="4" w:space="0" w:color="auto"/>
              <w:right w:val="single" w:sz="4" w:space="0" w:color="auto"/>
            </w:tcBorders>
            <w:vAlign w:val="center"/>
          </w:tcPr>
          <w:p w14:paraId="52F55EC6" w14:textId="77777777" w:rsidR="00577D08" w:rsidRDefault="00577D08">
            <w:pPr>
              <w:jc w:val="right"/>
            </w:pPr>
          </w:p>
        </w:tc>
        <w:tc>
          <w:tcPr>
            <w:tcW w:w="1748" w:type="pct"/>
            <w:tcBorders>
              <w:top w:val="single" w:sz="4" w:space="0" w:color="auto"/>
              <w:left w:val="single" w:sz="4" w:space="0" w:color="auto"/>
              <w:bottom w:val="single" w:sz="4" w:space="0" w:color="auto"/>
              <w:right w:val="single" w:sz="4" w:space="0" w:color="auto"/>
            </w:tcBorders>
            <w:vAlign w:val="center"/>
          </w:tcPr>
          <w:p w14:paraId="2A41C0E6" w14:textId="77777777" w:rsidR="00577D08" w:rsidRDefault="00577D08">
            <w:pPr>
              <w:autoSpaceDE w:val="0"/>
              <w:autoSpaceDN w:val="0"/>
              <w:adjustRightInd w:val="0"/>
              <w:jc w:val="right"/>
            </w:pPr>
          </w:p>
        </w:tc>
      </w:tr>
      <w:tr w:rsidR="00577D08" w14:paraId="528E5DD2" w14:textId="77777777">
        <w:tc>
          <w:tcPr>
            <w:tcW w:w="1499" w:type="pct"/>
            <w:tcBorders>
              <w:top w:val="single" w:sz="4" w:space="0" w:color="auto"/>
              <w:left w:val="single" w:sz="4" w:space="0" w:color="auto"/>
              <w:bottom w:val="single" w:sz="4" w:space="0" w:color="auto"/>
              <w:right w:val="single" w:sz="4" w:space="0" w:color="auto"/>
            </w:tcBorders>
            <w:vAlign w:val="center"/>
          </w:tcPr>
          <w:p w14:paraId="79C080B7" w14:textId="77777777" w:rsidR="00577D08" w:rsidRDefault="00330FC0">
            <w:pPr>
              <w:autoSpaceDE w:val="0"/>
              <w:autoSpaceDN w:val="0"/>
              <w:adjustRightInd w:val="0"/>
            </w:pPr>
            <w:r>
              <w:rPr>
                <w:rFonts w:hint="eastAsia"/>
              </w:rPr>
              <w:t>非货币性资产交换损失</w:t>
            </w:r>
          </w:p>
        </w:tc>
        <w:tc>
          <w:tcPr>
            <w:tcW w:w="845" w:type="pct"/>
            <w:tcBorders>
              <w:top w:val="single" w:sz="4" w:space="0" w:color="auto"/>
              <w:left w:val="single" w:sz="4" w:space="0" w:color="auto"/>
              <w:bottom w:val="single" w:sz="4" w:space="0" w:color="auto"/>
              <w:right w:val="single" w:sz="4" w:space="0" w:color="auto"/>
            </w:tcBorders>
            <w:vAlign w:val="center"/>
          </w:tcPr>
          <w:p w14:paraId="6916D7A0" w14:textId="77777777" w:rsidR="00577D08" w:rsidRDefault="00577D08">
            <w:pPr>
              <w:jc w:val="right"/>
            </w:pPr>
          </w:p>
        </w:tc>
        <w:tc>
          <w:tcPr>
            <w:tcW w:w="907" w:type="pct"/>
            <w:tcBorders>
              <w:top w:val="single" w:sz="4" w:space="0" w:color="auto"/>
              <w:left w:val="single" w:sz="4" w:space="0" w:color="auto"/>
              <w:bottom w:val="single" w:sz="4" w:space="0" w:color="auto"/>
              <w:right w:val="single" w:sz="4" w:space="0" w:color="auto"/>
            </w:tcBorders>
            <w:vAlign w:val="center"/>
          </w:tcPr>
          <w:p w14:paraId="2C5B0BBD" w14:textId="77777777" w:rsidR="00577D08" w:rsidRDefault="00577D08">
            <w:pPr>
              <w:jc w:val="right"/>
            </w:pPr>
          </w:p>
        </w:tc>
        <w:tc>
          <w:tcPr>
            <w:tcW w:w="1748" w:type="pct"/>
            <w:tcBorders>
              <w:top w:val="single" w:sz="4" w:space="0" w:color="auto"/>
              <w:left w:val="single" w:sz="4" w:space="0" w:color="auto"/>
              <w:bottom w:val="single" w:sz="4" w:space="0" w:color="auto"/>
              <w:right w:val="single" w:sz="4" w:space="0" w:color="auto"/>
            </w:tcBorders>
            <w:vAlign w:val="center"/>
          </w:tcPr>
          <w:p w14:paraId="3BDE19BE" w14:textId="77777777" w:rsidR="00577D08" w:rsidRDefault="00577D08">
            <w:pPr>
              <w:autoSpaceDE w:val="0"/>
              <w:autoSpaceDN w:val="0"/>
              <w:adjustRightInd w:val="0"/>
              <w:jc w:val="right"/>
            </w:pPr>
          </w:p>
        </w:tc>
      </w:tr>
      <w:tr w:rsidR="00577D08" w14:paraId="2F276337" w14:textId="77777777">
        <w:tc>
          <w:tcPr>
            <w:tcW w:w="1499" w:type="pct"/>
            <w:tcBorders>
              <w:top w:val="single" w:sz="4" w:space="0" w:color="auto"/>
              <w:left w:val="single" w:sz="4" w:space="0" w:color="auto"/>
              <w:bottom w:val="single" w:sz="4" w:space="0" w:color="auto"/>
              <w:right w:val="single" w:sz="4" w:space="0" w:color="auto"/>
            </w:tcBorders>
            <w:vAlign w:val="center"/>
          </w:tcPr>
          <w:p w14:paraId="3AB22C4A" w14:textId="77777777" w:rsidR="00577D08" w:rsidRDefault="00330FC0">
            <w:pPr>
              <w:autoSpaceDE w:val="0"/>
              <w:autoSpaceDN w:val="0"/>
              <w:adjustRightInd w:val="0"/>
            </w:pPr>
            <w:r>
              <w:rPr>
                <w:rFonts w:hint="eastAsia"/>
              </w:rPr>
              <w:t>对外捐赠</w:t>
            </w:r>
          </w:p>
        </w:tc>
        <w:tc>
          <w:tcPr>
            <w:tcW w:w="845" w:type="pct"/>
            <w:tcBorders>
              <w:top w:val="single" w:sz="4" w:space="0" w:color="auto"/>
              <w:left w:val="single" w:sz="4" w:space="0" w:color="auto"/>
              <w:bottom w:val="single" w:sz="4" w:space="0" w:color="auto"/>
              <w:right w:val="single" w:sz="4" w:space="0" w:color="auto"/>
            </w:tcBorders>
          </w:tcPr>
          <w:p w14:paraId="6059D50B" w14:textId="77777777" w:rsidR="00577D08" w:rsidRDefault="00330FC0">
            <w:pPr>
              <w:jc w:val="right"/>
            </w:pPr>
            <w:r>
              <w:t>2,367,000.00</w:t>
            </w:r>
          </w:p>
        </w:tc>
        <w:tc>
          <w:tcPr>
            <w:tcW w:w="907" w:type="pct"/>
            <w:tcBorders>
              <w:top w:val="single" w:sz="4" w:space="0" w:color="auto"/>
              <w:left w:val="single" w:sz="4" w:space="0" w:color="auto"/>
              <w:bottom w:val="single" w:sz="4" w:space="0" w:color="auto"/>
              <w:right w:val="single" w:sz="4" w:space="0" w:color="auto"/>
            </w:tcBorders>
          </w:tcPr>
          <w:p w14:paraId="714EEFBE" w14:textId="77777777" w:rsidR="00577D08" w:rsidRDefault="00330FC0">
            <w:pPr>
              <w:jc w:val="right"/>
            </w:pPr>
            <w:r>
              <w:t>20,000,000.00</w:t>
            </w:r>
          </w:p>
        </w:tc>
        <w:tc>
          <w:tcPr>
            <w:tcW w:w="1748" w:type="pct"/>
            <w:tcBorders>
              <w:top w:val="single" w:sz="4" w:space="0" w:color="auto"/>
              <w:left w:val="single" w:sz="4" w:space="0" w:color="auto"/>
              <w:bottom w:val="single" w:sz="4" w:space="0" w:color="auto"/>
              <w:right w:val="single" w:sz="4" w:space="0" w:color="auto"/>
            </w:tcBorders>
          </w:tcPr>
          <w:p w14:paraId="7C5049AD" w14:textId="77777777" w:rsidR="00577D08" w:rsidRDefault="00330FC0">
            <w:pPr>
              <w:autoSpaceDE w:val="0"/>
              <w:autoSpaceDN w:val="0"/>
              <w:adjustRightInd w:val="0"/>
              <w:jc w:val="right"/>
            </w:pPr>
            <w:r>
              <w:t>2,367,000.00</w:t>
            </w:r>
          </w:p>
        </w:tc>
      </w:tr>
      <w:tr w:rsidR="00577D08" w14:paraId="56012EEF" w14:textId="77777777">
        <w:tc>
          <w:tcPr>
            <w:tcW w:w="1499" w:type="pct"/>
            <w:tcBorders>
              <w:top w:val="single" w:sz="4" w:space="0" w:color="auto"/>
              <w:left w:val="single" w:sz="4" w:space="0" w:color="auto"/>
              <w:bottom w:val="single" w:sz="4" w:space="0" w:color="auto"/>
              <w:right w:val="single" w:sz="4" w:space="0" w:color="auto"/>
            </w:tcBorders>
            <w:vAlign w:val="center"/>
          </w:tcPr>
          <w:p w14:paraId="15160814" w14:textId="77777777" w:rsidR="00577D08" w:rsidRDefault="00330FC0">
            <w:r>
              <w:rPr>
                <w:rFonts w:hint="eastAsia"/>
              </w:rPr>
              <w:t>其他</w:t>
            </w:r>
          </w:p>
        </w:tc>
        <w:tc>
          <w:tcPr>
            <w:tcW w:w="845" w:type="pct"/>
            <w:tcBorders>
              <w:top w:val="single" w:sz="4" w:space="0" w:color="auto"/>
              <w:left w:val="single" w:sz="4" w:space="0" w:color="auto"/>
              <w:bottom w:val="single" w:sz="4" w:space="0" w:color="auto"/>
              <w:right w:val="single" w:sz="4" w:space="0" w:color="auto"/>
            </w:tcBorders>
          </w:tcPr>
          <w:p w14:paraId="0940AB9B" w14:textId="77777777" w:rsidR="00577D08" w:rsidRDefault="00330FC0">
            <w:pPr>
              <w:jc w:val="right"/>
            </w:pPr>
            <w:r>
              <w:t>1,385,497.87</w:t>
            </w:r>
          </w:p>
        </w:tc>
        <w:tc>
          <w:tcPr>
            <w:tcW w:w="907" w:type="pct"/>
            <w:tcBorders>
              <w:top w:val="single" w:sz="4" w:space="0" w:color="auto"/>
              <w:left w:val="single" w:sz="4" w:space="0" w:color="auto"/>
              <w:bottom w:val="single" w:sz="4" w:space="0" w:color="auto"/>
              <w:right w:val="single" w:sz="4" w:space="0" w:color="auto"/>
            </w:tcBorders>
          </w:tcPr>
          <w:p w14:paraId="1103FF9A" w14:textId="77777777" w:rsidR="00577D08" w:rsidRDefault="00330FC0">
            <w:pPr>
              <w:jc w:val="right"/>
            </w:pPr>
            <w:r>
              <w:t>651,200.73</w:t>
            </w:r>
          </w:p>
        </w:tc>
        <w:tc>
          <w:tcPr>
            <w:tcW w:w="1748" w:type="pct"/>
            <w:tcBorders>
              <w:top w:val="single" w:sz="4" w:space="0" w:color="auto"/>
              <w:left w:val="single" w:sz="4" w:space="0" w:color="auto"/>
              <w:bottom w:val="single" w:sz="4" w:space="0" w:color="auto"/>
              <w:right w:val="single" w:sz="4" w:space="0" w:color="auto"/>
            </w:tcBorders>
          </w:tcPr>
          <w:p w14:paraId="61716373" w14:textId="77777777" w:rsidR="00577D08" w:rsidRDefault="00330FC0">
            <w:pPr>
              <w:jc w:val="right"/>
            </w:pPr>
            <w:r>
              <w:t>1,385,497.87</w:t>
            </w:r>
          </w:p>
        </w:tc>
      </w:tr>
      <w:tr w:rsidR="00577D08" w14:paraId="79F61E2B" w14:textId="77777777">
        <w:tc>
          <w:tcPr>
            <w:tcW w:w="1499" w:type="pct"/>
            <w:tcBorders>
              <w:top w:val="single" w:sz="4" w:space="0" w:color="auto"/>
              <w:left w:val="single" w:sz="4" w:space="0" w:color="auto"/>
              <w:bottom w:val="single" w:sz="4" w:space="0" w:color="auto"/>
              <w:right w:val="single" w:sz="4" w:space="0" w:color="auto"/>
            </w:tcBorders>
            <w:vAlign w:val="center"/>
          </w:tcPr>
          <w:p w14:paraId="06725FD8" w14:textId="77777777" w:rsidR="00577D08" w:rsidRDefault="00330FC0">
            <w:pPr>
              <w:ind w:right="6"/>
              <w:jc w:val="center"/>
            </w:pPr>
            <w:r>
              <w:rPr>
                <w:rFonts w:hint="eastAsia"/>
              </w:rPr>
              <w:t>合计</w:t>
            </w:r>
          </w:p>
        </w:tc>
        <w:tc>
          <w:tcPr>
            <w:tcW w:w="845" w:type="pct"/>
            <w:tcBorders>
              <w:top w:val="single" w:sz="4" w:space="0" w:color="auto"/>
              <w:left w:val="single" w:sz="4" w:space="0" w:color="auto"/>
              <w:bottom w:val="single" w:sz="4" w:space="0" w:color="auto"/>
              <w:right w:val="single" w:sz="4" w:space="0" w:color="auto"/>
            </w:tcBorders>
          </w:tcPr>
          <w:p w14:paraId="6CD38CDA" w14:textId="77777777" w:rsidR="00577D08" w:rsidRDefault="00330FC0">
            <w:pPr>
              <w:jc w:val="right"/>
            </w:pPr>
            <w:r>
              <w:t>4,225,002.18</w:t>
            </w:r>
          </w:p>
        </w:tc>
        <w:tc>
          <w:tcPr>
            <w:tcW w:w="907" w:type="pct"/>
            <w:tcBorders>
              <w:top w:val="single" w:sz="4" w:space="0" w:color="auto"/>
              <w:left w:val="single" w:sz="4" w:space="0" w:color="auto"/>
              <w:bottom w:val="single" w:sz="4" w:space="0" w:color="auto"/>
              <w:right w:val="single" w:sz="4" w:space="0" w:color="auto"/>
            </w:tcBorders>
          </w:tcPr>
          <w:p w14:paraId="0ACF678F" w14:textId="77777777" w:rsidR="00577D08" w:rsidRDefault="00330FC0">
            <w:pPr>
              <w:jc w:val="right"/>
            </w:pPr>
            <w:r>
              <w:t>24,260,805.51</w:t>
            </w:r>
          </w:p>
        </w:tc>
        <w:tc>
          <w:tcPr>
            <w:tcW w:w="1748" w:type="pct"/>
            <w:tcBorders>
              <w:top w:val="single" w:sz="4" w:space="0" w:color="auto"/>
              <w:left w:val="single" w:sz="4" w:space="0" w:color="auto"/>
              <w:bottom w:val="single" w:sz="4" w:space="0" w:color="auto"/>
              <w:right w:val="single" w:sz="4" w:space="0" w:color="auto"/>
            </w:tcBorders>
          </w:tcPr>
          <w:p w14:paraId="51C47CD7" w14:textId="77777777" w:rsidR="00577D08" w:rsidRDefault="00330FC0">
            <w:pPr>
              <w:autoSpaceDE w:val="0"/>
              <w:autoSpaceDN w:val="0"/>
              <w:adjustRightInd w:val="0"/>
              <w:jc w:val="right"/>
            </w:pPr>
            <w:r>
              <w:t>4,225,002.18</w:t>
            </w:r>
          </w:p>
        </w:tc>
      </w:tr>
    </w:tbl>
    <w:p w14:paraId="71F03E32" w14:textId="77777777" w:rsidR="00577D08" w:rsidRDefault="00330FC0">
      <w:pPr>
        <w:spacing w:before="60" w:after="60"/>
      </w:pPr>
      <w:r>
        <w:rPr>
          <w:rFonts w:hint="eastAsia"/>
        </w:rPr>
        <w:t>其他说明：</w:t>
      </w:r>
    </w:p>
    <w:sdt>
      <w:sdtPr>
        <w:rPr>
          <w:rFonts w:hint="eastAsia"/>
        </w:rPr>
        <w:alias w:val="营业外支出说明"/>
        <w:tag w:val="_GBC_88ac743f9ece44c8ba4b737327409578"/>
        <w:id w:val="336653809"/>
        <w:placeholder>
          <w:docPart w:val="GBC22222222222222222222222222222"/>
        </w:placeholder>
      </w:sdtPr>
      <w:sdtEndPr>
        <w:rPr>
          <w:rFonts w:asciiTheme="minorHAnsi" w:eastAsiaTheme="minorEastAsia" w:hAnsiTheme="minorHAnsi"/>
        </w:rPr>
      </w:sdtEndPr>
      <w:sdtContent>
        <w:p w14:paraId="288EF7A1" w14:textId="77777777" w:rsidR="00577D08" w:rsidRDefault="00330FC0">
          <w:r>
            <w:rPr>
              <w:rFonts w:hint="eastAsia"/>
            </w:rPr>
            <w:t>无</w:t>
          </w:r>
        </w:p>
      </w:sdtContent>
    </w:sdt>
    <w:p w14:paraId="0FBEB1E2"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所得税费用</w:t>
      </w:r>
    </w:p>
    <w:p w14:paraId="21BAEF23" w14:textId="77777777" w:rsidR="00577D08" w:rsidRDefault="00330FC0">
      <w:pPr>
        <w:pStyle w:val="4"/>
        <w:numPr>
          <w:ilvl w:val="0"/>
          <w:numId w:val="98"/>
        </w:numPr>
        <w:ind w:left="426" w:hanging="426"/>
        <w:rPr>
          <w:rFonts w:hint="eastAsia"/>
        </w:rPr>
      </w:pPr>
      <w:r>
        <w:rPr>
          <w:rFonts w:hint="eastAsia"/>
        </w:rPr>
        <w:t>所得税费用表</w:t>
      </w:r>
    </w:p>
    <w:sdt>
      <w:sdtPr>
        <w:alias w:val="是否适用：所得税费用表[双击切换]"/>
        <w:tag w:val="_GBC_3ea18046339d457a8712506679035498"/>
        <w:id w:val="-1559701306"/>
        <w:placeholder>
          <w:docPart w:val="GBC22222222222222222222222222222"/>
        </w:placeholder>
      </w:sdtPr>
      <w:sdtContent>
        <w:p w14:paraId="1B74E8D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F15FCE9" w14:textId="17CD79E1" w:rsidR="00577D08" w:rsidRDefault="00330FC0">
      <w:pPr>
        <w:wordWrap w:val="0"/>
        <w:jc w:val="right"/>
      </w:pPr>
      <w:r>
        <w:rPr>
          <w:rFonts w:hint="eastAsia"/>
        </w:rPr>
        <w:t>单位：</w:t>
      </w:r>
      <w:sdt>
        <w:sdtPr>
          <w:rPr>
            <w:rFonts w:hint="eastAsia"/>
          </w:rPr>
          <w:alias w:val="单位：财务附注：所得税费用"/>
          <w:tag w:val="_GBC_5e89c62734b24d50a562694dcf8d2206"/>
          <w:id w:val="-208204957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所得税费用"/>
          <w:tag w:val="_GBC_9c72c96e28344525b1836b3923556f61"/>
          <w:id w:val="-7952910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214"/>
        <w:gridCol w:w="2929"/>
        <w:gridCol w:w="2913"/>
      </w:tblGrid>
      <w:tr w:rsidR="00577D08" w14:paraId="0DFF50BA" w14:textId="77777777">
        <w:trPr>
          <w:trHeight w:val="279"/>
        </w:trPr>
        <w:sdt>
          <w:sdtPr>
            <w:tag w:val="_PLD_e0d72a7f55e04c898352587240ce636b"/>
            <w:id w:val="81107901"/>
          </w:sdtPr>
          <w:sdtContent>
            <w:tc>
              <w:tcPr>
                <w:tcW w:w="3214" w:type="dxa"/>
                <w:vAlign w:val="center"/>
              </w:tcPr>
              <w:p w14:paraId="3994714E" w14:textId="77777777" w:rsidR="00577D08" w:rsidRDefault="00330FC0">
                <w:pPr>
                  <w:ind w:right="6"/>
                  <w:jc w:val="center"/>
                </w:pPr>
                <w:r>
                  <w:rPr>
                    <w:rFonts w:hint="eastAsia"/>
                  </w:rPr>
                  <w:t>项目</w:t>
                </w:r>
              </w:p>
            </w:tc>
          </w:sdtContent>
        </w:sdt>
        <w:sdt>
          <w:sdtPr>
            <w:tag w:val="_PLD_e2b12491de324856a6b2f7034aa875da"/>
            <w:id w:val="268980717"/>
          </w:sdtPr>
          <w:sdtContent>
            <w:tc>
              <w:tcPr>
                <w:tcW w:w="2929" w:type="dxa"/>
                <w:vAlign w:val="center"/>
              </w:tcPr>
              <w:p w14:paraId="0ECB7E27" w14:textId="77777777" w:rsidR="00577D08" w:rsidRDefault="00330FC0">
                <w:pPr>
                  <w:ind w:right="6"/>
                  <w:jc w:val="center"/>
                </w:pPr>
                <w:r>
                  <w:rPr>
                    <w:rFonts w:hint="eastAsia"/>
                  </w:rPr>
                  <w:t>本期发生额</w:t>
                </w:r>
              </w:p>
            </w:tc>
          </w:sdtContent>
        </w:sdt>
        <w:sdt>
          <w:sdtPr>
            <w:tag w:val="_PLD_4b2515977b8d462088eb538637703bf1"/>
            <w:id w:val="1025677471"/>
          </w:sdtPr>
          <w:sdtContent>
            <w:tc>
              <w:tcPr>
                <w:tcW w:w="2913" w:type="dxa"/>
                <w:vAlign w:val="center"/>
              </w:tcPr>
              <w:p w14:paraId="2FB35637" w14:textId="77777777" w:rsidR="00577D08" w:rsidRDefault="00330FC0">
                <w:pPr>
                  <w:ind w:right="6"/>
                  <w:jc w:val="center"/>
                </w:pPr>
                <w:r>
                  <w:rPr>
                    <w:rFonts w:hint="eastAsia"/>
                  </w:rPr>
                  <w:t>上期发生额</w:t>
                </w:r>
              </w:p>
            </w:tc>
          </w:sdtContent>
        </w:sdt>
      </w:tr>
      <w:tr w:rsidR="00577D08" w14:paraId="59D7A80D" w14:textId="77777777">
        <w:tc>
          <w:tcPr>
            <w:tcW w:w="3214" w:type="dxa"/>
            <w:vAlign w:val="center"/>
          </w:tcPr>
          <w:p w14:paraId="16C8B3C2" w14:textId="77777777" w:rsidR="00577D08" w:rsidRDefault="00330FC0">
            <w:pPr>
              <w:ind w:right="6"/>
              <w:rPr>
                <w:b/>
                <w:bCs/>
              </w:rPr>
            </w:pPr>
            <w:r>
              <w:rPr>
                <w:rFonts w:hint="eastAsia"/>
              </w:rPr>
              <w:t>当期所得税费用</w:t>
            </w:r>
          </w:p>
        </w:tc>
        <w:tc>
          <w:tcPr>
            <w:tcW w:w="2929" w:type="dxa"/>
          </w:tcPr>
          <w:p w14:paraId="2CA4D831" w14:textId="77777777" w:rsidR="00577D08" w:rsidRDefault="00330FC0">
            <w:pPr>
              <w:jc w:val="right"/>
            </w:pPr>
            <w:r>
              <w:t>12,085,528.08</w:t>
            </w:r>
          </w:p>
        </w:tc>
        <w:tc>
          <w:tcPr>
            <w:tcW w:w="2913" w:type="dxa"/>
          </w:tcPr>
          <w:p w14:paraId="4B06AAEA" w14:textId="77777777" w:rsidR="00577D08" w:rsidRDefault="00330FC0">
            <w:pPr>
              <w:ind w:right="6"/>
              <w:jc w:val="right"/>
            </w:pPr>
            <w:r>
              <w:t>9,502,895.61</w:t>
            </w:r>
          </w:p>
        </w:tc>
      </w:tr>
      <w:tr w:rsidR="00577D08" w14:paraId="775DE33D" w14:textId="77777777">
        <w:tc>
          <w:tcPr>
            <w:tcW w:w="3214" w:type="dxa"/>
            <w:vAlign w:val="center"/>
          </w:tcPr>
          <w:p w14:paraId="4156DAC8" w14:textId="77777777" w:rsidR="00577D08" w:rsidRDefault="00330FC0">
            <w:pPr>
              <w:ind w:right="6"/>
            </w:pPr>
            <w:r>
              <w:rPr>
                <w:rFonts w:hint="eastAsia"/>
              </w:rPr>
              <w:t>递延所得税费用</w:t>
            </w:r>
          </w:p>
        </w:tc>
        <w:tc>
          <w:tcPr>
            <w:tcW w:w="2929" w:type="dxa"/>
          </w:tcPr>
          <w:p w14:paraId="3C13FF40" w14:textId="77777777" w:rsidR="00577D08" w:rsidRDefault="00330FC0">
            <w:pPr>
              <w:jc w:val="right"/>
            </w:pPr>
            <w:r>
              <w:t>-6,469,908.02</w:t>
            </w:r>
          </w:p>
        </w:tc>
        <w:tc>
          <w:tcPr>
            <w:tcW w:w="2913" w:type="dxa"/>
          </w:tcPr>
          <w:p w14:paraId="663416DC" w14:textId="77777777" w:rsidR="00577D08" w:rsidRDefault="00330FC0">
            <w:pPr>
              <w:ind w:right="6"/>
              <w:jc w:val="right"/>
            </w:pPr>
            <w:r>
              <w:t>2,599,133.82</w:t>
            </w:r>
          </w:p>
        </w:tc>
      </w:tr>
      <w:tr w:rsidR="00577D08" w14:paraId="0C49F19F" w14:textId="77777777">
        <w:tc>
          <w:tcPr>
            <w:tcW w:w="3214" w:type="dxa"/>
            <w:vAlign w:val="center"/>
          </w:tcPr>
          <w:p w14:paraId="67E39BE3" w14:textId="77777777" w:rsidR="00577D08" w:rsidRDefault="00330FC0">
            <w:pPr>
              <w:ind w:right="6"/>
              <w:jc w:val="center"/>
            </w:pPr>
            <w:r>
              <w:rPr>
                <w:rFonts w:hint="eastAsia"/>
              </w:rPr>
              <w:t>合计</w:t>
            </w:r>
          </w:p>
        </w:tc>
        <w:tc>
          <w:tcPr>
            <w:tcW w:w="2929" w:type="dxa"/>
          </w:tcPr>
          <w:p w14:paraId="21E02FB4" w14:textId="77777777" w:rsidR="00577D08" w:rsidRDefault="00330FC0">
            <w:pPr>
              <w:ind w:right="6"/>
              <w:jc w:val="right"/>
            </w:pPr>
            <w:r>
              <w:t>5,615,620.06</w:t>
            </w:r>
          </w:p>
        </w:tc>
        <w:tc>
          <w:tcPr>
            <w:tcW w:w="2913" w:type="dxa"/>
          </w:tcPr>
          <w:p w14:paraId="3092D6DF" w14:textId="77777777" w:rsidR="00577D08" w:rsidRDefault="00330FC0">
            <w:pPr>
              <w:ind w:right="6"/>
              <w:jc w:val="right"/>
            </w:pPr>
            <w:r>
              <w:t>12,102,029.43</w:t>
            </w:r>
          </w:p>
        </w:tc>
      </w:tr>
    </w:tbl>
    <w:p w14:paraId="0BC7149E" w14:textId="77777777" w:rsidR="00577D08" w:rsidRDefault="00330FC0">
      <w:pPr>
        <w:pStyle w:val="4"/>
        <w:numPr>
          <w:ilvl w:val="0"/>
          <w:numId w:val="98"/>
        </w:numPr>
        <w:ind w:left="426" w:hanging="426"/>
        <w:rPr>
          <w:rFonts w:hint="eastAsia"/>
        </w:rPr>
      </w:pPr>
      <w:r>
        <w:rPr>
          <w:rFonts w:hint="eastAsia"/>
        </w:rPr>
        <w:t>会计利润与所得税费用调整过程</w:t>
      </w:r>
    </w:p>
    <w:sdt>
      <w:sdtPr>
        <w:alias w:val="是否适用：会计利润与所得税费用调整过程[双击切换]"/>
        <w:tag w:val="_GBC_add00d323e2049ad8bc932f632966661"/>
        <w:id w:val="1922137011"/>
        <w:placeholder>
          <w:docPart w:val="GBC22222222222222222222222222222"/>
        </w:placeholder>
      </w:sdtPr>
      <w:sdtContent>
        <w:p w14:paraId="6F6E992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0F78B3A" w14:textId="36AF4318" w:rsidR="00577D08" w:rsidRDefault="00330FC0">
      <w:pPr>
        <w:jc w:val="right"/>
      </w:pPr>
      <w:r>
        <w:rPr>
          <w:rFonts w:hint="eastAsia"/>
        </w:rPr>
        <w:t>单位：</w:t>
      </w:r>
      <w:sdt>
        <w:sdtPr>
          <w:rPr>
            <w:rFonts w:hint="eastAsia"/>
          </w:rPr>
          <w:alias w:val="单位：会计利润与所得税费用调整过程"/>
          <w:tag w:val="_GBC_10825cb9bb5e445c9210ee34dc80406a"/>
          <w:id w:val="-8615853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会计利润与所得税费用调整过程"/>
          <w:tag w:val="_GBC_017b69d0005b4ea99f76c547a25a6231"/>
          <w:id w:val="-13343685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firstRow="1" w:lastRow="0" w:firstColumn="1" w:lastColumn="0" w:noHBand="0" w:noVBand="1"/>
      </w:tblPr>
      <w:tblGrid>
        <w:gridCol w:w="4269"/>
        <w:gridCol w:w="4554"/>
      </w:tblGrid>
      <w:tr w:rsidR="00577D08" w14:paraId="7C88AB4A" w14:textId="77777777">
        <w:sdt>
          <w:sdtPr>
            <w:tag w:val="_PLD_1123621c9879400694da9a8842888e14"/>
            <w:id w:val="1876419448"/>
          </w:sdtPr>
          <w:sdtContent>
            <w:tc>
              <w:tcPr>
                <w:tcW w:w="2419" w:type="pct"/>
                <w:tcBorders>
                  <w:top w:val="single" w:sz="4" w:space="0" w:color="auto"/>
                  <w:left w:val="single" w:sz="4" w:space="0" w:color="auto"/>
                  <w:bottom w:val="single" w:sz="4" w:space="0" w:color="auto"/>
                  <w:right w:val="single" w:sz="4" w:space="0" w:color="auto"/>
                </w:tcBorders>
                <w:vAlign w:val="center"/>
              </w:tcPr>
              <w:p w14:paraId="33A4D9F5" w14:textId="77777777" w:rsidR="00577D08" w:rsidRDefault="00330FC0">
                <w:pPr>
                  <w:jc w:val="center"/>
                </w:pPr>
                <w:r>
                  <w:rPr>
                    <w:rFonts w:hint="eastAsia"/>
                  </w:rPr>
                  <w:t>项目</w:t>
                </w:r>
              </w:p>
            </w:tc>
          </w:sdtContent>
        </w:sdt>
        <w:sdt>
          <w:sdtPr>
            <w:tag w:val="_PLD_4a270148a32846b69754961e55c75a04"/>
            <w:id w:val="-386951409"/>
          </w:sdtPr>
          <w:sdtContent>
            <w:tc>
              <w:tcPr>
                <w:tcW w:w="2581" w:type="pct"/>
                <w:tcBorders>
                  <w:top w:val="single" w:sz="4" w:space="0" w:color="auto"/>
                  <w:left w:val="single" w:sz="4" w:space="0" w:color="auto"/>
                  <w:bottom w:val="single" w:sz="4" w:space="0" w:color="auto"/>
                  <w:right w:val="single" w:sz="4" w:space="0" w:color="auto"/>
                </w:tcBorders>
                <w:vAlign w:val="center"/>
              </w:tcPr>
              <w:p w14:paraId="564A5416" w14:textId="77777777" w:rsidR="00577D08" w:rsidRDefault="00330FC0">
                <w:pPr>
                  <w:jc w:val="center"/>
                </w:pPr>
                <w:r>
                  <w:rPr>
                    <w:rFonts w:hint="eastAsia"/>
                  </w:rPr>
                  <w:t>本期发生额</w:t>
                </w:r>
              </w:p>
            </w:tc>
          </w:sdtContent>
        </w:sdt>
      </w:tr>
      <w:tr w:rsidR="00577D08" w14:paraId="378945A9" w14:textId="77777777">
        <w:tc>
          <w:tcPr>
            <w:tcW w:w="2419" w:type="pct"/>
            <w:tcBorders>
              <w:top w:val="single" w:sz="4" w:space="0" w:color="auto"/>
              <w:left w:val="single" w:sz="4" w:space="0" w:color="auto"/>
              <w:bottom w:val="single" w:sz="4" w:space="0" w:color="auto"/>
              <w:right w:val="single" w:sz="4" w:space="0" w:color="auto"/>
            </w:tcBorders>
            <w:vAlign w:val="center"/>
          </w:tcPr>
          <w:p w14:paraId="22202F92" w14:textId="77777777" w:rsidR="00577D08" w:rsidRDefault="00330FC0">
            <w:pPr>
              <w:ind w:right="6"/>
              <w:rPr>
                <w:b/>
                <w:bCs/>
              </w:rPr>
            </w:pPr>
            <w:r>
              <w:rPr>
                <w:rFonts w:hint="eastAsia"/>
              </w:rPr>
              <w:t>利润总额</w:t>
            </w:r>
          </w:p>
        </w:tc>
        <w:tc>
          <w:tcPr>
            <w:tcW w:w="2581" w:type="pct"/>
            <w:tcBorders>
              <w:top w:val="single" w:sz="4" w:space="0" w:color="auto"/>
              <w:left w:val="single" w:sz="4" w:space="0" w:color="auto"/>
              <w:bottom w:val="single" w:sz="6" w:space="0" w:color="auto"/>
              <w:right w:val="single" w:sz="6" w:space="0" w:color="auto"/>
            </w:tcBorders>
          </w:tcPr>
          <w:p w14:paraId="47CDA6EA" w14:textId="77777777" w:rsidR="00577D08" w:rsidRDefault="00330FC0">
            <w:pPr>
              <w:jc w:val="right"/>
            </w:pPr>
            <w:r>
              <w:t>79,394,012.79</w:t>
            </w:r>
          </w:p>
        </w:tc>
      </w:tr>
      <w:tr w:rsidR="00577D08" w14:paraId="5B197283" w14:textId="77777777">
        <w:tc>
          <w:tcPr>
            <w:tcW w:w="2419" w:type="pct"/>
            <w:tcBorders>
              <w:top w:val="single" w:sz="4" w:space="0" w:color="auto"/>
              <w:left w:val="single" w:sz="4" w:space="0" w:color="auto"/>
              <w:bottom w:val="single" w:sz="4" w:space="0" w:color="auto"/>
              <w:right w:val="single" w:sz="4" w:space="0" w:color="auto"/>
            </w:tcBorders>
            <w:vAlign w:val="center"/>
          </w:tcPr>
          <w:p w14:paraId="28423864" w14:textId="77777777" w:rsidR="00577D08" w:rsidRDefault="00330FC0">
            <w:pPr>
              <w:ind w:right="6"/>
            </w:pPr>
            <w:r>
              <w:rPr>
                <w:rFonts w:hint="eastAsia"/>
              </w:rPr>
              <w:t>按法定</w:t>
            </w:r>
            <w:r>
              <w:t>/</w:t>
            </w:r>
            <w:r>
              <w:rPr>
                <w:rFonts w:hint="eastAsia"/>
              </w:rPr>
              <w:t>适用税率计算的所得税费用</w:t>
            </w:r>
          </w:p>
        </w:tc>
        <w:tc>
          <w:tcPr>
            <w:tcW w:w="2581" w:type="pct"/>
            <w:tcBorders>
              <w:top w:val="single" w:sz="6" w:space="0" w:color="auto"/>
              <w:left w:val="single" w:sz="4" w:space="0" w:color="auto"/>
              <w:bottom w:val="single" w:sz="6" w:space="0" w:color="auto"/>
              <w:right w:val="single" w:sz="6" w:space="0" w:color="auto"/>
            </w:tcBorders>
          </w:tcPr>
          <w:p w14:paraId="0F7A1F8F" w14:textId="77777777" w:rsidR="00577D08" w:rsidRDefault="00330FC0">
            <w:pPr>
              <w:jc w:val="right"/>
            </w:pPr>
            <w:r>
              <w:t>11,909,101.92</w:t>
            </w:r>
          </w:p>
        </w:tc>
      </w:tr>
      <w:tr w:rsidR="00577D08" w14:paraId="42033FED" w14:textId="77777777">
        <w:trPr>
          <w:trHeight w:val="139"/>
        </w:trPr>
        <w:tc>
          <w:tcPr>
            <w:tcW w:w="2419" w:type="pct"/>
            <w:tcBorders>
              <w:top w:val="single" w:sz="4" w:space="0" w:color="auto"/>
              <w:left w:val="single" w:sz="4" w:space="0" w:color="auto"/>
              <w:bottom w:val="single" w:sz="4" w:space="0" w:color="auto"/>
              <w:right w:val="single" w:sz="4" w:space="0" w:color="auto"/>
            </w:tcBorders>
            <w:vAlign w:val="center"/>
          </w:tcPr>
          <w:p w14:paraId="7A4AE2F4" w14:textId="77777777" w:rsidR="00577D08" w:rsidRDefault="00330FC0">
            <w:pPr>
              <w:ind w:right="6"/>
            </w:pPr>
            <w:r>
              <w:rPr>
                <w:rFonts w:hint="eastAsia"/>
              </w:rPr>
              <w:lastRenderedPageBreak/>
              <w:t>子公司适用不同税率的影响</w:t>
            </w:r>
          </w:p>
        </w:tc>
        <w:tc>
          <w:tcPr>
            <w:tcW w:w="2581" w:type="pct"/>
            <w:tcBorders>
              <w:top w:val="single" w:sz="6" w:space="0" w:color="auto"/>
              <w:left w:val="single" w:sz="4" w:space="0" w:color="auto"/>
              <w:bottom w:val="single" w:sz="6" w:space="0" w:color="auto"/>
              <w:right w:val="single" w:sz="6" w:space="0" w:color="auto"/>
            </w:tcBorders>
            <w:vAlign w:val="center"/>
          </w:tcPr>
          <w:p w14:paraId="25F1A2E7" w14:textId="77777777" w:rsidR="00577D08" w:rsidRDefault="00330FC0">
            <w:pPr>
              <w:jc w:val="right"/>
            </w:pPr>
            <w:r>
              <w:t>520,049.94</w:t>
            </w:r>
          </w:p>
        </w:tc>
      </w:tr>
      <w:tr w:rsidR="00577D08" w14:paraId="2210D422" w14:textId="77777777">
        <w:tc>
          <w:tcPr>
            <w:tcW w:w="2419" w:type="pct"/>
            <w:tcBorders>
              <w:top w:val="single" w:sz="4" w:space="0" w:color="auto"/>
              <w:left w:val="single" w:sz="4" w:space="0" w:color="auto"/>
              <w:bottom w:val="single" w:sz="4" w:space="0" w:color="auto"/>
              <w:right w:val="single" w:sz="4" w:space="0" w:color="auto"/>
            </w:tcBorders>
            <w:vAlign w:val="center"/>
          </w:tcPr>
          <w:p w14:paraId="11B82FEE" w14:textId="77777777" w:rsidR="00577D08" w:rsidRDefault="00330FC0">
            <w:pPr>
              <w:ind w:right="6"/>
            </w:pPr>
            <w:r>
              <w:rPr>
                <w:rFonts w:hint="eastAsia"/>
              </w:rPr>
              <w:t>调整以前期间所得税的影响</w:t>
            </w:r>
          </w:p>
        </w:tc>
        <w:tc>
          <w:tcPr>
            <w:tcW w:w="2581" w:type="pct"/>
            <w:tcBorders>
              <w:top w:val="single" w:sz="6" w:space="0" w:color="auto"/>
              <w:left w:val="single" w:sz="4" w:space="0" w:color="auto"/>
              <w:bottom w:val="single" w:sz="6" w:space="0" w:color="auto"/>
              <w:right w:val="single" w:sz="6" w:space="0" w:color="auto"/>
            </w:tcBorders>
            <w:vAlign w:val="center"/>
          </w:tcPr>
          <w:p w14:paraId="62138637" w14:textId="77777777" w:rsidR="00577D08" w:rsidRDefault="00330FC0">
            <w:pPr>
              <w:jc w:val="right"/>
            </w:pPr>
            <w:r>
              <w:t>794,794.73</w:t>
            </w:r>
          </w:p>
        </w:tc>
      </w:tr>
      <w:tr w:rsidR="00577D08" w14:paraId="7512FF6D" w14:textId="77777777">
        <w:tc>
          <w:tcPr>
            <w:tcW w:w="2419" w:type="pct"/>
            <w:tcBorders>
              <w:top w:val="single" w:sz="4" w:space="0" w:color="auto"/>
              <w:left w:val="single" w:sz="4" w:space="0" w:color="auto"/>
              <w:bottom w:val="single" w:sz="4" w:space="0" w:color="auto"/>
              <w:right w:val="single" w:sz="4" w:space="0" w:color="auto"/>
            </w:tcBorders>
            <w:vAlign w:val="center"/>
          </w:tcPr>
          <w:p w14:paraId="7AA6E242" w14:textId="77777777" w:rsidR="00577D08" w:rsidRDefault="00330FC0">
            <w:pPr>
              <w:ind w:right="6"/>
            </w:pPr>
            <w:r>
              <w:rPr>
                <w:rFonts w:hint="eastAsia"/>
              </w:rPr>
              <w:t>非应税收入的影响</w:t>
            </w:r>
          </w:p>
        </w:tc>
        <w:tc>
          <w:tcPr>
            <w:tcW w:w="2581" w:type="pct"/>
            <w:tcBorders>
              <w:top w:val="single" w:sz="6" w:space="0" w:color="auto"/>
              <w:left w:val="single" w:sz="4" w:space="0" w:color="auto"/>
              <w:bottom w:val="single" w:sz="6" w:space="0" w:color="auto"/>
              <w:right w:val="single" w:sz="6" w:space="0" w:color="auto"/>
            </w:tcBorders>
            <w:vAlign w:val="center"/>
          </w:tcPr>
          <w:p w14:paraId="6F42E9DF" w14:textId="77777777" w:rsidR="00577D08" w:rsidRDefault="00330FC0">
            <w:pPr>
              <w:jc w:val="right"/>
            </w:pPr>
            <w:r>
              <w:t>233,452.81</w:t>
            </w:r>
          </w:p>
        </w:tc>
      </w:tr>
      <w:tr w:rsidR="00577D08" w14:paraId="010FA118" w14:textId="77777777">
        <w:tc>
          <w:tcPr>
            <w:tcW w:w="2419" w:type="pct"/>
            <w:tcBorders>
              <w:top w:val="single" w:sz="4" w:space="0" w:color="auto"/>
              <w:left w:val="single" w:sz="4" w:space="0" w:color="auto"/>
              <w:bottom w:val="single" w:sz="4" w:space="0" w:color="auto"/>
              <w:right w:val="single" w:sz="4" w:space="0" w:color="auto"/>
            </w:tcBorders>
            <w:vAlign w:val="center"/>
          </w:tcPr>
          <w:p w14:paraId="74DDFCB1" w14:textId="77777777" w:rsidR="00577D08" w:rsidRDefault="00330FC0">
            <w:pPr>
              <w:ind w:right="6"/>
            </w:pPr>
            <w:r>
              <w:rPr>
                <w:rFonts w:hint="eastAsia"/>
              </w:rPr>
              <w:t>研发费用等加计扣除项目的影响</w:t>
            </w:r>
          </w:p>
        </w:tc>
        <w:tc>
          <w:tcPr>
            <w:tcW w:w="2581" w:type="pct"/>
            <w:tcBorders>
              <w:top w:val="single" w:sz="6" w:space="0" w:color="auto"/>
              <w:left w:val="single" w:sz="4" w:space="0" w:color="auto"/>
              <w:bottom w:val="single" w:sz="6" w:space="0" w:color="auto"/>
              <w:right w:val="single" w:sz="6" w:space="0" w:color="auto"/>
            </w:tcBorders>
            <w:vAlign w:val="center"/>
          </w:tcPr>
          <w:p w14:paraId="03341B80" w14:textId="77777777" w:rsidR="00577D08" w:rsidRDefault="00330FC0">
            <w:pPr>
              <w:jc w:val="right"/>
            </w:pPr>
            <w:r>
              <w:t>-4,919,768.62</w:t>
            </w:r>
          </w:p>
        </w:tc>
      </w:tr>
      <w:tr w:rsidR="00577D08" w14:paraId="7C0CD452" w14:textId="77777777">
        <w:tc>
          <w:tcPr>
            <w:tcW w:w="2419" w:type="pct"/>
            <w:tcBorders>
              <w:top w:val="single" w:sz="4" w:space="0" w:color="auto"/>
              <w:left w:val="single" w:sz="4" w:space="0" w:color="auto"/>
              <w:bottom w:val="single" w:sz="4" w:space="0" w:color="auto"/>
              <w:right w:val="single" w:sz="4" w:space="0" w:color="auto"/>
            </w:tcBorders>
            <w:vAlign w:val="center"/>
          </w:tcPr>
          <w:p w14:paraId="4FA3D3E9" w14:textId="77777777" w:rsidR="00577D08" w:rsidRDefault="00330FC0">
            <w:pPr>
              <w:ind w:right="6"/>
            </w:pPr>
            <w:r>
              <w:rPr>
                <w:rFonts w:hint="eastAsia"/>
              </w:rPr>
              <w:t>不可抵扣的成本、费用和损失的影响</w:t>
            </w:r>
          </w:p>
        </w:tc>
        <w:tc>
          <w:tcPr>
            <w:tcW w:w="2581" w:type="pct"/>
            <w:tcBorders>
              <w:top w:val="single" w:sz="6" w:space="0" w:color="auto"/>
              <w:left w:val="single" w:sz="4" w:space="0" w:color="auto"/>
              <w:bottom w:val="single" w:sz="6" w:space="0" w:color="auto"/>
              <w:right w:val="single" w:sz="6" w:space="0" w:color="auto"/>
            </w:tcBorders>
            <w:vAlign w:val="center"/>
          </w:tcPr>
          <w:p w14:paraId="5B057957" w14:textId="77777777" w:rsidR="00577D08" w:rsidRDefault="00330FC0">
            <w:pPr>
              <w:jc w:val="right"/>
            </w:pPr>
            <w:r>
              <w:t>3,455,383.50</w:t>
            </w:r>
          </w:p>
        </w:tc>
      </w:tr>
      <w:tr w:rsidR="00577D08" w14:paraId="541A2A8B" w14:textId="77777777">
        <w:tc>
          <w:tcPr>
            <w:tcW w:w="2419" w:type="pct"/>
            <w:tcBorders>
              <w:top w:val="single" w:sz="4" w:space="0" w:color="auto"/>
              <w:left w:val="single" w:sz="4" w:space="0" w:color="auto"/>
              <w:bottom w:val="single" w:sz="4" w:space="0" w:color="auto"/>
              <w:right w:val="single" w:sz="4" w:space="0" w:color="auto"/>
            </w:tcBorders>
            <w:vAlign w:val="center"/>
          </w:tcPr>
          <w:p w14:paraId="133A4634" w14:textId="77777777" w:rsidR="00577D08" w:rsidRDefault="00330FC0">
            <w:pPr>
              <w:ind w:right="6"/>
            </w:pPr>
            <w:r>
              <w:rPr>
                <w:rFonts w:hint="eastAsia"/>
              </w:rPr>
              <w:t>使用前期未确认递延所得税资产的可抵扣亏损的影响</w:t>
            </w:r>
          </w:p>
        </w:tc>
        <w:tc>
          <w:tcPr>
            <w:tcW w:w="2581" w:type="pct"/>
            <w:tcBorders>
              <w:top w:val="single" w:sz="6" w:space="0" w:color="auto"/>
              <w:left w:val="single" w:sz="4" w:space="0" w:color="auto"/>
              <w:bottom w:val="single" w:sz="6" w:space="0" w:color="auto"/>
              <w:right w:val="single" w:sz="6" w:space="0" w:color="auto"/>
            </w:tcBorders>
            <w:vAlign w:val="center"/>
          </w:tcPr>
          <w:p w14:paraId="3DA3E878" w14:textId="77777777" w:rsidR="00577D08" w:rsidRDefault="00330FC0">
            <w:pPr>
              <w:jc w:val="right"/>
            </w:pPr>
            <w:r>
              <w:t>-6,504,068.75</w:t>
            </w:r>
          </w:p>
        </w:tc>
      </w:tr>
      <w:tr w:rsidR="00577D08" w14:paraId="19565A41" w14:textId="77777777">
        <w:tc>
          <w:tcPr>
            <w:tcW w:w="2419" w:type="pct"/>
            <w:tcBorders>
              <w:top w:val="single" w:sz="4" w:space="0" w:color="auto"/>
              <w:left w:val="single" w:sz="4" w:space="0" w:color="auto"/>
              <w:bottom w:val="single" w:sz="4" w:space="0" w:color="auto"/>
              <w:right w:val="single" w:sz="4" w:space="0" w:color="auto"/>
            </w:tcBorders>
            <w:vAlign w:val="center"/>
          </w:tcPr>
          <w:p w14:paraId="0ADF065E" w14:textId="77777777" w:rsidR="00577D08" w:rsidRDefault="00330FC0">
            <w:pPr>
              <w:ind w:right="6"/>
            </w:pPr>
            <w:r>
              <w:rPr>
                <w:rFonts w:hint="eastAsia"/>
              </w:rPr>
              <w:t>本期未确认递延所得税资产的可抵扣暂时性差异或可抵扣亏损的影响</w:t>
            </w:r>
          </w:p>
        </w:tc>
        <w:tc>
          <w:tcPr>
            <w:tcW w:w="2581" w:type="pct"/>
            <w:tcBorders>
              <w:top w:val="single" w:sz="6" w:space="0" w:color="auto"/>
              <w:left w:val="single" w:sz="4" w:space="0" w:color="auto"/>
              <w:bottom w:val="single" w:sz="6" w:space="0" w:color="auto"/>
              <w:right w:val="single" w:sz="6" w:space="0" w:color="auto"/>
            </w:tcBorders>
            <w:vAlign w:val="center"/>
          </w:tcPr>
          <w:p w14:paraId="2903FEE5" w14:textId="77777777" w:rsidR="00577D08" w:rsidRDefault="00330FC0">
            <w:pPr>
              <w:jc w:val="right"/>
            </w:pPr>
            <w:r>
              <w:t>126,674.53</w:t>
            </w:r>
          </w:p>
        </w:tc>
      </w:tr>
      <w:tr w:rsidR="00577D08" w14:paraId="7C24731D" w14:textId="77777777">
        <w:tc>
          <w:tcPr>
            <w:tcW w:w="2419" w:type="pct"/>
            <w:tcBorders>
              <w:top w:val="single" w:sz="4" w:space="0" w:color="auto"/>
              <w:left w:val="single" w:sz="4" w:space="0" w:color="auto"/>
              <w:bottom w:val="single" w:sz="4" w:space="0" w:color="auto"/>
              <w:right w:val="single" w:sz="4" w:space="0" w:color="auto"/>
            </w:tcBorders>
            <w:vAlign w:val="center"/>
          </w:tcPr>
          <w:p w14:paraId="20D138E5" w14:textId="77777777" w:rsidR="00577D08" w:rsidRDefault="00330FC0">
            <w:r>
              <w:rPr>
                <w:rFonts w:hint="eastAsia"/>
              </w:rPr>
              <w:t>所得税费用</w:t>
            </w:r>
          </w:p>
        </w:tc>
        <w:tc>
          <w:tcPr>
            <w:tcW w:w="2581" w:type="pct"/>
            <w:tcBorders>
              <w:top w:val="single" w:sz="6" w:space="0" w:color="auto"/>
              <w:left w:val="single" w:sz="4" w:space="0" w:color="auto"/>
              <w:bottom w:val="single" w:sz="6" w:space="0" w:color="auto"/>
              <w:right w:val="single" w:sz="6" w:space="0" w:color="auto"/>
            </w:tcBorders>
            <w:vAlign w:val="center"/>
          </w:tcPr>
          <w:p w14:paraId="15807565" w14:textId="77777777" w:rsidR="00577D08" w:rsidRDefault="00330FC0">
            <w:pPr>
              <w:jc w:val="right"/>
            </w:pPr>
            <w:r>
              <w:t>5,615,620.06</w:t>
            </w:r>
          </w:p>
        </w:tc>
      </w:tr>
    </w:tbl>
    <w:p w14:paraId="1D610E0F" w14:textId="77777777" w:rsidR="00577D08" w:rsidRDefault="00330FC0">
      <w:pPr>
        <w:spacing w:before="60" w:after="60"/>
      </w:pPr>
      <w:r>
        <w:rPr>
          <w:rFonts w:hint="eastAsia"/>
        </w:rPr>
        <w:t>其他说明：</w:t>
      </w:r>
    </w:p>
    <w:sdt>
      <w:sdtPr>
        <w:alias w:val="是否适用：所得税费用的说明[双击切换]"/>
        <w:tag w:val="_GBC_6d867e6606c643469619e039bd83c158"/>
        <w:id w:val="-1985996580"/>
        <w:placeholder>
          <w:docPart w:val="GBC22222222222222222222222222222"/>
        </w:placeholder>
      </w:sdtPr>
      <w:sdtContent>
        <w:p w14:paraId="2F6505EE" w14:textId="77777777" w:rsidR="00577D08" w:rsidRDefault="00330FC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A142F1"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其他综合收益</w:t>
      </w:r>
    </w:p>
    <w:sdt>
      <w:sdtPr>
        <w:alias w:val="是否适用：其他综合收益说明[双击切换]"/>
        <w:tag w:val="_GBC_055e86e99cd742699e3e89a438a26b74"/>
        <w:id w:val="1078405347"/>
        <w:placeholder>
          <w:docPart w:val="GBC22222222222222222222222222222"/>
        </w:placeholder>
      </w:sdtPr>
      <w:sdtContent>
        <w:p w14:paraId="3291FC5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58A081F" w14:textId="77777777" w:rsidR="00577D08" w:rsidRDefault="00000000">
      <w:sdt>
        <w:sdtPr>
          <w:rPr>
            <w:rFonts w:hint="eastAsia"/>
          </w:rPr>
          <w:alias w:val="其他综合收益详见附注"/>
          <w:tag w:val="_GBC_88f79522b3404a9cba25ea8b611e6680"/>
          <w:id w:val="-719670216"/>
          <w:placeholder>
            <w:docPart w:val="GBC22222222222222222222222222222"/>
          </w:placeholder>
        </w:sdtPr>
        <w:sdtContent>
          <w:r w:rsidR="00330FC0">
            <w:rPr>
              <w:rFonts w:hint="eastAsia"/>
            </w:rPr>
            <w:t>详见“第八节</w:t>
          </w:r>
          <w:r w:rsidR="00330FC0">
            <w:rPr>
              <w:rFonts w:hint="eastAsia"/>
            </w:rPr>
            <w:t>.</w:t>
          </w:r>
          <w:r w:rsidR="00330FC0">
            <w:rPr>
              <w:rFonts w:hint="eastAsia"/>
            </w:rPr>
            <w:t>七、合并财务报表项目注释</w:t>
          </w:r>
          <w:r w:rsidR="00330FC0">
            <w:rPr>
              <w:rFonts w:hint="eastAsia"/>
            </w:rPr>
            <w:t>.57</w:t>
          </w:r>
          <w:r w:rsidR="00330FC0">
            <w:rPr>
              <w:rFonts w:hint="eastAsia"/>
            </w:rPr>
            <w:t>、其他综合收益”。</w:t>
          </w:r>
        </w:sdtContent>
      </w:sdt>
    </w:p>
    <w:p w14:paraId="3B664C6D"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现金流量表项目</w:t>
      </w:r>
    </w:p>
    <w:p w14:paraId="5E8ED028" w14:textId="77777777" w:rsidR="00577D08" w:rsidRDefault="00330FC0">
      <w:pPr>
        <w:pStyle w:val="4"/>
        <w:numPr>
          <w:ilvl w:val="0"/>
          <w:numId w:val="99"/>
        </w:numPr>
        <w:ind w:left="426" w:hanging="426"/>
        <w:rPr>
          <w:rFonts w:hint="eastAsia"/>
        </w:rPr>
      </w:pPr>
      <w:r>
        <w:rPr>
          <w:rFonts w:hint="eastAsia"/>
        </w:rPr>
        <w:t>与经营活动有关的现金</w:t>
      </w:r>
    </w:p>
    <w:p w14:paraId="27D47137" w14:textId="77777777" w:rsidR="00577D08" w:rsidRDefault="00330FC0">
      <w:r>
        <w:rPr>
          <w:rFonts w:hint="eastAsia"/>
        </w:rPr>
        <w:t>收到的其他与经营活动有关的现金</w:t>
      </w:r>
    </w:p>
    <w:sdt>
      <w:sdtPr>
        <w:alias w:val="是否适用：收到的其他与经营活动有关的现金[双击切换]"/>
        <w:tag w:val="_GBC_27345010807c4445aa9d99ce1518a33b"/>
        <w:id w:val="1018508938"/>
        <w:placeholder>
          <w:docPart w:val="GBC22222222222222222222222222222"/>
        </w:placeholder>
      </w:sdtPr>
      <w:sdtContent>
        <w:p w14:paraId="1C0806ED"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AFE718F" w14:textId="703D2461" w:rsidR="00577D08" w:rsidRDefault="00330FC0">
      <w:pPr>
        <w:jc w:val="right"/>
      </w:pPr>
      <w:r>
        <w:rPr>
          <w:rFonts w:hint="eastAsia"/>
        </w:rPr>
        <w:t>单位：</w:t>
      </w:r>
      <w:sdt>
        <w:sdtPr>
          <w:rPr>
            <w:rFonts w:hint="eastAsia"/>
          </w:rPr>
          <w:alias w:val="单位：财务附注：收到的其他与经营活动有关的现金"/>
          <w:tag w:val="_GBC_dda6e50e7ee34f71977565af2472b533"/>
          <w:id w:val="-15270932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收到的其他与经营活动有关的现金"/>
          <w:tag w:val="_GBC_8a91de0777534f02ab9e5a53784ea05b"/>
          <w:id w:val="3309503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830"/>
        <w:gridCol w:w="2819"/>
      </w:tblGrid>
      <w:tr w:rsidR="00577D08" w14:paraId="29D6CF88" w14:textId="77777777">
        <w:sdt>
          <w:sdtPr>
            <w:tag w:val="_PLD_f7a5d7090c5c4e2b95d9e6f0ea383580"/>
            <w:id w:val="1227263381"/>
          </w:sdtPr>
          <w:sdtContent>
            <w:tc>
              <w:tcPr>
                <w:tcW w:w="3409" w:type="dxa"/>
                <w:vAlign w:val="center"/>
              </w:tcPr>
              <w:p w14:paraId="0E577563" w14:textId="77777777" w:rsidR="00577D08" w:rsidRDefault="00330FC0">
                <w:pPr>
                  <w:autoSpaceDE w:val="0"/>
                  <w:autoSpaceDN w:val="0"/>
                  <w:adjustRightInd w:val="0"/>
                  <w:snapToGrid w:val="0"/>
                  <w:spacing w:line="240" w:lineRule="atLeast"/>
                  <w:jc w:val="center"/>
                </w:pPr>
                <w:r>
                  <w:rPr>
                    <w:rFonts w:hint="eastAsia"/>
                  </w:rPr>
                  <w:t>项目</w:t>
                </w:r>
              </w:p>
            </w:tc>
          </w:sdtContent>
        </w:sdt>
        <w:sdt>
          <w:sdtPr>
            <w:tag w:val="_PLD_6a2d5fc680f64ea980912395fdf43d18"/>
            <w:id w:val="-648978516"/>
          </w:sdtPr>
          <w:sdtContent>
            <w:tc>
              <w:tcPr>
                <w:tcW w:w="2830" w:type="dxa"/>
                <w:vAlign w:val="center"/>
              </w:tcPr>
              <w:p w14:paraId="4C3F02F3" w14:textId="77777777" w:rsidR="00577D08" w:rsidRDefault="00330FC0">
                <w:pPr>
                  <w:autoSpaceDE w:val="0"/>
                  <w:autoSpaceDN w:val="0"/>
                  <w:adjustRightInd w:val="0"/>
                  <w:snapToGrid w:val="0"/>
                  <w:spacing w:line="240" w:lineRule="atLeast"/>
                  <w:jc w:val="center"/>
                </w:pPr>
                <w:r>
                  <w:rPr>
                    <w:rFonts w:hint="eastAsia"/>
                  </w:rPr>
                  <w:t>本期发生额</w:t>
                </w:r>
              </w:p>
            </w:tc>
          </w:sdtContent>
        </w:sdt>
        <w:sdt>
          <w:sdtPr>
            <w:tag w:val="_PLD_4c33d44ff7254e8994d6dacbfee10de3"/>
            <w:id w:val="-1840921897"/>
          </w:sdtPr>
          <w:sdtContent>
            <w:tc>
              <w:tcPr>
                <w:tcW w:w="2819" w:type="dxa"/>
                <w:vAlign w:val="center"/>
              </w:tcPr>
              <w:p w14:paraId="2860EFA8" w14:textId="77777777" w:rsidR="00577D08" w:rsidRDefault="00330FC0">
                <w:pPr>
                  <w:autoSpaceDE w:val="0"/>
                  <w:autoSpaceDN w:val="0"/>
                  <w:adjustRightInd w:val="0"/>
                  <w:snapToGrid w:val="0"/>
                  <w:spacing w:line="240" w:lineRule="atLeast"/>
                  <w:jc w:val="center"/>
                </w:pPr>
                <w:r>
                  <w:rPr>
                    <w:rFonts w:hint="eastAsia"/>
                  </w:rPr>
                  <w:t>上期发生额</w:t>
                </w:r>
              </w:p>
            </w:tc>
          </w:sdtContent>
        </w:sdt>
      </w:tr>
      <w:tr w:rsidR="00577D08" w14:paraId="3B10CDD6" w14:textId="77777777">
        <w:tc>
          <w:tcPr>
            <w:tcW w:w="3409" w:type="dxa"/>
          </w:tcPr>
          <w:p w14:paraId="30E46388" w14:textId="77777777" w:rsidR="00577D08" w:rsidRDefault="00330FC0">
            <w:pPr>
              <w:autoSpaceDE w:val="0"/>
              <w:autoSpaceDN w:val="0"/>
              <w:adjustRightInd w:val="0"/>
              <w:snapToGrid w:val="0"/>
              <w:spacing w:line="240" w:lineRule="atLeast"/>
            </w:pPr>
            <w:r>
              <w:rPr>
                <w:rFonts w:hint="eastAsia"/>
              </w:rPr>
              <w:t>收到银行利息收入</w:t>
            </w:r>
          </w:p>
        </w:tc>
        <w:tc>
          <w:tcPr>
            <w:tcW w:w="2830" w:type="dxa"/>
          </w:tcPr>
          <w:p w14:paraId="44CB2B0D" w14:textId="77777777" w:rsidR="00577D08" w:rsidRDefault="00330FC0">
            <w:pPr>
              <w:jc w:val="right"/>
            </w:pPr>
            <w:r>
              <w:t xml:space="preserve"> 35,670,116.64 </w:t>
            </w:r>
          </w:p>
        </w:tc>
        <w:tc>
          <w:tcPr>
            <w:tcW w:w="2819" w:type="dxa"/>
          </w:tcPr>
          <w:p w14:paraId="413F78F9" w14:textId="77777777" w:rsidR="00577D08" w:rsidRDefault="00330FC0">
            <w:pPr>
              <w:jc w:val="right"/>
            </w:pPr>
            <w:r>
              <w:t>35,603,221.13</w:t>
            </w:r>
          </w:p>
        </w:tc>
      </w:tr>
      <w:tr w:rsidR="00577D08" w14:paraId="23711192" w14:textId="77777777">
        <w:tc>
          <w:tcPr>
            <w:tcW w:w="3409" w:type="dxa"/>
          </w:tcPr>
          <w:p w14:paraId="0EB55B5E" w14:textId="77777777" w:rsidR="00577D08" w:rsidRDefault="00330FC0">
            <w:pPr>
              <w:autoSpaceDE w:val="0"/>
              <w:autoSpaceDN w:val="0"/>
              <w:adjustRightInd w:val="0"/>
              <w:snapToGrid w:val="0"/>
              <w:spacing w:line="240" w:lineRule="atLeast"/>
            </w:pPr>
            <w:r>
              <w:rPr>
                <w:rFonts w:hint="eastAsia"/>
              </w:rPr>
              <w:t>收到政府补助</w:t>
            </w:r>
          </w:p>
        </w:tc>
        <w:tc>
          <w:tcPr>
            <w:tcW w:w="2830" w:type="dxa"/>
          </w:tcPr>
          <w:p w14:paraId="5E7EE9B5" w14:textId="77777777" w:rsidR="00577D08" w:rsidRDefault="00330FC0">
            <w:pPr>
              <w:jc w:val="right"/>
            </w:pPr>
            <w:r>
              <w:t xml:space="preserve"> 10,474,806.73 </w:t>
            </w:r>
          </w:p>
        </w:tc>
        <w:tc>
          <w:tcPr>
            <w:tcW w:w="2819" w:type="dxa"/>
          </w:tcPr>
          <w:p w14:paraId="45D8A64F" w14:textId="77777777" w:rsidR="00577D08" w:rsidRDefault="00330FC0">
            <w:pPr>
              <w:jc w:val="right"/>
            </w:pPr>
            <w:r>
              <w:t>63,706,425.91</w:t>
            </w:r>
          </w:p>
        </w:tc>
      </w:tr>
      <w:tr w:rsidR="00577D08" w14:paraId="1FD35317" w14:textId="77777777">
        <w:tc>
          <w:tcPr>
            <w:tcW w:w="3409" w:type="dxa"/>
          </w:tcPr>
          <w:p w14:paraId="43BBE4F5" w14:textId="77777777" w:rsidR="00577D08" w:rsidRDefault="00330FC0">
            <w:pPr>
              <w:autoSpaceDE w:val="0"/>
              <w:autoSpaceDN w:val="0"/>
              <w:adjustRightInd w:val="0"/>
              <w:snapToGrid w:val="0"/>
              <w:spacing w:line="240" w:lineRule="atLeast"/>
            </w:pPr>
            <w:r>
              <w:rPr>
                <w:rFonts w:hint="eastAsia"/>
              </w:rPr>
              <w:t>收到保证金及押金净额</w:t>
            </w:r>
          </w:p>
        </w:tc>
        <w:tc>
          <w:tcPr>
            <w:tcW w:w="2830" w:type="dxa"/>
          </w:tcPr>
          <w:p w14:paraId="1A4B5975" w14:textId="77777777" w:rsidR="00577D08" w:rsidRDefault="00330FC0">
            <w:pPr>
              <w:jc w:val="right"/>
            </w:pPr>
            <w:r>
              <w:t xml:space="preserve"> 1,602,259.41 </w:t>
            </w:r>
          </w:p>
        </w:tc>
        <w:tc>
          <w:tcPr>
            <w:tcW w:w="2819" w:type="dxa"/>
          </w:tcPr>
          <w:p w14:paraId="57B397CC" w14:textId="77777777" w:rsidR="00577D08" w:rsidRDefault="00330FC0">
            <w:pPr>
              <w:jc w:val="right"/>
            </w:pPr>
            <w:r>
              <w:t>60,792,294.72</w:t>
            </w:r>
          </w:p>
        </w:tc>
      </w:tr>
      <w:tr w:rsidR="00577D08" w14:paraId="6F0549DC" w14:textId="77777777">
        <w:tc>
          <w:tcPr>
            <w:tcW w:w="3409" w:type="dxa"/>
          </w:tcPr>
          <w:p w14:paraId="09275501" w14:textId="77777777" w:rsidR="00577D08" w:rsidRDefault="00330FC0">
            <w:pPr>
              <w:autoSpaceDE w:val="0"/>
              <w:autoSpaceDN w:val="0"/>
              <w:adjustRightInd w:val="0"/>
              <w:snapToGrid w:val="0"/>
              <w:spacing w:line="240" w:lineRule="atLeast"/>
            </w:pPr>
            <w:r>
              <w:rPr>
                <w:rFonts w:hint="eastAsia"/>
              </w:rPr>
              <w:t>收到其他</w:t>
            </w:r>
          </w:p>
        </w:tc>
        <w:tc>
          <w:tcPr>
            <w:tcW w:w="2830" w:type="dxa"/>
          </w:tcPr>
          <w:p w14:paraId="44F4AAF4" w14:textId="77777777" w:rsidR="00577D08" w:rsidRDefault="00330FC0">
            <w:pPr>
              <w:jc w:val="right"/>
            </w:pPr>
            <w:r>
              <w:t xml:space="preserve"> 981,927.63 </w:t>
            </w:r>
          </w:p>
        </w:tc>
        <w:tc>
          <w:tcPr>
            <w:tcW w:w="2819" w:type="dxa"/>
          </w:tcPr>
          <w:p w14:paraId="794F3731" w14:textId="77777777" w:rsidR="00577D08" w:rsidRDefault="00330FC0">
            <w:pPr>
              <w:jc w:val="right"/>
            </w:pPr>
            <w:r>
              <w:t>3,328,683.27</w:t>
            </w:r>
          </w:p>
        </w:tc>
      </w:tr>
      <w:tr w:rsidR="00577D08" w14:paraId="299E9098" w14:textId="77777777">
        <w:tc>
          <w:tcPr>
            <w:tcW w:w="3409" w:type="dxa"/>
            <w:vAlign w:val="center"/>
          </w:tcPr>
          <w:p w14:paraId="38EF6EE3" w14:textId="77777777" w:rsidR="00577D08" w:rsidRDefault="00330FC0">
            <w:pPr>
              <w:autoSpaceDE w:val="0"/>
              <w:autoSpaceDN w:val="0"/>
              <w:adjustRightInd w:val="0"/>
              <w:snapToGrid w:val="0"/>
              <w:spacing w:line="240" w:lineRule="atLeast"/>
              <w:jc w:val="center"/>
            </w:pPr>
            <w:r>
              <w:rPr>
                <w:rFonts w:hint="eastAsia"/>
              </w:rPr>
              <w:t>合计</w:t>
            </w:r>
          </w:p>
        </w:tc>
        <w:tc>
          <w:tcPr>
            <w:tcW w:w="2830" w:type="dxa"/>
          </w:tcPr>
          <w:p w14:paraId="547DDEF1" w14:textId="77777777" w:rsidR="00577D08" w:rsidRDefault="00330FC0">
            <w:pPr>
              <w:jc w:val="right"/>
            </w:pPr>
            <w:r>
              <w:t xml:space="preserve"> 48,729,110.41 </w:t>
            </w:r>
          </w:p>
        </w:tc>
        <w:tc>
          <w:tcPr>
            <w:tcW w:w="2819" w:type="dxa"/>
          </w:tcPr>
          <w:p w14:paraId="7BDEB3A4" w14:textId="77777777" w:rsidR="00577D08" w:rsidRDefault="00330FC0">
            <w:pPr>
              <w:jc w:val="right"/>
            </w:pPr>
            <w:r>
              <w:t>163,430,625.03</w:t>
            </w:r>
          </w:p>
        </w:tc>
      </w:tr>
    </w:tbl>
    <w:p w14:paraId="431DCDFE" w14:textId="77777777" w:rsidR="00577D08" w:rsidRDefault="00330FC0">
      <w:pPr>
        <w:snapToGrid w:val="0"/>
        <w:spacing w:before="60" w:after="60" w:line="240" w:lineRule="atLeast"/>
      </w:pPr>
      <w:r>
        <w:rPr>
          <w:rFonts w:hint="eastAsia"/>
        </w:rPr>
        <w:t>收到的其他与经营活动有关的现金说明：</w:t>
      </w:r>
    </w:p>
    <w:sdt>
      <w:sdtPr>
        <w:alias w:val="收到的其他与经营活动有关的现金说明"/>
        <w:tag w:val="_GBC_2e3adcc96d704a9b8dd36934b863d3d4"/>
        <w:id w:val="453684591"/>
        <w:placeholder>
          <w:docPart w:val="GBC22222222222222222222222222222"/>
        </w:placeholder>
      </w:sdtPr>
      <w:sdtContent>
        <w:p w14:paraId="69745AA5" w14:textId="77777777" w:rsidR="00577D08" w:rsidRDefault="00330FC0">
          <w:r>
            <w:rPr>
              <w:rFonts w:hint="eastAsia"/>
            </w:rPr>
            <w:t>无</w:t>
          </w:r>
        </w:p>
      </w:sdtContent>
    </w:sdt>
    <w:p w14:paraId="2FC64FD2" w14:textId="77777777" w:rsidR="00577D08" w:rsidRDefault="00330FC0">
      <w:r>
        <w:rPr>
          <w:rFonts w:hint="eastAsia"/>
        </w:rPr>
        <w:t>支付的其他与经营活动有关的现金</w:t>
      </w:r>
    </w:p>
    <w:sdt>
      <w:sdtPr>
        <w:alias w:val="是否适用：支付的其他与经营活动有关的现金[双击切换]"/>
        <w:tag w:val="_GBC_f4dd9812849049808cd722f0acb16a7a"/>
        <w:id w:val="-663466844"/>
        <w:placeholder>
          <w:docPart w:val="GBC22222222222222222222222222222"/>
        </w:placeholder>
      </w:sdtPr>
      <w:sdtContent>
        <w:p w14:paraId="65F109F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B196C40" w14:textId="163B3765" w:rsidR="00577D08" w:rsidRDefault="00330FC0">
      <w:pPr>
        <w:jc w:val="right"/>
      </w:pPr>
      <w:r>
        <w:rPr>
          <w:rFonts w:hint="eastAsia"/>
        </w:rPr>
        <w:t>单位：</w:t>
      </w:r>
      <w:sdt>
        <w:sdtPr>
          <w:rPr>
            <w:rFonts w:hint="eastAsia"/>
          </w:rPr>
          <w:alias w:val="单位：财务附注：支付的其他与经营活动有关的现金"/>
          <w:tag w:val="_GBC_43b6d286fa3345adb12f59f8ca6d94fd"/>
          <w:id w:val="20850927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支付的其他与经营活动有关的现金"/>
          <w:tag w:val="_GBC_1cb95a87f7e44f1f81d520deac5b4e18"/>
          <w:id w:val="14535128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810"/>
        <w:gridCol w:w="2839"/>
      </w:tblGrid>
      <w:tr w:rsidR="00577D08" w14:paraId="5933C141" w14:textId="77777777">
        <w:sdt>
          <w:sdtPr>
            <w:tag w:val="_PLD_313336294a534de9a634e32311d5592e"/>
            <w:id w:val="403884102"/>
          </w:sdtPr>
          <w:sdtContent>
            <w:tc>
              <w:tcPr>
                <w:tcW w:w="3409" w:type="dxa"/>
                <w:vAlign w:val="center"/>
              </w:tcPr>
              <w:p w14:paraId="495AD3AD" w14:textId="77777777" w:rsidR="00577D08" w:rsidRDefault="00330FC0">
                <w:pPr>
                  <w:autoSpaceDE w:val="0"/>
                  <w:autoSpaceDN w:val="0"/>
                  <w:adjustRightInd w:val="0"/>
                  <w:snapToGrid w:val="0"/>
                  <w:jc w:val="center"/>
                </w:pPr>
                <w:r>
                  <w:rPr>
                    <w:rFonts w:hint="eastAsia"/>
                  </w:rPr>
                  <w:t>项目</w:t>
                </w:r>
              </w:p>
            </w:tc>
          </w:sdtContent>
        </w:sdt>
        <w:sdt>
          <w:sdtPr>
            <w:tag w:val="_PLD_254446e36934468da941d479360a4c79"/>
            <w:id w:val="-1797442777"/>
          </w:sdtPr>
          <w:sdtContent>
            <w:tc>
              <w:tcPr>
                <w:tcW w:w="2810" w:type="dxa"/>
                <w:vAlign w:val="center"/>
              </w:tcPr>
              <w:p w14:paraId="3C777A93" w14:textId="77777777" w:rsidR="00577D08" w:rsidRDefault="00330FC0">
                <w:pPr>
                  <w:autoSpaceDE w:val="0"/>
                  <w:autoSpaceDN w:val="0"/>
                  <w:adjustRightInd w:val="0"/>
                  <w:snapToGrid w:val="0"/>
                  <w:jc w:val="center"/>
                </w:pPr>
                <w:r>
                  <w:rPr>
                    <w:rFonts w:hint="eastAsia"/>
                  </w:rPr>
                  <w:t>本期发生额</w:t>
                </w:r>
              </w:p>
            </w:tc>
          </w:sdtContent>
        </w:sdt>
        <w:sdt>
          <w:sdtPr>
            <w:tag w:val="_PLD_7dc479c1c10240cc94f89ea3fc1d6136"/>
            <w:id w:val="-1251196043"/>
          </w:sdtPr>
          <w:sdtContent>
            <w:tc>
              <w:tcPr>
                <w:tcW w:w="2839" w:type="dxa"/>
                <w:vAlign w:val="center"/>
              </w:tcPr>
              <w:p w14:paraId="4EA6345D" w14:textId="77777777" w:rsidR="00577D08" w:rsidRDefault="00330FC0">
                <w:pPr>
                  <w:autoSpaceDE w:val="0"/>
                  <w:autoSpaceDN w:val="0"/>
                  <w:adjustRightInd w:val="0"/>
                  <w:snapToGrid w:val="0"/>
                  <w:jc w:val="center"/>
                </w:pPr>
                <w:r>
                  <w:rPr>
                    <w:rFonts w:hint="eastAsia"/>
                  </w:rPr>
                  <w:t>上期发生额</w:t>
                </w:r>
              </w:p>
            </w:tc>
          </w:sdtContent>
        </w:sdt>
      </w:tr>
      <w:tr w:rsidR="00577D08" w14:paraId="0AFCD901" w14:textId="77777777">
        <w:tc>
          <w:tcPr>
            <w:tcW w:w="3409" w:type="dxa"/>
          </w:tcPr>
          <w:p w14:paraId="3189C2EA" w14:textId="77777777" w:rsidR="00577D08" w:rsidRDefault="00330FC0">
            <w:pPr>
              <w:autoSpaceDE w:val="0"/>
              <w:autoSpaceDN w:val="0"/>
              <w:adjustRightInd w:val="0"/>
              <w:snapToGrid w:val="0"/>
            </w:pPr>
            <w:r>
              <w:rPr>
                <w:rFonts w:hint="eastAsia"/>
              </w:rPr>
              <w:t>支付期间费用</w:t>
            </w:r>
          </w:p>
        </w:tc>
        <w:tc>
          <w:tcPr>
            <w:tcW w:w="2810" w:type="dxa"/>
          </w:tcPr>
          <w:p w14:paraId="0D075EDB" w14:textId="77777777" w:rsidR="00577D08" w:rsidRDefault="00330FC0">
            <w:pPr>
              <w:jc w:val="right"/>
            </w:pPr>
            <w:r>
              <w:t xml:space="preserve"> 112,590,145.48 </w:t>
            </w:r>
          </w:p>
        </w:tc>
        <w:tc>
          <w:tcPr>
            <w:tcW w:w="2839" w:type="dxa"/>
          </w:tcPr>
          <w:p w14:paraId="6ECEB4D9" w14:textId="77777777" w:rsidR="00577D08" w:rsidRDefault="00330FC0">
            <w:pPr>
              <w:jc w:val="right"/>
            </w:pPr>
            <w:r>
              <w:t xml:space="preserve"> 135,140,792.04 </w:t>
            </w:r>
          </w:p>
        </w:tc>
      </w:tr>
      <w:tr w:rsidR="00577D08" w14:paraId="51097548" w14:textId="77777777">
        <w:tc>
          <w:tcPr>
            <w:tcW w:w="3409" w:type="dxa"/>
          </w:tcPr>
          <w:p w14:paraId="211DABB2" w14:textId="77777777" w:rsidR="00577D08" w:rsidRDefault="00330FC0">
            <w:pPr>
              <w:autoSpaceDE w:val="0"/>
              <w:autoSpaceDN w:val="0"/>
              <w:adjustRightInd w:val="0"/>
              <w:snapToGrid w:val="0"/>
            </w:pPr>
            <w:r>
              <w:rPr>
                <w:rFonts w:hint="eastAsia"/>
              </w:rPr>
              <w:t>支付保证金及押金净额</w:t>
            </w:r>
          </w:p>
        </w:tc>
        <w:tc>
          <w:tcPr>
            <w:tcW w:w="2810" w:type="dxa"/>
          </w:tcPr>
          <w:p w14:paraId="0A508536" w14:textId="77777777" w:rsidR="00577D08" w:rsidRDefault="00330FC0">
            <w:pPr>
              <w:jc w:val="right"/>
            </w:pPr>
            <w:r>
              <w:t xml:space="preserve"> 13,625,355.01 </w:t>
            </w:r>
          </w:p>
        </w:tc>
        <w:tc>
          <w:tcPr>
            <w:tcW w:w="2839" w:type="dxa"/>
          </w:tcPr>
          <w:p w14:paraId="4E132F46" w14:textId="77777777" w:rsidR="00577D08" w:rsidRDefault="00330FC0">
            <w:pPr>
              <w:jc w:val="right"/>
            </w:pPr>
            <w:r>
              <w:t xml:space="preserve"> 21,656,934.69 </w:t>
            </w:r>
          </w:p>
        </w:tc>
      </w:tr>
      <w:tr w:rsidR="00577D08" w14:paraId="44417F46" w14:textId="77777777">
        <w:tc>
          <w:tcPr>
            <w:tcW w:w="3409" w:type="dxa"/>
          </w:tcPr>
          <w:p w14:paraId="72E537B9" w14:textId="77777777" w:rsidR="00577D08" w:rsidRDefault="00330FC0">
            <w:pPr>
              <w:autoSpaceDE w:val="0"/>
              <w:autoSpaceDN w:val="0"/>
              <w:adjustRightInd w:val="0"/>
              <w:snapToGrid w:val="0"/>
            </w:pPr>
            <w:r>
              <w:rPr>
                <w:rFonts w:hint="eastAsia"/>
              </w:rPr>
              <w:t>支付捐赠款</w:t>
            </w:r>
          </w:p>
        </w:tc>
        <w:tc>
          <w:tcPr>
            <w:tcW w:w="2810" w:type="dxa"/>
          </w:tcPr>
          <w:p w14:paraId="5E97BBFA" w14:textId="77777777" w:rsidR="00577D08" w:rsidRDefault="00330FC0">
            <w:pPr>
              <w:jc w:val="right"/>
            </w:pPr>
            <w:r>
              <w:t xml:space="preserve"> 2,367,000.00 </w:t>
            </w:r>
          </w:p>
        </w:tc>
        <w:tc>
          <w:tcPr>
            <w:tcW w:w="2839" w:type="dxa"/>
          </w:tcPr>
          <w:p w14:paraId="7E1344C0" w14:textId="77777777" w:rsidR="00577D08" w:rsidRDefault="00330FC0">
            <w:pPr>
              <w:jc w:val="right"/>
            </w:pPr>
            <w:r>
              <w:t xml:space="preserve"> 20,000,000.00 </w:t>
            </w:r>
          </w:p>
        </w:tc>
      </w:tr>
      <w:tr w:rsidR="00577D08" w14:paraId="278E6682" w14:textId="77777777">
        <w:tc>
          <w:tcPr>
            <w:tcW w:w="3409" w:type="dxa"/>
          </w:tcPr>
          <w:p w14:paraId="1FBC6E48" w14:textId="77777777" w:rsidR="00577D08" w:rsidRDefault="00330FC0">
            <w:pPr>
              <w:autoSpaceDE w:val="0"/>
              <w:autoSpaceDN w:val="0"/>
              <w:adjustRightInd w:val="0"/>
              <w:snapToGrid w:val="0"/>
            </w:pPr>
            <w:r>
              <w:rPr>
                <w:rFonts w:hint="eastAsia"/>
              </w:rPr>
              <w:t>支付其他</w:t>
            </w:r>
          </w:p>
        </w:tc>
        <w:tc>
          <w:tcPr>
            <w:tcW w:w="2810" w:type="dxa"/>
          </w:tcPr>
          <w:p w14:paraId="1ADF8F6F" w14:textId="77777777" w:rsidR="00577D08" w:rsidRDefault="00330FC0">
            <w:pPr>
              <w:jc w:val="right"/>
            </w:pPr>
            <w:r>
              <w:t xml:space="preserve"> 7,943,605.02 </w:t>
            </w:r>
          </w:p>
        </w:tc>
        <w:tc>
          <w:tcPr>
            <w:tcW w:w="2839" w:type="dxa"/>
          </w:tcPr>
          <w:p w14:paraId="0D8E4F8C" w14:textId="77777777" w:rsidR="00577D08" w:rsidRDefault="00330FC0">
            <w:pPr>
              <w:jc w:val="right"/>
            </w:pPr>
            <w:r>
              <w:t xml:space="preserve"> 2,048,647.53 </w:t>
            </w:r>
          </w:p>
        </w:tc>
      </w:tr>
      <w:tr w:rsidR="00577D08" w14:paraId="63D56C5E" w14:textId="77777777">
        <w:tc>
          <w:tcPr>
            <w:tcW w:w="3409" w:type="dxa"/>
            <w:vAlign w:val="center"/>
          </w:tcPr>
          <w:p w14:paraId="1CFF48FE" w14:textId="77777777" w:rsidR="00577D08" w:rsidRDefault="00330FC0">
            <w:pPr>
              <w:autoSpaceDE w:val="0"/>
              <w:autoSpaceDN w:val="0"/>
              <w:adjustRightInd w:val="0"/>
              <w:snapToGrid w:val="0"/>
              <w:jc w:val="center"/>
            </w:pPr>
            <w:r>
              <w:rPr>
                <w:rFonts w:hint="eastAsia"/>
              </w:rPr>
              <w:t>合计</w:t>
            </w:r>
          </w:p>
        </w:tc>
        <w:tc>
          <w:tcPr>
            <w:tcW w:w="2810" w:type="dxa"/>
          </w:tcPr>
          <w:p w14:paraId="08A001DB" w14:textId="77777777" w:rsidR="00577D08" w:rsidRDefault="00330FC0">
            <w:pPr>
              <w:jc w:val="right"/>
            </w:pPr>
            <w:r>
              <w:t xml:space="preserve"> 136,526,105.51 </w:t>
            </w:r>
          </w:p>
        </w:tc>
        <w:tc>
          <w:tcPr>
            <w:tcW w:w="2839" w:type="dxa"/>
          </w:tcPr>
          <w:p w14:paraId="7D73F044" w14:textId="77777777" w:rsidR="00577D08" w:rsidRDefault="00330FC0">
            <w:pPr>
              <w:jc w:val="right"/>
            </w:pPr>
            <w:r>
              <w:t xml:space="preserve"> 178,846,374.26 </w:t>
            </w:r>
          </w:p>
        </w:tc>
      </w:tr>
    </w:tbl>
    <w:p w14:paraId="0DAB422B" w14:textId="77777777" w:rsidR="00577D08" w:rsidRDefault="00330FC0">
      <w:pPr>
        <w:spacing w:before="60" w:after="60"/>
      </w:pPr>
      <w:r>
        <w:rPr>
          <w:rFonts w:hint="eastAsia"/>
        </w:rPr>
        <w:t>支付的其他与经营活动有关的现金说明：</w:t>
      </w:r>
    </w:p>
    <w:sdt>
      <w:sdtPr>
        <w:rPr>
          <w:rFonts w:hint="eastAsia"/>
        </w:rPr>
        <w:alias w:val="支付的其他与经营活动有关的现金说明"/>
        <w:tag w:val="_GBC_0465de66d71e4a34a0d6c076baa704db"/>
        <w:id w:val="1004787689"/>
        <w:placeholder>
          <w:docPart w:val="GBC22222222222222222222222222222"/>
        </w:placeholder>
      </w:sdtPr>
      <w:sdtContent>
        <w:p w14:paraId="7E16344C" w14:textId="77777777" w:rsidR="00577D08" w:rsidRDefault="00330FC0">
          <w:pPr>
            <w:ind w:right="5"/>
          </w:pPr>
          <w:r>
            <w:rPr>
              <w:rFonts w:hint="eastAsia"/>
            </w:rPr>
            <w:t>无</w:t>
          </w:r>
        </w:p>
      </w:sdtContent>
    </w:sdt>
    <w:p w14:paraId="34E14F28" w14:textId="77777777" w:rsidR="00577D08" w:rsidRDefault="00330FC0">
      <w:pPr>
        <w:pStyle w:val="4"/>
        <w:numPr>
          <w:ilvl w:val="0"/>
          <w:numId w:val="99"/>
        </w:numPr>
        <w:ind w:left="426" w:hanging="426"/>
        <w:rPr>
          <w:rFonts w:hint="eastAsia"/>
        </w:rPr>
      </w:pPr>
      <w:r>
        <w:rPr>
          <w:rFonts w:hint="eastAsia"/>
        </w:rPr>
        <w:t>与投资活动有关的现金</w:t>
      </w:r>
    </w:p>
    <w:p w14:paraId="42A67BA3" w14:textId="77777777" w:rsidR="00577D08" w:rsidRDefault="00330FC0">
      <w:r>
        <w:rPr>
          <w:rFonts w:hint="eastAsia"/>
        </w:rPr>
        <w:t>收到的重要的投资活动有关的现金</w:t>
      </w:r>
    </w:p>
    <w:sdt>
      <w:sdtPr>
        <w:alias w:val="是否适用：收到的重要的投资活动有关的现金[双击切换]"/>
        <w:tag w:val="_GBC_9196f5edd13f48c58cf11429e2524db4"/>
        <w:id w:val="2055573760"/>
        <w:placeholder>
          <w:docPart w:val="GBC22222222222222222222222222222"/>
        </w:placeholder>
      </w:sdtPr>
      <w:sdtContent>
        <w:p w14:paraId="07E1E859"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09B406E" w14:textId="46E1ECE6" w:rsidR="00577D08" w:rsidRDefault="00330FC0">
      <w:pPr>
        <w:jc w:val="right"/>
      </w:pPr>
      <w:r>
        <w:rPr>
          <w:rFonts w:hint="eastAsia"/>
        </w:rPr>
        <w:t>单位：</w:t>
      </w:r>
      <w:sdt>
        <w:sdtPr>
          <w:rPr>
            <w:rFonts w:hint="eastAsia"/>
          </w:rPr>
          <w:alias w:val="单位：收到的重要的投资活动有关的现金"/>
          <w:tag w:val="_GBC_30082088374344d4809bf9f5b59559f9"/>
          <w:id w:val="18125427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收到的重要的投资活动有关的现金"/>
          <w:tag w:val="_GBC_aad9cf5ff1554131b4e4b043d133db0c"/>
          <w:id w:val="8332596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830"/>
        <w:gridCol w:w="2819"/>
      </w:tblGrid>
      <w:tr w:rsidR="00577D08" w14:paraId="2661004D" w14:textId="77777777">
        <w:sdt>
          <w:sdtPr>
            <w:tag w:val="_PLD_86537d51cc694654b45c76bb3b965b60"/>
            <w:id w:val="-1017851364"/>
          </w:sdtPr>
          <w:sdtContent>
            <w:tc>
              <w:tcPr>
                <w:tcW w:w="3409" w:type="dxa"/>
                <w:vAlign w:val="center"/>
              </w:tcPr>
              <w:p w14:paraId="5F0361E0" w14:textId="77777777" w:rsidR="00577D08" w:rsidRDefault="00330FC0">
                <w:pPr>
                  <w:autoSpaceDE w:val="0"/>
                  <w:autoSpaceDN w:val="0"/>
                  <w:adjustRightInd w:val="0"/>
                  <w:snapToGrid w:val="0"/>
                  <w:spacing w:line="240" w:lineRule="atLeast"/>
                  <w:jc w:val="center"/>
                </w:pPr>
                <w:r>
                  <w:rPr>
                    <w:rFonts w:hint="eastAsia"/>
                  </w:rPr>
                  <w:t>项目</w:t>
                </w:r>
              </w:p>
            </w:tc>
          </w:sdtContent>
        </w:sdt>
        <w:sdt>
          <w:sdtPr>
            <w:tag w:val="_PLD_8df780a4dd194dc4b58890fceac9b4d7"/>
            <w:id w:val="-303394840"/>
          </w:sdtPr>
          <w:sdtContent>
            <w:tc>
              <w:tcPr>
                <w:tcW w:w="2830" w:type="dxa"/>
                <w:vAlign w:val="center"/>
              </w:tcPr>
              <w:p w14:paraId="1FCEA4C5" w14:textId="77777777" w:rsidR="00577D08" w:rsidRDefault="00330FC0">
                <w:pPr>
                  <w:autoSpaceDE w:val="0"/>
                  <w:autoSpaceDN w:val="0"/>
                  <w:adjustRightInd w:val="0"/>
                  <w:snapToGrid w:val="0"/>
                  <w:spacing w:line="240" w:lineRule="atLeast"/>
                  <w:jc w:val="center"/>
                </w:pPr>
                <w:r>
                  <w:rPr>
                    <w:rFonts w:hint="eastAsia"/>
                  </w:rPr>
                  <w:t>本期发生额</w:t>
                </w:r>
              </w:p>
            </w:tc>
          </w:sdtContent>
        </w:sdt>
        <w:sdt>
          <w:sdtPr>
            <w:tag w:val="_PLD_e3e736b7d56b47b9a0860a6d7e262f11"/>
            <w:id w:val="542796774"/>
          </w:sdtPr>
          <w:sdtContent>
            <w:tc>
              <w:tcPr>
                <w:tcW w:w="2819" w:type="dxa"/>
                <w:vAlign w:val="center"/>
              </w:tcPr>
              <w:p w14:paraId="5593E910" w14:textId="77777777" w:rsidR="00577D08" w:rsidRDefault="00330FC0">
                <w:pPr>
                  <w:autoSpaceDE w:val="0"/>
                  <w:autoSpaceDN w:val="0"/>
                  <w:adjustRightInd w:val="0"/>
                  <w:snapToGrid w:val="0"/>
                  <w:spacing w:line="240" w:lineRule="atLeast"/>
                  <w:jc w:val="center"/>
                </w:pPr>
                <w:r>
                  <w:rPr>
                    <w:rFonts w:hint="eastAsia"/>
                  </w:rPr>
                  <w:t>上期发生额</w:t>
                </w:r>
              </w:p>
            </w:tc>
          </w:sdtContent>
        </w:sdt>
      </w:tr>
      <w:tr w:rsidR="00577D08" w14:paraId="0FAA5AF1" w14:textId="77777777">
        <w:tc>
          <w:tcPr>
            <w:tcW w:w="3409" w:type="dxa"/>
            <w:vAlign w:val="center"/>
          </w:tcPr>
          <w:p w14:paraId="72555C9E" w14:textId="77777777" w:rsidR="00577D08" w:rsidRDefault="00330FC0">
            <w:pPr>
              <w:autoSpaceDE w:val="0"/>
              <w:autoSpaceDN w:val="0"/>
              <w:adjustRightInd w:val="0"/>
              <w:snapToGrid w:val="0"/>
              <w:spacing w:line="240" w:lineRule="atLeast"/>
            </w:pPr>
            <w:r>
              <w:rPr>
                <w:rFonts w:hint="eastAsia"/>
              </w:rPr>
              <w:t>赎回结构性存款</w:t>
            </w:r>
          </w:p>
        </w:tc>
        <w:tc>
          <w:tcPr>
            <w:tcW w:w="2830" w:type="dxa"/>
          </w:tcPr>
          <w:p w14:paraId="4FCF00A6" w14:textId="77777777" w:rsidR="00577D08" w:rsidRDefault="00330FC0">
            <w:pPr>
              <w:jc w:val="right"/>
            </w:pPr>
            <w:r>
              <w:t>25,137,500.00</w:t>
            </w:r>
          </w:p>
        </w:tc>
        <w:tc>
          <w:tcPr>
            <w:tcW w:w="2819" w:type="dxa"/>
          </w:tcPr>
          <w:p w14:paraId="5358C5D5" w14:textId="77777777" w:rsidR="00577D08" w:rsidRDefault="00330FC0">
            <w:pPr>
              <w:jc w:val="right"/>
            </w:pPr>
            <w:r>
              <w:t>75,138,299.26</w:t>
            </w:r>
          </w:p>
        </w:tc>
      </w:tr>
      <w:tr w:rsidR="00577D08" w14:paraId="37AA3ABD" w14:textId="77777777">
        <w:tc>
          <w:tcPr>
            <w:tcW w:w="3409" w:type="dxa"/>
            <w:vAlign w:val="center"/>
          </w:tcPr>
          <w:p w14:paraId="156F8BDF" w14:textId="77777777" w:rsidR="00577D08" w:rsidRDefault="00330FC0">
            <w:pPr>
              <w:autoSpaceDE w:val="0"/>
              <w:autoSpaceDN w:val="0"/>
              <w:adjustRightInd w:val="0"/>
              <w:snapToGrid w:val="0"/>
              <w:spacing w:line="240" w:lineRule="atLeast"/>
              <w:jc w:val="center"/>
            </w:pPr>
            <w:r>
              <w:rPr>
                <w:rFonts w:hint="eastAsia"/>
              </w:rPr>
              <w:lastRenderedPageBreak/>
              <w:t>合计</w:t>
            </w:r>
          </w:p>
        </w:tc>
        <w:tc>
          <w:tcPr>
            <w:tcW w:w="2830" w:type="dxa"/>
          </w:tcPr>
          <w:p w14:paraId="7355A5F4" w14:textId="77777777" w:rsidR="00577D08" w:rsidRDefault="00330FC0">
            <w:pPr>
              <w:jc w:val="right"/>
            </w:pPr>
            <w:r>
              <w:t>25,137,500.00</w:t>
            </w:r>
          </w:p>
        </w:tc>
        <w:tc>
          <w:tcPr>
            <w:tcW w:w="2819" w:type="dxa"/>
          </w:tcPr>
          <w:p w14:paraId="37CC6778" w14:textId="77777777" w:rsidR="00577D08" w:rsidRDefault="00330FC0">
            <w:pPr>
              <w:jc w:val="right"/>
            </w:pPr>
            <w:r>
              <w:t>75,138,299.26</w:t>
            </w:r>
          </w:p>
        </w:tc>
      </w:tr>
    </w:tbl>
    <w:p w14:paraId="189C3DD4" w14:textId="77777777" w:rsidR="00577D08" w:rsidRDefault="00330FC0">
      <w:r>
        <w:rPr>
          <w:rFonts w:hint="eastAsia"/>
        </w:rPr>
        <w:t>收到的重要的投资活动有关的现金说明</w:t>
      </w:r>
    </w:p>
    <w:sdt>
      <w:sdtPr>
        <w:alias w:val="收到的重要的投资活动有关的现金的说明"/>
        <w:tag w:val="_GBC_c1ce510d970645309444be1bc0b45be7"/>
        <w:id w:val="-1092468887"/>
        <w:placeholder>
          <w:docPart w:val="GBC22222222222222222222222222222"/>
        </w:placeholder>
      </w:sdtPr>
      <w:sdtContent>
        <w:p w14:paraId="3CFCA756" w14:textId="77777777" w:rsidR="00577D08" w:rsidRDefault="00330FC0">
          <w:r>
            <w:rPr>
              <w:rFonts w:hint="eastAsia"/>
            </w:rPr>
            <w:t>无</w:t>
          </w:r>
        </w:p>
      </w:sdtContent>
    </w:sdt>
    <w:p w14:paraId="43AC665C" w14:textId="77777777" w:rsidR="00577D08" w:rsidRDefault="00330FC0">
      <w:r>
        <w:rPr>
          <w:rFonts w:hint="eastAsia"/>
        </w:rPr>
        <w:t>支付的重要的投资活动有关的现金</w:t>
      </w:r>
    </w:p>
    <w:sdt>
      <w:sdtPr>
        <w:alias w:val="是否适用：支付的重要的投资活动有关的现金[双击切换]"/>
        <w:tag w:val="_GBC_87278c8d34004ae4ad117e1026d10209"/>
        <w:id w:val="57524506"/>
        <w:placeholder>
          <w:docPart w:val="GBC22222222222222222222222222222"/>
        </w:placeholder>
      </w:sdtPr>
      <w:sdtContent>
        <w:p w14:paraId="47DFA246"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96142E0" w14:textId="30AF315F" w:rsidR="00577D08" w:rsidRDefault="00330FC0">
      <w:pPr>
        <w:jc w:val="right"/>
      </w:pPr>
      <w:r>
        <w:rPr>
          <w:rFonts w:hint="eastAsia"/>
        </w:rPr>
        <w:t>单位：</w:t>
      </w:r>
      <w:sdt>
        <w:sdtPr>
          <w:rPr>
            <w:rFonts w:hint="eastAsia"/>
          </w:rPr>
          <w:alias w:val="单位：支付的重要的投资活动有关的现金"/>
          <w:tag w:val="_GBC_a0deec14b3b44f78b9368ad871e8d8c6"/>
          <w:id w:val="168316044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支付的重要的投资活动有关的现金"/>
          <w:tag w:val="_GBC_e41f8522f445479ba58238ec8d2c3147"/>
          <w:id w:val="16429296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082"/>
        <w:gridCol w:w="2410"/>
        <w:gridCol w:w="2566"/>
      </w:tblGrid>
      <w:tr w:rsidR="00577D08" w14:paraId="1C45FEBF" w14:textId="77777777">
        <w:sdt>
          <w:sdtPr>
            <w:tag w:val="_PLD_328e6bb5fcc74d9c87ca178b8d42f9b8"/>
            <w:id w:val="-1201479097"/>
          </w:sdtPr>
          <w:sdtContent>
            <w:tc>
              <w:tcPr>
                <w:tcW w:w="4082" w:type="dxa"/>
                <w:vAlign w:val="center"/>
              </w:tcPr>
              <w:p w14:paraId="534F7759" w14:textId="77777777" w:rsidR="00577D08" w:rsidRDefault="00330FC0">
                <w:pPr>
                  <w:autoSpaceDE w:val="0"/>
                  <w:autoSpaceDN w:val="0"/>
                  <w:adjustRightInd w:val="0"/>
                  <w:snapToGrid w:val="0"/>
                  <w:spacing w:line="240" w:lineRule="atLeast"/>
                  <w:jc w:val="center"/>
                </w:pPr>
                <w:r>
                  <w:rPr>
                    <w:rFonts w:hint="eastAsia"/>
                  </w:rPr>
                  <w:t>项目</w:t>
                </w:r>
              </w:p>
            </w:tc>
          </w:sdtContent>
        </w:sdt>
        <w:sdt>
          <w:sdtPr>
            <w:tag w:val="_PLD_fc885c8be4db48b78be0f1dad4d4c6a8"/>
            <w:id w:val="778767343"/>
          </w:sdtPr>
          <w:sdtContent>
            <w:tc>
              <w:tcPr>
                <w:tcW w:w="2410" w:type="dxa"/>
                <w:vAlign w:val="center"/>
              </w:tcPr>
              <w:p w14:paraId="2AA2615B" w14:textId="77777777" w:rsidR="00577D08" w:rsidRDefault="00330FC0">
                <w:pPr>
                  <w:autoSpaceDE w:val="0"/>
                  <w:autoSpaceDN w:val="0"/>
                  <w:adjustRightInd w:val="0"/>
                  <w:snapToGrid w:val="0"/>
                  <w:spacing w:line="240" w:lineRule="atLeast"/>
                  <w:jc w:val="center"/>
                </w:pPr>
                <w:r>
                  <w:rPr>
                    <w:rFonts w:hint="eastAsia"/>
                  </w:rPr>
                  <w:t>本期发生额</w:t>
                </w:r>
              </w:p>
            </w:tc>
          </w:sdtContent>
        </w:sdt>
        <w:sdt>
          <w:sdtPr>
            <w:tag w:val="_PLD_b15712f434d644b0954dad3a0d7e73ef"/>
            <w:id w:val="151495154"/>
          </w:sdtPr>
          <w:sdtContent>
            <w:tc>
              <w:tcPr>
                <w:tcW w:w="2566" w:type="dxa"/>
                <w:vAlign w:val="center"/>
              </w:tcPr>
              <w:p w14:paraId="327DB999" w14:textId="77777777" w:rsidR="00577D08" w:rsidRDefault="00330FC0">
                <w:pPr>
                  <w:autoSpaceDE w:val="0"/>
                  <w:autoSpaceDN w:val="0"/>
                  <w:adjustRightInd w:val="0"/>
                  <w:snapToGrid w:val="0"/>
                  <w:spacing w:line="240" w:lineRule="atLeast"/>
                  <w:jc w:val="center"/>
                </w:pPr>
                <w:r>
                  <w:rPr>
                    <w:rFonts w:hint="eastAsia"/>
                  </w:rPr>
                  <w:t>上期发生额</w:t>
                </w:r>
              </w:p>
            </w:tc>
          </w:sdtContent>
        </w:sdt>
      </w:tr>
      <w:tr w:rsidR="00577D08" w14:paraId="0F00EB63" w14:textId="77777777">
        <w:tc>
          <w:tcPr>
            <w:tcW w:w="4082" w:type="dxa"/>
          </w:tcPr>
          <w:p w14:paraId="444AA8E6" w14:textId="77777777" w:rsidR="00577D08" w:rsidRDefault="00330FC0">
            <w:pPr>
              <w:autoSpaceDE w:val="0"/>
              <w:autoSpaceDN w:val="0"/>
              <w:adjustRightInd w:val="0"/>
              <w:snapToGrid w:val="0"/>
              <w:spacing w:line="240" w:lineRule="atLeast"/>
            </w:pPr>
            <w:r>
              <w:rPr>
                <w:rFonts w:hint="eastAsia"/>
              </w:rPr>
              <w:t>购建固定资产和其他长期资产支付的现金</w:t>
            </w:r>
          </w:p>
        </w:tc>
        <w:tc>
          <w:tcPr>
            <w:tcW w:w="2410" w:type="dxa"/>
          </w:tcPr>
          <w:p w14:paraId="7F3E4C47" w14:textId="77777777" w:rsidR="00577D08" w:rsidRDefault="00330FC0">
            <w:pPr>
              <w:jc w:val="right"/>
            </w:pPr>
            <w:r>
              <w:rPr>
                <w:rFonts w:hint="eastAsia"/>
              </w:rPr>
              <w:t>162,969,001.54</w:t>
            </w:r>
          </w:p>
        </w:tc>
        <w:tc>
          <w:tcPr>
            <w:tcW w:w="2566" w:type="dxa"/>
          </w:tcPr>
          <w:p w14:paraId="14014000" w14:textId="77777777" w:rsidR="00577D08" w:rsidRDefault="00330FC0">
            <w:pPr>
              <w:jc w:val="right"/>
            </w:pPr>
            <w:r>
              <w:rPr>
                <w:rFonts w:hint="eastAsia"/>
              </w:rPr>
              <w:t>248,365,693.09</w:t>
            </w:r>
          </w:p>
        </w:tc>
      </w:tr>
      <w:tr w:rsidR="00577D08" w14:paraId="12764F73" w14:textId="77777777">
        <w:tc>
          <w:tcPr>
            <w:tcW w:w="4082" w:type="dxa"/>
          </w:tcPr>
          <w:p w14:paraId="3152EEF6" w14:textId="77777777" w:rsidR="00577D08" w:rsidRDefault="00330FC0">
            <w:pPr>
              <w:autoSpaceDE w:val="0"/>
              <w:autoSpaceDN w:val="0"/>
              <w:adjustRightInd w:val="0"/>
              <w:snapToGrid w:val="0"/>
              <w:spacing w:line="240" w:lineRule="atLeast"/>
            </w:pPr>
            <w:r>
              <w:rPr>
                <w:rFonts w:hint="eastAsia"/>
              </w:rPr>
              <w:t>购买银行结构性存款</w:t>
            </w:r>
          </w:p>
        </w:tc>
        <w:tc>
          <w:tcPr>
            <w:tcW w:w="2410" w:type="dxa"/>
          </w:tcPr>
          <w:p w14:paraId="55A61D78" w14:textId="77777777" w:rsidR="00577D08" w:rsidRDefault="00577D08">
            <w:pPr>
              <w:jc w:val="right"/>
            </w:pPr>
          </w:p>
        </w:tc>
        <w:tc>
          <w:tcPr>
            <w:tcW w:w="2566" w:type="dxa"/>
          </w:tcPr>
          <w:p w14:paraId="60C57715" w14:textId="77777777" w:rsidR="00577D08" w:rsidRDefault="00330FC0">
            <w:pPr>
              <w:jc w:val="right"/>
            </w:pPr>
            <w:r>
              <w:rPr>
                <w:rFonts w:hint="eastAsia"/>
              </w:rPr>
              <w:t>100,000,000.00</w:t>
            </w:r>
          </w:p>
        </w:tc>
      </w:tr>
      <w:tr w:rsidR="00577D08" w14:paraId="4F4BE1FC" w14:textId="77777777">
        <w:tc>
          <w:tcPr>
            <w:tcW w:w="4082" w:type="dxa"/>
          </w:tcPr>
          <w:p w14:paraId="5FD2BB0D" w14:textId="77777777" w:rsidR="00577D08" w:rsidRDefault="00330FC0">
            <w:pPr>
              <w:autoSpaceDE w:val="0"/>
              <w:autoSpaceDN w:val="0"/>
              <w:adjustRightInd w:val="0"/>
              <w:snapToGrid w:val="0"/>
              <w:spacing w:line="240" w:lineRule="atLeast"/>
            </w:pPr>
            <w:r>
              <w:rPr>
                <w:rFonts w:hint="eastAsia"/>
              </w:rPr>
              <w:t>取得云变电气支付的现金净额</w:t>
            </w:r>
          </w:p>
        </w:tc>
        <w:tc>
          <w:tcPr>
            <w:tcW w:w="2410" w:type="dxa"/>
          </w:tcPr>
          <w:p w14:paraId="325EDE7B" w14:textId="77777777" w:rsidR="00577D08" w:rsidRDefault="00577D08">
            <w:pPr>
              <w:jc w:val="right"/>
            </w:pPr>
          </w:p>
        </w:tc>
        <w:tc>
          <w:tcPr>
            <w:tcW w:w="2566" w:type="dxa"/>
          </w:tcPr>
          <w:p w14:paraId="7C89D8B7" w14:textId="77777777" w:rsidR="00577D08" w:rsidRDefault="00330FC0">
            <w:pPr>
              <w:jc w:val="right"/>
            </w:pPr>
            <w:r>
              <w:rPr>
                <w:rFonts w:hint="eastAsia"/>
              </w:rPr>
              <w:t>430,947,890.50</w:t>
            </w:r>
          </w:p>
        </w:tc>
      </w:tr>
      <w:tr w:rsidR="00577D08" w14:paraId="505A717D" w14:textId="77777777">
        <w:tc>
          <w:tcPr>
            <w:tcW w:w="4082" w:type="dxa"/>
            <w:vAlign w:val="center"/>
          </w:tcPr>
          <w:p w14:paraId="2D2963FA" w14:textId="77777777" w:rsidR="00577D08" w:rsidRDefault="00330FC0">
            <w:pPr>
              <w:autoSpaceDE w:val="0"/>
              <w:autoSpaceDN w:val="0"/>
              <w:adjustRightInd w:val="0"/>
              <w:snapToGrid w:val="0"/>
              <w:spacing w:line="240" w:lineRule="atLeast"/>
              <w:jc w:val="center"/>
            </w:pPr>
            <w:r>
              <w:rPr>
                <w:rFonts w:hint="eastAsia"/>
              </w:rPr>
              <w:t>合计</w:t>
            </w:r>
          </w:p>
        </w:tc>
        <w:tc>
          <w:tcPr>
            <w:tcW w:w="2410" w:type="dxa"/>
          </w:tcPr>
          <w:p w14:paraId="27ED4916" w14:textId="77777777" w:rsidR="00577D08" w:rsidRDefault="00330FC0">
            <w:pPr>
              <w:jc w:val="right"/>
            </w:pPr>
            <w:r>
              <w:t>162,969,001.54</w:t>
            </w:r>
          </w:p>
        </w:tc>
        <w:tc>
          <w:tcPr>
            <w:tcW w:w="2566" w:type="dxa"/>
          </w:tcPr>
          <w:p w14:paraId="55198D9C" w14:textId="77777777" w:rsidR="00577D08" w:rsidRDefault="00330FC0">
            <w:pPr>
              <w:jc w:val="right"/>
            </w:pPr>
            <w:r>
              <w:t>779,313,583.59</w:t>
            </w:r>
          </w:p>
        </w:tc>
      </w:tr>
    </w:tbl>
    <w:p w14:paraId="38C09DC1" w14:textId="77777777" w:rsidR="00577D08" w:rsidRDefault="00330FC0">
      <w:r>
        <w:rPr>
          <w:rFonts w:hint="eastAsia"/>
        </w:rPr>
        <w:t>支付的重要的投资活动有关的现金说明</w:t>
      </w:r>
    </w:p>
    <w:sdt>
      <w:sdtPr>
        <w:alias w:val="支付的重要的投资活动有关的现金的说明"/>
        <w:tag w:val="_GBC_79f961a45f2c4d6fb5ba9ee4a9afbe44"/>
        <w:id w:val="397709165"/>
        <w:placeholder>
          <w:docPart w:val="GBC22222222222222222222222222222"/>
        </w:placeholder>
      </w:sdtPr>
      <w:sdtContent>
        <w:p w14:paraId="5070CAAE" w14:textId="77777777" w:rsidR="00577D08" w:rsidRDefault="00330FC0">
          <w:r>
            <w:rPr>
              <w:rFonts w:hint="eastAsia"/>
            </w:rPr>
            <w:t>无</w:t>
          </w:r>
        </w:p>
      </w:sdtContent>
    </w:sdt>
    <w:p w14:paraId="121C5FB0" w14:textId="77777777" w:rsidR="00577D08" w:rsidRDefault="00330FC0">
      <w:r>
        <w:rPr>
          <w:rFonts w:hint="eastAsia"/>
        </w:rPr>
        <w:t>收到的其他与投资活动有关的现金</w:t>
      </w:r>
    </w:p>
    <w:sdt>
      <w:sdtPr>
        <w:alias w:val="是否适用：收到的其他与投资活动有关的现金[双击切换]"/>
        <w:tag w:val="_GBC_a9d11a87566b448d9e6aac9a017a8388"/>
        <w:id w:val="-1767144746"/>
        <w:placeholder>
          <w:docPart w:val="GBC22222222222222222222222222222"/>
        </w:placeholder>
      </w:sdtPr>
      <w:sdtContent>
        <w:p w14:paraId="658F9AA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12E0ACF" w14:textId="18DEF41A" w:rsidR="00577D08" w:rsidRDefault="00330FC0">
      <w:pPr>
        <w:jc w:val="right"/>
      </w:pPr>
      <w:r>
        <w:rPr>
          <w:rFonts w:hint="eastAsia"/>
        </w:rPr>
        <w:t>单位：</w:t>
      </w:r>
      <w:sdt>
        <w:sdtPr>
          <w:rPr>
            <w:rFonts w:hint="eastAsia"/>
          </w:rPr>
          <w:alias w:val="单位：财务附注：收到的其他与投资活动有关的现金"/>
          <w:tag w:val="_GBC_0c9cf16095dd4d5ab3121520e225b633"/>
          <w:id w:val="-16845807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r>
        <w:rPr>
          <w:rFonts w:hint="eastAsia"/>
        </w:rPr>
        <w:t>:</w:t>
      </w:r>
      <w:sdt>
        <w:sdtPr>
          <w:rPr>
            <w:rFonts w:hint="eastAsia"/>
          </w:rPr>
          <w:alias w:val="币种：财务附注：收到的其他与投资活动有关的现金"/>
          <w:tag w:val="_GBC_791e060c2d294266a3abaf8a745aad01"/>
          <w:id w:val="128431707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915"/>
        <w:gridCol w:w="2734"/>
      </w:tblGrid>
      <w:tr w:rsidR="00577D08" w14:paraId="1A93D2AE" w14:textId="77777777">
        <w:sdt>
          <w:sdtPr>
            <w:tag w:val="_PLD_8fe69c5749494bb49faf620c5198417e"/>
            <w:id w:val="1149324390"/>
          </w:sdtPr>
          <w:sdtContent>
            <w:tc>
              <w:tcPr>
                <w:tcW w:w="3409" w:type="dxa"/>
                <w:vAlign w:val="center"/>
              </w:tcPr>
              <w:p w14:paraId="6E617BDE" w14:textId="77777777" w:rsidR="00577D08" w:rsidRDefault="00330FC0">
                <w:pPr>
                  <w:autoSpaceDE w:val="0"/>
                  <w:autoSpaceDN w:val="0"/>
                  <w:adjustRightInd w:val="0"/>
                  <w:snapToGrid w:val="0"/>
                  <w:spacing w:line="240" w:lineRule="atLeast"/>
                  <w:jc w:val="center"/>
                </w:pPr>
                <w:r>
                  <w:rPr>
                    <w:rFonts w:hint="eastAsia"/>
                  </w:rPr>
                  <w:t>项目</w:t>
                </w:r>
              </w:p>
            </w:tc>
          </w:sdtContent>
        </w:sdt>
        <w:sdt>
          <w:sdtPr>
            <w:tag w:val="_PLD_bf91a26c50244250a28701d650837068"/>
            <w:id w:val="879977685"/>
          </w:sdtPr>
          <w:sdtContent>
            <w:tc>
              <w:tcPr>
                <w:tcW w:w="2915" w:type="dxa"/>
                <w:vAlign w:val="center"/>
              </w:tcPr>
              <w:p w14:paraId="2CD9D73B" w14:textId="77777777" w:rsidR="00577D08" w:rsidRDefault="00330FC0">
                <w:pPr>
                  <w:autoSpaceDE w:val="0"/>
                  <w:autoSpaceDN w:val="0"/>
                  <w:adjustRightInd w:val="0"/>
                  <w:snapToGrid w:val="0"/>
                  <w:spacing w:line="240" w:lineRule="atLeast"/>
                  <w:jc w:val="center"/>
                </w:pPr>
                <w:r>
                  <w:rPr>
                    <w:rFonts w:hint="eastAsia"/>
                  </w:rPr>
                  <w:t>本期发生额</w:t>
                </w:r>
              </w:p>
            </w:tc>
          </w:sdtContent>
        </w:sdt>
        <w:sdt>
          <w:sdtPr>
            <w:tag w:val="_PLD_6ba4cebdd5f34f0ebe4577174e11dd6c"/>
            <w:id w:val="-1691212158"/>
          </w:sdtPr>
          <w:sdtContent>
            <w:tc>
              <w:tcPr>
                <w:tcW w:w="2734" w:type="dxa"/>
                <w:vAlign w:val="center"/>
              </w:tcPr>
              <w:p w14:paraId="3C22B558" w14:textId="77777777" w:rsidR="00577D08" w:rsidRDefault="00330FC0">
                <w:pPr>
                  <w:autoSpaceDE w:val="0"/>
                  <w:autoSpaceDN w:val="0"/>
                  <w:adjustRightInd w:val="0"/>
                  <w:snapToGrid w:val="0"/>
                  <w:spacing w:line="240" w:lineRule="atLeast"/>
                  <w:jc w:val="center"/>
                </w:pPr>
                <w:r>
                  <w:rPr>
                    <w:rFonts w:hint="eastAsia"/>
                  </w:rPr>
                  <w:t>上期发生额</w:t>
                </w:r>
              </w:p>
            </w:tc>
          </w:sdtContent>
        </w:sdt>
      </w:tr>
      <w:tr w:rsidR="00577D08" w14:paraId="2AEE8071" w14:textId="77777777">
        <w:tc>
          <w:tcPr>
            <w:tcW w:w="3409" w:type="dxa"/>
          </w:tcPr>
          <w:p w14:paraId="34060B4B" w14:textId="77777777" w:rsidR="00577D08" w:rsidRDefault="00330FC0">
            <w:pPr>
              <w:autoSpaceDE w:val="0"/>
              <w:autoSpaceDN w:val="0"/>
              <w:adjustRightInd w:val="0"/>
              <w:snapToGrid w:val="0"/>
              <w:spacing w:line="240" w:lineRule="atLeast"/>
            </w:pPr>
            <w:r>
              <w:rPr>
                <w:rFonts w:hint="eastAsia"/>
              </w:rPr>
              <w:t>收回土地竞拍履约保证金</w:t>
            </w:r>
          </w:p>
        </w:tc>
        <w:tc>
          <w:tcPr>
            <w:tcW w:w="2915" w:type="dxa"/>
          </w:tcPr>
          <w:p w14:paraId="66EC0AEB" w14:textId="77777777" w:rsidR="00577D08" w:rsidRDefault="00577D08">
            <w:pPr>
              <w:jc w:val="right"/>
            </w:pPr>
          </w:p>
        </w:tc>
        <w:tc>
          <w:tcPr>
            <w:tcW w:w="2734" w:type="dxa"/>
          </w:tcPr>
          <w:p w14:paraId="086BCEF0" w14:textId="77777777" w:rsidR="00577D08" w:rsidRDefault="00330FC0">
            <w:pPr>
              <w:jc w:val="right"/>
            </w:pPr>
            <w:r>
              <w:rPr>
                <w:rFonts w:hint="eastAsia"/>
              </w:rPr>
              <w:t>40,000,000.00</w:t>
            </w:r>
          </w:p>
        </w:tc>
      </w:tr>
      <w:tr w:rsidR="00577D08" w14:paraId="692D3961" w14:textId="77777777">
        <w:tc>
          <w:tcPr>
            <w:tcW w:w="3409" w:type="dxa"/>
          </w:tcPr>
          <w:p w14:paraId="1AC22BD2" w14:textId="77777777" w:rsidR="00577D08" w:rsidRDefault="00330FC0">
            <w:pPr>
              <w:autoSpaceDE w:val="0"/>
              <w:autoSpaceDN w:val="0"/>
              <w:adjustRightInd w:val="0"/>
              <w:snapToGrid w:val="0"/>
              <w:spacing w:line="240" w:lineRule="atLeast"/>
            </w:pPr>
            <w:r>
              <w:rPr>
                <w:rFonts w:hint="eastAsia"/>
              </w:rPr>
              <w:t>收回投资保证金</w:t>
            </w:r>
          </w:p>
        </w:tc>
        <w:tc>
          <w:tcPr>
            <w:tcW w:w="2915" w:type="dxa"/>
          </w:tcPr>
          <w:p w14:paraId="2617D6AE" w14:textId="77777777" w:rsidR="00577D08" w:rsidRDefault="00577D08">
            <w:pPr>
              <w:jc w:val="right"/>
            </w:pPr>
          </w:p>
        </w:tc>
        <w:tc>
          <w:tcPr>
            <w:tcW w:w="2734" w:type="dxa"/>
          </w:tcPr>
          <w:p w14:paraId="7B939E4F" w14:textId="77777777" w:rsidR="00577D08" w:rsidRDefault="00330FC0">
            <w:pPr>
              <w:jc w:val="right"/>
            </w:pPr>
            <w:r>
              <w:rPr>
                <w:rFonts w:hint="eastAsia"/>
              </w:rPr>
              <w:t>10,000,000.00</w:t>
            </w:r>
          </w:p>
        </w:tc>
      </w:tr>
      <w:tr w:rsidR="00577D08" w14:paraId="329C6DF2" w14:textId="77777777">
        <w:tc>
          <w:tcPr>
            <w:tcW w:w="3409" w:type="dxa"/>
          </w:tcPr>
          <w:p w14:paraId="06FF21AC" w14:textId="77777777" w:rsidR="00577D08" w:rsidRDefault="00330FC0">
            <w:pPr>
              <w:autoSpaceDE w:val="0"/>
              <w:autoSpaceDN w:val="0"/>
              <w:adjustRightInd w:val="0"/>
              <w:snapToGrid w:val="0"/>
              <w:spacing w:line="240" w:lineRule="atLeast"/>
            </w:pPr>
            <w:r>
              <w:rPr>
                <w:rFonts w:hint="eastAsia"/>
              </w:rPr>
              <w:t>收回票据保证金</w:t>
            </w:r>
          </w:p>
        </w:tc>
        <w:tc>
          <w:tcPr>
            <w:tcW w:w="2915" w:type="dxa"/>
          </w:tcPr>
          <w:p w14:paraId="04BB7863" w14:textId="77777777" w:rsidR="00577D08" w:rsidRDefault="00577D08">
            <w:pPr>
              <w:jc w:val="right"/>
            </w:pPr>
          </w:p>
        </w:tc>
        <w:tc>
          <w:tcPr>
            <w:tcW w:w="2734" w:type="dxa"/>
          </w:tcPr>
          <w:p w14:paraId="27062A95" w14:textId="77777777" w:rsidR="00577D08" w:rsidRDefault="00330FC0">
            <w:pPr>
              <w:jc w:val="right"/>
            </w:pPr>
            <w:r>
              <w:rPr>
                <w:rFonts w:hint="eastAsia"/>
              </w:rPr>
              <w:t>6,000,000.00</w:t>
            </w:r>
          </w:p>
        </w:tc>
      </w:tr>
      <w:tr w:rsidR="00577D08" w14:paraId="6B21C934" w14:textId="77777777">
        <w:tc>
          <w:tcPr>
            <w:tcW w:w="3409" w:type="dxa"/>
            <w:vAlign w:val="center"/>
          </w:tcPr>
          <w:p w14:paraId="3632B242" w14:textId="77777777" w:rsidR="00577D08" w:rsidRDefault="00330FC0">
            <w:pPr>
              <w:autoSpaceDE w:val="0"/>
              <w:autoSpaceDN w:val="0"/>
              <w:adjustRightInd w:val="0"/>
              <w:snapToGrid w:val="0"/>
              <w:spacing w:line="240" w:lineRule="atLeast"/>
              <w:jc w:val="center"/>
            </w:pPr>
            <w:r>
              <w:rPr>
                <w:rFonts w:hint="eastAsia"/>
              </w:rPr>
              <w:t>合计</w:t>
            </w:r>
          </w:p>
        </w:tc>
        <w:tc>
          <w:tcPr>
            <w:tcW w:w="2915" w:type="dxa"/>
            <w:vAlign w:val="center"/>
          </w:tcPr>
          <w:p w14:paraId="51ED638B" w14:textId="77777777" w:rsidR="00577D08" w:rsidRDefault="00577D08">
            <w:pPr>
              <w:jc w:val="right"/>
            </w:pPr>
          </w:p>
        </w:tc>
        <w:tc>
          <w:tcPr>
            <w:tcW w:w="2734" w:type="dxa"/>
            <w:vAlign w:val="center"/>
          </w:tcPr>
          <w:p w14:paraId="1B10B5F9" w14:textId="77777777" w:rsidR="00577D08" w:rsidRDefault="00330FC0">
            <w:pPr>
              <w:jc w:val="right"/>
            </w:pPr>
            <w:r>
              <w:t>56,000,000.00</w:t>
            </w:r>
          </w:p>
        </w:tc>
      </w:tr>
    </w:tbl>
    <w:p w14:paraId="0A30AF21" w14:textId="77777777" w:rsidR="00577D08" w:rsidRDefault="00330FC0">
      <w:pPr>
        <w:snapToGrid w:val="0"/>
        <w:spacing w:before="60" w:after="60"/>
      </w:pPr>
      <w:r>
        <w:rPr>
          <w:rFonts w:hint="eastAsia"/>
        </w:rPr>
        <w:t>收到的其他与投资活动有关的现金说明：</w:t>
      </w:r>
    </w:p>
    <w:sdt>
      <w:sdtPr>
        <w:alias w:val="收到的其他与投资活动有关的现金说明"/>
        <w:tag w:val="_GBC_4f6584697d884cfd99a931a45c33cdac"/>
        <w:id w:val="-1576123053"/>
        <w:placeholder>
          <w:docPart w:val="GBC22222222222222222222222222222"/>
        </w:placeholder>
      </w:sdtPr>
      <w:sdtContent>
        <w:p w14:paraId="08BB335F" w14:textId="77777777" w:rsidR="00577D08" w:rsidRDefault="00330FC0">
          <w:pPr>
            <w:snapToGrid w:val="0"/>
            <w:spacing w:line="240" w:lineRule="atLeast"/>
          </w:pPr>
          <w:r>
            <w:rPr>
              <w:rFonts w:hint="eastAsia"/>
            </w:rPr>
            <w:t>无</w:t>
          </w:r>
        </w:p>
      </w:sdtContent>
    </w:sdt>
    <w:p w14:paraId="10AE87B3" w14:textId="77777777" w:rsidR="00577D08" w:rsidRDefault="00330FC0">
      <w:r>
        <w:rPr>
          <w:rFonts w:hint="eastAsia"/>
        </w:rPr>
        <w:t>支付的其他与投资活动有关的现金</w:t>
      </w:r>
    </w:p>
    <w:sdt>
      <w:sdtPr>
        <w:alias w:val="是否适用：支付的其他与投资活动有关的现金[双击切换]"/>
        <w:tag w:val="_GBC_c733aab18a804ecea142a329ce5180ba"/>
        <w:id w:val="-505280169"/>
        <w:placeholder>
          <w:docPart w:val="GBC22222222222222222222222222222"/>
        </w:placeholder>
      </w:sdtPr>
      <w:sdtContent>
        <w:p w14:paraId="12989CB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3C20024" w14:textId="77777777" w:rsidR="00577D08" w:rsidRDefault="00330FC0">
      <w:pPr>
        <w:pStyle w:val="4"/>
        <w:numPr>
          <w:ilvl w:val="0"/>
          <w:numId w:val="99"/>
        </w:numPr>
        <w:ind w:left="426" w:hanging="426"/>
        <w:rPr>
          <w:rFonts w:hint="eastAsia"/>
        </w:rPr>
      </w:pPr>
      <w:r>
        <w:rPr>
          <w:rFonts w:hint="eastAsia"/>
        </w:rPr>
        <w:t>与筹资活动有关的现金</w:t>
      </w:r>
    </w:p>
    <w:p w14:paraId="448C13C2" w14:textId="77777777" w:rsidR="00577D08" w:rsidRDefault="00330FC0">
      <w:r>
        <w:rPr>
          <w:rFonts w:hint="eastAsia"/>
        </w:rPr>
        <w:t>收到的其他与筹资活动有关的现金</w:t>
      </w:r>
    </w:p>
    <w:sdt>
      <w:sdtPr>
        <w:alias w:val="是否适用：收到的其他与筹资活动有关的现金[双击切换]"/>
        <w:tag w:val="_GBC_031910cf781944cf80900ffa99f7a9d7"/>
        <w:id w:val="-764762797"/>
        <w:placeholder>
          <w:docPart w:val="GBC22222222222222222222222222222"/>
        </w:placeholder>
      </w:sdtPr>
      <w:sdtContent>
        <w:p w14:paraId="4CDED98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C4C315E" w14:textId="367322C7" w:rsidR="00577D08" w:rsidRDefault="00330FC0">
      <w:pPr>
        <w:jc w:val="right"/>
      </w:pPr>
      <w:r>
        <w:rPr>
          <w:rFonts w:hint="eastAsia"/>
        </w:rPr>
        <w:t>单位：</w:t>
      </w:r>
      <w:sdt>
        <w:sdtPr>
          <w:rPr>
            <w:rFonts w:hint="eastAsia"/>
          </w:rPr>
          <w:alias w:val="单位：财务附注：收到的其他与筹资活动有关的现金"/>
          <w:tag w:val="_GBC_666160c9e7144e11b24beaa82a8d20a2"/>
          <w:id w:val="-10291690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收到的其他与筹资活动有关的现金"/>
          <w:tag w:val="_GBC_5dbb9457a5854b088449e8b9e69e8c2e"/>
          <w:id w:val="14139737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916"/>
        <w:gridCol w:w="2732"/>
      </w:tblGrid>
      <w:tr w:rsidR="00577D08" w14:paraId="560AC460" w14:textId="77777777">
        <w:sdt>
          <w:sdtPr>
            <w:tag w:val="_PLD_a77349a2c05f473b9ac20b64fc24179e"/>
            <w:id w:val="-698167210"/>
          </w:sdtPr>
          <w:sdtContent>
            <w:tc>
              <w:tcPr>
                <w:tcW w:w="3409" w:type="dxa"/>
                <w:vAlign w:val="center"/>
              </w:tcPr>
              <w:p w14:paraId="320E9966" w14:textId="77777777" w:rsidR="00577D08" w:rsidRDefault="00330FC0">
                <w:pPr>
                  <w:autoSpaceDE w:val="0"/>
                  <w:autoSpaceDN w:val="0"/>
                  <w:adjustRightInd w:val="0"/>
                  <w:snapToGrid w:val="0"/>
                  <w:jc w:val="center"/>
                </w:pPr>
                <w:r>
                  <w:rPr>
                    <w:rFonts w:hint="eastAsia"/>
                  </w:rPr>
                  <w:t>项目</w:t>
                </w:r>
              </w:p>
            </w:tc>
          </w:sdtContent>
        </w:sdt>
        <w:sdt>
          <w:sdtPr>
            <w:tag w:val="_PLD_4f0ec6d40c994acb9eb5b3560f97c407"/>
            <w:id w:val="-202019841"/>
          </w:sdtPr>
          <w:sdtContent>
            <w:tc>
              <w:tcPr>
                <w:tcW w:w="2916" w:type="dxa"/>
                <w:vAlign w:val="center"/>
              </w:tcPr>
              <w:p w14:paraId="751FA502" w14:textId="77777777" w:rsidR="00577D08" w:rsidRDefault="00330FC0">
                <w:pPr>
                  <w:autoSpaceDE w:val="0"/>
                  <w:autoSpaceDN w:val="0"/>
                  <w:adjustRightInd w:val="0"/>
                  <w:snapToGrid w:val="0"/>
                  <w:jc w:val="center"/>
                </w:pPr>
                <w:r>
                  <w:rPr>
                    <w:rFonts w:hint="eastAsia"/>
                  </w:rPr>
                  <w:t>本期发生额</w:t>
                </w:r>
              </w:p>
            </w:tc>
          </w:sdtContent>
        </w:sdt>
        <w:sdt>
          <w:sdtPr>
            <w:tag w:val="_PLD_aa071ffac82040379300e6f5150e4ff7"/>
            <w:id w:val="1910657021"/>
          </w:sdtPr>
          <w:sdtContent>
            <w:tc>
              <w:tcPr>
                <w:tcW w:w="2732" w:type="dxa"/>
                <w:vAlign w:val="center"/>
              </w:tcPr>
              <w:p w14:paraId="5A0A3E74" w14:textId="77777777" w:rsidR="00577D08" w:rsidRDefault="00330FC0">
                <w:pPr>
                  <w:autoSpaceDE w:val="0"/>
                  <w:autoSpaceDN w:val="0"/>
                  <w:adjustRightInd w:val="0"/>
                  <w:snapToGrid w:val="0"/>
                  <w:jc w:val="center"/>
                </w:pPr>
                <w:r>
                  <w:rPr>
                    <w:rFonts w:hint="eastAsia"/>
                  </w:rPr>
                  <w:t>上期发生额</w:t>
                </w:r>
              </w:p>
            </w:tc>
          </w:sdtContent>
        </w:sdt>
      </w:tr>
      <w:tr w:rsidR="00577D08" w14:paraId="4C26754B" w14:textId="77777777">
        <w:tc>
          <w:tcPr>
            <w:tcW w:w="3409" w:type="dxa"/>
          </w:tcPr>
          <w:p w14:paraId="761C87B7" w14:textId="77777777" w:rsidR="00577D08" w:rsidRDefault="00330FC0">
            <w:pPr>
              <w:autoSpaceDE w:val="0"/>
              <w:autoSpaceDN w:val="0"/>
              <w:adjustRightInd w:val="0"/>
              <w:snapToGrid w:val="0"/>
            </w:pPr>
            <w:r>
              <w:rPr>
                <w:rFonts w:hint="eastAsia"/>
              </w:rPr>
              <w:t>收到中银金融租赁有限公司借款</w:t>
            </w:r>
          </w:p>
        </w:tc>
        <w:tc>
          <w:tcPr>
            <w:tcW w:w="2916" w:type="dxa"/>
          </w:tcPr>
          <w:p w14:paraId="3F8F6673" w14:textId="77777777" w:rsidR="00577D08" w:rsidRDefault="00330FC0">
            <w:pPr>
              <w:jc w:val="right"/>
            </w:pPr>
            <w:r>
              <w:rPr>
                <w:rFonts w:hint="eastAsia"/>
              </w:rPr>
              <w:t>200,000,000.00</w:t>
            </w:r>
          </w:p>
        </w:tc>
        <w:tc>
          <w:tcPr>
            <w:tcW w:w="2732" w:type="dxa"/>
          </w:tcPr>
          <w:p w14:paraId="7B5A2410" w14:textId="77777777" w:rsidR="00577D08" w:rsidRDefault="00577D08">
            <w:pPr>
              <w:jc w:val="right"/>
            </w:pPr>
          </w:p>
        </w:tc>
      </w:tr>
      <w:tr w:rsidR="00577D08" w14:paraId="47C64776" w14:textId="77777777">
        <w:tc>
          <w:tcPr>
            <w:tcW w:w="3409" w:type="dxa"/>
          </w:tcPr>
          <w:p w14:paraId="7A6EA545" w14:textId="77777777" w:rsidR="00577D08" w:rsidRDefault="00330FC0">
            <w:pPr>
              <w:autoSpaceDE w:val="0"/>
              <w:autoSpaceDN w:val="0"/>
              <w:adjustRightInd w:val="0"/>
              <w:snapToGrid w:val="0"/>
            </w:pPr>
            <w:r>
              <w:rPr>
                <w:rFonts w:hint="eastAsia"/>
              </w:rPr>
              <w:t>收到员工股权激励款</w:t>
            </w:r>
          </w:p>
        </w:tc>
        <w:tc>
          <w:tcPr>
            <w:tcW w:w="2916" w:type="dxa"/>
          </w:tcPr>
          <w:p w14:paraId="01C73EE8" w14:textId="77777777" w:rsidR="00577D08" w:rsidRDefault="00330FC0">
            <w:pPr>
              <w:jc w:val="right"/>
            </w:pPr>
            <w:r>
              <w:rPr>
                <w:rFonts w:hint="eastAsia"/>
              </w:rPr>
              <w:t>4,605,200.00</w:t>
            </w:r>
          </w:p>
        </w:tc>
        <w:tc>
          <w:tcPr>
            <w:tcW w:w="2732" w:type="dxa"/>
          </w:tcPr>
          <w:p w14:paraId="53C5010E" w14:textId="77777777" w:rsidR="00577D08" w:rsidRDefault="00330FC0">
            <w:pPr>
              <w:jc w:val="right"/>
            </w:pPr>
            <w:r>
              <w:rPr>
                <w:rFonts w:hint="eastAsia"/>
              </w:rPr>
              <w:t>20,629,500.00</w:t>
            </w:r>
          </w:p>
        </w:tc>
      </w:tr>
      <w:tr w:rsidR="00577D08" w14:paraId="370907BD" w14:textId="77777777">
        <w:tc>
          <w:tcPr>
            <w:tcW w:w="3409" w:type="dxa"/>
            <w:vAlign w:val="center"/>
          </w:tcPr>
          <w:p w14:paraId="1CB04E64" w14:textId="77777777" w:rsidR="00577D08" w:rsidRDefault="00330FC0">
            <w:pPr>
              <w:autoSpaceDE w:val="0"/>
              <w:autoSpaceDN w:val="0"/>
              <w:adjustRightInd w:val="0"/>
              <w:snapToGrid w:val="0"/>
              <w:jc w:val="center"/>
            </w:pPr>
            <w:r>
              <w:rPr>
                <w:rFonts w:hint="eastAsia"/>
              </w:rPr>
              <w:t>合计</w:t>
            </w:r>
          </w:p>
        </w:tc>
        <w:tc>
          <w:tcPr>
            <w:tcW w:w="2916" w:type="dxa"/>
          </w:tcPr>
          <w:p w14:paraId="32BC019C" w14:textId="77777777" w:rsidR="00577D08" w:rsidRDefault="00330FC0">
            <w:pPr>
              <w:jc w:val="right"/>
            </w:pPr>
            <w:r>
              <w:t>204,605,200.00</w:t>
            </w:r>
          </w:p>
        </w:tc>
        <w:tc>
          <w:tcPr>
            <w:tcW w:w="2732" w:type="dxa"/>
          </w:tcPr>
          <w:p w14:paraId="719688BF" w14:textId="77777777" w:rsidR="00577D08" w:rsidRDefault="00330FC0">
            <w:pPr>
              <w:jc w:val="right"/>
            </w:pPr>
            <w:r>
              <w:t>20,629,500.00</w:t>
            </w:r>
          </w:p>
        </w:tc>
      </w:tr>
    </w:tbl>
    <w:p w14:paraId="707ABD57" w14:textId="77777777" w:rsidR="00577D08" w:rsidRDefault="00330FC0">
      <w:pPr>
        <w:spacing w:before="60" w:after="60"/>
      </w:pPr>
      <w:r>
        <w:rPr>
          <w:rFonts w:hint="eastAsia"/>
        </w:rPr>
        <w:t>收到的其他与筹资活动有关的现金说明：</w:t>
      </w:r>
    </w:p>
    <w:sdt>
      <w:sdtPr>
        <w:rPr>
          <w:rFonts w:hint="eastAsia"/>
        </w:rPr>
        <w:alias w:val="收到的其他与筹资活动有关的现金说明"/>
        <w:tag w:val="_GBC_d2ec2a0599ab42678694df6c15643c4d"/>
        <w:id w:val="-255124905"/>
        <w:placeholder>
          <w:docPart w:val="GBC22222222222222222222222222222"/>
        </w:placeholder>
      </w:sdtPr>
      <w:sdtEndPr>
        <w:rPr>
          <w:szCs w:val="22"/>
        </w:rPr>
      </w:sdtEndPr>
      <w:sdtContent>
        <w:p w14:paraId="2FBEB116" w14:textId="77777777" w:rsidR="00577D08" w:rsidRDefault="00330FC0">
          <w:r>
            <w:rPr>
              <w:rFonts w:hint="eastAsia"/>
            </w:rPr>
            <w:t>无</w:t>
          </w:r>
        </w:p>
      </w:sdtContent>
    </w:sdt>
    <w:p w14:paraId="419C63D9" w14:textId="77777777" w:rsidR="00577D08" w:rsidRDefault="00330FC0">
      <w:r>
        <w:rPr>
          <w:rFonts w:hint="eastAsia"/>
        </w:rPr>
        <w:t>支付的其他与筹资活动有关的现金</w:t>
      </w:r>
    </w:p>
    <w:sdt>
      <w:sdtPr>
        <w:alias w:val="是否适用：支付的其他与筹资活动有关的现金[双击切换]"/>
        <w:tag w:val="_GBC_fcc0d0c43a2d4fa88ca685f3e36f2f40"/>
        <w:id w:val="-1007282703"/>
        <w:placeholder>
          <w:docPart w:val="GBC22222222222222222222222222222"/>
        </w:placeholder>
      </w:sdtPr>
      <w:sdtContent>
        <w:p w14:paraId="27AF40E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95A3CFC" w14:textId="6D0FB259" w:rsidR="00577D08" w:rsidRDefault="00330FC0">
      <w:pPr>
        <w:jc w:val="right"/>
      </w:pPr>
      <w:r>
        <w:rPr>
          <w:rFonts w:hint="eastAsia"/>
        </w:rPr>
        <w:t>单位：</w:t>
      </w:r>
      <w:sdt>
        <w:sdtPr>
          <w:rPr>
            <w:rFonts w:hint="eastAsia"/>
          </w:rPr>
          <w:alias w:val="单位：财务附注：支付的其他与筹资活动有关的现金"/>
          <w:tag w:val="_GBC_f301b3c53ede43608ccf55c09ef288e7"/>
          <w:id w:val="2561017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支付的其他与筹资活动有关的现金"/>
          <w:tag w:val="_GBC_462cc25e34014e2cb61c7b4f9232d7e5"/>
          <w:id w:val="-815346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799"/>
        <w:gridCol w:w="2693"/>
        <w:gridCol w:w="2565"/>
      </w:tblGrid>
      <w:tr w:rsidR="00577D08" w14:paraId="6DDA3027" w14:textId="77777777">
        <w:sdt>
          <w:sdtPr>
            <w:tag w:val="_PLD_e2db8e0335cc47fe9b6461eeb2befa7e"/>
            <w:id w:val="1149253999"/>
          </w:sdtPr>
          <w:sdtContent>
            <w:tc>
              <w:tcPr>
                <w:tcW w:w="3799" w:type="dxa"/>
                <w:vAlign w:val="center"/>
              </w:tcPr>
              <w:p w14:paraId="65E23934" w14:textId="77777777" w:rsidR="00577D08" w:rsidRDefault="00330FC0">
                <w:pPr>
                  <w:autoSpaceDE w:val="0"/>
                  <w:autoSpaceDN w:val="0"/>
                  <w:adjustRightInd w:val="0"/>
                  <w:snapToGrid w:val="0"/>
                  <w:jc w:val="center"/>
                </w:pPr>
                <w:r>
                  <w:rPr>
                    <w:rFonts w:hint="eastAsia"/>
                  </w:rPr>
                  <w:t>项目</w:t>
                </w:r>
              </w:p>
            </w:tc>
          </w:sdtContent>
        </w:sdt>
        <w:sdt>
          <w:sdtPr>
            <w:tag w:val="_PLD_bb4a54a8a5be4a6691e4d59483217c64"/>
            <w:id w:val="-1703858159"/>
          </w:sdtPr>
          <w:sdtContent>
            <w:tc>
              <w:tcPr>
                <w:tcW w:w="2693" w:type="dxa"/>
                <w:vAlign w:val="center"/>
              </w:tcPr>
              <w:p w14:paraId="32B97FCB" w14:textId="77777777" w:rsidR="00577D08" w:rsidRDefault="00330FC0">
                <w:pPr>
                  <w:autoSpaceDE w:val="0"/>
                  <w:autoSpaceDN w:val="0"/>
                  <w:adjustRightInd w:val="0"/>
                  <w:snapToGrid w:val="0"/>
                  <w:jc w:val="center"/>
                </w:pPr>
                <w:r>
                  <w:rPr>
                    <w:rFonts w:hint="eastAsia"/>
                  </w:rPr>
                  <w:t>本期发生额</w:t>
                </w:r>
              </w:p>
            </w:tc>
          </w:sdtContent>
        </w:sdt>
        <w:sdt>
          <w:sdtPr>
            <w:tag w:val="_PLD_a4930447bc4d450faf79f923eef8597b"/>
            <w:id w:val="1061296538"/>
          </w:sdtPr>
          <w:sdtContent>
            <w:tc>
              <w:tcPr>
                <w:tcW w:w="2565" w:type="dxa"/>
                <w:vAlign w:val="center"/>
              </w:tcPr>
              <w:p w14:paraId="11686AE9" w14:textId="77777777" w:rsidR="00577D08" w:rsidRDefault="00330FC0">
                <w:pPr>
                  <w:autoSpaceDE w:val="0"/>
                  <w:autoSpaceDN w:val="0"/>
                  <w:adjustRightInd w:val="0"/>
                  <w:snapToGrid w:val="0"/>
                  <w:jc w:val="center"/>
                </w:pPr>
                <w:r>
                  <w:rPr>
                    <w:rFonts w:hint="eastAsia"/>
                  </w:rPr>
                  <w:t>上期发生额</w:t>
                </w:r>
              </w:p>
            </w:tc>
          </w:sdtContent>
        </w:sdt>
      </w:tr>
      <w:tr w:rsidR="00577D08" w14:paraId="182909F9" w14:textId="77777777">
        <w:tc>
          <w:tcPr>
            <w:tcW w:w="3799" w:type="dxa"/>
          </w:tcPr>
          <w:p w14:paraId="66763B41" w14:textId="77777777" w:rsidR="00577D08" w:rsidRDefault="00330FC0">
            <w:pPr>
              <w:autoSpaceDE w:val="0"/>
              <w:autoSpaceDN w:val="0"/>
              <w:adjustRightInd w:val="0"/>
              <w:snapToGrid w:val="0"/>
            </w:pPr>
            <w:r>
              <w:rPr>
                <w:rFonts w:hint="eastAsia"/>
              </w:rPr>
              <w:t>购买云变电气少数股东股权支付的现金</w:t>
            </w:r>
          </w:p>
        </w:tc>
        <w:tc>
          <w:tcPr>
            <w:tcW w:w="2693" w:type="dxa"/>
          </w:tcPr>
          <w:p w14:paraId="60CC2CD0" w14:textId="77777777" w:rsidR="00577D08" w:rsidRDefault="00330FC0">
            <w:pPr>
              <w:jc w:val="right"/>
            </w:pPr>
            <w:r>
              <w:t xml:space="preserve"> 120,413,100.00 </w:t>
            </w:r>
          </w:p>
        </w:tc>
        <w:tc>
          <w:tcPr>
            <w:tcW w:w="2565" w:type="dxa"/>
          </w:tcPr>
          <w:p w14:paraId="13E01F9A" w14:textId="77777777" w:rsidR="00577D08" w:rsidRDefault="00577D08">
            <w:pPr>
              <w:jc w:val="right"/>
            </w:pPr>
          </w:p>
        </w:tc>
      </w:tr>
      <w:tr w:rsidR="00577D08" w14:paraId="58C51886" w14:textId="77777777">
        <w:tc>
          <w:tcPr>
            <w:tcW w:w="3799" w:type="dxa"/>
          </w:tcPr>
          <w:p w14:paraId="797063AE" w14:textId="77777777" w:rsidR="00577D08" w:rsidRDefault="00330FC0">
            <w:pPr>
              <w:autoSpaceDE w:val="0"/>
              <w:autoSpaceDN w:val="0"/>
              <w:adjustRightInd w:val="0"/>
              <w:snapToGrid w:val="0"/>
            </w:pPr>
            <w:r>
              <w:rPr>
                <w:rFonts w:hint="eastAsia"/>
              </w:rPr>
              <w:t>归还中银金融租赁有限公司借款</w:t>
            </w:r>
          </w:p>
        </w:tc>
        <w:tc>
          <w:tcPr>
            <w:tcW w:w="2693" w:type="dxa"/>
          </w:tcPr>
          <w:p w14:paraId="67ACFC53" w14:textId="77777777" w:rsidR="00577D08" w:rsidRDefault="00330FC0">
            <w:pPr>
              <w:jc w:val="right"/>
            </w:pPr>
            <w:r>
              <w:t xml:space="preserve"> 23,066,944.44 </w:t>
            </w:r>
          </w:p>
        </w:tc>
        <w:tc>
          <w:tcPr>
            <w:tcW w:w="2565" w:type="dxa"/>
          </w:tcPr>
          <w:p w14:paraId="7258EE91" w14:textId="77777777" w:rsidR="00577D08" w:rsidRDefault="00577D08">
            <w:pPr>
              <w:jc w:val="right"/>
            </w:pPr>
          </w:p>
        </w:tc>
      </w:tr>
      <w:tr w:rsidR="00577D08" w14:paraId="3102F2F3" w14:textId="77777777">
        <w:tc>
          <w:tcPr>
            <w:tcW w:w="3799" w:type="dxa"/>
          </w:tcPr>
          <w:p w14:paraId="1C4AC398" w14:textId="77777777" w:rsidR="00577D08" w:rsidRDefault="00330FC0">
            <w:pPr>
              <w:autoSpaceDE w:val="0"/>
              <w:autoSpaceDN w:val="0"/>
              <w:adjustRightInd w:val="0"/>
              <w:snapToGrid w:val="0"/>
            </w:pPr>
            <w:r>
              <w:rPr>
                <w:rFonts w:hint="eastAsia"/>
              </w:rPr>
              <w:t>支付票据保证金</w:t>
            </w:r>
          </w:p>
        </w:tc>
        <w:tc>
          <w:tcPr>
            <w:tcW w:w="2693" w:type="dxa"/>
          </w:tcPr>
          <w:p w14:paraId="7B3E5BCE" w14:textId="77777777" w:rsidR="00577D08" w:rsidRDefault="00330FC0">
            <w:pPr>
              <w:jc w:val="right"/>
            </w:pPr>
            <w:r>
              <w:t xml:space="preserve"> 25,450,285.52 </w:t>
            </w:r>
          </w:p>
        </w:tc>
        <w:tc>
          <w:tcPr>
            <w:tcW w:w="2565" w:type="dxa"/>
          </w:tcPr>
          <w:p w14:paraId="2254F9E1" w14:textId="77777777" w:rsidR="00577D08" w:rsidRDefault="00330FC0">
            <w:pPr>
              <w:jc w:val="right"/>
            </w:pPr>
            <w:r>
              <w:t xml:space="preserve"> 18,153,350.26 </w:t>
            </w:r>
          </w:p>
        </w:tc>
      </w:tr>
      <w:tr w:rsidR="00577D08" w14:paraId="0F55CF01" w14:textId="77777777">
        <w:tc>
          <w:tcPr>
            <w:tcW w:w="3799" w:type="dxa"/>
          </w:tcPr>
          <w:p w14:paraId="592F0F52" w14:textId="77777777" w:rsidR="00577D08" w:rsidRDefault="00330FC0">
            <w:pPr>
              <w:autoSpaceDE w:val="0"/>
              <w:autoSpaceDN w:val="0"/>
              <w:adjustRightInd w:val="0"/>
              <w:snapToGrid w:val="0"/>
            </w:pPr>
            <w:r>
              <w:rPr>
                <w:rFonts w:hint="eastAsia"/>
              </w:rPr>
              <w:t>支付限制性股票回购款</w:t>
            </w:r>
          </w:p>
        </w:tc>
        <w:tc>
          <w:tcPr>
            <w:tcW w:w="2693" w:type="dxa"/>
          </w:tcPr>
          <w:p w14:paraId="7D6B9BB8" w14:textId="77777777" w:rsidR="00577D08" w:rsidRDefault="00330FC0">
            <w:pPr>
              <w:jc w:val="right"/>
            </w:pPr>
            <w:r>
              <w:t xml:space="preserve"> 6,304,360.00 </w:t>
            </w:r>
          </w:p>
        </w:tc>
        <w:tc>
          <w:tcPr>
            <w:tcW w:w="2565" w:type="dxa"/>
          </w:tcPr>
          <w:p w14:paraId="2441E75E" w14:textId="77777777" w:rsidR="00577D08" w:rsidRDefault="00577D08">
            <w:pPr>
              <w:jc w:val="right"/>
            </w:pPr>
          </w:p>
        </w:tc>
      </w:tr>
      <w:tr w:rsidR="00577D08" w14:paraId="22214736" w14:textId="77777777">
        <w:tc>
          <w:tcPr>
            <w:tcW w:w="3799" w:type="dxa"/>
          </w:tcPr>
          <w:p w14:paraId="69F30246" w14:textId="77777777" w:rsidR="00577D08" w:rsidRDefault="00330FC0">
            <w:pPr>
              <w:autoSpaceDE w:val="0"/>
              <w:autoSpaceDN w:val="0"/>
              <w:adjustRightInd w:val="0"/>
              <w:snapToGrid w:val="0"/>
            </w:pPr>
            <w:r>
              <w:rPr>
                <w:rFonts w:hint="eastAsia"/>
              </w:rPr>
              <w:t>支付使用权资产租赁费</w:t>
            </w:r>
          </w:p>
        </w:tc>
        <w:tc>
          <w:tcPr>
            <w:tcW w:w="2693" w:type="dxa"/>
          </w:tcPr>
          <w:p w14:paraId="2AAB1804" w14:textId="77777777" w:rsidR="00577D08" w:rsidRDefault="00330FC0">
            <w:pPr>
              <w:jc w:val="right"/>
            </w:pPr>
            <w:r>
              <w:t xml:space="preserve"> 4,386,694.17 </w:t>
            </w:r>
          </w:p>
        </w:tc>
        <w:tc>
          <w:tcPr>
            <w:tcW w:w="2565" w:type="dxa"/>
          </w:tcPr>
          <w:p w14:paraId="00C50A1A" w14:textId="77777777" w:rsidR="00577D08" w:rsidRDefault="00330FC0">
            <w:pPr>
              <w:jc w:val="right"/>
            </w:pPr>
            <w:r>
              <w:t xml:space="preserve"> 3,324,275.95 </w:t>
            </w:r>
          </w:p>
        </w:tc>
      </w:tr>
      <w:tr w:rsidR="00577D08" w14:paraId="2DF123E9" w14:textId="77777777">
        <w:tc>
          <w:tcPr>
            <w:tcW w:w="3799" w:type="dxa"/>
          </w:tcPr>
          <w:p w14:paraId="71B5AC32" w14:textId="77777777" w:rsidR="00577D08" w:rsidRDefault="00330FC0">
            <w:pPr>
              <w:autoSpaceDE w:val="0"/>
              <w:autoSpaceDN w:val="0"/>
              <w:adjustRightInd w:val="0"/>
              <w:snapToGrid w:val="0"/>
            </w:pPr>
            <w:r>
              <w:rPr>
                <w:rFonts w:hint="eastAsia"/>
              </w:rPr>
              <w:t>支付应收票据贴现息</w:t>
            </w:r>
          </w:p>
        </w:tc>
        <w:tc>
          <w:tcPr>
            <w:tcW w:w="2693" w:type="dxa"/>
          </w:tcPr>
          <w:p w14:paraId="619BEDBD" w14:textId="77777777" w:rsidR="00577D08" w:rsidRDefault="00330FC0">
            <w:pPr>
              <w:jc w:val="right"/>
            </w:pPr>
            <w:r>
              <w:t xml:space="preserve"> 152,064.43 </w:t>
            </w:r>
          </w:p>
        </w:tc>
        <w:tc>
          <w:tcPr>
            <w:tcW w:w="2565" w:type="dxa"/>
          </w:tcPr>
          <w:p w14:paraId="35FC5FBA" w14:textId="77777777" w:rsidR="00577D08" w:rsidRDefault="00330FC0">
            <w:pPr>
              <w:jc w:val="right"/>
            </w:pPr>
            <w:r>
              <w:t xml:space="preserve"> 111,023.38 </w:t>
            </w:r>
          </w:p>
        </w:tc>
      </w:tr>
      <w:tr w:rsidR="00577D08" w14:paraId="53C1C5C2" w14:textId="77777777">
        <w:tc>
          <w:tcPr>
            <w:tcW w:w="3799" w:type="dxa"/>
            <w:vAlign w:val="center"/>
          </w:tcPr>
          <w:p w14:paraId="16FB641C" w14:textId="77777777" w:rsidR="00577D08" w:rsidRDefault="00330FC0">
            <w:pPr>
              <w:autoSpaceDE w:val="0"/>
              <w:autoSpaceDN w:val="0"/>
              <w:adjustRightInd w:val="0"/>
              <w:snapToGrid w:val="0"/>
              <w:jc w:val="center"/>
            </w:pPr>
            <w:r>
              <w:rPr>
                <w:rFonts w:hint="eastAsia"/>
              </w:rPr>
              <w:t>合计</w:t>
            </w:r>
          </w:p>
        </w:tc>
        <w:tc>
          <w:tcPr>
            <w:tcW w:w="2693" w:type="dxa"/>
          </w:tcPr>
          <w:p w14:paraId="453C3E12" w14:textId="77777777" w:rsidR="00577D08" w:rsidRDefault="00330FC0">
            <w:pPr>
              <w:jc w:val="right"/>
            </w:pPr>
            <w:r>
              <w:t xml:space="preserve"> 179,773,448.56 </w:t>
            </w:r>
          </w:p>
        </w:tc>
        <w:tc>
          <w:tcPr>
            <w:tcW w:w="2565" w:type="dxa"/>
          </w:tcPr>
          <w:p w14:paraId="3325FF59" w14:textId="77777777" w:rsidR="00577D08" w:rsidRDefault="00330FC0">
            <w:pPr>
              <w:jc w:val="right"/>
            </w:pPr>
            <w:r>
              <w:t>21,588,649.59</w:t>
            </w:r>
          </w:p>
        </w:tc>
      </w:tr>
    </w:tbl>
    <w:p w14:paraId="4BCC87CE" w14:textId="77777777" w:rsidR="00577D08" w:rsidRDefault="00330FC0">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1729797966"/>
        <w:placeholder>
          <w:docPart w:val="GBC22222222222222222222222222222"/>
        </w:placeholder>
      </w:sdtPr>
      <w:sdtContent>
        <w:p w14:paraId="0082CBFF" w14:textId="77777777" w:rsidR="00577D08" w:rsidRDefault="00330FC0">
          <w:pPr>
            <w:ind w:right="5"/>
            <w:rPr>
              <w:rFonts w:asciiTheme="minorHAnsi" w:hAnsiTheme="minorHAnsi" w:cstheme="minorBidi"/>
              <w:kern w:val="2"/>
              <w:szCs w:val="22"/>
            </w:rPr>
          </w:pPr>
          <w:r>
            <w:rPr>
              <w:rFonts w:hint="eastAsia"/>
            </w:rPr>
            <w:t>无</w:t>
          </w:r>
        </w:p>
      </w:sdtContent>
    </w:sdt>
    <w:p w14:paraId="34D8A72A" w14:textId="77777777" w:rsidR="00577D08" w:rsidRDefault="00577D08">
      <w:pPr>
        <w:ind w:right="5"/>
      </w:pPr>
    </w:p>
    <w:p w14:paraId="7691D291" w14:textId="77777777" w:rsidR="00577D08" w:rsidRDefault="00330FC0">
      <w:pPr>
        <w:ind w:right="5"/>
      </w:pPr>
      <w:r>
        <w:rPr>
          <w:rFonts w:hint="eastAsia"/>
        </w:rPr>
        <w:t>筹资活动产生的各项负债变动情况</w:t>
      </w:r>
    </w:p>
    <w:sdt>
      <w:sdtPr>
        <w:alias w:val="是否适用：筹资活动产生的各项负债变动情况[双击切换]"/>
        <w:tag w:val="_GBC_6935418490e145edaf7010b5534b8d6c"/>
        <w:id w:val="-577373593"/>
        <w:placeholder>
          <w:docPart w:val="GBC22222222222222222222222222222"/>
        </w:placeholder>
      </w:sdtPr>
      <w:sdtContent>
        <w:p w14:paraId="534807FD"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D674829" w14:textId="3B09C7B6" w:rsidR="00577D08" w:rsidRDefault="00330FC0">
      <w:pPr>
        <w:jc w:val="right"/>
      </w:pPr>
      <w:r>
        <w:rPr>
          <w:rFonts w:hint="eastAsia"/>
        </w:rPr>
        <w:t>单位：</w:t>
      </w:r>
      <w:sdt>
        <w:sdtPr>
          <w:rPr>
            <w:rFonts w:hint="eastAsia"/>
          </w:rPr>
          <w:alias w:val="单位：筹资活动产生的各项负债变动情况"/>
          <w:tag w:val="_GBC_925389d7776444c688d3aa66f662adfd"/>
          <w:id w:val="-106594018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筹资活动产生的各项负债变动情况"/>
          <w:tag w:val="_GBC_3a33ea855d774ed4a7e23b58b10b2ecd"/>
          <w:id w:val="20198020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692"/>
        <w:gridCol w:w="1486"/>
        <w:gridCol w:w="1486"/>
        <w:gridCol w:w="1269"/>
        <w:gridCol w:w="1417"/>
        <w:gridCol w:w="1276"/>
        <w:gridCol w:w="1433"/>
      </w:tblGrid>
      <w:tr w:rsidR="00577D08" w14:paraId="0583AB68" w14:textId="77777777">
        <w:trPr>
          <w:trHeight w:val="135"/>
        </w:trPr>
        <w:sdt>
          <w:sdtPr>
            <w:rPr>
              <w:sz w:val="16"/>
              <w:szCs w:val="16"/>
            </w:rPr>
            <w:tag w:val="_PLD_5f8ab210fee34d74a9ce8c73775994d9"/>
            <w:id w:val="-538056554"/>
          </w:sdtPr>
          <w:sdtContent>
            <w:tc>
              <w:tcPr>
                <w:tcW w:w="692" w:type="dxa"/>
                <w:vMerge w:val="restart"/>
                <w:vAlign w:val="center"/>
              </w:tcPr>
              <w:p w14:paraId="4E47F8CD" w14:textId="77777777" w:rsidR="00577D08" w:rsidRDefault="00330FC0">
                <w:pPr>
                  <w:autoSpaceDE w:val="0"/>
                  <w:autoSpaceDN w:val="0"/>
                  <w:adjustRightInd w:val="0"/>
                  <w:snapToGrid w:val="0"/>
                  <w:jc w:val="center"/>
                  <w:rPr>
                    <w:sz w:val="16"/>
                    <w:szCs w:val="16"/>
                  </w:rPr>
                </w:pPr>
                <w:r>
                  <w:rPr>
                    <w:rFonts w:hint="eastAsia"/>
                    <w:sz w:val="16"/>
                    <w:szCs w:val="16"/>
                  </w:rPr>
                  <w:t>项目</w:t>
                </w:r>
              </w:p>
            </w:tc>
          </w:sdtContent>
        </w:sdt>
        <w:sdt>
          <w:sdtPr>
            <w:rPr>
              <w:sz w:val="16"/>
              <w:szCs w:val="16"/>
            </w:rPr>
            <w:tag w:val="_PLD_bab049d4c26d47d49041c46652b3d748"/>
            <w:id w:val="799740960"/>
          </w:sdtPr>
          <w:sdtContent>
            <w:tc>
              <w:tcPr>
                <w:tcW w:w="1486" w:type="dxa"/>
                <w:vMerge w:val="restart"/>
                <w:vAlign w:val="center"/>
              </w:tcPr>
              <w:p w14:paraId="3A20BB3F" w14:textId="77777777" w:rsidR="00577D08" w:rsidRDefault="00330FC0">
                <w:pPr>
                  <w:autoSpaceDE w:val="0"/>
                  <w:autoSpaceDN w:val="0"/>
                  <w:adjustRightInd w:val="0"/>
                  <w:snapToGrid w:val="0"/>
                  <w:jc w:val="center"/>
                  <w:rPr>
                    <w:sz w:val="16"/>
                    <w:szCs w:val="16"/>
                  </w:rPr>
                </w:pPr>
                <w:r>
                  <w:rPr>
                    <w:sz w:val="16"/>
                    <w:szCs w:val="16"/>
                  </w:rPr>
                  <w:t>期初余额</w:t>
                </w:r>
              </w:p>
            </w:tc>
          </w:sdtContent>
        </w:sdt>
        <w:sdt>
          <w:sdtPr>
            <w:rPr>
              <w:sz w:val="16"/>
              <w:szCs w:val="16"/>
            </w:rPr>
            <w:tag w:val="_PLD_440b2c54c3664dc199a52a962ffbbdd3"/>
            <w:id w:val="1483966380"/>
          </w:sdtPr>
          <w:sdtContent>
            <w:tc>
              <w:tcPr>
                <w:tcW w:w="2755" w:type="dxa"/>
                <w:gridSpan w:val="2"/>
                <w:vAlign w:val="center"/>
              </w:tcPr>
              <w:p w14:paraId="14BC3382" w14:textId="77777777" w:rsidR="00577D08" w:rsidRDefault="00330FC0">
                <w:pPr>
                  <w:autoSpaceDE w:val="0"/>
                  <w:autoSpaceDN w:val="0"/>
                  <w:adjustRightInd w:val="0"/>
                  <w:snapToGrid w:val="0"/>
                  <w:jc w:val="center"/>
                  <w:rPr>
                    <w:sz w:val="16"/>
                    <w:szCs w:val="16"/>
                  </w:rPr>
                </w:pPr>
                <w:r>
                  <w:rPr>
                    <w:rFonts w:hint="eastAsia"/>
                    <w:sz w:val="16"/>
                    <w:szCs w:val="16"/>
                  </w:rPr>
                  <w:t>本期增加</w:t>
                </w:r>
              </w:p>
            </w:tc>
          </w:sdtContent>
        </w:sdt>
        <w:sdt>
          <w:sdtPr>
            <w:rPr>
              <w:sz w:val="16"/>
              <w:szCs w:val="16"/>
            </w:rPr>
            <w:tag w:val="_PLD_4dc104f2ec524f5a86e41fb0db78ed82"/>
            <w:id w:val="1053813383"/>
          </w:sdtPr>
          <w:sdtContent>
            <w:tc>
              <w:tcPr>
                <w:tcW w:w="2693" w:type="dxa"/>
                <w:gridSpan w:val="2"/>
                <w:vAlign w:val="center"/>
              </w:tcPr>
              <w:p w14:paraId="1310D0FB" w14:textId="77777777" w:rsidR="00577D08" w:rsidRDefault="00330FC0">
                <w:pPr>
                  <w:autoSpaceDE w:val="0"/>
                  <w:autoSpaceDN w:val="0"/>
                  <w:adjustRightInd w:val="0"/>
                  <w:snapToGrid w:val="0"/>
                  <w:jc w:val="center"/>
                  <w:rPr>
                    <w:sz w:val="16"/>
                    <w:szCs w:val="16"/>
                  </w:rPr>
                </w:pPr>
                <w:r>
                  <w:rPr>
                    <w:rFonts w:hint="eastAsia"/>
                    <w:sz w:val="16"/>
                    <w:szCs w:val="16"/>
                  </w:rPr>
                  <w:t>本期减少</w:t>
                </w:r>
              </w:p>
            </w:tc>
          </w:sdtContent>
        </w:sdt>
        <w:sdt>
          <w:sdtPr>
            <w:rPr>
              <w:sz w:val="16"/>
              <w:szCs w:val="16"/>
            </w:rPr>
            <w:tag w:val="_PLD_54378f5247a844d49aa0017541fa519d"/>
            <w:id w:val="-1253040606"/>
          </w:sdtPr>
          <w:sdtContent>
            <w:tc>
              <w:tcPr>
                <w:tcW w:w="1433" w:type="dxa"/>
                <w:vMerge w:val="restart"/>
                <w:vAlign w:val="center"/>
              </w:tcPr>
              <w:p w14:paraId="072DDCFE" w14:textId="77777777" w:rsidR="00577D08" w:rsidRDefault="00330FC0">
                <w:pPr>
                  <w:autoSpaceDE w:val="0"/>
                  <w:autoSpaceDN w:val="0"/>
                  <w:adjustRightInd w:val="0"/>
                  <w:snapToGrid w:val="0"/>
                  <w:jc w:val="center"/>
                  <w:rPr>
                    <w:sz w:val="16"/>
                    <w:szCs w:val="16"/>
                  </w:rPr>
                </w:pPr>
                <w:r>
                  <w:rPr>
                    <w:rFonts w:hint="eastAsia"/>
                    <w:sz w:val="16"/>
                    <w:szCs w:val="16"/>
                  </w:rPr>
                  <w:t>期末余额</w:t>
                </w:r>
              </w:p>
            </w:tc>
          </w:sdtContent>
        </w:sdt>
      </w:tr>
      <w:tr w:rsidR="00577D08" w14:paraId="486FD5DD" w14:textId="77777777">
        <w:trPr>
          <w:trHeight w:val="135"/>
        </w:trPr>
        <w:tc>
          <w:tcPr>
            <w:tcW w:w="692" w:type="dxa"/>
            <w:vMerge/>
            <w:vAlign w:val="center"/>
          </w:tcPr>
          <w:p w14:paraId="275371ED" w14:textId="77777777" w:rsidR="00577D08" w:rsidRDefault="00577D08">
            <w:pPr>
              <w:autoSpaceDE w:val="0"/>
              <w:autoSpaceDN w:val="0"/>
              <w:adjustRightInd w:val="0"/>
              <w:snapToGrid w:val="0"/>
              <w:jc w:val="center"/>
              <w:rPr>
                <w:sz w:val="16"/>
                <w:szCs w:val="16"/>
              </w:rPr>
            </w:pPr>
          </w:p>
        </w:tc>
        <w:tc>
          <w:tcPr>
            <w:tcW w:w="1486" w:type="dxa"/>
            <w:vMerge/>
            <w:vAlign w:val="center"/>
          </w:tcPr>
          <w:p w14:paraId="47464CF7" w14:textId="77777777" w:rsidR="00577D08" w:rsidRDefault="00577D08">
            <w:pPr>
              <w:autoSpaceDE w:val="0"/>
              <w:autoSpaceDN w:val="0"/>
              <w:adjustRightInd w:val="0"/>
              <w:snapToGrid w:val="0"/>
              <w:jc w:val="center"/>
              <w:rPr>
                <w:sz w:val="16"/>
                <w:szCs w:val="16"/>
              </w:rPr>
            </w:pPr>
          </w:p>
        </w:tc>
        <w:sdt>
          <w:sdtPr>
            <w:rPr>
              <w:sz w:val="16"/>
              <w:szCs w:val="16"/>
            </w:rPr>
            <w:tag w:val="_PLD_420e321954544771b0b73780f2164d28"/>
            <w:id w:val="1493985815"/>
          </w:sdtPr>
          <w:sdtContent>
            <w:tc>
              <w:tcPr>
                <w:tcW w:w="1486" w:type="dxa"/>
                <w:vAlign w:val="center"/>
              </w:tcPr>
              <w:p w14:paraId="6F037E96" w14:textId="77777777" w:rsidR="00577D08" w:rsidRDefault="00330FC0">
                <w:pPr>
                  <w:autoSpaceDE w:val="0"/>
                  <w:autoSpaceDN w:val="0"/>
                  <w:adjustRightInd w:val="0"/>
                  <w:snapToGrid w:val="0"/>
                  <w:jc w:val="center"/>
                  <w:rPr>
                    <w:sz w:val="16"/>
                    <w:szCs w:val="16"/>
                  </w:rPr>
                </w:pPr>
                <w:r>
                  <w:rPr>
                    <w:sz w:val="16"/>
                    <w:szCs w:val="16"/>
                  </w:rPr>
                  <w:t>现金变动</w:t>
                </w:r>
              </w:p>
            </w:tc>
          </w:sdtContent>
        </w:sdt>
        <w:sdt>
          <w:sdtPr>
            <w:rPr>
              <w:sz w:val="16"/>
              <w:szCs w:val="16"/>
            </w:rPr>
            <w:tag w:val="_PLD_258fabff104642c7837f9d6f4d653a0f"/>
            <w:id w:val="1042786829"/>
          </w:sdtPr>
          <w:sdtContent>
            <w:tc>
              <w:tcPr>
                <w:tcW w:w="1269" w:type="dxa"/>
                <w:vAlign w:val="center"/>
              </w:tcPr>
              <w:p w14:paraId="741C3F0B" w14:textId="77777777" w:rsidR="00577D08" w:rsidRDefault="00330FC0">
                <w:pPr>
                  <w:autoSpaceDE w:val="0"/>
                  <w:autoSpaceDN w:val="0"/>
                  <w:adjustRightInd w:val="0"/>
                  <w:snapToGrid w:val="0"/>
                  <w:jc w:val="center"/>
                  <w:rPr>
                    <w:sz w:val="16"/>
                    <w:szCs w:val="16"/>
                  </w:rPr>
                </w:pPr>
                <w:r>
                  <w:rPr>
                    <w:sz w:val="16"/>
                    <w:szCs w:val="16"/>
                  </w:rPr>
                  <w:t>非现金变动</w:t>
                </w:r>
              </w:p>
            </w:tc>
          </w:sdtContent>
        </w:sdt>
        <w:sdt>
          <w:sdtPr>
            <w:rPr>
              <w:sz w:val="16"/>
              <w:szCs w:val="16"/>
            </w:rPr>
            <w:tag w:val="_PLD_3c34596330aa4ababb3e1ef50efc7668"/>
            <w:id w:val="627667999"/>
          </w:sdtPr>
          <w:sdtContent>
            <w:tc>
              <w:tcPr>
                <w:tcW w:w="1417" w:type="dxa"/>
                <w:vAlign w:val="center"/>
              </w:tcPr>
              <w:p w14:paraId="7AAB8141" w14:textId="77777777" w:rsidR="00577D08" w:rsidRDefault="00330FC0">
                <w:pPr>
                  <w:autoSpaceDE w:val="0"/>
                  <w:autoSpaceDN w:val="0"/>
                  <w:adjustRightInd w:val="0"/>
                  <w:snapToGrid w:val="0"/>
                  <w:jc w:val="center"/>
                  <w:rPr>
                    <w:sz w:val="16"/>
                    <w:szCs w:val="16"/>
                  </w:rPr>
                </w:pPr>
                <w:r>
                  <w:rPr>
                    <w:sz w:val="16"/>
                    <w:szCs w:val="16"/>
                  </w:rPr>
                  <w:t>现金变动</w:t>
                </w:r>
              </w:p>
            </w:tc>
          </w:sdtContent>
        </w:sdt>
        <w:sdt>
          <w:sdtPr>
            <w:rPr>
              <w:sz w:val="16"/>
              <w:szCs w:val="16"/>
            </w:rPr>
            <w:tag w:val="_PLD_5640b38554e340769223289d39b620da"/>
            <w:id w:val="786542308"/>
          </w:sdtPr>
          <w:sdtContent>
            <w:tc>
              <w:tcPr>
                <w:tcW w:w="1276" w:type="dxa"/>
                <w:vAlign w:val="center"/>
              </w:tcPr>
              <w:p w14:paraId="208A88FC" w14:textId="77777777" w:rsidR="00577D08" w:rsidRDefault="00330FC0">
                <w:pPr>
                  <w:autoSpaceDE w:val="0"/>
                  <w:autoSpaceDN w:val="0"/>
                  <w:adjustRightInd w:val="0"/>
                  <w:snapToGrid w:val="0"/>
                  <w:jc w:val="center"/>
                  <w:rPr>
                    <w:sz w:val="16"/>
                    <w:szCs w:val="16"/>
                  </w:rPr>
                </w:pPr>
                <w:r>
                  <w:rPr>
                    <w:sz w:val="16"/>
                    <w:szCs w:val="16"/>
                  </w:rPr>
                  <w:t>非现金变动</w:t>
                </w:r>
              </w:p>
            </w:tc>
          </w:sdtContent>
        </w:sdt>
        <w:tc>
          <w:tcPr>
            <w:tcW w:w="1433" w:type="dxa"/>
            <w:vMerge/>
            <w:vAlign w:val="center"/>
          </w:tcPr>
          <w:p w14:paraId="7DB5F473" w14:textId="77777777" w:rsidR="00577D08" w:rsidRDefault="00577D08">
            <w:pPr>
              <w:autoSpaceDE w:val="0"/>
              <w:autoSpaceDN w:val="0"/>
              <w:adjustRightInd w:val="0"/>
              <w:snapToGrid w:val="0"/>
              <w:jc w:val="center"/>
              <w:rPr>
                <w:sz w:val="16"/>
                <w:szCs w:val="16"/>
              </w:rPr>
            </w:pPr>
          </w:p>
        </w:tc>
      </w:tr>
      <w:tr w:rsidR="00577D08" w14:paraId="4BA83A93" w14:textId="77777777">
        <w:tc>
          <w:tcPr>
            <w:tcW w:w="692" w:type="dxa"/>
          </w:tcPr>
          <w:p w14:paraId="056C6351" w14:textId="77777777" w:rsidR="00577D08" w:rsidRDefault="00330FC0">
            <w:pPr>
              <w:autoSpaceDE w:val="0"/>
              <w:autoSpaceDN w:val="0"/>
              <w:adjustRightInd w:val="0"/>
              <w:snapToGrid w:val="0"/>
              <w:rPr>
                <w:sz w:val="16"/>
                <w:szCs w:val="16"/>
              </w:rPr>
            </w:pPr>
            <w:r>
              <w:rPr>
                <w:rFonts w:hint="eastAsia"/>
                <w:sz w:val="16"/>
                <w:szCs w:val="16"/>
              </w:rPr>
              <w:t>短期借款</w:t>
            </w:r>
          </w:p>
        </w:tc>
        <w:tc>
          <w:tcPr>
            <w:tcW w:w="1486" w:type="dxa"/>
            <w:vAlign w:val="center"/>
          </w:tcPr>
          <w:p w14:paraId="2A2AE0B6" w14:textId="77777777" w:rsidR="00577D08" w:rsidRDefault="00330FC0">
            <w:pPr>
              <w:jc w:val="right"/>
              <w:rPr>
                <w:sz w:val="16"/>
                <w:szCs w:val="16"/>
              </w:rPr>
            </w:pPr>
            <w:r>
              <w:rPr>
                <w:sz w:val="16"/>
                <w:szCs w:val="16"/>
              </w:rPr>
              <w:t>270,060,922.08</w:t>
            </w:r>
          </w:p>
        </w:tc>
        <w:tc>
          <w:tcPr>
            <w:tcW w:w="1486" w:type="dxa"/>
            <w:vAlign w:val="center"/>
          </w:tcPr>
          <w:p w14:paraId="49FB6821" w14:textId="77777777" w:rsidR="00577D08" w:rsidRDefault="00330FC0">
            <w:pPr>
              <w:jc w:val="right"/>
              <w:rPr>
                <w:sz w:val="16"/>
                <w:szCs w:val="16"/>
              </w:rPr>
            </w:pPr>
            <w:r>
              <w:rPr>
                <w:sz w:val="16"/>
                <w:szCs w:val="16"/>
              </w:rPr>
              <w:t xml:space="preserve"> 64,773,000.00 </w:t>
            </w:r>
          </w:p>
        </w:tc>
        <w:tc>
          <w:tcPr>
            <w:tcW w:w="1269" w:type="dxa"/>
            <w:vAlign w:val="center"/>
          </w:tcPr>
          <w:p w14:paraId="4CD694CD" w14:textId="77777777" w:rsidR="00577D08" w:rsidRDefault="00330FC0">
            <w:pPr>
              <w:jc w:val="right"/>
              <w:rPr>
                <w:sz w:val="16"/>
                <w:szCs w:val="16"/>
              </w:rPr>
            </w:pPr>
            <w:r>
              <w:rPr>
                <w:sz w:val="16"/>
                <w:szCs w:val="16"/>
              </w:rPr>
              <w:t>197,978,089.50</w:t>
            </w:r>
          </w:p>
        </w:tc>
        <w:tc>
          <w:tcPr>
            <w:tcW w:w="1417" w:type="dxa"/>
            <w:vAlign w:val="center"/>
          </w:tcPr>
          <w:p w14:paraId="5F175C01" w14:textId="77777777" w:rsidR="00577D08" w:rsidRDefault="00330FC0">
            <w:pPr>
              <w:jc w:val="right"/>
              <w:rPr>
                <w:sz w:val="16"/>
                <w:szCs w:val="16"/>
              </w:rPr>
            </w:pPr>
            <w:r>
              <w:rPr>
                <w:sz w:val="16"/>
                <w:szCs w:val="16"/>
              </w:rPr>
              <w:t>254,024,970.42</w:t>
            </w:r>
          </w:p>
        </w:tc>
        <w:tc>
          <w:tcPr>
            <w:tcW w:w="1276" w:type="dxa"/>
            <w:vAlign w:val="center"/>
          </w:tcPr>
          <w:p w14:paraId="1E3182E8" w14:textId="77777777" w:rsidR="00577D08" w:rsidRDefault="00330FC0">
            <w:pPr>
              <w:jc w:val="right"/>
              <w:rPr>
                <w:sz w:val="16"/>
                <w:szCs w:val="16"/>
              </w:rPr>
            </w:pPr>
            <w:r>
              <w:rPr>
                <w:sz w:val="16"/>
                <w:szCs w:val="16"/>
              </w:rPr>
              <w:t>18,653,350.26</w:t>
            </w:r>
          </w:p>
        </w:tc>
        <w:tc>
          <w:tcPr>
            <w:tcW w:w="1433" w:type="dxa"/>
            <w:vAlign w:val="center"/>
          </w:tcPr>
          <w:p w14:paraId="6C77D160" w14:textId="77777777" w:rsidR="00577D08" w:rsidRDefault="00330FC0">
            <w:pPr>
              <w:jc w:val="right"/>
              <w:rPr>
                <w:sz w:val="16"/>
                <w:szCs w:val="16"/>
              </w:rPr>
            </w:pPr>
            <w:r>
              <w:rPr>
                <w:sz w:val="16"/>
                <w:szCs w:val="16"/>
              </w:rPr>
              <w:t>260,133,690.90</w:t>
            </w:r>
          </w:p>
        </w:tc>
      </w:tr>
      <w:tr w:rsidR="00577D08" w14:paraId="2B26628D" w14:textId="77777777">
        <w:tc>
          <w:tcPr>
            <w:tcW w:w="692" w:type="dxa"/>
          </w:tcPr>
          <w:p w14:paraId="0FDBE60F" w14:textId="77777777" w:rsidR="00577D08" w:rsidRDefault="00330FC0">
            <w:pPr>
              <w:autoSpaceDE w:val="0"/>
              <w:autoSpaceDN w:val="0"/>
              <w:adjustRightInd w:val="0"/>
              <w:snapToGrid w:val="0"/>
              <w:rPr>
                <w:sz w:val="16"/>
                <w:szCs w:val="16"/>
              </w:rPr>
            </w:pPr>
            <w:r>
              <w:rPr>
                <w:rFonts w:hint="eastAsia"/>
                <w:sz w:val="16"/>
                <w:szCs w:val="16"/>
              </w:rPr>
              <w:t>长期借款</w:t>
            </w:r>
          </w:p>
        </w:tc>
        <w:tc>
          <w:tcPr>
            <w:tcW w:w="1486" w:type="dxa"/>
            <w:vAlign w:val="center"/>
          </w:tcPr>
          <w:p w14:paraId="021579F6" w14:textId="77777777" w:rsidR="00577D08" w:rsidRDefault="00330FC0">
            <w:pPr>
              <w:jc w:val="right"/>
              <w:rPr>
                <w:sz w:val="16"/>
                <w:szCs w:val="16"/>
              </w:rPr>
            </w:pPr>
            <w:r>
              <w:rPr>
                <w:sz w:val="16"/>
                <w:szCs w:val="16"/>
              </w:rPr>
              <w:t>1,599,618,701.58</w:t>
            </w:r>
          </w:p>
        </w:tc>
        <w:tc>
          <w:tcPr>
            <w:tcW w:w="1486" w:type="dxa"/>
            <w:vAlign w:val="center"/>
          </w:tcPr>
          <w:p w14:paraId="0CF481CD" w14:textId="77777777" w:rsidR="00577D08" w:rsidRDefault="00330FC0">
            <w:pPr>
              <w:jc w:val="right"/>
              <w:rPr>
                <w:sz w:val="16"/>
                <w:szCs w:val="16"/>
              </w:rPr>
            </w:pPr>
            <w:r>
              <w:rPr>
                <w:sz w:val="16"/>
                <w:szCs w:val="16"/>
              </w:rPr>
              <w:t xml:space="preserve">1,251,413,651.18 </w:t>
            </w:r>
          </w:p>
        </w:tc>
        <w:tc>
          <w:tcPr>
            <w:tcW w:w="1269" w:type="dxa"/>
            <w:vAlign w:val="center"/>
          </w:tcPr>
          <w:p w14:paraId="1B244821" w14:textId="77777777" w:rsidR="00577D08" w:rsidRDefault="00330FC0">
            <w:pPr>
              <w:jc w:val="right"/>
              <w:rPr>
                <w:sz w:val="16"/>
                <w:szCs w:val="16"/>
              </w:rPr>
            </w:pPr>
            <w:r>
              <w:rPr>
                <w:sz w:val="16"/>
                <w:szCs w:val="16"/>
              </w:rPr>
              <w:t>43,996,408.17</w:t>
            </w:r>
          </w:p>
        </w:tc>
        <w:tc>
          <w:tcPr>
            <w:tcW w:w="1417" w:type="dxa"/>
            <w:vAlign w:val="center"/>
          </w:tcPr>
          <w:p w14:paraId="59EFDC5D" w14:textId="77777777" w:rsidR="00577D08" w:rsidRDefault="00330FC0">
            <w:pPr>
              <w:jc w:val="right"/>
              <w:rPr>
                <w:sz w:val="16"/>
                <w:szCs w:val="16"/>
              </w:rPr>
            </w:pPr>
            <w:r>
              <w:rPr>
                <w:sz w:val="16"/>
                <w:szCs w:val="16"/>
              </w:rPr>
              <w:t>952,352,350.02</w:t>
            </w:r>
          </w:p>
        </w:tc>
        <w:tc>
          <w:tcPr>
            <w:tcW w:w="1276" w:type="dxa"/>
            <w:vAlign w:val="center"/>
          </w:tcPr>
          <w:p w14:paraId="61E5CA31" w14:textId="77777777" w:rsidR="00577D08" w:rsidRDefault="00577D08">
            <w:pPr>
              <w:jc w:val="right"/>
              <w:rPr>
                <w:sz w:val="16"/>
                <w:szCs w:val="16"/>
              </w:rPr>
            </w:pPr>
          </w:p>
        </w:tc>
        <w:tc>
          <w:tcPr>
            <w:tcW w:w="1433" w:type="dxa"/>
            <w:vAlign w:val="center"/>
          </w:tcPr>
          <w:p w14:paraId="478A9942" w14:textId="77777777" w:rsidR="00577D08" w:rsidRDefault="00330FC0">
            <w:pPr>
              <w:jc w:val="right"/>
              <w:rPr>
                <w:sz w:val="16"/>
                <w:szCs w:val="16"/>
              </w:rPr>
            </w:pPr>
            <w:r>
              <w:rPr>
                <w:sz w:val="16"/>
                <w:szCs w:val="16"/>
              </w:rPr>
              <w:t>1,942,676,410.91</w:t>
            </w:r>
          </w:p>
        </w:tc>
      </w:tr>
      <w:tr w:rsidR="00577D08" w14:paraId="4548F651" w14:textId="77777777">
        <w:tc>
          <w:tcPr>
            <w:tcW w:w="692" w:type="dxa"/>
          </w:tcPr>
          <w:p w14:paraId="7A9F9270" w14:textId="77777777" w:rsidR="00577D08" w:rsidRDefault="00330FC0">
            <w:pPr>
              <w:autoSpaceDE w:val="0"/>
              <w:autoSpaceDN w:val="0"/>
              <w:adjustRightInd w:val="0"/>
              <w:snapToGrid w:val="0"/>
              <w:rPr>
                <w:sz w:val="16"/>
                <w:szCs w:val="16"/>
              </w:rPr>
            </w:pPr>
            <w:r>
              <w:rPr>
                <w:rFonts w:hint="eastAsia"/>
                <w:sz w:val="16"/>
                <w:szCs w:val="16"/>
              </w:rPr>
              <w:t>租赁负债</w:t>
            </w:r>
          </w:p>
        </w:tc>
        <w:tc>
          <w:tcPr>
            <w:tcW w:w="1486" w:type="dxa"/>
            <w:vAlign w:val="center"/>
          </w:tcPr>
          <w:p w14:paraId="56C1BD02" w14:textId="77777777" w:rsidR="00577D08" w:rsidRDefault="00330FC0">
            <w:pPr>
              <w:jc w:val="right"/>
              <w:rPr>
                <w:sz w:val="16"/>
                <w:szCs w:val="16"/>
              </w:rPr>
            </w:pPr>
            <w:r>
              <w:rPr>
                <w:sz w:val="16"/>
                <w:szCs w:val="16"/>
              </w:rPr>
              <w:t>6,222,233.00</w:t>
            </w:r>
          </w:p>
        </w:tc>
        <w:tc>
          <w:tcPr>
            <w:tcW w:w="1486" w:type="dxa"/>
            <w:vAlign w:val="center"/>
          </w:tcPr>
          <w:p w14:paraId="617CEC56" w14:textId="77777777" w:rsidR="00577D08" w:rsidRDefault="00577D08">
            <w:pPr>
              <w:jc w:val="right"/>
              <w:rPr>
                <w:sz w:val="16"/>
                <w:szCs w:val="16"/>
              </w:rPr>
            </w:pPr>
          </w:p>
        </w:tc>
        <w:tc>
          <w:tcPr>
            <w:tcW w:w="1269" w:type="dxa"/>
            <w:vAlign w:val="center"/>
          </w:tcPr>
          <w:p w14:paraId="10838DB1" w14:textId="77777777" w:rsidR="00577D08" w:rsidRDefault="00330FC0">
            <w:pPr>
              <w:jc w:val="right"/>
              <w:rPr>
                <w:sz w:val="16"/>
                <w:szCs w:val="16"/>
              </w:rPr>
            </w:pPr>
            <w:r>
              <w:rPr>
                <w:sz w:val="16"/>
                <w:szCs w:val="16"/>
              </w:rPr>
              <w:t>20,373,315.26</w:t>
            </w:r>
          </w:p>
        </w:tc>
        <w:tc>
          <w:tcPr>
            <w:tcW w:w="1417" w:type="dxa"/>
            <w:vAlign w:val="center"/>
          </w:tcPr>
          <w:p w14:paraId="21DF68BD" w14:textId="77777777" w:rsidR="00577D08" w:rsidRDefault="00330FC0">
            <w:pPr>
              <w:jc w:val="right"/>
              <w:rPr>
                <w:sz w:val="16"/>
                <w:szCs w:val="16"/>
              </w:rPr>
            </w:pPr>
            <w:r>
              <w:rPr>
                <w:sz w:val="16"/>
                <w:szCs w:val="16"/>
              </w:rPr>
              <w:t>4,386,694.17</w:t>
            </w:r>
          </w:p>
        </w:tc>
        <w:tc>
          <w:tcPr>
            <w:tcW w:w="1276" w:type="dxa"/>
            <w:vAlign w:val="center"/>
          </w:tcPr>
          <w:p w14:paraId="12C1DF4C" w14:textId="77777777" w:rsidR="00577D08" w:rsidRDefault="00577D08">
            <w:pPr>
              <w:jc w:val="right"/>
              <w:rPr>
                <w:sz w:val="16"/>
                <w:szCs w:val="16"/>
              </w:rPr>
            </w:pPr>
          </w:p>
        </w:tc>
        <w:tc>
          <w:tcPr>
            <w:tcW w:w="1433" w:type="dxa"/>
            <w:vAlign w:val="center"/>
          </w:tcPr>
          <w:p w14:paraId="32A028C6" w14:textId="77777777" w:rsidR="00577D08" w:rsidRDefault="00330FC0">
            <w:pPr>
              <w:jc w:val="right"/>
              <w:rPr>
                <w:sz w:val="16"/>
                <w:szCs w:val="16"/>
              </w:rPr>
            </w:pPr>
            <w:r>
              <w:rPr>
                <w:sz w:val="16"/>
                <w:szCs w:val="16"/>
              </w:rPr>
              <w:t>22,208,854.09</w:t>
            </w:r>
          </w:p>
        </w:tc>
      </w:tr>
      <w:tr w:rsidR="00577D08" w14:paraId="062385F9" w14:textId="77777777">
        <w:tc>
          <w:tcPr>
            <w:tcW w:w="692" w:type="dxa"/>
          </w:tcPr>
          <w:p w14:paraId="1B1E58B8" w14:textId="77777777" w:rsidR="00577D08" w:rsidRDefault="00330FC0">
            <w:pPr>
              <w:autoSpaceDE w:val="0"/>
              <w:autoSpaceDN w:val="0"/>
              <w:adjustRightInd w:val="0"/>
              <w:snapToGrid w:val="0"/>
              <w:rPr>
                <w:sz w:val="16"/>
                <w:szCs w:val="16"/>
              </w:rPr>
            </w:pPr>
            <w:r>
              <w:rPr>
                <w:rFonts w:hint="eastAsia"/>
                <w:sz w:val="16"/>
                <w:szCs w:val="16"/>
              </w:rPr>
              <w:t>长期应付款</w:t>
            </w:r>
          </w:p>
        </w:tc>
        <w:tc>
          <w:tcPr>
            <w:tcW w:w="1486" w:type="dxa"/>
            <w:vAlign w:val="center"/>
          </w:tcPr>
          <w:p w14:paraId="763E55C5" w14:textId="77777777" w:rsidR="00577D08" w:rsidRDefault="00577D08">
            <w:pPr>
              <w:jc w:val="right"/>
              <w:rPr>
                <w:sz w:val="16"/>
                <w:szCs w:val="16"/>
              </w:rPr>
            </w:pPr>
          </w:p>
        </w:tc>
        <w:tc>
          <w:tcPr>
            <w:tcW w:w="1486" w:type="dxa"/>
            <w:vAlign w:val="center"/>
          </w:tcPr>
          <w:p w14:paraId="506D58FB" w14:textId="77777777" w:rsidR="00577D08" w:rsidRDefault="00330FC0">
            <w:pPr>
              <w:jc w:val="right"/>
              <w:rPr>
                <w:sz w:val="16"/>
                <w:szCs w:val="16"/>
              </w:rPr>
            </w:pPr>
            <w:r>
              <w:rPr>
                <w:sz w:val="16"/>
                <w:szCs w:val="16"/>
              </w:rPr>
              <w:t xml:space="preserve"> 200,000,000.00 </w:t>
            </w:r>
          </w:p>
        </w:tc>
        <w:tc>
          <w:tcPr>
            <w:tcW w:w="1269" w:type="dxa"/>
            <w:vAlign w:val="center"/>
          </w:tcPr>
          <w:p w14:paraId="0DFB7D1D" w14:textId="77777777" w:rsidR="00577D08" w:rsidRDefault="00330FC0">
            <w:pPr>
              <w:jc w:val="right"/>
              <w:rPr>
                <w:sz w:val="16"/>
                <w:szCs w:val="16"/>
              </w:rPr>
            </w:pPr>
            <w:r>
              <w:rPr>
                <w:sz w:val="16"/>
                <w:szCs w:val="16"/>
              </w:rPr>
              <w:t>4,996,485.33</w:t>
            </w:r>
          </w:p>
        </w:tc>
        <w:tc>
          <w:tcPr>
            <w:tcW w:w="1417" w:type="dxa"/>
            <w:vAlign w:val="center"/>
          </w:tcPr>
          <w:p w14:paraId="03FB728B" w14:textId="77777777" w:rsidR="00577D08" w:rsidRDefault="00330FC0">
            <w:pPr>
              <w:jc w:val="right"/>
              <w:rPr>
                <w:sz w:val="16"/>
                <w:szCs w:val="16"/>
              </w:rPr>
            </w:pPr>
            <w:r>
              <w:rPr>
                <w:sz w:val="16"/>
                <w:szCs w:val="16"/>
              </w:rPr>
              <w:t>23,066,944.44</w:t>
            </w:r>
          </w:p>
        </w:tc>
        <w:tc>
          <w:tcPr>
            <w:tcW w:w="1276" w:type="dxa"/>
            <w:vAlign w:val="center"/>
          </w:tcPr>
          <w:p w14:paraId="6065EA07" w14:textId="77777777" w:rsidR="00577D08" w:rsidRDefault="00577D08">
            <w:pPr>
              <w:jc w:val="right"/>
              <w:rPr>
                <w:sz w:val="16"/>
                <w:szCs w:val="16"/>
              </w:rPr>
            </w:pPr>
          </w:p>
        </w:tc>
        <w:tc>
          <w:tcPr>
            <w:tcW w:w="1433" w:type="dxa"/>
            <w:vAlign w:val="center"/>
          </w:tcPr>
          <w:p w14:paraId="40CFFCD6" w14:textId="77777777" w:rsidR="00577D08" w:rsidRDefault="00330FC0">
            <w:pPr>
              <w:jc w:val="right"/>
              <w:rPr>
                <w:sz w:val="16"/>
                <w:szCs w:val="16"/>
              </w:rPr>
            </w:pPr>
            <w:r>
              <w:rPr>
                <w:sz w:val="16"/>
                <w:szCs w:val="16"/>
              </w:rPr>
              <w:t>181,929,540.89</w:t>
            </w:r>
          </w:p>
        </w:tc>
      </w:tr>
      <w:tr w:rsidR="00577D08" w14:paraId="1AB815C8" w14:textId="77777777">
        <w:tc>
          <w:tcPr>
            <w:tcW w:w="692" w:type="dxa"/>
            <w:vAlign w:val="center"/>
          </w:tcPr>
          <w:p w14:paraId="1BD747F9" w14:textId="77777777" w:rsidR="00577D08" w:rsidRDefault="00330FC0">
            <w:pPr>
              <w:autoSpaceDE w:val="0"/>
              <w:autoSpaceDN w:val="0"/>
              <w:adjustRightInd w:val="0"/>
              <w:snapToGrid w:val="0"/>
              <w:jc w:val="center"/>
              <w:rPr>
                <w:sz w:val="16"/>
                <w:szCs w:val="16"/>
              </w:rPr>
            </w:pPr>
            <w:r>
              <w:rPr>
                <w:rFonts w:hint="eastAsia"/>
                <w:sz w:val="16"/>
                <w:szCs w:val="16"/>
              </w:rPr>
              <w:t>合计</w:t>
            </w:r>
          </w:p>
        </w:tc>
        <w:tc>
          <w:tcPr>
            <w:tcW w:w="1486" w:type="dxa"/>
            <w:vAlign w:val="center"/>
          </w:tcPr>
          <w:p w14:paraId="2CF0DCDF" w14:textId="77777777" w:rsidR="00577D08" w:rsidRDefault="00330FC0">
            <w:pPr>
              <w:jc w:val="right"/>
              <w:rPr>
                <w:sz w:val="16"/>
                <w:szCs w:val="16"/>
              </w:rPr>
            </w:pPr>
            <w:r>
              <w:rPr>
                <w:sz w:val="16"/>
                <w:szCs w:val="16"/>
              </w:rPr>
              <w:t>1,875,901,856.66</w:t>
            </w:r>
          </w:p>
        </w:tc>
        <w:tc>
          <w:tcPr>
            <w:tcW w:w="1486" w:type="dxa"/>
            <w:vAlign w:val="center"/>
          </w:tcPr>
          <w:p w14:paraId="2F562071" w14:textId="77777777" w:rsidR="00577D08" w:rsidRDefault="00330FC0">
            <w:pPr>
              <w:jc w:val="right"/>
              <w:rPr>
                <w:sz w:val="16"/>
                <w:szCs w:val="16"/>
              </w:rPr>
            </w:pPr>
            <w:r>
              <w:rPr>
                <w:sz w:val="16"/>
                <w:szCs w:val="16"/>
              </w:rPr>
              <w:t xml:space="preserve">1,516,186,651.18 </w:t>
            </w:r>
          </w:p>
        </w:tc>
        <w:tc>
          <w:tcPr>
            <w:tcW w:w="1269" w:type="dxa"/>
            <w:vAlign w:val="center"/>
          </w:tcPr>
          <w:p w14:paraId="16276931" w14:textId="77777777" w:rsidR="00577D08" w:rsidRDefault="00330FC0">
            <w:pPr>
              <w:jc w:val="right"/>
              <w:rPr>
                <w:sz w:val="16"/>
                <w:szCs w:val="16"/>
              </w:rPr>
            </w:pPr>
            <w:r>
              <w:rPr>
                <w:sz w:val="16"/>
                <w:szCs w:val="16"/>
              </w:rPr>
              <w:t xml:space="preserve">267,344,298.26 </w:t>
            </w:r>
          </w:p>
        </w:tc>
        <w:tc>
          <w:tcPr>
            <w:tcW w:w="1417" w:type="dxa"/>
            <w:vAlign w:val="center"/>
          </w:tcPr>
          <w:p w14:paraId="00FB43FD" w14:textId="77777777" w:rsidR="00577D08" w:rsidRDefault="00330FC0">
            <w:pPr>
              <w:jc w:val="right"/>
              <w:rPr>
                <w:sz w:val="16"/>
                <w:szCs w:val="16"/>
              </w:rPr>
            </w:pPr>
            <w:r>
              <w:rPr>
                <w:sz w:val="16"/>
                <w:szCs w:val="16"/>
              </w:rPr>
              <w:t xml:space="preserve">1,233,830,959.05 </w:t>
            </w:r>
          </w:p>
        </w:tc>
        <w:tc>
          <w:tcPr>
            <w:tcW w:w="1276" w:type="dxa"/>
            <w:vAlign w:val="center"/>
          </w:tcPr>
          <w:p w14:paraId="426BE374" w14:textId="77777777" w:rsidR="00577D08" w:rsidRDefault="00330FC0">
            <w:pPr>
              <w:jc w:val="right"/>
              <w:rPr>
                <w:sz w:val="16"/>
                <w:szCs w:val="16"/>
              </w:rPr>
            </w:pPr>
            <w:r>
              <w:rPr>
                <w:sz w:val="16"/>
                <w:szCs w:val="16"/>
              </w:rPr>
              <w:t xml:space="preserve">18,653,350.26 </w:t>
            </w:r>
          </w:p>
        </w:tc>
        <w:tc>
          <w:tcPr>
            <w:tcW w:w="1433" w:type="dxa"/>
            <w:vAlign w:val="center"/>
          </w:tcPr>
          <w:p w14:paraId="4001A8DE" w14:textId="77777777" w:rsidR="00577D08" w:rsidRDefault="00330FC0">
            <w:pPr>
              <w:jc w:val="right"/>
              <w:rPr>
                <w:sz w:val="16"/>
                <w:szCs w:val="16"/>
              </w:rPr>
            </w:pPr>
            <w:r>
              <w:rPr>
                <w:sz w:val="16"/>
                <w:szCs w:val="16"/>
              </w:rPr>
              <w:t>2,406,948,496.79</w:t>
            </w:r>
          </w:p>
        </w:tc>
      </w:tr>
    </w:tbl>
    <w:p w14:paraId="232857EC" w14:textId="77777777" w:rsidR="00577D08" w:rsidRDefault="00330FC0">
      <w:pPr>
        <w:spacing w:line="360" w:lineRule="exact"/>
        <w:ind w:right="6" w:firstLineChars="200" w:firstLine="420"/>
        <w:jc w:val="both"/>
      </w:pPr>
      <w:r>
        <w:rPr>
          <w:rFonts w:hint="eastAsia"/>
        </w:rPr>
        <w:t>长期借款、租赁负债分别包含了重分类至一年内到期的非流动负债列报的部分；短期借款非现金变动系：供应商融资安排转入短期借款</w:t>
      </w:r>
      <w:r>
        <w:rPr>
          <w:rFonts w:hint="eastAsia"/>
        </w:rPr>
        <w:t>112,204,418.73</w:t>
      </w:r>
      <w:r>
        <w:rPr>
          <w:rFonts w:hint="eastAsia"/>
        </w:rPr>
        <w:t>元，信用证借款</w:t>
      </w:r>
      <w:r>
        <w:rPr>
          <w:rFonts w:hint="eastAsia"/>
        </w:rPr>
        <w:t>83,292,231.47</w:t>
      </w:r>
      <w:r>
        <w:rPr>
          <w:rFonts w:hint="eastAsia"/>
        </w:rPr>
        <w:t>元</w:t>
      </w:r>
      <w:r>
        <w:rPr>
          <w:rFonts w:hint="eastAsia"/>
        </w:rPr>
        <w:t xml:space="preserve"> </w:t>
      </w:r>
      <w:r>
        <w:rPr>
          <w:rFonts w:hint="eastAsia"/>
        </w:rPr>
        <w:t>，计提短期借款利息</w:t>
      </w:r>
      <w:r>
        <w:rPr>
          <w:rFonts w:hint="eastAsia"/>
        </w:rPr>
        <w:t>2,481,439.30</w:t>
      </w:r>
      <w:r>
        <w:rPr>
          <w:rFonts w:hint="eastAsia"/>
        </w:rPr>
        <w:t>元，同时票据融资到期转出</w:t>
      </w:r>
      <w:r>
        <w:rPr>
          <w:rFonts w:hint="eastAsia"/>
        </w:rPr>
        <w:t>500,000.00</w:t>
      </w:r>
      <w:r>
        <w:rPr>
          <w:rFonts w:hint="eastAsia"/>
        </w:rPr>
        <w:t>元、中信融信通保证金到期转出归还借款</w:t>
      </w:r>
      <w:r>
        <w:rPr>
          <w:rFonts w:hint="eastAsia"/>
        </w:rPr>
        <w:t>18,153,350.26</w:t>
      </w:r>
      <w:r>
        <w:rPr>
          <w:rFonts w:hint="eastAsia"/>
        </w:rPr>
        <w:t>元；长期借款非现金变动系：计提长期借款利息</w:t>
      </w:r>
      <w:r>
        <w:rPr>
          <w:rFonts w:hint="eastAsia"/>
        </w:rPr>
        <w:t xml:space="preserve"> 43,996,408.17</w:t>
      </w:r>
      <w:r>
        <w:rPr>
          <w:rFonts w:hint="eastAsia"/>
        </w:rPr>
        <w:t>元；长期应付款非现金变动系：计提长期应付款利息</w:t>
      </w:r>
      <w:r>
        <w:rPr>
          <w:rFonts w:hint="eastAsia"/>
        </w:rPr>
        <w:t>4,996,485.33</w:t>
      </w:r>
      <w:r>
        <w:rPr>
          <w:rFonts w:hint="eastAsia"/>
        </w:rPr>
        <w:t>元。</w:t>
      </w:r>
    </w:p>
    <w:p w14:paraId="5DC1D066" w14:textId="77777777" w:rsidR="00577D08" w:rsidRDefault="00330FC0">
      <w:pPr>
        <w:pStyle w:val="4"/>
        <w:numPr>
          <w:ilvl w:val="0"/>
          <w:numId w:val="99"/>
        </w:numPr>
        <w:ind w:left="426" w:hanging="426"/>
        <w:rPr>
          <w:rFonts w:hint="eastAsia"/>
        </w:rPr>
      </w:pPr>
      <w:r>
        <w:rPr>
          <w:rFonts w:hint="eastAsia"/>
        </w:rPr>
        <w:t>以净额列报现金流量的说明</w:t>
      </w:r>
    </w:p>
    <w:sdt>
      <w:sdtPr>
        <w:alias w:val="是否适用：以净额列报现金流量的说明[双击切换]"/>
        <w:tag w:val="_GBC_3444590230dd455c82f347bceb8bbf05"/>
        <w:id w:val="-815806964"/>
        <w:placeholder>
          <w:docPart w:val="GBC22222222222222222222222222222"/>
        </w:placeholder>
      </w:sdtPr>
      <w:sdtContent>
        <w:p w14:paraId="6F64C6D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262"/>
        <w:gridCol w:w="2262"/>
        <w:gridCol w:w="2262"/>
      </w:tblGrid>
      <w:tr w:rsidR="00577D08" w14:paraId="67DD441F" w14:textId="77777777">
        <w:sdt>
          <w:sdtPr>
            <w:tag w:val="_PLD_25cb452901734cfdbd16c6025d93bc81"/>
            <w:id w:val="453758079"/>
          </w:sdtPr>
          <w:sdtContent>
            <w:tc>
              <w:tcPr>
                <w:tcW w:w="2262" w:type="dxa"/>
                <w:vAlign w:val="center"/>
              </w:tcPr>
              <w:p w14:paraId="082C6A77" w14:textId="77777777" w:rsidR="00577D08" w:rsidRDefault="00330FC0">
                <w:pPr>
                  <w:ind w:right="5"/>
                  <w:jc w:val="center"/>
                </w:pPr>
                <w:r>
                  <w:t>项目</w:t>
                </w:r>
              </w:p>
            </w:tc>
          </w:sdtContent>
        </w:sdt>
        <w:sdt>
          <w:sdtPr>
            <w:tag w:val="_PLD_37ab47d3f5f3468c8c4406c921d75639"/>
            <w:id w:val="-1881308427"/>
          </w:sdtPr>
          <w:sdtContent>
            <w:tc>
              <w:tcPr>
                <w:tcW w:w="2262" w:type="dxa"/>
                <w:vAlign w:val="center"/>
              </w:tcPr>
              <w:p w14:paraId="2AFD1A98" w14:textId="77777777" w:rsidR="00577D08" w:rsidRDefault="00330FC0">
                <w:pPr>
                  <w:ind w:right="5"/>
                  <w:jc w:val="center"/>
                </w:pPr>
                <w:r>
                  <w:rPr>
                    <w:rFonts w:hint="eastAsia"/>
                  </w:rPr>
                  <w:t>相关事实情况</w:t>
                </w:r>
              </w:p>
            </w:tc>
          </w:sdtContent>
        </w:sdt>
        <w:sdt>
          <w:sdtPr>
            <w:tag w:val="_PLD_d8a9a402e0be4ea59a49a22a82f68f7c"/>
            <w:id w:val="1513186870"/>
          </w:sdtPr>
          <w:sdtContent>
            <w:tc>
              <w:tcPr>
                <w:tcW w:w="2262" w:type="dxa"/>
                <w:vAlign w:val="center"/>
              </w:tcPr>
              <w:p w14:paraId="4AF1F802" w14:textId="77777777" w:rsidR="00577D08" w:rsidRDefault="00330FC0">
                <w:pPr>
                  <w:ind w:right="5"/>
                  <w:jc w:val="center"/>
                </w:pPr>
                <w:r>
                  <w:rPr>
                    <w:rFonts w:hint="eastAsia"/>
                  </w:rPr>
                  <w:t>采用净额列报的依据</w:t>
                </w:r>
              </w:p>
            </w:tc>
          </w:sdtContent>
        </w:sdt>
        <w:sdt>
          <w:sdtPr>
            <w:tag w:val="_PLD_4c7246a5abcd4497840ab8d26638d791"/>
            <w:id w:val="1979879198"/>
          </w:sdtPr>
          <w:sdtContent>
            <w:tc>
              <w:tcPr>
                <w:tcW w:w="2262" w:type="dxa"/>
                <w:vAlign w:val="center"/>
              </w:tcPr>
              <w:p w14:paraId="3FC446CF" w14:textId="77777777" w:rsidR="00577D08" w:rsidRDefault="00330FC0">
                <w:pPr>
                  <w:ind w:right="5"/>
                  <w:jc w:val="center"/>
                </w:pPr>
                <w:r>
                  <w:rPr>
                    <w:rFonts w:hint="eastAsia"/>
                  </w:rPr>
                  <w:t>财务影响</w:t>
                </w:r>
              </w:p>
            </w:tc>
          </w:sdtContent>
        </w:sdt>
      </w:tr>
      <w:tr w:rsidR="00577D08" w14:paraId="49128565" w14:textId="77777777">
        <w:tc>
          <w:tcPr>
            <w:tcW w:w="2262" w:type="dxa"/>
            <w:vAlign w:val="center"/>
          </w:tcPr>
          <w:p w14:paraId="2E8B39B2" w14:textId="77777777" w:rsidR="00577D08" w:rsidRDefault="00330FC0">
            <w:pPr>
              <w:ind w:right="5"/>
              <w:jc w:val="both"/>
            </w:pPr>
            <w:r>
              <w:rPr>
                <w:rFonts w:hint="eastAsia"/>
              </w:rPr>
              <w:t>收到其他与经营活动有关的现金</w:t>
            </w:r>
          </w:p>
        </w:tc>
        <w:tc>
          <w:tcPr>
            <w:tcW w:w="2262" w:type="dxa"/>
            <w:vAlign w:val="center"/>
          </w:tcPr>
          <w:p w14:paraId="2E3132BD" w14:textId="77777777" w:rsidR="00577D08" w:rsidRDefault="00330FC0">
            <w:pPr>
              <w:ind w:right="5"/>
              <w:jc w:val="both"/>
            </w:pPr>
            <w:r>
              <w:rPr>
                <w:rFonts w:hint="eastAsia"/>
              </w:rPr>
              <w:t>相关现金流系向客户收取和支付的周转快、金额大、期限短的现金流入和流出</w:t>
            </w:r>
          </w:p>
        </w:tc>
        <w:tc>
          <w:tcPr>
            <w:tcW w:w="2262" w:type="dxa"/>
            <w:vAlign w:val="center"/>
          </w:tcPr>
          <w:p w14:paraId="307444AB" w14:textId="77777777" w:rsidR="00577D08" w:rsidRDefault="00330FC0">
            <w:pPr>
              <w:ind w:right="5"/>
              <w:jc w:val="both"/>
            </w:pPr>
            <w:r>
              <w:rPr>
                <w:rFonts w:hint="eastAsia"/>
              </w:rPr>
              <w:t>以净额列报更能反映公司现金流情况，更有助于评价公司的支付能力和偿债能力、分析公司的现金流量</w:t>
            </w:r>
          </w:p>
        </w:tc>
        <w:tc>
          <w:tcPr>
            <w:tcW w:w="2262" w:type="dxa"/>
            <w:vAlign w:val="center"/>
          </w:tcPr>
          <w:p w14:paraId="777B1CF3" w14:textId="77777777" w:rsidR="00577D08" w:rsidRDefault="00330FC0">
            <w:pPr>
              <w:ind w:right="5"/>
              <w:jc w:val="right"/>
            </w:pPr>
            <w:r>
              <w:t>374,964,664.19</w:t>
            </w:r>
          </w:p>
        </w:tc>
      </w:tr>
      <w:tr w:rsidR="00577D08" w14:paraId="383AD994" w14:textId="77777777">
        <w:tc>
          <w:tcPr>
            <w:tcW w:w="2262" w:type="dxa"/>
            <w:vAlign w:val="center"/>
          </w:tcPr>
          <w:p w14:paraId="66945BEA" w14:textId="77777777" w:rsidR="00577D08" w:rsidRDefault="00330FC0">
            <w:pPr>
              <w:ind w:right="5"/>
              <w:jc w:val="both"/>
            </w:pPr>
            <w:r>
              <w:rPr>
                <w:rFonts w:hint="eastAsia"/>
              </w:rPr>
              <w:t>支付其他与经营活动有关的现金</w:t>
            </w:r>
          </w:p>
        </w:tc>
        <w:tc>
          <w:tcPr>
            <w:tcW w:w="2262" w:type="dxa"/>
            <w:vAlign w:val="center"/>
          </w:tcPr>
          <w:p w14:paraId="6497133F" w14:textId="77777777" w:rsidR="00577D08" w:rsidRDefault="00330FC0">
            <w:pPr>
              <w:ind w:right="5"/>
              <w:jc w:val="both"/>
            </w:pPr>
            <w:r>
              <w:rPr>
                <w:rFonts w:hint="eastAsia"/>
              </w:rPr>
              <w:t>相关现金流系向客户收取和支付的周转快、金额大、期限短的现金流入和流出</w:t>
            </w:r>
          </w:p>
        </w:tc>
        <w:tc>
          <w:tcPr>
            <w:tcW w:w="2262" w:type="dxa"/>
            <w:vAlign w:val="center"/>
          </w:tcPr>
          <w:p w14:paraId="12CA3FAA" w14:textId="77777777" w:rsidR="00577D08" w:rsidRDefault="00330FC0">
            <w:pPr>
              <w:ind w:right="5"/>
              <w:jc w:val="both"/>
            </w:pPr>
            <w:r>
              <w:rPr>
                <w:rFonts w:hint="eastAsia"/>
              </w:rPr>
              <w:t>以净额列报更能反映公司现金流情况，更有助于评价公司的支付能力和偿债能力、分析公司的现金流量</w:t>
            </w:r>
          </w:p>
        </w:tc>
        <w:tc>
          <w:tcPr>
            <w:tcW w:w="2262" w:type="dxa"/>
            <w:vAlign w:val="center"/>
          </w:tcPr>
          <w:p w14:paraId="73F9262F" w14:textId="77777777" w:rsidR="00577D08" w:rsidRDefault="00330FC0">
            <w:pPr>
              <w:ind w:right="5"/>
              <w:jc w:val="right"/>
            </w:pPr>
            <w:r>
              <w:t>374,964,664.19</w:t>
            </w:r>
          </w:p>
        </w:tc>
      </w:tr>
    </w:tbl>
    <w:p w14:paraId="44B9CA06" w14:textId="77777777" w:rsidR="00577D08" w:rsidRDefault="00330FC0">
      <w:pPr>
        <w:pStyle w:val="4"/>
        <w:numPr>
          <w:ilvl w:val="0"/>
          <w:numId w:val="99"/>
        </w:numPr>
        <w:rPr>
          <w:rFonts w:hint="eastAsia"/>
        </w:rPr>
      </w:pPr>
      <w:r>
        <w:rPr>
          <w:rFonts w:hint="eastAsia"/>
        </w:rPr>
        <w:t>不涉及当期现金收支、但影响企业财务状况或在未来可能影响企业现金流量的重大活动及财务影响</w:t>
      </w:r>
    </w:p>
    <w:sdt>
      <w:sdtPr>
        <w:alias w:val="是否适用：不涉及当期现金收支、但影响企业财务状况或在未来可能影响企业现金流量的重大活动及财务影响[双击切换]"/>
        <w:tag w:val="_GBC_e3d6d1f344c64af2ad0a827f24c95739"/>
        <w:id w:val="-546757933"/>
        <w:placeholder>
          <w:docPart w:val="GBC22222222222222222222222222222"/>
        </w:placeholder>
      </w:sdtPr>
      <w:sdtContent>
        <w:p w14:paraId="2688180E"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不涉及当期现金收支、但影响企业财务状况或在未来可能影响企业现金流量的重大活动及财务影响"/>
        <w:tag w:val="_GBC_033e5ffa7b034eb2955283fd4e3521f2"/>
        <w:id w:val="1223023334"/>
        <w:placeholder>
          <w:docPart w:val="GBC22222222222222222222222222222"/>
        </w:placeholder>
      </w:sdtPr>
      <w:sdtContent>
        <w:p w14:paraId="4E0F9CB0" w14:textId="77777777" w:rsidR="00577D08" w:rsidRDefault="00330FC0">
          <w:pPr>
            <w:ind w:right="6" w:firstLineChars="200" w:firstLine="420"/>
          </w:pPr>
          <w:r>
            <w:rPr>
              <w:rFonts w:hint="eastAsia"/>
            </w:rPr>
            <w:t>1</w:t>
          </w:r>
          <w:r>
            <w:rPr>
              <w:rFonts w:hint="eastAsia"/>
            </w:rPr>
            <w:t>）不涉及现金收支的重大投资和筹资活动详见“第八节</w:t>
          </w:r>
          <w:r>
            <w:rPr>
              <w:rFonts w:hint="eastAsia"/>
            </w:rPr>
            <w:t>.</w:t>
          </w:r>
          <w:r>
            <w:rPr>
              <w:rFonts w:hint="eastAsia"/>
            </w:rPr>
            <w:t>七、合并财务报表项目注释</w:t>
          </w:r>
          <w:r>
            <w:rPr>
              <w:rFonts w:hint="eastAsia"/>
            </w:rPr>
            <w:t>.79</w:t>
          </w:r>
          <w:r>
            <w:rPr>
              <w:rFonts w:hint="eastAsia"/>
            </w:rPr>
            <w:t>、现金流量表补充资料”</w:t>
          </w:r>
        </w:p>
        <w:p w14:paraId="47FAF057" w14:textId="77777777" w:rsidR="00577D08" w:rsidRDefault="00330FC0">
          <w:pPr>
            <w:ind w:right="210" w:firstLineChars="200" w:firstLine="420"/>
          </w:pPr>
          <w:r>
            <w:rPr>
              <w:rFonts w:hint="eastAsia"/>
            </w:rPr>
            <w:t>2</w:t>
          </w:r>
          <w:r>
            <w:rPr>
              <w:rFonts w:hint="eastAsia"/>
            </w:rPr>
            <w:t>）不涉及现金收支的商业汇票背书转让金额</w:t>
          </w:r>
        </w:p>
        <w:p w14:paraId="00E322BC" w14:textId="72D6674A" w:rsidR="00577D08" w:rsidRDefault="00330FC0">
          <w:pPr>
            <w:ind w:right="210" w:firstLineChars="200" w:firstLine="420"/>
            <w:jc w:val="right"/>
          </w:pPr>
          <w:r>
            <w:rPr>
              <w:rFonts w:hint="eastAsia"/>
            </w:rPr>
            <w:t>单位：元</w:t>
          </w:r>
          <w:r w:rsidR="00CC5C32">
            <w:rPr>
              <w:rFonts w:hint="eastAsia"/>
            </w:rPr>
            <w:t xml:space="preserve"> </w:t>
          </w:r>
          <w:r>
            <w:rPr>
              <w:rFonts w:hint="eastAsia"/>
            </w:rPr>
            <w:t>币种：人民币</w:t>
          </w:r>
        </w:p>
        <w:tbl>
          <w:tblPr>
            <w:tblStyle w:val="g2"/>
            <w:tblW w:w="0" w:type="auto"/>
            <w:tblInd w:w="0" w:type="dxa"/>
            <w:tblLook w:val="04A0" w:firstRow="1" w:lastRow="0" w:firstColumn="1" w:lastColumn="0" w:noHBand="0" w:noVBand="1"/>
          </w:tblPr>
          <w:tblGrid>
            <w:gridCol w:w="3549"/>
            <w:gridCol w:w="2552"/>
            <w:gridCol w:w="2722"/>
          </w:tblGrid>
          <w:tr w:rsidR="00577D08" w14:paraId="57AEE827" w14:textId="77777777">
            <w:trPr>
              <w:tblHeader/>
            </w:trPr>
            <w:tc>
              <w:tcPr>
                <w:tcW w:w="3549" w:type="dxa"/>
              </w:tcPr>
              <w:p w14:paraId="24B833B5" w14:textId="77777777" w:rsidR="00577D08" w:rsidRDefault="00330FC0">
                <w:pPr>
                  <w:ind w:left="422" w:right="5" w:hanging="422"/>
                  <w:jc w:val="center"/>
                  <w:rPr>
                    <w:sz w:val="20"/>
                    <w:szCs w:val="20"/>
                  </w:rPr>
                </w:pPr>
                <w:r>
                  <w:rPr>
                    <w:rFonts w:hint="eastAsia"/>
                    <w:sz w:val="20"/>
                    <w:szCs w:val="20"/>
                  </w:rPr>
                  <w:t>项目</w:t>
                </w:r>
              </w:p>
            </w:tc>
            <w:tc>
              <w:tcPr>
                <w:tcW w:w="2552" w:type="dxa"/>
              </w:tcPr>
              <w:p w14:paraId="49A45D14" w14:textId="77777777" w:rsidR="00577D08" w:rsidRDefault="00330FC0">
                <w:pPr>
                  <w:ind w:left="422" w:right="5" w:hanging="422"/>
                  <w:jc w:val="center"/>
                  <w:rPr>
                    <w:sz w:val="20"/>
                    <w:szCs w:val="20"/>
                  </w:rPr>
                </w:pPr>
                <w:r>
                  <w:rPr>
                    <w:rFonts w:hint="eastAsia"/>
                    <w:sz w:val="20"/>
                    <w:szCs w:val="20"/>
                  </w:rPr>
                  <w:t>本期数</w:t>
                </w:r>
              </w:p>
            </w:tc>
            <w:tc>
              <w:tcPr>
                <w:tcW w:w="2722" w:type="dxa"/>
              </w:tcPr>
              <w:p w14:paraId="4193A1B1" w14:textId="77777777" w:rsidR="00577D08" w:rsidRDefault="00330FC0">
                <w:pPr>
                  <w:ind w:left="422" w:right="5" w:hanging="422"/>
                  <w:jc w:val="center"/>
                  <w:rPr>
                    <w:sz w:val="20"/>
                    <w:szCs w:val="20"/>
                  </w:rPr>
                </w:pPr>
                <w:r>
                  <w:rPr>
                    <w:rFonts w:hint="eastAsia"/>
                    <w:sz w:val="20"/>
                    <w:szCs w:val="20"/>
                  </w:rPr>
                  <w:t>上年同期数</w:t>
                </w:r>
              </w:p>
            </w:tc>
          </w:tr>
          <w:tr w:rsidR="00577D08" w14:paraId="75EC0054" w14:textId="77777777">
            <w:tc>
              <w:tcPr>
                <w:tcW w:w="3549" w:type="dxa"/>
              </w:tcPr>
              <w:p w14:paraId="6C0D0CBD" w14:textId="77777777" w:rsidR="00577D08" w:rsidRDefault="00330FC0">
                <w:pPr>
                  <w:ind w:left="422" w:right="5" w:hanging="422"/>
                  <w:rPr>
                    <w:sz w:val="20"/>
                    <w:szCs w:val="20"/>
                  </w:rPr>
                </w:pPr>
                <w:r>
                  <w:rPr>
                    <w:rFonts w:hint="eastAsia"/>
                    <w:sz w:val="20"/>
                    <w:szCs w:val="20"/>
                  </w:rPr>
                  <w:t>背书转让的商业汇票金额</w:t>
                </w:r>
              </w:p>
            </w:tc>
            <w:tc>
              <w:tcPr>
                <w:tcW w:w="2552" w:type="dxa"/>
              </w:tcPr>
              <w:p w14:paraId="4BAE9011" w14:textId="77777777" w:rsidR="00577D08" w:rsidRDefault="00330FC0">
                <w:pPr>
                  <w:ind w:left="422" w:right="5" w:hanging="422"/>
                  <w:jc w:val="right"/>
                  <w:rPr>
                    <w:sz w:val="20"/>
                    <w:szCs w:val="20"/>
                  </w:rPr>
                </w:pPr>
                <w:r>
                  <w:rPr>
                    <w:sz w:val="20"/>
                    <w:szCs w:val="20"/>
                  </w:rPr>
                  <w:t>1,092,118,217.88</w:t>
                </w:r>
              </w:p>
            </w:tc>
            <w:tc>
              <w:tcPr>
                <w:tcW w:w="2722" w:type="dxa"/>
              </w:tcPr>
              <w:p w14:paraId="02D9BB1D" w14:textId="77777777" w:rsidR="00577D08" w:rsidRDefault="00330FC0">
                <w:pPr>
                  <w:ind w:left="422" w:right="5" w:hanging="422"/>
                  <w:jc w:val="right"/>
                  <w:rPr>
                    <w:sz w:val="20"/>
                    <w:szCs w:val="20"/>
                  </w:rPr>
                </w:pPr>
                <w:r>
                  <w:rPr>
                    <w:sz w:val="20"/>
                    <w:szCs w:val="20"/>
                  </w:rPr>
                  <w:t>884,886,104.36</w:t>
                </w:r>
              </w:p>
            </w:tc>
          </w:tr>
          <w:tr w:rsidR="00577D08" w14:paraId="16EA08A7" w14:textId="77777777">
            <w:tc>
              <w:tcPr>
                <w:tcW w:w="3549" w:type="dxa"/>
              </w:tcPr>
              <w:p w14:paraId="79D58A94" w14:textId="77777777" w:rsidR="00577D08" w:rsidRDefault="00330FC0">
                <w:pPr>
                  <w:ind w:left="422" w:right="5" w:hanging="422"/>
                  <w:rPr>
                    <w:sz w:val="20"/>
                    <w:szCs w:val="20"/>
                  </w:rPr>
                </w:pPr>
                <w:r>
                  <w:rPr>
                    <w:rFonts w:hint="eastAsia"/>
                    <w:sz w:val="20"/>
                    <w:szCs w:val="20"/>
                  </w:rPr>
                  <w:t>其中：支付货款</w:t>
                </w:r>
              </w:p>
            </w:tc>
            <w:tc>
              <w:tcPr>
                <w:tcW w:w="2552" w:type="dxa"/>
              </w:tcPr>
              <w:p w14:paraId="10324E79" w14:textId="77777777" w:rsidR="00577D08" w:rsidRDefault="00330FC0">
                <w:pPr>
                  <w:ind w:left="422" w:right="5" w:hanging="422"/>
                  <w:jc w:val="right"/>
                  <w:rPr>
                    <w:sz w:val="20"/>
                    <w:szCs w:val="20"/>
                  </w:rPr>
                </w:pPr>
                <w:r>
                  <w:rPr>
                    <w:sz w:val="20"/>
                    <w:szCs w:val="20"/>
                  </w:rPr>
                  <w:t>1,007,112,214.62</w:t>
                </w:r>
              </w:p>
            </w:tc>
            <w:tc>
              <w:tcPr>
                <w:tcW w:w="2722" w:type="dxa"/>
              </w:tcPr>
              <w:p w14:paraId="74F9316D" w14:textId="77777777" w:rsidR="00577D08" w:rsidRDefault="00330FC0">
                <w:pPr>
                  <w:ind w:left="422" w:right="5" w:hanging="422"/>
                  <w:jc w:val="right"/>
                  <w:rPr>
                    <w:sz w:val="20"/>
                    <w:szCs w:val="20"/>
                  </w:rPr>
                </w:pPr>
                <w:r>
                  <w:rPr>
                    <w:sz w:val="20"/>
                    <w:szCs w:val="20"/>
                  </w:rPr>
                  <w:t>734,193,036.72</w:t>
                </w:r>
              </w:p>
            </w:tc>
          </w:tr>
          <w:tr w:rsidR="00577D08" w14:paraId="7EEE37AF" w14:textId="77777777">
            <w:tc>
              <w:tcPr>
                <w:tcW w:w="3549" w:type="dxa"/>
              </w:tcPr>
              <w:p w14:paraId="2B5AB16E" w14:textId="77777777" w:rsidR="00577D08" w:rsidRDefault="00330FC0">
                <w:pPr>
                  <w:ind w:right="5" w:firstLineChars="300" w:firstLine="600"/>
                  <w:rPr>
                    <w:sz w:val="20"/>
                    <w:szCs w:val="20"/>
                  </w:rPr>
                </w:pPr>
                <w:r>
                  <w:rPr>
                    <w:rFonts w:hint="eastAsia"/>
                    <w:sz w:val="20"/>
                    <w:szCs w:val="20"/>
                  </w:rPr>
                  <w:t>支付固定资产等长期资产购置款</w:t>
                </w:r>
              </w:p>
            </w:tc>
            <w:tc>
              <w:tcPr>
                <w:tcW w:w="2552" w:type="dxa"/>
              </w:tcPr>
              <w:p w14:paraId="51559CBB" w14:textId="77777777" w:rsidR="00577D08" w:rsidRDefault="00330FC0">
                <w:pPr>
                  <w:ind w:left="422" w:right="5" w:hanging="422"/>
                  <w:jc w:val="right"/>
                  <w:rPr>
                    <w:sz w:val="20"/>
                    <w:szCs w:val="20"/>
                  </w:rPr>
                </w:pPr>
                <w:r>
                  <w:rPr>
                    <w:sz w:val="20"/>
                    <w:szCs w:val="20"/>
                  </w:rPr>
                  <w:t>85,006,003.26</w:t>
                </w:r>
              </w:p>
            </w:tc>
            <w:tc>
              <w:tcPr>
                <w:tcW w:w="2722" w:type="dxa"/>
              </w:tcPr>
              <w:p w14:paraId="5C6A8E9E" w14:textId="77777777" w:rsidR="00577D08" w:rsidRDefault="00330FC0">
                <w:pPr>
                  <w:ind w:left="422" w:right="5" w:hanging="422"/>
                  <w:jc w:val="right"/>
                  <w:rPr>
                    <w:sz w:val="20"/>
                    <w:szCs w:val="20"/>
                  </w:rPr>
                </w:pPr>
                <w:r>
                  <w:rPr>
                    <w:sz w:val="20"/>
                    <w:szCs w:val="20"/>
                  </w:rPr>
                  <w:t>150,693,067.64</w:t>
                </w:r>
              </w:p>
            </w:tc>
          </w:tr>
        </w:tbl>
        <w:p w14:paraId="13DB312F" w14:textId="77777777" w:rsidR="00577D08" w:rsidRDefault="00000000">
          <w:pPr>
            <w:ind w:right="5"/>
          </w:pPr>
        </w:p>
      </w:sdtContent>
    </w:sdt>
    <w:p w14:paraId="5AFA8E3F" w14:textId="77777777" w:rsidR="00577D08" w:rsidRDefault="00577D08">
      <w:pPr>
        <w:ind w:right="5"/>
        <w:rPr>
          <w:rFonts w:ascii="Calibri" w:hAnsi="Calibri"/>
          <w:kern w:val="2"/>
          <w:szCs w:val="22"/>
        </w:rPr>
      </w:pPr>
    </w:p>
    <w:p w14:paraId="592FED3D" w14:textId="77777777" w:rsidR="00577D08" w:rsidRDefault="00330FC0">
      <w:pPr>
        <w:pStyle w:val="3"/>
        <w:numPr>
          <w:ilvl w:val="0"/>
          <w:numId w:val="61"/>
        </w:numPr>
        <w:tabs>
          <w:tab w:val="left" w:pos="504"/>
        </w:tabs>
      </w:pPr>
      <w:r>
        <w:rPr>
          <w:rFonts w:hint="eastAsia"/>
        </w:rPr>
        <w:lastRenderedPageBreak/>
        <w:t>现金流量表</w:t>
      </w:r>
      <w:r>
        <w:rPr>
          <w:rFonts w:ascii="宋体" w:hAnsi="宋体" w:hint="eastAsia"/>
          <w:szCs w:val="21"/>
        </w:rPr>
        <w:t>补充</w:t>
      </w:r>
      <w:r>
        <w:rPr>
          <w:rFonts w:hint="eastAsia"/>
        </w:rPr>
        <w:t>资料</w:t>
      </w:r>
    </w:p>
    <w:p w14:paraId="1EAD1BA6" w14:textId="77777777" w:rsidR="00577D08" w:rsidRDefault="00330FC0">
      <w:pPr>
        <w:pStyle w:val="4"/>
        <w:numPr>
          <w:ilvl w:val="0"/>
          <w:numId w:val="100"/>
        </w:numPr>
        <w:ind w:left="426" w:hanging="426"/>
        <w:rPr>
          <w:rFonts w:hint="eastAsia"/>
        </w:rPr>
      </w:pPr>
      <w:r>
        <w:rPr>
          <w:rFonts w:hint="eastAsia"/>
        </w:rPr>
        <w:t>现金流量表补充资料</w:t>
      </w:r>
    </w:p>
    <w:sdt>
      <w:sdtPr>
        <w:rPr>
          <w:rFonts w:hint="eastAsia"/>
        </w:rPr>
        <w:alias w:val="是否适用：现金流量表补充资料[双击切换]"/>
        <w:tag w:val="_GBC_f77ea662869c431fa9c3cd98fccb529c"/>
        <w:id w:val="38638154"/>
        <w:placeholder>
          <w:docPart w:val="GBC22222222222222222222222222222"/>
        </w:placeholder>
      </w:sdtPr>
      <w:sdtContent>
        <w:p w14:paraId="720A64A7"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3C44119" w14:textId="5A61C297" w:rsidR="00577D08" w:rsidRDefault="00330FC0">
      <w:pPr>
        <w:jc w:val="right"/>
      </w:pPr>
      <w:r>
        <w:rPr>
          <w:rFonts w:hint="eastAsia"/>
        </w:rPr>
        <w:t>单位：</w:t>
      </w:r>
      <w:sdt>
        <w:sdtPr>
          <w:rPr>
            <w:rFonts w:hint="eastAsia"/>
          </w:rPr>
          <w:alias w:val="单位：财务附注：现金流量表补充资料"/>
          <w:tag w:val="_GBC_816fc4f2c97b4b12911114202247ee82"/>
          <w:id w:val="19641500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现金流量表补充资料"/>
          <w:tag w:val="_GBC_d5067beb6bda4f61b5520807661734bf"/>
          <w:id w:val="15195794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82"/>
        <w:gridCol w:w="2799"/>
        <w:gridCol w:w="2768"/>
      </w:tblGrid>
      <w:tr w:rsidR="00577D08" w14:paraId="12C2E0C5" w14:textId="77777777">
        <w:sdt>
          <w:sdtPr>
            <w:tag w:val="_PLD_39bfd38318b44efe9fa609ad19a8685a"/>
            <w:id w:val="-897898746"/>
          </w:sdtPr>
          <w:sdtContent>
            <w:tc>
              <w:tcPr>
                <w:tcW w:w="3482" w:type="dxa"/>
                <w:tcBorders>
                  <w:top w:val="single" w:sz="4" w:space="0" w:color="auto"/>
                  <w:left w:val="single" w:sz="4" w:space="0" w:color="auto"/>
                  <w:bottom w:val="single" w:sz="4" w:space="0" w:color="auto"/>
                  <w:right w:val="single" w:sz="4" w:space="0" w:color="auto"/>
                </w:tcBorders>
                <w:vAlign w:val="center"/>
              </w:tcPr>
              <w:p w14:paraId="6B021B3F" w14:textId="77777777" w:rsidR="00577D08" w:rsidRDefault="00330FC0">
                <w:pPr>
                  <w:jc w:val="center"/>
                  <w:rPr>
                    <w:bCs/>
                  </w:rPr>
                </w:pPr>
                <w:r>
                  <w:rPr>
                    <w:rFonts w:hint="eastAsia"/>
                    <w:bCs/>
                  </w:rPr>
                  <w:t>补充资料</w:t>
                </w:r>
              </w:p>
            </w:tc>
          </w:sdtContent>
        </w:sdt>
        <w:sdt>
          <w:sdtPr>
            <w:tag w:val="_PLD_8ef3863737f6403496cc160c411b0b03"/>
            <w:id w:val="1365941707"/>
          </w:sdtPr>
          <w:sdtContent>
            <w:tc>
              <w:tcPr>
                <w:tcW w:w="2799" w:type="dxa"/>
                <w:tcBorders>
                  <w:top w:val="single" w:sz="4" w:space="0" w:color="auto"/>
                  <w:left w:val="single" w:sz="4" w:space="0" w:color="auto"/>
                  <w:bottom w:val="single" w:sz="4" w:space="0" w:color="auto"/>
                  <w:right w:val="single" w:sz="4" w:space="0" w:color="auto"/>
                </w:tcBorders>
                <w:vAlign w:val="center"/>
              </w:tcPr>
              <w:p w14:paraId="4ADC1E72" w14:textId="77777777" w:rsidR="00577D08" w:rsidRDefault="00330FC0">
                <w:pPr>
                  <w:jc w:val="center"/>
                </w:pPr>
                <w:r>
                  <w:rPr>
                    <w:rFonts w:hint="eastAsia"/>
                  </w:rPr>
                  <w:t>本期金额</w:t>
                </w:r>
              </w:p>
            </w:tc>
          </w:sdtContent>
        </w:sdt>
        <w:sdt>
          <w:sdtPr>
            <w:tag w:val="_PLD_73eb01f791e44a84b1edbc96aa42b3f3"/>
            <w:id w:val="-1006591491"/>
          </w:sdtPr>
          <w:sdtContent>
            <w:tc>
              <w:tcPr>
                <w:tcW w:w="2768" w:type="dxa"/>
                <w:tcBorders>
                  <w:top w:val="single" w:sz="4" w:space="0" w:color="auto"/>
                  <w:left w:val="single" w:sz="4" w:space="0" w:color="auto"/>
                  <w:bottom w:val="single" w:sz="4" w:space="0" w:color="auto"/>
                  <w:right w:val="single" w:sz="4" w:space="0" w:color="auto"/>
                </w:tcBorders>
                <w:vAlign w:val="center"/>
              </w:tcPr>
              <w:p w14:paraId="7988DE3E" w14:textId="77777777" w:rsidR="00577D08" w:rsidRDefault="00330FC0">
                <w:pPr>
                  <w:jc w:val="center"/>
                </w:pPr>
                <w:r>
                  <w:rPr>
                    <w:rFonts w:hint="eastAsia"/>
                  </w:rPr>
                  <w:t>上期金额</w:t>
                </w:r>
              </w:p>
            </w:tc>
          </w:sdtContent>
        </w:sdt>
      </w:tr>
      <w:tr w:rsidR="00577D08" w14:paraId="78D285F1" w14:textId="77777777">
        <w:sdt>
          <w:sdtPr>
            <w:tag w:val="_PLD_c6db035658bd4a67bcf46ade47da315d"/>
            <w:id w:val="-838690233"/>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59359CF0" w14:textId="77777777" w:rsidR="00577D08" w:rsidRDefault="00330FC0">
                <w:pPr>
                  <w:jc w:val="both"/>
                  <w:rPr>
                    <w:b/>
                  </w:rPr>
                </w:pPr>
                <w:r>
                  <w:rPr>
                    <w:b/>
                    <w:bCs/>
                  </w:rPr>
                  <w:t>1</w:t>
                </w:r>
                <w:r>
                  <w:rPr>
                    <w:rFonts w:hint="eastAsia"/>
                    <w:b/>
                    <w:bCs/>
                  </w:rPr>
                  <w:t>．将净利润调节为经营活动现金流量：</w:t>
                </w:r>
              </w:p>
            </w:tc>
          </w:sdtContent>
        </w:sdt>
      </w:tr>
      <w:tr w:rsidR="00577D08" w14:paraId="43E4B937" w14:textId="77777777">
        <w:tc>
          <w:tcPr>
            <w:tcW w:w="3482" w:type="dxa"/>
            <w:tcBorders>
              <w:top w:val="single" w:sz="4" w:space="0" w:color="auto"/>
              <w:left w:val="single" w:sz="4" w:space="0" w:color="auto"/>
              <w:bottom w:val="single" w:sz="4" w:space="0" w:color="auto"/>
              <w:right w:val="single" w:sz="4" w:space="0" w:color="auto"/>
            </w:tcBorders>
            <w:vAlign w:val="center"/>
          </w:tcPr>
          <w:p w14:paraId="3F6957D3" w14:textId="77777777" w:rsidR="00577D08" w:rsidRDefault="00330FC0">
            <w:r>
              <w:rPr>
                <w:rFonts w:hint="eastAsia"/>
              </w:rPr>
              <w:t>净利润</w:t>
            </w:r>
          </w:p>
        </w:tc>
        <w:tc>
          <w:tcPr>
            <w:tcW w:w="2799" w:type="dxa"/>
            <w:tcBorders>
              <w:top w:val="outset" w:sz="4" w:space="0" w:color="auto"/>
              <w:left w:val="single" w:sz="4" w:space="0" w:color="auto"/>
              <w:bottom w:val="outset" w:sz="4" w:space="0" w:color="auto"/>
              <w:right w:val="outset" w:sz="4" w:space="0" w:color="auto"/>
            </w:tcBorders>
            <w:vAlign w:val="center"/>
          </w:tcPr>
          <w:p w14:paraId="475B1B6F" w14:textId="77777777" w:rsidR="00577D08" w:rsidRDefault="00330FC0">
            <w:pPr>
              <w:jc w:val="right"/>
            </w:pPr>
            <w:r>
              <w:t xml:space="preserve"> 73,778,392.73 </w:t>
            </w:r>
          </w:p>
        </w:tc>
        <w:tc>
          <w:tcPr>
            <w:tcW w:w="2768" w:type="dxa"/>
            <w:tcBorders>
              <w:top w:val="outset" w:sz="4" w:space="0" w:color="auto"/>
              <w:left w:val="outset" w:sz="4" w:space="0" w:color="auto"/>
              <w:bottom w:val="outset" w:sz="4" w:space="0" w:color="auto"/>
              <w:right w:val="outset" w:sz="4" w:space="0" w:color="auto"/>
            </w:tcBorders>
            <w:vAlign w:val="center"/>
          </w:tcPr>
          <w:p w14:paraId="0D384CBD" w14:textId="77777777" w:rsidR="00577D08" w:rsidRDefault="00330FC0">
            <w:pPr>
              <w:jc w:val="right"/>
            </w:pPr>
            <w:r>
              <w:t>75,362,481.76</w:t>
            </w:r>
          </w:p>
        </w:tc>
      </w:tr>
      <w:tr w:rsidR="00577D08" w14:paraId="229BDFED" w14:textId="77777777">
        <w:tc>
          <w:tcPr>
            <w:tcW w:w="3482" w:type="dxa"/>
            <w:tcBorders>
              <w:top w:val="single" w:sz="4" w:space="0" w:color="auto"/>
              <w:left w:val="single" w:sz="4" w:space="0" w:color="auto"/>
              <w:bottom w:val="single" w:sz="4" w:space="0" w:color="auto"/>
              <w:right w:val="single" w:sz="4" w:space="0" w:color="auto"/>
            </w:tcBorders>
            <w:vAlign w:val="center"/>
          </w:tcPr>
          <w:p w14:paraId="38A2428E" w14:textId="77777777" w:rsidR="00577D08" w:rsidRDefault="00330FC0">
            <w:r>
              <w:rPr>
                <w:rFonts w:hint="eastAsia"/>
              </w:rPr>
              <w:t>加：资产减值准备</w:t>
            </w:r>
          </w:p>
        </w:tc>
        <w:tc>
          <w:tcPr>
            <w:tcW w:w="2799" w:type="dxa"/>
            <w:tcBorders>
              <w:top w:val="outset" w:sz="4" w:space="0" w:color="auto"/>
              <w:left w:val="single" w:sz="4" w:space="0" w:color="auto"/>
              <w:bottom w:val="outset" w:sz="4" w:space="0" w:color="auto"/>
              <w:right w:val="outset" w:sz="4" w:space="0" w:color="auto"/>
            </w:tcBorders>
            <w:vAlign w:val="center"/>
          </w:tcPr>
          <w:p w14:paraId="43E017AE" w14:textId="77777777" w:rsidR="00577D08" w:rsidRDefault="00330FC0">
            <w:pPr>
              <w:jc w:val="right"/>
            </w:pPr>
            <w:r>
              <w:t xml:space="preserve"> 19,577,192.33 </w:t>
            </w:r>
          </w:p>
        </w:tc>
        <w:tc>
          <w:tcPr>
            <w:tcW w:w="2768" w:type="dxa"/>
            <w:tcBorders>
              <w:top w:val="outset" w:sz="4" w:space="0" w:color="auto"/>
              <w:left w:val="outset" w:sz="4" w:space="0" w:color="auto"/>
              <w:bottom w:val="outset" w:sz="4" w:space="0" w:color="auto"/>
              <w:right w:val="outset" w:sz="4" w:space="0" w:color="auto"/>
            </w:tcBorders>
            <w:vAlign w:val="center"/>
          </w:tcPr>
          <w:p w14:paraId="06F93CBD" w14:textId="77777777" w:rsidR="00577D08" w:rsidRDefault="00330FC0">
            <w:pPr>
              <w:jc w:val="right"/>
            </w:pPr>
            <w:r>
              <w:t>13,254,596.49</w:t>
            </w:r>
          </w:p>
        </w:tc>
      </w:tr>
      <w:tr w:rsidR="00577D08" w14:paraId="7491BE2A" w14:textId="77777777">
        <w:tc>
          <w:tcPr>
            <w:tcW w:w="3482" w:type="dxa"/>
            <w:tcBorders>
              <w:top w:val="single" w:sz="4" w:space="0" w:color="auto"/>
              <w:left w:val="single" w:sz="4" w:space="0" w:color="auto"/>
              <w:bottom w:val="single" w:sz="4" w:space="0" w:color="auto"/>
              <w:right w:val="single" w:sz="4" w:space="0" w:color="auto"/>
            </w:tcBorders>
            <w:vAlign w:val="center"/>
          </w:tcPr>
          <w:p w14:paraId="50EA4297" w14:textId="77777777" w:rsidR="00577D08" w:rsidRDefault="00330FC0">
            <w:r>
              <w:rPr>
                <w:rFonts w:hint="eastAsia"/>
              </w:rPr>
              <w:t>信用减值损失</w:t>
            </w:r>
          </w:p>
        </w:tc>
        <w:tc>
          <w:tcPr>
            <w:tcW w:w="2799" w:type="dxa"/>
            <w:tcBorders>
              <w:top w:val="outset" w:sz="4" w:space="0" w:color="auto"/>
              <w:left w:val="single" w:sz="4" w:space="0" w:color="auto"/>
              <w:bottom w:val="outset" w:sz="4" w:space="0" w:color="auto"/>
              <w:right w:val="outset" w:sz="4" w:space="0" w:color="auto"/>
            </w:tcBorders>
            <w:vAlign w:val="center"/>
          </w:tcPr>
          <w:p w14:paraId="46097D3C" w14:textId="77777777" w:rsidR="00577D08" w:rsidRDefault="00330FC0">
            <w:pPr>
              <w:jc w:val="right"/>
            </w:pPr>
            <w:r>
              <w:t xml:space="preserve"> 32,539,234.25 </w:t>
            </w:r>
          </w:p>
        </w:tc>
        <w:tc>
          <w:tcPr>
            <w:tcW w:w="2768" w:type="dxa"/>
            <w:tcBorders>
              <w:top w:val="outset" w:sz="4" w:space="0" w:color="auto"/>
              <w:left w:val="outset" w:sz="4" w:space="0" w:color="auto"/>
              <w:bottom w:val="outset" w:sz="4" w:space="0" w:color="auto"/>
              <w:right w:val="outset" w:sz="4" w:space="0" w:color="auto"/>
            </w:tcBorders>
            <w:vAlign w:val="center"/>
          </w:tcPr>
          <w:p w14:paraId="75165397" w14:textId="77777777" w:rsidR="00577D08" w:rsidRDefault="00330FC0">
            <w:pPr>
              <w:jc w:val="right"/>
            </w:pPr>
            <w:r>
              <w:t>17,335,832.86</w:t>
            </w:r>
          </w:p>
        </w:tc>
      </w:tr>
      <w:tr w:rsidR="00577D08" w14:paraId="6ADA5954" w14:textId="77777777">
        <w:tc>
          <w:tcPr>
            <w:tcW w:w="3482" w:type="dxa"/>
            <w:tcBorders>
              <w:top w:val="single" w:sz="4" w:space="0" w:color="auto"/>
              <w:left w:val="single" w:sz="4" w:space="0" w:color="auto"/>
              <w:bottom w:val="single" w:sz="4" w:space="0" w:color="auto"/>
              <w:right w:val="single" w:sz="4" w:space="0" w:color="auto"/>
            </w:tcBorders>
            <w:vAlign w:val="center"/>
          </w:tcPr>
          <w:p w14:paraId="16394A45" w14:textId="77777777" w:rsidR="00577D08" w:rsidRDefault="00330FC0">
            <w:r>
              <w:rPr>
                <w:rFonts w:hint="eastAsia"/>
              </w:rPr>
              <w:t>固定资产折旧、使用权资产折旧、油气资产折耗、生产性生物资产折旧</w:t>
            </w:r>
          </w:p>
        </w:tc>
        <w:tc>
          <w:tcPr>
            <w:tcW w:w="2799" w:type="dxa"/>
            <w:tcBorders>
              <w:top w:val="outset" w:sz="4" w:space="0" w:color="auto"/>
              <w:left w:val="single" w:sz="4" w:space="0" w:color="auto"/>
              <w:bottom w:val="outset" w:sz="4" w:space="0" w:color="auto"/>
              <w:right w:val="outset" w:sz="4" w:space="0" w:color="auto"/>
            </w:tcBorders>
            <w:vAlign w:val="center"/>
          </w:tcPr>
          <w:p w14:paraId="2EE2FA08" w14:textId="77777777" w:rsidR="00577D08" w:rsidRDefault="00330FC0">
            <w:pPr>
              <w:jc w:val="right"/>
            </w:pPr>
            <w:r>
              <w:t xml:space="preserve"> 208,647,168.90 </w:t>
            </w:r>
          </w:p>
        </w:tc>
        <w:tc>
          <w:tcPr>
            <w:tcW w:w="2768" w:type="dxa"/>
            <w:tcBorders>
              <w:top w:val="outset" w:sz="4" w:space="0" w:color="auto"/>
              <w:left w:val="outset" w:sz="4" w:space="0" w:color="auto"/>
              <w:bottom w:val="outset" w:sz="4" w:space="0" w:color="auto"/>
              <w:right w:val="outset" w:sz="4" w:space="0" w:color="auto"/>
            </w:tcBorders>
            <w:vAlign w:val="center"/>
          </w:tcPr>
          <w:p w14:paraId="549ECAE3" w14:textId="77777777" w:rsidR="00577D08" w:rsidRDefault="00330FC0">
            <w:pPr>
              <w:jc w:val="right"/>
            </w:pPr>
            <w:r>
              <w:t>164,227,620.41</w:t>
            </w:r>
          </w:p>
        </w:tc>
      </w:tr>
      <w:tr w:rsidR="00577D08" w14:paraId="52FB2D9F" w14:textId="77777777">
        <w:tc>
          <w:tcPr>
            <w:tcW w:w="3482" w:type="dxa"/>
            <w:tcBorders>
              <w:top w:val="single" w:sz="4" w:space="0" w:color="auto"/>
              <w:left w:val="single" w:sz="4" w:space="0" w:color="auto"/>
              <w:bottom w:val="single" w:sz="4" w:space="0" w:color="auto"/>
              <w:right w:val="single" w:sz="4" w:space="0" w:color="auto"/>
            </w:tcBorders>
            <w:vAlign w:val="center"/>
          </w:tcPr>
          <w:p w14:paraId="55A1D6D0" w14:textId="77777777" w:rsidR="00577D08" w:rsidRDefault="00330FC0">
            <w:r>
              <w:rPr>
                <w:rFonts w:hint="eastAsia"/>
              </w:rPr>
              <w:t>无形资产摊销</w:t>
            </w:r>
          </w:p>
        </w:tc>
        <w:tc>
          <w:tcPr>
            <w:tcW w:w="2799" w:type="dxa"/>
            <w:tcBorders>
              <w:top w:val="outset" w:sz="4" w:space="0" w:color="auto"/>
              <w:left w:val="single" w:sz="4" w:space="0" w:color="auto"/>
              <w:bottom w:val="outset" w:sz="4" w:space="0" w:color="auto"/>
              <w:right w:val="outset" w:sz="4" w:space="0" w:color="auto"/>
            </w:tcBorders>
            <w:vAlign w:val="center"/>
          </w:tcPr>
          <w:p w14:paraId="3CBAC799" w14:textId="77777777" w:rsidR="00577D08" w:rsidRDefault="00330FC0">
            <w:pPr>
              <w:jc w:val="right"/>
            </w:pPr>
            <w:r>
              <w:t xml:space="preserve"> 7,818,563.22 </w:t>
            </w:r>
          </w:p>
        </w:tc>
        <w:tc>
          <w:tcPr>
            <w:tcW w:w="2768" w:type="dxa"/>
            <w:tcBorders>
              <w:top w:val="outset" w:sz="4" w:space="0" w:color="auto"/>
              <w:left w:val="outset" w:sz="4" w:space="0" w:color="auto"/>
              <w:bottom w:val="outset" w:sz="4" w:space="0" w:color="auto"/>
              <w:right w:val="outset" w:sz="4" w:space="0" w:color="auto"/>
            </w:tcBorders>
            <w:vAlign w:val="center"/>
          </w:tcPr>
          <w:p w14:paraId="648810D8" w14:textId="77777777" w:rsidR="00577D08" w:rsidRDefault="00330FC0">
            <w:pPr>
              <w:jc w:val="right"/>
            </w:pPr>
            <w:r>
              <w:t>6,657,806.03</w:t>
            </w:r>
          </w:p>
        </w:tc>
      </w:tr>
      <w:tr w:rsidR="00577D08" w14:paraId="5DE0D5F4" w14:textId="77777777">
        <w:tc>
          <w:tcPr>
            <w:tcW w:w="3482" w:type="dxa"/>
            <w:tcBorders>
              <w:top w:val="single" w:sz="4" w:space="0" w:color="auto"/>
              <w:left w:val="single" w:sz="4" w:space="0" w:color="auto"/>
              <w:bottom w:val="single" w:sz="4" w:space="0" w:color="auto"/>
              <w:right w:val="single" w:sz="4" w:space="0" w:color="auto"/>
            </w:tcBorders>
            <w:vAlign w:val="center"/>
          </w:tcPr>
          <w:p w14:paraId="09120FF8" w14:textId="77777777" w:rsidR="00577D08" w:rsidRDefault="00330FC0">
            <w:r>
              <w:rPr>
                <w:rFonts w:hint="eastAsia"/>
              </w:rPr>
              <w:t>长期待摊费用摊销</w:t>
            </w:r>
          </w:p>
        </w:tc>
        <w:tc>
          <w:tcPr>
            <w:tcW w:w="2799" w:type="dxa"/>
            <w:tcBorders>
              <w:top w:val="outset" w:sz="4" w:space="0" w:color="auto"/>
              <w:left w:val="single" w:sz="4" w:space="0" w:color="auto"/>
              <w:bottom w:val="outset" w:sz="4" w:space="0" w:color="auto"/>
              <w:right w:val="outset" w:sz="4" w:space="0" w:color="auto"/>
            </w:tcBorders>
            <w:vAlign w:val="center"/>
          </w:tcPr>
          <w:p w14:paraId="14FB6374" w14:textId="77777777" w:rsidR="00577D08" w:rsidRDefault="00330FC0">
            <w:pPr>
              <w:jc w:val="right"/>
            </w:pPr>
            <w:r>
              <w:t xml:space="preserve"> 1,141,892.81 </w:t>
            </w:r>
          </w:p>
        </w:tc>
        <w:tc>
          <w:tcPr>
            <w:tcW w:w="2768" w:type="dxa"/>
            <w:tcBorders>
              <w:top w:val="outset" w:sz="4" w:space="0" w:color="auto"/>
              <w:left w:val="outset" w:sz="4" w:space="0" w:color="auto"/>
              <w:bottom w:val="outset" w:sz="4" w:space="0" w:color="auto"/>
              <w:right w:val="outset" w:sz="4" w:space="0" w:color="auto"/>
            </w:tcBorders>
            <w:vAlign w:val="center"/>
          </w:tcPr>
          <w:p w14:paraId="0B232220" w14:textId="77777777" w:rsidR="00577D08" w:rsidRDefault="00330FC0">
            <w:pPr>
              <w:jc w:val="right"/>
            </w:pPr>
            <w:r>
              <w:t>2,092,967.64</w:t>
            </w:r>
          </w:p>
        </w:tc>
      </w:tr>
      <w:tr w:rsidR="00577D08" w14:paraId="461BAD94" w14:textId="77777777">
        <w:tc>
          <w:tcPr>
            <w:tcW w:w="3482" w:type="dxa"/>
            <w:tcBorders>
              <w:top w:val="single" w:sz="4" w:space="0" w:color="auto"/>
              <w:left w:val="single" w:sz="4" w:space="0" w:color="auto"/>
              <w:bottom w:val="single" w:sz="4" w:space="0" w:color="auto"/>
              <w:right w:val="single" w:sz="4" w:space="0" w:color="auto"/>
            </w:tcBorders>
            <w:vAlign w:val="center"/>
          </w:tcPr>
          <w:p w14:paraId="157CD18D" w14:textId="77777777" w:rsidR="00577D08" w:rsidRDefault="00330FC0">
            <w:r>
              <w:rPr>
                <w:rFonts w:hint="eastAsia"/>
              </w:rPr>
              <w:t>处置固定资产、无形资产和其他长期资产的损失（收益以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707FD4E1" w14:textId="77777777" w:rsidR="00577D08" w:rsidRDefault="00330FC0">
            <w:pPr>
              <w:jc w:val="right"/>
            </w:pPr>
            <w:r>
              <w:t xml:space="preserve"> -46,466.81 </w:t>
            </w:r>
          </w:p>
        </w:tc>
        <w:tc>
          <w:tcPr>
            <w:tcW w:w="2768" w:type="dxa"/>
            <w:tcBorders>
              <w:top w:val="outset" w:sz="4" w:space="0" w:color="auto"/>
              <w:left w:val="outset" w:sz="4" w:space="0" w:color="auto"/>
              <w:bottom w:val="outset" w:sz="4" w:space="0" w:color="auto"/>
              <w:right w:val="outset" w:sz="4" w:space="0" w:color="auto"/>
            </w:tcBorders>
            <w:vAlign w:val="center"/>
          </w:tcPr>
          <w:p w14:paraId="7316A097" w14:textId="77777777" w:rsidR="00577D08" w:rsidRDefault="00330FC0">
            <w:pPr>
              <w:jc w:val="right"/>
            </w:pPr>
            <w:r>
              <w:t>-555,200.04</w:t>
            </w:r>
          </w:p>
        </w:tc>
      </w:tr>
      <w:tr w:rsidR="00577D08" w14:paraId="60FB8935" w14:textId="77777777">
        <w:tc>
          <w:tcPr>
            <w:tcW w:w="3482" w:type="dxa"/>
            <w:tcBorders>
              <w:top w:val="single" w:sz="4" w:space="0" w:color="auto"/>
              <w:left w:val="single" w:sz="4" w:space="0" w:color="auto"/>
              <w:bottom w:val="single" w:sz="4" w:space="0" w:color="auto"/>
              <w:right w:val="single" w:sz="4" w:space="0" w:color="auto"/>
            </w:tcBorders>
            <w:vAlign w:val="center"/>
          </w:tcPr>
          <w:p w14:paraId="2EDECFD2" w14:textId="77777777" w:rsidR="00577D08" w:rsidRDefault="00330FC0">
            <w:r>
              <w:rPr>
                <w:rFonts w:hint="eastAsia"/>
              </w:rPr>
              <w:t>固定资产报废损失（收益以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34D788F3" w14:textId="77777777" w:rsidR="00577D08" w:rsidRDefault="00330FC0">
            <w:pPr>
              <w:jc w:val="right"/>
            </w:pPr>
            <w:r>
              <w:t xml:space="preserve"> 457,980.40 </w:t>
            </w:r>
          </w:p>
        </w:tc>
        <w:tc>
          <w:tcPr>
            <w:tcW w:w="2768" w:type="dxa"/>
            <w:tcBorders>
              <w:top w:val="outset" w:sz="4" w:space="0" w:color="auto"/>
              <w:left w:val="outset" w:sz="4" w:space="0" w:color="auto"/>
              <w:bottom w:val="outset" w:sz="4" w:space="0" w:color="auto"/>
              <w:right w:val="outset" w:sz="4" w:space="0" w:color="auto"/>
            </w:tcBorders>
            <w:vAlign w:val="center"/>
          </w:tcPr>
          <w:p w14:paraId="4BADAE10" w14:textId="77777777" w:rsidR="00577D08" w:rsidRDefault="00330FC0">
            <w:pPr>
              <w:jc w:val="right"/>
            </w:pPr>
            <w:r>
              <w:t>3,086,320.03</w:t>
            </w:r>
          </w:p>
        </w:tc>
      </w:tr>
      <w:tr w:rsidR="00577D08" w14:paraId="6C512058" w14:textId="77777777">
        <w:tc>
          <w:tcPr>
            <w:tcW w:w="3482" w:type="dxa"/>
            <w:tcBorders>
              <w:top w:val="single" w:sz="4" w:space="0" w:color="auto"/>
              <w:left w:val="single" w:sz="4" w:space="0" w:color="auto"/>
              <w:bottom w:val="single" w:sz="4" w:space="0" w:color="auto"/>
              <w:right w:val="single" w:sz="4" w:space="0" w:color="auto"/>
            </w:tcBorders>
            <w:vAlign w:val="center"/>
          </w:tcPr>
          <w:p w14:paraId="2CCB9796" w14:textId="77777777" w:rsidR="00577D08" w:rsidRDefault="00330FC0">
            <w:r>
              <w:rPr>
                <w:rFonts w:hint="eastAsia"/>
              </w:rPr>
              <w:t>公允价值变动损失（收益以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19832D76" w14:textId="77777777" w:rsidR="00577D08" w:rsidRDefault="00330FC0">
            <w:pPr>
              <w:jc w:val="right"/>
            </w:pPr>
            <w:r>
              <w:t xml:space="preserve">   </w:t>
            </w:r>
          </w:p>
        </w:tc>
        <w:tc>
          <w:tcPr>
            <w:tcW w:w="2768" w:type="dxa"/>
            <w:tcBorders>
              <w:top w:val="outset" w:sz="4" w:space="0" w:color="auto"/>
              <w:left w:val="outset" w:sz="4" w:space="0" w:color="auto"/>
              <w:bottom w:val="outset" w:sz="4" w:space="0" w:color="auto"/>
              <w:right w:val="outset" w:sz="4" w:space="0" w:color="auto"/>
            </w:tcBorders>
            <w:vAlign w:val="center"/>
          </w:tcPr>
          <w:p w14:paraId="5873C4C8" w14:textId="77777777" w:rsidR="00577D08" w:rsidRDefault="00330FC0">
            <w:pPr>
              <w:jc w:val="right"/>
            </w:pPr>
            <w:r>
              <w:t>-58,819.44</w:t>
            </w:r>
          </w:p>
        </w:tc>
      </w:tr>
      <w:tr w:rsidR="00577D08" w14:paraId="7C833D71" w14:textId="77777777">
        <w:tc>
          <w:tcPr>
            <w:tcW w:w="3482" w:type="dxa"/>
            <w:tcBorders>
              <w:top w:val="single" w:sz="4" w:space="0" w:color="auto"/>
              <w:left w:val="single" w:sz="4" w:space="0" w:color="auto"/>
              <w:bottom w:val="single" w:sz="4" w:space="0" w:color="auto"/>
              <w:right w:val="single" w:sz="4" w:space="0" w:color="auto"/>
            </w:tcBorders>
            <w:vAlign w:val="center"/>
          </w:tcPr>
          <w:p w14:paraId="7F52BB30" w14:textId="77777777" w:rsidR="00577D08" w:rsidRDefault="00330FC0">
            <w:r>
              <w:rPr>
                <w:rFonts w:hint="eastAsia"/>
              </w:rPr>
              <w:t>财务费用（收益以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23E41DF2" w14:textId="77777777" w:rsidR="00577D08" w:rsidRDefault="00330FC0">
            <w:pPr>
              <w:jc w:val="right"/>
            </w:pPr>
            <w:r>
              <w:t xml:space="preserve"> 54,965,800.00 </w:t>
            </w:r>
          </w:p>
        </w:tc>
        <w:tc>
          <w:tcPr>
            <w:tcW w:w="2768" w:type="dxa"/>
            <w:tcBorders>
              <w:top w:val="outset" w:sz="4" w:space="0" w:color="auto"/>
              <w:left w:val="outset" w:sz="4" w:space="0" w:color="auto"/>
              <w:bottom w:val="outset" w:sz="4" w:space="0" w:color="auto"/>
              <w:right w:val="outset" w:sz="4" w:space="0" w:color="auto"/>
            </w:tcBorders>
            <w:vAlign w:val="center"/>
          </w:tcPr>
          <w:p w14:paraId="015D89FC" w14:textId="77777777" w:rsidR="00577D08" w:rsidRDefault="00330FC0">
            <w:pPr>
              <w:jc w:val="right"/>
            </w:pPr>
            <w:r>
              <w:t>45,020,441.05</w:t>
            </w:r>
          </w:p>
        </w:tc>
      </w:tr>
      <w:tr w:rsidR="00577D08" w14:paraId="6AF0D2A8" w14:textId="77777777">
        <w:tc>
          <w:tcPr>
            <w:tcW w:w="3482" w:type="dxa"/>
            <w:tcBorders>
              <w:top w:val="single" w:sz="4" w:space="0" w:color="auto"/>
              <w:left w:val="single" w:sz="4" w:space="0" w:color="auto"/>
              <w:bottom w:val="single" w:sz="4" w:space="0" w:color="auto"/>
              <w:right w:val="single" w:sz="4" w:space="0" w:color="auto"/>
            </w:tcBorders>
            <w:vAlign w:val="center"/>
          </w:tcPr>
          <w:p w14:paraId="51D92165" w14:textId="77777777" w:rsidR="00577D08" w:rsidRDefault="00330FC0">
            <w:r>
              <w:rPr>
                <w:rFonts w:hint="eastAsia"/>
              </w:rPr>
              <w:t>投资损失（收益以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11E30320" w14:textId="77777777" w:rsidR="00577D08" w:rsidRDefault="00330FC0">
            <w:pPr>
              <w:jc w:val="right"/>
            </w:pPr>
            <w:r>
              <w:t xml:space="preserve"> 1,578,699.51 </w:t>
            </w:r>
          </w:p>
        </w:tc>
        <w:tc>
          <w:tcPr>
            <w:tcW w:w="2768" w:type="dxa"/>
            <w:tcBorders>
              <w:top w:val="outset" w:sz="4" w:space="0" w:color="auto"/>
              <w:left w:val="outset" w:sz="4" w:space="0" w:color="auto"/>
              <w:bottom w:val="outset" w:sz="4" w:space="0" w:color="auto"/>
              <w:right w:val="outset" w:sz="4" w:space="0" w:color="auto"/>
            </w:tcBorders>
            <w:vAlign w:val="center"/>
          </w:tcPr>
          <w:p w14:paraId="4CFB9786" w14:textId="77777777" w:rsidR="00577D08" w:rsidRDefault="00330FC0">
            <w:pPr>
              <w:jc w:val="right"/>
            </w:pPr>
            <w:r>
              <w:t>-284,626.58</w:t>
            </w:r>
          </w:p>
        </w:tc>
      </w:tr>
      <w:tr w:rsidR="00577D08" w14:paraId="63C3FA4C" w14:textId="77777777">
        <w:tc>
          <w:tcPr>
            <w:tcW w:w="3482" w:type="dxa"/>
            <w:tcBorders>
              <w:top w:val="single" w:sz="4" w:space="0" w:color="auto"/>
              <w:left w:val="single" w:sz="4" w:space="0" w:color="auto"/>
              <w:bottom w:val="single" w:sz="4" w:space="0" w:color="auto"/>
              <w:right w:val="single" w:sz="4" w:space="0" w:color="auto"/>
            </w:tcBorders>
            <w:vAlign w:val="center"/>
          </w:tcPr>
          <w:p w14:paraId="33CE7536" w14:textId="77777777" w:rsidR="00577D08" w:rsidRDefault="00330FC0">
            <w:r>
              <w:rPr>
                <w:rFonts w:hint="eastAsia"/>
              </w:rPr>
              <w:t>递延所得税资产减少（增加以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12736DF7" w14:textId="77777777" w:rsidR="00577D08" w:rsidRDefault="00330FC0">
            <w:pPr>
              <w:jc w:val="right"/>
            </w:pPr>
            <w:r>
              <w:t xml:space="preserve"> -2,761,830.13 </w:t>
            </w:r>
          </w:p>
        </w:tc>
        <w:tc>
          <w:tcPr>
            <w:tcW w:w="2768" w:type="dxa"/>
            <w:tcBorders>
              <w:top w:val="outset" w:sz="4" w:space="0" w:color="auto"/>
              <w:left w:val="outset" w:sz="4" w:space="0" w:color="auto"/>
              <w:bottom w:val="outset" w:sz="4" w:space="0" w:color="auto"/>
              <w:right w:val="outset" w:sz="4" w:space="0" w:color="auto"/>
            </w:tcBorders>
            <w:vAlign w:val="center"/>
          </w:tcPr>
          <w:p w14:paraId="714E4BEF" w14:textId="77777777" w:rsidR="00577D08" w:rsidRDefault="00330FC0">
            <w:pPr>
              <w:jc w:val="right"/>
            </w:pPr>
            <w:r>
              <w:t>21,042,651.84</w:t>
            </w:r>
          </w:p>
        </w:tc>
      </w:tr>
      <w:tr w:rsidR="00577D08" w14:paraId="23508C9C" w14:textId="77777777">
        <w:tc>
          <w:tcPr>
            <w:tcW w:w="3482" w:type="dxa"/>
            <w:tcBorders>
              <w:top w:val="single" w:sz="4" w:space="0" w:color="auto"/>
              <w:left w:val="single" w:sz="4" w:space="0" w:color="auto"/>
              <w:bottom w:val="single" w:sz="4" w:space="0" w:color="auto"/>
              <w:right w:val="single" w:sz="4" w:space="0" w:color="auto"/>
            </w:tcBorders>
            <w:vAlign w:val="center"/>
          </w:tcPr>
          <w:p w14:paraId="706613CB" w14:textId="77777777" w:rsidR="00577D08" w:rsidRDefault="00330FC0">
            <w:r>
              <w:rPr>
                <w:rFonts w:hint="eastAsia"/>
              </w:rPr>
              <w:t>递延所得税负债增加（减少以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171238F3" w14:textId="77777777" w:rsidR="00577D08" w:rsidRDefault="00330FC0">
            <w:pPr>
              <w:jc w:val="right"/>
            </w:pPr>
            <w:r>
              <w:t xml:space="preserve"> -3,708,077.89 </w:t>
            </w:r>
          </w:p>
        </w:tc>
        <w:tc>
          <w:tcPr>
            <w:tcW w:w="2768" w:type="dxa"/>
            <w:tcBorders>
              <w:top w:val="outset" w:sz="4" w:space="0" w:color="auto"/>
              <w:left w:val="outset" w:sz="4" w:space="0" w:color="auto"/>
              <w:bottom w:val="outset" w:sz="4" w:space="0" w:color="auto"/>
              <w:right w:val="outset" w:sz="4" w:space="0" w:color="auto"/>
            </w:tcBorders>
            <w:vAlign w:val="center"/>
          </w:tcPr>
          <w:p w14:paraId="311F92D4" w14:textId="77777777" w:rsidR="00577D08" w:rsidRDefault="00330FC0">
            <w:pPr>
              <w:jc w:val="right"/>
            </w:pPr>
            <w:r>
              <w:t>-18,443,518.02</w:t>
            </w:r>
          </w:p>
        </w:tc>
      </w:tr>
      <w:tr w:rsidR="00577D08" w14:paraId="37211C75" w14:textId="77777777">
        <w:tc>
          <w:tcPr>
            <w:tcW w:w="3482" w:type="dxa"/>
            <w:tcBorders>
              <w:top w:val="single" w:sz="4" w:space="0" w:color="auto"/>
              <w:left w:val="single" w:sz="4" w:space="0" w:color="auto"/>
              <w:bottom w:val="single" w:sz="4" w:space="0" w:color="auto"/>
              <w:right w:val="single" w:sz="4" w:space="0" w:color="auto"/>
            </w:tcBorders>
            <w:vAlign w:val="center"/>
          </w:tcPr>
          <w:p w14:paraId="642EFBFC" w14:textId="77777777" w:rsidR="00577D08" w:rsidRDefault="00330FC0">
            <w:r>
              <w:rPr>
                <w:rFonts w:hint="eastAsia"/>
              </w:rPr>
              <w:t>存货的减少（增加以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7985DF0A" w14:textId="77777777" w:rsidR="00577D08" w:rsidRDefault="00330FC0">
            <w:pPr>
              <w:jc w:val="right"/>
            </w:pPr>
            <w:r>
              <w:t xml:space="preserve"> -141,481,881.41 </w:t>
            </w:r>
          </w:p>
        </w:tc>
        <w:tc>
          <w:tcPr>
            <w:tcW w:w="2768" w:type="dxa"/>
            <w:tcBorders>
              <w:top w:val="outset" w:sz="4" w:space="0" w:color="auto"/>
              <w:left w:val="outset" w:sz="4" w:space="0" w:color="auto"/>
              <w:bottom w:val="outset" w:sz="4" w:space="0" w:color="auto"/>
              <w:right w:val="outset" w:sz="4" w:space="0" w:color="auto"/>
            </w:tcBorders>
            <w:vAlign w:val="center"/>
          </w:tcPr>
          <w:p w14:paraId="1FCA8370" w14:textId="77777777" w:rsidR="00577D08" w:rsidRDefault="00330FC0">
            <w:pPr>
              <w:jc w:val="right"/>
            </w:pPr>
            <w:r>
              <w:t>-117,042,584.43</w:t>
            </w:r>
          </w:p>
        </w:tc>
      </w:tr>
      <w:tr w:rsidR="00577D08" w14:paraId="11332BBF" w14:textId="77777777">
        <w:tc>
          <w:tcPr>
            <w:tcW w:w="3482" w:type="dxa"/>
            <w:tcBorders>
              <w:top w:val="single" w:sz="4" w:space="0" w:color="auto"/>
              <w:left w:val="single" w:sz="4" w:space="0" w:color="auto"/>
              <w:bottom w:val="single" w:sz="4" w:space="0" w:color="auto"/>
              <w:right w:val="single" w:sz="4" w:space="0" w:color="auto"/>
            </w:tcBorders>
            <w:vAlign w:val="center"/>
          </w:tcPr>
          <w:p w14:paraId="0C4D73E6" w14:textId="77777777" w:rsidR="00577D08" w:rsidRDefault="00330FC0">
            <w:r>
              <w:rPr>
                <w:rFonts w:hint="eastAsia"/>
              </w:rPr>
              <w:t>经营性应收项目的减少（增加以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1263E54C" w14:textId="77777777" w:rsidR="00577D08" w:rsidRDefault="00330FC0">
            <w:pPr>
              <w:jc w:val="right"/>
            </w:pPr>
            <w:r>
              <w:t xml:space="preserve"> -514,586,364.64 </w:t>
            </w:r>
          </w:p>
        </w:tc>
        <w:tc>
          <w:tcPr>
            <w:tcW w:w="2768" w:type="dxa"/>
            <w:tcBorders>
              <w:top w:val="outset" w:sz="4" w:space="0" w:color="auto"/>
              <w:left w:val="outset" w:sz="4" w:space="0" w:color="auto"/>
              <w:bottom w:val="outset" w:sz="4" w:space="0" w:color="auto"/>
              <w:right w:val="outset" w:sz="4" w:space="0" w:color="auto"/>
            </w:tcBorders>
            <w:vAlign w:val="center"/>
          </w:tcPr>
          <w:p w14:paraId="1D604491" w14:textId="77777777" w:rsidR="00577D08" w:rsidRDefault="00330FC0">
            <w:pPr>
              <w:jc w:val="right"/>
            </w:pPr>
            <w:r>
              <w:t>60,087,896.87</w:t>
            </w:r>
          </w:p>
        </w:tc>
      </w:tr>
      <w:tr w:rsidR="00577D08" w14:paraId="0E9F70B8" w14:textId="77777777">
        <w:tc>
          <w:tcPr>
            <w:tcW w:w="3482" w:type="dxa"/>
            <w:tcBorders>
              <w:top w:val="single" w:sz="4" w:space="0" w:color="auto"/>
              <w:left w:val="single" w:sz="4" w:space="0" w:color="auto"/>
              <w:bottom w:val="single" w:sz="4" w:space="0" w:color="auto"/>
              <w:right w:val="single" w:sz="4" w:space="0" w:color="auto"/>
            </w:tcBorders>
            <w:vAlign w:val="center"/>
          </w:tcPr>
          <w:p w14:paraId="7321F349" w14:textId="77777777" w:rsidR="00577D08" w:rsidRDefault="00330FC0">
            <w:r>
              <w:rPr>
                <w:rFonts w:hint="eastAsia"/>
              </w:rPr>
              <w:t>经营性应付项目的增加（减少以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787F1A7F" w14:textId="77777777" w:rsidR="00577D08" w:rsidRDefault="00330FC0">
            <w:pPr>
              <w:jc w:val="right"/>
            </w:pPr>
            <w:r>
              <w:t xml:space="preserve"> 487,575,826.12 </w:t>
            </w:r>
          </w:p>
        </w:tc>
        <w:tc>
          <w:tcPr>
            <w:tcW w:w="2768" w:type="dxa"/>
            <w:tcBorders>
              <w:top w:val="outset" w:sz="4" w:space="0" w:color="auto"/>
              <w:left w:val="outset" w:sz="4" w:space="0" w:color="auto"/>
              <w:bottom w:val="outset" w:sz="4" w:space="0" w:color="auto"/>
              <w:right w:val="outset" w:sz="4" w:space="0" w:color="auto"/>
            </w:tcBorders>
            <w:vAlign w:val="center"/>
          </w:tcPr>
          <w:p w14:paraId="3F287864" w14:textId="77777777" w:rsidR="00577D08" w:rsidRDefault="00330FC0">
            <w:pPr>
              <w:jc w:val="right"/>
            </w:pPr>
            <w:r>
              <w:t>-255,705,936.64</w:t>
            </w:r>
          </w:p>
        </w:tc>
      </w:tr>
      <w:tr w:rsidR="00577D08" w14:paraId="7A0D2759" w14:textId="77777777">
        <w:tc>
          <w:tcPr>
            <w:tcW w:w="3482" w:type="dxa"/>
            <w:tcBorders>
              <w:top w:val="single" w:sz="4" w:space="0" w:color="auto"/>
              <w:left w:val="single" w:sz="4" w:space="0" w:color="auto"/>
              <w:bottom w:val="single" w:sz="4" w:space="0" w:color="auto"/>
              <w:right w:val="single" w:sz="4" w:space="0" w:color="auto"/>
            </w:tcBorders>
            <w:vAlign w:val="center"/>
          </w:tcPr>
          <w:p w14:paraId="15B3F4E6" w14:textId="77777777" w:rsidR="00577D08" w:rsidRDefault="00330FC0">
            <w:r>
              <w:rPr>
                <w:rFonts w:hint="eastAsia"/>
              </w:rPr>
              <w:t>其他</w:t>
            </w:r>
          </w:p>
        </w:tc>
        <w:tc>
          <w:tcPr>
            <w:tcW w:w="2799" w:type="dxa"/>
            <w:tcBorders>
              <w:top w:val="outset" w:sz="4" w:space="0" w:color="auto"/>
              <w:left w:val="single" w:sz="4" w:space="0" w:color="auto"/>
              <w:bottom w:val="outset" w:sz="4" w:space="0" w:color="auto"/>
              <w:right w:val="outset" w:sz="4" w:space="0" w:color="auto"/>
            </w:tcBorders>
            <w:vAlign w:val="center"/>
          </w:tcPr>
          <w:p w14:paraId="33C6DBEB" w14:textId="77777777" w:rsidR="00577D08" w:rsidRDefault="00330FC0">
            <w:pPr>
              <w:jc w:val="right"/>
            </w:pPr>
            <w:r>
              <w:t xml:space="preserve"> 4,332,364.44 </w:t>
            </w:r>
          </w:p>
        </w:tc>
        <w:tc>
          <w:tcPr>
            <w:tcW w:w="2768" w:type="dxa"/>
            <w:tcBorders>
              <w:top w:val="outset" w:sz="4" w:space="0" w:color="auto"/>
              <w:left w:val="outset" w:sz="4" w:space="0" w:color="auto"/>
              <w:bottom w:val="outset" w:sz="4" w:space="0" w:color="auto"/>
              <w:right w:val="outset" w:sz="4" w:space="0" w:color="auto"/>
            </w:tcBorders>
            <w:vAlign w:val="center"/>
          </w:tcPr>
          <w:p w14:paraId="6EEFA155" w14:textId="77777777" w:rsidR="00577D08" w:rsidRDefault="00330FC0">
            <w:pPr>
              <w:jc w:val="right"/>
            </w:pPr>
            <w:r>
              <w:t>4,580,555.56</w:t>
            </w:r>
          </w:p>
        </w:tc>
      </w:tr>
      <w:tr w:rsidR="00577D08" w14:paraId="551F94B0" w14:textId="77777777">
        <w:tc>
          <w:tcPr>
            <w:tcW w:w="3482" w:type="dxa"/>
            <w:tcBorders>
              <w:top w:val="single" w:sz="4" w:space="0" w:color="auto"/>
              <w:left w:val="single" w:sz="4" w:space="0" w:color="auto"/>
              <w:bottom w:val="single" w:sz="4" w:space="0" w:color="auto"/>
              <w:right w:val="single" w:sz="4" w:space="0" w:color="auto"/>
            </w:tcBorders>
            <w:vAlign w:val="center"/>
          </w:tcPr>
          <w:p w14:paraId="65AB69B5" w14:textId="77777777" w:rsidR="00577D08" w:rsidRDefault="00330FC0">
            <w:r>
              <w:rPr>
                <w:rFonts w:hint="eastAsia"/>
              </w:rPr>
              <w:t>经营活动产生的现金流量净额</w:t>
            </w:r>
          </w:p>
        </w:tc>
        <w:tc>
          <w:tcPr>
            <w:tcW w:w="2799" w:type="dxa"/>
            <w:tcBorders>
              <w:top w:val="outset" w:sz="4" w:space="0" w:color="auto"/>
              <w:left w:val="single" w:sz="4" w:space="0" w:color="auto"/>
              <w:bottom w:val="outset" w:sz="4" w:space="0" w:color="auto"/>
              <w:right w:val="outset" w:sz="4" w:space="0" w:color="auto"/>
            </w:tcBorders>
            <w:vAlign w:val="center"/>
          </w:tcPr>
          <w:p w14:paraId="7C031FA3" w14:textId="77777777" w:rsidR="00577D08" w:rsidRDefault="00330FC0">
            <w:pPr>
              <w:jc w:val="right"/>
            </w:pPr>
            <w:r>
              <w:t xml:space="preserve"> 229,828,493.83 </w:t>
            </w:r>
          </w:p>
        </w:tc>
        <w:tc>
          <w:tcPr>
            <w:tcW w:w="2768" w:type="dxa"/>
            <w:tcBorders>
              <w:top w:val="outset" w:sz="4" w:space="0" w:color="auto"/>
              <w:left w:val="outset" w:sz="4" w:space="0" w:color="auto"/>
              <w:bottom w:val="outset" w:sz="4" w:space="0" w:color="auto"/>
              <w:right w:val="outset" w:sz="4" w:space="0" w:color="auto"/>
            </w:tcBorders>
            <w:vAlign w:val="center"/>
          </w:tcPr>
          <w:p w14:paraId="1EE1BD15" w14:textId="77777777" w:rsidR="00577D08" w:rsidRDefault="00330FC0">
            <w:pPr>
              <w:jc w:val="right"/>
            </w:pPr>
            <w:r>
              <w:t>20,658,485.39</w:t>
            </w:r>
          </w:p>
        </w:tc>
      </w:tr>
      <w:tr w:rsidR="00577D08" w14:paraId="5BFB37F5" w14:textId="77777777">
        <w:sdt>
          <w:sdtPr>
            <w:tag w:val="_PLD_4b9bf22c7a64477db916821f6ee032d7"/>
            <w:id w:val="-313177081"/>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3797F769" w14:textId="77777777" w:rsidR="00577D08" w:rsidRDefault="00330FC0">
                <w:r>
                  <w:rPr>
                    <w:b/>
                    <w:bCs/>
                  </w:rPr>
                  <w:t>2</w:t>
                </w:r>
                <w:r>
                  <w:rPr>
                    <w:rFonts w:hint="eastAsia"/>
                    <w:b/>
                    <w:bCs/>
                  </w:rPr>
                  <w:t>．不涉及现金收支的重大投资和筹资活动：</w:t>
                </w:r>
              </w:p>
            </w:tc>
          </w:sdtContent>
        </w:sdt>
      </w:tr>
      <w:tr w:rsidR="00577D08" w14:paraId="6DBDD32F" w14:textId="77777777">
        <w:tc>
          <w:tcPr>
            <w:tcW w:w="3482" w:type="dxa"/>
            <w:tcBorders>
              <w:top w:val="single" w:sz="4" w:space="0" w:color="auto"/>
              <w:left w:val="single" w:sz="4" w:space="0" w:color="auto"/>
              <w:bottom w:val="single" w:sz="4" w:space="0" w:color="auto"/>
              <w:right w:val="single" w:sz="4" w:space="0" w:color="auto"/>
            </w:tcBorders>
            <w:vAlign w:val="center"/>
          </w:tcPr>
          <w:p w14:paraId="4F9E906A" w14:textId="77777777" w:rsidR="00577D08" w:rsidRDefault="00330FC0">
            <w:r>
              <w:rPr>
                <w:rFonts w:hint="eastAsia"/>
              </w:rPr>
              <w:t>债务转为资本</w:t>
            </w:r>
          </w:p>
        </w:tc>
        <w:tc>
          <w:tcPr>
            <w:tcW w:w="2799" w:type="dxa"/>
            <w:tcBorders>
              <w:top w:val="outset" w:sz="4" w:space="0" w:color="auto"/>
              <w:left w:val="single" w:sz="4" w:space="0" w:color="auto"/>
              <w:bottom w:val="outset" w:sz="4" w:space="0" w:color="auto"/>
              <w:right w:val="outset" w:sz="4" w:space="0" w:color="auto"/>
            </w:tcBorders>
            <w:vAlign w:val="center"/>
          </w:tcPr>
          <w:p w14:paraId="11170741" w14:textId="77777777" w:rsidR="00577D08" w:rsidRDefault="00577D08">
            <w:pPr>
              <w:jc w:val="right"/>
            </w:pPr>
          </w:p>
        </w:tc>
        <w:tc>
          <w:tcPr>
            <w:tcW w:w="2768" w:type="dxa"/>
            <w:tcBorders>
              <w:top w:val="outset" w:sz="4" w:space="0" w:color="auto"/>
              <w:left w:val="outset" w:sz="4" w:space="0" w:color="auto"/>
              <w:bottom w:val="outset" w:sz="4" w:space="0" w:color="auto"/>
              <w:right w:val="outset" w:sz="4" w:space="0" w:color="auto"/>
            </w:tcBorders>
            <w:vAlign w:val="center"/>
          </w:tcPr>
          <w:p w14:paraId="3B7E0CCC" w14:textId="77777777" w:rsidR="00577D08" w:rsidRDefault="00577D08">
            <w:pPr>
              <w:jc w:val="right"/>
            </w:pPr>
          </w:p>
        </w:tc>
      </w:tr>
      <w:tr w:rsidR="00577D08" w14:paraId="35D5826F" w14:textId="77777777">
        <w:tc>
          <w:tcPr>
            <w:tcW w:w="3482" w:type="dxa"/>
            <w:tcBorders>
              <w:top w:val="single" w:sz="4" w:space="0" w:color="auto"/>
              <w:left w:val="single" w:sz="4" w:space="0" w:color="auto"/>
              <w:bottom w:val="single" w:sz="4" w:space="0" w:color="auto"/>
              <w:right w:val="single" w:sz="4" w:space="0" w:color="auto"/>
            </w:tcBorders>
            <w:vAlign w:val="center"/>
          </w:tcPr>
          <w:p w14:paraId="265BB38D" w14:textId="77777777" w:rsidR="00577D08" w:rsidRDefault="00330FC0">
            <w:r>
              <w:rPr>
                <w:rFonts w:hint="eastAsia"/>
              </w:rPr>
              <w:t>一年内到期的可转换公司债券</w:t>
            </w:r>
          </w:p>
        </w:tc>
        <w:tc>
          <w:tcPr>
            <w:tcW w:w="2799" w:type="dxa"/>
            <w:tcBorders>
              <w:top w:val="outset" w:sz="4" w:space="0" w:color="auto"/>
              <w:left w:val="single" w:sz="4" w:space="0" w:color="auto"/>
              <w:bottom w:val="outset" w:sz="4" w:space="0" w:color="auto"/>
              <w:right w:val="outset" w:sz="4" w:space="0" w:color="auto"/>
            </w:tcBorders>
            <w:vAlign w:val="center"/>
          </w:tcPr>
          <w:p w14:paraId="2703FD45" w14:textId="77777777" w:rsidR="00577D08" w:rsidRDefault="00577D08">
            <w:pPr>
              <w:jc w:val="right"/>
            </w:pPr>
          </w:p>
        </w:tc>
        <w:tc>
          <w:tcPr>
            <w:tcW w:w="2768" w:type="dxa"/>
            <w:tcBorders>
              <w:top w:val="outset" w:sz="4" w:space="0" w:color="auto"/>
              <w:left w:val="outset" w:sz="4" w:space="0" w:color="auto"/>
              <w:bottom w:val="outset" w:sz="4" w:space="0" w:color="auto"/>
              <w:right w:val="outset" w:sz="4" w:space="0" w:color="auto"/>
            </w:tcBorders>
            <w:vAlign w:val="center"/>
          </w:tcPr>
          <w:p w14:paraId="5F17F9C2" w14:textId="77777777" w:rsidR="00577D08" w:rsidRDefault="00577D08">
            <w:pPr>
              <w:jc w:val="right"/>
            </w:pPr>
          </w:p>
        </w:tc>
      </w:tr>
      <w:tr w:rsidR="00577D08" w14:paraId="4A0431EC" w14:textId="77777777">
        <w:tc>
          <w:tcPr>
            <w:tcW w:w="3482" w:type="dxa"/>
            <w:tcBorders>
              <w:top w:val="single" w:sz="4" w:space="0" w:color="auto"/>
              <w:left w:val="single" w:sz="4" w:space="0" w:color="auto"/>
              <w:bottom w:val="single" w:sz="4" w:space="0" w:color="auto"/>
              <w:right w:val="single" w:sz="4" w:space="0" w:color="auto"/>
            </w:tcBorders>
            <w:vAlign w:val="center"/>
          </w:tcPr>
          <w:p w14:paraId="5AF9B8EF" w14:textId="77777777" w:rsidR="00577D08" w:rsidRDefault="00330FC0">
            <w:r>
              <w:rPr>
                <w:rFonts w:hint="eastAsia"/>
              </w:rPr>
              <w:t>新增使用权资产</w:t>
            </w:r>
          </w:p>
        </w:tc>
        <w:tc>
          <w:tcPr>
            <w:tcW w:w="2799" w:type="dxa"/>
            <w:tcBorders>
              <w:top w:val="outset" w:sz="4" w:space="0" w:color="auto"/>
              <w:left w:val="single" w:sz="4" w:space="0" w:color="auto"/>
              <w:bottom w:val="outset" w:sz="4" w:space="0" w:color="auto"/>
              <w:right w:val="outset" w:sz="4" w:space="0" w:color="auto"/>
            </w:tcBorders>
          </w:tcPr>
          <w:p w14:paraId="39389625" w14:textId="77777777" w:rsidR="00577D08" w:rsidRDefault="00330FC0">
            <w:pPr>
              <w:jc w:val="right"/>
            </w:pPr>
            <w:r>
              <w:t>19,906,349.72</w:t>
            </w:r>
          </w:p>
        </w:tc>
        <w:tc>
          <w:tcPr>
            <w:tcW w:w="2768" w:type="dxa"/>
            <w:tcBorders>
              <w:top w:val="outset" w:sz="4" w:space="0" w:color="auto"/>
              <w:left w:val="outset" w:sz="4" w:space="0" w:color="auto"/>
              <w:bottom w:val="outset" w:sz="4" w:space="0" w:color="auto"/>
              <w:right w:val="outset" w:sz="4" w:space="0" w:color="auto"/>
            </w:tcBorders>
          </w:tcPr>
          <w:p w14:paraId="4AE4E3CE" w14:textId="77777777" w:rsidR="00577D08" w:rsidRDefault="00330FC0">
            <w:pPr>
              <w:jc w:val="right"/>
            </w:pPr>
            <w:r>
              <w:t>410,236.16</w:t>
            </w:r>
          </w:p>
        </w:tc>
      </w:tr>
      <w:tr w:rsidR="00577D08" w14:paraId="69A41D6C" w14:textId="77777777">
        <w:sdt>
          <w:sdtPr>
            <w:tag w:val="_PLD_b32f2ba3b4a94101978cc22144b58749"/>
            <w:id w:val="131759533"/>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1DFC0DA4" w14:textId="77777777" w:rsidR="00577D08" w:rsidRDefault="00330FC0">
                <w:r>
                  <w:rPr>
                    <w:b/>
                    <w:bCs/>
                  </w:rPr>
                  <w:t>3</w:t>
                </w:r>
                <w:r>
                  <w:rPr>
                    <w:rFonts w:hint="eastAsia"/>
                    <w:b/>
                    <w:bCs/>
                  </w:rPr>
                  <w:t>．现金及现金等价物净变动情况：</w:t>
                </w:r>
              </w:p>
            </w:tc>
          </w:sdtContent>
        </w:sdt>
      </w:tr>
      <w:tr w:rsidR="00577D08" w14:paraId="5A47C4C6" w14:textId="77777777">
        <w:tc>
          <w:tcPr>
            <w:tcW w:w="3482" w:type="dxa"/>
            <w:tcBorders>
              <w:top w:val="single" w:sz="4" w:space="0" w:color="auto"/>
              <w:left w:val="single" w:sz="4" w:space="0" w:color="auto"/>
              <w:bottom w:val="single" w:sz="4" w:space="0" w:color="auto"/>
              <w:right w:val="single" w:sz="4" w:space="0" w:color="auto"/>
            </w:tcBorders>
            <w:vAlign w:val="center"/>
          </w:tcPr>
          <w:p w14:paraId="5809B810" w14:textId="77777777" w:rsidR="00577D08" w:rsidRDefault="00330FC0">
            <w:r>
              <w:rPr>
                <w:rFonts w:hint="eastAsia"/>
              </w:rPr>
              <w:t>现金的期末余额</w:t>
            </w:r>
          </w:p>
        </w:tc>
        <w:tc>
          <w:tcPr>
            <w:tcW w:w="2799" w:type="dxa"/>
            <w:tcBorders>
              <w:top w:val="outset" w:sz="4" w:space="0" w:color="auto"/>
              <w:left w:val="single" w:sz="4" w:space="0" w:color="auto"/>
              <w:bottom w:val="outset" w:sz="4" w:space="0" w:color="auto"/>
              <w:right w:val="outset" w:sz="4" w:space="0" w:color="auto"/>
            </w:tcBorders>
          </w:tcPr>
          <w:p w14:paraId="07E71302" w14:textId="77777777" w:rsidR="00577D08" w:rsidRDefault="00330FC0">
            <w:pPr>
              <w:jc w:val="right"/>
            </w:pPr>
            <w:r>
              <w:t>1,205,429,662.37</w:t>
            </w:r>
          </w:p>
        </w:tc>
        <w:tc>
          <w:tcPr>
            <w:tcW w:w="2768" w:type="dxa"/>
            <w:tcBorders>
              <w:top w:val="outset" w:sz="4" w:space="0" w:color="auto"/>
              <w:left w:val="outset" w:sz="4" w:space="0" w:color="auto"/>
              <w:bottom w:val="outset" w:sz="4" w:space="0" w:color="auto"/>
              <w:right w:val="outset" w:sz="4" w:space="0" w:color="auto"/>
            </w:tcBorders>
          </w:tcPr>
          <w:p w14:paraId="46D0FB5C" w14:textId="77777777" w:rsidR="00577D08" w:rsidRDefault="00330FC0">
            <w:pPr>
              <w:jc w:val="right"/>
            </w:pPr>
            <w:r>
              <w:t>996,421,333.80</w:t>
            </w:r>
          </w:p>
        </w:tc>
      </w:tr>
      <w:tr w:rsidR="00577D08" w14:paraId="43587DFA" w14:textId="77777777">
        <w:tc>
          <w:tcPr>
            <w:tcW w:w="3482" w:type="dxa"/>
            <w:tcBorders>
              <w:top w:val="single" w:sz="4" w:space="0" w:color="auto"/>
              <w:left w:val="single" w:sz="4" w:space="0" w:color="auto"/>
              <w:bottom w:val="single" w:sz="4" w:space="0" w:color="auto"/>
              <w:right w:val="single" w:sz="4" w:space="0" w:color="auto"/>
            </w:tcBorders>
            <w:vAlign w:val="center"/>
          </w:tcPr>
          <w:p w14:paraId="0E54BD4B" w14:textId="77777777" w:rsidR="00577D08" w:rsidRDefault="00330FC0">
            <w:r>
              <w:rPr>
                <w:rFonts w:hint="eastAsia"/>
              </w:rPr>
              <w:t>减：现金的期初余额</w:t>
            </w:r>
          </w:p>
        </w:tc>
        <w:tc>
          <w:tcPr>
            <w:tcW w:w="2799" w:type="dxa"/>
            <w:tcBorders>
              <w:top w:val="outset" w:sz="4" w:space="0" w:color="auto"/>
              <w:left w:val="single" w:sz="4" w:space="0" w:color="auto"/>
              <w:bottom w:val="outset" w:sz="4" w:space="0" w:color="auto"/>
              <w:right w:val="outset" w:sz="4" w:space="0" w:color="auto"/>
            </w:tcBorders>
          </w:tcPr>
          <w:p w14:paraId="63EEA628" w14:textId="77777777" w:rsidR="00577D08" w:rsidRDefault="00330FC0">
            <w:pPr>
              <w:jc w:val="right"/>
              <w:rPr>
                <w:bCs/>
              </w:rPr>
            </w:pPr>
            <w:r>
              <w:t>996,421,333.80</w:t>
            </w:r>
          </w:p>
        </w:tc>
        <w:tc>
          <w:tcPr>
            <w:tcW w:w="2768" w:type="dxa"/>
            <w:tcBorders>
              <w:top w:val="outset" w:sz="4" w:space="0" w:color="auto"/>
              <w:left w:val="outset" w:sz="4" w:space="0" w:color="auto"/>
              <w:bottom w:val="outset" w:sz="4" w:space="0" w:color="auto"/>
              <w:right w:val="outset" w:sz="4" w:space="0" w:color="auto"/>
            </w:tcBorders>
          </w:tcPr>
          <w:p w14:paraId="55694A69" w14:textId="77777777" w:rsidR="00577D08" w:rsidRDefault="00330FC0">
            <w:pPr>
              <w:jc w:val="right"/>
              <w:rPr>
                <w:bCs/>
              </w:rPr>
            </w:pPr>
            <w:r>
              <w:t>1,226,642,655.20</w:t>
            </w:r>
          </w:p>
        </w:tc>
      </w:tr>
      <w:tr w:rsidR="00577D08" w14:paraId="6397F4F3" w14:textId="77777777">
        <w:tc>
          <w:tcPr>
            <w:tcW w:w="3482" w:type="dxa"/>
            <w:tcBorders>
              <w:top w:val="single" w:sz="4" w:space="0" w:color="auto"/>
              <w:left w:val="single" w:sz="4" w:space="0" w:color="auto"/>
              <w:bottom w:val="single" w:sz="4" w:space="0" w:color="auto"/>
              <w:right w:val="single" w:sz="4" w:space="0" w:color="auto"/>
            </w:tcBorders>
            <w:vAlign w:val="center"/>
          </w:tcPr>
          <w:p w14:paraId="34E5C5E0" w14:textId="77777777" w:rsidR="00577D08" w:rsidRDefault="00330FC0">
            <w:r>
              <w:rPr>
                <w:rFonts w:hint="eastAsia"/>
              </w:rPr>
              <w:t>加：现金等价物的期末余额</w:t>
            </w:r>
          </w:p>
        </w:tc>
        <w:tc>
          <w:tcPr>
            <w:tcW w:w="2799" w:type="dxa"/>
            <w:tcBorders>
              <w:top w:val="outset" w:sz="4" w:space="0" w:color="auto"/>
              <w:left w:val="single" w:sz="4" w:space="0" w:color="auto"/>
              <w:bottom w:val="outset" w:sz="4" w:space="0" w:color="auto"/>
              <w:right w:val="outset" w:sz="4" w:space="0" w:color="auto"/>
            </w:tcBorders>
          </w:tcPr>
          <w:p w14:paraId="6DE4E4FC" w14:textId="77777777" w:rsidR="00577D08" w:rsidRDefault="00577D08">
            <w:pPr>
              <w:jc w:val="right"/>
            </w:pPr>
          </w:p>
        </w:tc>
        <w:tc>
          <w:tcPr>
            <w:tcW w:w="2768" w:type="dxa"/>
            <w:tcBorders>
              <w:top w:val="outset" w:sz="4" w:space="0" w:color="auto"/>
              <w:left w:val="outset" w:sz="4" w:space="0" w:color="auto"/>
              <w:bottom w:val="outset" w:sz="4" w:space="0" w:color="auto"/>
              <w:right w:val="outset" w:sz="4" w:space="0" w:color="auto"/>
            </w:tcBorders>
          </w:tcPr>
          <w:p w14:paraId="013183BF" w14:textId="77777777" w:rsidR="00577D08" w:rsidRDefault="00577D08">
            <w:pPr>
              <w:jc w:val="right"/>
            </w:pPr>
          </w:p>
        </w:tc>
      </w:tr>
      <w:tr w:rsidR="00577D08" w14:paraId="2DA3F302" w14:textId="77777777">
        <w:tc>
          <w:tcPr>
            <w:tcW w:w="3482" w:type="dxa"/>
            <w:tcBorders>
              <w:top w:val="single" w:sz="4" w:space="0" w:color="auto"/>
              <w:left w:val="single" w:sz="4" w:space="0" w:color="auto"/>
              <w:bottom w:val="single" w:sz="4" w:space="0" w:color="auto"/>
              <w:right w:val="single" w:sz="4" w:space="0" w:color="auto"/>
            </w:tcBorders>
            <w:vAlign w:val="center"/>
          </w:tcPr>
          <w:p w14:paraId="579D01D1" w14:textId="77777777" w:rsidR="00577D08" w:rsidRDefault="00330FC0">
            <w:r>
              <w:rPr>
                <w:rFonts w:hint="eastAsia"/>
              </w:rPr>
              <w:t>减：现金等价物的期初余额</w:t>
            </w:r>
          </w:p>
        </w:tc>
        <w:tc>
          <w:tcPr>
            <w:tcW w:w="2799" w:type="dxa"/>
            <w:tcBorders>
              <w:top w:val="outset" w:sz="4" w:space="0" w:color="auto"/>
              <w:left w:val="single" w:sz="4" w:space="0" w:color="auto"/>
              <w:bottom w:val="outset" w:sz="4" w:space="0" w:color="auto"/>
              <w:right w:val="outset" w:sz="4" w:space="0" w:color="auto"/>
            </w:tcBorders>
          </w:tcPr>
          <w:p w14:paraId="3D5B97AD" w14:textId="77777777" w:rsidR="00577D08" w:rsidRDefault="00577D08">
            <w:pPr>
              <w:jc w:val="right"/>
              <w:rPr>
                <w:bCs/>
              </w:rPr>
            </w:pPr>
          </w:p>
        </w:tc>
        <w:tc>
          <w:tcPr>
            <w:tcW w:w="2768" w:type="dxa"/>
            <w:tcBorders>
              <w:top w:val="outset" w:sz="4" w:space="0" w:color="auto"/>
              <w:left w:val="outset" w:sz="4" w:space="0" w:color="auto"/>
              <w:bottom w:val="outset" w:sz="4" w:space="0" w:color="auto"/>
              <w:right w:val="outset" w:sz="4" w:space="0" w:color="auto"/>
            </w:tcBorders>
          </w:tcPr>
          <w:p w14:paraId="7DD69F23" w14:textId="77777777" w:rsidR="00577D08" w:rsidRDefault="00577D08">
            <w:pPr>
              <w:jc w:val="right"/>
              <w:rPr>
                <w:bCs/>
              </w:rPr>
            </w:pPr>
          </w:p>
        </w:tc>
      </w:tr>
      <w:tr w:rsidR="00577D08" w14:paraId="73D8021F" w14:textId="77777777">
        <w:tc>
          <w:tcPr>
            <w:tcW w:w="3482" w:type="dxa"/>
            <w:tcBorders>
              <w:top w:val="single" w:sz="4" w:space="0" w:color="auto"/>
              <w:left w:val="single" w:sz="4" w:space="0" w:color="auto"/>
              <w:bottom w:val="single" w:sz="4" w:space="0" w:color="auto"/>
              <w:right w:val="single" w:sz="4" w:space="0" w:color="auto"/>
            </w:tcBorders>
            <w:vAlign w:val="center"/>
          </w:tcPr>
          <w:p w14:paraId="05AE5FC8" w14:textId="77777777" w:rsidR="00577D08" w:rsidRDefault="00330FC0">
            <w:r>
              <w:rPr>
                <w:rFonts w:hint="eastAsia"/>
              </w:rPr>
              <w:t>现金及现金等价物净增加额</w:t>
            </w:r>
          </w:p>
        </w:tc>
        <w:tc>
          <w:tcPr>
            <w:tcW w:w="2799" w:type="dxa"/>
            <w:tcBorders>
              <w:top w:val="outset" w:sz="4" w:space="0" w:color="auto"/>
              <w:left w:val="single" w:sz="4" w:space="0" w:color="auto"/>
              <w:bottom w:val="outset" w:sz="4" w:space="0" w:color="auto"/>
              <w:right w:val="outset" w:sz="4" w:space="0" w:color="auto"/>
            </w:tcBorders>
          </w:tcPr>
          <w:p w14:paraId="0D9D3D26" w14:textId="77777777" w:rsidR="00577D08" w:rsidRDefault="00330FC0">
            <w:pPr>
              <w:jc w:val="right"/>
            </w:pPr>
            <w:r>
              <w:t>209,008,328.57</w:t>
            </w:r>
          </w:p>
        </w:tc>
        <w:tc>
          <w:tcPr>
            <w:tcW w:w="2768" w:type="dxa"/>
            <w:tcBorders>
              <w:top w:val="outset" w:sz="4" w:space="0" w:color="auto"/>
              <w:left w:val="outset" w:sz="4" w:space="0" w:color="auto"/>
              <w:bottom w:val="outset" w:sz="4" w:space="0" w:color="auto"/>
              <w:right w:val="outset" w:sz="4" w:space="0" w:color="auto"/>
            </w:tcBorders>
          </w:tcPr>
          <w:p w14:paraId="643F84D6" w14:textId="77777777" w:rsidR="00577D08" w:rsidRDefault="00330FC0">
            <w:pPr>
              <w:jc w:val="right"/>
              <w:rPr>
                <w:bCs/>
              </w:rPr>
            </w:pPr>
            <w:r>
              <w:t>-230,221,321.40</w:t>
            </w:r>
          </w:p>
        </w:tc>
      </w:tr>
    </w:tbl>
    <w:p w14:paraId="40D64D2F" w14:textId="77777777" w:rsidR="00577D08" w:rsidRDefault="00330FC0">
      <w:pPr>
        <w:pStyle w:val="4"/>
        <w:numPr>
          <w:ilvl w:val="0"/>
          <w:numId w:val="100"/>
        </w:numPr>
        <w:ind w:left="426" w:hanging="426"/>
        <w:rPr>
          <w:rFonts w:hint="eastAsia"/>
        </w:rPr>
      </w:pPr>
      <w:r>
        <w:rPr>
          <w:rFonts w:hint="eastAsia"/>
        </w:rPr>
        <w:t>本期</w:t>
      </w:r>
      <w:r>
        <w:rPr>
          <w:rFonts w:ascii="宋体" w:hAnsi="宋体" w:cs="宋体" w:hint="eastAsia"/>
          <w:kern w:val="0"/>
        </w:rPr>
        <w:t>支付的</w:t>
      </w:r>
      <w:r>
        <w:rPr>
          <w:rFonts w:hint="eastAsia"/>
        </w:rPr>
        <w:t>取得子公司的现金净额</w:t>
      </w:r>
    </w:p>
    <w:p w14:paraId="785BC988" w14:textId="77777777" w:rsidR="00577D08" w:rsidRDefault="00000000">
      <w:sdt>
        <w:sdtPr>
          <w:alias w:val="是否适用：本期支付的取得子公司的现金净额[双击切换]"/>
          <w:tag w:val="_GBC_e15d87c710624e119515f4697cba951d"/>
          <w:id w:val="-1033724913"/>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744F4EDA" w14:textId="77777777" w:rsidR="00577D08" w:rsidRDefault="00330FC0">
      <w:pPr>
        <w:pStyle w:val="4"/>
        <w:numPr>
          <w:ilvl w:val="0"/>
          <w:numId w:val="100"/>
        </w:numPr>
        <w:ind w:left="426" w:hanging="426"/>
        <w:rPr>
          <w:rFonts w:hint="eastAsia"/>
        </w:rPr>
      </w:pPr>
      <w:r>
        <w:rPr>
          <w:rFonts w:ascii="宋体" w:hAnsi="宋体" w:cs="宋体" w:hint="eastAsia"/>
          <w:kern w:val="0"/>
          <w:szCs w:val="24"/>
        </w:rPr>
        <w:lastRenderedPageBreak/>
        <w:t>本期收到的</w:t>
      </w:r>
      <w:r>
        <w:rPr>
          <w:rFonts w:hint="eastAsia"/>
        </w:rPr>
        <w:t>处置子公司的现金净额</w:t>
      </w:r>
    </w:p>
    <w:p w14:paraId="2191097E" w14:textId="77777777" w:rsidR="00577D08" w:rsidRDefault="00000000">
      <w:sdt>
        <w:sdtPr>
          <w:alias w:val="是否适用：本期收到的处置子公司的现金净额[双击切换]"/>
          <w:tag w:val="_GBC_34f955c7fd1f404b9df6ccd09e080d38"/>
          <w:id w:val="-1946215764"/>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5425E9D5" w14:textId="77777777" w:rsidR="00577D08" w:rsidRDefault="00330FC0">
      <w:pPr>
        <w:pStyle w:val="4"/>
        <w:numPr>
          <w:ilvl w:val="0"/>
          <w:numId w:val="100"/>
        </w:numPr>
        <w:ind w:left="426" w:hanging="426"/>
        <w:rPr>
          <w:rFonts w:hint="eastAsia"/>
          <w:szCs w:val="21"/>
        </w:rPr>
      </w:pPr>
      <w:bookmarkStart w:id="463" w:name="_Hlk152667287"/>
      <w:r>
        <w:rPr>
          <w:rFonts w:ascii="宋体" w:hAnsi="宋体" w:hint="eastAsia"/>
          <w:szCs w:val="21"/>
        </w:rPr>
        <w:t>现金和现金</w:t>
      </w:r>
      <w:r>
        <w:rPr>
          <w:rFonts w:hint="eastAsia"/>
        </w:rPr>
        <w:t>等价物</w:t>
      </w:r>
      <w:r>
        <w:rPr>
          <w:rFonts w:hint="eastAsia"/>
          <w:szCs w:val="21"/>
        </w:rPr>
        <w:t>的</w:t>
      </w:r>
      <w:r>
        <w:rPr>
          <w:rFonts w:ascii="宋体" w:eastAsia="宋体" w:hAnsi="宋体" w:cs="宋体" w:hint="eastAsia"/>
          <w:kern w:val="0"/>
          <w:szCs w:val="24"/>
        </w:rPr>
        <w:t>构成</w:t>
      </w:r>
    </w:p>
    <w:sdt>
      <w:sdtPr>
        <w:alias w:val="是否适用：现金和现金等价物的构成[双击切换]"/>
        <w:tag w:val="_GBC_e0555d7e87b94189b1eb8131088a70ab"/>
        <w:id w:val="-1286962635"/>
        <w:placeholder>
          <w:docPart w:val="GBC22222222222222222222222222222"/>
        </w:placeholder>
      </w:sdtPr>
      <w:sdtContent>
        <w:p w14:paraId="4D88800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8A43263" w14:textId="05F46E97" w:rsidR="00577D08" w:rsidRDefault="00330FC0">
      <w:pPr>
        <w:jc w:val="right"/>
        <w:rPr>
          <w:b/>
        </w:rPr>
      </w:pPr>
      <w:r>
        <w:rPr>
          <w:rFonts w:hint="eastAsia"/>
        </w:rPr>
        <w:t>单位：</w:t>
      </w:r>
      <w:sdt>
        <w:sdtPr>
          <w:rPr>
            <w:rFonts w:hint="eastAsia"/>
          </w:rPr>
          <w:alias w:val="单位：财务附注：现金和现金等价物的构成"/>
          <w:tag w:val="_GBC_1e304caf56fc443fa3c4a1d772d34293"/>
          <w:id w:val="206536675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现金和现金等价物的构成"/>
          <w:tag w:val="_GBC_d3515d75fc184b1e9585a67f7cb04faa"/>
          <w:id w:val="-1522917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3"/>
        <w:gridCol w:w="2921"/>
        <w:gridCol w:w="2734"/>
      </w:tblGrid>
      <w:tr w:rsidR="00577D08" w14:paraId="08F578A0" w14:textId="77777777">
        <w:trPr>
          <w:trHeight w:val="285"/>
        </w:trPr>
        <w:sdt>
          <w:sdtPr>
            <w:tag w:val="_PLD_7ae145dd51fc48d4a76bb239061b0a6e"/>
            <w:id w:val="1091736707"/>
          </w:sdtPr>
          <w:sdtContent>
            <w:tc>
              <w:tcPr>
                <w:tcW w:w="3393" w:type="dxa"/>
                <w:tcBorders>
                  <w:bottom w:val="single" w:sz="4" w:space="0" w:color="auto"/>
                </w:tcBorders>
                <w:vAlign w:val="center"/>
              </w:tcPr>
              <w:p w14:paraId="1E2DA907" w14:textId="77777777" w:rsidR="00577D08" w:rsidRDefault="00330FC0">
                <w:pPr>
                  <w:ind w:leftChars="-51" w:left="-107"/>
                  <w:jc w:val="center"/>
                </w:pPr>
                <w:r>
                  <w:rPr>
                    <w:rFonts w:hint="eastAsia"/>
                  </w:rPr>
                  <w:t>项目</w:t>
                </w:r>
              </w:p>
            </w:tc>
          </w:sdtContent>
        </w:sdt>
        <w:sdt>
          <w:sdtPr>
            <w:tag w:val="_PLD_426ac24378064f8ab324e59db3ac5d98"/>
            <w:id w:val="-866525442"/>
          </w:sdtPr>
          <w:sdtContent>
            <w:tc>
              <w:tcPr>
                <w:tcW w:w="2921" w:type="dxa"/>
                <w:vAlign w:val="center"/>
              </w:tcPr>
              <w:p w14:paraId="58BA39B3" w14:textId="77777777" w:rsidR="00577D08" w:rsidRDefault="00330FC0">
                <w:pPr>
                  <w:jc w:val="center"/>
                </w:pPr>
                <w:r>
                  <w:rPr>
                    <w:rFonts w:hint="eastAsia"/>
                  </w:rPr>
                  <w:t>期末余额</w:t>
                </w:r>
              </w:p>
            </w:tc>
          </w:sdtContent>
        </w:sdt>
        <w:sdt>
          <w:sdtPr>
            <w:tag w:val="_PLD_d8d41db246514c0dbfacfe0f48eeceac"/>
            <w:id w:val="490226225"/>
          </w:sdtPr>
          <w:sdtContent>
            <w:tc>
              <w:tcPr>
                <w:tcW w:w="2734" w:type="dxa"/>
                <w:vAlign w:val="center"/>
              </w:tcPr>
              <w:p w14:paraId="7B445ECA" w14:textId="77777777" w:rsidR="00577D08" w:rsidRDefault="00330FC0">
                <w:pPr>
                  <w:jc w:val="center"/>
                </w:pPr>
                <w:r>
                  <w:rPr>
                    <w:rFonts w:hint="eastAsia"/>
                  </w:rPr>
                  <w:t>期初余额</w:t>
                </w:r>
              </w:p>
            </w:tc>
          </w:sdtContent>
        </w:sdt>
      </w:tr>
      <w:tr w:rsidR="00577D08" w14:paraId="01593092" w14:textId="77777777">
        <w:trPr>
          <w:trHeight w:val="285"/>
        </w:trPr>
        <w:tc>
          <w:tcPr>
            <w:tcW w:w="3393" w:type="dxa"/>
            <w:vAlign w:val="center"/>
          </w:tcPr>
          <w:p w14:paraId="4C2154BC" w14:textId="77777777" w:rsidR="00577D08" w:rsidRDefault="00330FC0">
            <w:r>
              <w:rPr>
                <w:rFonts w:hint="eastAsia"/>
              </w:rPr>
              <w:t>一、现金</w:t>
            </w:r>
          </w:p>
        </w:tc>
        <w:tc>
          <w:tcPr>
            <w:tcW w:w="2921" w:type="dxa"/>
            <w:vAlign w:val="center"/>
          </w:tcPr>
          <w:p w14:paraId="35BC9C7F" w14:textId="77777777" w:rsidR="00577D08" w:rsidRDefault="00330FC0">
            <w:pPr>
              <w:jc w:val="right"/>
            </w:pPr>
            <w:r>
              <w:t>1,205,429,662.37</w:t>
            </w:r>
          </w:p>
        </w:tc>
        <w:tc>
          <w:tcPr>
            <w:tcW w:w="2734" w:type="dxa"/>
            <w:vAlign w:val="center"/>
          </w:tcPr>
          <w:p w14:paraId="1FCC72B4" w14:textId="77777777" w:rsidR="00577D08" w:rsidRDefault="00330FC0">
            <w:pPr>
              <w:jc w:val="right"/>
            </w:pPr>
            <w:r>
              <w:t>996,421,333.80</w:t>
            </w:r>
          </w:p>
        </w:tc>
      </w:tr>
      <w:tr w:rsidR="00577D08" w14:paraId="103BA7B9" w14:textId="77777777">
        <w:trPr>
          <w:trHeight w:val="285"/>
        </w:trPr>
        <w:tc>
          <w:tcPr>
            <w:tcW w:w="3393" w:type="dxa"/>
            <w:vAlign w:val="center"/>
          </w:tcPr>
          <w:p w14:paraId="55A907F6" w14:textId="77777777" w:rsidR="00577D08" w:rsidRDefault="00330FC0">
            <w:r>
              <w:rPr>
                <w:rFonts w:hint="eastAsia"/>
              </w:rPr>
              <w:t>其中：库存现金</w:t>
            </w:r>
          </w:p>
        </w:tc>
        <w:tc>
          <w:tcPr>
            <w:tcW w:w="2921" w:type="dxa"/>
            <w:vAlign w:val="center"/>
          </w:tcPr>
          <w:p w14:paraId="50A347AD" w14:textId="77777777" w:rsidR="00577D08" w:rsidRDefault="00330FC0">
            <w:pPr>
              <w:jc w:val="right"/>
            </w:pPr>
            <w:r>
              <w:t>57,564.84</w:t>
            </w:r>
          </w:p>
        </w:tc>
        <w:tc>
          <w:tcPr>
            <w:tcW w:w="2734" w:type="dxa"/>
            <w:vAlign w:val="center"/>
          </w:tcPr>
          <w:p w14:paraId="23019EF3" w14:textId="77777777" w:rsidR="00577D08" w:rsidRDefault="00330FC0">
            <w:pPr>
              <w:jc w:val="right"/>
            </w:pPr>
            <w:r>
              <w:t>33,414.30</w:t>
            </w:r>
          </w:p>
        </w:tc>
      </w:tr>
      <w:tr w:rsidR="00577D08" w14:paraId="31215762" w14:textId="77777777">
        <w:trPr>
          <w:trHeight w:val="285"/>
        </w:trPr>
        <w:tc>
          <w:tcPr>
            <w:tcW w:w="3393" w:type="dxa"/>
            <w:vAlign w:val="center"/>
          </w:tcPr>
          <w:p w14:paraId="5B9E16B5" w14:textId="77777777" w:rsidR="00577D08" w:rsidRDefault="00330FC0">
            <w:r>
              <w:rPr>
                <w:rFonts w:hint="eastAsia"/>
              </w:rPr>
              <w:t xml:space="preserve">　　可随时用于支付的银行存款</w:t>
            </w:r>
          </w:p>
        </w:tc>
        <w:tc>
          <w:tcPr>
            <w:tcW w:w="2921" w:type="dxa"/>
            <w:vAlign w:val="center"/>
          </w:tcPr>
          <w:p w14:paraId="5ADA07ED" w14:textId="77777777" w:rsidR="00577D08" w:rsidRDefault="00330FC0">
            <w:pPr>
              <w:jc w:val="right"/>
            </w:pPr>
            <w:r>
              <w:t>1,205,372,097.53</w:t>
            </w:r>
          </w:p>
        </w:tc>
        <w:tc>
          <w:tcPr>
            <w:tcW w:w="2734" w:type="dxa"/>
            <w:vAlign w:val="center"/>
          </w:tcPr>
          <w:p w14:paraId="796EF7B2" w14:textId="77777777" w:rsidR="00577D08" w:rsidRDefault="00330FC0">
            <w:pPr>
              <w:jc w:val="right"/>
            </w:pPr>
            <w:r>
              <w:t>996,387,425.67</w:t>
            </w:r>
          </w:p>
        </w:tc>
      </w:tr>
      <w:tr w:rsidR="00577D08" w14:paraId="3937A7F7" w14:textId="77777777">
        <w:trPr>
          <w:trHeight w:val="285"/>
        </w:trPr>
        <w:tc>
          <w:tcPr>
            <w:tcW w:w="3393" w:type="dxa"/>
            <w:vAlign w:val="center"/>
          </w:tcPr>
          <w:p w14:paraId="67221DD8" w14:textId="77777777" w:rsidR="00577D08" w:rsidRDefault="00330FC0">
            <w:r>
              <w:rPr>
                <w:rFonts w:hint="eastAsia"/>
              </w:rPr>
              <w:t xml:space="preserve">　　可随时用于支付的其他货币资金</w:t>
            </w:r>
          </w:p>
        </w:tc>
        <w:tc>
          <w:tcPr>
            <w:tcW w:w="2921" w:type="dxa"/>
            <w:vAlign w:val="center"/>
          </w:tcPr>
          <w:p w14:paraId="22DFE01B" w14:textId="77777777" w:rsidR="00577D08" w:rsidRDefault="00577D08">
            <w:pPr>
              <w:jc w:val="right"/>
            </w:pPr>
          </w:p>
        </w:tc>
        <w:tc>
          <w:tcPr>
            <w:tcW w:w="2734" w:type="dxa"/>
            <w:vAlign w:val="center"/>
          </w:tcPr>
          <w:p w14:paraId="01A53039" w14:textId="77777777" w:rsidR="00577D08" w:rsidRDefault="00330FC0">
            <w:pPr>
              <w:jc w:val="right"/>
            </w:pPr>
            <w:r>
              <w:t>493.83</w:t>
            </w:r>
          </w:p>
        </w:tc>
      </w:tr>
      <w:tr w:rsidR="00577D08" w14:paraId="452DE1DD" w14:textId="77777777">
        <w:trPr>
          <w:trHeight w:val="285"/>
        </w:trPr>
        <w:tc>
          <w:tcPr>
            <w:tcW w:w="3393" w:type="dxa"/>
            <w:vAlign w:val="center"/>
          </w:tcPr>
          <w:p w14:paraId="27337D7C" w14:textId="77777777" w:rsidR="00577D08" w:rsidRDefault="00330FC0">
            <w:r>
              <w:rPr>
                <w:rFonts w:hint="eastAsia"/>
              </w:rPr>
              <w:t>二、现金等价物</w:t>
            </w:r>
          </w:p>
        </w:tc>
        <w:tc>
          <w:tcPr>
            <w:tcW w:w="2921" w:type="dxa"/>
          </w:tcPr>
          <w:p w14:paraId="7D61B950" w14:textId="77777777" w:rsidR="00577D08" w:rsidRDefault="00577D08">
            <w:pPr>
              <w:jc w:val="right"/>
            </w:pPr>
          </w:p>
        </w:tc>
        <w:tc>
          <w:tcPr>
            <w:tcW w:w="2734" w:type="dxa"/>
          </w:tcPr>
          <w:p w14:paraId="290F25E7" w14:textId="77777777" w:rsidR="00577D08" w:rsidRDefault="00577D08">
            <w:pPr>
              <w:jc w:val="right"/>
            </w:pPr>
          </w:p>
        </w:tc>
      </w:tr>
      <w:tr w:rsidR="00577D08" w14:paraId="5AE7FD22" w14:textId="77777777">
        <w:trPr>
          <w:trHeight w:val="285"/>
        </w:trPr>
        <w:tc>
          <w:tcPr>
            <w:tcW w:w="3393" w:type="dxa"/>
            <w:tcBorders>
              <w:bottom w:val="single" w:sz="4" w:space="0" w:color="auto"/>
            </w:tcBorders>
            <w:vAlign w:val="center"/>
          </w:tcPr>
          <w:p w14:paraId="0C3EB80D" w14:textId="77777777" w:rsidR="00577D08" w:rsidRDefault="00330FC0">
            <w:r>
              <w:rPr>
                <w:rFonts w:hint="eastAsia"/>
              </w:rPr>
              <w:t>其中：三个月内到期的债券投资</w:t>
            </w:r>
          </w:p>
        </w:tc>
        <w:tc>
          <w:tcPr>
            <w:tcW w:w="2921" w:type="dxa"/>
            <w:tcBorders>
              <w:bottom w:val="single" w:sz="4" w:space="0" w:color="auto"/>
            </w:tcBorders>
          </w:tcPr>
          <w:p w14:paraId="5D277940" w14:textId="77777777" w:rsidR="00577D08" w:rsidRDefault="00577D08">
            <w:pPr>
              <w:jc w:val="right"/>
            </w:pPr>
          </w:p>
        </w:tc>
        <w:tc>
          <w:tcPr>
            <w:tcW w:w="2734" w:type="dxa"/>
            <w:tcBorders>
              <w:bottom w:val="single" w:sz="4" w:space="0" w:color="auto"/>
            </w:tcBorders>
          </w:tcPr>
          <w:p w14:paraId="4E6384BC" w14:textId="77777777" w:rsidR="00577D08" w:rsidRDefault="00577D08">
            <w:pPr>
              <w:jc w:val="right"/>
            </w:pPr>
          </w:p>
        </w:tc>
      </w:tr>
      <w:tr w:rsidR="00577D08" w14:paraId="545D4108" w14:textId="77777777">
        <w:trPr>
          <w:trHeight w:val="285"/>
        </w:trPr>
        <w:tc>
          <w:tcPr>
            <w:tcW w:w="3393" w:type="dxa"/>
            <w:vAlign w:val="center"/>
          </w:tcPr>
          <w:p w14:paraId="10E6DD38" w14:textId="77777777" w:rsidR="00577D08" w:rsidRDefault="00330FC0">
            <w:r>
              <w:rPr>
                <w:rFonts w:hint="eastAsia"/>
              </w:rPr>
              <w:t>三、期末现金及现金等价物余额</w:t>
            </w:r>
          </w:p>
        </w:tc>
        <w:tc>
          <w:tcPr>
            <w:tcW w:w="2921" w:type="dxa"/>
          </w:tcPr>
          <w:p w14:paraId="03C154FC" w14:textId="77777777" w:rsidR="00577D08" w:rsidRDefault="00330FC0">
            <w:pPr>
              <w:jc w:val="right"/>
            </w:pPr>
            <w:r>
              <w:t>1,205,429,662.37</w:t>
            </w:r>
          </w:p>
        </w:tc>
        <w:tc>
          <w:tcPr>
            <w:tcW w:w="2734" w:type="dxa"/>
          </w:tcPr>
          <w:p w14:paraId="2AE5FE65" w14:textId="77777777" w:rsidR="00577D08" w:rsidRDefault="00330FC0">
            <w:pPr>
              <w:jc w:val="right"/>
            </w:pPr>
            <w:r>
              <w:t>996,421,333.80</w:t>
            </w:r>
          </w:p>
        </w:tc>
      </w:tr>
      <w:tr w:rsidR="00577D08" w14:paraId="56AB8459" w14:textId="77777777">
        <w:trPr>
          <w:trHeight w:val="285"/>
        </w:trPr>
        <w:tc>
          <w:tcPr>
            <w:tcW w:w="3393" w:type="dxa"/>
            <w:vAlign w:val="center"/>
          </w:tcPr>
          <w:p w14:paraId="1894AFAB" w14:textId="77777777" w:rsidR="00577D08" w:rsidRDefault="00330FC0">
            <w:r>
              <w:rPr>
                <w:rFonts w:hint="eastAsia"/>
              </w:rPr>
              <w:t>其中：母公司或集团内子公司使用受限制的现金和现金等价物</w:t>
            </w:r>
          </w:p>
        </w:tc>
        <w:tc>
          <w:tcPr>
            <w:tcW w:w="2921" w:type="dxa"/>
            <w:vAlign w:val="center"/>
          </w:tcPr>
          <w:p w14:paraId="1B23EBD8" w14:textId="77777777" w:rsidR="00577D08" w:rsidRDefault="00577D08">
            <w:pPr>
              <w:jc w:val="right"/>
            </w:pPr>
          </w:p>
        </w:tc>
        <w:tc>
          <w:tcPr>
            <w:tcW w:w="2734" w:type="dxa"/>
            <w:vAlign w:val="center"/>
          </w:tcPr>
          <w:p w14:paraId="4C1B8433" w14:textId="77777777" w:rsidR="00577D08" w:rsidRDefault="00577D08">
            <w:pPr>
              <w:jc w:val="right"/>
            </w:pPr>
          </w:p>
        </w:tc>
      </w:tr>
    </w:tbl>
    <w:p w14:paraId="0D0132C9" w14:textId="77777777" w:rsidR="00577D08" w:rsidRDefault="00330FC0">
      <w:pPr>
        <w:pStyle w:val="4"/>
        <w:numPr>
          <w:ilvl w:val="0"/>
          <w:numId w:val="100"/>
        </w:numPr>
        <w:ind w:left="426" w:hanging="426"/>
        <w:rPr>
          <w:rFonts w:hint="eastAsia"/>
        </w:rPr>
      </w:pPr>
      <w:r>
        <w:rPr>
          <w:rFonts w:hint="eastAsia"/>
        </w:rPr>
        <w:t>使用范围受限但仍作为现金和现金等价物列示的情况</w:t>
      </w:r>
    </w:p>
    <w:sdt>
      <w:sdtPr>
        <w:alias w:val="是否适用：使用范围受限但仍作为现金和现金等价物列示的情况[双击切换]"/>
        <w:tag w:val="_GBC_3f4f3ab69b8d40ad90e4e461178c0e10"/>
        <w:id w:val="-1372920525"/>
        <w:placeholder>
          <w:docPart w:val="GBC22222222222222222222222222222"/>
        </w:placeholder>
      </w:sdtPr>
      <w:sdtContent>
        <w:p w14:paraId="0206047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E5181A" w14:textId="77777777" w:rsidR="00577D08" w:rsidRDefault="00330FC0">
      <w:pPr>
        <w:pStyle w:val="4"/>
        <w:numPr>
          <w:ilvl w:val="0"/>
          <w:numId w:val="100"/>
        </w:numPr>
        <w:ind w:left="426" w:hanging="426"/>
        <w:rPr>
          <w:rFonts w:hint="eastAsia"/>
        </w:rPr>
      </w:pPr>
      <w:r>
        <w:rPr>
          <w:rFonts w:hint="eastAsia"/>
        </w:rPr>
        <w:t>不属于现金及现金等价物的货币资金</w:t>
      </w:r>
    </w:p>
    <w:sdt>
      <w:sdtPr>
        <w:alias w:val="是否适用：不属于现金及现金等价物的货币资金[双击切换]"/>
        <w:tag w:val="_GBC_a99c932c933e4271bbb13783f71a0a6a"/>
        <w:id w:val="-2019681358"/>
        <w:placeholder>
          <w:docPart w:val="GBC22222222222222222222222222222"/>
        </w:placeholder>
      </w:sdtPr>
      <w:sdtContent>
        <w:p w14:paraId="5EDA6800"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BD4AE93" w14:textId="65BE8C8E" w:rsidR="00577D08" w:rsidRDefault="00330FC0">
      <w:pPr>
        <w:jc w:val="right"/>
        <w:rPr>
          <w:b/>
        </w:rPr>
      </w:pPr>
      <w:r>
        <w:rPr>
          <w:rFonts w:hint="eastAsia"/>
        </w:rPr>
        <w:t>单位：</w:t>
      </w:r>
      <w:sdt>
        <w:sdtPr>
          <w:rPr>
            <w:rFonts w:hint="eastAsia"/>
          </w:rPr>
          <w:alias w:val="单位：不属于现金及现金等价物的货币资金"/>
          <w:tag w:val="_GBC_311192fb7d0840a69edd7ce6fa2157eb"/>
          <w:id w:val="-79883817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不属于现金及现金等价物的货币资金"/>
          <w:tag w:val="_GBC_cde2361bbc3b437fb26c333fda8ecd42"/>
          <w:id w:val="12655831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2068"/>
        <w:gridCol w:w="2068"/>
        <w:gridCol w:w="2843"/>
      </w:tblGrid>
      <w:tr w:rsidR="00577D08" w14:paraId="531A1B24" w14:textId="77777777">
        <w:trPr>
          <w:trHeight w:val="196"/>
        </w:trPr>
        <w:sdt>
          <w:sdtPr>
            <w:tag w:val="_PLD_d9c8cb09365d46d38034e5ade953a094"/>
            <w:id w:val="786706293"/>
          </w:sdtPr>
          <w:sdtContent>
            <w:tc>
              <w:tcPr>
                <w:tcW w:w="2068" w:type="dxa"/>
                <w:tcBorders>
                  <w:bottom w:val="single" w:sz="4" w:space="0" w:color="auto"/>
                </w:tcBorders>
                <w:vAlign w:val="center"/>
              </w:tcPr>
              <w:p w14:paraId="293A30CB" w14:textId="77777777" w:rsidR="00577D08" w:rsidRDefault="00330FC0">
                <w:pPr>
                  <w:ind w:leftChars="-51" w:left="-107"/>
                  <w:jc w:val="center"/>
                </w:pPr>
                <w:r>
                  <w:rPr>
                    <w:rFonts w:hint="eastAsia"/>
                  </w:rPr>
                  <w:t>项目</w:t>
                </w:r>
              </w:p>
            </w:tc>
          </w:sdtContent>
        </w:sdt>
        <w:sdt>
          <w:sdtPr>
            <w:tag w:val="_PLD_2af4f290fe0b417d80b3b05f3fc1523f"/>
            <w:id w:val="-370841092"/>
          </w:sdtPr>
          <w:sdtContent>
            <w:tc>
              <w:tcPr>
                <w:tcW w:w="2068" w:type="dxa"/>
                <w:vAlign w:val="center"/>
              </w:tcPr>
              <w:p w14:paraId="386EAB19" w14:textId="77777777" w:rsidR="00577D08" w:rsidRDefault="00330FC0">
                <w:pPr>
                  <w:jc w:val="center"/>
                </w:pPr>
                <w:r>
                  <w:rPr>
                    <w:rFonts w:hint="eastAsia"/>
                  </w:rPr>
                  <w:t>期末余额</w:t>
                </w:r>
              </w:p>
            </w:tc>
          </w:sdtContent>
        </w:sdt>
        <w:sdt>
          <w:sdtPr>
            <w:tag w:val="_PLD_c91b65edf38b4465a14c3beb5897a106"/>
            <w:id w:val="811131147"/>
          </w:sdtPr>
          <w:sdtContent>
            <w:tc>
              <w:tcPr>
                <w:tcW w:w="2068" w:type="dxa"/>
                <w:vAlign w:val="center"/>
              </w:tcPr>
              <w:p w14:paraId="08A69F46" w14:textId="77777777" w:rsidR="00577D08" w:rsidRDefault="00330FC0">
                <w:pPr>
                  <w:jc w:val="center"/>
                </w:pPr>
                <w:r>
                  <w:rPr>
                    <w:rFonts w:hint="eastAsia"/>
                  </w:rPr>
                  <w:t>期初余额</w:t>
                </w:r>
              </w:p>
            </w:tc>
          </w:sdtContent>
        </w:sdt>
        <w:sdt>
          <w:sdtPr>
            <w:tag w:val="_PLD_69b726c74b0048fda47c0fa56f9e1a5e"/>
            <w:id w:val="-778336235"/>
          </w:sdtPr>
          <w:sdtContent>
            <w:tc>
              <w:tcPr>
                <w:tcW w:w="2843" w:type="dxa"/>
                <w:vAlign w:val="center"/>
              </w:tcPr>
              <w:p w14:paraId="7B38F4F3" w14:textId="77777777" w:rsidR="00577D08" w:rsidRDefault="00330FC0">
                <w:pPr>
                  <w:jc w:val="center"/>
                </w:pPr>
                <w:r>
                  <w:rPr>
                    <w:rFonts w:hint="eastAsia"/>
                  </w:rPr>
                  <w:t>理由</w:t>
                </w:r>
              </w:p>
            </w:tc>
          </w:sdtContent>
        </w:sdt>
      </w:tr>
      <w:tr w:rsidR="00577D08" w14:paraId="4D39DC10" w14:textId="77777777">
        <w:trPr>
          <w:trHeight w:val="121"/>
        </w:trPr>
        <w:tc>
          <w:tcPr>
            <w:tcW w:w="2068" w:type="dxa"/>
          </w:tcPr>
          <w:p w14:paraId="2B902080" w14:textId="77777777" w:rsidR="00577D08" w:rsidRDefault="00330FC0">
            <w:r>
              <w:rPr>
                <w:rFonts w:hint="eastAsia"/>
              </w:rPr>
              <w:t>货币资金</w:t>
            </w:r>
          </w:p>
        </w:tc>
        <w:tc>
          <w:tcPr>
            <w:tcW w:w="2068" w:type="dxa"/>
          </w:tcPr>
          <w:p w14:paraId="533BA1F8" w14:textId="77777777" w:rsidR="00577D08" w:rsidRDefault="00330FC0">
            <w:pPr>
              <w:jc w:val="right"/>
            </w:pPr>
            <w:r>
              <w:rPr>
                <w:rFonts w:hint="eastAsia"/>
              </w:rPr>
              <w:t>141,381,785.26</w:t>
            </w:r>
          </w:p>
        </w:tc>
        <w:tc>
          <w:tcPr>
            <w:tcW w:w="2068" w:type="dxa"/>
          </w:tcPr>
          <w:p w14:paraId="31C18E45" w14:textId="77777777" w:rsidR="00577D08" w:rsidRDefault="00330FC0">
            <w:pPr>
              <w:jc w:val="right"/>
            </w:pPr>
            <w:r>
              <w:rPr>
                <w:rFonts w:hint="eastAsia"/>
              </w:rPr>
              <w:t>126,542,379.63</w:t>
            </w:r>
          </w:p>
        </w:tc>
        <w:tc>
          <w:tcPr>
            <w:tcW w:w="2843" w:type="dxa"/>
          </w:tcPr>
          <w:p w14:paraId="697BCB79" w14:textId="77777777" w:rsidR="00577D08" w:rsidRDefault="00330FC0">
            <w:r>
              <w:rPr>
                <w:rFonts w:hint="eastAsia"/>
              </w:rPr>
              <w:t>银行承兑汇票保证金</w:t>
            </w:r>
          </w:p>
        </w:tc>
      </w:tr>
      <w:tr w:rsidR="00577D08" w14:paraId="14FFBE54" w14:textId="77777777">
        <w:trPr>
          <w:trHeight w:val="121"/>
        </w:trPr>
        <w:tc>
          <w:tcPr>
            <w:tcW w:w="2068" w:type="dxa"/>
          </w:tcPr>
          <w:p w14:paraId="3FBC3C5C" w14:textId="77777777" w:rsidR="00577D08" w:rsidRDefault="00330FC0">
            <w:r>
              <w:rPr>
                <w:rFonts w:hint="eastAsia"/>
              </w:rPr>
              <w:t>货币资金</w:t>
            </w:r>
          </w:p>
        </w:tc>
        <w:tc>
          <w:tcPr>
            <w:tcW w:w="2068" w:type="dxa"/>
          </w:tcPr>
          <w:p w14:paraId="33647A80" w14:textId="77777777" w:rsidR="00577D08" w:rsidRDefault="00330FC0">
            <w:pPr>
              <w:jc w:val="right"/>
            </w:pPr>
            <w:r>
              <w:rPr>
                <w:rFonts w:hint="eastAsia"/>
              </w:rPr>
              <w:t>34,473,358.69</w:t>
            </w:r>
          </w:p>
        </w:tc>
        <w:tc>
          <w:tcPr>
            <w:tcW w:w="2068" w:type="dxa"/>
          </w:tcPr>
          <w:p w14:paraId="30BC5B9D" w14:textId="77777777" w:rsidR="00577D08" w:rsidRDefault="00330FC0">
            <w:pPr>
              <w:jc w:val="right"/>
            </w:pPr>
            <w:r>
              <w:rPr>
                <w:rFonts w:hint="eastAsia"/>
              </w:rPr>
              <w:t>28,392,916.28</w:t>
            </w:r>
          </w:p>
        </w:tc>
        <w:tc>
          <w:tcPr>
            <w:tcW w:w="2843" w:type="dxa"/>
          </w:tcPr>
          <w:p w14:paraId="45136B14" w14:textId="77777777" w:rsidR="00577D08" w:rsidRDefault="00330FC0">
            <w:r>
              <w:rPr>
                <w:rFonts w:hint="eastAsia"/>
              </w:rPr>
              <w:t>保函保证金</w:t>
            </w:r>
          </w:p>
        </w:tc>
      </w:tr>
      <w:tr w:rsidR="00577D08" w14:paraId="0FCEEB3D" w14:textId="77777777">
        <w:trPr>
          <w:trHeight w:val="121"/>
        </w:trPr>
        <w:tc>
          <w:tcPr>
            <w:tcW w:w="2068" w:type="dxa"/>
          </w:tcPr>
          <w:p w14:paraId="32354ABF" w14:textId="77777777" w:rsidR="00577D08" w:rsidRDefault="00330FC0">
            <w:r>
              <w:rPr>
                <w:rFonts w:hint="eastAsia"/>
              </w:rPr>
              <w:t>货币资金</w:t>
            </w:r>
          </w:p>
        </w:tc>
        <w:tc>
          <w:tcPr>
            <w:tcW w:w="2068" w:type="dxa"/>
          </w:tcPr>
          <w:p w14:paraId="41815E00" w14:textId="77777777" w:rsidR="00577D08" w:rsidRDefault="00330FC0">
            <w:pPr>
              <w:jc w:val="right"/>
            </w:pPr>
            <w:r>
              <w:rPr>
                <w:rFonts w:hint="eastAsia"/>
              </w:rPr>
              <w:t>3,919,864.95</w:t>
            </w:r>
          </w:p>
        </w:tc>
        <w:tc>
          <w:tcPr>
            <w:tcW w:w="2068" w:type="dxa"/>
          </w:tcPr>
          <w:p w14:paraId="1AFFECF6" w14:textId="77777777" w:rsidR="00577D08" w:rsidRDefault="00330FC0">
            <w:pPr>
              <w:jc w:val="right"/>
            </w:pPr>
            <w:r>
              <w:rPr>
                <w:rFonts w:hint="eastAsia"/>
              </w:rPr>
              <w:t>3,917,422.72</w:t>
            </w:r>
          </w:p>
        </w:tc>
        <w:tc>
          <w:tcPr>
            <w:tcW w:w="2843" w:type="dxa"/>
          </w:tcPr>
          <w:p w14:paraId="67324D5E" w14:textId="77777777" w:rsidR="00577D08" w:rsidRDefault="00330FC0">
            <w:r>
              <w:rPr>
                <w:rFonts w:hint="eastAsia"/>
              </w:rPr>
              <w:t>代管住房公积金</w:t>
            </w:r>
          </w:p>
        </w:tc>
      </w:tr>
      <w:tr w:rsidR="00577D08" w14:paraId="07F54A6D" w14:textId="77777777">
        <w:trPr>
          <w:trHeight w:val="125"/>
        </w:trPr>
        <w:tc>
          <w:tcPr>
            <w:tcW w:w="2068" w:type="dxa"/>
            <w:vAlign w:val="center"/>
          </w:tcPr>
          <w:p w14:paraId="10233FB5" w14:textId="77777777" w:rsidR="00577D08" w:rsidRDefault="00330FC0">
            <w:pPr>
              <w:jc w:val="center"/>
            </w:pPr>
            <w:r>
              <w:t>合计</w:t>
            </w:r>
          </w:p>
        </w:tc>
        <w:tc>
          <w:tcPr>
            <w:tcW w:w="2068" w:type="dxa"/>
          </w:tcPr>
          <w:p w14:paraId="334FAD3D" w14:textId="77777777" w:rsidR="00577D08" w:rsidRDefault="00330FC0">
            <w:pPr>
              <w:jc w:val="right"/>
            </w:pPr>
            <w:r>
              <w:t>179,775,008.90</w:t>
            </w:r>
          </w:p>
        </w:tc>
        <w:tc>
          <w:tcPr>
            <w:tcW w:w="2068" w:type="dxa"/>
          </w:tcPr>
          <w:p w14:paraId="12B5D6A1" w14:textId="77777777" w:rsidR="00577D08" w:rsidRDefault="00330FC0">
            <w:pPr>
              <w:jc w:val="right"/>
            </w:pPr>
            <w:r>
              <w:t>158,852,718.63</w:t>
            </w:r>
          </w:p>
        </w:tc>
        <w:tc>
          <w:tcPr>
            <w:tcW w:w="2843" w:type="dxa"/>
          </w:tcPr>
          <w:p w14:paraId="64F78D51" w14:textId="77777777" w:rsidR="00577D08" w:rsidRDefault="00330FC0">
            <w:pPr>
              <w:jc w:val="center"/>
            </w:pPr>
            <w:r>
              <w:t>/</w:t>
            </w:r>
          </w:p>
        </w:tc>
      </w:tr>
    </w:tbl>
    <w:p w14:paraId="6834DD96" w14:textId="77777777" w:rsidR="00577D08" w:rsidRDefault="00330FC0">
      <w:pPr>
        <w:spacing w:before="60" w:after="60"/>
      </w:pPr>
      <w:r>
        <w:rPr>
          <w:rFonts w:hint="eastAsia"/>
        </w:rPr>
        <w:t>其他说明：</w:t>
      </w:r>
    </w:p>
    <w:sdt>
      <w:sdtPr>
        <w:alias w:val="是否适用：现金流量表补充资料的说明[双击切换]"/>
        <w:tag w:val="_GBC_73894bf4981b4beaae2551b205a2e7cc"/>
        <w:id w:val="-330214418"/>
        <w:placeholder>
          <w:docPart w:val="GBC22222222222222222222222222222"/>
        </w:placeholder>
      </w:sdtPr>
      <w:sdtContent>
        <w:p w14:paraId="4F25A0DA" w14:textId="77777777" w:rsidR="00577D08" w:rsidRDefault="00330FC0">
          <w:pPr>
            <w:spacing w:before="60" w:after="60"/>
            <w:rPr>
              <w:szCs w:val="22"/>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63"/>
    <w:p w14:paraId="7198B178"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所有者权益变动表项目注释</w:t>
      </w:r>
    </w:p>
    <w:p w14:paraId="09DD467A" w14:textId="77777777" w:rsidR="00577D08" w:rsidRDefault="00330FC0">
      <w:r>
        <w:rPr>
          <w:rFonts w:hint="eastAsia"/>
        </w:rPr>
        <w:t>说明对上年期末余额进行调整的“其他”项目名称及调整金额等事项：</w:t>
      </w:r>
    </w:p>
    <w:sdt>
      <w:sdtPr>
        <w:alias w:val="是否适用：所有者权益变动表项目注释[双击切换]"/>
        <w:tag w:val="_GBC_fca039532a374a3e9daa81c75d491b1f"/>
        <w:id w:val="1637832662"/>
        <w:placeholder>
          <w:docPart w:val="GBC22222222222222222222222222222"/>
        </w:placeholder>
      </w:sdtPr>
      <w:sdtContent>
        <w:p w14:paraId="08E56FC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4FE7E6F" w14:textId="77777777" w:rsidR="00577D08" w:rsidRDefault="00330FC0">
      <w:pPr>
        <w:pStyle w:val="3"/>
        <w:numPr>
          <w:ilvl w:val="0"/>
          <w:numId w:val="61"/>
        </w:numPr>
        <w:tabs>
          <w:tab w:val="left" w:pos="504"/>
        </w:tabs>
        <w:rPr>
          <w:rFonts w:ascii="宋体" w:hAnsi="宋体" w:hint="eastAsia"/>
          <w:szCs w:val="21"/>
        </w:rPr>
      </w:pPr>
      <w:r>
        <w:rPr>
          <w:rFonts w:ascii="宋体" w:hAnsi="宋体" w:hint="eastAsia"/>
          <w:szCs w:val="21"/>
        </w:rPr>
        <w:t>外币货币性项目</w:t>
      </w:r>
    </w:p>
    <w:p w14:paraId="1245514D" w14:textId="77777777" w:rsidR="00577D08" w:rsidRDefault="00330FC0">
      <w:pPr>
        <w:pStyle w:val="4"/>
        <w:numPr>
          <w:ilvl w:val="0"/>
          <w:numId w:val="101"/>
        </w:numPr>
        <w:ind w:left="426" w:hanging="426"/>
        <w:rPr>
          <w:rFonts w:ascii="宋体" w:hAnsi="宋体" w:hint="eastAsia"/>
          <w:b w:val="0"/>
          <w:szCs w:val="21"/>
        </w:rPr>
      </w:pPr>
      <w:r>
        <w:rPr>
          <w:rStyle w:val="40"/>
          <w:rFonts w:ascii="宋体" w:hAnsi="宋体" w:hint="eastAsia"/>
          <w:b/>
          <w:szCs w:val="21"/>
        </w:rPr>
        <w:t>外币货币性项目</w:t>
      </w:r>
    </w:p>
    <w:sdt>
      <w:sdtPr>
        <w:alias w:val="是否适用：外币货币性项目[双击切换]"/>
        <w:tag w:val="_GBC_6b0f646811a94c228ba6be3453047191"/>
        <w:id w:val="1757561802"/>
        <w:placeholder>
          <w:docPart w:val="GBC22222222222222222222222222222"/>
        </w:placeholder>
      </w:sdtPr>
      <w:sdtContent>
        <w:p w14:paraId="084CBCC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2F40FC5" w14:textId="77777777" w:rsidR="00577D08" w:rsidRDefault="00330FC0">
      <w:pPr>
        <w:pStyle w:val="aff9"/>
        <w:ind w:firstLineChars="0" w:firstLine="0"/>
        <w:jc w:val="right"/>
        <w:rPr>
          <w:rFonts w:ascii="宋体" w:hAnsi="宋体" w:hint="eastAsia"/>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4990436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2048"/>
        <w:gridCol w:w="2057"/>
        <w:gridCol w:w="2045"/>
      </w:tblGrid>
      <w:tr w:rsidR="00577D08" w14:paraId="0E1EBC25" w14:textId="77777777">
        <w:sdt>
          <w:sdtPr>
            <w:tag w:val="_PLD_a5c3516dfa974dea983fcf6d3a5e4272"/>
            <w:id w:val="1403254884"/>
          </w:sdtPr>
          <w:sdtContent>
            <w:tc>
              <w:tcPr>
                <w:tcW w:w="2897" w:type="dxa"/>
                <w:tcBorders>
                  <w:top w:val="single" w:sz="4" w:space="0" w:color="auto"/>
                  <w:left w:val="single" w:sz="4" w:space="0" w:color="auto"/>
                  <w:bottom w:val="single" w:sz="4" w:space="0" w:color="auto"/>
                  <w:right w:val="single" w:sz="4" w:space="0" w:color="auto"/>
                </w:tcBorders>
                <w:vAlign w:val="center"/>
              </w:tcPr>
              <w:p w14:paraId="680D9F61" w14:textId="77777777" w:rsidR="00577D08" w:rsidRDefault="00330FC0">
                <w:pPr>
                  <w:jc w:val="center"/>
                </w:pPr>
                <w:r>
                  <w:rPr>
                    <w:rFonts w:hint="eastAsia"/>
                  </w:rPr>
                  <w:t>项目</w:t>
                </w:r>
              </w:p>
            </w:tc>
          </w:sdtContent>
        </w:sdt>
        <w:sdt>
          <w:sdtPr>
            <w:tag w:val="_PLD_c677b8fd217342e7b28e98a1c8e497e9"/>
            <w:id w:val="2068919572"/>
          </w:sdtPr>
          <w:sdtContent>
            <w:tc>
              <w:tcPr>
                <w:tcW w:w="2048" w:type="dxa"/>
                <w:tcBorders>
                  <w:top w:val="single" w:sz="4" w:space="0" w:color="auto"/>
                  <w:left w:val="single" w:sz="4" w:space="0" w:color="auto"/>
                  <w:bottom w:val="single" w:sz="4" w:space="0" w:color="auto"/>
                  <w:right w:val="single" w:sz="4" w:space="0" w:color="auto"/>
                </w:tcBorders>
                <w:vAlign w:val="center"/>
              </w:tcPr>
              <w:p w14:paraId="6DA82986" w14:textId="77777777" w:rsidR="00577D08" w:rsidRDefault="00330FC0">
                <w:pPr>
                  <w:jc w:val="center"/>
                </w:pPr>
                <w:r>
                  <w:rPr>
                    <w:rFonts w:hint="eastAsia"/>
                  </w:rPr>
                  <w:t>期末外币余额</w:t>
                </w:r>
              </w:p>
            </w:tc>
          </w:sdtContent>
        </w:sdt>
        <w:sdt>
          <w:sdtPr>
            <w:tag w:val="_PLD_e0e88022a2754ae991eb4bb1a9caae4f"/>
            <w:id w:val="-1736003255"/>
          </w:sdtPr>
          <w:sdtContent>
            <w:tc>
              <w:tcPr>
                <w:tcW w:w="2057" w:type="dxa"/>
                <w:tcBorders>
                  <w:top w:val="single" w:sz="4" w:space="0" w:color="auto"/>
                  <w:left w:val="single" w:sz="4" w:space="0" w:color="auto"/>
                  <w:bottom w:val="single" w:sz="4" w:space="0" w:color="auto"/>
                  <w:right w:val="single" w:sz="4" w:space="0" w:color="auto"/>
                </w:tcBorders>
                <w:vAlign w:val="center"/>
              </w:tcPr>
              <w:p w14:paraId="674DEFFD" w14:textId="77777777" w:rsidR="00577D08" w:rsidRDefault="00330FC0">
                <w:pPr>
                  <w:jc w:val="center"/>
                </w:pPr>
                <w:r>
                  <w:rPr>
                    <w:rFonts w:hint="eastAsia"/>
                  </w:rPr>
                  <w:t>折算汇率</w:t>
                </w:r>
              </w:p>
            </w:tc>
          </w:sdtContent>
        </w:sdt>
        <w:sdt>
          <w:sdtPr>
            <w:tag w:val="_PLD_a1542d7b69a444ef9e91ceaf4a96f49d"/>
            <w:id w:val="-1852945052"/>
          </w:sdtPr>
          <w:sdtContent>
            <w:tc>
              <w:tcPr>
                <w:tcW w:w="2045" w:type="dxa"/>
                <w:tcBorders>
                  <w:top w:val="single" w:sz="4" w:space="0" w:color="auto"/>
                  <w:left w:val="single" w:sz="4" w:space="0" w:color="auto"/>
                  <w:bottom w:val="single" w:sz="4" w:space="0" w:color="auto"/>
                  <w:right w:val="single" w:sz="4" w:space="0" w:color="auto"/>
                </w:tcBorders>
                <w:vAlign w:val="center"/>
              </w:tcPr>
              <w:p w14:paraId="33FCB5EC" w14:textId="77777777" w:rsidR="00577D08" w:rsidRDefault="00330FC0">
                <w:pPr>
                  <w:jc w:val="center"/>
                </w:pPr>
                <w:r>
                  <w:rPr>
                    <w:rFonts w:hint="eastAsia"/>
                  </w:rPr>
                  <w:t>期末折算人民币</w:t>
                </w:r>
              </w:p>
              <w:p w14:paraId="00DBDFA0" w14:textId="77777777" w:rsidR="00577D08" w:rsidRDefault="00330FC0">
                <w:pPr>
                  <w:jc w:val="center"/>
                </w:pPr>
                <w:r>
                  <w:rPr>
                    <w:rFonts w:hint="eastAsia"/>
                  </w:rPr>
                  <w:t>余额</w:t>
                </w:r>
              </w:p>
            </w:tc>
          </w:sdtContent>
        </w:sdt>
      </w:tr>
      <w:tr w:rsidR="00577D08" w14:paraId="1B0C173D" w14:textId="77777777">
        <w:tc>
          <w:tcPr>
            <w:tcW w:w="2897" w:type="dxa"/>
            <w:tcBorders>
              <w:top w:val="single" w:sz="4" w:space="0" w:color="auto"/>
              <w:left w:val="single" w:sz="4" w:space="0" w:color="auto"/>
              <w:bottom w:val="single" w:sz="4" w:space="0" w:color="auto"/>
              <w:right w:val="single" w:sz="4" w:space="0" w:color="auto"/>
            </w:tcBorders>
            <w:vAlign w:val="center"/>
          </w:tcPr>
          <w:p w14:paraId="4C2481B4" w14:textId="77777777" w:rsidR="00577D08" w:rsidRDefault="00330FC0">
            <w:r>
              <w:t>货币资金</w:t>
            </w:r>
          </w:p>
        </w:tc>
        <w:tc>
          <w:tcPr>
            <w:tcW w:w="2048" w:type="dxa"/>
            <w:tcBorders>
              <w:top w:val="single" w:sz="4" w:space="0" w:color="auto"/>
              <w:left w:val="single" w:sz="4" w:space="0" w:color="auto"/>
              <w:bottom w:val="single" w:sz="4" w:space="0" w:color="auto"/>
              <w:right w:val="single" w:sz="4" w:space="0" w:color="auto"/>
            </w:tcBorders>
            <w:vAlign w:val="center"/>
          </w:tcPr>
          <w:p w14:paraId="2F90A674" w14:textId="77777777" w:rsidR="00577D08" w:rsidRDefault="00330FC0">
            <w:pPr>
              <w:jc w:val="right"/>
            </w:pPr>
            <w:r>
              <w:rPr>
                <w:rFonts w:hint="eastAsia"/>
              </w:rPr>
              <w:t>-</w:t>
            </w:r>
          </w:p>
        </w:tc>
        <w:tc>
          <w:tcPr>
            <w:tcW w:w="2057" w:type="dxa"/>
            <w:tcBorders>
              <w:top w:val="single" w:sz="4" w:space="0" w:color="auto"/>
              <w:left w:val="single" w:sz="4" w:space="0" w:color="auto"/>
              <w:bottom w:val="single" w:sz="4" w:space="0" w:color="auto"/>
              <w:right w:val="single" w:sz="4" w:space="0" w:color="auto"/>
            </w:tcBorders>
            <w:vAlign w:val="center"/>
          </w:tcPr>
          <w:p w14:paraId="5B4E7A05" w14:textId="77777777" w:rsidR="00577D08" w:rsidRDefault="00330FC0">
            <w:pPr>
              <w:jc w:val="right"/>
            </w:pPr>
            <w:r>
              <w:rPr>
                <w:rFonts w:hint="eastAsia"/>
              </w:rPr>
              <w:t>-</w:t>
            </w:r>
          </w:p>
        </w:tc>
        <w:tc>
          <w:tcPr>
            <w:tcW w:w="2045" w:type="dxa"/>
            <w:tcBorders>
              <w:top w:val="single" w:sz="4" w:space="0" w:color="auto"/>
              <w:left w:val="single" w:sz="4" w:space="0" w:color="auto"/>
              <w:bottom w:val="single" w:sz="4" w:space="0" w:color="auto"/>
              <w:right w:val="single" w:sz="4" w:space="0" w:color="auto"/>
            </w:tcBorders>
            <w:vAlign w:val="center"/>
          </w:tcPr>
          <w:p w14:paraId="6CABEF66" w14:textId="77777777" w:rsidR="00577D08" w:rsidRDefault="00577D08">
            <w:pPr>
              <w:jc w:val="right"/>
            </w:pPr>
          </w:p>
        </w:tc>
      </w:tr>
      <w:tr w:rsidR="00577D08" w14:paraId="506B1360" w14:textId="77777777">
        <w:tc>
          <w:tcPr>
            <w:tcW w:w="2897" w:type="dxa"/>
            <w:tcBorders>
              <w:top w:val="single" w:sz="4" w:space="0" w:color="auto"/>
              <w:left w:val="single" w:sz="4" w:space="0" w:color="auto"/>
              <w:bottom w:val="single" w:sz="4" w:space="0" w:color="auto"/>
              <w:right w:val="single" w:sz="4" w:space="0" w:color="auto"/>
            </w:tcBorders>
            <w:vAlign w:val="center"/>
          </w:tcPr>
          <w:p w14:paraId="39E44A50" w14:textId="77777777" w:rsidR="00577D08" w:rsidRDefault="00330FC0">
            <w:r>
              <w:rPr>
                <w:rFonts w:hint="eastAsia"/>
              </w:rPr>
              <w:t>其中：</w:t>
            </w:r>
            <w:sdt>
              <w:sdtPr>
                <w:alias w:val="以外币核算的币种明细-币种名称"/>
                <w:tag w:val="_GBC_b9ad493c07994625bf872e807197c998"/>
                <w:id w:val="112265744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美元</w:t>
                </w:r>
              </w:sdtContent>
            </w:sdt>
          </w:p>
        </w:tc>
        <w:tc>
          <w:tcPr>
            <w:tcW w:w="2048" w:type="dxa"/>
            <w:tcBorders>
              <w:top w:val="single" w:sz="4" w:space="0" w:color="auto"/>
              <w:left w:val="single" w:sz="4" w:space="0" w:color="auto"/>
              <w:bottom w:val="single" w:sz="4" w:space="0" w:color="auto"/>
              <w:right w:val="single" w:sz="4" w:space="0" w:color="auto"/>
            </w:tcBorders>
          </w:tcPr>
          <w:p w14:paraId="0603C006" w14:textId="77777777" w:rsidR="00577D08" w:rsidRDefault="00330FC0">
            <w:pPr>
              <w:jc w:val="right"/>
            </w:pPr>
            <w:r>
              <w:t>7,864,269.70</w:t>
            </w:r>
          </w:p>
        </w:tc>
        <w:tc>
          <w:tcPr>
            <w:tcW w:w="2057" w:type="dxa"/>
            <w:tcBorders>
              <w:top w:val="single" w:sz="4" w:space="0" w:color="auto"/>
              <w:left w:val="single" w:sz="4" w:space="0" w:color="auto"/>
              <w:bottom w:val="single" w:sz="4" w:space="0" w:color="auto"/>
              <w:right w:val="single" w:sz="4" w:space="0" w:color="auto"/>
            </w:tcBorders>
          </w:tcPr>
          <w:p w14:paraId="58EA5B4D" w14:textId="77777777" w:rsidR="00577D08" w:rsidRDefault="00330FC0">
            <w:pPr>
              <w:jc w:val="right"/>
            </w:pPr>
            <w:r>
              <w:t>7.0288</w:t>
            </w:r>
          </w:p>
        </w:tc>
        <w:tc>
          <w:tcPr>
            <w:tcW w:w="2045" w:type="dxa"/>
            <w:tcBorders>
              <w:top w:val="single" w:sz="4" w:space="0" w:color="auto"/>
              <w:left w:val="single" w:sz="4" w:space="0" w:color="auto"/>
              <w:bottom w:val="single" w:sz="4" w:space="0" w:color="auto"/>
              <w:right w:val="single" w:sz="4" w:space="0" w:color="auto"/>
            </w:tcBorders>
          </w:tcPr>
          <w:p w14:paraId="31BD90DC" w14:textId="77777777" w:rsidR="00577D08" w:rsidRDefault="00330FC0">
            <w:pPr>
              <w:jc w:val="right"/>
            </w:pPr>
            <w:r>
              <w:t>55,276,378.87</w:t>
            </w:r>
          </w:p>
        </w:tc>
      </w:tr>
      <w:tr w:rsidR="00577D08" w14:paraId="262D3C7F" w14:textId="77777777">
        <w:tc>
          <w:tcPr>
            <w:tcW w:w="2897" w:type="dxa"/>
            <w:tcBorders>
              <w:top w:val="single" w:sz="4" w:space="0" w:color="auto"/>
              <w:left w:val="single" w:sz="4" w:space="0" w:color="auto"/>
              <w:bottom w:val="single" w:sz="4" w:space="0" w:color="auto"/>
              <w:right w:val="single" w:sz="4" w:space="0" w:color="auto"/>
            </w:tcBorders>
            <w:vAlign w:val="center"/>
          </w:tcPr>
          <w:p w14:paraId="36D32058" w14:textId="77777777" w:rsidR="00577D08" w:rsidRDefault="00330FC0">
            <w:r>
              <w:t xml:space="preserve">　　　</w:t>
            </w:r>
            <w:sdt>
              <w:sdtPr>
                <w:alias w:val="以外币核算的币种明细-币种名称"/>
                <w:tag w:val="_GBC_b9ad493c07994625bf872e807197c998"/>
                <w:id w:val="-776861625"/>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C8C9AF8" w14:textId="77777777" w:rsidR="00577D08" w:rsidRDefault="00577D08">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1922157B" w14:textId="77777777" w:rsidR="00577D08" w:rsidRDefault="00577D08">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4B9ECD0D" w14:textId="77777777" w:rsidR="00577D08" w:rsidRDefault="00577D08">
            <w:pPr>
              <w:jc w:val="right"/>
            </w:pPr>
          </w:p>
        </w:tc>
      </w:tr>
      <w:tr w:rsidR="00577D08" w14:paraId="13E57BCA" w14:textId="77777777">
        <w:tc>
          <w:tcPr>
            <w:tcW w:w="2897" w:type="dxa"/>
            <w:tcBorders>
              <w:top w:val="single" w:sz="4" w:space="0" w:color="auto"/>
              <w:left w:val="single" w:sz="4" w:space="0" w:color="auto"/>
              <w:bottom w:val="single" w:sz="4" w:space="0" w:color="auto"/>
              <w:right w:val="single" w:sz="4" w:space="0" w:color="auto"/>
            </w:tcBorders>
            <w:vAlign w:val="center"/>
          </w:tcPr>
          <w:p w14:paraId="3076A6A2" w14:textId="77777777" w:rsidR="00577D08" w:rsidRDefault="00330FC0">
            <w:r>
              <w:t xml:space="preserve">　　　</w:t>
            </w:r>
            <w:sdt>
              <w:sdtPr>
                <w:alias w:val="以外币核算的币种明细-币种名称"/>
                <w:tag w:val="_GBC_b9ad493c07994625bf872e807197c998"/>
                <w:id w:val="-935747311"/>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2E36E2A" w14:textId="77777777" w:rsidR="00577D08" w:rsidRDefault="00577D08">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7A062EE0" w14:textId="77777777" w:rsidR="00577D08" w:rsidRDefault="00577D08">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5A413D9C" w14:textId="77777777" w:rsidR="00577D08" w:rsidRDefault="00577D08">
            <w:pPr>
              <w:jc w:val="right"/>
            </w:pPr>
          </w:p>
        </w:tc>
      </w:tr>
      <w:tr w:rsidR="00577D08" w14:paraId="4543F6F8" w14:textId="77777777">
        <w:tc>
          <w:tcPr>
            <w:tcW w:w="2897" w:type="dxa"/>
            <w:tcBorders>
              <w:top w:val="single" w:sz="4" w:space="0" w:color="auto"/>
              <w:left w:val="single" w:sz="4" w:space="0" w:color="auto"/>
              <w:bottom w:val="single" w:sz="4" w:space="0" w:color="auto"/>
              <w:right w:val="single" w:sz="4" w:space="0" w:color="auto"/>
            </w:tcBorders>
            <w:vAlign w:val="center"/>
          </w:tcPr>
          <w:p w14:paraId="65CAC05C" w14:textId="77777777" w:rsidR="00577D08" w:rsidRDefault="00330FC0">
            <w:r>
              <w:t>应收账款</w:t>
            </w:r>
          </w:p>
        </w:tc>
        <w:tc>
          <w:tcPr>
            <w:tcW w:w="2048" w:type="dxa"/>
            <w:tcBorders>
              <w:top w:val="single" w:sz="4" w:space="0" w:color="auto"/>
              <w:left w:val="single" w:sz="4" w:space="0" w:color="auto"/>
              <w:bottom w:val="single" w:sz="4" w:space="0" w:color="auto"/>
              <w:right w:val="single" w:sz="4" w:space="0" w:color="auto"/>
            </w:tcBorders>
            <w:vAlign w:val="center"/>
          </w:tcPr>
          <w:p w14:paraId="2E426A4E" w14:textId="77777777" w:rsidR="00577D08" w:rsidRDefault="00330FC0">
            <w:pPr>
              <w:jc w:val="right"/>
            </w:pPr>
            <w:r>
              <w:rPr>
                <w:rFonts w:hint="eastAsia"/>
              </w:rPr>
              <w:t>-</w:t>
            </w:r>
          </w:p>
        </w:tc>
        <w:tc>
          <w:tcPr>
            <w:tcW w:w="2057" w:type="dxa"/>
            <w:tcBorders>
              <w:top w:val="single" w:sz="4" w:space="0" w:color="auto"/>
              <w:left w:val="single" w:sz="4" w:space="0" w:color="auto"/>
              <w:bottom w:val="single" w:sz="4" w:space="0" w:color="auto"/>
              <w:right w:val="single" w:sz="4" w:space="0" w:color="auto"/>
            </w:tcBorders>
            <w:vAlign w:val="center"/>
          </w:tcPr>
          <w:p w14:paraId="44F506DB" w14:textId="77777777" w:rsidR="00577D08" w:rsidRDefault="00330FC0">
            <w:pPr>
              <w:jc w:val="right"/>
            </w:pPr>
            <w:r>
              <w:rPr>
                <w:rFonts w:hint="eastAsia"/>
              </w:rPr>
              <w:t>-</w:t>
            </w:r>
          </w:p>
        </w:tc>
        <w:tc>
          <w:tcPr>
            <w:tcW w:w="2045" w:type="dxa"/>
            <w:tcBorders>
              <w:top w:val="single" w:sz="4" w:space="0" w:color="auto"/>
              <w:left w:val="single" w:sz="4" w:space="0" w:color="auto"/>
              <w:bottom w:val="single" w:sz="4" w:space="0" w:color="auto"/>
              <w:right w:val="single" w:sz="4" w:space="0" w:color="auto"/>
            </w:tcBorders>
            <w:vAlign w:val="center"/>
          </w:tcPr>
          <w:p w14:paraId="0714D535" w14:textId="77777777" w:rsidR="00577D08" w:rsidRDefault="00577D08">
            <w:pPr>
              <w:jc w:val="right"/>
            </w:pPr>
          </w:p>
        </w:tc>
      </w:tr>
      <w:tr w:rsidR="00577D08" w14:paraId="1AF33190" w14:textId="77777777">
        <w:tc>
          <w:tcPr>
            <w:tcW w:w="2897" w:type="dxa"/>
            <w:tcBorders>
              <w:top w:val="single" w:sz="4" w:space="0" w:color="auto"/>
              <w:left w:val="single" w:sz="4" w:space="0" w:color="auto"/>
              <w:bottom w:val="single" w:sz="4" w:space="0" w:color="auto"/>
              <w:right w:val="single" w:sz="4" w:space="0" w:color="auto"/>
            </w:tcBorders>
            <w:vAlign w:val="center"/>
          </w:tcPr>
          <w:p w14:paraId="5B666215" w14:textId="77777777" w:rsidR="00577D08" w:rsidRDefault="00330FC0">
            <w:r>
              <w:rPr>
                <w:rFonts w:hint="eastAsia"/>
              </w:rPr>
              <w:t>其中：</w:t>
            </w:r>
            <w:sdt>
              <w:sdtPr>
                <w:alias w:val="以外币核算的币种明细-币种名称"/>
                <w:tag w:val="_GBC_b9ad493c07994625bf872e807197c998"/>
                <w:id w:val="1918906058"/>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美元</w:t>
                </w:r>
              </w:sdtContent>
            </w:sdt>
          </w:p>
        </w:tc>
        <w:tc>
          <w:tcPr>
            <w:tcW w:w="2048" w:type="dxa"/>
            <w:tcBorders>
              <w:top w:val="single" w:sz="4" w:space="0" w:color="auto"/>
              <w:left w:val="single" w:sz="4" w:space="0" w:color="auto"/>
              <w:bottom w:val="single" w:sz="4" w:space="0" w:color="auto"/>
              <w:right w:val="single" w:sz="4" w:space="0" w:color="auto"/>
            </w:tcBorders>
          </w:tcPr>
          <w:p w14:paraId="01CD9F3E" w14:textId="77777777" w:rsidR="00577D08" w:rsidRDefault="00330FC0">
            <w:pPr>
              <w:jc w:val="right"/>
            </w:pPr>
            <w:r>
              <w:t>655,736.52</w:t>
            </w:r>
          </w:p>
        </w:tc>
        <w:tc>
          <w:tcPr>
            <w:tcW w:w="2057" w:type="dxa"/>
            <w:tcBorders>
              <w:top w:val="single" w:sz="4" w:space="0" w:color="auto"/>
              <w:left w:val="single" w:sz="4" w:space="0" w:color="auto"/>
              <w:bottom w:val="single" w:sz="4" w:space="0" w:color="auto"/>
              <w:right w:val="single" w:sz="4" w:space="0" w:color="auto"/>
            </w:tcBorders>
          </w:tcPr>
          <w:p w14:paraId="4862B84F" w14:textId="77777777" w:rsidR="00577D08" w:rsidRDefault="00330FC0">
            <w:pPr>
              <w:jc w:val="right"/>
            </w:pPr>
            <w:r>
              <w:t>7.0288</w:t>
            </w:r>
          </w:p>
        </w:tc>
        <w:tc>
          <w:tcPr>
            <w:tcW w:w="2045" w:type="dxa"/>
            <w:tcBorders>
              <w:top w:val="single" w:sz="4" w:space="0" w:color="auto"/>
              <w:left w:val="single" w:sz="4" w:space="0" w:color="auto"/>
              <w:bottom w:val="single" w:sz="4" w:space="0" w:color="auto"/>
              <w:right w:val="single" w:sz="4" w:space="0" w:color="auto"/>
            </w:tcBorders>
          </w:tcPr>
          <w:p w14:paraId="0E457DAE" w14:textId="77777777" w:rsidR="00577D08" w:rsidRDefault="00330FC0">
            <w:pPr>
              <w:jc w:val="right"/>
            </w:pPr>
            <w:r>
              <w:t>4,609,040.85</w:t>
            </w:r>
          </w:p>
        </w:tc>
      </w:tr>
      <w:tr w:rsidR="00577D08" w14:paraId="6FADB762" w14:textId="77777777">
        <w:tc>
          <w:tcPr>
            <w:tcW w:w="2897" w:type="dxa"/>
            <w:tcBorders>
              <w:top w:val="single" w:sz="4" w:space="0" w:color="auto"/>
              <w:left w:val="single" w:sz="4" w:space="0" w:color="auto"/>
              <w:bottom w:val="single" w:sz="4" w:space="0" w:color="auto"/>
              <w:right w:val="single" w:sz="4" w:space="0" w:color="auto"/>
            </w:tcBorders>
            <w:vAlign w:val="center"/>
          </w:tcPr>
          <w:p w14:paraId="7EC1215F" w14:textId="77777777" w:rsidR="00577D08" w:rsidRDefault="00330FC0">
            <w:r>
              <w:t xml:space="preserve">　　　</w:t>
            </w:r>
            <w:sdt>
              <w:sdtPr>
                <w:alias w:val="以外币核算的币种明细-币种名称"/>
                <w:tag w:val="_GBC_b9ad493c07994625bf872e807197c998"/>
                <w:id w:val="131922471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欧元</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522A4554" w14:textId="77777777" w:rsidR="00577D08" w:rsidRDefault="00577D08">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3AB27F42" w14:textId="77777777" w:rsidR="00577D08" w:rsidRDefault="00577D08">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6CC8D559" w14:textId="77777777" w:rsidR="00577D08" w:rsidRDefault="00577D08">
            <w:pPr>
              <w:jc w:val="right"/>
            </w:pPr>
          </w:p>
        </w:tc>
      </w:tr>
      <w:tr w:rsidR="00577D08" w14:paraId="437C867C" w14:textId="77777777">
        <w:tc>
          <w:tcPr>
            <w:tcW w:w="2897" w:type="dxa"/>
            <w:tcBorders>
              <w:top w:val="single" w:sz="4" w:space="0" w:color="auto"/>
              <w:left w:val="single" w:sz="4" w:space="0" w:color="auto"/>
              <w:bottom w:val="single" w:sz="4" w:space="0" w:color="auto"/>
              <w:right w:val="single" w:sz="4" w:space="0" w:color="auto"/>
            </w:tcBorders>
            <w:vAlign w:val="center"/>
          </w:tcPr>
          <w:p w14:paraId="766114C6" w14:textId="77777777" w:rsidR="00577D08" w:rsidRDefault="00330FC0">
            <w:r>
              <w:lastRenderedPageBreak/>
              <w:t xml:space="preserve">　　　</w:t>
            </w:r>
            <w:sdt>
              <w:sdtPr>
                <w:alias w:val="以外币核算的币种明细-币种名称"/>
                <w:tag w:val="_GBC_b9ad493c07994625bf872e807197c998"/>
                <w:id w:val="1663120830"/>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0566D89C" w14:textId="77777777" w:rsidR="00577D08" w:rsidRDefault="00577D08">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559082B5" w14:textId="77777777" w:rsidR="00577D08" w:rsidRDefault="00577D08">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23F32FC6" w14:textId="77777777" w:rsidR="00577D08" w:rsidRDefault="00577D08">
            <w:pPr>
              <w:jc w:val="right"/>
            </w:pPr>
          </w:p>
        </w:tc>
      </w:tr>
      <w:tr w:rsidR="00577D08" w14:paraId="31544A37" w14:textId="77777777">
        <w:tc>
          <w:tcPr>
            <w:tcW w:w="2897" w:type="dxa"/>
            <w:tcBorders>
              <w:top w:val="single" w:sz="4" w:space="0" w:color="auto"/>
              <w:left w:val="single" w:sz="4" w:space="0" w:color="auto"/>
              <w:bottom w:val="single" w:sz="4" w:space="0" w:color="auto"/>
              <w:right w:val="single" w:sz="4" w:space="0" w:color="auto"/>
            </w:tcBorders>
            <w:vAlign w:val="center"/>
          </w:tcPr>
          <w:p w14:paraId="1B402ECC" w14:textId="77777777" w:rsidR="00577D08" w:rsidRDefault="00330FC0">
            <w:r>
              <w:rPr>
                <w:rFonts w:hint="eastAsia"/>
              </w:rPr>
              <w:t>应付账款</w:t>
            </w:r>
          </w:p>
        </w:tc>
        <w:tc>
          <w:tcPr>
            <w:tcW w:w="2048" w:type="dxa"/>
            <w:tcBorders>
              <w:top w:val="single" w:sz="4" w:space="0" w:color="auto"/>
              <w:left w:val="single" w:sz="4" w:space="0" w:color="auto"/>
              <w:bottom w:val="single" w:sz="4" w:space="0" w:color="auto"/>
              <w:right w:val="single" w:sz="4" w:space="0" w:color="auto"/>
            </w:tcBorders>
            <w:vAlign w:val="center"/>
          </w:tcPr>
          <w:p w14:paraId="0850033B" w14:textId="77777777" w:rsidR="00577D08" w:rsidRDefault="00330FC0">
            <w:pPr>
              <w:jc w:val="right"/>
            </w:pPr>
            <w:r>
              <w:rPr>
                <w:rFonts w:hint="eastAsia"/>
              </w:rPr>
              <w:t>-</w:t>
            </w:r>
          </w:p>
        </w:tc>
        <w:tc>
          <w:tcPr>
            <w:tcW w:w="2057" w:type="dxa"/>
            <w:tcBorders>
              <w:top w:val="single" w:sz="4" w:space="0" w:color="auto"/>
              <w:left w:val="single" w:sz="4" w:space="0" w:color="auto"/>
              <w:bottom w:val="single" w:sz="4" w:space="0" w:color="auto"/>
              <w:right w:val="single" w:sz="4" w:space="0" w:color="auto"/>
            </w:tcBorders>
            <w:vAlign w:val="center"/>
          </w:tcPr>
          <w:p w14:paraId="0098ADFA" w14:textId="77777777" w:rsidR="00577D08" w:rsidRDefault="00330FC0">
            <w:pPr>
              <w:jc w:val="right"/>
            </w:pPr>
            <w:r>
              <w:rPr>
                <w:rFonts w:hint="eastAsia"/>
              </w:rPr>
              <w:t>-</w:t>
            </w:r>
          </w:p>
        </w:tc>
        <w:tc>
          <w:tcPr>
            <w:tcW w:w="2045" w:type="dxa"/>
            <w:tcBorders>
              <w:top w:val="single" w:sz="4" w:space="0" w:color="auto"/>
              <w:left w:val="single" w:sz="4" w:space="0" w:color="auto"/>
              <w:bottom w:val="single" w:sz="4" w:space="0" w:color="auto"/>
              <w:right w:val="single" w:sz="4" w:space="0" w:color="auto"/>
            </w:tcBorders>
            <w:vAlign w:val="center"/>
          </w:tcPr>
          <w:p w14:paraId="7C57047E" w14:textId="77777777" w:rsidR="00577D08" w:rsidRDefault="00577D08">
            <w:pPr>
              <w:jc w:val="right"/>
            </w:pPr>
          </w:p>
        </w:tc>
      </w:tr>
      <w:tr w:rsidR="00577D08" w14:paraId="7789ABF6" w14:textId="77777777">
        <w:tc>
          <w:tcPr>
            <w:tcW w:w="2897" w:type="dxa"/>
            <w:tcBorders>
              <w:top w:val="single" w:sz="4" w:space="0" w:color="auto"/>
              <w:left w:val="single" w:sz="4" w:space="0" w:color="auto"/>
              <w:bottom w:val="single" w:sz="4" w:space="0" w:color="auto"/>
              <w:right w:val="single" w:sz="4" w:space="0" w:color="auto"/>
            </w:tcBorders>
            <w:vAlign w:val="center"/>
          </w:tcPr>
          <w:p w14:paraId="09AFE957" w14:textId="77777777" w:rsidR="00577D08" w:rsidRDefault="00330FC0">
            <w:r>
              <w:rPr>
                <w:rFonts w:hint="eastAsia"/>
              </w:rPr>
              <w:t>其中：</w:t>
            </w:r>
            <w:sdt>
              <w:sdtPr>
                <w:alias w:val="以外币核算的币种明细-币种名称"/>
                <w:tag w:val="_GBC_b9ad493c07994625bf872e807197c998"/>
                <w:id w:val="12998863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美元</w:t>
                </w:r>
              </w:sdtContent>
            </w:sdt>
          </w:p>
        </w:tc>
        <w:tc>
          <w:tcPr>
            <w:tcW w:w="2048" w:type="dxa"/>
            <w:tcBorders>
              <w:top w:val="single" w:sz="4" w:space="0" w:color="auto"/>
              <w:left w:val="single" w:sz="4" w:space="0" w:color="auto"/>
              <w:bottom w:val="single" w:sz="4" w:space="0" w:color="auto"/>
              <w:right w:val="single" w:sz="4" w:space="0" w:color="auto"/>
            </w:tcBorders>
          </w:tcPr>
          <w:p w14:paraId="3C975B6A" w14:textId="77777777" w:rsidR="00577D08" w:rsidRDefault="00330FC0">
            <w:pPr>
              <w:jc w:val="right"/>
            </w:pPr>
            <w:r>
              <w:t>21,350.00</w:t>
            </w:r>
          </w:p>
        </w:tc>
        <w:tc>
          <w:tcPr>
            <w:tcW w:w="2057" w:type="dxa"/>
            <w:tcBorders>
              <w:top w:val="single" w:sz="4" w:space="0" w:color="auto"/>
              <w:left w:val="single" w:sz="4" w:space="0" w:color="auto"/>
              <w:bottom w:val="single" w:sz="4" w:space="0" w:color="auto"/>
              <w:right w:val="single" w:sz="4" w:space="0" w:color="auto"/>
            </w:tcBorders>
          </w:tcPr>
          <w:p w14:paraId="159ABCD0" w14:textId="77777777" w:rsidR="00577D08" w:rsidRDefault="00330FC0">
            <w:pPr>
              <w:jc w:val="right"/>
            </w:pPr>
            <w:r>
              <w:t>7.0288</w:t>
            </w:r>
          </w:p>
        </w:tc>
        <w:tc>
          <w:tcPr>
            <w:tcW w:w="2045" w:type="dxa"/>
            <w:tcBorders>
              <w:top w:val="single" w:sz="4" w:space="0" w:color="auto"/>
              <w:left w:val="single" w:sz="4" w:space="0" w:color="auto"/>
              <w:bottom w:val="single" w:sz="4" w:space="0" w:color="auto"/>
              <w:right w:val="single" w:sz="4" w:space="0" w:color="auto"/>
            </w:tcBorders>
          </w:tcPr>
          <w:p w14:paraId="6C4A4017" w14:textId="77777777" w:rsidR="00577D08" w:rsidRDefault="00330FC0">
            <w:pPr>
              <w:jc w:val="right"/>
            </w:pPr>
            <w:r>
              <w:t>150,064.88</w:t>
            </w:r>
          </w:p>
        </w:tc>
      </w:tr>
      <w:tr w:rsidR="00577D08" w14:paraId="6838B908" w14:textId="77777777">
        <w:tc>
          <w:tcPr>
            <w:tcW w:w="2897" w:type="dxa"/>
            <w:tcBorders>
              <w:top w:val="single" w:sz="4" w:space="0" w:color="auto"/>
              <w:left w:val="single" w:sz="4" w:space="0" w:color="auto"/>
              <w:bottom w:val="single" w:sz="4" w:space="0" w:color="auto"/>
              <w:right w:val="single" w:sz="4" w:space="0" w:color="auto"/>
            </w:tcBorders>
            <w:vAlign w:val="center"/>
          </w:tcPr>
          <w:p w14:paraId="7796F513" w14:textId="77777777" w:rsidR="00577D08" w:rsidRDefault="00330FC0">
            <w:r>
              <w:t xml:space="preserve">　　　</w:t>
            </w:r>
            <w:sdt>
              <w:sdtPr>
                <w:alias w:val="以外币核算的币种明细-币种名称"/>
                <w:tag w:val="_GBC_b9ad493c07994625bf872e807197c998"/>
                <w:id w:val="-1832592789"/>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欧元</w:t>
                </w:r>
              </w:sdtContent>
            </w:sdt>
          </w:p>
        </w:tc>
        <w:tc>
          <w:tcPr>
            <w:tcW w:w="2048" w:type="dxa"/>
            <w:tcBorders>
              <w:top w:val="single" w:sz="4" w:space="0" w:color="auto"/>
              <w:left w:val="single" w:sz="4" w:space="0" w:color="auto"/>
              <w:bottom w:val="single" w:sz="4" w:space="0" w:color="auto"/>
              <w:right w:val="single" w:sz="4" w:space="0" w:color="auto"/>
            </w:tcBorders>
          </w:tcPr>
          <w:p w14:paraId="7544CBB7" w14:textId="77777777" w:rsidR="00577D08" w:rsidRDefault="00330FC0">
            <w:pPr>
              <w:jc w:val="right"/>
            </w:pPr>
            <w:r>
              <w:t>297,982.20</w:t>
            </w:r>
          </w:p>
        </w:tc>
        <w:tc>
          <w:tcPr>
            <w:tcW w:w="2057" w:type="dxa"/>
            <w:tcBorders>
              <w:top w:val="single" w:sz="4" w:space="0" w:color="auto"/>
              <w:left w:val="single" w:sz="4" w:space="0" w:color="auto"/>
              <w:bottom w:val="single" w:sz="4" w:space="0" w:color="auto"/>
              <w:right w:val="single" w:sz="4" w:space="0" w:color="auto"/>
            </w:tcBorders>
          </w:tcPr>
          <w:p w14:paraId="6B482862" w14:textId="77777777" w:rsidR="00577D08" w:rsidRDefault="00330FC0">
            <w:pPr>
              <w:jc w:val="right"/>
            </w:pPr>
            <w:r>
              <w:t>8.2355</w:t>
            </w:r>
          </w:p>
        </w:tc>
        <w:tc>
          <w:tcPr>
            <w:tcW w:w="2045" w:type="dxa"/>
            <w:tcBorders>
              <w:top w:val="single" w:sz="4" w:space="0" w:color="auto"/>
              <w:left w:val="single" w:sz="4" w:space="0" w:color="auto"/>
              <w:bottom w:val="single" w:sz="4" w:space="0" w:color="auto"/>
              <w:right w:val="single" w:sz="4" w:space="0" w:color="auto"/>
            </w:tcBorders>
          </w:tcPr>
          <w:p w14:paraId="4A423003" w14:textId="77777777" w:rsidR="00577D08" w:rsidRDefault="00330FC0">
            <w:pPr>
              <w:jc w:val="right"/>
            </w:pPr>
            <w:r>
              <w:t>2,454,032.41</w:t>
            </w:r>
          </w:p>
        </w:tc>
      </w:tr>
      <w:tr w:rsidR="00577D08" w14:paraId="27A00E35" w14:textId="77777777">
        <w:tc>
          <w:tcPr>
            <w:tcW w:w="2897" w:type="dxa"/>
            <w:tcBorders>
              <w:top w:val="single" w:sz="4" w:space="0" w:color="auto"/>
              <w:left w:val="single" w:sz="4" w:space="0" w:color="auto"/>
              <w:bottom w:val="single" w:sz="4" w:space="0" w:color="auto"/>
              <w:right w:val="single" w:sz="4" w:space="0" w:color="auto"/>
            </w:tcBorders>
            <w:vAlign w:val="center"/>
          </w:tcPr>
          <w:p w14:paraId="631F4EDB" w14:textId="77777777" w:rsidR="00577D08" w:rsidRDefault="00330FC0">
            <w:r>
              <w:t xml:space="preserve">　　　</w:t>
            </w:r>
            <w:sdt>
              <w:sdtPr>
                <w:alias w:val="以外币核算的币种明细-币种名称"/>
                <w:tag w:val="_GBC_b9ad493c07994625bf872e807197c998"/>
                <w:id w:val="-1408753237"/>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t>港币</w:t>
                </w:r>
              </w:sdtContent>
            </w:sdt>
          </w:p>
        </w:tc>
        <w:tc>
          <w:tcPr>
            <w:tcW w:w="2048" w:type="dxa"/>
            <w:tcBorders>
              <w:top w:val="single" w:sz="4" w:space="0" w:color="auto"/>
              <w:left w:val="single" w:sz="4" w:space="0" w:color="auto"/>
              <w:bottom w:val="single" w:sz="4" w:space="0" w:color="auto"/>
              <w:right w:val="single" w:sz="4" w:space="0" w:color="auto"/>
            </w:tcBorders>
            <w:vAlign w:val="center"/>
          </w:tcPr>
          <w:p w14:paraId="4321176D" w14:textId="77777777" w:rsidR="00577D08" w:rsidRDefault="00577D08">
            <w:pPr>
              <w:jc w:val="right"/>
            </w:pPr>
          </w:p>
        </w:tc>
        <w:tc>
          <w:tcPr>
            <w:tcW w:w="2057" w:type="dxa"/>
            <w:tcBorders>
              <w:top w:val="single" w:sz="4" w:space="0" w:color="auto"/>
              <w:left w:val="single" w:sz="4" w:space="0" w:color="auto"/>
              <w:bottom w:val="single" w:sz="4" w:space="0" w:color="auto"/>
              <w:right w:val="single" w:sz="4" w:space="0" w:color="auto"/>
            </w:tcBorders>
            <w:vAlign w:val="center"/>
          </w:tcPr>
          <w:p w14:paraId="678C91B4" w14:textId="77777777" w:rsidR="00577D08" w:rsidRDefault="00577D08">
            <w:pPr>
              <w:jc w:val="right"/>
            </w:pPr>
          </w:p>
        </w:tc>
        <w:tc>
          <w:tcPr>
            <w:tcW w:w="2045" w:type="dxa"/>
            <w:tcBorders>
              <w:top w:val="single" w:sz="4" w:space="0" w:color="auto"/>
              <w:left w:val="single" w:sz="4" w:space="0" w:color="auto"/>
              <w:bottom w:val="single" w:sz="4" w:space="0" w:color="auto"/>
              <w:right w:val="single" w:sz="4" w:space="0" w:color="auto"/>
            </w:tcBorders>
            <w:vAlign w:val="center"/>
          </w:tcPr>
          <w:p w14:paraId="16BE8FD1" w14:textId="77777777" w:rsidR="00577D08" w:rsidRDefault="00577D08">
            <w:pPr>
              <w:jc w:val="right"/>
            </w:pPr>
          </w:p>
        </w:tc>
      </w:tr>
    </w:tbl>
    <w:p w14:paraId="424DD375" w14:textId="77777777" w:rsidR="00577D08" w:rsidRDefault="00330FC0">
      <w:pPr>
        <w:spacing w:before="60" w:after="60"/>
      </w:pPr>
      <w:r>
        <w:rPr>
          <w:rFonts w:hint="eastAsia"/>
        </w:rPr>
        <w:t>其他说明：</w:t>
      </w:r>
    </w:p>
    <w:sdt>
      <w:sdtPr>
        <w:alias w:val="外币货币性项目的其他说明"/>
        <w:tag w:val="_GBC_293dd519b8b44c699246ad508c51bbfd"/>
        <w:id w:val="-157073242"/>
        <w:placeholder>
          <w:docPart w:val="GBC22222222222222222222222222222"/>
        </w:placeholder>
      </w:sdtPr>
      <w:sdtContent>
        <w:p w14:paraId="3EB5FEEE" w14:textId="77777777" w:rsidR="00577D08" w:rsidRDefault="00330FC0">
          <w:r>
            <w:rPr>
              <w:rFonts w:hint="eastAsia"/>
            </w:rPr>
            <w:t>无</w:t>
          </w:r>
        </w:p>
      </w:sdtContent>
    </w:sdt>
    <w:p w14:paraId="6701B89D" w14:textId="77777777" w:rsidR="00577D08" w:rsidRDefault="00330FC0">
      <w:pPr>
        <w:pStyle w:val="4"/>
        <w:numPr>
          <w:ilvl w:val="0"/>
          <w:numId w:val="101"/>
        </w:numPr>
        <w:ind w:left="0" w:firstLine="0"/>
        <w:rPr>
          <w:rFonts w:hint="eastAsia"/>
          <w:szCs w:val="21"/>
        </w:rPr>
      </w:pPr>
      <w:r>
        <w:rPr>
          <w:rStyle w:val="40"/>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14:paraId="48145C2A" w14:textId="77777777" w:rsidR="00577D08" w:rsidRDefault="00000000">
      <w:sdt>
        <w:sdtPr>
          <w:alias w:val="是否适用：境外经营实体主要报表项目的折算汇率[双击切换]"/>
          <w:tag w:val="_GBC_c433d39e245c4fb79cd5170717bb5b9c"/>
          <w:id w:val="1934157936"/>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50209E22" w14:textId="77777777" w:rsidR="00577D08" w:rsidRDefault="00330FC0">
      <w:pPr>
        <w:pStyle w:val="3"/>
        <w:numPr>
          <w:ilvl w:val="0"/>
          <w:numId w:val="61"/>
        </w:numPr>
        <w:tabs>
          <w:tab w:val="left" w:pos="504"/>
        </w:tabs>
        <w:ind w:left="450" w:hanging="450"/>
        <w:rPr>
          <w:rFonts w:ascii="宋体" w:hAnsi="宋体" w:hint="eastAsia"/>
          <w:szCs w:val="21"/>
        </w:rPr>
      </w:pPr>
      <w:r>
        <w:rPr>
          <w:rFonts w:ascii="宋体" w:hAnsi="宋体" w:hint="eastAsia"/>
          <w:szCs w:val="21"/>
        </w:rPr>
        <w:t>租赁</w:t>
      </w:r>
    </w:p>
    <w:p w14:paraId="0E5F6741" w14:textId="77777777" w:rsidR="00577D08" w:rsidRDefault="00330FC0">
      <w:pPr>
        <w:pStyle w:val="4"/>
        <w:numPr>
          <w:ilvl w:val="0"/>
          <w:numId w:val="102"/>
        </w:numPr>
        <w:ind w:left="0" w:firstLine="0"/>
        <w:rPr>
          <w:rFonts w:hint="eastAsia"/>
        </w:rPr>
      </w:pPr>
      <w:r>
        <w:t>作为承租人</w:t>
      </w:r>
    </w:p>
    <w:sdt>
      <w:sdtPr>
        <w:alias w:val="是否适用：作为承租人[双击切换]"/>
        <w:tag w:val="_GBC_fe311ebf6010457c8817199183148161"/>
        <w:id w:val="878669014"/>
        <w:lock w:val="contentLocked"/>
        <w:placeholder>
          <w:docPart w:val="GBC22222222222222222222222222222"/>
        </w:placeholder>
      </w:sdtPr>
      <w:sdtContent>
        <w:p w14:paraId="7D08E77A"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9A51C5E" w14:textId="3F826053" w:rsidR="00577D08" w:rsidRDefault="00330FC0">
      <w:pPr>
        <w:jc w:val="right"/>
      </w:pPr>
      <w:bookmarkStart w:id="464" w:name="OLE_LINK94"/>
      <w:r>
        <w:rPr>
          <w:rFonts w:hint="eastAsia"/>
          <w:color w:val="000000" w:themeColor="text1"/>
        </w:rPr>
        <w:t>单位：元</w:t>
      </w:r>
      <w:r w:rsidR="00CC5C32">
        <w:rPr>
          <w:rFonts w:hint="eastAsia"/>
          <w:color w:val="000000" w:themeColor="text1"/>
        </w:rPr>
        <w:t xml:space="preserve"> </w:t>
      </w:r>
      <w:r>
        <w:rPr>
          <w:rFonts w:hint="eastAsia"/>
          <w:color w:val="000000" w:themeColor="text1"/>
        </w:rPr>
        <w:t>币种：人民币</w:t>
      </w:r>
    </w:p>
    <w:tbl>
      <w:tblPr>
        <w:tblStyle w:val="g4"/>
        <w:tblW w:w="5000" w:type="pct"/>
        <w:tblInd w:w="0" w:type="dxa"/>
        <w:tblLook w:val="04A0" w:firstRow="1" w:lastRow="0" w:firstColumn="1" w:lastColumn="0" w:noHBand="0" w:noVBand="1"/>
      </w:tblPr>
      <w:tblGrid>
        <w:gridCol w:w="3899"/>
        <w:gridCol w:w="2582"/>
        <w:gridCol w:w="2342"/>
      </w:tblGrid>
      <w:tr w:rsidR="00577D08" w14:paraId="1222F47C" w14:textId="77777777">
        <w:trPr>
          <w:trHeight w:val="288"/>
        </w:trPr>
        <w:tc>
          <w:tcPr>
            <w:tcW w:w="2210" w:type="pct"/>
            <w:tcBorders>
              <w:top w:val="single" w:sz="4" w:space="0" w:color="auto"/>
              <w:left w:val="single" w:sz="4" w:space="0" w:color="auto"/>
              <w:bottom w:val="single" w:sz="4" w:space="0" w:color="auto"/>
              <w:right w:val="single" w:sz="4" w:space="0" w:color="auto"/>
            </w:tcBorders>
            <w:vAlign w:val="center"/>
          </w:tcPr>
          <w:bookmarkEnd w:id="464"/>
          <w:p w14:paraId="2E3E3577" w14:textId="77777777" w:rsidR="00577D08" w:rsidRDefault="00330FC0">
            <w:pPr>
              <w:jc w:val="center"/>
              <w:outlineLvl w:val="0"/>
              <w:rPr>
                <w:color w:val="000000"/>
                <w:sz w:val="20"/>
                <w:szCs w:val="20"/>
              </w:rPr>
            </w:pPr>
            <w:r>
              <w:rPr>
                <w:rFonts w:hint="eastAsia"/>
                <w:color w:val="000000"/>
                <w:sz w:val="20"/>
                <w:szCs w:val="20"/>
              </w:rPr>
              <w:t>项目</w:t>
            </w:r>
          </w:p>
        </w:tc>
        <w:tc>
          <w:tcPr>
            <w:tcW w:w="1463" w:type="pct"/>
            <w:tcBorders>
              <w:top w:val="single" w:sz="4" w:space="0" w:color="auto"/>
              <w:left w:val="nil"/>
              <w:bottom w:val="single" w:sz="4" w:space="0" w:color="auto"/>
              <w:right w:val="single" w:sz="4" w:space="0" w:color="auto"/>
            </w:tcBorders>
            <w:vAlign w:val="center"/>
          </w:tcPr>
          <w:p w14:paraId="2395DE9D" w14:textId="77777777" w:rsidR="00577D08" w:rsidRDefault="00330FC0">
            <w:pPr>
              <w:jc w:val="center"/>
              <w:outlineLvl w:val="0"/>
              <w:rPr>
                <w:color w:val="000000"/>
                <w:sz w:val="20"/>
                <w:szCs w:val="20"/>
              </w:rPr>
            </w:pPr>
            <w:r>
              <w:rPr>
                <w:rFonts w:hint="eastAsia"/>
                <w:color w:val="000000"/>
                <w:sz w:val="20"/>
                <w:szCs w:val="20"/>
              </w:rPr>
              <w:t>本期发生额</w:t>
            </w:r>
          </w:p>
        </w:tc>
        <w:tc>
          <w:tcPr>
            <w:tcW w:w="1327" w:type="pct"/>
            <w:tcBorders>
              <w:top w:val="single" w:sz="4" w:space="0" w:color="auto"/>
              <w:left w:val="nil"/>
              <w:bottom w:val="single" w:sz="4" w:space="0" w:color="auto"/>
              <w:right w:val="single" w:sz="4" w:space="0" w:color="auto"/>
            </w:tcBorders>
            <w:vAlign w:val="center"/>
          </w:tcPr>
          <w:p w14:paraId="4789F258" w14:textId="77777777" w:rsidR="00577D08" w:rsidRDefault="00330FC0">
            <w:pPr>
              <w:jc w:val="center"/>
              <w:outlineLvl w:val="0"/>
              <w:rPr>
                <w:color w:val="000000"/>
                <w:sz w:val="20"/>
                <w:szCs w:val="20"/>
              </w:rPr>
            </w:pPr>
            <w:r>
              <w:rPr>
                <w:rFonts w:hint="eastAsia"/>
                <w:color w:val="000000"/>
                <w:sz w:val="20"/>
                <w:szCs w:val="20"/>
              </w:rPr>
              <w:t>上期发生额</w:t>
            </w:r>
          </w:p>
        </w:tc>
      </w:tr>
      <w:tr w:rsidR="00577D08" w14:paraId="03FD3605" w14:textId="77777777">
        <w:trPr>
          <w:trHeight w:val="288"/>
        </w:trPr>
        <w:tc>
          <w:tcPr>
            <w:tcW w:w="2210" w:type="pct"/>
            <w:tcBorders>
              <w:top w:val="nil"/>
              <w:left w:val="single" w:sz="4" w:space="0" w:color="auto"/>
              <w:bottom w:val="single" w:sz="4" w:space="0" w:color="auto"/>
              <w:right w:val="single" w:sz="4" w:space="0" w:color="auto"/>
            </w:tcBorders>
          </w:tcPr>
          <w:p w14:paraId="6209FCB5" w14:textId="77777777" w:rsidR="00577D08" w:rsidRDefault="00330FC0">
            <w:pPr>
              <w:outlineLvl w:val="0"/>
              <w:rPr>
                <w:color w:val="000000"/>
                <w:sz w:val="20"/>
                <w:szCs w:val="20"/>
              </w:rPr>
            </w:pPr>
            <w:bookmarkStart w:id="465" w:name="OLE_LINK138"/>
            <w:r>
              <w:rPr>
                <w:rFonts w:hint="eastAsia"/>
                <w:sz w:val="20"/>
                <w:szCs w:val="20"/>
              </w:rPr>
              <w:t>租赁负债的利息</w:t>
            </w:r>
            <w:bookmarkEnd w:id="465"/>
          </w:p>
        </w:tc>
        <w:tc>
          <w:tcPr>
            <w:tcW w:w="1463" w:type="pct"/>
            <w:tcBorders>
              <w:top w:val="nil"/>
              <w:left w:val="nil"/>
              <w:bottom w:val="single" w:sz="4" w:space="0" w:color="auto"/>
              <w:right w:val="single" w:sz="4" w:space="0" w:color="auto"/>
            </w:tcBorders>
          </w:tcPr>
          <w:p w14:paraId="3430866B" w14:textId="77777777" w:rsidR="00577D08" w:rsidRDefault="00330FC0">
            <w:pPr>
              <w:jc w:val="right"/>
              <w:outlineLvl w:val="0"/>
              <w:rPr>
                <w:color w:val="000000"/>
                <w:sz w:val="20"/>
                <w:szCs w:val="20"/>
              </w:rPr>
            </w:pPr>
            <w:r>
              <w:rPr>
                <w:sz w:val="20"/>
                <w:szCs w:val="20"/>
              </w:rPr>
              <w:t>466,965.54</w:t>
            </w:r>
          </w:p>
        </w:tc>
        <w:tc>
          <w:tcPr>
            <w:tcW w:w="1327" w:type="pct"/>
            <w:tcBorders>
              <w:top w:val="nil"/>
              <w:left w:val="nil"/>
              <w:bottom w:val="single" w:sz="4" w:space="0" w:color="auto"/>
              <w:right w:val="single" w:sz="4" w:space="0" w:color="auto"/>
            </w:tcBorders>
          </w:tcPr>
          <w:p w14:paraId="44A18878" w14:textId="77777777" w:rsidR="00577D08" w:rsidRDefault="00330FC0">
            <w:pPr>
              <w:jc w:val="right"/>
              <w:outlineLvl w:val="0"/>
              <w:rPr>
                <w:color w:val="000000"/>
                <w:sz w:val="20"/>
                <w:szCs w:val="20"/>
              </w:rPr>
            </w:pPr>
            <w:r>
              <w:rPr>
                <w:sz w:val="20"/>
                <w:szCs w:val="20"/>
              </w:rPr>
              <w:t>293,209.05</w:t>
            </w:r>
          </w:p>
        </w:tc>
      </w:tr>
    </w:tbl>
    <w:p w14:paraId="240E09CD" w14:textId="77777777" w:rsidR="00577D08" w:rsidRDefault="00330FC0">
      <w:r>
        <w:rPr>
          <w:rFonts w:hint="eastAsia"/>
        </w:rPr>
        <w:t>未纳入租赁负债计量的可变租赁付款额</w:t>
      </w:r>
    </w:p>
    <w:sdt>
      <w:sdtPr>
        <w:alias w:val="是否适用：未纳入租赁负债计量的可变租赁付款额[双击切换]"/>
        <w:tag w:val="_GBC_80d6a089e2ee407391cb1582a957568e"/>
        <w:id w:val="-1461728621"/>
        <w:placeholder>
          <w:docPart w:val="GBC22222222222222222222222222222"/>
        </w:placeholder>
      </w:sdtPr>
      <w:sdtContent>
        <w:p w14:paraId="499AC8D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21822B2" w14:textId="77777777" w:rsidR="00577D08" w:rsidRDefault="00330FC0">
      <w:r>
        <w:rPr>
          <w:rFonts w:hint="eastAsia"/>
        </w:rPr>
        <w:t>简化处理的短期租赁或低价值资产的租赁费用</w:t>
      </w:r>
    </w:p>
    <w:sdt>
      <w:sdtPr>
        <w:alias w:val="是否适用：简化处理的短期租赁或低价值资产的租赁费用[双击切换]"/>
        <w:tag w:val="_GBC_9750a0f7bb7b4d4eb353b64f9aef7ed1"/>
        <w:id w:val="-1456482506"/>
        <w:placeholder>
          <w:docPart w:val="GBC22222222222222222222222222222"/>
        </w:placeholder>
      </w:sdtPr>
      <w:sdtContent>
        <w:p w14:paraId="02F7D5CB"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简化处理的短期租赁或低价值资产的租赁费用"/>
        <w:tag w:val="_GBC_3b8234b2706245babde4cf12e0a046e4"/>
        <w:id w:val="-1483311227"/>
        <w:placeholder>
          <w:docPart w:val="GBC22222222222222222222222222222"/>
        </w:placeholder>
      </w:sdtPr>
      <w:sdtContent>
        <w:p w14:paraId="78D17907" w14:textId="15FBF5D2" w:rsidR="00577D08" w:rsidRDefault="00330FC0">
          <w:pPr>
            <w:jc w:val="right"/>
          </w:pPr>
          <w:r>
            <w:rPr>
              <w:rFonts w:hint="eastAsia"/>
            </w:rPr>
            <w:t>单位：元</w:t>
          </w:r>
          <w:r w:rsidR="00CC5C32">
            <w:rPr>
              <w:rFonts w:hint="eastAsia"/>
            </w:rPr>
            <w:t xml:space="preserve"> </w:t>
          </w:r>
          <w:r>
            <w:rPr>
              <w:rFonts w:hint="eastAsia"/>
            </w:rPr>
            <w:t>币种：人民币</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2848"/>
            <w:gridCol w:w="2666"/>
          </w:tblGrid>
          <w:tr w:rsidR="00577D08" w14:paraId="39FB8F22" w14:textId="77777777">
            <w:trPr>
              <w:trHeight w:val="285"/>
            </w:trPr>
            <w:tc>
              <w:tcPr>
                <w:tcW w:w="1875" w:type="pct"/>
                <w:tcBorders>
                  <w:bottom w:val="single" w:sz="4" w:space="0" w:color="auto"/>
                </w:tcBorders>
              </w:tcPr>
              <w:p w14:paraId="171CE8CD" w14:textId="77777777" w:rsidR="00577D08" w:rsidRDefault="00330FC0">
                <w:pPr>
                  <w:ind w:leftChars="-51" w:left="-107"/>
                  <w:jc w:val="center"/>
                  <w:rPr>
                    <w:sz w:val="20"/>
                    <w:szCs w:val="20"/>
                  </w:rPr>
                </w:pPr>
                <w:r>
                  <w:rPr>
                    <w:rFonts w:hint="eastAsia"/>
                    <w:sz w:val="20"/>
                    <w:szCs w:val="20"/>
                  </w:rPr>
                  <w:t>项目</w:t>
                </w:r>
              </w:p>
            </w:tc>
            <w:tc>
              <w:tcPr>
                <w:tcW w:w="1614" w:type="pct"/>
              </w:tcPr>
              <w:p w14:paraId="4B1BB034" w14:textId="77777777" w:rsidR="00577D08" w:rsidRDefault="00330FC0">
                <w:pPr>
                  <w:jc w:val="center"/>
                  <w:rPr>
                    <w:sz w:val="20"/>
                    <w:szCs w:val="20"/>
                  </w:rPr>
                </w:pPr>
                <w:r>
                  <w:rPr>
                    <w:rFonts w:hint="eastAsia"/>
                    <w:sz w:val="20"/>
                    <w:szCs w:val="20"/>
                  </w:rPr>
                  <w:t>本期发生额</w:t>
                </w:r>
              </w:p>
            </w:tc>
            <w:tc>
              <w:tcPr>
                <w:tcW w:w="1511" w:type="pct"/>
              </w:tcPr>
              <w:p w14:paraId="0043896B" w14:textId="77777777" w:rsidR="00577D08" w:rsidRDefault="00330FC0">
                <w:pPr>
                  <w:jc w:val="center"/>
                  <w:rPr>
                    <w:sz w:val="20"/>
                    <w:szCs w:val="20"/>
                  </w:rPr>
                </w:pPr>
                <w:r>
                  <w:rPr>
                    <w:rFonts w:hint="eastAsia"/>
                    <w:sz w:val="20"/>
                    <w:szCs w:val="20"/>
                  </w:rPr>
                  <w:t>上期发生额</w:t>
                </w:r>
              </w:p>
            </w:tc>
          </w:tr>
          <w:tr w:rsidR="00577D08" w14:paraId="4FBE0541" w14:textId="77777777">
            <w:trPr>
              <w:trHeight w:val="285"/>
            </w:trPr>
            <w:tc>
              <w:tcPr>
                <w:tcW w:w="1875" w:type="pct"/>
              </w:tcPr>
              <w:p w14:paraId="02AEED37" w14:textId="77777777" w:rsidR="00577D08" w:rsidRDefault="00330FC0">
                <w:pPr>
                  <w:outlineLvl w:val="0"/>
                  <w:rPr>
                    <w:sz w:val="20"/>
                    <w:szCs w:val="20"/>
                  </w:rPr>
                </w:pPr>
                <w:r>
                  <w:rPr>
                    <w:rFonts w:hint="eastAsia"/>
                    <w:sz w:val="20"/>
                    <w:szCs w:val="20"/>
                  </w:rPr>
                  <w:t>短期租赁费用</w:t>
                </w:r>
              </w:p>
            </w:tc>
            <w:tc>
              <w:tcPr>
                <w:tcW w:w="1614" w:type="pct"/>
              </w:tcPr>
              <w:p w14:paraId="0BCEFB06" w14:textId="77777777" w:rsidR="00577D08" w:rsidRDefault="00330FC0">
                <w:pPr>
                  <w:jc w:val="right"/>
                  <w:rPr>
                    <w:sz w:val="20"/>
                    <w:szCs w:val="20"/>
                  </w:rPr>
                </w:pPr>
                <w:r>
                  <w:rPr>
                    <w:sz w:val="20"/>
                    <w:szCs w:val="20"/>
                  </w:rPr>
                  <w:t>1,628,957.77</w:t>
                </w:r>
              </w:p>
            </w:tc>
            <w:tc>
              <w:tcPr>
                <w:tcW w:w="1511" w:type="pct"/>
              </w:tcPr>
              <w:p w14:paraId="1E80D6D2" w14:textId="77777777" w:rsidR="00577D08" w:rsidRDefault="00330FC0">
                <w:pPr>
                  <w:jc w:val="right"/>
                  <w:rPr>
                    <w:sz w:val="20"/>
                    <w:szCs w:val="20"/>
                  </w:rPr>
                </w:pPr>
                <w:r>
                  <w:rPr>
                    <w:sz w:val="20"/>
                    <w:szCs w:val="20"/>
                  </w:rPr>
                  <w:t>1,877,550.22</w:t>
                </w:r>
              </w:p>
            </w:tc>
          </w:tr>
        </w:tbl>
        <w:p w14:paraId="47DC6A70" w14:textId="77777777" w:rsidR="00577D08" w:rsidRDefault="00000000"/>
      </w:sdtContent>
    </w:sdt>
    <w:p w14:paraId="6DEC2858" w14:textId="77777777" w:rsidR="00577D08" w:rsidRDefault="00330FC0">
      <w:r>
        <w:rPr>
          <w:rFonts w:hint="eastAsia"/>
        </w:rPr>
        <w:t>售后租回交易及判断依据</w:t>
      </w:r>
    </w:p>
    <w:sdt>
      <w:sdtPr>
        <w:alias w:val="是否适用：售后租回交易及判断依据[双击切换]"/>
        <w:tag w:val="_GBC_a5dfb8e554434d8eb3f4c59e01e27ea4"/>
        <w:id w:val="2116546358"/>
        <w:placeholder>
          <w:docPart w:val="GBC22222222222222222222222222222"/>
        </w:placeholder>
      </w:sdtPr>
      <w:sdtContent>
        <w:p w14:paraId="17D4BA1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F4FE5E" w14:textId="77777777" w:rsidR="00577D08" w:rsidRDefault="00330FC0">
      <w:r>
        <w:rPr>
          <w:rFonts w:hint="eastAsia"/>
        </w:rPr>
        <w:t>与租赁相关的现金流出总额</w:t>
      </w:r>
      <w:sdt>
        <w:sdtPr>
          <w:rPr>
            <w:rFonts w:hint="eastAsia"/>
          </w:rPr>
          <w:alias w:val="与租赁相关的现金流出总额"/>
          <w:tag w:val="_GBC_c17023cf7ca74e9a8636a8f592034a57"/>
          <w:id w:val="716240378"/>
          <w:placeholder>
            <w:docPart w:val="GBC22222222222222222222222222222"/>
          </w:placeholder>
        </w:sdtPr>
        <w:sdtContent>
          <w:r>
            <w:t>6,015,651.94</w:t>
          </w:r>
        </w:sdtContent>
      </w:sdt>
      <w:r>
        <w:rPr>
          <w:rFonts w:hint="eastAsia"/>
        </w:rPr>
        <w:t>(</w:t>
      </w:r>
      <w:r>
        <w:rPr>
          <w:rFonts w:hint="eastAsia"/>
        </w:rPr>
        <w:t>单位：</w:t>
      </w:r>
      <w:sdt>
        <w:sdtPr>
          <w:rPr>
            <w:rFonts w:hint="eastAsia"/>
          </w:rPr>
          <w:alias w:val="单位：与租赁相关的现金流出总额"/>
          <w:tag w:val="_GBC_958c18bfb6e24086971643691eba660d"/>
          <w:id w:val="-60766543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币种：</w:t>
      </w:r>
      <w:sdt>
        <w:sdtPr>
          <w:rPr>
            <w:rFonts w:hint="eastAsia"/>
          </w:rPr>
          <w:alias w:val="币种：与租赁相关的现金流出总额"/>
          <w:tag w:val="_GBC_fca975f845d34a26bdc9764887518796"/>
          <w:id w:val="-10165447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w:t>
      </w:r>
    </w:p>
    <w:p w14:paraId="0FCF4474" w14:textId="77777777" w:rsidR="00577D08" w:rsidRDefault="00330FC0">
      <w:pPr>
        <w:pStyle w:val="4"/>
        <w:numPr>
          <w:ilvl w:val="0"/>
          <w:numId w:val="102"/>
        </w:numPr>
        <w:ind w:left="0" w:firstLine="0"/>
        <w:rPr>
          <w:rFonts w:hint="eastAsia"/>
        </w:rPr>
      </w:pPr>
      <w:r>
        <w:t>作为出租人</w:t>
      </w:r>
    </w:p>
    <w:p w14:paraId="1D81C3A0" w14:textId="77777777" w:rsidR="00577D08" w:rsidRDefault="00330FC0">
      <w:r>
        <w:t>作为出租人的经营</w:t>
      </w:r>
      <w:r>
        <w:rPr>
          <w:rFonts w:hint="eastAsia"/>
        </w:rPr>
        <w:t>租赁</w:t>
      </w:r>
    </w:p>
    <w:sdt>
      <w:sdtPr>
        <w:rPr>
          <w:rFonts w:hint="eastAsia"/>
        </w:rPr>
        <w:alias w:val="是否适用：作为出租人的经营租赁[双击切换]"/>
        <w:tag w:val="_GBC_d5cd3a4b291f4a089f0080385207b552"/>
        <w:id w:val="-1364137154"/>
        <w:placeholder>
          <w:docPart w:val="GBC22222222222222222222222222222"/>
        </w:placeholder>
      </w:sdtPr>
      <w:sdtContent>
        <w:p w14:paraId="163A8E6B"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F7668AD" w14:textId="712ADE84" w:rsidR="00577D08" w:rsidRDefault="00330FC0">
      <w:pPr>
        <w:jc w:val="right"/>
      </w:pPr>
      <w:r>
        <w:rPr>
          <w:rFonts w:hint="eastAsia"/>
        </w:rPr>
        <w:t>单位：</w:t>
      </w:r>
      <w:sdt>
        <w:sdtPr>
          <w:rPr>
            <w:rFonts w:hint="eastAsia"/>
          </w:rPr>
          <w:alias w:val="单位：作为出租人的经营租赁"/>
          <w:tag w:val="_GBC_33154e0a2b6b4de1ba1d9ac25d94b964"/>
          <w:id w:val="-79868236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作为出租人的经营租赁"/>
          <w:tag w:val="_GBC_74d27fbc036640eebacb9f62324bdfd2"/>
          <w:id w:val="-6893646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77D08" w14:paraId="31EA0C52" w14:textId="77777777">
        <w:sdt>
          <w:sdtPr>
            <w:tag w:val="_PLD_00ecb26a541b4476ae397f9dc938c006"/>
            <w:id w:val="140929233"/>
          </w:sdtPr>
          <w:sdtContent>
            <w:tc>
              <w:tcPr>
                <w:tcW w:w="3015" w:type="dxa"/>
                <w:vAlign w:val="center"/>
              </w:tcPr>
              <w:p w14:paraId="5C9A8B77" w14:textId="77777777" w:rsidR="00577D08" w:rsidRDefault="00330FC0">
                <w:pPr>
                  <w:jc w:val="center"/>
                </w:pPr>
                <w:r>
                  <w:rPr>
                    <w:rFonts w:hint="eastAsia"/>
                  </w:rPr>
                  <w:t>项目</w:t>
                </w:r>
              </w:p>
            </w:tc>
          </w:sdtContent>
        </w:sdt>
        <w:sdt>
          <w:sdtPr>
            <w:tag w:val="_PLD_96216f0f4e664412a0e5e854a957fa35"/>
            <w:id w:val="2066758747"/>
          </w:sdtPr>
          <w:sdtContent>
            <w:tc>
              <w:tcPr>
                <w:tcW w:w="3016" w:type="dxa"/>
                <w:vAlign w:val="center"/>
              </w:tcPr>
              <w:p w14:paraId="2FE52D2C" w14:textId="77777777" w:rsidR="00577D08" w:rsidRDefault="00330FC0">
                <w:pPr>
                  <w:jc w:val="center"/>
                </w:pPr>
                <w:r>
                  <w:t>租赁收入</w:t>
                </w:r>
              </w:p>
            </w:tc>
          </w:sdtContent>
        </w:sdt>
        <w:sdt>
          <w:sdtPr>
            <w:tag w:val="_PLD_ad377951fc0c44299ea39a709c6a8089"/>
            <w:id w:val="-1200933968"/>
          </w:sdtPr>
          <w:sdtContent>
            <w:tc>
              <w:tcPr>
                <w:tcW w:w="3016" w:type="dxa"/>
                <w:vAlign w:val="center"/>
              </w:tcPr>
              <w:p w14:paraId="0602BBC4" w14:textId="77777777" w:rsidR="00577D08" w:rsidRDefault="00330FC0">
                <w:pPr>
                  <w:jc w:val="center"/>
                </w:pPr>
                <w:r>
                  <w:t>其中</w:t>
                </w:r>
                <w:r>
                  <w:rPr>
                    <w:rFonts w:hint="eastAsia"/>
                  </w:rPr>
                  <w:t>:</w:t>
                </w:r>
                <w:r>
                  <w:t>未计入租赁收款额的可变租赁付款额相关的收入</w:t>
                </w:r>
              </w:p>
            </w:tc>
          </w:sdtContent>
        </w:sdt>
      </w:tr>
      <w:tr w:rsidR="00577D08" w14:paraId="11070606" w14:textId="77777777">
        <w:tc>
          <w:tcPr>
            <w:tcW w:w="3015" w:type="dxa"/>
            <w:vAlign w:val="center"/>
          </w:tcPr>
          <w:p w14:paraId="7AE76F84" w14:textId="77777777" w:rsidR="00577D08" w:rsidRDefault="00330FC0">
            <w:r>
              <w:rPr>
                <w:rFonts w:hint="eastAsia"/>
              </w:rPr>
              <w:t>固定资产</w:t>
            </w:r>
          </w:p>
        </w:tc>
        <w:tc>
          <w:tcPr>
            <w:tcW w:w="3016" w:type="dxa"/>
          </w:tcPr>
          <w:p w14:paraId="1BAE10F8" w14:textId="77777777" w:rsidR="00577D08" w:rsidRDefault="00330FC0">
            <w:pPr>
              <w:jc w:val="right"/>
            </w:pPr>
            <w:r>
              <w:t>1,458,543.20</w:t>
            </w:r>
          </w:p>
        </w:tc>
        <w:tc>
          <w:tcPr>
            <w:tcW w:w="3016" w:type="dxa"/>
            <w:vAlign w:val="center"/>
          </w:tcPr>
          <w:p w14:paraId="7FCDB0DD" w14:textId="77777777" w:rsidR="00577D08" w:rsidRDefault="00577D08">
            <w:pPr>
              <w:jc w:val="right"/>
            </w:pPr>
          </w:p>
        </w:tc>
      </w:tr>
      <w:tr w:rsidR="00577D08" w14:paraId="3DA4FD88" w14:textId="77777777">
        <w:tc>
          <w:tcPr>
            <w:tcW w:w="3015" w:type="dxa"/>
            <w:vAlign w:val="center"/>
          </w:tcPr>
          <w:p w14:paraId="557ED1D8" w14:textId="77777777" w:rsidR="00577D08" w:rsidRDefault="00330FC0">
            <w:pPr>
              <w:jc w:val="center"/>
            </w:pPr>
            <w:r>
              <w:t>合计</w:t>
            </w:r>
          </w:p>
        </w:tc>
        <w:tc>
          <w:tcPr>
            <w:tcW w:w="3016" w:type="dxa"/>
          </w:tcPr>
          <w:p w14:paraId="7D45381D" w14:textId="77777777" w:rsidR="00577D08" w:rsidRDefault="00330FC0">
            <w:pPr>
              <w:jc w:val="right"/>
            </w:pPr>
            <w:r>
              <w:t>1,458,543.20</w:t>
            </w:r>
          </w:p>
        </w:tc>
        <w:tc>
          <w:tcPr>
            <w:tcW w:w="3016" w:type="dxa"/>
            <w:vAlign w:val="center"/>
          </w:tcPr>
          <w:p w14:paraId="638698E9" w14:textId="77777777" w:rsidR="00577D08" w:rsidRDefault="00577D08">
            <w:pPr>
              <w:jc w:val="right"/>
            </w:pPr>
          </w:p>
        </w:tc>
      </w:tr>
    </w:tbl>
    <w:p w14:paraId="7D9F30E8" w14:textId="77777777" w:rsidR="00577D08" w:rsidRDefault="00330FC0">
      <w:r>
        <w:t>作为出租人的融资租赁</w:t>
      </w:r>
    </w:p>
    <w:sdt>
      <w:sdtPr>
        <w:alias w:val="是否适用：作为出租人的融资租赁[双击切换]"/>
        <w:tag w:val="_GBC_a96fee2f2d7c4192a3a8f10ae08d73cc"/>
        <w:id w:val="987204960"/>
        <w:placeholder>
          <w:docPart w:val="GBC22222222222222222222222222222"/>
        </w:placeholder>
      </w:sdtPr>
      <w:sdtContent>
        <w:p w14:paraId="5F2420B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076CF0" w14:textId="77777777" w:rsidR="00577D08" w:rsidRDefault="00330FC0">
      <w:r>
        <w:t>未折现租赁收款额与租赁投资净额的调节表</w:t>
      </w:r>
    </w:p>
    <w:sdt>
      <w:sdtPr>
        <w:alias w:val="是否适用：未折现租赁收款额与租赁投资净额的调节表?[双击切换]"/>
        <w:tag w:val="_GBC_4a108274280e49bd8dc1cba49cff5159"/>
        <w:id w:val="1320610901"/>
        <w:placeholder>
          <w:docPart w:val="GBC22222222222222222222222222222"/>
        </w:placeholder>
      </w:sdtPr>
      <w:sdtContent>
        <w:p w14:paraId="1FEAFAF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4AAD663" w14:textId="77777777" w:rsidR="00577D08" w:rsidRDefault="00330FC0">
      <w:r>
        <w:t>未来五年</w:t>
      </w:r>
      <w:r>
        <w:rPr>
          <w:rFonts w:hint="eastAsia"/>
        </w:rPr>
        <w:t>未</w:t>
      </w:r>
      <w:r>
        <w:t>折现租赁收款额</w:t>
      </w:r>
    </w:p>
    <w:sdt>
      <w:sdtPr>
        <w:alias w:val="是否适用：未来五年未折现租赁收款额[双击切换]"/>
        <w:tag w:val="_GBC_60c95c043b424e188bd225c67d071e24"/>
        <w:id w:val="-1355962658"/>
        <w:placeholder>
          <w:docPart w:val="GBC22222222222222222222222222222"/>
        </w:placeholder>
      </w:sdtPr>
      <w:sdtContent>
        <w:p w14:paraId="78EF42B8"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DDF73E0" w14:textId="1448F90D" w:rsidR="00577D08" w:rsidRDefault="00330FC0">
      <w:pPr>
        <w:jc w:val="right"/>
      </w:pPr>
      <w:r>
        <w:rPr>
          <w:rFonts w:hint="eastAsia"/>
        </w:rPr>
        <w:t>单位：</w:t>
      </w:r>
      <w:sdt>
        <w:sdtPr>
          <w:rPr>
            <w:rFonts w:hint="eastAsia"/>
          </w:rPr>
          <w:alias w:val="单位：未来五年未折现租赁收款额"/>
          <w:tag w:val="_GBC_0f156e3ea1304df3873db3bede30ad62"/>
          <w:id w:val="-33044963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未来五年未折现租赁收款额"/>
          <w:tag w:val="_GBC_c6bc418acd7c4195a868d98660aea070"/>
          <w:id w:val="-10987943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3007"/>
        <w:gridCol w:w="3020"/>
        <w:gridCol w:w="3022"/>
      </w:tblGrid>
      <w:tr w:rsidR="00577D08" w14:paraId="2CBD8299" w14:textId="77777777">
        <w:sdt>
          <w:sdtPr>
            <w:tag w:val="_PLD_560236a8bfa1465babf4b80a6f3a5952"/>
            <w:id w:val="-1913453799"/>
          </w:sdtPr>
          <w:sdtContent>
            <w:tc>
              <w:tcPr>
                <w:tcW w:w="3007" w:type="dxa"/>
                <w:vMerge w:val="restart"/>
                <w:vAlign w:val="center"/>
              </w:tcPr>
              <w:p w14:paraId="506D028F" w14:textId="77777777" w:rsidR="00577D08" w:rsidRDefault="00330FC0">
                <w:pPr>
                  <w:jc w:val="center"/>
                </w:pPr>
                <w:r>
                  <w:t>项目</w:t>
                </w:r>
              </w:p>
            </w:tc>
          </w:sdtContent>
        </w:sdt>
        <w:sdt>
          <w:sdtPr>
            <w:tag w:val="_PLD_8033e1b2cc4248e388fc610609fd3072"/>
            <w:id w:val="747618855"/>
          </w:sdtPr>
          <w:sdtContent>
            <w:tc>
              <w:tcPr>
                <w:tcW w:w="6042" w:type="dxa"/>
                <w:gridSpan w:val="2"/>
                <w:vAlign w:val="center"/>
              </w:tcPr>
              <w:p w14:paraId="01080BE8" w14:textId="77777777" w:rsidR="00577D08" w:rsidRDefault="00330FC0">
                <w:pPr>
                  <w:jc w:val="center"/>
                </w:pPr>
                <w:r>
                  <w:t>每年未折现租赁收款额</w:t>
                </w:r>
              </w:p>
            </w:tc>
          </w:sdtContent>
        </w:sdt>
      </w:tr>
      <w:tr w:rsidR="00577D08" w14:paraId="018C0B69" w14:textId="77777777">
        <w:trPr>
          <w:trHeight w:val="148"/>
        </w:trPr>
        <w:tc>
          <w:tcPr>
            <w:tcW w:w="3007" w:type="dxa"/>
            <w:vMerge/>
            <w:vAlign w:val="center"/>
          </w:tcPr>
          <w:p w14:paraId="7D47EDB6" w14:textId="77777777" w:rsidR="00577D08" w:rsidRDefault="00577D08">
            <w:pPr>
              <w:jc w:val="center"/>
            </w:pPr>
          </w:p>
        </w:tc>
        <w:sdt>
          <w:sdtPr>
            <w:tag w:val="_PLD_aa7174c8b0ee481a82f1c3b0d9dad318"/>
            <w:id w:val="-951866923"/>
          </w:sdtPr>
          <w:sdtContent>
            <w:tc>
              <w:tcPr>
                <w:tcW w:w="3020" w:type="dxa"/>
                <w:vAlign w:val="center"/>
              </w:tcPr>
              <w:p w14:paraId="4B776B6C" w14:textId="77777777" w:rsidR="00577D08" w:rsidRDefault="00330FC0">
                <w:pPr>
                  <w:jc w:val="center"/>
                </w:pPr>
                <w:r>
                  <w:t>期末金额</w:t>
                </w:r>
              </w:p>
            </w:tc>
          </w:sdtContent>
        </w:sdt>
        <w:sdt>
          <w:sdtPr>
            <w:tag w:val="_PLD_49845ad07dee412bae11c7401d0be7c8"/>
            <w:id w:val="-1019927369"/>
          </w:sdtPr>
          <w:sdtContent>
            <w:tc>
              <w:tcPr>
                <w:tcW w:w="3022" w:type="dxa"/>
                <w:vAlign w:val="center"/>
              </w:tcPr>
              <w:p w14:paraId="3F60D9B0" w14:textId="77777777" w:rsidR="00577D08" w:rsidRDefault="00330FC0">
                <w:pPr>
                  <w:jc w:val="center"/>
                </w:pPr>
                <w:r>
                  <w:t>期初金额</w:t>
                </w:r>
              </w:p>
            </w:tc>
          </w:sdtContent>
        </w:sdt>
      </w:tr>
      <w:tr w:rsidR="00577D08" w14:paraId="797340B7" w14:textId="77777777">
        <w:tc>
          <w:tcPr>
            <w:tcW w:w="3007" w:type="dxa"/>
            <w:vAlign w:val="center"/>
          </w:tcPr>
          <w:p w14:paraId="749E5FC8" w14:textId="77777777" w:rsidR="00577D08" w:rsidRDefault="00330FC0">
            <w:r>
              <w:t>第一年</w:t>
            </w:r>
          </w:p>
        </w:tc>
        <w:tc>
          <w:tcPr>
            <w:tcW w:w="3020" w:type="dxa"/>
          </w:tcPr>
          <w:p w14:paraId="7ACD750A" w14:textId="77777777" w:rsidR="00577D08" w:rsidRDefault="00330FC0">
            <w:pPr>
              <w:jc w:val="right"/>
            </w:pPr>
            <w:r>
              <w:t>1,009,007.79</w:t>
            </w:r>
          </w:p>
        </w:tc>
        <w:tc>
          <w:tcPr>
            <w:tcW w:w="3022" w:type="dxa"/>
          </w:tcPr>
          <w:p w14:paraId="370FEFE7" w14:textId="77777777" w:rsidR="00577D08" w:rsidRDefault="00330FC0">
            <w:pPr>
              <w:jc w:val="right"/>
            </w:pPr>
            <w:r>
              <w:t>858,029.29</w:t>
            </w:r>
          </w:p>
        </w:tc>
      </w:tr>
      <w:tr w:rsidR="00577D08" w14:paraId="1B97A9A3" w14:textId="77777777">
        <w:tc>
          <w:tcPr>
            <w:tcW w:w="3007" w:type="dxa"/>
            <w:vAlign w:val="center"/>
          </w:tcPr>
          <w:p w14:paraId="5586977A" w14:textId="77777777" w:rsidR="00577D08" w:rsidRDefault="00330FC0">
            <w:r>
              <w:t>第二年</w:t>
            </w:r>
          </w:p>
        </w:tc>
        <w:tc>
          <w:tcPr>
            <w:tcW w:w="3020" w:type="dxa"/>
          </w:tcPr>
          <w:p w14:paraId="276E0BD9" w14:textId="77777777" w:rsidR="00577D08" w:rsidRDefault="00330FC0">
            <w:pPr>
              <w:jc w:val="right"/>
            </w:pPr>
            <w:r>
              <w:t>515,333.96</w:t>
            </w:r>
          </w:p>
        </w:tc>
        <w:tc>
          <w:tcPr>
            <w:tcW w:w="3022" w:type="dxa"/>
          </w:tcPr>
          <w:p w14:paraId="43C94638" w14:textId="77777777" w:rsidR="00577D08" w:rsidRDefault="00330FC0">
            <w:pPr>
              <w:jc w:val="right"/>
            </w:pPr>
            <w:r>
              <w:t>527,007.79</w:t>
            </w:r>
          </w:p>
        </w:tc>
      </w:tr>
      <w:tr w:rsidR="00577D08" w14:paraId="51722F86" w14:textId="77777777">
        <w:tc>
          <w:tcPr>
            <w:tcW w:w="3007" w:type="dxa"/>
            <w:vAlign w:val="center"/>
          </w:tcPr>
          <w:p w14:paraId="24539D25" w14:textId="77777777" w:rsidR="00577D08" w:rsidRDefault="00330FC0">
            <w:r>
              <w:lastRenderedPageBreak/>
              <w:t>第三年</w:t>
            </w:r>
          </w:p>
        </w:tc>
        <w:tc>
          <w:tcPr>
            <w:tcW w:w="3020" w:type="dxa"/>
          </w:tcPr>
          <w:p w14:paraId="36C0607F" w14:textId="77777777" w:rsidR="00577D08" w:rsidRDefault="00330FC0">
            <w:pPr>
              <w:jc w:val="right"/>
            </w:pPr>
            <w:r>
              <w:t>515,333.96</w:t>
            </w:r>
          </w:p>
        </w:tc>
        <w:tc>
          <w:tcPr>
            <w:tcW w:w="3022" w:type="dxa"/>
          </w:tcPr>
          <w:p w14:paraId="0D42A9A1" w14:textId="77777777" w:rsidR="00577D08" w:rsidRDefault="00330FC0">
            <w:pPr>
              <w:jc w:val="right"/>
            </w:pPr>
            <w:r>
              <w:t>453,333.96</w:t>
            </w:r>
          </w:p>
        </w:tc>
      </w:tr>
      <w:tr w:rsidR="00577D08" w14:paraId="12B630DC" w14:textId="77777777">
        <w:tc>
          <w:tcPr>
            <w:tcW w:w="3007" w:type="dxa"/>
            <w:vAlign w:val="center"/>
          </w:tcPr>
          <w:p w14:paraId="2495FDB3" w14:textId="77777777" w:rsidR="00577D08" w:rsidRDefault="00330FC0">
            <w:r>
              <w:t>第四年</w:t>
            </w:r>
          </w:p>
        </w:tc>
        <w:tc>
          <w:tcPr>
            <w:tcW w:w="3020" w:type="dxa"/>
          </w:tcPr>
          <w:p w14:paraId="29328396" w14:textId="77777777" w:rsidR="00577D08" w:rsidRDefault="00330FC0">
            <w:pPr>
              <w:jc w:val="right"/>
            </w:pPr>
            <w:r>
              <w:t>515,333.96</w:t>
            </w:r>
          </w:p>
        </w:tc>
        <w:tc>
          <w:tcPr>
            <w:tcW w:w="3022" w:type="dxa"/>
          </w:tcPr>
          <w:p w14:paraId="11EED6E1" w14:textId="77777777" w:rsidR="00577D08" w:rsidRDefault="00330FC0">
            <w:pPr>
              <w:jc w:val="right"/>
            </w:pPr>
            <w:r>
              <w:t>453,333.96</w:t>
            </w:r>
          </w:p>
        </w:tc>
      </w:tr>
      <w:tr w:rsidR="00577D08" w14:paraId="4019C51C" w14:textId="77777777">
        <w:tc>
          <w:tcPr>
            <w:tcW w:w="3007" w:type="dxa"/>
            <w:vAlign w:val="center"/>
          </w:tcPr>
          <w:p w14:paraId="727D2775" w14:textId="77777777" w:rsidR="00577D08" w:rsidRDefault="00330FC0">
            <w:r>
              <w:t>第五年</w:t>
            </w:r>
          </w:p>
        </w:tc>
        <w:tc>
          <w:tcPr>
            <w:tcW w:w="3020" w:type="dxa"/>
          </w:tcPr>
          <w:p w14:paraId="465FB4E8" w14:textId="77777777" w:rsidR="00577D08" w:rsidRDefault="00330FC0">
            <w:pPr>
              <w:jc w:val="right"/>
            </w:pPr>
            <w:r>
              <w:t>226,666.98</w:t>
            </w:r>
          </w:p>
        </w:tc>
        <w:tc>
          <w:tcPr>
            <w:tcW w:w="3022" w:type="dxa"/>
          </w:tcPr>
          <w:p w14:paraId="60ABF66E" w14:textId="77777777" w:rsidR="00577D08" w:rsidRDefault="00330FC0">
            <w:pPr>
              <w:jc w:val="right"/>
            </w:pPr>
            <w:r>
              <w:t>453,333.96</w:t>
            </w:r>
          </w:p>
        </w:tc>
      </w:tr>
      <w:tr w:rsidR="00577D08" w14:paraId="5FE9EA4C" w14:textId="77777777">
        <w:tc>
          <w:tcPr>
            <w:tcW w:w="3007" w:type="dxa"/>
            <w:vAlign w:val="center"/>
          </w:tcPr>
          <w:p w14:paraId="37AB9345" w14:textId="77777777" w:rsidR="00577D08" w:rsidRDefault="00330FC0">
            <w:r>
              <w:t>五年后未折现租赁收款额总额</w:t>
            </w:r>
          </w:p>
        </w:tc>
        <w:tc>
          <w:tcPr>
            <w:tcW w:w="3020" w:type="dxa"/>
          </w:tcPr>
          <w:p w14:paraId="4C3D9E93" w14:textId="77777777" w:rsidR="00577D08" w:rsidRDefault="00577D08">
            <w:pPr>
              <w:jc w:val="right"/>
            </w:pPr>
          </w:p>
        </w:tc>
        <w:tc>
          <w:tcPr>
            <w:tcW w:w="3022" w:type="dxa"/>
          </w:tcPr>
          <w:p w14:paraId="72F94571" w14:textId="77777777" w:rsidR="00577D08" w:rsidRDefault="00330FC0">
            <w:pPr>
              <w:jc w:val="right"/>
            </w:pPr>
            <w:r>
              <w:t>226,666.98</w:t>
            </w:r>
          </w:p>
        </w:tc>
      </w:tr>
      <w:tr w:rsidR="00577D08" w14:paraId="459ACC0E" w14:textId="77777777">
        <w:tc>
          <w:tcPr>
            <w:tcW w:w="3007" w:type="dxa"/>
            <w:vAlign w:val="center"/>
          </w:tcPr>
          <w:p w14:paraId="2BCE5554" w14:textId="77777777" w:rsidR="00577D08" w:rsidRDefault="00330FC0">
            <w:pPr>
              <w:jc w:val="center"/>
            </w:pPr>
            <w:r>
              <w:rPr>
                <w:rFonts w:hint="eastAsia"/>
              </w:rPr>
              <w:t>合计</w:t>
            </w:r>
          </w:p>
        </w:tc>
        <w:tc>
          <w:tcPr>
            <w:tcW w:w="3020" w:type="dxa"/>
          </w:tcPr>
          <w:p w14:paraId="25AC4AB0" w14:textId="77777777" w:rsidR="00577D08" w:rsidRDefault="00330FC0">
            <w:pPr>
              <w:jc w:val="right"/>
            </w:pPr>
            <w:r>
              <w:t>2,781,676.65</w:t>
            </w:r>
          </w:p>
        </w:tc>
        <w:tc>
          <w:tcPr>
            <w:tcW w:w="3022" w:type="dxa"/>
          </w:tcPr>
          <w:p w14:paraId="5DBA0D3D" w14:textId="77777777" w:rsidR="00577D08" w:rsidRDefault="00330FC0">
            <w:pPr>
              <w:jc w:val="right"/>
            </w:pPr>
            <w:r>
              <w:t>2,971,705.94</w:t>
            </w:r>
          </w:p>
        </w:tc>
      </w:tr>
    </w:tbl>
    <w:p w14:paraId="5E930854" w14:textId="77777777" w:rsidR="00577D08" w:rsidRDefault="00330FC0">
      <w:pPr>
        <w:pStyle w:val="4"/>
        <w:numPr>
          <w:ilvl w:val="0"/>
          <w:numId w:val="102"/>
        </w:numPr>
        <w:ind w:left="0" w:firstLine="0"/>
        <w:rPr>
          <w:rFonts w:hint="eastAsia"/>
        </w:rPr>
      </w:pPr>
      <w:r>
        <w:t>作为生产商或经销商确认融资租赁销售损益</w:t>
      </w:r>
    </w:p>
    <w:sdt>
      <w:sdtPr>
        <w:alias w:val="是否适用：作为生产商或经销商确认融资租赁销售损益[双击切换]"/>
        <w:tag w:val="_GBC_595c7ca108a34d50bffdd3e765cca466"/>
        <w:id w:val="-1117992213"/>
        <w:placeholder>
          <w:docPart w:val="GBC22222222222222222222222222222"/>
        </w:placeholder>
      </w:sdtPr>
      <w:sdtContent>
        <w:p w14:paraId="49B3772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4EED795" w14:textId="77777777" w:rsidR="00577D08" w:rsidRDefault="00330FC0">
      <w:r>
        <w:rPr>
          <w:rFonts w:hint="eastAsia"/>
        </w:rPr>
        <w:t>其他说明：</w:t>
      </w:r>
    </w:p>
    <w:sdt>
      <w:sdtPr>
        <w:alias w:val="租赁其他说明"/>
        <w:tag w:val="_GBC_c4951ce943a04c5e965df092a40963b7"/>
        <w:id w:val="628832317"/>
        <w:placeholder>
          <w:docPart w:val="GBC22222222222222222222222222222"/>
        </w:placeholder>
      </w:sdtPr>
      <w:sdtContent>
        <w:p w14:paraId="59D11C62" w14:textId="77777777" w:rsidR="00577D08" w:rsidRDefault="00330FC0">
          <w:r>
            <w:rPr>
              <w:rFonts w:hint="eastAsia"/>
            </w:rPr>
            <w:t>无</w:t>
          </w:r>
        </w:p>
      </w:sdtContent>
    </w:sdt>
    <w:p w14:paraId="463AD0B7" w14:textId="77777777" w:rsidR="00577D08" w:rsidRDefault="00330FC0">
      <w:pPr>
        <w:pStyle w:val="3"/>
        <w:numPr>
          <w:ilvl w:val="0"/>
          <w:numId w:val="61"/>
        </w:numPr>
        <w:tabs>
          <w:tab w:val="left" w:pos="504"/>
        </w:tabs>
        <w:rPr>
          <w:rFonts w:ascii="宋体" w:hAnsi="宋体" w:hint="eastAsia"/>
          <w:color w:val="000000" w:themeColor="text1"/>
        </w:rPr>
      </w:pPr>
      <w:bookmarkStart w:id="466" w:name="_Hlk182485828"/>
      <w:r>
        <w:rPr>
          <w:rFonts w:ascii="宋体" w:hAnsi="宋体" w:hint="eastAsia"/>
          <w:color w:val="000000" w:themeColor="text1"/>
        </w:rPr>
        <w:t>数据资源</w:t>
      </w:r>
    </w:p>
    <w:sdt>
      <w:sdtPr>
        <w:rPr>
          <w:color w:val="000000" w:themeColor="text1"/>
        </w:rPr>
        <w:alias w:val="是否适用：附注数据资源需要说明的事项[双击切换]"/>
        <w:tag w:val="_GBC_a8e8280e20f44ceba7092d703f59659a"/>
        <w:id w:val="-1081978435"/>
        <w:placeholder>
          <w:docPart w:val="GBC22222222222222222222222222222"/>
        </w:placeholder>
      </w:sdtPr>
      <w:sdtContent>
        <w:p w14:paraId="5965D2A6"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466"/>
    <w:p w14:paraId="324EFFCD" w14:textId="77777777" w:rsidR="00577D08" w:rsidRDefault="00330FC0">
      <w:pPr>
        <w:pStyle w:val="3"/>
        <w:numPr>
          <w:ilvl w:val="0"/>
          <w:numId w:val="61"/>
        </w:numPr>
        <w:tabs>
          <w:tab w:val="left" w:pos="504"/>
        </w:tabs>
      </w:pPr>
      <w:r>
        <w:rPr>
          <w:rFonts w:hint="eastAsia"/>
        </w:rPr>
        <w:t>其他</w:t>
      </w:r>
    </w:p>
    <w:sdt>
      <w:sdtPr>
        <w:alias w:val="是否适用：合并财务报表项目注释其他需要说明的事项[双击切换]"/>
        <w:tag w:val="_GBC_67815da71293483fad0e823098235edb"/>
        <w:id w:val="-72290691"/>
        <w:placeholder>
          <w:docPart w:val="GBC22222222222222222222222222222"/>
        </w:placeholder>
      </w:sdtPr>
      <w:sdtContent>
        <w:p w14:paraId="1BB8189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ascii="Times New Roman" w:hAnsi="Times New Roman"/>
          <w:sz w:val="21"/>
          <w:szCs w:val="21"/>
        </w:rPr>
        <w:alias w:val="合并财务报表项目注释其他需要说明的事项"/>
        <w:tag w:val="_GBC_03ae82bfa95448a9a91a327b060305d9"/>
        <w:id w:val="-1687441727"/>
        <w:placeholder>
          <w:docPart w:val="GBC22222222222222222222222222222"/>
        </w:placeholder>
      </w:sdtPr>
      <w:sdtContent>
        <w:p w14:paraId="00952145" w14:textId="77777777" w:rsidR="00577D08" w:rsidRDefault="00330FC0">
          <w:pPr>
            <w:pStyle w:val="Style151"/>
            <w:ind w:firstLineChars="200" w:firstLine="420"/>
            <w:rPr>
              <w:rFonts w:hint="eastAsia"/>
            </w:rPr>
          </w:pPr>
          <w:r>
            <w:rPr>
              <w:rFonts w:hint="eastAsia"/>
            </w:rPr>
            <w:t>供应商融资安排</w:t>
          </w:r>
        </w:p>
        <w:p w14:paraId="742A0C8F" w14:textId="77777777" w:rsidR="00577D08" w:rsidRDefault="00330FC0">
          <w:pPr>
            <w:pStyle w:val="Style151"/>
            <w:ind w:firstLineChars="200" w:firstLine="400"/>
            <w:rPr>
              <w:rFonts w:hint="eastAsia"/>
            </w:rPr>
          </w:pPr>
          <w:r>
            <w:rPr>
              <w:rFonts w:hint="eastAsia"/>
            </w:rPr>
            <w:t>(1)供应商融资安排的条款和条件</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418"/>
          </w:tblGrid>
          <w:tr w:rsidR="00577D08" w14:paraId="0B2B82DC" w14:textId="77777777">
            <w:tc>
              <w:tcPr>
                <w:tcW w:w="1363" w:type="pct"/>
                <w:vAlign w:val="center"/>
              </w:tcPr>
              <w:p w14:paraId="0C30C882" w14:textId="77777777" w:rsidR="00577D08" w:rsidRDefault="00330FC0">
                <w:pPr>
                  <w:jc w:val="both"/>
                  <w:rPr>
                    <w:sz w:val="20"/>
                    <w:szCs w:val="20"/>
                  </w:rPr>
                </w:pPr>
                <w:r>
                  <w:rPr>
                    <w:rFonts w:hint="eastAsia"/>
                    <w:sz w:val="20"/>
                    <w:szCs w:val="20"/>
                  </w:rPr>
                  <w:t>供应商融资安排类型</w:t>
                </w:r>
              </w:p>
            </w:tc>
            <w:tc>
              <w:tcPr>
                <w:tcW w:w="3637" w:type="pct"/>
                <w:vAlign w:val="center"/>
              </w:tcPr>
              <w:p w14:paraId="4688DA4C" w14:textId="77777777" w:rsidR="00577D08" w:rsidRDefault="00330FC0">
                <w:pPr>
                  <w:jc w:val="both"/>
                  <w:rPr>
                    <w:sz w:val="20"/>
                    <w:szCs w:val="20"/>
                  </w:rPr>
                </w:pPr>
                <w:r>
                  <w:rPr>
                    <w:rFonts w:hint="eastAsia"/>
                    <w:sz w:val="20"/>
                    <w:szCs w:val="20"/>
                  </w:rPr>
                  <w:t>条款和条件</w:t>
                </w:r>
              </w:p>
            </w:tc>
          </w:tr>
          <w:tr w:rsidR="00577D08" w14:paraId="1316655E" w14:textId="77777777">
            <w:tc>
              <w:tcPr>
                <w:tcW w:w="1363" w:type="pct"/>
                <w:vAlign w:val="center"/>
              </w:tcPr>
              <w:p w14:paraId="1F47DEF5" w14:textId="77777777" w:rsidR="00577D08" w:rsidRDefault="00330FC0">
                <w:pPr>
                  <w:jc w:val="both"/>
                  <w:rPr>
                    <w:sz w:val="20"/>
                    <w:szCs w:val="20"/>
                  </w:rPr>
                </w:pPr>
                <w:r>
                  <w:rPr>
                    <w:rFonts w:hint="eastAsia"/>
                    <w:sz w:val="20"/>
                    <w:szCs w:val="20"/>
                  </w:rPr>
                  <w:t>中信银行融信通业务</w:t>
                </w:r>
              </w:p>
            </w:tc>
            <w:tc>
              <w:tcPr>
                <w:tcW w:w="3637" w:type="pct"/>
              </w:tcPr>
              <w:p w14:paraId="234116DA" w14:textId="77777777" w:rsidR="00577D08" w:rsidRDefault="00330FC0">
                <w:pPr>
                  <w:jc w:val="both"/>
                  <w:rPr>
                    <w:sz w:val="20"/>
                    <w:szCs w:val="20"/>
                  </w:rPr>
                </w:pPr>
                <w:r>
                  <w:rPr>
                    <w:rFonts w:hint="eastAsia"/>
                    <w:sz w:val="20"/>
                    <w:szCs w:val="20"/>
                  </w:rPr>
                  <w:t>以核心企业与上下游企业交易背景真实为前提，公司向供应商开立电子银行承兑汇票，承兑银行审核承兑后，自动完成票据贴现，并将款项支付给上游供应商，可延长公司采购付现周期</w:t>
                </w:r>
                <w:r>
                  <w:rPr>
                    <w:rFonts w:hint="eastAsia"/>
                    <w:sz w:val="20"/>
                    <w:szCs w:val="20"/>
                  </w:rPr>
                  <w:t>6</w:t>
                </w:r>
                <w:r>
                  <w:rPr>
                    <w:rFonts w:hint="eastAsia"/>
                    <w:sz w:val="20"/>
                    <w:szCs w:val="20"/>
                  </w:rPr>
                  <w:t>个月。</w:t>
                </w:r>
              </w:p>
            </w:tc>
          </w:tr>
          <w:tr w:rsidR="00577D08" w14:paraId="1E5BC27C" w14:textId="77777777">
            <w:tc>
              <w:tcPr>
                <w:tcW w:w="1363" w:type="pct"/>
                <w:vAlign w:val="center"/>
              </w:tcPr>
              <w:p w14:paraId="5D3B7527" w14:textId="77777777" w:rsidR="00577D08" w:rsidRDefault="00330FC0">
                <w:pPr>
                  <w:jc w:val="both"/>
                  <w:rPr>
                    <w:sz w:val="20"/>
                    <w:szCs w:val="20"/>
                  </w:rPr>
                </w:pPr>
                <w:r>
                  <w:rPr>
                    <w:rFonts w:hint="eastAsia"/>
                    <w:sz w:val="20"/>
                    <w:szCs w:val="20"/>
                  </w:rPr>
                  <w:t>信用证电费业务</w:t>
                </w:r>
              </w:p>
            </w:tc>
            <w:tc>
              <w:tcPr>
                <w:tcW w:w="3637" w:type="pct"/>
              </w:tcPr>
              <w:p w14:paraId="4D0A473D" w14:textId="77777777" w:rsidR="00577D08" w:rsidRDefault="00330FC0">
                <w:pPr>
                  <w:jc w:val="both"/>
                  <w:rPr>
                    <w:sz w:val="20"/>
                    <w:szCs w:val="20"/>
                  </w:rPr>
                </w:pPr>
                <w:r>
                  <w:rPr>
                    <w:rFonts w:hint="eastAsia"/>
                    <w:sz w:val="20"/>
                    <w:szCs w:val="20"/>
                  </w:rPr>
                  <w:t>公司与供应商国网重庆市电力公司长寿供电分公司、开户行签订三方协议，由公司向银行申请开立信用证，银行完成信用证开证时，一次性向供应商支付采购款，可延长公司采购付现周期</w:t>
                </w:r>
                <w:r>
                  <w:rPr>
                    <w:rFonts w:hint="eastAsia"/>
                    <w:sz w:val="20"/>
                    <w:szCs w:val="20"/>
                  </w:rPr>
                  <w:t>1</w:t>
                </w:r>
                <w:r>
                  <w:rPr>
                    <w:rFonts w:hint="eastAsia"/>
                    <w:sz w:val="20"/>
                    <w:szCs w:val="20"/>
                  </w:rPr>
                  <w:t>年。</w:t>
                </w:r>
              </w:p>
            </w:tc>
          </w:tr>
        </w:tbl>
        <w:p w14:paraId="4140C1EC" w14:textId="77777777" w:rsidR="00577D08" w:rsidRDefault="00330FC0">
          <w:pPr>
            <w:ind w:firstLineChars="200" w:firstLine="420"/>
          </w:pPr>
          <w:r>
            <w:rPr>
              <w:rFonts w:hint="eastAsia"/>
            </w:rPr>
            <w:t>(2)</w:t>
          </w:r>
          <w:r>
            <w:rPr>
              <w:rFonts w:hint="eastAsia"/>
            </w:rPr>
            <w:t>供应商融资安排相关负债情况</w:t>
          </w:r>
        </w:p>
        <w:p w14:paraId="6C5C6162" w14:textId="77777777" w:rsidR="00577D08" w:rsidRDefault="00577D08">
          <w:pPr>
            <w:pStyle w:val="Style151"/>
            <w:ind w:firstLineChars="200" w:firstLine="400"/>
            <w:rPr>
              <w:rFonts w:hint="eastAsia"/>
            </w:rPr>
          </w:pPr>
        </w:p>
        <w:p w14:paraId="2F10E6F6" w14:textId="77777777" w:rsidR="00577D08" w:rsidRDefault="00330FC0">
          <w:pPr>
            <w:ind w:firstLineChars="200" w:firstLine="420"/>
            <w:rPr>
              <w:bCs/>
            </w:rPr>
          </w:pPr>
          <w:r>
            <w:rPr>
              <w:rFonts w:hint="eastAsia"/>
            </w:rPr>
            <w:t>相关负债账面价值</w:t>
          </w:r>
        </w:p>
        <w:p w14:paraId="367936AC" w14:textId="77777777" w:rsidR="00577D08" w:rsidRDefault="00330FC0">
          <w:pPr>
            <w:pStyle w:val="Style151"/>
            <w:jc w:val="right"/>
            <w:rPr>
              <w:rFonts w:hint="eastAsia"/>
            </w:rPr>
          </w:pPr>
          <w:r>
            <w:rPr>
              <w:rFonts w:hint="eastAsia"/>
            </w:rPr>
            <w:t>单位：元币种：人民币</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2942"/>
            <w:gridCol w:w="2942"/>
          </w:tblGrid>
          <w:tr w:rsidR="00577D08" w14:paraId="176AEC63" w14:textId="77777777">
            <w:tc>
              <w:tcPr>
                <w:tcW w:w="1666" w:type="pct"/>
              </w:tcPr>
              <w:p w14:paraId="63332D03" w14:textId="77777777" w:rsidR="00577D08" w:rsidRDefault="00330FC0">
                <w:pPr>
                  <w:jc w:val="center"/>
                  <w:rPr>
                    <w:sz w:val="20"/>
                    <w:szCs w:val="20"/>
                  </w:rPr>
                </w:pPr>
                <w:r>
                  <w:rPr>
                    <w:rFonts w:hint="eastAsia"/>
                    <w:sz w:val="20"/>
                    <w:szCs w:val="20"/>
                  </w:rPr>
                  <w:t>项目</w:t>
                </w:r>
              </w:p>
            </w:tc>
            <w:tc>
              <w:tcPr>
                <w:tcW w:w="1667" w:type="pct"/>
              </w:tcPr>
              <w:p w14:paraId="3D52C5B3" w14:textId="77777777" w:rsidR="00577D08" w:rsidRDefault="00330FC0">
                <w:pPr>
                  <w:jc w:val="center"/>
                  <w:rPr>
                    <w:sz w:val="20"/>
                    <w:szCs w:val="20"/>
                  </w:rPr>
                </w:pPr>
                <w:r>
                  <w:rPr>
                    <w:rFonts w:hint="eastAsia"/>
                    <w:sz w:val="20"/>
                    <w:szCs w:val="20"/>
                  </w:rPr>
                  <w:t>期末数</w:t>
                </w:r>
              </w:p>
            </w:tc>
            <w:tc>
              <w:tcPr>
                <w:tcW w:w="1667" w:type="pct"/>
              </w:tcPr>
              <w:p w14:paraId="2B77364D" w14:textId="77777777" w:rsidR="00577D08" w:rsidRDefault="00330FC0">
                <w:pPr>
                  <w:jc w:val="center"/>
                  <w:rPr>
                    <w:sz w:val="20"/>
                    <w:szCs w:val="20"/>
                  </w:rPr>
                </w:pPr>
                <w:r>
                  <w:rPr>
                    <w:rFonts w:hint="eastAsia"/>
                    <w:sz w:val="20"/>
                    <w:szCs w:val="20"/>
                  </w:rPr>
                  <w:t>期初数</w:t>
                </w:r>
              </w:p>
            </w:tc>
          </w:tr>
          <w:tr w:rsidR="00577D08" w14:paraId="06BDBDED" w14:textId="77777777">
            <w:tc>
              <w:tcPr>
                <w:tcW w:w="1666" w:type="pct"/>
              </w:tcPr>
              <w:p w14:paraId="7BFB3F38" w14:textId="77777777" w:rsidR="00577D08" w:rsidRDefault="00330FC0">
                <w:pPr>
                  <w:pStyle w:val="Style43"/>
                </w:pPr>
                <w:r>
                  <w:rPr>
                    <w:rFonts w:hint="eastAsia"/>
                  </w:rPr>
                  <w:t>短期借款</w:t>
                </w:r>
              </w:p>
            </w:tc>
            <w:tc>
              <w:tcPr>
                <w:tcW w:w="1667" w:type="pct"/>
              </w:tcPr>
              <w:p w14:paraId="70B53C74" w14:textId="77777777" w:rsidR="00577D08" w:rsidRDefault="00330FC0">
                <w:pPr>
                  <w:jc w:val="right"/>
                  <w:rPr>
                    <w:sz w:val="20"/>
                    <w:szCs w:val="20"/>
                  </w:rPr>
                </w:pPr>
                <w:r>
                  <w:rPr>
                    <w:sz w:val="20"/>
                    <w:szCs w:val="20"/>
                  </w:rPr>
                  <w:t>144,345,541.84</w:t>
                </w:r>
              </w:p>
            </w:tc>
            <w:tc>
              <w:tcPr>
                <w:tcW w:w="1667" w:type="pct"/>
              </w:tcPr>
              <w:p w14:paraId="73DD2ABE" w14:textId="77777777" w:rsidR="00577D08" w:rsidRDefault="00330FC0">
                <w:pPr>
                  <w:jc w:val="right"/>
                  <w:rPr>
                    <w:sz w:val="20"/>
                    <w:szCs w:val="20"/>
                  </w:rPr>
                </w:pPr>
                <w:r>
                  <w:rPr>
                    <w:sz w:val="20"/>
                    <w:szCs w:val="20"/>
                  </w:rPr>
                  <w:t>130,934,776.24</w:t>
                </w:r>
              </w:p>
            </w:tc>
          </w:tr>
          <w:tr w:rsidR="00577D08" w14:paraId="5DB91889" w14:textId="77777777">
            <w:tc>
              <w:tcPr>
                <w:tcW w:w="1666" w:type="pct"/>
              </w:tcPr>
              <w:p w14:paraId="382BED2A" w14:textId="77777777" w:rsidR="00577D08" w:rsidRDefault="00330FC0">
                <w:pPr>
                  <w:pStyle w:val="Style43"/>
                </w:pPr>
                <w:r>
                  <w:rPr>
                    <w:rFonts w:hint="eastAsia"/>
                  </w:rPr>
                  <w:t>其中：供应商已收到款项</w:t>
                </w:r>
              </w:p>
            </w:tc>
            <w:tc>
              <w:tcPr>
                <w:tcW w:w="1667" w:type="pct"/>
              </w:tcPr>
              <w:p w14:paraId="0836235A" w14:textId="77777777" w:rsidR="00577D08" w:rsidRDefault="00330FC0">
                <w:pPr>
                  <w:jc w:val="right"/>
                  <w:rPr>
                    <w:sz w:val="20"/>
                    <w:szCs w:val="20"/>
                  </w:rPr>
                </w:pPr>
                <w:r>
                  <w:rPr>
                    <w:sz w:val="20"/>
                    <w:szCs w:val="20"/>
                  </w:rPr>
                  <w:t>144,345,541.84</w:t>
                </w:r>
              </w:p>
            </w:tc>
            <w:tc>
              <w:tcPr>
                <w:tcW w:w="1667" w:type="pct"/>
              </w:tcPr>
              <w:p w14:paraId="1FF6E4ED" w14:textId="77777777" w:rsidR="00577D08" w:rsidRDefault="00330FC0">
                <w:pPr>
                  <w:jc w:val="right"/>
                  <w:rPr>
                    <w:sz w:val="20"/>
                    <w:szCs w:val="20"/>
                  </w:rPr>
                </w:pPr>
                <w:r>
                  <w:rPr>
                    <w:sz w:val="20"/>
                    <w:szCs w:val="20"/>
                  </w:rPr>
                  <w:t>130,934,776.24</w:t>
                </w:r>
              </w:p>
            </w:tc>
          </w:tr>
          <w:tr w:rsidR="00577D08" w14:paraId="16A0718C" w14:textId="77777777">
            <w:tc>
              <w:tcPr>
                <w:tcW w:w="1666" w:type="pct"/>
              </w:tcPr>
              <w:p w14:paraId="20EF21B4" w14:textId="77777777" w:rsidR="00577D08" w:rsidRDefault="00330FC0">
                <w:pPr>
                  <w:jc w:val="center"/>
                  <w:rPr>
                    <w:sz w:val="20"/>
                    <w:szCs w:val="20"/>
                  </w:rPr>
                </w:pPr>
                <w:r>
                  <w:rPr>
                    <w:rFonts w:hint="eastAsia"/>
                    <w:sz w:val="20"/>
                    <w:szCs w:val="20"/>
                  </w:rPr>
                  <w:t>合计</w:t>
                </w:r>
              </w:p>
            </w:tc>
            <w:tc>
              <w:tcPr>
                <w:tcW w:w="1667" w:type="pct"/>
              </w:tcPr>
              <w:p w14:paraId="10ECB961" w14:textId="77777777" w:rsidR="00577D08" w:rsidRDefault="00330FC0">
                <w:pPr>
                  <w:jc w:val="right"/>
                  <w:rPr>
                    <w:sz w:val="20"/>
                    <w:szCs w:val="20"/>
                  </w:rPr>
                </w:pPr>
                <w:r>
                  <w:rPr>
                    <w:sz w:val="20"/>
                    <w:szCs w:val="20"/>
                  </w:rPr>
                  <w:t>144,345,541.84</w:t>
                </w:r>
              </w:p>
            </w:tc>
            <w:tc>
              <w:tcPr>
                <w:tcW w:w="1667" w:type="pct"/>
              </w:tcPr>
              <w:p w14:paraId="6490808C" w14:textId="77777777" w:rsidR="00577D08" w:rsidRDefault="00330FC0">
                <w:pPr>
                  <w:jc w:val="right"/>
                  <w:rPr>
                    <w:sz w:val="20"/>
                    <w:szCs w:val="20"/>
                  </w:rPr>
                </w:pPr>
                <w:r>
                  <w:rPr>
                    <w:sz w:val="20"/>
                    <w:szCs w:val="20"/>
                  </w:rPr>
                  <w:t>130,934,776.24</w:t>
                </w:r>
              </w:p>
            </w:tc>
          </w:tr>
        </w:tbl>
        <w:p w14:paraId="2430D6E9" w14:textId="77777777" w:rsidR="00577D08" w:rsidRDefault="00330FC0">
          <w:pPr>
            <w:pStyle w:val="Style151"/>
            <w:ind w:firstLineChars="200" w:firstLine="420"/>
            <w:rPr>
              <w:rFonts w:cs="宋体" w:hint="eastAsia"/>
              <w:sz w:val="21"/>
              <w:szCs w:val="21"/>
            </w:rPr>
          </w:pPr>
          <w:r>
            <w:rPr>
              <w:rFonts w:cs="宋体" w:hint="eastAsia"/>
              <w:sz w:val="21"/>
              <w:szCs w:val="21"/>
            </w:rPr>
            <w:t>相关负债非现金变动情况</w:t>
          </w:r>
        </w:p>
        <w:p w14:paraId="00B17454" w14:textId="697A02BE" w:rsidR="00577D08" w:rsidRDefault="00330FC0">
          <w:pPr>
            <w:pStyle w:val="Style151"/>
            <w:jc w:val="right"/>
            <w:rPr>
              <w:rFonts w:hint="eastAsia"/>
            </w:rPr>
          </w:pPr>
          <w:r>
            <w:rPr>
              <w:rFonts w:hint="eastAsia"/>
            </w:rPr>
            <w:t>单位：元</w:t>
          </w:r>
          <w:r w:rsidR="00CC5C32">
            <w:rPr>
              <w:rFonts w:hint="eastAsia"/>
            </w:rPr>
            <w:t xml:space="preserve"> </w:t>
          </w:r>
          <w:r>
            <w:rPr>
              <w:rFonts w:hint="eastAsia"/>
            </w:rPr>
            <w:t>币种：人民币</w:t>
          </w: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150"/>
          </w:tblGrid>
          <w:tr w:rsidR="00577D08" w14:paraId="74727D33" w14:textId="77777777">
            <w:tc>
              <w:tcPr>
                <w:tcW w:w="2648" w:type="pct"/>
              </w:tcPr>
              <w:p w14:paraId="32C8592A" w14:textId="77777777" w:rsidR="00577D08" w:rsidRDefault="00330FC0">
                <w:pPr>
                  <w:jc w:val="both"/>
                  <w:rPr>
                    <w:sz w:val="20"/>
                    <w:szCs w:val="20"/>
                  </w:rPr>
                </w:pPr>
                <w:r>
                  <w:rPr>
                    <w:rFonts w:hint="eastAsia"/>
                    <w:sz w:val="20"/>
                    <w:szCs w:val="20"/>
                  </w:rPr>
                  <w:t>非现金变动类型</w:t>
                </w:r>
              </w:p>
            </w:tc>
            <w:tc>
              <w:tcPr>
                <w:tcW w:w="2352" w:type="pct"/>
                <w:vAlign w:val="center"/>
              </w:tcPr>
              <w:p w14:paraId="4B115EE6" w14:textId="77777777" w:rsidR="00577D08" w:rsidRDefault="00330FC0">
                <w:pPr>
                  <w:jc w:val="center"/>
                  <w:rPr>
                    <w:sz w:val="20"/>
                    <w:szCs w:val="20"/>
                  </w:rPr>
                </w:pPr>
                <w:r>
                  <w:rPr>
                    <w:rFonts w:hint="eastAsia"/>
                    <w:sz w:val="20"/>
                    <w:szCs w:val="20"/>
                  </w:rPr>
                  <w:t>本期数</w:t>
                </w:r>
              </w:p>
            </w:tc>
          </w:tr>
          <w:tr w:rsidR="00577D08" w14:paraId="24B2B4FA" w14:textId="77777777">
            <w:tc>
              <w:tcPr>
                <w:tcW w:w="2648" w:type="pct"/>
              </w:tcPr>
              <w:p w14:paraId="6739F560" w14:textId="77777777" w:rsidR="00577D08" w:rsidRDefault="00330FC0">
                <w:pPr>
                  <w:jc w:val="both"/>
                  <w:rPr>
                    <w:sz w:val="20"/>
                    <w:szCs w:val="20"/>
                  </w:rPr>
                </w:pPr>
                <w:r>
                  <w:rPr>
                    <w:rFonts w:hint="eastAsia"/>
                    <w:sz w:val="20"/>
                    <w:szCs w:val="20"/>
                  </w:rPr>
                  <w:t>从应付账款转至短期借款</w:t>
                </w:r>
              </w:p>
            </w:tc>
            <w:tc>
              <w:tcPr>
                <w:tcW w:w="2352" w:type="pct"/>
                <w:vAlign w:val="center"/>
              </w:tcPr>
              <w:p w14:paraId="35875ACA" w14:textId="77777777" w:rsidR="00577D08" w:rsidRDefault="00330FC0">
                <w:pPr>
                  <w:jc w:val="right"/>
                  <w:rPr>
                    <w:sz w:val="20"/>
                    <w:szCs w:val="20"/>
                  </w:rPr>
                </w:pPr>
                <w:r>
                  <w:rPr>
                    <w:sz w:val="20"/>
                    <w:szCs w:val="20"/>
                  </w:rPr>
                  <w:t>144,345,541.84</w:t>
                </w:r>
              </w:p>
            </w:tc>
          </w:tr>
        </w:tbl>
        <w:p w14:paraId="76D59A22" w14:textId="77777777" w:rsidR="00577D08" w:rsidRDefault="00000000"/>
      </w:sdtContent>
    </w:sdt>
    <w:p w14:paraId="7B86F6D8" w14:textId="77777777" w:rsidR="00577D08" w:rsidRDefault="00330FC0">
      <w:pPr>
        <w:pStyle w:val="2"/>
        <w:numPr>
          <w:ilvl w:val="0"/>
          <w:numId w:val="52"/>
        </w:numPr>
      </w:pPr>
      <w:bookmarkStart w:id="467" w:name="_Hlk40108415"/>
      <w:r>
        <w:rPr>
          <w:rFonts w:hint="eastAsia"/>
        </w:rPr>
        <w:t>研发支出</w:t>
      </w:r>
    </w:p>
    <w:p w14:paraId="03B8BD46" w14:textId="77777777" w:rsidR="00577D08" w:rsidRDefault="00330FC0">
      <w:pPr>
        <w:pStyle w:val="3"/>
        <w:numPr>
          <w:ilvl w:val="0"/>
          <w:numId w:val="103"/>
        </w:numPr>
      </w:pPr>
      <w:r>
        <w:rPr>
          <w:rFonts w:hint="eastAsia"/>
        </w:rPr>
        <w:t>按费用性质列示</w:t>
      </w:r>
    </w:p>
    <w:sdt>
      <w:sdtPr>
        <w:alias w:val="是否适用：研发费用[双击切换]"/>
        <w:tag w:val="_GBC_04b52b9f74d642ed996cff71b3380562"/>
        <w:id w:val="-2026235200"/>
        <w:placeholder>
          <w:docPart w:val="GBC22222222222222222222222222222"/>
        </w:placeholder>
      </w:sdtPr>
      <w:sdtContent>
        <w:p w14:paraId="6141E33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7B5DAEB" w14:textId="6D99A8C5" w:rsidR="00577D08" w:rsidRDefault="00330FC0">
      <w:pPr>
        <w:pStyle w:val="aff9"/>
        <w:ind w:left="420" w:firstLineChars="0" w:firstLine="0"/>
        <w:jc w:val="right"/>
        <w:rPr>
          <w:szCs w:val="21"/>
        </w:rPr>
      </w:pPr>
      <w:r>
        <w:rPr>
          <w:rFonts w:hint="eastAsia"/>
          <w:szCs w:val="21"/>
        </w:rPr>
        <w:t>单位：</w:t>
      </w:r>
      <w:sdt>
        <w:sdtPr>
          <w:rPr>
            <w:rFonts w:hint="eastAsia"/>
            <w:szCs w:val="21"/>
          </w:rPr>
          <w:alias w:val="单位：研发费用"/>
          <w:tag w:val="_GBC_cf8eb084313b4a1daa3dbb7d47c6cc60"/>
          <w:id w:val="-19394371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sdtContent>
      </w:sdt>
      <w:r>
        <w:rPr>
          <w:rFonts w:hint="eastAsia"/>
          <w:szCs w:val="21"/>
        </w:rPr>
        <w:t>币种：</w:t>
      </w:r>
      <w:sdt>
        <w:sdtPr>
          <w:rPr>
            <w:rFonts w:hint="eastAsia"/>
            <w:szCs w:val="21"/>
          </w:rPr>
          <w:alias w:val="币种：研发费用"/>
          <w:tag w:val="_GBC_572bef247e4247e09454933a69c36e65"/>
          <w:id w:val="-5492227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77D08" w14:paraId="5891792F" w14:textId="77777777">
        <w:sdt>
          <w:sdtPr>
            <w:tag w:val="_PLD_373a371c2fc74073850def05593a1e6b"/>
            <w:id w:val="-2062079939"/>
          </w:sdtPr>
          <w:sdtContent>
            <w:tc>
              <w:tcPr>
                <w:tcW w:w="4005" w:type="dxa"/>
                <w:tcBorders>
                  <w:top w:val="single" w:sz="4" w:space="0" w:color="auto"/>
                  <w:left w:val="single" w:sz="4" w:space="0" w:color="auto"/>
                  <w:bottom w:val="single" w:sz="4" w:space="0" w:color="auto"/>
                  <w:right w:val="single" w:sz="4" w:space="0" w:color="auto"/>
                </w:tcBorders>
                <w:vAlign w:val="center"/>
              </w:tcPr>
              <w:p w14:paraId="569C3679" w14:textId="77777777" w:rsidR="00577D08" w:rsidRDefault="00330FC0">
                <w:pPr>
                  <w:jc w:val="center"/>
                </w:pPr>
                <w:r>
                  <w:rPr>
                    <w:rFonts w:hint="eastAsia"/>
                  </w:rPr>
                  <w:t>项目</w:t>
                </w:r>
              </w:p>
            </w:tc>
          </w:sdtContent>
        </w:sdt>
        <w:sdt>
          <w:sdtPr>
            <w:tag w:val="_PLD_6822cfd6a9f74188bf87ee408083b254"/>
            <w:id w:val="19054898"/>
          </w:sdtPr>
          <w:sdtContent>
            <w:tc>
              <w:tcPr>
                <w:tcW w:w="2604" w:type="dxa"/>
                <w:tcBorders>
                  <w:top w:val="single" w:sz="4" w:space="0" w:color="auto"/>
                  <w:left w:val="single" w:sz="4" w:space="0" w:color="auto"/>
                  <w:bottom w:val="single" w:sz="4" w:space="0" w:color="auto"/>
                  <w:right w:val="single" w:sz="4" w:space="0" w:color="auto"/>
                </w:tcBorders>
                <w:vAlign w:val="center"/>
              </w:tcPr>
              <w:p w14:paraId="41E29646" w14:textId="77777777" w:rsidR="00577D08" w:rsidRDefault="00330FC0">
                <w:pPr>
                  <w:jc w:val="center"/>
                </w:pPr>
                <w:r>
                  <w:rPr>
                    <w:rFonts w:hint="eastAsia"/>
                  </w:rPr>
                  <w:t>本期发生额</w:t>
                </w:r>
              </w:p>
            </w:tc>
          </w:sdtContent>
        </w:sdt>
        <w:sdt>
          <w:sdtPr>
            <w:tag w:val="_PLD_9179c21572a24986aa54bad16a61a225"/>
            <w:id w:val="-7613416"/>
          </w:sdtPr>
          <w:sdtContent>
            <w:tc>
              <w:tcPr>
                <w:tcW w:w="2439" w:type="dxa"/>
                <w:tcBorders>
                  <w:top w:val="single" w:sz="4" w:space="0" w:color="auto"/>
                  <w:left w:val="single" w:sz="4" w:space="0" w:color="auto"/>
                  <w:bottom w:val="single" w:sz="4" w:space="0" w:color="auto"/>
                  <w:right w:val="single" w:sz="4" w:space="0" w:color="auto"/>
                </w:tcBorders>
                <w:vAlign w:val="center"/>
              </w:tcPr>
              <w:p w14:paraId="2CABDEDC" w14:textId="77777777" w:rsidR="00577D08" w:rsidRDefault="00330FC0">
                <w:pPr>
                  <w:jc w:val="center"/>
                </w:pPr>
                <w:r>
                  <w:rPr>
                    <w:rFonts w:hint="eastAsia"/>
                  </w:rPr>
                  <w:t>上期发生额</w:t>
                </w:r>
              </w:p>
            </w:tc>
          </w:sdtContent>
        </w:sdt>
      </w:tr>
      <w:tr w:rsidR="00577D08" w14:paraId="161685E9" w14:textId="77777777">
        <w:tc>
          <w:tcPr>
            <w:tcW w:w="4005" w:type="dxa"/>
            <w:tcBorders>
              <w:top w:val="single" w:sz="4" w:space="0" w:color="auto"/>
              <w:left w:val="single" w:sz="4" w:space="0" w:color="auto"/>
              <w:bottom w:val="single" w:sz="4" w:space="0" w:color="auto"/>
              <w:right w:val="single" w:sz="4" w:space="0" w:color="auto"/>
            </w:tcBorders>
          </w:tcPr>
          <w:p w14:paraId="5FE2E30E" w14:textId="77777777" w:rsidR="00577D08" w:rsidRDefault="00330FC0">
            <w:r>
              <w:rPr>
                <w:rFonts w:hint="eastAsia"/>
              </w:rPr>
              <w:t>职工薪酬</w:t>
            </w:r>
          </w:p>
        </w:tc>
        <w:tc>
          <w:tcPr>
            <w:tcW w:w="2604" w:type="dxa"/>
            <w:tcBorders>
              <w:top w:val="single" w:sz="4" w:space="0" w:color="auto"/>
              <w:left w:val="single" w:sz="4" w:space="0" w:color="auto"/>
              <w:bottom w:val="single" w:sz="4" w:space="0" w:color="auto"/>
              <w:right w:val="single" w:sz="4" w:space="0" w:color="auto"/>
            </w:tcBorders>
          </w:tcPr>
          <w:p w14:paraId="1E2D67E7" w14:textId="77777777" w:rsidR="00577D08" w:rsidRDefault="00330FC0">
            <w:pPr>
              <w:jc w:val="right"/>
            </w:pPr>
            <w:r>
              <w:rPr>
                <w:rFonts w:hint="eastAsia"/>
              </w:rPr>
              <w:t>18,357,728.21</w:t>
            </w:r>
          </w:p>
        </w:tc>
        <w:tc>
          <w:tcPr>
            <w:tcW w:w="2439" w:type="dxa"/>
            <w:tcBorders>
              <w:top w:val="single" w:sz="4" w:space="0" w:color="auto"/>
              <w:left w:val="single" w:sz="4" w:space="0" w:color="auto"/>
              <w:bottom w:val="single" w:sz="4" w:space="0" w:color="auto"/>
              <w:right w:val="single" w:sz="4" w:space="0" w:color="auto"/>
            </w:tcBorders>
          </w:tcPr>
          <w:p w14:paraId="4EF7DE43" w14:textId="77777777" w:rsidR="00577D08" w:rsidRDefault="00330FC0">
            <w:pPr>
              <w:jc w:val="right"/>
            </w:pPr>
            <w:r>
              <w:rPr>
                <w:rFonts w:hint="eastAsia"/>
              </w:rPr>
              <w:t>18,466,534.33</w:t>
            </w:r>
          </w:p>
        </w:tc>
      </w:tr>
      <w:tr w:rsidR="00577D08" w14:paraId="6D43AC38" w14:textId="77777777">
        <w:tc>
          <w:tcPr>
            <w:tcW w:w="4005" w:type="dxa"/>
            <w:tcBorders>
              <w:top w:val="single" w:sz="4" w:space="0" w:color="auto"/>
              <w:left w:val="single" w:sz="4" w:space="0" w:color="auto"/>
              <w:bottom w:val="single" w:sz="4" w:space="0" w:color="auto"/>
              <w:right w:val="single" w:sz="4" w:space="0" w:color="auto"/>
            </w:tcBorders>
          </w:tcPr>
          <w:p w14:paraId="791BFFC0" w14:textId="77777777" w:rsidR="00577D08" w:rsidRDefault="00330FC0">
            <w:r>
              <w:rPr>
                <w:rFonts w:hint="eastAsia"/>
              </w:rPr>
              <w:t>材料费</w:t>
            </w:r>
          </w:p>
        </w:tc>
        <w:tc>
          <w:tcPr>
            <w:tcW w:w="2604" w:type="dxa"/>
            <w:tcBorders>
              <w:top w:val="single" w:sz="4" w:space="0" w:color="auto"/>
              <w:left w:val="single" w:sz="4" w:space="0" w:color="auto"/>
              <w:bottom w:val="single" w:sz="4" w:space="0" w:color="auto"/>
              <w:right w:val="single" w:sz="4" w:space="0" w:color="auto"/>
            </w:tcBorders>
          </w:tcPr>
          <w:p w14:paraId="422F6D39" w14:textId="77777777" w:rsidR="00577D08" w:rsidRDefault="00330FC0">
            <w:pPr>
              <w:jc w:val="right"/>
            </w:pPr>
            <w:r>
              <w:rPr>
                <w:rFonts w:hint="eastAsia"/>
              </w:rPr>
              <w:t>12,648,700.06</w:t>
            </w:r>
          </w:p>
        </w:tc>
        <w:tc>
          <w:tcPr>
            <w:tcW w:w="2439" w:type="dxa"/>
            <w:tcBorders>
              <w:top w:val="single" w:sz="4" w:space="0" w:color="auto"/>
              <w:left w:val="single" w:sz="4" w:space="0" w:color="auto"/>
              <w:bottom w:val="single" w:sz="4" w:space="0" w:color="auto"/>
              <w:right w:val="single" w:sz="4" w:space="0" w:color="auto"/>
            </w:tcBorders>
          </w:tcPr>
          <w:p w14:paraId="307E02F1" w14:textId="77777777" w:rsidR="00577D08" w:rsidRDefault="00330FC0">
            <w:pPr>
              <w:jc w:val="right"/>
            </w:pPr>
            <w:r>
              <w:rPr>
                <w:rFonts w:hint="eastAsia"/>
              </w:rPr>
              <w:t>12,412,181.86</w:t>
            </w:r>
          </w:p>
        </w:tc>
      </w:tr>
      <w:tr w:rsidR="00577D08" w14:paraId="7463BAC4" w14:textId="77777777">
        <w:tc>
          <w:tcPr>
            <w:tcW w:w="4005" w:type="dxa"/>
            <w:tcBorders>
              <w:top w:val="single" w:sz="4" w:space="0" w:color="auto"/>
              <w:left w:val="single" w:sz="4" w:space="0" w:color="auto"/>
              <w:bottom w:val="single" w:sz="4" w:space="0" w:color="auto"/>
              <w:right w:val="single" w:sz="4" w:space="0" w:color="auto"/>
            </w:tcBorders>
          </w:tcPr>
          <w:p w14:paraId="5832C3EC" w14:textId="77777777" w:rsidR="00577D08" w:rsidRDefault="00330FC0">
            <w:r>
              <w:rPr>
                <w:rFonts w:hint="eastAsia"/>
              </w:rPr>
              <w:t>检测费及委外研究费用</w:t>
            </w:r>
          </w:p>
        </w:tc>
        <w:tc>
          <w:tcPr>
            <w:tcW w:w="2604" w:type="dxa"/>
            <w:tcBorders>
              <w:top w:val="single" w:sz="4" w:space="0" w:color="auto"/>
              <w:left w:val="single" w:sz="4" w:space="0" w:color="auto"/>
              <w:bottom w:val="single" w:sz="4" w:space="0" w:color="auto"/>
              <w:right w:val="single" w:sz="4" w:space="0" w:color="auto"/>
            </w:tcBorders>
          </w:tcPr>
          <w:p w14:paraId="2E931E03" w14:textId="77777777" w:rsidR="00577D08" w:rsidRDefault="00330FC0">
            <w:pPr>
              <w:jc w:val="right"/>
            </w:pPr>
            <w:r>
              <w:rPr>
                <w:rFonts w:hint="eastAsia"/>
              </w:rPr>
              <w:t>6,360,409.15</w:t>
            </w:r>
          </w:p>
        </w:tc>
        <w:tc>
          <w:tcPr>
            <w:tcW w:w="2439" w:type="dxa"/>
            <w:tcBorders>
              <w:top w:val="single" w:sz="4" w:space="0" w:color="auto"/>
              <w:left w:val="single" w:sz="4" w:space="0" w:color="auto"/>
              <w:bottom w:val="single" w:sz="4" w:space="0" w:color="auto"/>
              <w:right w:val="single" w:sz="4" w:space="0" w:color="auto"/>
            </w:tcBorders>
          </w:tcPr>
          <w:p w14:paraId="5CF3146E" w14:textId="77777777" w:rsidR="00577D08" w:rsidRDefault="00330FC0">
            <w:pPr>
              <w:jc w:val="right"/>
            </w:pPr>
            <w:r>
              <w:rPr>
                <w:rFonts w:hint="eastAsia"/>
              </w:rPr>
              <w:t>6,835,610.53</w:t>
            </w:r>
          </w:p>
        </w:tc>
      </w:tr>
      <w:tr w:rsidR="00577D08" w14:paraId="51A55833" w14:textId="77777777">
        <w:tc>
          <w:tcPr>
            <w:tcW w:w="4005" w:type="dxa"/>
            <w:tcBorders>
              <w:top w:val="single" w:sz="4" w:space="0" w:color="auto"/>
              <w:left w:val="single" w:sz="4" w:space="0" w:color="auto"/>
              <w:bottom w:val="single" w:sz="4" w:space="0" w:color="auto"/>
              <w:right w:val="single" w:sz="4" w:space="0" w:color="auto"/>
            </w:tcBorders>
          </w:tcPr>
          <w:p w14:paraId="3100E63E" w14:textId="77777777" w:rsidR="00577D08" w:rsidRDefault="00330FC0">
            <w:r>
              <w:rPr>
                <w:rFonts w:hint="eastAsia"/>
              </w:rPr>
              <w:t>折旧费</w:t>
            </w:r>
          </w:p>
        </w:tc>
        <w:tc>
          <w:tcPr>
            <w:tcW w:w="2604" w:type="dxa"/>
            <w:tcBorders>
              <w:top w:val="single" w:sz="4" w:space="0" w:color="auto"/>
              <w:left w:val="single" w:sz="4" w:space="0" w:color="auto"/>
              <w:bottom w:val="single" w:sz="4" w:space="0" w:color="auto"/>
              <w:right w:val="single" w:sz="4" w:space="0" w:color="auto"/>
            </w:tcBorders>
          </w:tcPr>
          <w:p w14:paraId="0A8DA7E0" w14:textId="77777777" w:rsidR="00577D08" w:rsidRDefault="00330FC0">
            <w:pPr>
              <w:jc w:val="right"/>
            </w:pPr>
            <w:r>
              <w:rPr>
                <w:rFonts w:hint="eastAsia"/>
              </w:rPr>
              <w:t>5,875,908.89</w:t>
            </w:r>
          </w:p>
        </w:tc>
        <w:tc>
          <w:tcPr>
            <w:tcW w:w="2439" w:type="dxa"/>
            <w:tcBorders>
              <w:top w:val="single" w:sz="4" w:space="0" w:color="auto"/>
              <w:left w:val="single" w:sz="4" w:space="0" w:color="auto"/>
              <w:bottom w:val="single" w:sz="4" w:space="0" w:color="auto"/>
              <w:right w:val="single" w:sz="4" w:space="0" w:color="auto"/>
            </w:tcBorders>
          </w:tcPr>
          <w:p w14:paraId="776DFD8F" w14:textId="77777777" w:rsidR="00577D08" w:rsidRDefault="00330FC0">
            <w:pPr>
              <w:jc w:val="right"/>
            </w:pPr>
            <w:r>
              <w:rPr>
                <w:rFonts w:hint="eastAsia"/>
              </w:rPr>
              <w:t>5,045,800.22</w:t>
            </w:r>
          </w:p>
        </w:tc>
      </w:tr>
      <w:tr w:rsidR="00577D08" w14:paraId="4ED93DE8" w14:textId="77777777">
        <w:tc>
          <w:tcPr>
            <w:tcW w:w="4005" w:type="dxa"/>
            <w:tcBorders>
              <w:top w:val="single" w:sz="4" w:space="0" w:color="auto"/>
              <w:left w:val="single" w:sz="4" w:space="0" w:color="auto"/>
              <w:bottom w:val="single" w:sz="4" w:space="0" w:color="auto"/>
              <w:right w:val="single" w:sz="4" w:space="0" w:color="auto"/>
            </w:tcBorders>
          </w:tcPr>
          <w:p w14:paraId="4F35831B" w14:textId="77777777" w:rsidR="00577D08" w:rsidRDefault="00330FC0">
            <w:r>
              <w:rPr>
                <w:rFonts w:hint="eastAsia"/>
              </w:rPr>
              <w:t>燃料及动力</w:t>
            </w:r>
          </w:p>
        </w:tc>
        <w:tc>
          <w:tcPr>
            <w:tcW w:w="2604" w:type="dxa"/>
            <w:tcBorders>
              <w:top w:val="single" w:sz="4" w:space="0" w:color="auto"/>
              <w:left w:val="single" w:sz="4" w:space="0" w:color="auto"/>
              <w:bottom w:val="single" w:sz="4" w:space="0" w:color="auto"/>
              <w:right w:val="single" w:sz="4" w:space="0" w:color="auto"/>
            </w:tcBorders>
          </w:tcPr>
          <w:p w14:paraId="52F36FD6" w14:textId="77777777" w:rsidR="00577D08" w:rsidRDefault="00330FC0">
            <w:pPr>
              <w:jc w:val="right"/>
            </w:pPr>
            <w:r>
              <w:rPr>
                <w:rFonts w:hint="eastAsia"/>
              </w:rPr>
              <w:t>172,159.09</w:t>
            </w:r>
          </w:p>
        </w:tc>
        <w:tc>
          <w:tcPr>
            <w:tcW w:w="2439" w:type="dxa"/>
            <w:tcBorders>
              <w:top w:val="single" w:sz="4" w:space="0" w:color="auto"/>
              <w:left w:val="single" w:sz="4" w:space="0" w:color="auto"/>
              <w:bottom w:val="single" w:sz="4" w:space="0" w:color="auto"/>
              <w:right w:val="single" w:sz="4" w:space="0" w:color="auto"/>
            </w:tcBorders>
          </w:tcPr>
          <w:p w14:paraId="60163417" w14:textId="77777777" w:rsidR="00577D08" w:rsidRDefault="00330FC0">
            <w:pPr>
              <w:jc w:val="right"/>
            </w:pPr>
            <w:r>
              <w:rPr>
                <w:rFonts w:hint="eastAsia"/>
              </w:rPr>
              <w:t>164,200.33</w:t>
            </w:r>
          </w:p>
        </w:tc>
      </w:tr>
      <w:tr w:rsidR="00577D08" w14:paraId="6E42BA0B" w14:textId="77777777">
        <w:tc>
          <w:tcPr>
            <w:tcW w:w="4005" w:type="dxa"/>
            <w:tcBorders>
              <w:top w:val="single" w:sz="4" w:space="0" w:color="auto"/>
              <w:left w:val="single" w:sz="4" w:space="0" w:color="auto"/>
              <w:bottom w:val="single" w:sz="4" w:space="0" w:color="auto"/>
              <w:right w:val="single" w:sz="4" w:space="0" w:color="auto"/>
            </w:tcBorders>
          </w:tcPr>
          <w:p w14:paraId="7F28C82A" w14:textId="77777777" w:rsidR="00577D08" w:rsidRDefault="00330FC0">
            <w:r>
              <w:rPr>
                <w:rFonts w:hint="eastAsia"/>
              </w:rPr>
              <w:t>其他</w:t>
            </w:r>
          </w:p>
        </w:tc>
        <w:tc>
          <w:tcPr>
            <w:tcW w:w="2604" w:type="dxa"/>
            <w:tcBorders>
              <w:top w:val="single" w:sz="4" w:space="0" w:color="auto"/>
              <w:left w:val="single" w:sz="4" w:space="0" w:color="auto"/>
              <w:bottom w:val="single" w:sz="4" w:space="0" w:color="auto"/>
              <w:right w:val="single" w:sz="4" w:space="0" w:color="auto"/>
            </w:tcBorders>
          </w:tcPr>
          <w:p w14:paraId="5A94001F" w14:textId="77777777" w:rsidR="00577D08" w:rsidRDefault="00330FC0">
            <w:pPr>
              <w:jc w:val="right"/>
            </w:pPr>
            <w:r>
              <w:rPr>
                <w:rFonts w:hint="eastAsia"/>
              </w:rPr>
              <w:t>2,339,247.92</w:t>
            </w:r>
          </w:p>
        </w:tc>
        <w:tc>
          <w:tcPr>
            <w:tcW w:w="2439" w:type="dxa"/>
            <w:tcBorders>
              <w:top w:val="single" w:sz="4" w:space="0" w:color="auto"/>
              <w:left w:val="single" w:sz="4" w:space="0" w:color="auto"/>
              <w:bottom w:val="single" w:sz="4" w:space="0" w:color="auto"/>
              <w:right w:val="single" w:sz="4" w:space="0" w:color="auto"/>
            </w:tcBorders>
          </w:tcPr>
          <w:p w14:paraId="7AD591AE" w14:textId="77777777" w:rsidR="00577D08" w:rsidRDefault="00330FC0">
            <w:pPr>
              <w:jc w:val="right"/>
            </w:pPr>
            <w:r>
              <w:rPr>
                <w:rFonts w:hint="eastAsia"/>
              </w:rPr>
              <w:t>1,800,605.08</w:t>
            </w:r>
          </w:p>
        </w:tc>
      </w:tr>
      <w:tr w:rsidR="00577D08" w14:paraId="73F5932A" w14:textId="77777777">
        <w:tc>
          <w:tcPr>
            <w:tcW w:w="4005" w:type="dxa"/>
            <w:tcBorders>
              <w:top w:val="single" w:sz="4" w:space="0" w:color="auto"/>
              <w:left w:val="single" w:sz="4" w:space="0" w:color="auto"/>
              <w:bottom w:val="single" w:sz="4" w:space="0" w:color="auto"/>
              <w:right w:val="single" w:sz="4" w:space="0" w:color="auto"/>
            </w:tcBorders>
            <w:vAlign w:val="center"/>
          </w:tcPr>
          <w:p w14:paraId="10E81F53" w14:textId="77777777" w:rsidR="00577D08" w:rsidRDefault="00330FC0">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tcPr>
          <w:p w14:paraId="34067936" w14:textId="77777777" w:rsidR="00577D08" w:rsidRDefault="00330FC0">
            <w:pPr>
              <w:jc w:val="right"/>
            </w:pPr>
            <w:r>
              <w:t>45,754,153.32</w:t>
            </w:r>
          </w:p>
        </w:tc>
        <w:tc>
          <w:tcPr>
            <w:tcW w:w="2439" w:type="dxa"/>
            <w:tcBorders>
              <w:top w:val="single" w:sz="4" w:space="0" w:color="auto"/>
              <w:left w:val="single" w:sz="4" w:space="0" w:color="auto"/>
              <w:bottom w:val="single" w:sz="4" w:space="0" w:color="auto"/>
              <w:right w:val="single" w:sz="4" w:space="0" w:color="auto"/>
            </w:tcBorders>
          </w:tcPr>
          <w:p w14:paraId="7764E016" w14:textId="77777777" w:rsidR="00577D08" w:rsidRDefault="00330FC0">
            <w:pPr>
              <w:jc w:val="right"/>
            </w:pPr>
            <w:r>
              <w:t>44,724,932.35</w:t>
            </w:r>
          </w:p>
        </w:tc>
      </w:tr>
      <w:tr w:rsidR="00577D08" w14:paraId="3F27BE5E" w14:textId="77777777">
        <w:tc>
          <w:tcPr>
            <w:tcW w:w="4005" w:type="dxa"/>
            <w:tcBorders>
              <w:top w:val="single" w:sz="4" w:space="0" w:color="auto"/>
              <w:left w:val="single" w:sz="4" w:space="0" w:color="auto"/>
              <w:bottom w:val="single" w:sz="4" w:space="0" w:color="auto"/>
              <w:right w:val="single" w:sz="4" w:space="0" w:color="auto"/>
            </w:tcBorders>
            <w:vAlign w:val="center"/>
          </w:tcPr>
          <w:p w14:paraId="2F1BB71B" w14:textId="77777777" w:rsidR="00577D08" w:rsidRDefault="00330FC0">
            <w:r>
              <w:rPr>
                <w:rFonts w:hint="eastAsia"/>
              </w:rPr>
              <w:lastRenderedPageBreak/>
              <w:t>其中：费用化研发支出</w:t>
            </w:r>
          </w:p>
        </w:tc>
        <w:tc>
          <w:tcPr>
            <w:tcW w:w="2604" w:type="dxa"/>
            <w:tcBorders>
              <w:top w:val="single" w:sz="4" w:space="0" w:color="auto"/>
              <w:left w:val="single" w:sz="4" w:space="0" w:color="auto"/>
              <w:bottom w:val="single" w:sz="4" w:space="0" w:color="auto"/>
              <w:right w:val="single" w:sz="4" w:space="0" w:color="auto"/>
            </w:tcBorders>
          </w:tcPr>
          <w:p w14:paraId="554C6298" w14:textId="77777777" w:rsidR="00577D08" w:rsidRDefault="00330FC0">
            <w:pPr>
              <w:jc w:val="right"/>
            </w:pPr>
            <w:r>
              <w:t>45,754,153.32</w:t>
            </w:r>
          </w:p>
        </w:tc>
        <w:tc>
          <w:tcPr>
            <w:tcW w:w="2439" w:type="dxa"/>
            <w:tcBorders>
              <w:top w:val="single" w:sz="4" w:space="0" w:color="auto"/>
              <w:left w:val="single" w:sz="4" w:space="0" w:color="auto"/>
              <w:bottom w:val="single" w:sz="4" w:space="0" w:color="auto"/>
              <w:right w:val="single" w:sz="4" w:space="0" w:color="auto"/>
            </w:tcBorders>
          </w:tcPr>
          <w:p w14:paraId="6E6F4E9D" w14:textId="77777777" w:rsidR="00577D08" w:rsidRDefault="00330FC0">
            <w:pPr>
              <w:jc w:val="right"/>
            </w:pPr>
            <w:r>
              <w:t>44,724,932.35</w:t>
            </w:r>
          </w:p>
        </w:tc>
      </w:tr>
      <w:tr w:rsidR="00577D08" w14:paraId="107AEC6B" w14:textId="77777777">
        <w:tc>
          <w:tcPr>
            <w:tcW w:w="4005" w:type="dxa"/>
            <w:tcBorders>
              <w:top w:val="single" w:sz="4" w:space="0" w:color="auto"/>
              <w:left w:val="single" w:sz="4" w:space="0" w:color="auto"/>
              <w:bottom w:val="single" w:sz="4" w:space="0" w:color="auto"/>
              <w:right w:val="single" w:sz="4" w:space="0" w:color="auto"/>
            </w:tcBorders>
            <w:vAlign w:val="center"/>
          </w:tcPr>
          <w:p w14:paraId="72BEF430" w14:textId="77777777" w:rsidR="00577D08" w:rsidRDefault="00330FC0">
            <w:pPr>
              <w:ind w:firstLineChars="300" w:firstLine="630"/>
            </w:pPr>
            <w:r>
              <w:rPr>
                <w:rFonts w:hint="eastAsia"/>
              </w:rPr>
              <w:t>资本化研发支出</w:t>
            </w:r>
          </w:p>
        </w:tc>
        <w:tc>
          <w:tcPr>
            <w:tcW w:w="2604" w:type="dxa"/>
            <w:tcBorders>
              <w:top w:val="single" w:sz="4" w:space="0" w:color="auto"/>
              <w:left w:val="single" w:sz="4" w:space="0" w:color="auto"/>
              <w:bottom w:val="single" w:sz="4" w:space="0" w:color="auto"/>
              <w:right w:val="single" w:sz="4" w:space="0" w:color="auto"/>
            </w:tcBorders>
            <w:vAlign w:val="center"/>
          </w:tcPr>
          <w:p w14:paraId="22AABFB0" w14:textId="77777777" w:rsidR="00577D08" w:rsidRDefault="00577D08">
            <w:pPr>
              <w:jc w:val="right"/>
            </w:pPr>
          </w:p>
        </w:tc>
        <w:tc>
          <w:tcPr>
            <w:tcW w:w="2439" w:type="dxa"/>
            <w:tcBorders>
              <w:top w:val="single" w:sz="4" w:space="0" w:color="auto"/>
              <w:left w:val="single" w:sz="4" w:space="0" w:color="auto"/>
              <w:bottom w:val="single" w:sz="4" w:space="0" w:color="auto"/>
              <w:right w:val="single" w:sz="4" w:space="0" w:color="auto"/>
            </w:tcBorders>
            <w:vAlign w:val="center"/>
          </w:tcPr>
          <w:p w14:paraId="0B888C4C" w14:textId="77777777" w:rsidR="00577D08" w:rsidRDefault="00577D08">
            <w:pPr>
              <w:jc w:val="right"/>
            </w:pPr>
          </w:p>
        </w:tc>
      </w:tr>
    </w:tbl>
    <w:p w14:paraId="56CC902C" w14:textId="77777777" w:rsidR="00577D08" w:rsidRDefault="00330FC0">
      <w:r>
        <w:rPr>
          <w:rFonts w:hint="eastAsia"/>
        </w:rPr>
        <w:t>其他说明：</w:t>
      </w:r>
    </w:p>
    <w:sdt>
      <w:sdtPr>
        <w:alias w:val="研发支出按费用性质列示的其他说明"/>
        <w:tag w:val="_GBC_832f0bcbd22345ddb2d8bda2e55f93da"/>
        <w:id w:val="346838739"/>
        <w:placeholder>
          <w:docPart w:val="GBC22222222222222222222222222222"/>
        </w:placeholder>
      </w:sdtPr>
      <w:sdtContent>
        <w:p w14:paraId="00C3D6E2" w14:textId="77777777" w:rsidR="00577D08" w:rsidRDefault="00330FC0">
          <w:r>
            <w:rPr>
              <w:rFonts w:hint="eastAsia"/>
            </w:rPr>
            <w:t>无</w:t>
          </w:r>
        </w:p>
      </w:sdtContent>
    </w:sdt>
    <w:p w14:paraId="741748FB" w14:textId="77777777" w:rsidR="00577D08" w:rsidRDefault="00330FC0">
      <w:pPr>
        <w:pStyle w:val="3"/>
        <w:numPr>
          <w:ilvl w:val="0"/>
          <w:numId w:val="103"/>
        </w:numPr>
      </w:pPr>
      <w:bookmarkStart w:id="468" w:name="_Hlk153266294"/>
      <w:bookmarkEnd w:id="467"/>
      <w:r>
        <w:t>符合资本化条件的研发项目</w:t>
      </w:r>
      <w:r>
        <w:rPr>
          <w:rFonts w:hint="eastAsia"/>
        </w:rPr>
        <w:t>开发支出</w:t>
      </w:r>
    </w:p>
    <w:sdt>
      <w:sdtPr>
        <w:alias w:val="是否适用：开发支出[双击切换]"/>
        <w:tag w:val="_GBC_173f2bb3b2db483e82638801b8b2955b"/>
        <w:id w:val="569620545"/>
        <w:placeholder>
          <w:docPart w:val="GBC22222222222222222222222222222"/>
        </w:placeholder>
      </w:sdtPr>
      <w:sdtContent>
        <w:p w14:paraId="3C57BDD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68"/>
    <w:p w14:paraId="0D19F13E" w14:textId="77777777" w:rsidR="00577D08" w:rsidRDefault="00330FC0">
      <w:r>
        <w:t>重要的资本化研发项目</w:t>
      </w:r>
    </w:p>
    <w:sdt>
      <w:sdtPr>
        <w:alias w:val="是否适用：重要的资本化研发项目[双击切换]"/>
        <w:tag w:val="_GBC_d1b90c9364924f2791f75c6b9a12139f"/>
        <w:id w:val="1992131312"/>
        <w:placeholder>
          <w:docPart w:val="GBC22222222222222222222222222222"/>
        </w:placeholder>
      </w:sdtPr>
      <w:sdtContent>
        <w:p w14:paraId="374883B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3F27D37" w14:textId="77777777" w:rsidR="00577D08" w:rsidRDefault="00330FC0">
      <w:r>
        <w:t>开发支出减值准备</w:t>
      </w:r>
    </w:p>
    <w:sdt>
      <w:sdtPr>
        <w:alias w:val="是否适用：开发支出减值准备[双击切换]"/>
        <w:tag w:val="_GBC_54eb6a513e574cfa85e9b90a1588b10f"/>
        <w:id w:val="1797253697"/>
        <w:placeholder>
          <w:docPart w:val="GBC22222222222222222222222222222"/>
        </w:placeholder>
      </w:sdtPr>
      <w:sdtContent>
        <w:p w14:paraId="38BA907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8458EEE" w14:textId="77777777" w:rsidR="00577D08" w:rsidRDefault="00330FC0">
      <w:r>
        <w:rPr>
          <w:rFonts w:hint="eastAsia"/>
        </w:rPr>
        <w:t>其他说明：</w:t>
      </w:r>
    </w:p>
    <w:sdt>
      <w:sdtPr>
        <w:alias w:val="符合资本化条件的研发项目开发支出的其他说明"/>
        <w:tag w:val="_GBC_3c7da8ec7a3a443ba6a37565a5e99433"/>
        <w:id w:val="246317351"/>
        <w:placeholder>
          <w:docPart w:val="GBC22222222222222222222222222222"/>
        </w:placeholder>
      </w:sdtPr>
      <w:sdtContent>
        <w:p w14:paraId="4F892EE8" w14:textId="77777777" w:rsidR="00577D08" w:rsidRDefault="00330FC0">
          <w:r>
            <w:rPr>
              <w:rFonts w:hint="eastAsia"/>
            </w:rPr>
            <w:t>无</w:t>
          </w:r>
        </w:p>
      </w:sdtContent>
    </w:sdt>
    <w:p w14:paraId="5CD94A14" w14:textId="77777777" w:rsidR="00577D08" w:rsidRDefault="00330FC0">
      <w:pPr>
        <w:pStyle w:val="3"/>
        <w:numPr>
          <w:ilvl w:val="0"/>
          <w:numId w:val="103"/>
        </w:numPr>
      </w:pPr>
      <w:r>
        <w:t>重要的外购在研项目</w:t>
      </w:r>
    </w:p>
    <w:sdt>
      <w:sdtPr>
        <w:alias w:val="是否适用：重要的外购在研项目[双击切换]"/>
        <w:tag w:val="_GBC_8385c2c52dfe44b6b2522468b8800584"/>
        <w:id w:val="263742406"/>
        <w:placeholder>
          <w:docPart w:val="GBC22222222222222222222222222222"/>
        </w:placeholder>
      </w:sdtPr>
      <w:sdtContent>
        <w:p w14:paraId="16FBCC4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D80EDD" w14:textId="77777777" w:rsidR="00577D08" w:rsidRDefault="00330FC0">
      <w:pPr>
        <w:pStyle w:val="2"/>
        <w:numPr>
          <w:ilvl w:val="0"/>
          <w:numId w:val="52"/>
        </w:numPr>
      </w:pPr>
      <w:r>
        <w:rPr>
          <w:rFonts w:hint="eastAsia"/>
        </w:rPr>
        <w:t>合并范围的变更</w:t>
      </w:r>
    </w:p>
    <w:p w14:paraId="7FBF1D08" w14:textId="77777777" w:rsidR="00577D08" w:rsidRDefault="00330FC0">
      <w:pPr>
        <w:pStyle w:val="3"/>
        <w:numPr>
          <w:ilvl w:val="0"/>
          <w:numId w:val="104"/>
        </w:numPr>
        <w:rPr>
          <w:rFonts w:ascii="宋体" w:hAnsi="宋体" w:cs="Arial" w:hint="eastAsia"/>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356420281"/>
        <w:placeholder>
          <w:docPart w:val="GBC22222222222222222222222222222"/>
        </w:placeholder>
      </w:sdtPr>
      <w:sdtContent>
        <w:p w14:paraId="61C9B98F" w14:textId="77777777" w:rsidR="00577D08" w:rsidRDefault="00330FC0">
          <w:pPr>
            <w:rPr>
              <w:rFonts w:cstheme="minorBidi"/>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2E09452" w14:textId="77777777" w:rsidR="00577D08" w:rsidRDefault="00330FC0">
      <w:pPr>
        <w:pStyle w:val="3"/>
        <w:numPr>
          <w:ilvl w:val="0"/>
          <w:numId w:val="104"/>
        </w:numPr>
        <w:rPr>
          <w:rFonts w:ascii="宋体" w:hAnsi="宋体" w:cs="Arial" w:hint="eastAsia"/>
          <w:szCs w:val="21"/>
        </w:rPr>
      </w:pPr>
      <w:r>
        <w:rPr>
          <w:rFonts w:ascii="宋体" w:hAnsi="宋体" w:cs="Arial" w:hint="eastAsia"/>
          <w:szCs w:val="21"/>
        </w:rPr>
        <w:t>同一控制下企业合并</w:t>
      </w:r>
    </w:p>
    <w:sdt>
      <w:sdtPr>
        <w:alias w:val="是否适用：同一控制下企业合并[双击切换]"/>
        <w:tag w:val="_GBC_698d1a451f094ec0bf9c3a278d26a0d3"/>
        <w:id w:val="1729038713"/>
        <w:placeholder>
          <w:docPart w:val="GBC22222222222222222222222222222"/>
        </w:placeholder>
      </w:sdtPr>
      <w:sdtContent>
        <w:p w14:paraId="4CA6BA72" w14:textId="77777777" w:rsidR="00577D08" w:rsidRDefault="00330FC0">
          <w:pPr>
            <w:rPr>
              <w:rFonts w:cs="Arial"/>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34B8B25" w14:textId="77777777" w:rsidR="00577D08" w:rsidRDefault="00330FC0">
      <w:pPr>
        <w:pStyle w:val="3"/>
        <w:numPr>
          <w:ilvl w:val="0"/>
          <w:numId w:val="104"/>
        </w:numPr>
        <w:rPr>
          <w:rFonts w:ascii="宋体" w:hAnsi="宋体" w:cs="Arial" w:hint="eastAsia"/>
          <w:szCs w:val="21"/>
        </w:rPr>
      </w:pPr>
      <w:r>
        <w:rPr>
          <w:rFonts w:ascii="宋体" w:hAnsi="宋体" w:cs="Arial" w:hint="eastAsia"/>
          <w:szCs w:val="21"/>
        </w:rPr>
        <w:t>反向购买</w:t>
      </w:r>
    </w:p>
    <w:sdt>
      <w:sdtPr>
        <w:alias w:val="是否适用：反向购买[双击切换]"/>
        <w:tag w:val="_GBC_717fa638fefe45c09c1f2627ba167ee4"/>
        <w:id w:val="871424242"/>
        <w:placeholder>
          <w:docPart w:val="GBC22222222222222222222222222222"/>
        </w:placeholder>
      </w:sdtPr>
      <w:sdtContent>
        <w:p w14:paraId="7425DB36" w14:textId="77777777" w:rsidR="00577D08" w:rsidRDefault="00330FC0">
          <w:pPr>
            <w:rPr>
              <w:rFonts w:cs="Arial"/>
              <w:lang w:val="en-GB"/>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B579F79" w14:textId="77777777" w:rsidR="00577D08" w:rsidRDefault="00330FC0">
      <w:pPr>
        <w:pStyle w:val="3"/>
        <w:numPr>
          <w:ilvl w:val="0"/>
          <w:numId w:val="104"/>
        </w:numPr>
        <w:rPr>
          <w:rFonts w:ascii="宋体" w:hAnsi="宋体" w:cs="Arial" w:hint="eastAsia"/>
          <w:szCs w:val="21"/>
        </w:rPr>
      </w:pPr>
      <w:r>
        <w:rPr>
          <w:rFonts w:ascii="宋体" w:hAnsi="宋体" w:cs="Arial" w:hint="eastAsia"/>
          <w:szCs w:val="21"/>
        </w:rPr>
        <w:t>处置子公司</w:t>
      </w:r>
    </w:p>
    <w:p w14:paraId="1B8DE4B6" w14:textId="77777777" w:rsidR="00577D08" w:rsidRDefault="00330FC0">
      <w:r>
        <w:rPr>
          <w:rFonts w:hint="eastAsia"/>
        </w:rPr>
        <w:t>本期是否存在</w:t>
      </w:r>
      <w:r>
        <w:t>丧失</w:t>
      </w:r>
      <w:r>
        <w:rPr>
          <w:rFonts w:hint="eastAsia"/>
        </w:rPr>
        <w:t>子公司</w:t>
      </w:r>
      <w:r>
        <w:t>控制权</w:t>
      </w:r>
      <w:r>
        <w:rPr>
          <w:rFonts w:hint="eastAsia"/>
        </w:rPr>
        <w:t>的交易或事项</w:t>
      </w:r>
    </w:p>
    <w:sdt>
      <w:sdtPr>
        <w:rPr>
          <w:rFonts w:cs="Arial" w:hint="eastAsia"/>
        </w:rPr>
        <w:alias w:val="是否存在单次交易处置对子公司投资即丧失控制权的情形[双击切换]"/>
        <w:tag w:val="_GBC_34b271ee01844be4a0580269d95adcf3"/>
        <w:id w:val="1548720826"/>
        <w:placeholder>
          <w:docPart w:val="GBC22222222222222222222222222222"/>
        </w:placeholder>
      </w:sdtPr>
      <w:sdtContent>
        <w:p w14:paraId="2D8BE86B" w14:textId="77777777" w:rsidR="00577D08" w:rsidRDefault="00330FC0">
          <w:pPr>
            <w:rPr>
              <w:rFonts w:cs="Arial"/>
            </w:rPr>
          </w:pPr>
          <w:r>
            <w:rPr>
              <w:rFonts w:ascii="宋体" w:hAnsi="宋体" w:cs="Arial"/>
            </w:rPr>
            <w:fldChar w:fldCharType="begin"/>
          </w:r>
          <w:r>
            <w:rPr>
              <w:rFonts w:ascii="宋体" w:hAnsi="宋体" w:cs="Arial" w:hint="eastAsia"/>
            </w:rPr>
            <w:instrText xml:space="preserve">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6B602397" w14:textId="77777777" w:rsidR="00577D08" w:rsidRDefault="00330FC0">
      <w:pPr>
        <w:rPr>
          <w:rFonts w:cs="Arial"/>
          <w:color w:val="000000"/>
        </w:rPr>
      </w:pPr>
      <w:r>
        <w:rPr>
          <w:rFonts w:cs="Arial" w:hint="eastAsia"/>
          <w:color w:val="000000"/>
        </w:rPr>
        <w:t>其他说明：</w:t>
      </w:r>
    </w:p>
    <w:sdt>
      <w:sdtPr>
        <w:rPr>
          <w:rFonts w:cs="Arial"/>
          <w:color w:val="000000"/>
        </w:rPr>
        <w:alias w:val="是否适用：单次交易处置对子公司投资即丧失控制权的情形的说明[双击切换]"/>
        <w:tag w:val="_GBC_e9745370c40b4780b36f3f18da05201e"/>
        <w:id w:val="-1279333493"/>
        <w:placeholder>
          <w:docPart w:val="GBC22222222222222222222222222222"/>
        </w:placeholder>
      </w:sdtPr>
      <w:sdtContent>
        <w:p w14:paraId="62424613" w14:textId="77777777" w:rsidR="00577D08" w:rsidRDefault="00330FC0">
          <w:pPr>
            <w:rPr>
              <w:color w:val="000000"/>
            </w:rPr>
          </w:pPr>
          <w:r>
            <w:rPr>
              <w:rFonts w:ascii="宋体" w:hAnsi="宋体" w:cs="Arial"/>
              <w:color w:val="000000"/>
            </w:rPr>
            <w:fldChar w:fldCharType="begin"/>
          </w:r>
          <w:r>
            <w:rPr>
              <w:rFonts w:ascii="宋体" w:hAnsi="宋体" w:cs="Arial" w:hint="eastAsia"/>
              <w:color w:val="000000"/>
            </w:rPr>
            <w:instrText xml:space="preserve">MACROBUTTON  SnrToggleCheckbox □适用 </w:instrText>
          </w:r>
          <w:r>
            <w:rPr>
              <w:rFonts w:ascii="宋体" w:hAnsi="宋体" w:cs="Arial"/>
              <w:color w:val="000000"/>
            </w:rPr>
            <w:fldChar w:fldCharType="end"/>
          </w:r>
          <w:r>
            <w:rPr>
              <w:rFonts w:ascii="宋体" w:hAnsi="宋体" w:cs="Arial"/>
              <w:color w:val="000000"/>
            </w:rPr>
            <w:fldChar w:fldCharType="begin"/>
          </w:r>
          <w:r>
            <w:rPr>
              <w:rFonts w:ascii="宋体" w:hAnsi="宋体" w:cs="Arial" w:hint="eastAsia"/>
              <w:color w:val="000000"/>
            </w:rPr>
            <w:instrText xml:space="preserve"> MACROBUTTON  SnrToggleCheckbox √不适用 </w:instrText>
          </w:r>
          <w:r>
            <w:rPr>
              <w:rFonts w:ascii="宋体" w:hAnsi="宋体" w:cs="Arial"/>
              <w:color w:val="000000"/>
            </w:rPr>
            <w:fldChar w:fldCharType="end"/>
          </w:r>
        </w:p>
      </w:sdtContent>
    </w:sdt>
    <w:p w14:paraId="2387283C" w14:textId="77777777" w:rsidR="00577D08" w:rsidRDefault="00330FC0">
      <w:pPr>
        <w:rPr>
          <w:rFonts w:cs="Arial"/>
        </w:rPr>
      </w:pPr>
      <w:bookmarkStart w:id="469" w:name="_Hlk153549147"/>
      <w:r>
        <w:rPr>
          <w:rFonts w:cs="Arial" w:hint="eastAsia"/>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4b70a49fc9804e569104ce532e1e0bd8"/>
        <w:id w:val="128054181"/>
        <w:placeholder>
          <w:docPart w:val="GBC22222222222222222222222222222"/>
        </w:placeholder>
      </w:sdtPr>
      <w:sdtContent>
        <w:p w14:paraId="131F5DC4" w14:textId="77777777" w:rsidR="00577D08" w:rsidRDefault="00330FC0">
          <w:pPr>
            <w:pStyle w:val="ab"/>
          </w:pPr>
          <w:r>
            <w:rPr>
              <w:rFonts w:ascii="宋体" w:hAnsi="宋体"/>
              <w:color w:val="000000"/>
            </w:rPr>
            <w:fldChar w:fldCharType="begin"/>
          </w:r>
          <w:r>
            <w:rPr>
              <w:rFonts w:ascii="宋体" w:hAnsi="宋体" w:hint="eastAsia"/>
              <w:color w:val="000000"/>
            </w:rPr>
            <w:instrText xml:space="preserve">MACROBUTTON  SnrToggleCheckbox □适用 </w:instrText>
          </w:r>
          <w:r>
            <w:rPr>
              <w:rFonts w:ascii="宋体" w:hAnsi="宋体"/>
              <w:color w:val="000000"/>
            </w:rPr>
            <w:fldChar w:fldCharType="end"/>
          </w:r>
          <w:r>
            <w:rPr>
              <w:rFonts w:ascii="宋体" w:hAnsi="宋体"/>
              <w:color w:val="000000"/>
            </w:rPr>
            <w:fldChar w:fldCharType="begin"/>
          </w:r>
          <w:r>
            <w:rPr>
              <w:rFonts w:ascii="宋体" w:hAnsi="宋体" w:hint="eastAsia"/>
              <w:color w:val="000000"/>
            </w:rPr>
            <w:instrText xml:space="preserve"> MACROBUTTON  SnrToggleCheckbox √不适用 </w:instrText>
          </w:r>
          <w:r>
            <w:rPr>
              <w:rFonts w:ascii="宋体" w:hAnsi="宋体"/>
              <w:color w:val="000000"/>
            </w:rPr>
            <w:fldChar w:fldCharType="end"/>
          </w:r>
        </w:p>
      </w:sdtContent>
    </w:sdt>
    <w:bookmarkEnd w:id="469"/>
    <w:p w14:paraId="355CE51F" w14:textId="77777777" w:rsidR="00577D08" w:rsidRDefault="00330FC0">
      <w:pPr>
        <w:rPr>
          <w:rFonts w:cs="Arial"/>
          <w:color w:val="000000"/>
        </w:rPr>
      </w:pPr>
      <w:r>
        <w:rPr>
          <w:rFonts w:cs="Arial" w:hint="eastAsia"/>
          <w:color w:val="000000"/>
        </w:rPr>
        <w:t>其他说明：</w:t>
      </w:r>
    </w:p>
    <w:sdt>
      <w:sdtPr>
        <w:rPr>
          <w:rFonts w:cs="Arial"/>
          <w:color w:val="000000"/>
        </w:rPr>
        <w:alias w:val="是否适用：是否存在通过多次交易分步处置对子公司投资且在本期丧失控制权的情形的说明[双击切换]"/>
        <w:tag w:val="_GBC_c934ae55b23744bba8048538d6771d0e"/>
        <w:id w:val="419762715"/>
        <w:placeholder>
          <w:docPart w:val="GBC22222222222222222222222222222"/>
        </w:placeholder>
      </w:sdtPr>
      <w:sdtContent>
        <w:p w14:paraId="47CEA396" w14:textId="77777777" w:rsidR="00577D08" w:rsidRDefault="00330FC0">
          <w:pPr>
            <w:rPr>
              <w:rFonts w:ascii="Calibri" w:hAnsi="Calibri" w:cs="Arial"/>
              <w:color w:val="000000"/>
            </w:rPr>
          </w:pPr>
          <w:r>
            <w:rPr>
              <w:rFonts w:ascii="宋体" w:hAnsi="宋体" w:cs="Arial"/>
              <w:color w:val="000000"/>
            </w:rPr>
            <w:fldChar w:fldCharType="begin"/>
          </w:r>
          <w:r>
            <w:rPr>
              <w:rFonts w:ascii="宋体" w:hAnsi="宋体" w:cs="Arial" w:hint="eastAsia"/>
              <w:color w:val="000000"/>
            </w:rPr>
            <w:instrText xml:space="preserve"> MACROBUTTON  SnrToggleCheckbox □适用 </w:instrText>
          </w:r>
          <w:r>
            <w:rPr>
              <w:rFonts w:ascii="宋体" w:hAnsi="宋体" w:cs="Arial"/>
              <w:color w:val="000000"/>
            </w:rPr>
            <w:fldChar w:fldCharType="end"/>
          </w:r>
          <w:r>
            <w:rPr>
              <w:rFonts w:ascii="宋体" w:hAnsi="宋体" w:cs="Arial"/>
              <w:color w:val="000000"/>
            </w:rPr>
            <w:fldChar w:fldCharType="begin"/>
          </w:r>
          <w:r>
            <w:rPr>
              <w:rFonts w:ascii="宋体" w:hAnsi="宋体" w:cs="Arial" w:hint="eastAsia"/>
              <w:color w:val="000000"/>
            </w:rPr>
            <w:instrText xml:space="preserve"> MACROBUTTON  SnrToggleCheckbox √不适用 </w:instrText>
          </w:r>
          <w:r>
            <w:rPr>
              <w:rFonts w:ascii="宋体" w:hAnsi="宋体" w:cs="Arial"/>
              <w:color w:val="000000"/>
            </w:rPr>
            <w:fldChar w:fldCharType="end"/>
          </w:r>
        </w:p>
      </w:sdtContent>
    </w:sdt>
    <w:p w14:paraId="5D669CB7" w14:textId="77777777" w:rsidR="00577D08" w:rsidRDefault="00330FC0">
      <w:pPr>
        <w:pStyle w:val="3"/>
        <w:numPr>
          <w:ilvl w:val="0"/>
          <w:numId w:val="104"/>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14:paraId="4496EF8C" w14:textId="77777777" w:rsidR="00577D08" w:rsidRDefault="00330FC0">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301426449"/>
        <w:placeholder>
          <w:docPart w:val="GBC22222222222222222222222222222"/>
        </w:placeholder>
      </w:sdtPr>
      <w:sdtContent>
        <w:p w14:paraId="6D70AA3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cs="Arial"/>
          <w:color w:val="000000"/>
        </w:rPr>
        <w:alias w:val="其他原因的合并范围变动"/>
        <w:tag w:val="_GBC_3146fc6fdcf14cec8af7bcae81e1ef18"/>
        <w:id w:val="-1556847445"/>
        <w:lock w:val="sdtLocked"/>
        <w:placeholder>
          <w:docPart w:val="GBC22222222222222222222222222222"/>
        </w:placeholder>
      </w:sdtPr>
      <w:sdtEndPr>
        <w:rPr>
          <w:rFonts w:asciiTheme="minorHAnsi" w:eastAsiaTheme="minorEastAsia" w:hAnsiTheme="minorHAnsi"/>
        </w:rPr>
      </w:sdtEndPr>
      <w:sdtContent>
        <w:p w14:paraId="16400B4E" w14:textId="77777777" w:rsidR="00577D08" w:rsidRDefault="00577D08">
          <w:pPr>
            <w:rPr>
              <w:rFonts w:cs="Arial"/>
              <w:color w:val="000000"/>
            </w:rPr>
          </w:pPr>
        </w:p>
        <w:tbl>
          <w:tblPr>
            <w:tblStyle w:val="g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1475"/>
            <w:gridCol w:w="1865"/>
            <w:gridCol w:w="1216"/>
            <w:gridCol w:w="1053"/>
          </w:tblGrid>
          <w:tr w:rsidR="00577D08" w14:paraId="1483238E" w14:textId="77777777">
            <w:tc>
              <w:tcPr>
                <w:tcW w:w="1821" w:type="pct"/>
              </w:tcPr>
              <w:p w14:paraId="31FE6FB3"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公司名称</w:t>
                </w:r>
              </w:p>
            </w:tc>
            <w:tc>
              <w:tcPr>
                <w:tcW w:w="836" w:type="pct"/>
              </w:tcPr>
              <w:p w14:paraId="091000FE"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股权取得方式</w:t>
                </w:r>
              </w:p>
            </w:tc>
            <w:tc>
              <w:tcPr>
                <w:tcW w:w="1057" w:type="pct"/>
              </w:tcPr>
              <w:p w14:paraId="4602D761"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股权取得时点</w:t>
                </w:r>
              </w:p>
            </w:tc>
            <w:tc>
              <w:tcPr>
                <w:tcW w:w="689" w:type="pct"/>
              </w:tcPr>
              <w:p w14:paraId="760D8C89"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出资额</w:t>
                </w:r>
              </w:p>
            </w:tc>
            <w:tc>
              <w:tcPr>
                <w:tcW w:w="598" w:type="pct"/>
              </w:tcPr>
              <w:p w14:paraId="00D55DFB" w14:textId="77777777" w:rsidR="00577D08" w:rsidRDefault="00330FC0">
                <w:pPr>
                  <w:jc w:val="center"/>
                  <w:rPr>
                    <w:rFonts w:asciiTheme="minorEastAsia" w:eastAsiaTheme="minorEastAsia" w:hAnsiTheme="minorEastAsia" w:hint="eastAsia"/>
                  </w:rPr>
                </w:pPr>
                <w:r>
                  <w:rPr>
                    <w:rFonts w:asciiTheme="minorEastAsia" w:eastAsiaTheme="minorEastAsia" w:hAnsiTheme="minorEastAsia" w:hint="eastAsia"/>
                  </w:rPr>
                  <w:t>出资比例</w:t>
                </w:r>
              </w:p>
            </w:tc>
          </w:tr>
          <w:tr w:rsidR="00577D08" w14:paraId="226F6116" w14:textId="77777777">
            <w:tc>
              <w:tcPr>
                <w:tcW w:w="1821" w:type="pct"/>
              </w:tcPr>
              <w:p w14:paraId="05F7A900" w14:textId="77777777" w:rsidR="00577D08" w:rsidRDefault="00330FC0">
                <w:pPr>
                  <w:pStyle w:val="Style43"/>
                  <w:jc w:val="both"/>
                  <w:rPr>
                    <w:rFonts w:asciiTheme="minorEastAsia" w:eastAsiaTheme="minorEastAsia" w:hAnsiTheme="minorEastAsia" w:hint="eastAsia"/>
                    <w:sz w:val="21"/>
                    <w:szCs w:val="21"/>
                  </w:rPr>
                </w:pPr>
                <w:r>
                  <w:rPr>
                    <w:rFonts w:hint="eastAsia"/>
                    <w:sz w:val="21"/>
                    <w:szCs w:val="21"/>
                  </w:rPr>
                  <w:t>上海渝申望变新能源科技有限公司</w:t>
                </w:r>
              </w:p>
            </w:tc>
            <w:tc>
              <w:tcPr>
                <w:tcW w:w="836" w:type="pct"/>
                <w:vAlign w:val="center"/>
              </w:tcPr>
              <w:p w14:paraId="091B1CA3" w14:textId="77777777" w:rsidR="00577D08" w:rsidRDefault="00330FC0">
                <w:pPr>
                  <w:jc w:val="center"/>
                  <w:rPr>
                    <w:rFonts w:asciiTheme="minorEastAsia" w:eastAsiaTheme="minorEastAsia" w:hAnsiTheme="minorEastAsia" w:hint="eastAsia"/>
                  </w:rPr>
                </w:pPr>
                <w:r>
                  <w:rPr>
                    <w:rFonts w:hint="eastAsia"/>
                  </w:rPr>
                  <w:t>出资设立</w:t>
                </w:r>
              </w:p>
            </w:tc>
            <w:tc>
              <w:tcPr>
                <w:tcW w:w="1057" w:type="pct"/>
                <w:vAlign w:val="center"/>
              </w:tcPr>
              <w:p w14:paraId="70265AD0" w14:textId="77777777" w:rsidR="00577D08" w:rsidRDefault="00330FC0">
                <w:pPr>
                  <w:jc w:val="center"/>
                  <w:rPr>
                    <w:rFonts w:asciiTheme="minorEastAsia" w:eastAsiaTheme="minorEastAsia" w:hAnsiTheme="minorEastAsia" w:hint="eastAsia"/>
                  </w:rPr>
                </w:pPr>
                <w:r>
                  <w:rPr>
                    <w:rFonts w:hint="eastAsia"/>
                  </w:rPr>
                  <w:t>2025</w:t>
                </w:r>
                <w:r>
                  <w:rPr>
                    <w:rFonts w:hint="eastAsia"/>
                  </w:rPr>
                  <w:t>年</w:t>
                </w:r>
                <w:r>
                  <w:rPr>
                    <w:rFonts w:hint="eastAsia"/>
                  </w:rPr>
                  <w:t>2</w:t>
                </w:r>
                <w:r>
                  <w:rPr>
                    <w:rFonts w:hint="eastAsia"/>
                  </w:rPr>
                  <w:t>月</w:t>
                </w:r>
                <w:r>
                  <w:rPr>
                    <w:rFonts w:hint="eastAsia"/>
                  </w:rPr>
                  <w:t>5</w:t>
                </w:r>
                <w:r>
                  <w:rPr>
                    <w:rFonts w:hint="eastAsia"/>
                  </w:rPr>
                  <w:t>日</w:t>
                </w:r>
              </w:p>
            </w:tc>
            <w:tc>
              <w:tcPr>
                <w:tcW w:w="689" w:type="pct"/>
                <w:vAlign w:val="center"/>
              </w:tcPr>
              <w:p w14:paraId="0A76CB99" w14:textId="77777777" w:rsidR="00577D08" w:rsidRDefault="00330FC0">
                <w:pPr>
                  <w:jc w:val="center"/>
                  <w:rPr>
                    <w:rFonts w:asciiTheme="minorEastAsia" w:eastAsiaTheme="minorEastAsia" w:hAnsiTheme="minorEastAsia" w:hint="eastAsia"/>
                  </w:rPr>
                </w:pPr>
                <w:r>
                  <w:rPr>
                    <w:rFonts w:hint="eastAsia"/>
                  </w:rPr>
                  <w:t>204</w:t>
                </w:r>
                <w:r>
                  <w:rPr>
                    <w:rFonts w:hint="eastAsia"/>
                  </w:rPr>
                  <w:t>万元</w:t>
                </w:r>
              </w:p>
            </w:tc>
            <w:tc>
              <w:tcPr>
                <w:tcW w:w="598" w:type="pct"/>
                <w:vAlign w:val="center"/>
              </w:tcPr>
              <w:p w14:paraId="0A6D695A" w14:textId="77777777" w:rsidR="00577D08" w:rsidRDefault="00330FC0">
                <w:pPr>
                  <w:jc w:val="right"/>
                  <w:rPr>
                    <w:rFonts w:asciiTheme="minorEastAsia" w:eastAsiaTheme="minorEastAsia" w:hAnsiTheme="minorEastAsia" w:hint="eastAsia"/>
                  </w:rPr>
                </w:pPr>
                <w:r>
                  <w:rPr>
                    <w:rFonts w:hint="eastAsia"/>
                  </w:rPr>
                  <w:t>51.00%</w:t>
                </w:r>
              </w:p>
            </w:tc>
          </w:tr>
          <w:tr w:rsidR="00577D08" w14:paraId="2DEBDBFF" w14:textId="77777777">
            <w:tc>
              <w:tcPr>
                <w:tcW w:w="1821" w:type="pct"/>
              </w:tcPr>
              <w:p w14:paraId="25EC5618" w14:textId="77777777" w:rsidR="00577D08" w:rsidRDefault="00330FC0">
                <w:pPr>
                  <w:pStyle w:val="Style43"/>
                  <w:jc w:val="both"/>
                  <w:rPr>
                    <w:rFonts w:asciiTheme="minorEastAsia" w:eastAsiaTheme="minorEastAsia" w:hAnsiTheme="minorEastAsia" w:hint="eastAsia"/>
                    <w:sz w:val="21"/>
                    <w:szCs w:val="21"/>
                  </w:rPr>
                </w:pPr>
                <w:r>
                  <w:rPr>
                    <w:rFonts w:hint="eastAsia"/>
                    <w:sz w:val="21"/>
                    <w:szCs w:val="21"/>
                  </w:rPr>
                  <w:t>沈阳望泽电气有限公司</w:t>
                </w:r>
              </w:p>
            </w:tc>
            <w:tc>
              <w:tcPr>
                <w:tcW w:w="836" w:type="pct"/>
              </w:tcPr>
              <w:p w14:paraId="76AFAD08" w14:textId="77777777" w:rsidR="00577D08" w:rsidRDefault="00330FC0">
                <w:pPr>
                  <w:jc w:val="center"/>
                  <w:rPr>
                    <w:rFonts w:asciiTheme="minorEastAsia" w:eastAsiaTheme="minorEastAsia" w:hAnsiTheme="minorEastAsia" w:hint="eastAsia"/>
                  </w:rPr>
                </w:pPr>
                <w:r>
                  <w:rPr>
                    <w:rFonts w:hint="eastAsia"/>
                  </w:rPr>
                  <w:t>出资设立</w:t>
                </w:r>
              </w:p>
            </w:tc>
            <w:tc>
              <w:tcPr>
                <w:tcW w:w="1057" w:type="pct"/>
              </w:tcPr>
              <w:p w14:paraId="4C8E15B3" w14:textId="77777777" w:rsidR="00577D08" w:rsidRDefault="00330FC0">
                <w:pPr>
                  <w:jc w:val="both"/>
                  <w:rPr>
                    <w:rFonts w:asciiTheme="minorEastAsia" w:eastAsiaTheme="minorEastAsia" w:hAnsiTheme="minorEastAsia" w:hint="eastAsia"/>
                  </w:rPr>
                </w:pPr>
                <w:r>
                  <w:rPr>
                    <w:rFonts w:hint="eastAsia"/>
                  </w:rPr>
                  <w:t>2025</w:t>
                </w:r>
                <w:r>
                  <w:rPr>
                    <w:rFonts w:hint="eastAsia"/>
                  </w:rPr>
                  <w:t>年</w:t>
                </w:r>
                <w:r>
                  <w:rPr>
                    <w:rFonts w:hint="eastAsia"/>
                  </w:rPr>
                  <w:t>2</w:t>
                </w:r>
                <w:r>
                  <w:rPr>
                    <w:rFonts w:hint="eastAsia"/>
                  </w:rPr>
                  <w:t>月</w:t>
                </w:r>
                <w:r>
                  <w:rPr>
                    <w:rFonts w:hint="eastAsia"/>
                  </w:rPr>
                  <w:t>7</w:t>
                </w:r>
                <w:r>
                  <w:rPr>
                    <w:rFonts w:hint="eastAsia"/>
                  </w:rPr>
                  <w:t>日</w:t>
                </w:r>
              </w:p>
            </w:tc>
            <w:tc>
              <w:tcPr>
                <w:tcW w:w="689" w:type="pct"/>
              </w:tcPr>
              <w:p w14:paraId="01E34F5E" w14:textId="77777777" w:rsidR="00577D08" w:rsidRDefault="00330FC0">
                <w:pPr>
                  <w:jc w:val="center"/>
                  <w:rPr>
                    <w:rFonts w:asciiTheme="minorEastAsia" w:eastAsiaTheme="minorEastAsia" w:hAnsiTheme="minorEastAsia" w:hint="eastAsia"/>
                  </w:rPr>
                </w:pPr>
                <w:r>
                  <w:rPr>
                    <w:rFonts w:hint="eastAsia"/>
                  </w:rPr>
                  <w:t>510</w:t>
                </w:r>
                <w:r>
                  <w:rPr>
                    <w:rFonts w:hint="eastAsia"/>
                  </w:rPr>
                  <w:t>万元</w:t>
                </w:r>
              </w:p>
            </w:tc>
            <w:tc>
              <w:tcPr>
                <w:tcW w:w="598" w:type="pct"/>
              </w:tcPr>
              <w:p w14:paraId="08688CBD" w14:textId="77777777" w:rsidR="00577D08" w:rsidRDefault="00330FC0">
                <w:pPr>
                  <w:jc w:val="right"/>
                  <w:rPr>
                    <w:rFonts w:asciiTheme="minorEastAsia" w:eastAsiaTheme="minorEastAsia" w:hAnsiTheme="minorEastAsia" w:hint="eastAsia"/>
                  </w:rPr>
                </w:pPr>
                <w:r>
                  <w:rPr>
                    <w:rFonts w:hint="eastAsia"/>
                  </w:rPr>
                  <w:t>51.00%</w:t>
                </w:r>
              </w:p>
            </w:tc>
          </w:tr>
          <w:tr w:rsidR="00577D08" w14:paraId="0F31B7F0" w14:textId="77777777">
            <w:tc>
              <w:tcPr>
                <w:tcW w:w="1821" w:type="pct"/>
              </w:tcPr>
              <w:p w14:paraId="4C638BFC" w14:textId="77777777" w:rsidR="00577D08" w:rsidRDefault="00330FC0">
                <w:pPr>
                  <w:pStyle w:val="Style43"/>
                  <w:jc w:val="both"/>
                  <w:rPr>
                    <w:rFonts w:asciiTheme="minorEastAsia" w:eastAsiaTheme="minorEastAsia" w:hAnsiTheme="minorEastAsia" w:hint="eastAsia"/>
                    <w:sz w:val="21"/>
                    <w:szCs w:val="21"/>
                  </w:rPr>
                </w:pPr>
                <w:r>
                  <w:rPr>
                    <w:rFonts w:hint="eastAsia"/>
                    <w:sz w:val="21"/>
                    <w:szCs w:val="21"/>
                  </w:rPr>
                  <w:t>香港望变国际有限公司</w:t>
                </w:r>
              </w:p>
            </w:tc>
            <w:tc>
              <w:tcPr>
                <w:tcW w:w="836" w:type="pct"/>
              </w:tcPr>
              <w:p w14:paraId="21FE22A5" w14:textId="77777777" w:rsidR="00577D08" w:rsidRDefault="00330FC0">
                <w:pPr>
                  <w:jc w:val="center"/>
                  <w:rPr>
                    <w:rFonts w:asciiTheme="minorEastAsia" w:eastAsiaTheme="minorEastAsia" w:hAnsiTheme="minorEastAsia" w:hint="eastAsia"/>
                  </w:rPr>
                </w:pPr>
                <w:r>
                  <w:rPr>
                    <w:rFonts w:hint="eastAsia"/>
                  </w:rPr>
                  <w:t>出资设立</w:t>
                </w:r>
              </w:p>
            </w:tc>
            <w:tc>
              <w:tcPr>
                <w:tcW w:w="1057" w:type="pct"/>
              </w:tcPr>
              <w:p w14:paraId="2D83D8E0" w14:textId="77777777" w:rsidR="00577D08" w:rsidRDefault="00330FC0">
                <w:pPr>
                  <w:jc w:val="both"/>
                  <w:rPr>
                    <w:rFonts w:asciiTheme="minorEastAsia" w:eastAsiaTheme="minorEastAsia" w:hAnsiTheme="minorEastAsia" w:hint="eastAsia"/>
                  </w:rPr>
                </w:pPr>
                <w:r>
                  <w:rPr>
                    <w:rFonts w:hint="eastAsia"/>
                  </w:rPr>
                  <w:t>2025</w:t>
                </w:r>
                <w:r>
                  <w:rPr>
                    <w:rFonts w:hint="eastAsia"/>
                  </w:rPr>
                  <w:t>年</w:t>
                </w:r>
                <w:r>
                  <w:rPr>
                    <w:rFonts w:hint="eastAsia"/>
                  </w:rPr>
                  <w:t>6</w:t>
                </w:r>
                <w:r>
                  <w:rPr>
                    <w:rFonts w:hint="eastAsia"/>
                  </w:rPr>
                  <w:t>月</w:t>
                </w:r>
                <w:r>
                  <w:rPr>
                    <w:rFonts w:hint="eastAsia"/>
                  </w:rPr>
                  <w:t>19</w:t>
                </w:r>
                <w:r>
                  <w:rPr>
                    <w:rFonts w:hint="eastAsia"/>
                  </w:rPr>
                  <w:t>日</w:t>
                </w:r>
              </w:p>
            </w:tc>
            <w:tc>
              <w:tcPr>
                <w:tcW w:w="689" w:type="pct"/>
              </w:tcPr>
              <w:p w14:paraId="3623E769" w14:textId="77777777" w:rsidR="00577D08" w:rsidRDefault="00330FC0">
                <w:pPr>
                  <w:jc w:val="center"/>
                  <w:rPr>
                    <w:rFonts w:asciiTheme="minorEastAsia" w:eastAsiaTheme="minorEastAsia" w:hAnsiTheme="minorEastAsia" w:hint="eastAsia"/>
                  </w:rPr>
                </w:pPr>
                <w:r>
                  <w:rPr>
                    <w:rFonts w:hint="eastAsia"/>
                  </w:rPr>
                  <w:t>10,000</w:t>
                </w:r>
                <w:r>
                  <w:rPr>
                    <w:rFonts w:hint="eastAsia"/>
                  </w:rPr>
                  <w:t>港币</w:t>
                </w:r>
              </w:p>
            </w:tc>
            <w:tc>
              <w:tcPr>
                <w:tcW w:w="598" w:type="pct"/>
              </w:tcPr>
              <w:p w14:paraId="1A717F6A" w14:textId="77777777" w:rsidR="00577D08" w:rsidRDefault="00330FC0">
                <w:pPr>
                  <w:jc w:val="right"/>
                  <w:rPr>
                    <w:rFonts w:asciiTheme="minorEastAsia" w:eastAsiaTheme="minorEastAsia" w:hAnsiTheme="minorEastAsia" w:hint="eastAsia"/>
                  </w:rPr>
                </w:pPr>
                <w:r>
                  <w:rPr>
                    <w:rFonts w:hint="eastAsia"/>
                  </w:rPr>
                  <w:t>100.00%</w:t>
                </w:r>
              </w:p>
            </w:tc>
          </w:tr>
          <w:tr w:rsidR="00577D08" w14:paraId="25D99FF7" w14:textId="77777777">
            <w:tc>
              <w:tcPr>
                <w:tcW w:w="1821" w:type="pct"/>
              </w:tcPr>
              <w:p w14:paraId="016A2F09" w14:textId="77777777" w:rsidR="00577D08" w:rsidRDefault="00330FC0">
                <w:pPr>
                  <w:pStyle w:val="Style43"/>
                  <w:jc w:val="both"/>
                  <w:rPr>
                    <w:rFonts w:asciiTheme="minorEastAsia" w:eastAsiaTheme="minorEastAsia" w:hAnsiTheme="minorEastAsia" w:hint="eastAsia"/>
                    <w:sz w:val="21"/>
                    <w:szCs w:val="21"/>
                  </w:rPr>
                </w:pPr>
                <w:r>
                  <w:rPr>
                    <w:rFonts w:hint="eastAsia"/>
                    <w:sz w:val="21"/>
                    <w:szCs w:val="21"/>
                  </w:rPr>
                  <w:t>望来充（重庆）科技有限责任公司</w:t>
                </w:r>
              </w:p>
            </w:tc>
            <w:tc>
              <w:tcPr>
                <w:tcW w:w="836" w:type="pct"/>
              </w:tcPr>
              <w:p w14:paraId="619B0C43" w14:textId="77777777" w:rsidR="00577D08" w:rsidRDefault="00330FC0">
                <w:pPr>
                  <w:jc w:val="center"/>
                  <w:rPr>
                    <w:rFonts w:asciiTheme="minorEastAsia" w:eastAsiaTheme="minorEastAsia" w:hAnsiTheme="minorEastAsia" w:hint="eastAsia"/>
                  </w:rPr>
                </w:pPr>
                <w:r>
                  <w:rPr>
                    <w:rFonts w:hint="eastAsia"/>
                  </w:rPr>
                  <w:t>出资设立</w:t>
                </w:r>
              </w:p>
            </w:tc>
            <w:tc>
              <w:tcPr>
                <w:tcW w:w="1057" w:type="pct"/>
              </w:tcPr>
              <w:p w14:paraId="143255B0" w14:textId="77777777" w:rsidR="00577D08" w:rsidRDefault="00330FC0">
                <w:pPr>
                  <w:jc w:val="both"/>
                  <w:rPr>
                    <w:rFonts w:asciiTheme="minorEastAsia" w:eastAsiaTheme="minorEastAsia" w:hAnsiTheme="minorEastAsia" w:hint="eastAsia"/>
                  </w:rPr>
                </w:pPr>
                <w:r>
                  <w:rPr>
                    <w:rFonts w:hint="eastAsia"/>
                  </w:rPr>
                  <w:t>2025</w:t>
                </w:r>
                <w:r>
                  <w:rPr>
                    <w:rFonts w:hint="eastAsia"/>
                  </w:rPr>
                  <w:t>年</w:t>
                </w:r>
                <w:r>
                  <w:rPr>
                    <w:rFonts w:hint="eastAsia"/>
                  </w:rPr>
                  <w:t>7</w:t>
                </w:r>
                <w:r>
                  <w:rPr>
                    <w:rFonts w:hint="eastAsia"/>
                  </w:rPr>
                  <w:t>月</w:t>
                </w:r>
                <w:r>
                  <w:rPr>
                    <w:rFonts w:hint="eastAsia"/>
                  </w:rPr>
                  <w:t>21</w:t>
                </w:r>
                <w:r>
                  <w:rPr>
                    <w:rFonts w:hint="eastAsia"/>
                  </w:rPr>
                  <w:t>日</w:t>
                </w:r>
              </w:p>
            </w:tc>
            <w:tc>
              <w:tcPr>
                <w:tcW w:w="689" w:type="pct"/>
              </w:tcPr>
              <w:p w14:paraId="6A0DFCBA" w14:textId="77777777" w:rsidR="00577D08" w:rsidRDefault="00330FC0">
                <w:pPr>
                  <w:jc w:val="center"/>
                  <w:rPr>
                    <w:rFonts w:asciiTheme="minorEastAsia" w:eastAsiaTheme="minorEastAsia" w:hAnsiTheme="minorEastAsia" w:hint="eastAsia"/>
                  </w:rPr>
                </w:pPr>
                <w:r>
                  <w:rPr>
                    <w:rFonts w:hint="eastAsia"/>
                  </w:rPr>
                  <w:t>5,000</w:t>
                </w:r>
                <w:r>
                  <w:rPr>
                    <w:rFonts w:hint="eastAsia"/>
                  </w:rPr>
                  <w:t>万元</w:t>
                </w:r>
              </w:p>
            </w:tc>
            <w:tc>
              <w:tcPr>
                <w:tcW w:w="598" w:type="pct"/>
              </w:tcPr>
              <w:p w14:paraId="35A569D3" w14:textId="77777777" w:rsidR="00577D08" w:rsidRDefault="00330FC0">
                <w:pPr>
                  <w:jc w:val="right"/>
                  <w:rPr>
                    <w:rFonts w:asciiTheme="minorEastAsia" w:eastAsiaTheme="minorEastAsia" w:hAnsiTheme="minorEastAsia" w:hint="eastAsia"/>
                  </w:rPr>
                </w:pPr>
                <w:r>
                  <w:rPr>
                    <w:rFonts w:hint="eastAsia"/>
                  </w:rPr>
                  <w:t>100.00%</w:t>
                </w:r>
              </w:p>
            </w:tc>
          </w:tr>
          <w:tr w:rsidR="00577D08" w14:paraId="462C8EA6" w14:textId="77777777">
            <w:tc>
              <w:tcPr>
                <w:tcW w:w="1821" w:type="pct"/>
              </w:tcPr>
              <w:p w14:paraId="28DA982E" w14:textId="77777777" w:rsidR="00577D08" w:rsidRDefault="00330FC0">
                <w:pPr>
                  <w:pStyle w:val="Style43"/>
                  <w:jc w:val="both"/>
                  <w:rPr>
                    <w:rFonts w:asciiTheme="minorEastAsia" w:eastAsiaTheme="minorEastAsia" w:hAnsiTheme="minorEastAsia" w:hint="eastAsia"/>
                    <w:sz w:val="21"/>
                    <w:szCs w:val="21"/>
                  </w:rPr>
                </w:pPr>
                <w:r>
                  <w:rPr>
                    <w:rFonts w:hint="eastAsia"/>
                    <w:sz w:val="21"/>
                    <w:szCs w:val="21"/>
                  </w:rPr>
                  <w:t>望来充（云南）科技有限公司</w:t>
                </w:r>
              </w:p>
            </w:tc>
            <w:tc>
              <w:tcPr>
                <w:tcW w:w="836" w:type="pct"/>
              </w:tcPr>
              <w:p w14:paraId="650CE132" w14:textId="77777777" w:rsidR="00577D08" w:rsidRDefault="00330FC0">
                <w:pPr>
                  <w:jc w:val="center"/>
                  <w:rPr>
                    <w:rFonts w:asciiTheme="minorEastAsia" w:eastAsiaTheme="minorEastAsia" w:hAnsiTheme="minorEastAsia" w:hint="eastAsia"/>
                  </w:rPr>
                </w:pPr>
                <w:r>
                  <w:rPr>
                    <w:rFonts w:hint="eastAsia"/>
                  </w:rPr>
                  <w:t>出资设立</w:t>
                </w:r>
              </w:p>
            </w:tc>
            <w:tc>
              <w:tcPr>
                <w:tcW w:w="1057" w:type="pct"/>
              </w:tcPr>
              <w:p w14:paraId="3A2815C1" w14:textId="77777777" w:rsidR="00577D08" w:rsidRDefault="00330FC0">
                <w:pPr>
                  <w:jc w:val="both"/>
                  <w:rPr>
                    <w:rFonts w:asciiTheme="minorEastAsia" w:eastAsiaTheme="minorEastAsia" w:hAnsiTheme="minorEastAsia" w:hint="eastAsia"/>
                  </w:rPr>
                </w:pPr>
                <w:r>
                  <w:rPr>
                    <w:rFonts w:hint="eastAsia"/>
                  </w:rPr>
                  <w:t>2025</w:t>
                </w:r>
                <w:r>
                  <w:rPr>
                    <w:rFonts w:hint="eastAsia"/>
                  </w:rPr>
                  <w:t>年</w:t>
                </w:r>
                <w:r>
                  <w:rPr>
                    <w:rFonts w:hint="eastAsia"/>
                  </w:rPr>
                  <w:t>8</w:t>
                </w:r>
                <w:r>
                  <w:rPr>
                    <w:rFonts w:hint="eastAsia"/>
                  </w:rPr>
                  <w:t>月</w:t>
                </w:r>
                <w:r>
                  <w:rPr>
                    <w:rFonts w:hint="eastAsia"/>
                  </w:rPr>
                  <w:t>13</w:t>
                </w:r>
                <w:r>
                  <w:rPr>
                    <w:rFonts w:hint="eastAsia"/>
                  </w:rPr>
                  <w:t>日</w:t>
                </w:r>
              </w:p>
            </w:tc>
            <w:tc>
              <w:tcPr>
                <w:tcW w:w="689" w:type="pct"/>
              </w:tcPr>
              <w:p w14:paraId="2ED757BE" w14:textId="77777777" w:rsidR="00577D08" w:rsidRDefault="00330FC0">
                <w:pPr>
                  <w:jc w:val="center"/>
                  <w:rPr>
                    <w:rFonts w:asciiTheme="minorEastAsia" w:eastAsiaTheme="minorEastAsia" w:hAnsiTheme="minorEastAsia" w:hint="eastAsia"/>
                  </w:rPr>
                </w:pPr>
                <w:r>
                  <w:rPr>
                    <w:rFonts w:hint="eastAsia"/>
                  </w:rPr>
                  <w:t>5,000</w:t>
                </w:r>
                <w:r>
                  <w:rPr>
                    <w:rFonts w:hint="eastAsia"/>
                  </w:rPr>
                  <w:t>万元</w:t>
                </w:r>
              </w:p>
            </w:tc>
            <w:tc>
              <w:tcPr>
                <w:tcW w:w="598" w:type="pct"/>
              </w:tcPr>
              <w:p w14:paraId="164DEA92" w14:textId="77777777" w:rsidR="00577D08" w:rsidRDefault="00330FC0">
                <w:pPr>
                  <w:jc w:val="right"/>
                  <w:rPr>
                    <w:rFonts w:asciiTheme="minorEastAsia" w:eastAsiaTheme="minorEastAsia" w:hAnsiTheme="minorEastAsia" w:hint="eastAsia"/>
                  </w:rPr>
                </w:pPr>
                <w:r>
                  <w:rPr>
                    <w:rFonts w:hint="eastAsia"/>
                  </w:rPr>
                  <w:t>100.00%</w:t>
                </w:r>
              </w:p>
            </w:tc>
          </w:tr>
          <w:tr w:rsidR="00577D08" w14:paraId="15D374AF" w14:textId="77777777">
            <w:tc>
              <w:tcPr>
                <w:tcW w:w="1821" w:type="pct"/>
              </w:tcPr>
              <w:p w14:paraId="36694535" w14:textId="77777777" w:rsidR="00577D08" w:rsidRDefault="00330FC0">
                <w:pPr>
                  <w:pStyle w:val="Style43"/>
                  <w:jc w:val="both"/>
                  <w:rPr>
                    <w:rFonts w:asciiTheme="minorEastAsia" w:eastAsiaTheme="minorEastAsia" w:hAnsiTheme="minorEastAsia" w:hint="eastAsia"/>
                    <w:sz w:val="21"/>
                    <w:szCs w:val="21"/>
                  </w:rPr>
                </w:pPr>
                <w:r>
                  <w:rPr>
                    <w:rFonts w:hint="eastAsia"/>
                    <w:sz w:val="21"/>
                    <w:szCs w:val="21"/>
                  </w:rPr>
                  <w:t>重庆长寿望来充新能源有限公司</w:t>
                </w:r>
              </w:p>
            </w:tc>
            <w:tc>
              <w:tcPr>
                <w:tcW w:w="836" w:type="pct"/>
              </w:tcPr>
              <w:p w14:paraId="7F90BFFE" w14:textId="77777777" w:rsidR="00577D08" w:rsidRDefault="00330FC0">
                <w:pPr>
                  <w:jc w:val="center"/>
                  <w:rPr>
                    <w:rFonts w:asciiTheme="minorEastAsia" w:eastAsiaTheme="minorEastAsia" w:hAnsiTheme="minorEastAsia" w:hint="eastAsia"/>
                  </w:rPr>
                </w:pPr>
                <w:r>
                  <w:rPr>
                    <w:rFonts w:hint="eastAsia"/>
                  </w:rPr>
                  <w:t>出资设立</w:t>
                </w:r>
              </w:p>
            </w:tc>
            <w:tc>
              <w:tcPr>
                <w:tcW w:w="1057" w:type="pct"/>
              </w:tcPr>
              <w:p w14:paraId="6F2266E3" w14:textId="77777777" w:rsidR="00577D08" w:rsidRDefault="00330FC0">
                <w:pPr>
                  <w:jc w:val="both"/>
                  <w:rPr>
                    <w:rFonts w:asciiTheme="minorEastAsia" w:eastAsiaTheme="minorEastAsia" w:hAnsiTheme="minorEastAsia" w:hint="eastAsia"/>
                  </w:rPr>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689" w:type="pct"/>
              </w:tcPr>
              <w:p w14:paraId="15D1F6CC" w14:textId="77777777" w:rsidR="00577D08" w:rsidRDefault="00330FC0">
                <w:pPr>
                  <w:jc w:val="center"/>
                  <w:rPr>
                    <w:rFonts w:asciiTheme="minorEastAsia" w:eastAsiaTheme="minorEastAsia" w:hAnsiTheme="minorEastAsia" w:hint="eastAsia"/>
                  </w:rPr>
                </w:pPr>
                <w:r>
                  <w:rPr>
                    <w:rFonts w:hint="eastAsia"/>
                  </w:rPr>
                  <w:t>2,100</w:t>
                </w:r>
                <w:r>
                  <w:rPr>
                    <w:rFonts w:hint="eastAsia"/>
                  </w:rPr>
                  <w:t>万元</w:t>
                </w:r>
              </w:p>
            </w:tc>
            <w:tc>
              <w:tcPr>
                <w:tcW w:w="598" w:type="pct"/>
              </w:tcPr>
              <w:p w14:paraId="32F5ABFA" w14:textId="77777777" w:rsidR="00577D08" w:rsidRDefault="00330FC0">
                <w:pPr>
                  <w:jc w:val="right"/>
                  <w:rPr>
                    <w:rFonts w:asciiTheme="minorEastAsia" w:eastAsiaTheme="minorEastAsia" w:hAnsiTheme="minorEastAsia" w:hint="eastAsia"/>
                  </w:rPr>
                </w:pPr>
                <w:r>
                  <w:rPr>
                    <w:rFonts w:hint="eastAsia"/>
                  </w:rPr>
                  <w:t>70.00%</w:t>
                </w:r>
              </w:p>
            </w:tc>
          </w:tr>
          <w:tr w:rsidR="00577D08" w14:paraId="7D6D8A18" w14:textId="77777777">
            <w:tc>
              <w:tcPr>
                <w:tcW w:w="1821" w:type="pct"/>
              </w:tcPr>
              <w:p w14:paraId="6C300F66" w14:textId="77777777" w:rsidR="00577D08" w:rsidRDefault="00330FC0">
                <w:pPr>
                  <w:pStyle w:val="Style43"/>
                  <w:jc w:val="both"/>
                  <w:rPr>
                    <w:rFonts w:asciiTheme="minorEastAsia" w:eastAsiaTheme="minorEastAsia" w:hAnsiTheme="minorEastAsia" w:hint="eastAsia"/>
                    <w:sz w:val="21"/>
                    <w:szCs w:val="21"/>
                  </w:rPr>
                </w:pPr>
                <w:r>
                  <w:rPr>
                    <w:rFonts w:hint="eastAsia"/>
                    <w:sz w:val="21"/>
                    <w:szCs w:val="21"/>
                  </w:rPr>
                  <w:lastRenderedPageBreak/>
                  <w:t>望来充（河南）新能源有限公司</w:t>
                </w:r>
              </w:p>
            </w:tc>
            <w:tc>
              <w:tcPr>
                <w:tcW w:w="836" w:type="pct"/>
              </w:tcPr>
              <w:p w14:paraId="0ACBB43E" w14:textId="77777777" w:rsidR="00577D08" w:rsidRDefault="00330FC0">
                <w:pPr>
                  <w:jc w:val="center"/>
                  <w:rPr>
                    <w:rFonts w:asciiTheme="minorEastAsia" w:eastAsiaTheme="minorEastAsia" w:hAnsiTheme="minorEastAsia" w:hint="eastAsia"/>
                  </w:rPr>
                </w:pPr>
                <w:r>
                  <w:rPr>
                    <w:rFonts w:hint="eastAsia"/>
                  </w:rPr>
                  <w:t>出资设立</w:t>
                </w:r>
              </w:p>
            </w:tc>
            <w:tc>
              <w:tcPr>
                <w:tcW w:w="1057" w:type="pct"/>
              </w:tcPr>
              <w:p w14:paraId="43CE6F7D" w14:textId="77777777" w:rsidR="00577D08" w:rsidRDefault="00330FC0">
                <w:pPr>
                  <w:jc w:val="both"/>
                  <w:rPr>
                    <w:rFonts w:asciiTheme="minorEastAsia" w:eastAsiaTheme="minorEastAsia" w:hAnsiTheme="minorEastAsia" w:hint="eastAsia"/>
                  </w:rPr>
                </w:pPr>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689" w:type="pct"/>
              </w:tcPr>
              <w:p w14:paraId="6197D464" w14:textId="77777777" w:rsidR="00577D08" w:rsidRDefault="00330FC0">
                <w:pPr>
                  <w:jc w:val="center"/>
                  <w:rPr>
                    <w:rFonts w:asciiTheme="minorEastAsia" w:eastAsiaTheme="minorEastAsia" w:hAnsiTheme="minorEastAsia" w:hint="eastAsia"/>
                  </w:rPr>
                </w:pPr>
                <w:r>
                  <w:rPr>
                    <w:rFonts w:hint="eastAsia"/>
                  </w:rPr>
                  <w:t>1,000</w:t>
                </w:r>
                <w:r>
                  <w:rPr>
                    <w:rFonts w:hint="eastAsia"/>
                  </w:rPr>
                  <w:t>万元</w:t>
                </w:r>
              </w:p>
            </w:tc>
            <w:tc>
              <w:tcPr>
                <w:tcW w:w="598" w:type="pct"/>
              </w:tcPr>
              <w:p w14:paraId="18BBF332" w14:textId="77777777" w:rsidR="00577D08" w:rsidRDefault="00330FC0">
                <w:pPr>
                  <w:jc w:val="right"/>
                  <w:rPr>
                    <w:rFonts w:asciiTheme="minorEastAsia" w:eastAsiaTheme="minorEastAsia" w:hAnsiTheme="minorEastAsia" w:hint="eastAsia"/>
                  </w:rPr>
                </w:pPr>
                <w:r>
                  <w:rPr>
                    <w:rFonts w:hint="eastAsia"/>
                  </w:rPr>
                  <w:t>100.00%</w:t>
                </w:r>
              </w:p>
            </w:tc>
          </w:tr>
        </w:tbl>
        <w:p w14:paraId="6E57BF1D" w14:textId="77777777" w:rsidR="00577D08" w:rsidRDefault="00330FC0">
          <w:pPr>
            <w:spacing w:line="360" w:lineRule="exact"/>
            <w:ind w:firstLineChars="200" w:firstLine="420"/>
            <w:rPr>
              <w:rFonts w:asciiTheme="minorHAnsi" w:eastAsiaTheme="minorEastAsia" w:hAnsiTheme="minorHAnsi" w:cs="Arial"/>
              <w:color w:val="000000"/>
            </w:rPr>
          </w:pPr>
          <w:r>
            <w:rPr>
              <w:rFonts w:asciiTheme="minorHAnsi" w:eastAsiaTheme="minorEastAsia" w:hAnsiTheme="minorHAnsi" w:cs="Arial" w:hint="eastAsia"/>
              <w:color w:val="000000"/>
            </w:rPr>
            <w:t>截至</w:t>
          </w:r>
          <w:r>
            <w:rPr>
              <w:rFonts w:asciiTheme="minorHAnsi" w:eastAsiaTheme="minorEastAsia" w:hAnsiTheme="minorHAnsi" w:cs="Arial" w:hint="eastAsia"/>
              <w:color w:val="000000"/>
            </w:rPr>
            <w:t>2025</w:t>
          </w:r>
          <w:r>
            <w:rPr>
              <w:rFonts w:asciiTheme="minorHAnsi" w:eastAsiaTheme="minorEastAsia" w:hAnsiTheme="minorHAnsi" w:cs="Arial" w:hint="eastAsia"/>
              <w:color w:val="000000"/>
            </w:rPr>
            <w:t>年</w:t>
          </w:r>
          <w:r>
            <w:rPr>
              <w:rFonts w:asciiTheme="minorHAnsi" w:eastAsiaTheme="minorEastAsia" w:hAnsiTheme="minorHAnsi" w:cs="Arial" w:hint="eastAsia"/>
              <w:color w:val="000000"/>
            </w:rPr>
            <w:t>12</w:t>
          </w:r>
          <w:r>
            <w:rPr>
              <w:rFonts w:asciiTheme="minorHAnsi" w:eastAsiaTheme="minorEastAsia" w:hAnsiTheme="minorHAnsi" w:cs="Arial" w:hint="eastAsia"/>
              <w:color w:val="000000"/>
            </w:rPr>
            <w:t>月</w:t>
          </w:r>
          <w:r>
            <w:rPr>
              <w:rFonts w:asciiTheme="minorHAnsi" w:eastAsiaTheme="minorEastAsia" w:hAnsiTheme="minorHAnsi" w:cs="Arial" w:hint="eastAsia"/>
              <w:color w:val="000000"/>
            </w:rPr>
            <w:t>31</w:t>
          </w:r>
          <w:r>
            <w:rPr>
              <w:rFonts w:asciiTheme="minorHAnsi" w:eastAsiaTheme="minorEastAsia" w:hAnsiTheme="minorHAnsi" w:cs="Arial" w:hint="eastAsia"/>
              <w:color w:val="000000"/>
            </w:rPr>
            <w:t>日，香港望变国际有限公司、望来充（云南）科技有限公司、重庆长寿望来充新能源有限公司和望来充（河南）新能源有限公司尚未完成全部出资，具体情况详见</w:t>
          </w:r>
          <w:r>
            <w:rPr>
              <w:rFonts w:hint="eastAsia"/>
            </w:rPr>
            <w:t>“第八节</w:t>
          </w:r>
          <w:r>
            <w:rPr>
              <w:rFonts w:hint="eastAsia"/>
            </w:rPr>
            <w:t>.</w:t>
          </w:r>
          <w:r>
            <w:rPr>
              <w:rFonts w:hint="eastAsia"/>
            </w:rPr>
            <w:t>十九、母公司财务报表主要项目注释</w:t>
          </w:r>
          <w:r>
            <w:rPr>
              <w:rFonts w:hint="eastAsia"/>
            </w:rPr>
            <w:t>.3</w:t>
          </w:r>
          <w:r>
            <w:rPr>
              <w:rFonts w:hint="eastAsia"/>
            </w:rPr>
            <w:t>、长期股权投资”。</w:t>
          </w:r>
        </w:p>
      </w:sdtContent>
    </w:sdt>
    <w:p w14:paraId="374BBA3D" w14:textId="77777777" w:rsidR="00577D08" w:rsidRDefault="00330FC0">
      <w:pPr>
        <w:pStyle w:val="3"/>
        <w:numPr>
          <w:ilvl w:val="0"/>
          <w:numId w:val="104"/>
        </w:numPr>
        <w:rPr>
          <w:rFonts w:ascii="宋体" w:hAnsi="宋体" w:cs="Arial" w:hint="eastAsia"/>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974568577"/>
        <w:placeholder>
          <w:docPart w:val="GBC22222222222222222222222222222"/>
        </w:placeholder>
      </w:sdtPr>
      <w:sdtContent>
        <w:p w14:paraId="6F3495FE" w14:textId="77777777" w:rsidR="00577D08" w:rsidRDefault="00330FC0">
          <w:pPr>
            <w:rPr>
              <w:rFonts w:asciiTheme="minorHAnsi" w:eastAsiaTheme="minorEastAsia" w:hAnsiTheme="minorHAnsi" w:cs="Arial"/>
              <w:color w:val="000000"/>
            </w:rPr>
          </w:pPr>
          <w:r>
            <w:rPr>
              <w:rFonts w:ascii="宋体" w:hAnsi="宋体" w:cs="Arial"/>
              <w:color w:val="000000"/>
            </w:rPr>
            <w:fldChar w:fldCharType="begin"/>
          </w:r>
          <w:r>
            <w:rPr>
              <w:rFonts w:ascii="宋体" w:hAnsi="宋体" w:cs="Arial" w:hint="eastAsia"/>
              <w:color w:val="000000"/>
            </w:rPr>
            <w:instrText xml:space="preserve"> MACROBUTTON  SnrToggleCheckbox □适用  </w:instrText>
          </w:r>
          <w:r>
            <w:rPr>
              <w:rFonts w:ascii="宋体" w:hAnsi="宋体" w:cs="Arial"/>
              <w:color w:val="000000"/>
            </w:rPr>
            <w:fldChar w:fldCharType="end"/>
          </w:r>
          <w:r>
            <w:rPr>
              <w:rFonts w:ascii="宋体" w:hAnsi="宋体" w:cs="Arial"/>
              <w:color w:val="000000"/>
            </w:rPr>
            <w:fldChar w:fldCharType="begin"/>
          </w:r>
          <w:r>
            <w:rPr>
              <w:rFonts w:ascii="宋体" w:hAnsi="宋体" w:cs="Arial" w:hint="eastAsia"/>
              <w:color w:val="000000"/>
            </w:rPr>
            <w:instrText xml:space="preserve"> MACROBUTTON  SnrToggleCheckbox √不适用 </w:instrText>
          </w:r>
          <w:r>
            <w:rPr>
              <w:rFonts w:ascii="宋体" w:hAnsi="宋体" w:cs="Arial"/>
              <w:color w:val="000000"/>
            </w:rPr>
            <w:fldChar w:fldCharType="end"/>
          </w:r>
        </w:p>
      </w:sdtContent>
    </w:sdt>
    <w:p w14:paraId="4F6B1753" w14:textId="77777777" w:rsidR="00577D08" w:rsidRDefault="00330FC0">
      <w:pPr>
        <w:pStyle w:val="2"/>
        <w:numPr>
          <w:ilvl w:val="0"/>
          <w:numId w:val="52"/>
        </w:numPr>
        <w:rPr>
          <w:rFonts w:ascii="宋体" w:hAnsi="宋体" w:hint="eastAsia"/>
        </w:rPr>
      </w:pPr>
      <w:r>
        <w:rPr>
          <w:rFonts w:ascii="宋体" w:hAnsi="宋体" w:hint="eastAsia"/>
        </w:rPr>
        <w:t>在其他主体中的权益</w:t>
      </w:r>
    </w:p>
    <w:p w14:paraId="5A6AB447" w14:textId="77777777" w:rsidR="00577D08" w:rsidRDefault="00330FC0">
      <w:pPr>
        <w:pStyle w:val="3"/>
        <w:numPr>
          <w:ilvl w:val="2"/>
          <w:numId w:val="105"/>
        </w:numPr>
      </w:pPr>
      <w:r>
        <w:rPr>
          <w:rFonts w:hint="eastAsia"/>
        </w:rPr>
        <w:t>在子公司中的权益</w:t>
      </w:r>
    </w:p>
    <w:p w14:paraId="4A92DB90" w14:textId="77777777" w:rsidR="00577D08" w:rsidRDefault="00330FC0">
      <w:pPr>
        <w:pStyle w:val="4"/>
        <w:numPr>
          <w:ilvl w:val="3"/>
          <w:numId w:val="106"/>
        </w:numPr>
        <w:ind w:left="426" w:hangingChars="202" w:hanging="426"/>
        <w:rPr>
          <w:rFonts w:hint="eastAsia"/>
        </w:rPr>
      </w:pPr>
      <w:r>
        <w:rPr>
          <w:rFonts w:hint="eastAsia"/>
        </w:rPr>
        <w:t>企业集团的构成</w:t>
      </w:r>
    </w:p>
    <w:sdt>
      <w:sdtPr>
        <w:alias w:val="是否适用：企业集团的构成[双击切换]"/>
        <w:tag w:val="_GBC_f4dcd24cd0a6465f817fe278addb6568"/>
        <w:id w:val="-695385271"/>
        <w:placeholder>
          <w:docPart w:val="GBC22222222222222222222222222222"/>
        </w:placeholder>
      </w:sdtPr>
      <w:sdtContent>
        <w:p w14:paraId="7EFDFFF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152CDEC" w14:textId="1720DD5D" w:rsidR="00577D08" w:rsidRDefault="00330FC0">
      <w:pPr>
        <w:jc w:val="right"/>
      </w:pPr>
      <w:r>
        <w:rPr>
          <w:rFonts w:hint="eastAsia"/>
        </w:rPr>
        <w:t>单位：</w:t>
      </w:r>
      <w:sdt>
        <w:sdtPr>
          <w:rPr>
            <w:rFonts w:hint="eastAsia"/>
          </w:rPr>
          <w:alias w:val="单位：企业集团的构成"/>
          <w:tag w:val="_GBC_69130484488a4b33b14f19ef0f1abce9"/>
          <w:id w:val="-201753667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r w:rsidR="00CC5C32">
            <w:rPr>
              <w:rFonts w:hint="eastAsia"/>
            </w:rPr>
            <w:t xml:space="preserve"> </w:t>
          </w:r>
        </w:sdtContent>
      </w:sdt>
      <w:r>
        <w:rPr>
          <w:rFonts w:hint="eastAsia"/>
        </w:rPr>
        <w:t>币种：</w:t>
      </w:r>
      <w:sdt>
        <w:sdtPr>
          <w:rPr>
            <w:rFonts w:hint="eastAsia"/>
          </w:rPr>
          <w:alias w:val="币种：企业集团的构成"/>
          <w:tag w:val="_GBC_3be075e5c9a5407c89e1aab348039bf5"/>
          <w:id w:val="-20664736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34"/>
        <w:gridCol w:w="1266"/>
        <w:gridCol w:w="1134"/>
        <w:gridCol w:w="1281"/>
        <w:gridCol w:w="607"/>
        <w:gridCol w:w="673"/>
        <w:gridCol w:w="1428"/>
      </w:tblGrid>
      <w:tr w:rsidR="00577D08" w14:paraId="448656D7" w14:textId="77777777">
        <w:trPr>
          <w:trHeight w:val="247"/>
        </w:trPr>
        <w:sdt>
          <w:sdtPr>
            <w:rPr>
              <w:sz w:val="18"/>
              <w:szCs w:val="18"/>
            </w:rPr>
            <w:tag w:val="_PLD_d102f36c2e2645ad9579603ca28588c8"/>
            <w:id w:val="-754980090"/>
          </w:sdtPr>
          <w:sdtContent>
            <w:tc>
              <w:tcPr>
                <w:tcW w:w="1526" w:type="dxa"/>
                <w:vMerge w:val="restart"/>
                <w:vAlign w:val="center"/>
              </w:tcPr>
              <w:p w14:paraId="10B2D358" w14:textId="77777777" w:rsidR="00577D08" w:rsidRDefault="00330FC0">
                <w:pPr>
                  <w:jc w:val="center"/>
                  <w:rPr>
                    <w:rFonts w:cs="Arial"/>
                    <w:sz w:val="18"/>
                    <w:szCs w:val="18"/>
                    <w:lang w:val="en-GB"/>
                  </w:rPr>
                </w:pPr>
                <w:r>
                  <w:rPr>
                    <w:rFonts w:cs="Arial" w:hint="eastAsia"/>
                    <w:sz w:val="18"/>
                    <w:szCs w:val="18"/>
                    <w:lang w:val="en-GB"/>
                  </w:rPr>
                  <w:t>子公司</w:t>
                </w:r>
              </w:p>
              <w:p w14:paraId="37628D25" w14:textId="77777777" w:rsidR="00577D08" w:rsidRDefault="00330FC0">
                <w:pPr>
                  <w:jc w:val="center"/>
                  <w:rPr>
                    <w:rFonts w:cs="Arial"/>
                    <w:sz w:val="18"/>
                    <w:szCs w:val="18"/>
                  </w:rPr>
                </w:pPr>
                <w:r>
                  <w:rPr>
                    <w:rFonts w:cs="Arial" w:hint="eastAsia"/>
                    <w:sz w:val="18"/>
                    <w:szCs w:val="18"/>
                    <w:lang w:val="en-GB"/>
                  </w:rPr>
                  <w:t>名称</w:t>
                </w:r>
              </w:p>
            </w:tc>
          </w:sdtContent>
        </w:sdt>
        <w:sdt>
          <w:sdtPr>
            <w:rPr>
              <w:sz w:val="18"/>
              <w:szCs w:val="18"/>
            </w:rPr>
            <w:tag w:val="_PLD_f2f68356b5494ce8941038ba206c0e79"/>
            <w:id w:val="-1525941968"/>
          </w:sdtPr>
          <w:sdtContent>
            <w:tc>
              <w:tcPr>
                <w:tcW w:w="1134" w:type="dxa"/>
                <w:vMerge w:val="restart"/>
                <w:vAlign w:val="center"/>
              </w:tcPr>
              <w:p w14:paraId="5ACD846E" w14:textId="77777777" w:rsidR="00577D08" w:rsidRDefault="00330FC0">
                <w:pPr>
                  <w:jc w:val="center"/>
                  <w:rPr>
                    <w:rFonts w:cs="Arial"/>
                    <w:sz w:val="18"/>
                    <w:szCs w:val="18"/>
                  </w:rPr>
                </w:pPr>
                <w:r>
                  <w:rPr>
                    <w:rFonts w:cs="Arial" w:hint="eastAsia"/>
                    <w:sz w:val="18"/>
                    <w:szCs w:val="18"/>
                    <w:lang w:val="en-GB"/>
                  </w:rPr>
                  <w:t>主要经营地</w:t>
                </w:r>
              </w:p>
            </w:tc>
          </w:sdtContent>
        </w:sdt>
        <w:tc>
          <w:tcPr>
            <w:tcW w:w="1266" w:type="dxa"/>
            <w:vMerge w:val="restart"/>
            <w:vAlign w:val="center"/>
          </w:tcPr>
          <w:sdt>
            <w:sdtPr>
              <w:rPr>
                <w:sz w:val="18"/>
                <w:szCs w:val="18"/>
              </w:rPr>
              <w:tag w:val="_PLD_e8bcd6ecc6b44104942668e86b86bbbe"/>
              <w:id w:val="130213295"/>
            </w:sdtPr>
            <w:sdtContent>
              <w:p w14:paraId="195E4E73" w14:textId="77777777" w:rsidR="00577D08" w:rsidRDefault="00330FC0">
                <w:pPr>
                  <w:jc w:val="center"/>
                  <w:rPr>
                    <w:sz w:val="18"/>
                    <w:szCs w:val="18"/>
                  </w:rPr>
                </w:pPr>
                <w:r>
                  <w:rPr>
                    <w:rFonts w:hint="eastAsia"/>
                    <w:sz w:val="18"/>
                    <w:szCs w:val="18"/>
                  </w:rPr>
                  <w:t>注册资本</w:t>
                </w:r>
              </w:p>
            </w:sdtContent>
          </w:sdt>
        </w:tc>
        <w:sdt>
          <w:sdtPr>
            <w:rPr>
              <w:sz w:val="18"/>
              <w:szCs w:val="18"/>
            </w:rPr>
            <w:tag w:val="_PLD_e9cbfd017bcc45b9be4599d5ee950f92"/>
            <w:id w:val="-473764264"/>
          </w:sdtPr>
          <w:sdtContent>
            <w:tc>
              <w:tcPr>
                <w:tcW w:w="1134" w:type="dxa"/>
                <w:vMerge w:val="restart"/>
                <w:vAlign w:val="center"/>
              </w:tcPr>
              <w:p w14:paraId="51F44720" w14:textId="77777777" w:rsidR="00577D08" w:rsidRDefault="00330FC0">
                <w:pPr>
                  <w:jc w:val="center"/>
                  <w:rPr>
                    <w:rFonts w:cs="Arial"/>
                    <w:sz w:val="18"/>
                    <w:szCs w:val="18"/>
                  </w:rPr>
                </w:pPr>
                <w:r>
                  <w:rPr>
                    <w:rFonts w:cs="Arial" w:hint="eastAsia"/>
                    <w:sz w:val="18"/>
                    <w:szCs w:val="18"/>
                    <w:lang w:val="en-GB"/>
                  </w:rPr>
                  <w:t>注册地</w:t>
                </w:r>
              </w:p>
            </w:tc>
          </w:sdtContent>
        </w:sdt>
        <w:sdt>
          <w:sdtPr>
            <w:rPr>
              <w:sz w:val="18"/>
              <w:szCs w:val="18"/>
            </w:rPr>
            <w:tag w:val="_PLD_da5558f3e8f24c30b756f825b0ebca03"/>
            <w:id w:val="591198866"/>
          </w:sdtPr>
          <w:sdtContent>
            <w:tc>
              <w:tcPr>
                <w:tcW w:w="1281" w:type="dxa"/>
                <w:vMerge w:val="restart"/>
                <w:vAlign w:val="center"/>
              </w:tcPr>
              <w:p w14:paraId="23597D0E" w14:textId="77777777" w:rsidR="00577D08" w:rsidRDefault="00330FC0">
                <w:pPr>
                  <w:jc w:val="center"/>
                  <w:rPr>
                    <w:rFonts w:cs="Arial"/>
                    <w:sz w:val="18"/>
                    <w:szCs w:val="18"/>
                  </w:rPr>
                </w:pPr>
                <w:r>
                  <w:rPr>
                    <w:rFonts w:cs="Arial" w:hint="eastAsia"/>
                    <w:sz w:val="18"/>
                    <w:szCs w:val="18"/>
                    <w:lang w:val="en-GB"/>
                  </w:rPr>
                  <w:t>业务性质</w:t>
                </w:r>
              </w:p>
            </w:tc>
          </w:sdtContent>
        </w:sdt>
        <w:sdt>
          <w:sdtPr>
            <w:rPr>
              <w:sz w:val="18"/>
              <w:szCs w:val="18"/>
            </w:rPr>
            <w:tag w:val="_PLD_817e427c8eff4fd1875d12860133e99e"/>
            <w:id w:val="477953966"/>
          </w:sdtPr>
          <w:sdtContent>
            <w:tc>
              <w:tcPr>
                <w:tcW w:w="1280" w:type="dxa"/>
                <w:gridSpan w:val="2"/>
                <w:vAlign w:val="center"/>
              </w:tcPr>
              <w:p w14:paraId="3B1F412D" w14:textId="77777777" w:rsidR="00577D08" w:rsidRDefault="00330FC0">
                <w:pPr>
                  <w:jc w:val="center"/>
                  <w:rPr>
                    <w:rFonts w:cs="Arial"/>
                    <w:sz w:val="18"/>
                    <w:szCs w:val="18"/>
                  </w:rPr>
                </w:pPr>
                <w:r>
                  <w:rPr>
                    <w:rFonts w:cs="Arial" w:hint="eastAsia"/>
                    <w:sz w:val="18"/>
                    <w:szCs w:val="18"/>
                    <w:lang w:val="en-GB"/>
                  </w:rPr>
                  <w:t>持股比例</w:t>
                </w:r>
                <w:r>
                  <w:rPr>
                    <w:rFonts w:cs="Arial"/>
                    <w:sz w:val="18"/>
                    <w:szCs w:val="18"/>
                  </w:rPr>
                  <w:t>(%)</w:t>
                </w:r>
              </w:p>
            </w:tc>
          </w:sdtContent>
        </w:sdt>
        <w:sdt>
          <w:sdtPr>
            <w:rPr>
              <w:sz w:val="18"/>
              <w:szCs w:val="18"/>
            </w:rPr>
            <w:tag w:val="_PLD_0bb5e453efe4450ba0d853b98eb2c2b0"/>
            <w:id w:val="706153453"/>
          </w:sdtPr>
          <w:sdtContent>
            <w:tc>
              <w:tcPr>
                <w:tcW w:w="1428" w:type="dxa"/>
                <w:vMerge w:val="restart"/>
                <w:vAlign w:val="center"/>
              </w:tcPr>
              <w:p w14:paraId="391432F1" w14:textId="77777777" w:rsidR="00577D08" w:rsidRDefault="00330FC0">
                <w:pPr>
                  <w:jc w:val="center"/>
                  <w:rPr>
                    <w:rFonts w:cs="Arial"/>
                    <w:sz w:val="18"/>
                    <w:szCs w:val="18"/>
                    <w:lang w:val="en-GB"/>
                  </w:rPr>
                </w:pPr>
                <w:r>
                  <w:rPr>
                    <w:rFonts w:cs="Arial" w:hint="eastAsia"/>
                    <w:sz w:val="18"/>
                    <w:szCs w:val="18"/>
                    <w:lang w:val="en-GB"/>
                  </w:rPr>
                  <w:t>取得</w:t>
                </w:r>
              </w:p>
              <w:p w14:paraId="56F307FD" w14:textId="77777777" w:rsidR="00577D08" w:rsidRDefault="00330FC0">
                <w:pPr>
                  <w:jc w:val="center"/>
                  <w:rPr>
                    <w:rFonts w:cs="Arial"/>
                    <w:sz w:val="18"/>
                    <w:szCs w:val="18"/>
                    <w:lang w:val="en-GB"/>
                  </w:rPr>
                </w:pPr>
                <w:r>
                  <w:rPr>
                    <w:rFonts w:cs="Arial" w:hint="eastAsia"/>
                    <w:sz w:val="18"/>
                    <w:szCs w:val="18"/>
                    <w:lang w:val="en-GB"/>
                  </w:rPr>
                  <w:t>方式</w:t>
                </w:r>
              </w:p>
            </w:tc>
          </w:sdtContent>
        </w:sdt>
      </w:tr>
      <w:tr w:rsidR="00577D08" w14:paraId="3083CBED" w14:textId="77777777">
        <w:trPr>
          <w:trHeight w:val="278"/>
        </w:trPr>
        <w:tc>
          <w:tcPr>
            <w:tcW w:w="1526" w:type="dxa"/>
            <w:vMerge/>
            <w:vAlign w:val="center"/>
          </w:tcPr>
          <w:p w14:paraId="70BE5F74" w14:textId="77777777" w:rsidR="00577D08" w:rsidRDefault="00577D08">
            <w:pPr>
              <w:rPr>
                <w:rFonts w:cs="Arial"/>
                <w:sz w:val="18"/>
                <w:szCs w:val="18"/>
              </w:rPr>
            </w:pPr>
          </w:p>
        </w:tc>
        <w:tc>
          <w:tcPr>
            <w:tcW w:w="1134" w:type="dxa"/>
            <w:vMerge/>
            <w:vAlign w:val="center"/>
          </w:tcPr>
          <w:p w14:paraId="5260CDD1" w14:textId="77777777" w:rsidR="00577D08" w:rsidRDefault="00577D08">
            <w:pPr>
              <w:rPr>
                <w:rFonts w:cs="Arial"/>
                <w:sz w:val="18"/>
                <w:szCs w:val="18"/>
              </w:rPr>
            </w:pPr>
          </w:p>
        </w:tc>
        <w:tc>
          <w:tcPr>
            <w:tcW w:w="1266" w:type="dxa"/>
            <w:vMerge/>
            <w:vAlign w:val="center"/>
          </w:tcPr>
          <w:p w14:paraId="66C49B52" w14:textId="77777777" w:rsidR="00577D08" w:rsidRDefault="00577D08">
            <w:pPr>
              <w:rPr>
                <w:rFonts w:cs="Arial"/>
                <w:sz w:val="18"/>
                <w:szCs w:val="18"/>
              </w:rPr>
            </w:pPr>
          </w:p>
        </w:tc>
        <w:tc>
          <w:tcPr>
            <w:tcW w:w="1134" w:type="dxa"/>
            <w:vMerge/>
            <w:vAlign w:val="center"/>
          </w:tcPr>
          <w:p w14:paraId="1F87952C" w14:textId="77777777" w:rsidR="00577D08" w:rsidRDefault="00577D08">
            <w:pPr>
              <w:rPr>
                <w:rFonts w:cs="Arial"/>
                <w:sz w:val="18"/>
                <w:szCs w:val="18"/>
              </w:rPr>
            </w:pPr>
          </w:p>
        </w:tc>
        <w:tc>
          <w:tcPr>
            <w:tcW w:w="1281" w:type="dxa"/>
            <w:vMerge/>
            <w:vAlign w:val="center"/>
          </w:tcPr>
          <w:p w14:paraId="2F72808B" w14:textId="77777777" w:rsidR="00577D08" w:rsidRDefault="00577D08">
            <w:pPr>
              <w:rPr>
                <w:rFonts w:cs="Arial"/>
                <w:sz w:val="18"/>
                <w:szCs w:val="18"/>
              </w:rPr>
            </w:pPr>
          </w:p>
        </w:tc>
        <w:sdt>
          <w:sdtPr>
            <w:rPr>
              <w:sz w:val="18"/>
              <w:szCs w:val="18"/>
            </w:rPr>
            <w:tag w:val="_PLD_3f641d83162f4ae3a8840b93258d7ced"/>
            <w:id w:val="-959263315"/>
          </w:sdtPr>
          <w:sdtContent>
            <w:tc>
              <w:tcPr>
                <w:tcW w:w="607" w:type="dxa"/>
                <w:vAlign w:val="center"/>
              </w:tcPr>
              <w:p w14:paraId="56BA19E1" w14:textId="77777777" w:rsidR="00577D08" w:rsidRDefault="00330FC0">
                <w:pPr>
                  <w:jc w:val="center"/>
                  <w:rPr>
                    <w:rFonts w:cs="Arial"/>
                    <w:sz w:val="18"/>
                    <w:szCs w:val="18"/>
                  </w:rPr>
                </w:pPr>
                <w:r>
                  <w:rPr>
                    <w:rFonts w:cs="Arial" w:hint="eastAsia"/>
                    <w:sz w:val="18"/>
                    <w:szCs w:val="18"/>
                    <w:lang w:val="en-GB"/>
                  </w:rPr>
                  <w:t>直接</w:t>
                </w:r>
              </w:p>
            </w:tc>
          </w:sdtContent>
        </w:sdt>
        <w:sdt>
          <w:sdtPr>
            <w:rPr>
              <w:sz w:val="18"/>
              <w:szCs w:val="18"/>
            </w:rPr>
            <w:tag w:val="_PLD_ebc96648c2794ae08bfb57e63f0a34c5"/>
            <w:id w:val="-576441161"/>
          </w:sdtPr>
          <w:sdtContent>
            <w:tc>
              <w:tcPr>
                <w:tcW w:w="673" w:type="dxa"/>
                <w:vAlign w:val="center"/>
              </w:tcPr>
              <w:p w14:paraId="3C7FAE38" w14:textId="77777777" w:rsidR="00577D08" w:rsidRDefault="00330FC0">
                <w:pPr>
                  <w:jc w:val="center"/>
                  <w:rPr>
                    <w:rFonts w:cs="Arial"/>
                    <w:sz w:val="18"/>
                    <w:szCs w:val="18"/>
                  </w:rPr>
                </w:pPr>
                <w:r>
                  <w:rPr>
                    <w:rFonts w:cs="Arial" w:hint="eastAsia"/>
                    <w:sz w:val="18"/>
                    <w:szCs w:val="18"/>
                    <w:lang w:val="en-GB"/>
                  </w:rPr>
                  <w:t>间接</w:t>
                </w:r>
              </w:p>
            </w:tc>
          </w:sdtContent>
        </w:sdt>
        <w:tc>
          <w:tcPr>
            <w:tcW w:w="1428" w:type="dxa"/>
            <w:vMerge/>
            <w:vAlign w:val="center"/>
          </w:tcPr>
          <w:p w14:paraId="094B8040" w14:textId="77777777" w:rsidR="00577D08" w:rsidRDefault="00577D08">
            <w:pPr>
              <w:rPr>
                <w:rFonts w:cs="Arial"/>
                <w:sz w:val="18"/>
                <w:szCs w:val="18"/>
              </w:rPr>
            </w:pPr>
          </w:p>
        </w:tc>
      </w:tr>
      <w:tr w:rsidR="00577D08" w14:paraId="7E32408E" w14:textId="77777777">
        <w:tc>
          <w:tcPr>
            <w:tcW w:w="1526" w:type="dxa"/>
            <w:vAlign w:val="center"/>
          </w:tcPr>
          <w:p w14:paraId="4B33112C" w14:textId="77777777" w:rsidR="00577D08" w:rsidRDefault="00330FC0">
            <w:pPr>
              <w:jc w:val="both"/>
              <w:rPr>
                <w:sz w:val="18"/>
                <w:szCs w:val="18"/>
              </w:rPr>
            </w:pPr>
            <w:r>
              <w:rPr>
                <w:rFonts w:hint="eastAsia"/>
                <w:sz w:val="18"/>
                <w:szCs w:val="18"/>
              </w:rPr>
              <w:t>云变电气</w:t>
            </w:r>
          </w:p>
        </w:tc>
        <w:tc>
          <w:tcPr>
            <w:tcW w:w="1134" w:type="dxa"/>
            <w:vAlign w:val="center"/>
          </w:tcPr>
          <w:p w14:paraId="0126A92B" w14:textId="77777777" w:rsidR="00577D08" w:rsidRDefault="00330FC0">
            <w:pPr>
              <w:jc w:val="both"/>
              <w:rPr>
                <w:sz w:val="18"/>
                <w:szCs w:val="18"/>
              </w:rPr>
            </w:pPr>
            <w:r>
              <w:rPr>
                <w:rFonts w:hint="eastAsia"/>
                <w:sz w:val="18"/>
                <w:szCs w:val="18"/>
              </w:rPr>
              <w:t>云南昆明</w:t>
            </w:r>
          </w:p>
        </w:tc>
        <w:tc>
          <w:tcPr>
            <w:tcW w:w="1266" w:type="dxa"/>
            <w:vAlign w:val="center"/>
          </w:tcPr>
          <w:p w14:paraId="4334847A" w14:textId="77777777" w:rsidR="00577D08" w:rsidRDefault="00330FC0">
            <w:pPr>
              <w:jc w:val="right"/>
              <w:rPr>
                <w:sz w:val="18"/>
                <w:szCs w:val="18"/>
              </w:rPr>
            </w:pPr>
            <w:r>
              <w:rPr>
                <w:sz w:val="18"/>
                <w:szCs w:val="18"/>
              </w:rPr>
              <w:t>10,041.36</w:t>
            </w:r>
            <w:r>
              <w:rPr>
                <w:rFonts w:hint="eastAsia"/>
                <w:sz w:val="18"/>
                <w:szCs w:val="18"/>
              </w:rPr>
              <w:t>41</w:t>
            </w:r>
          </w:p>
        </w:tc>
        <w:tc>
          <w:tcPr>
            <w:tcW w:w="1134" w:type="dxa"/>
            <w:vAlign w:val="center"/>
          </w:tcPr>
          <w:p w14:paraId="50CB1C74" w14:textId="77777777" w:rsidR="00577D08" w:rsidRDefault="00330FC0">
            <w:pPr>
              <w:jc w:val="both"/>
              <w:rPr>
                <w:sz w:val="18"/>
                <w:szCs w:val="18"/>
              </w:rPr>
            </w:pPr>
            <w:r>
              <w:rPr>
                <w:rFonts w:hint="eastAsia"/>
                <w:sz w:val="18"/>
                <w:szCs w:val="18"/>
              </w:rPr>
              <w:t>云南昆明</w:t>
            </w:r>
          </w:p>
        </w:tc>
        <w:tc>
          <w:tcPr>
            <w:tcW w:w="1281" w:type="dxa"/>
            <w:vAlign w:val="center"/>
          </w:tcPr>
          <w:p w14:paraId="1B0F752B" w14:textId="77777777" w:rsidR="00577D08" w:rsidRDefault="00330FC0">
            <w:pPr>
              <w:jc w:val="both"/>
              <w:rPr>
                <w:sz w:val="18"/>
                <w:szCs w:val="18"/>
              </w:rPr>
            </w:pPr>
            <w:r>
              <w:rPr>
                <w:rFonts w:hint="eastAsia"/>
                <w:sz w:val="18"/>
                <w:szCs w:val="18"/>
              </w:rPr>
              <w:t>制造业</w:t>
            </w:r>
          </w:p>
        </w:tc>
        <w:tc>
          <w:tcPr>
            <w:tcW w:w="607" w:type="dxa"/>
            <w:vAlign w:val="center"/>
          </w:tcPr>
          <w:p w14:paraId="3B0EC318" w14:textId="77777777" w:rsidR="00577D08" w:rsidRDefault="00330FC0">
            <w:pPr>
              <w:jc w:val="right"/>
              <w:rPr>
                <w:sz w:val="18"/>
                <w:szCs w:val="18"/>
              </w:rPr>
            </w:pPr>
            <w:r>
              <w:rPr>
                <w:rFonts w:hint="eastAsia"/>
                <w:sz w:val="18"/>
                <w:szCs w:val="18"/>
              </w:rPr>
              <w:t>100</w:t>
            </w:r>
          </w:p>
        </w:tc>
        <w:tc>
          <w:tcPr>
            <w:tcW w:w="673" w:type="dxa"/>
            <w:vAlign w:val="center"/>
          </w:tcPr>
          <w:p w14:paraId="405F4CB4" w14:textId="77777777" w:rsidR="00577D08" w:rsidRDefault="00577D08">
            <w:pPr>
              <w:jc w:val="right"/>
              <w:rPr>
                <w:sz w:val="18"/>
                <w:szCs w:val="18"/>
              </w:rPr>
            </w:pPr>
          </w:p>
        </w:tc>
        <w:tc>
          <w:tcPr>
            <w:tcW w:w="1428" w:type="dxa"/>
            <w:vAlign w:val="center"/>
          </w:tcPr>
          <w:p w14:paraId="230E7F31" w14:textId="77777777" w:rsidR="00577D08" w:rsidRDefault="00330FC0">
            <w:pPr>
              <w:jc w:val="both"/>
              <w:rPr>
                <w:sz w:val="18"/>
                <w:szCs w:val="18"/>
              </w:rPr>
            </w:pPr>
            <w:r>
              <w:rPr>
                <w:rFonts w:hint="eastAsia"/>
                <w:sz w:val="18"/>
                <w:szCs w:val="18"/>
              </w:rPr>
              <w:t>非同一控制下合并</w:t>
            </w:r>
          </w:p>
        </w:tc>
      </w:tr>
      <w:tr w:rsidR="00577D08" w14:paraId="6DD0D900" w14:textId="77777777">
        <w:tc>
          <w:tcPr>
            <w:tcW w:w="1526" w:type="dxa"/>
            <w:vAlign w:val="center"/>
          </w:tcPr>
          <w:p w14:paraId="68E38BE8" w14:textId="77777777" w:rsidR="00577D08" w:rsidRDefault="00330FC0">
            <w:pPr>
              <w:jc w:val="both"/>
              <w:rPr>
                <w:sz w:val="18"/>
                <w:szCs w:val="18"/>
              </w:rPr>
            </w:pPr>
            <w:r>
              <w:rPr>
                <w:rFonts w:hint="eastAsia"/>
                <w:sz w:val="18"/>
                <w:szCs w:val="18"/>
              </w:rPr>
              <w:t>惠泽电器</w:t>
            </w:r>
          </w:p>
        </w:tc>
        <w:tc>
          <w:tcPr>
            <w:tcW w:w="1134" w:type="dxa"/>
            <w:vAlign w:val="center"/>
          </w:tcPr>
          <w:p w14:paraId="7C7B3B17" w14:textId="77777777" w:rsidR="00577D08" w:rsidRDefault="00330FC0">
            <w:pPr>
              <w:jc w:val="both"/>
              <w:rPr>
                <w:sz w:val="18"/>
                <w:szCs w:val="18"/>
              </w:rPr>
            </w:pPr>
            <w:r>
              <w:rPr>
                <w:rFonts w:hint="eastAsia"/>
                <w:sz w:val="18"/>
                <w:szCs w:val="18"/>
              </w:rPr>
              <w:t>重庆长寿</w:t>
            </w:r>
          </w:p>
        </w:tc>
        <w:tc>
          <w:tcPr>
            <w:tcW w:w="1266" w:type="dxa"/>
            <w:vAlign w:val="center"/>
          </w:tcPr>
          <w:p w14:paraId="1E96CC35" w14:textId="77777777" w:rsidR="00577D08" w:rsidRDefault="00330FC0">
            <w:pPr>
              <w:jc w:val="right"/>
              <w:rPr>
                <w:sz w:val="18"/>
                <w:szCs w:val="18"/>
              </w:rPr>
            </w:pPr>
            <w:r>
              <w:rPr>
                <w:sz w:val="18"/>
                <w:szCs w:val="18"/>
              </w:rPr>
              <w:t>4,000.00</w:t>
            </w:r>
          </w:p>
        </w:tc>
        <w:tc>
          <w:tcPr>
            <w:tcW w:w="1134" w:type="dxa"/>
            <w:vAlign w:val="center"/>
          </w:tcPr>
          <w:p w14:paraId="1A24C1A2" w14:textId="77777777" w:rsidR="00577D08" w:rsidRDefault="00330FC0">
            <w:pPr>
              <w:jc w:val="both"/>
              <w:rPr>
                <w:sz w:val="18"/>
                <w:szCs w:val="18"/>
              </w:rPr>
            </w:pPr>
            <w:r>
              <w:rPr>
                <w:rFonts w:hint="eastAsia"/>
                <w:sz w:val="18"/>
                <w:szCs w:val="18"/>
              </w:rPr>
              <w:t>重庆长寿</w:t>
            </w:r>
          </w:p>
        </w:tc>
        <w:tc>
          <w:tcPr>
            <w:tcW w:w="1281" w:type="dxa"/>
            <w:vAlign w:val="center"/>
          </w:tcPr>
          <w:p w14:paraId="0F25160F" w14:textId="77777777" w:rsidR="00577D08" w:rsidRDefault="00330FC0">
            <w:pPr>
              <w:jc w:val="both"/>
              <w:rPr>
                <w:sz w:val="18"/>
                <w:szCs w:val="18"/>
              </w:rPr>
            </w:pPr>
            <w:r>
              <w:rPr>
                <w:rFonts w:hint="eastAsia"/>
                <w:sz w:val="18"/>
                <w:szCs w:val="18"/>
              </w:rPr>
              <w:t>制造业</w:t>
            </w:r>
          </w:p>
        </w:tc>
        <w:tc>
          <w:tcPr>
            <w:tcW w:w="607" w:type="dxa"/>
            <w:vAlign w:val="center"/>
          </w:tcPr>
          <w:p w14:paraId="1CCBE563" w14:textId="77777777" w:rsidR="00577D08" w:rsidRDefault="00330FC0">
            <w:pPr>
              <w:jc w:val="right"/>
              <w:rPr>
                <w:sz w:val="18"/>
                <w:szCs w:val="18"/>
              </w:rPr>
            </w:pPr>
            <w:r>
              <w:rPr>
                <w:rFonts w:hint="eastAsia"/>
                <w:sz w:val="18"/>
                <w:szCs w:val="18"/>
              </w:rPr>
              <w:t>100</w:t>
            </w:r>
          </w:p>
        </w:tc>
        <w:tc>
          <w:tcPr>
            <w:tcW w:w="673" w:type="dxa"/>
            <w:vAlign w:val="center"/>
          </w:tcPr>
          <w:p w14:paraId="552BD9AF" w14:textId="77777777" w:rsidR="00577D08" w:rsidRDefault="00577D08">
            <w:pPr>
              <w:jc w:val="right"/>
              <w:rPr>
                <w:sz w:val="18"/>
                <w:szCs w:val="18"/>
              </w:rPr>
            </w:pPr>
          </w:p>
        </w:tc>
        <w:tc>
          <w:tcPr>
            <w:tcW w:w="1428" w:type="dxa"/>
            <w:vAlign w:val="center"/>
          </w:tcPr>
          <w:p w14:paraId="0E4AFCCC" w14:textId="77777777" w:rsidR="00577D08" w:rsidRDefault="00330FC0">
            <w:pPr>
              <w:jc w:val="both"/>
              <w:rPr>
                <w:sz w:val="18"/>
                <w:szCs w:val="18"/>
              </w:rPr>
            </w:pPr>
            <w:r>
              <w:rPr>
                <w:rFonts w:hint="eastAsia"/>
                <w:sz w:val="18"/>
                <w:szCs w:val="18"/>
              </w:rPr>
              <w:t>同一控制下合并</w:t>
            </w:r>
          </w:p>
        </w:tc>
      </w:tr>
      <w:tr w:rsidR="00577D08" w14:paraId="458012D6" w14:textId="77777777">
        <w:tc>
          <w:tcPr>
            <w:tcW w:w="1526" w:type="dxa"/>
            <w:vAlign w:val="center"/>
          </w:tcPr>
          <w:p w14:paraId="0021CC5D" w14:textId="77777777" w:rsidR="00577D08" w:rsidRDefault="00330FC0">
            <w:pPr>
              <w:jc w:val="both"/>
              <w:rPr>
                <w:sz w:val="18"/>
                <w:szCs w:val="18"/>
              </w:rPr>
            </w:pPr>
            <w:r>
              <w:rPr>
                <w:rFonts w:hint="eastAsia"/>
                <w:sz w:val="18"/>
                <w:szCs w:val="18"/>
              </w:rPr>
              <w:t>黔南望江</w:t>
            </w:r>
          </w:p>
        </w:tc>
        <w:tc>
          <w:tcPr>
            <w:tcW w:w="1134" w:type="dxa"/>
            <w:vAlign w:val="center"/>
          </w:tcPr>
          <w:p w14:paraId="2BA9CCE6" w14:textId="77777777" w:rsidR="00577D08" w:rsidRDefault="00330FC0">
            <w:pPr>
              <w:jc w:val="both"/>
              <w:rPr>
                <w:sz w:val="18"/>
                <w:szCs w:val="18"/>
              </w:rPr>
            </w:pPr>
            <w:r>
              <w:rPr>
                <w:rFonts w:hint="eastAsia"/>
                <w:sz w:val="18"/>
                <w:szCs w:val="18"/>
              </w:rPr>
              <w:t>贵州都匀</w:t>
            </w:r>
          </w:p>
        </w:tc>
        <w:tc>
          <w:tcPr>
            <w:tcW w:w="1266" w:type="dxa"/>
            <w:vAlign w:val="center"/>
          </w:tcPr>
          <w:p w14:paraId="2C26677A" w14:textId="77777777" w:rsidR="00577D08" w:rsidRDefault="00330FC0">
            <w:pPr>
              <w:jc w:val="right"/>
              <w:rPr>
                <w:sz w:val="18"/>
                <w:szCs w:val="18"/>
              </w:rPr>
            </w:pPr>
            <w:r>
              <w:rPr>
                <w:sz w:val="18"/>
                <w:szCs w:val="18"/>
              </w:rPr>
              <w:t>6,000.00</w:t>
            </w:r>
          </w:p>
        </w:tc>
        <w:tc>
          <w:tcPr>
            <w:tcW w:w="1134" w:type="dxa"/>
            <w:vAlign w:val="center"/>
          </w:tcPr>
          <w:p w14:paraId="585C85F7" w14:textId="77777777" w:rsidR="00577D08" w:rsidRDefault="00330FC0">
            <w:pPr>
              <w:jc w:val="both"/>
              <w:rPr>
                <w:sz w:val="18"/>
                <w:szCs w:val="18"/>
              </w:rPr>
            </w:pPr>
            <w:r>
              <w:rPr>
                <w:rFonts w:hint="eastAsia"/>
                <w:sz w:val="18"/>
                <w:szCs w:val="18"/>
              </w:rPr>
              <w:t>贵州都匀</w:t>
            </w:r>
          </w:p>
        </w:tc>
        <w:tc>
          <w:tcPr>
            <w:tcW w:w="1281" w:type="dxa"/>
            <w:vAlign w:val="center"/>
          </w:tcPr>
          <w:p w14:paraId="708C3BFB" w14:textId="77777777" w:rsidR="00577D08" w:rsidRDefault="00330FC0">
            <w:pPr>
              <w:jc w:val="both"/>
              <w:rPr>
                <w:sz w:val="18"/>
                <w:szCs w:val="18"/>
              </w:rPr>
            </w:pPr>
            <w:r>
              <w:rPr>
                <w:rFonts w:hint="eastAsia"/>
                <w:sz w:val="18"/>
                <w:szCs w:val="18"/>
              </w:rPr>
              <w:t>制造业</w:t>
            </w:r>
          </w:p>
        </w:tc>
        <w:tc>
          <w:tcPr>
            <w:tcW w:w="607" w:type="dxa"/>
            <w:vAlign w:val="center"/>
          </w:tcPr>
          <w:p w14:paraId="4EE5F190" w14:textId="77777777" w:rsidR="00577D08" w:rsidRDefault="00330FC0">
            <w:pPr>
              <w:jc w:val="right"/>
              <w:rPr>
                <w:sz w:val="18"/>
                <w:szCs w:val="18"/>
              </w:rPr>
            </w:pPr>
            <w:r>
              <w:rPr>
                <w:rFonts w:hint="eastAsia"/>
                <w:sz w:val="18"/>
                <w:szCs w:val="18"/>
              </w:rPr>
              <w:t>100</w:t>
            </w:r>
          </w:p>
        </w:tc>
        <w:tc>
          <w:tcPr>
            <w:tcW w:w="673" w:type="dxa"/>
            <w:vAlign w:val="center"/>
          </w:tcPr>
          <w:p w14:paraId="6670F202" w14:textId="77777777" w:rsidR="00577D08" w:rsidRDefault="00577D08">
            <w:pPr>
              <w:jc w:val="right"/>
              <w:rPr>
                <w:sz w:val="18"/>
                <w:szCs w:val="18"/>
              </w:rPr>
            </w:pPr>
          </w:p>
        </w:tc>
        <w:tc>
          <w:tcPr>
            <w:tcW w:w="1428" w:type="dxa"/>
            <w:vAlign w:val="center"/>
          </w:tcPr>
          <w:p w14:paraId="1601289F" w14:textId="77777777" w:rsidR="00577D08" w:rsidRDefault="00330FC0">
            <w:pPr>
              <w:jc w:val="both"/>
              <w:rPr>
                <w:sz w:val="18"/>
                <w:szCs w:val="18"/>
              </w:rPr>
            </w:pPr>
            <w:r>
              <w:rPr>
                <w:rFonts w:hint="eastAsia"/>
                <w:sz w:val="18"/>
                <w:szCs w:val="18"/>
              </w:rPr>
              <w:t>同一控制下合并</w:t>
            </w:r>
          </w:p>
        </w:tc>
      </w:tr>
      <w:tr w:rsidR="00577D08" w14:paraId="0A475449" w14:textId="77777777">
        <w:tc>
          <w:tcPr>
            <w:tcW w:w="1526" w:type="dxa"/>
            <w:vAlign w:val="center"/>
          </w:tcPr>
          <w:p w14:paraId="5D5F629F" w14:textId="77777777" w:rsidR="00577D08" w:rsidRDefault="00330FC0">
            <w:pPr>
              <w:jc w:val="both"/>
              <w:rPr>
                <w:sz w:val="18"/>
                <w:szCs w:val="18"/>
              </w:rPr>
            </w:pPr>
            <w:r>
              <w:rPr>
                <w:rFonts w:hint="eastAsia"/>
                <w:sz w:val="18"/>
                <w:szCs w:val="18"/>
              </w:rPr>
              <w:t>沈阳望泽</w:t>
            </w:r>
          </w:p>
        </w:tc>
        <w:tc>
          <w:tcPr>
            <w:tcW w:w="1134" w:type="dxa"/>
            <w:vAlign w:val="center"/>
          </w:tcPr>
          <w:p w14:paraId="2F576786" w14:textId="77777777" w:rsidR="00577D08" w:rsidRDefault="00330FC0">
            <w:pPr>
              <w:jc w:val="both"/>
              <w:rPr>
                <w:sz w:val="18"/>
                <w:szCs w:val="18"/>
              </w:rPr>
            </w:pPr>
            <w:r>
              <w:rPr>
                <w:rFonts w:hint="eastAsia"/>
                <w:sz w:val="18"/>
                <w:szCs w:val="18"/>
              </w:rPr>
              <w:t>辽宁沈阳</w:t>
            </w:r>
          </w:p>
        </w:tc>
        <w:tc>
          <w:tcPr>
            <w:tcW w:w="1266" w:type="dxa"/>
            <w:vAlign w:val="center"/>
          </w:tcPr>
          <w:p w14:paraId="472B3986" w14:textId="77777777" w:rsidR="00577D08" w:rsidRDefault="00330FC0">
            <w:pPr>
              <w:jc w:val="right"/>
              <w:rPr>
                <w:sz w:val="18"/>
                <w:szCs w:val="18"/>
              </w:rPr>
            </w:pPr>
            <w:r>
              <w:rPr>
                <w:sz w:val="18"/>
                <w:szCs w:val="18"/>
              </w:rPr>
              <w:t>1,000.00</w:t>
            </w:r>
          </w:p>
        </w:tc>
        <w:tc>
          <w:tcPr>
            <w:tcW w:w="1134" w:type="dxa"/>
            <w:vAlign w:val="center"/>
          </w:tcPr>
          <w:p w14:paraId="604AAC35" w14:textId="77777777" w:rsidR="00577D08" w:rsidRDefault="00330FC0">
            <w:pPr>
              <w:jc w:val="both"/>
              <w:rPr>
                <w:sz w:val="18"/>
                <w:szCs w:val="18"/>
              </w:rPr>
            </w:pPr>
            <w:r>
              <w:rPr>
                <w:rFonts w:hint="eastAsia"/>
                <w:sz w:val="18"/>
                <w:szCs w:val="18"/>
              </w:rPr>
              <w:t>辽宁沈阳</w:t>
            </w:r>
          </w:p>
        </w:tc>
        <w:tc>
          <w:tcPr>
            <w:tcW w:w="1281" w:type="dxa"/>
            <w:vAlign w:val="center"/>
          </w:tcPr>
          <w:p w14:paraId="2BBD67FD" w14:textId="77777777" w:rsidR="00577D08" w:rsidRDefault="00330FC0">
            <w:pPr>
              <w:jc w:val="both"/>
              <w:rPr>
                <w:sz w:val="18"/>
                <w:szCs w:val="18"/>
              </w:rPr>
            </w:pPr>
            <w:r>
              <w:rPr>
                <w:rFonts w:hint="eastAsia"/>
                <w:sz w:val="18"/>
                <w:szCs w:val="18"/>
              </w:rPr>
              <w:t>设备、材料销售</w:t>
            </w:r>
          </w:p>
        </w:tc>
        <w:tc>
          <w:tcPr>
            <w:tcW w:w="607" w:type="dxa"/>
            <w:vAlign w:val="center"/>
          </w:tcPr>
          <w:p w14:paraId="1C4B1C9E" w14:textId="77777777" w:rsidR="00577D08" w:rsidRDefault="00330FC0">
            <w:pPr>
              <w:jc w:val="right"/>
              <w:rPr>
                <w:sz w:val="18"/>
                <w:szCs w:val="18"/>
              </w:rPr>
            </w:pPr>
            <w:r>
              <w:rPr>
                <w:rFonts w:hint="eastAsia"/>
                <w:sz w:val="18"/>
                <w:szCs w:val="18"/>
              </w:rPr>
              <w:t>51</w:t>
            </w:r>
          </w:p>
        </w:tc>
        <w:tc>
          <w:tcPr>
            <w:tcW w:w="673" w:type="dxa"/>
            <w:vAlign w:val="center"/>
          </w:tcPr>
          <w:p w14:paraId="0895ACB9" w14:textId="77777777" w:rsidR="00577D08" w:rsidRDefault="00577D08">
            <w:pPr>
              <w:jc w:val="right"/>
              <w:rPr>
                <w:sz w:val="18"/>
                <w:szCs w:val="18"/>
              </w:rPr>
            </w:pPr>
          </w:p>
        </w:tc>
        <w:tc>
          <w:tcPr>
            <w:tcW w:w="1428" w:type="dxa"/>
            <w:vAlign w:val="center"/>
          </w:tcPr>
          <w:p w14:paraId="710FE815" w14:textId="77777777" w:rsidR="00577D08" w:rsidRDefault="00330FC0">
            <w:pPr>
              <w:jc w:val="both"/>
              <w:rPr>
                <w:sz w:val="18"/>
                <w:szCs w:val="18"/>
              </w:rPr>
            </w:pPr>
            <w:r>
              <w:rPr>
                <w:rFonts w:hint="eastAsia"/>
                <w:sz w:val="18"/>
                <w:szCs w:val="18"/>
              </w:rPr>
              <w:t>新增投资设立</w:t>
            </w:r>
          </w:p>
        </w:tc>
      </w:tr>
      <w:tr w:rsidR="00577D08" w14:paraId="04385B79" w14:textId="77777777">
        <w:tc>
          <w:tcPr>
            <w:tcW w:w="1526" w:type="dxa"/>
            <w:vAlign w:val="center"/>
          </w:tcPr>
          <w:p w14:paraId="6D79224C" w14:textId="77777777" w:rsidR="00577D08" w:rsidRDefault="00330FC0">
            <w:pPr>
              <w:jc w:val="both"/>
              <w:rPr>
                <w:sz w:val="18"/>
                <w:szCs w:val="18"/>
              </w:rPr>
            </w:pPr>
            <w:r>
              <w:rPr>
                <w:rFonts w:hint="eastAsia"/>
                <w:sz w:val="18"/>
                <w:szCs w:val="18"/>
              </w:rPr>
              <w:t>上海渝申</w:t>
            </w:r>
          </w:p>
        </w:tc>
        <w:tc>
          <w:tcPr>
            <w:tcW w:w="1134" w:type="dxa"/>
            <w:vAlign w:val="center"/>
          </w:tcPr>
          <w:p w14:paraId="5B25BD23" w14:textId="77777777" w:rsidR="00577D08" w:rsidRDefault="00330FC0">
            <w:pPr>
              <w:jc w:val="both"/>
              <w:rPr>
                <w:sz w:val="18"/>
                <w:szCs w:val="18"/>
              </w:rPr>
            </w:pPr>
            <w:r>
              <w:rPr>
                <w:rFonts w:hint="eastAsia"/>
                <w:sz w:val="18"/>
                <w:szCs w:val="18"/>
              </w:rPr>
              <w:t>上海市</w:t>
            </w:r>
          </w:p>
        </w:tc>
        <w:tc>
          <w:tcPr>
            <w:tcW w:w="1266" w:type="dxa"/>
            <w:vAlign w:val="center"/>
          </w:tcPr>
          <w:p w14:paraId="51D5C78C" w14:textId="77777777" w:rsidR="00577D08" w:rsidRDefault="00330FC0">
            <w:pPr>
              <w:jc w:val="right"/>
              <w:rPr>
                <w:sz w:val="18"/>
                <w:szCs w:val="18"/>
              </w:rPr>
            </w:pPr>
            <w:r>
              <w:rPr>
                <w:sz w:val="18"/>
                <w:szCs w:val="18"/>
              </w:rPr>
              <w:t>400.00</w:t>
            </w:r>
          </w:p>
        </w:tc>
        <w:tc>
          <w:tcPr>
            <w:tcW w:w="1134" w:type="dxa"/>
            <w:vAlign w:val="center"/>
          </w:tcPr>
          <w:p w14:paraId="11552BEA" w14:textId="77777777" w:rsidR="00577D08" w:rsidRDefault="00330FC0">
            <w:pPr>
              <w:jc w:val="both"/>
              <w:rPr>
                <w:sz w:val="18"/>
                <w:szCs w:val="18"/>
              </w:rPr>
            </w:pPr>
            <w:r>
              <w:rPr>
                <w:rFonts w:hint="eastAsia"/>
                <w:sz w:val="18"/>
                <w:szCs w:val="18"/>
              </w:rPr>
              <w:t>上海市</w:t>
            </w:r>
          </w:p>
        </w:tc>
        <w:tc>
          <w:tcPr>
            <w:tcW w:w="1281" w:type="dxa"/>
            <w:vAlign w:val="center"/>
          </w:tcPr>
          <w:p w14:paraId="0B82729F" w14:textId="77777777" w:rsidR="00577D08" w:rsidRDefault="00330FC0">
            <w:pPr>
              <w:jc w:val="both"/>
              <w:rPr>
                <w:sz w:val="18"/>
                <w:szCs w:val="18"/>
              </w:rPr>
            </w:pPr>
            <w:r>
              <w:rPr>
                <w:rFonts w:hint="eastAsia"/>
                <w:sz w:val="18"/>
                <w:szCs w:val="18"/>
              </w:rPr>
              <w:t>设备、材料销售</w:t>
            </w:r>
          </w:p>
        </w:tc>
        <w:tc>
          <w:tcPr>
            <w:tcW w:w="607" w:type="dxa"/>
            <w:vAlign w:val="center"/>
          </w:tcPr>
          <w:p w14:paraId="26740399" w14:textId="77777777" w:rsidR="00577D08" w:rsidRDefault="00330FC0">
            <w:pPr>
              <w:jc w:val="right"/>
              <w:rPr>
                <w:sz w:val="18"/>
                <w:szCs w:val="18"/>
              </w:rPr>
            </w:pPr>
            <w:r>
              <w:rPr>
                <w:rFonts w:hint="eastAsia"/>
                <w:sz w:val="18"/>
                <w:szCs w:val="18"/>
              </w:rPr>
              <w:t>51</w:t>
            </w:r>
          </w:p>
        </w:tc>
        <w:tc>
          <w:tcPr>
            <w:tcW w:w="673" w:type="dxa"/>
            <w:vAlign w:val="center"/>
          </w:tcPr>
          <w:p w14:paraId="4BBAC326" w14:textId="77777777" w:rsidR="00577D08" w:rsidRDefault="00577D08">
            <w:pPr>
              <w:jc w:val="right"/>
              <w:rPr>
                <w:sz w:val="18"/>
                <w:szCs w:val="18"/>
              </w:rPr>
            </w:pPr>
          </w:p>
        </w:tc>
        <w:tc>
          <w:tcPr>
            <w:tcW w:w="1428" w:type="dxa"/>
            <w:vAlign w:val="center"/>
          </w:tcPr>
          <w:p w14:paraId="56DD55FB" w14:textId="77777777" w:rsidR="00577D08" w:rsidRDefault="00330FC0">
            <w:pPr>
              <w:jc w:val="both"/>
              <w:rPr>
                <w:sz w:val="18"/>
                <w:szCs w:val="18"/>
              </w:rPr>
            </w:pPr>
            <w:r>
              <w:rPr>
                <w:rFonts w:hint="eastAsia"/>
                <w:sz w:val="18"/>
                <w:szCs w:val="18"/>
              </w:rPr>
              <w:t>新增投资设立</w:t>
            </w:r>
          </w:p>
        </w:tc>
      </w:tr>
      <w:tr w:rsidR="00577D08" w14:paraId="3BEAB568" w14:textId="77777777">
        <w:trPr>
          <w:trHeight w:val="431"/>
        </w:trPr>
        <w:tc>
          <w:tcPr>
            <w:tcW w:w="1526" w:type="dxa"/>
            <w:vAlign w:val="center"/>
          </w:tcPr>
          <w:p w14:paraId="0119E9E8" w14:textId="77777777" w:rsidR="00577D08" w:rsidRDefault="00330FC0">
            <w:pPr>
              <w:jc w:val="both"/>
              <w:rPr>
                <w:sz w:val="18"/>
                <w:szCs w:val="18"/>
              </w:rPr>
            </w:pPr>
            <w:r>
              <w:rPr>
                <w:rFonts w:hint="eastAsia"/>
                <w:sz w:val="18"/>
                <w:szCs w:val="18"/>
              </w:rPr>
              <w:t>香港望变</w:t>
            </w:r>
          </w:p>
        </w:tc>
        <w:tc>
          <w:tcPr>
            <w:tcW w:w="1134" w:type="dxa"/>
            <w:vAlign w:val="center"/>
          </w:tcPr>
          <w:p w14:paraId="5A2F1E8E" w14:textId="77777777" w:rsidR="00577D08" w:rsidRDefault="00330FC0">
            <w:pPr>
              <w:jc w:val="both"/>
              <w:rPr>
                <w:sz w:val="18"/>
                <w:szCs w:val="18"/>
              </w:rPr>
            </w:pPr>
            <w:r>
              <w:rPr>
                <w:rFonts w:hint="eastAsia"/>
                <w:sz w:val="18"/>
                <w:szCs w:val="18"/>
              </w:rPr>
              <w:t>香港</w:t>
            </w:r>
          </w:p>
        </w:tc>
        <w:tc>
          <w:tcPr>
            <w:tcW w:w="1266" w:type="dxa"/>
            <w:vAlign w:val="center"/>
          </w:tcPr>
          <w:p w14:paraId="5CB40D0B" w14:textId="77777777" w:rsidR="00577D08" w:rsidRDefault="00330FC0">
            <w:pPr>
              <w:jc w:val="center"/>
              <w:rPr>
                <w:sz w:val="18"/>
                <w:szCs w:val="18"/>
              </w:rPr>
            </w:pPr>
            <w:r>
              <w:rPr>
                <w:rFonts w:hint="eastAsia"/>
                <w:sz w:val="18"/>
                <w:szCs w:val="18"/>
              </w:rPr>
              <w:t>10,000</w:t>
            </w:r>
            <w:r>
              <w:rPr>
                <w:rFonts w:hint="eastAsia"/>
                <w:sz w:val="18"/>
                <w:szCs w:val="18"/>
              </w:rPr>
              <w:t>港币</w:t>
            </w:r>
          </w:p>
        </w:tc>
        <w:tc>
          <w:tcPr>
            <w:tcW w:w="1134" w:type="dxa"/>
            <w:vAlign w:val="center"/>
          </w:tcPr>
          <w:p w14:paraId="0265540A" w14:textId="77777777" w:rsidR="00577D08" w:rsidRDefault="00330FC0">
            <w:pPr>
              <w:jc w:val="both"/>
              <w:rPr>
                <w:sz w:val="18"/>
                <w:szCs w:val="18"/>
              </w:rPr>
            </w:pPr>
            <w:r>
              <w:rPr>
                <w:rFonts w:hint="eastAsia"/>
                <w:sz w:val="18"/>
                <w:szCs w:val="18"/>
              </w:rPr>
              <w:t>香港</w:t>
            </w:r>
          </w:p>
        </w:tc>
        <w:tc>
          <w:tcPr>
            <w:tcW w:w="1281" w:type="dxa"/>
            <w:vAlign w:val="center"/>
          </w:tcPr>
          <w:p w14:paraId="0455AC79" w14:textId="77777777" w:rsidR="00577D08" w:rsidRDefault="00330FC0">
            <w:pPr>
              <w:jc w:val="both"/>
              <w:rPr>
                <w:sz w:val="18"/>
                <w:szCs w:val="18"/>
              </w:rPr>
            </w:pPr>
            <w:r>
              <w:rPr>
                <w:rFonts w:hint="eastAsia"/>
                <w:sz w:val="18"/>
                <w:szCs w:val="18"/>
              </w:rPr>
              <w:t>贸易</w:t>
            </w:r>
          </w:p>
        </w:tc>
        <w:tc>
          <w:tcPr>
            <w:tcW w:w="607" w:type="dxa"/>
            <w:vAlign w:val="center"/>
          </w:tcPr>
          <w:p w14:paraId="65C65135" w14:textId="77777777" w:rsidR="00577D08" w:rsidRDefault="00330FC0">
            <w:pPr>
              <w:jc w:val="right"/>
              <w:rPr>
                <w:sz w:val="18"/>
                <w:szCs w:val="18"/>
              </w:rPr>
            </w:pPr>
            <w:r>
              <w:rPr>
                <w:rFonts w:hint="eastAsia"/>
                <w:sz w:val="18"/>
                <w:szCs w:val="18"/>
              </w:rPr>
              <w:t>100</w:t>
            </w:r>
          </w:p>
        </w:tc>
        <w:tc>
          <w:tcPr>
            <w:tcW w:w="673" w:type="dxa"/>
            <w:vAlign w:val="center"/>
          </w:tcPr>
          <w:p w14:paraId="04265862" w14:textId="77777777" w:rsidR="00577D08" w:rsidRDefault="00577D08">
            <w:pPr>
              <w:jc w:val="right"/>
              <w:rPr>
                <w:sz w:val="18"/>
                <w:szCs w:val="18"/>
              </w:rPr>
            </w:pPr>
          </w:p>
        </w:tc>
        <w:tc>
          <w:tcPr>
            <w:tcW w:w="1428" w:type="dxa"/>
            <w:vAlign w:val="center"/>
          </w:tcPr>
          <w:p w14:paraId="4E194EA4" w14:textId="77777777" w:rsidR="00577D08" w:rsidRDefault="00330FC0">
            <w:pPr>
              <w:jc w:val="both"/>
              <w:rPr>
                <w:sz w:val="18"/>
                <w:szCs w:val="18"/>
              </w:rPr>
            </w:pPr>
            <w:r>
              <w:rPr>
                <w:rFonts w:hint="eastAsia"/>
                <w:sz w:val="18"/>
                <w:szCs w:val="18"/>
              </w:rPr>
              <w:t>新增投资设立</w:t>
            </w:r>
          </w:p>
        </w:tc>
      </w:tr>
      <w:tr w:rsidR="00577D08" w14:paraId="6B11EB05" w14:textId="77777777">
        <w:tc>
          <w:tcPr>
            <w:tcW w:w="1526" w:type="dxa"/>
            <w:vAlign w:val="center"/>
          </w:tcPr>
          <w:p w14:paraId="363E29BA" w14:textId="77777777" w:rsidR="00577D08" w:rsidRDefault="00330FC0">
            <w:pPr>
              <w:jc w:val="both"/>
              <w:rPr>
                <w:sz w:val="18"/>
                <w:szCs w:val="18"/>
              </w:rPr>
            </w:pPr>
            <w:r>
              <w:rPr>
                <w:rFonts w:hint="eastAsia"/>
                <w:sz w:val="18"/>
                <w:szCs w:val="18"/>
              </w:rPr>
              <w:t>望来充（重庆）</w:t>
            </w:r>
          </w:p>
        </w:tc>
        <w:tc>
          <w:tcPr>
            <w:tcW w:w="1134" w:type="dxa"/>
            <w:vAlign w:val="center"/>
          </w:tcPr>
          <w:p w14:paraId="09D3A156" w14:textId="77777777" w:rsidR="00577D08" w:rsidRDefault="00330FC0">
            <w:pPr>
              <w:jc w:val="both"/>
              <w:rPr>
                <w:sz w:val="18"/>
                <w:szCs w:val="18"/>
              </w:rPr>
            </w:pPr>
            <w:r>
              <w:rPr>
                <w:rFonts w:hint="eastAsia"/>
                <w:sz w:val="18"/>
                <w:szCs w:val="18"/>
              </w:rPr>
              <w:t>重庆市</w:t>
            </w:r>
          </w:p>
        </w:tc>
        <w:tc>
          <w:tcPr>
            <w:tcW w:w="1266" w:type="dxa"/>
            <w:vAlign w:val="center"/>
          </w:tcPr>
          <w:p w14:paraId="16E10EC7" w14:textId="77777777" w:rsidR="00577D08" w:rsidRDefault="00330FC0">
            <w:pPr>
              <w:jc w:val="right"/>
              <w:rPr>
                <w:sz w:val="18"/>
                <w:szCs w:val="18"/>
              </w:rPr>
            </w:pPr>
            <w:r>
              <w:rPr>
                <w:sz w:val="18"/>
                <w:szCs w:val="18"/>
              </w:rPr>
              <w:t>5,000.00</w:t>
            </w:r>
          </w:p>
        </w:tc>
        <w:tc>
          <w:tcPr>
            <w:tcW w:w="1134" w:type="dxa"/>
            <w:vAlign w:val="center"/>
          </w:tcPr>
          <w:p w14:paraId="5300940D" w14:textId="77777777" w:rsidR="00577D08" w:rsidRDefault="00330FC0">
            <w:pPr>
              <w:jc w:val="both"/>
              <w:rPr>
                <w:sz w:val="18"/>
                <w:szCs w:val="18"/>
              </w:rPr>
            </w:pPr>
            <w:r>
              <w:rPr>
                <w:rFonts w:hint="eastAsia"/>
                <w:sz w:val="18"/>
                <w:szCs w:val="18"/>
              </w:rPr>
              <w:t>重庆渝中</w:t>
            </w:r>
          </w:p>
        </w:tc>
        <w:tc>
          <w:tcPr>
            <w:tcW w:w="1281" w:type="dxa"/>
            <w:vAlign w:val="center"/>
          </w:tcPr>
          <w:p w14:paraId="583C938F" w14:textId="77777777" w:rsidR="00577D08" w:rsidRDefault="00330FC0">
            <w:pPr>
              <w:jc w:val="both"/>
              <w:rPr>
                <w:sz w:val="18"/>
                <w:szCs w:val="18"/>
              </w:rPr>
            </w:pPr>
            <w:r>
              <w:rPr>
                <w:rFonts w:hint="eastAsia"/>
                <w:sz w:val="18"/>
                <w:szCs w:val="18"/>
              </w:rPr>
              <w:t>充电设备的销售与充电网的投建、运营</w:t>
            </w:r>
          </w:p>
        </w:tc>
        <w:tc>
          <w:tcPr>
            <w:tcW w:w="607" w:type="dxa"/>
            <w:vAlign w:val="center"/>
          </w:tcPr>
          <w:p w14:paraId="26F5B0D0" w14:textId="77777777" w:rsidR="00577D08" w:rsidRDefault="00330FC0">
            <w:pPr>
              <w:jc w:val="right"/>
              <w:rPr>
                <w:sz w:val="18"/>
                <w:szCs w:val="18"/>
              </w:rPr>
            </w:pPr>
            <w:r>
              <w:rPr>
                <w:rFonts w:hint="eastAsia"/>
                <w:sz w:val="18"/>
                <w:szCs w:val="18"/>
              </w:rPr>
              <w:t>100</w:t>
            </w:r>
          </w:p>
        </w:tc>
        <w:tc>
          <w:tcPr>
            <w:tcW w:w="673" w:type="dxa"/>
            <w:vAlign w:val="center"/>
          </w:tcPr>
          <w:p w14:paraId="3A8CE990" w14:textId="77777777" w:rsidR="00577D08" w:rsidRDefault="00577D08">
            <w:pPr>
              <w:jc w:val="right"/>
              <w:rPr>
                <w:sz w:val="18"/>
                <w:szCs w:val="18"/>
              </w:rPr>
            </w:pPr>
          </w:p>
        </w:tc>
        <w:tc>
          <w:tcPr>
            <w:tcW w:w="1428" w:type="dxa"/>
            <w:vAlign w:val="center"/>
          </w:tcPr>
          <w:p w14:paraId="4AE91686" w14:textId="77777777" w:rsidR="00577D08" w:rsidRDefault="00330FC0">
            <w:pPr>
              <w:jc w:val="both"/>
              <w:rPr>
                <w:sz w:val="18"/>
                <w:szCs w:val="18"/>
              </w:rPr>
            </w:pPr>
            <w:r>
              <w:rPr>
                <w:rFonts w:hint="eastAsia"/>
                <w:sz w:val="18"/>
                <w:szCs w:val="18"/>
              </w:rPr>
              <w:t>新增投资设立</w:t>
            </w:r>
          </w:p>
        </w:tc>
      </w:tr>
      <w:tr w:rsidR="00577D08" w14:paraId="0DBDE9C6" w14:textId="77777777">
        <w:tc>
          <w:tcPr>
            <w:tcW w:w="1526" w:type="dxa"/>
            <w:vAlign w:val="center"/>
          </w:tcPr>
          <w:p w14:paraId="2971FE94" w14:textId="77777777" w:rsidR="00577D08" w:rsidRDefault="00330FC0">
            <w:pPr>
              <w:jc w:val="both"/>
              <w:rPr>
                <w:sz w:val="18"/>
                <w:szCs w:val="18"/>
              </w:rPr>
            </w:pPr>
            <w:r>
              <w:rPr>
                <w:rFonts w:hint="eastAsia"/>
                <w:sz w:val="18"/>
                <w:szCs w:val="18"/>
              </w:rPr>
              <w:t>望来充（云南）</w:t>
            </w:r>
          </w:p>
        </w:tc>
        <w:tc>
          <w:tcPr>
            <w:tcW w:w="1134" w:type="dxa"/>
            <w:vAlign w:val="center"/>
          </w:tcPr>
          <w:p w14:paraId="15402CA4" w14:textId="77777777" w:rsidR="00577D08" w:rsidRDefault="00330FC0">
            <w:pPr>
              <w:jc w:val="both"/>
              <w:rPr>
                <w:sz w:val="18"/>
                <w:szCs w:val="18"/>
              </w:rPr>
            </w:pPr>
            <w:r>
              <w:rPr>
                <w:rFonts w:hint="eastAsia"/>
                <w:sz w:val="18"/>
                <w:szCs w:val="18"/>
              </w:rPr>
              <w:t>云南昆明</w:t>
            </w:r>
          </w:p>
        </w:tc>
        <w:tc>
          <w:tcPr>
            <w:tcW w:w="1266" w:type="dxa"/>
            <w:vAlign w:val="center"/>
          </w:tcPr>
          <w:p w14:paraId="59FD3DE2" w14:textId="77777777" w:rsidR="00577D08" w:rsidRDefault="00330FC0">
            <w:pPr>
              <w:jc w:val="right"/>
              <w:rPr>
                <w:sz w:val="18"/>
                <w:szCs w:val="18"/>
              </w:rPr>
            </w:pPr>
            <w:r>
              <w:rPr>
                <w:sz w:val="18"/>
                <w:szCs w:val="18"/>
              </w:rPr>
              <w:t>5,000.00</w:t>
            </w:r>
          </w:p>
        </w:tc>
        <w:tc>
          <w:tcPr>
            <w:tcW w:w="1134" w:type="dxa"/>
            <w:vAlign w:val="center"/>
          </w:tcPr>
          <w:p w14:paraId="633BEAAE" w14:textId="77777777" w:rsidR="00577D08" w:rsidRDefault="00330FC0">
            <w:pPr>
              <w:jc w:val="both"/>
              <w:rPr>
                <w:sz w:val="18"/>
                <w:szCs w:val="18"/>
              </w:rPr>
            </w:pPr>
            <w:r>
              <w:rPr>
                <w:rFonts w:hint="eastAsia"/>
                <w:sz w:val="18"/>
                <w:szCs w:val="18"/>
              </w:rPr>
              <w:t>云南昆明</w:t>
            </w:r>
          </w:p>
        </w:tc>
        <w:tc>
          <w:tcPr>
            <w:tcW w:w="1281" w:type="dxa"/>
            <w:vAlign w:val="center"/>
          </w:tcPr>
          <w:p w14:paraId="0CA6FE6A" w14:textId="77777777" w:rsidR="00577D08" w:rsidRDefault="00330FC0">
            <w:pPr>
              <w:jc w:val="both"/>
              <w:rPr>
                <w:sz w:val="18"/>
                <w:szCs w:val="18"/>
              </w:rPr>
            </w:pPr>
            <w:r>
              <w:rPr>
                <w:rFonts w:hint="eastAsia"/>
                <w:sz w:val="18"/>
                <w:szCs w:val="18"/>
              </w:rPr>
              <w:t>充电设备的销售与充电网的投建、运营</w:t>
            </w:r>
          </w:p>
        </w:tc>
        <w:tc>
          <w:tcPr>
            <w:tcW w:w="607" w:type="dxa"/>
            <w:vAlign w:val="center"/>
          </w:tcPr>
          <w:p w14:paraId="7D7ADCE1" w14:textId="77777777" w:rsidR="00577D08" w:rsidRDefault="00577D08">
            <w:pPr>
              <w:jc w:val="right"/>
              <w:rPr>
                <w:sz w:val="18"/>
                <w:szCs w:val="18"/>
              </w:rPr>
            </w:pPr>
          </w:p>
        </w:tc>
        <w:tc>
          <w:tcPr>
            <w:tcW w:w="673" w:type="dxa"/>
            <w:vAlign w:val="center"/>
          </w:tcPr>
          <w:p w14:paraId="6D78A2AA" w14:textId="77777777" w:rsidR="00577D08" w:rsidRDefault="00330FC0">
            <w:pPr>
              <w:jc w:val="right"/>
              <w:rPr>
                <w:sz w:val="18"/>
                <w:szCs w:val="18"/>
              </w:rPr>
            </w:pPr>
            <w:r>
              <w:rPr>
                <w:rFonts w:hint="eastAsia"/>
                <w:sz w:val="18"/>
                <w:szCs w:val="18"/>
              </w:rPr>
              <w:t>100</w:t>
            </w:r>
          </w:p>
        </w:tc>
        <w:tc>
          <w:tcPr>
            <w:tcW w:w="1428" w:type="dxa"/>
            <w:vAlign w:val="center"/>
          </w:tcPr>
          <w:p w14:paraId="48054892" w14:textId="77777777" w:rsidR="00577D08" w:rsidRDefault="00330FC0">
            <w:pPr>
              <w:jc w:val="both"/>
              <w:rPr>
                <w:sz w:val="18"/>
                <w:szCs w:val="18"/>
              </w:rPr>
            </w:pPr>
            <w:r>
              <w:rPr>
                <w:rFonts w:hint="eastAsia"/>
                <w:sz w:val="18"/>
                <w:szCs w:val="18"/>
              </w:rPr>
              <w:t>新增投资设立</w:t>
            </w:r>
          </w:p>
        </w:tc>
      </w:tr>
      <w:tr w:rsidR="00577D08" w14:paraId="06F43048" w14:textId="77777777">
        <w:tc>
          <w:tcPr>
            <w:tcW w:w="1526" w:type="dxa"/>
            <w:vAlign w:val="center"/>
          </w:tcPr>
          <w:p w14:paraId="49BE1783" w14:textId="77777777" w:rsidR="00577D08" w:rsidRDefault="00330FC0">
            <w:pPr>
              <w:jc w:val="both"/>
              <w:rPr>
                <w:sz w:val="18"/>
                <w:szCs w:val="18"/>
              </w:rPr>
            </w:pPr>
            <w:r>
              <w:rPr>
                <w:rFonts w:hint="eastAsia"/>
                <w:sz w:val="18"/>
                <w:szCs w:val="18"/>
              </w:rPr>
              <w:t>长寿望来充</w:t>
            </w:r>
          </w:p>
        </w:tc>
        <w:tc>
          <w:tcPr>
            <w:tcW w:w="1134" w:type="dxa"/>
            <w:vAlign w:val="center"/>
          </w:tcPr>
          <w:p w14:paraId="1C98DA7A" w14:textId="77777777" w:rsidR="00577D08" w:rsidRDefault="00330FC0">
            <w:pPr>
              <w:jc w:val="both"/>
              <w:rPr>
                <w:sz w:val="18"/>
                <w:szCs w:val="18"/>
              </w:rPr>
            </w:pPr>
            <w:r>
              <w:rPr>
                <w:rFonts w:hint="eastAsia"/>
                <w:sz w:val="18"/>
                <w:szCs w:val="18"/>
              </w:rPr>
              <w:t>重庆长寿</w:t>
            </w:r>
          </w:p>
        </w:tc>
        <w:tc>
          <w:tcPr>
            <w:tcW w:w="1266" w:type="dxa"/>
            <w:vAlign w:val="center"/>
          </w:tcPr>
          <w:p w14:paraId="2F0244A7" w14:textId="77777777" w:rsidR="00577D08" w:rsidRDefault="00330FC0">
            <w:pPr>
              <w:jc w:val="right"/>
              <w:rPr>
                <w:sz w:val="18"/>
                <w:szCs w:val="18"/>
              </w:rPr>
            </w:pPr>
            <w:r>
              <w:rPr>
                <w:sz w:val="18"/>
                <w:szCs w:val="18"/>
              </w:rPr>
              <w:t>3,000.00</w:t>
            </w:r>
          </w:p>
        </w:tc>
        <w:tc>
          <w:tcPr>
            <w:tcW w:w="1134" w:type="dxa"/>
            <w:vAlign w:val="center"/>
          </w:tcPr>
          <w:p w14:paraId="05107557" w14:textId="77777777" w:rsidR="00577D08" w:rsidRDefault="00330FC0">
            <w:pPr>
              <w:jc w:val="both"/>
              <w:rPr>
                <w:sz w:val="18"/>
                <w:szCs w:val="18"/>
              </w:rPr>
            </w:pPr>
            <w:r>
              <w:rPr>
                <w:rFonts w:hint="eastAsia"/>
                <w:sz w:val="18"/>
                <w:szCs w:val="18"/>
              </w:rPr>
              <w:t>重庆长寿</w:t>
            </w:r>
          </w:p>
        </w:tc>
        <w:tc>
          <w:tcPr>
            <w:tcW w:w="1281" w:type="dxa"/>
            <w:vAlign w:val="center"/>
          </w:tcPr>
          <w:p w14:paraId="637246B2" w14:textId="77777777" w:rsidR="00577D08" w:rsidRDefault="00330FC0">
            <w:pPr>
              <w:jc w:val="both"/>
              <w:rPr>
                <w:sz w:val="18"/>
                <w:szCs w:val="18"/>
              </w:rPr>
            </w:pPr>
            <w:r>
              <w:rPr>
                <w:rFonts w:hint="eastAsia"/>
                <w:sz w:val="18"/>
                <w:szCs w:val="18"/>
              </w:rPr>
              <w:t>充电设备的销售与充电网的投建、运营</w:t>
            </w:r>
          </w:p>
        </w:tc>
        <w:tc>
          <w:tcPr>
            <w:tcW w:w="607" w:type="dxa"/>
            <w:vAlign w:val="center"/>
          </w:tcPr>
          <w:p w14:paraId="320F0E6E" w14:textId="77777777" w:rsidR="00577D08" w:rsidRDefault="00577D08">
            <w:pPr>
              <w:jc w:val="right"/>
              <w:rPr>
                <w:sz w:val="18"/>
                <w:szCs w:val="18"/>
              </w:rPr>
            </w:pPr>
          </w:p>
        </w:tc>
        <w:tc>
          <w:tcPr>
            <w:tcW w:w="673" w:type="dxa"/>
            <w:vAlign w:val="center"/>
          </w:tcPr>
          <w:p w14:paraId="06A95DCB" w14:textId="77777777" w:rsidR="00577D08" w:rsidRDefault="00330FC0">
            <w:pPr>
              <w:jc w:val="right"/>
              <w:rPr>
                <w:sz w:val="18"/>
                <w:szCs w:val="18"/>
              </w:rPr>
            </w:pPr>
            <w:r>
              <w:rPr>
                <w:rFonts w:hint="eastAsia"/>
                <w:sz w:val="18"/>
                <w:szCs w:val="18"/>
              </w:rPr>
              <w:t>70</w:t>
            </w:r>
          </w:p>
        </w:tc>
        <w:tc>
          <w:tcPr>
            <w:tcW w:w="1428" w:type="dxa"/>
            <w:vAlign w:val="center"/>
          </w:tcPr>
          <w:p w14:paraId="2A7FE154" w14:textId="77777777" w:rsidR="00577D08" w:rsidRDefault="00330FC0">
            <w:pPr>
              <w:jc w:val="both"/>
              <w:rPr>
                <w:sz w:val="18"/>
                <w:szCs w:val="18"/>
              </w:rPr>
            </w:pPr>
            <w:r>
              <w:rPr>
                <w:rFonts w:hint="eastAsia"/>
                <w:sz w:val="18"/>
                <w:szCs w:val="18"/>
              </w:rPr>
              <w:t>新增投资设立</w:t>
            </w:r>
          </w:p>
        </w:tc>
      </w:tr>
      <w:tr w:rsidR="00577D08" w14:paraId="0DEA9794" w14:textId="77777777">
        <w:tc>
          <w:tcPr>
            <w:tcW w:w="1526" w:type="dxa"/>
            <w:vAlign w:val="center"/>
          </w:tcPr>
          <w:p w14:paraId="60ECE8AF" w14:textId="77777777" w:rsidR="00577D08" w:rsidRDefault="00330FC0">
            <w:pPr>
              <w:jc w:val="both"/>
              <w:rPr>
                <w:sz w:val="18"/>
                <w:szCs w:val="18"/>
              </w:rPr>
            </w:pPr>
            <w:r>
              <w:rPr>
                <w:rFonts w:hint="eastAsia"/>
                <w:sz w:val="18"/>
                <w:szCs w:val="18"/>
              </w:rPr>
              <w:t>望来充（河南）</w:t>
            </w:r>
          </w:p>
        </w:tc>
        <w:tc>
          <w:tcPr>
            <w:tcW w:w="1134" w:type="dxa"/>
            <w:vAlign w:val="center"/>
          </w:tcPr>
          <w:p w14:paraId="7BA77A0E" w14:textId="77777777" w:rsidR="00577D08" w:rsidRDefault="00330FC0">
            <w:pPr>
              <w:jc w:val="both"/>
              <w:rPr>
                <w:sz w:val="18"/>
                <w:szCs w:val="18"/>
              </w:rPr>
            </w:pPr>
            <w:r>
              <w:rPr>
                <w:rFonts w:hint="eastAsia"/>
                <w:sz w:val="18"/>
                <w:szCs w:val="18"/>
              </w:rPr>
              <w:t>河南郑州</w:t>
            </w:r>
          </w:p>
        </w:tc>
        <w:tc>
          <w:tcPr>
            <w:tcW w:w="1266" w:type="dxa"/>
            <w:vAlign w:val="center"/>
          </w:tcPr>
          <w:p w14:paraId="63026E49" w14:textId="77777777" w:rsidR="00577D08" w:rsidRDefault="00330FC0">
            <w:pPr>
              <w:jc w:val="right"/>
              <w:rPr>
                <w:sz w:val="18"/>
                <w:szCs w:val="18"/>
              </w:rPr>
            </w:pPr>
            <w:r>
              <w:rPr>
                <w:sz w:val="18"/>
                <w:szCs w:val="18"/>
              </w:rPr>
              <w:t>1,000.00</w:t>
            </w:r>
          </w:p>
        </w:tc>
        <w:tc>
          <w:tcPr>
            <w:tcW w:w="1134" w:type="dxa"/>
            <w:vAlign w:val="center"/>
          </w:tcPr>
          <w:p w14:paraId="6F4DC274" w14:textId="77777777" w:rsidR="00577D08" w:rsidRDefault="00330FC0">
            <w:pPr>
              <w:jc w:val="both"/>
              <w:rPr>
                <w:sz w:val="18"/>
                <w:szCs w:val="18"/>
              </w:rPr>
            </w:pPr>
            <w:r>
              <w:rPr>
                <w:rFonts w:hint="eastAsia"/>
                <w:sz w:val="18"/>
                <w:szCs w:val="18"/>
              </w:rPr>
              <w:t>河南郑州</w:t>
            </w:r>
          </w:p>
        </w:tc>
        <w:tc>
          <w:tcPr>
            <w:tcW w:w="1281" w:type="dxa"/>
            <w:vAlign w:val="center"/>
          </w:tcPr>
          <w:p w14:paraId="1529D77A" w14:textId="77777777" w:rsidR="00577D08" w:rsidRDefault="00330FC0">
            <w:pPr>
              <w:jc w:val="both"/>
              <w:rPr>
                <w:sz w:val="18"/>
                <w:szCs w:val="18"/>
              </w:rPr>
            </w:pPr>
            <w:r>
              <w:rPr>
                <w:rFonts w:hint="eastAsia"/>
                <w:sz w:val="18"/>
                <w:szCs w:val="18"/>
              </w:rPr>
              <w:t>充电设备的销售与充电网的投建、运营</w:t>
            </w:r>
          </w:p>
        </w:tc>
        <w:tc>
          <w:tcPr>
            <w:tcW w:w="607" w:type="dxa"/>
            <w:vAlign w:val="center"/>
          </w:tcPr>
          <w:p w14:paraId="013C1633" w14:textId="77777777" w:rsidR="00577D08" w:rsidRDefault="00577D08">
            <w:pPr>
              <w:jc w:val="right"/>
              <w:rPr>
                <w:sz w:val="18"/>
                <w:szCs w:val="18"/>
              </w:rPr>
            </w:pPr>
          </w:p>
        </w:tc>
        <w:tc>
          <w:tcPr>
            <w:tcW w:w="673" w:type="dxa"/>
            <w:vAlign w:val="center"/>
          </w:tcPr>
          <w:p w14:paraId="792C62D0" w14:textId="77777777" w:rsidR="00577D08" w:rsidRDefault="00330FC0">
            <w:pPr>
              <w:jc w:val="right"/>
              <w:rPr>
                <w:sz w:val="18"/>
                <w:szCs w:val="18"/>
              </w:rPr>
            </w:pPr>
            <w:r>
              <w:rPr>
                <w:rFonts w:hint="eastAsia"/>
                <w:sz w:val="18"/>
                <w:szCs w:val="18"/>
              </w:rPr>
              <w:t>100</w:t>
            </w:r>
          </w:p>
        </w:tc>
        <w:tc>
          <w:tcPr>
            <w:tcW w:w="1428" w:type="dxa"/>
            <w:vAlign w:val="center"/>
          </w:tcPr>
          <w:p w14:paraId="36D7BFEC" w14:textId="77777777" w:rsidR="00577D08" w:rsidRDefault="00330FC0">
            <w:pPr>
              <w:jc w:val="both"/>
              <w:rPr>
                <w:sz w:val="18"/>
                <w:szCs w:val="18"/>
              </w:rPr>
            </w:pPr>
            <w:r>
              <w:rPr>
                <w:rFonts w:hint="eastAsia"/>
                <w:sz w:val="18"/>
                <w:szCs w:val="18"/>
              </w:rPr>
              <w:t>新增投资设立</w:t>
            </w:r>
          </w:p>
        </w:tc>
      </w:tr>
    </w:tbl>
    <w:p w14:paraId="7BC5D03E" w14:textId="77777777" w:rsidR="00577D08" w:rsidRDefault="00330FC0">
      <w:pPr>
        <w:rPr>
          <w:rFonts w:cs="Arial"/>
        </w:rPr>
      </w:pPr>
      <w:r>
        <w:rPr>
          <w:rFonts w:cs="Arial" w:hint="eastAsia"/>
        </w:rPr>
        <w:t>在子公司的持股比例不同于表决权比例的说明：</w:t>
      </w:r>
    </w:p>
    <w:p w14:paraId="6ED2E5AA" w14:textId="77777777" w:rsidR="00577D08" w:rsidRDefault="00000000">
      <w:pPr>
        <w:rPr>
          <w:rFonts w:cs="Arial"/>
        </w:rPr>
      </w:pPr>
      <w:sdt>
        <w:sdtPr>
          <w:rPr>
            <w:rFonts w:cs="Arial"/>
          </w:rPr>
          <w:alias w:val="在子公司的持股比例不同于表决权比例的说明"/>
          <w:tag w:val="_GBC_b7be591163dc47e4b00f98006e6fbb0b"/>
          <w:id w:val="-1791736001"/>
          <w:placeholder>
            <w:docPart w:val="GBC22222222222222222222222222222"/>
          </w:placeholder>
        </w:sdtPr>
        <w:sdtContent>
          <w:r w:rsidR="00330FC0">
            <w:rPr>
              <w:rFonts w:cs="Arial" w:hint="eastAsia"/>
            </w:rPr>
            <w:t>无</w:t>
          </w:r>
        </w:sdtContent>
      </w:sdt>
    </w:p>
    <w:p w14:paraId="2BC19070" w14:textId="77777777" w:rsidR="00577D08" w:rsidRDefault="00330FC0">
      <w:pPr>
        <w:rPr>
          <w:rFonts w:cs="Arial"/>
        </w:rPr>
      </w:pPr>
      <w:r>
        <w:rPr>
          <w:rFonts w:cs="Arial" w:hint="eastAsia"/>
        </w:rPr>
        <w:t>持有半数或以下表决权但仍控制被投资单位、以及持有半数以上表决权但不控制被投资单位的依据：</w:t>
      </w:r>
    </w:p>
    <w:sdt>
      <w:sdtPr>
        <w:rPr>
          <w:rFonts w:cs="Arial"/>
        </w:rPr>
        <w:alias w:val="持有半数或以下表决权但仍控制被投资单位、以及持有半数以上表决权但不控制被投资单位的依据"/>
        <w:tag w:val="_GBC_e9c6ba07b58c4f8e9e3004170d14542b"/>
        <w:id w:val="-1643036114"/>
        <w:placeholder>
          <w:docPart w:val="GBC22222222222222222222222222222"/>
        </w:placeholder>
      </w:sdtPr>
      <w:sdtContent>
        <w:p w14:paraId="3BCEDEE5" w14:textId="77777777" w:rsidR="00577D08" w:rsidRDefault="00330FC0">
          <w:pPr>
            <w:rPr>
              <w:rFonts w:cs="Arial"/>
            </w:rPr>
          </w:pPr>
          <w:r>
            <w:rPr>
              <w:rFonts w:cs="Arial" w:hint="eastAsia"/>
            </w:rPr>
            <w:t>无</w:t>
          </w:r>
        </w:p>
      </w:sdtContent>
    </w:sdt>
    <w:p w14:paraId="0A49D89A" w14:textId="77777777" w:rsidR="00577D08" w:rsidRDefault="00330FC0">
      <w:pPr>
        <w:rPr>
          <w:rFonts w:cs="Arial"/>
        </w:rPr>
      </w:pPr>
      <w:r>
        <w:rPr>
          <w:rFonts w:cs="Arial" w:hint="eastAsia"/>
        </w:rPr>
        <w:t>对于纳入合并范围的重要的结构化主体，控制的依据：</w:t>
      </w:r>
    </w:p>
    <w:sdt>
      <w:sdtPr>
        <w:rPr>
          <w:rFonts w:cs="Arial" w:hint="eastAsia"/>
        </w:rPr>
        <w:alias w:val="对于纳入合并范围的重要的结构化主体，控制的依据"/>
        <w:tag w:val="_GBC_254d83ec47cd4003902f2d0f6017d432"/>
        <w:id w:val="625430792"/>
        <w:placeholder>
          <w:docPart w:val="GBC22222222222222222222222222222"/>
        </w:placeholder>
      </w:sdtPr>
      <w:sdtContent>
        <w:p w14:paraId="4E074484" w14:textId="77777777" w:rsidR="00577D08" w:rsidRDefault="00330FC0">
          <w:pPr>
            <w:rPr>
              <w:rFonts w:cs="Arial"/>
            </w:rPr>
          </w:pPr>
          <w:r>
            <w:rPr>
              <w:rFonts w:cs="Arial" w:hint="eastAsia"/>
            </w:rPr>
            <w:t>无</w:t>
          </w:r>
        </w:p>
      </w:sdtContent>
    </w:sdt>
    <w:p w14:paraId="07DC5B1E" w14:textId="77777777" w:rsidR="00577D08" w:rsidRDefault="00330FC0">
      <w:pPr>
        <w:rPr>
          <w:rFonts w:cs="Arial"/>
        </w:rPr>
      </w:pPr>
      <w:r>
        <w:rPr>
          <w:rFonts w:cs="Arial" w:hint="eastAsia"/>
        </w:rPr>
        <w:t>确定公司是代理人还是委托人的依据：</w:t>
      </w:r>
    </w:p>
    <w:sdt>
      <w:sdtPr>
        <w:rPr>
          <w:rFonts w:cs="Arial" w:hint="eastAsia"/>
        </w:rPr>
        <w:alias w:val="确定公司是代理人还是委托人的依据"/>
        <w:tag w:val="_GBC_f515cb0c8a654271b5991b0accabe800"/>
        <w:id w:val="-138652710"/>
        <w:placeholder>
          <w:docPart w:val="GBC22222222222222222222222222222"/>
        </w:placeholder>
      </w:sdtPr>
      <w:sdtContent>
        <w:p w14:paraId="2BA0353D" w14:textId="77777777" w:rsidR="00577D08" w:rsidRDefault="00330FC0">
          <w:pPr>
            <w:rPr>
              <w:rFonts w:cs="Arial"/>
            </w:rPr>
          </w:pPr>
          <w:r>
            <w:rPr>
              <w:rFonts w:cs="Arial" w:hint="eastAsia"/>
            </w:rPr>
            <w:t>无</w:t>
          </w:r>
        </w:p>
      </w:sdtContent>
    </w:sdt>
    <w:p w14:paraId="3C272680" w14:textId="77777777" w:rsidR="00577D08" w:rsidRDefault="00330FC0">
      <w:pPr>
        <w:rPr>
          <w:rFonts w:cs="Arial"/>
        </w:rPr>
      </w:pPr>
      <w:r>
        <w:rPr>
          <w:rFonts w:cs="Arial" w:hint="eastAsia"/>
        </w:rPr>
        <w:lastRenderedPageBreak/>
        <w:t>其他说明：</w:t>
      </w:r>
    </w:p>
    <w:sdt>
      <w:sdtPr>
        <w:rPr>
          <w:rFonts w:cs="Arial"/>
        </w:rPr>
        <w:alias w:val="企业集团的构成的其他需要说明的事项"/>
        <w:tag w:val="_GBC_7dc3099f920f4546b2a983c0eb4c2ce0"/>
        <w:id w:val="803509086"/>
        <w:placeholder>
          <w:docPart w:val="GBC22222222222222222222222222222"/>
        </w:placeholder>
      </w:sdtPr>
      <w:sdtContent>
        <w:p w14:paraId="44FCBEF6" w14:textId="77777777" w:rsidR="00577D08" w:rsidRDefault="00330FC0">
          <w:pPr>
            <w:rPr>
              <w:rFonts w:cstheme="minorBidi"/>
            </w:rPr>
          </w:pPr>
          <w:r>
            <w:rPr>
              <w:rFonts w:cs="Arial" w:hint="eastAsia"/>
            </w:rPr>
            <w:t>无</w:t>
          </w:r>
        </w:p>
      </w:sdtContent>
    </w:sdt>
    <w:p w14:paraId="2F36C1A1" w14:textId="77777777" w:rsidR="00577D08" w:rsidRDefault="00330FC0">
      <w:pPr>
        <w:pStyle w:val="4"/>
        <w:numPr>
          <w:ilvl w:val="3"/>
          <w:numId w:val="106"/>
        </w:numPr>
        <w:ind w:left="426" w:hangingChars="202" w:hanging="426"/>
        <w:rPr>
          <w:rFonts w:hint="eastAsia"/>
        </w:rPr>
      </w:pPr>
      <w:r>
        <w:rPr>
          <w:rFonts w:hint="eastAsia"/>
        </w:rPr>
        <w:t>重要的非全资子公司</w:t>
      </w:r>
    </w:p>
    <w:sdt>
      <w:sdtPr>
        <w:alias w:val="是否适用：重要的非全资子公司[双击切换]"/>
        <w:tag w:val="_GBC_51a84bfe201248b8bd5edb53b6cd6283"/>
        <w:id w:val="-565175438"/>
        <w:placeholder>
          <w:docPart w:val="GBC22222222222222222222222222222"/>
        </w:placeholder>
      </w:sdtPr>
      <w:sdtContent>
        <w:p w14:paraId="62AF044B" w14:textId="77777777" w:rsidR="00577D08" w:rsidRDefault="00330FC0">
          <w:pPr>
            <w:rPr>
              <w:rFonts w:cs="Arial"/>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F44A409" w14:textId="77777777" w:rsidR="00577D08" w:rsidRDefault="00330FC0">
      <w:pPr>
        <w:pStyle w:val="4"/>
        <w:numPr>
          <w:ilvl w:val="3"/>
          <w:numId w:val="106"/>
        </w:numPr>
        <w:ind w:left="426" w:hangingChars="202" w:hanging="426"/>
        <w:rPr>
          <w:rFonts w:hint="eastAsia"/>
        </w:rPr>
      </w:pPr>
      <w:r>
        <w:rPr>
          <w:rFonts w:hint="eastAsia"/>
        </w:rPr>
        <w:t>重要非全资子公司的主要财务信息</w:t>
      </w:r>
    </w:p>
    <w:sdt>
      <w:sdtPr>
        <w:alias w:val="是否适用：重要非全资子公司的主要财务信息[双击切换]"/>
        <w:tag w:val="_GBC_04ab753eff3c46fda94161ee757bd1fa"/>
        <w:id w:val="1313910558"/>
        <w:placeholder>
          <w:docPart w:val="GBC22222222222222222222222222222"/>
        </w:placeholder>
      </w:sdtPr>
      <w:sdtContent>
        <w:p w14:paraId="3755D199" w14:textId="77777777" w:rsidR="00577D08" w:rsidRDefault="00330FC0">
          <w:pPr>
            <w:rPr>
              <w:rFonts w:cs="Arial"/>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256BCCF" w14:textId="77777777" w:rsidR="00577D08" w:rsidRDefault="00330FC0">
      <w:pPr>
        <w:pStyle w:val="4"/>
        <w:numPr>
          <w:ilvl w:val="3"/>
          <w:numId w:val="106"/>
        </w:numPr>
        <w:ind w:left="426" w:hangingChars="202" w:hanging="426"/>
        <w:rPr>
          <w:rFonts w:hint="eastAsia"/>
        </w:rPr>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955794718"/>
        <w:placeholder>
          <w:docPart w:val="GBC22222222222222222222222222222"/>
        </w:placeholder>
      </w:sdtPr>
      <w:sdtContent>
        <w:p w14:paraId="0496566D" w14:textId="77777777" w:rsidR="00577D08" w:rsidRDefault="00330FC0">
          <w:pPr>
            <w:rPr>
              <w:rFonts w:cs="Arial"/>
              <w:b/>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7E4594" w14:textId="77777777" w:rsidR="00577D08" w:rsidRDefault="00330FC0">
      <w:pPr>
        <w:pStyle w:val="4"/>
        <w:numPr>
          <w:ilvl w:val="3"/>
          <w:numId w:val="106"/>
        </w:numPr>
        <w:ind w:left="426" w:hangingChars="202" w:hanging="426"/>
        <w:rPr>
          <w:rFonts w:hint="eastAsia"/>
        </w:rPr>
      </w:pPr>
      <w:r>
        <w:rPr>
          <w:rFonts w:hint="eastAsia"/>
        </w:rPr>
        <w:t>向纳入合并财务报表范围的结构化主体提供的财务支持或其他支持</w:t>
      </w:r>
    </w:p>
    <w:sdt>
      <w:sdtPr>
        <w:rPr>
          <w:rFonts w:cs="Arial" w:hint="eastAsia"/>
        </w:rPr>
        <w:alias w:val="是否适用：向纳入合并财务报表范围的结构化主体提供的财务支持或其他支持[双击切换]"/>
        <w:tag w:val="_GBC_395393741a9c49d1bd1b845f818ade1e"/>
        <w:id w:val="-1060785337"/>
        <w:placeholder>
          <w:docPart w:val="GBC22222222222222222222222222222"/>
        </w:placeholder>
      </w:sdtPr>
      <w:sdtContent>
        <w:p w14:paraId="053FF82A" w14:textId="77777777" w:rsidR="00577D08" w:rsidRDefault="00330FC0">
          <w:pPr>
            <w:rPr>
              <w:rFonts w:cs="Arial"/>
            </w:rPr>
          </w:pPr>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02201BFC" w14:textId="77777777" w:rsidR="00577D08" w:rsidRDefault="00330FC0">
      <w:r>
        <w:rPr>
          <w:rFonts w:hint="eastAsia"/>
        </w:rPr>
        <w:t>其他说明：</w:t>
      </w:r>
    </w:p>
    <w:sdt>
      <w:sdtPr>
        <w:alias w:val="是否适用：在子公司中的权益其他说明[双击切换]"/>
        <w:tag w:val="_GBC_b26ad9d381c8467f9c05b435b2cb6493"/>
        <w:id w:val="1425149422"/>
        <w:placeholder>
          <w:docPart w:val="GBC22222222222222222222222222222"/>
        </w:placeholder>
      </w:sdtPr>
      <w:sdtContent>
        <w:p w14:paraId="24DE32E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B5426D4" w14:textId="77777777" w:rsidR="00577D08" w:rsidRDefault="00330FC0">
      <w:pPr>
        <w:pStyle w:val="3"/>
        <w:numPr>
          <w:ilvl w:val="2"/>
          <w:numId w:val="105"/>
        </w:numPr>
        <w:rPr>
          <w:rFonts w:ascii="宋体" w:hAnsi="宋体" w:cs="Arial" w:hint="eastAsia"/>
          <w:szCs w:val="21"/>
        </w:rPr>
      </w:pPr>
      <w:r>
        <w:rPr>
          <w:rFonts w:ascii="宋体" w:hAnsi="宋体" w:cs="Arial" w:hint="eastAsia"/>
          <w:szCs w:val="21"/>
          <w:shd w:val="solid" w:color="FFFFFF" w:fill="auto"/>
        </w:rPr>
        <w:t>在子公司的所有者权益份额发生变化且仍控制子公司的交易</w:t>
      </w:r>
    </w:p>
    <w:sdt>
      <w:sdtPr>
        <w:alias w:val="是否适用：在子公司的所有者权益份额发生变化且仍控制子公司的交易[双击切换]"/>
        <w:tag w:val="_GBC_4c0599836d204e25b4d5d4f8434a2c4c"/>
        <w:id w:val="1407650858"/>
        <w:placeholder>
          <w:docPart w:val="GBC22222222222222222222222222222"/>
        </w:placeholder>
      </w:sdtPr>
      <w:sdtContent>
        <w:p w14:paraId="6662927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E99DE62" w14:textId="77777777" w:rsidR="00577D08" w:rsidRDefault="00330FC0">
      <w:pPr>
        <w:pStyle w:val="4"/>
        <w:numPr>
          <w:ilvl w:val="0"/>
          <w:numId w:val="107"/>
        </w:numPr>
        <w:rPr>
          <w:rFonts w:hint="eastAsia"/>
        </w:rPr>
      </w:pPr>
      <w:r>
        <w:rPr>
          <w:rFonts w:hint="eastAsia"/>
        </w:rPr>
        <w:t>在子公司所有者权益份额的变化情况的说明</w:t>
      </w:r>
    </w:p>
    <w:sdt>
      <w:sdtPr>
        <w:rPr>
          <w:rFonts w:cs="Arial" w:hint="eastAsia"/>
        </w:rPr>
        <w:alias w:val="是否适用：在子公司所有者权益份额的变化情况的说明[双击切换]"/>
        <w:tag w:val="_GBC_8fcd7586a7a04450a37f9fb53e3ddd9d"/>
        <w:id w:val="-319727665"/>
        <w:placeholder>
          <w:docPart w:val="GBC22222222222222222222222222222"/>
        </w:placeholder>
      </w:sdtPr>
      <w:sdtContent>
        <w:p w14:paraId="1FF538CF" w14:textId="77777777" w:rsidR="00577D08" w:rsidRDefault="00330FC0">
          <w:pPr>
            <w:rPr>
              <w:rFonts w:cs="Arial"/>
            </w:rPr>
          </w:pPr>
          <w:r>
            <w:rPr>
              <w:rFonts w:ascii="宋体" w:hAnsi="宋体" w:cs="Arial"/>
            </w:rPr>
            <w:fldChar w:fldCharType="begin"/>
          </w:r>
          <w:r>
            <w:rPr>
              <w:rFonts w:ascii="宋体" w:hAnsi="宋体" w:cs="Arial"/>
            </w:rPr>
            <w:instrText xml:space="preserve"> </w:instrText>
          </w:r>
          <w:r>
            <w:rPr>
              <w:rFonts w:ascii="宋体" w:hAnsi="宋体" w:cs="Arial" w:hint="eastAsia"/>
            </w:rPr>
            <w:instrText xml:space="preserve">MACROBUTTON  SnrToggleCheckbox √适用 </w:instrText>
          </w:r>
          <w:r>
            <w:rPr>
              <w:rFonts w:ascii="宋体" w:hAnsi="宋体" w:cs="Arial"/>
            </w:rPr>
            <w:instrText xml:space="preserve"> </w:instrText>
          </w:r>
          <w:r>
            <w:rPr>
              <w:rFonts w:ascii="宋体" w:hAnsi="宋体" w:cs="Arial"/>
            </w:rPr>
            <w:fldChar w:fldCharType="end"/>
          </w:r>
          <w:r>
            <w:rPr>
              <w:rFonts w:ascii="宋体" w:hAnsi="宋体" w:cs="Arial"/>
            </w:rPr>
            <w:fldChar w:fldCharType="begin"/>
          </w:r>
          <w:r>
            <w:rPr>
              <w:rFonts w:ascii="宋体" w:hAnsi="宋体" w:cs="Arial"/>
            </w:rPr>
            <w:instrText xml:space="preserve"> MACROBUTTON  SnrToggleCheckbox □不适用 </w:instrText>
          </w:r>
          <w:r>
            <w:rPr>
              <w:rFonts w:ascii="宋体" w:hAnsi="宋体" w:cs="Arial"/>
            </w:rPr>
            <w:fldChar w:fldCharType="end"/>
          </w:r>
        </w:p>
      </w:sdtContent>
    </w:sdt>
    <w:sdt>
      <w:sdtPr>
        <w:rPr>
          <w:rFonts w:cs="Arial"/>
        </w:rPr>
        <w:alias w:val="在子公司所有者权益份额的变化情况的说明"/>
        <w:tag w:val="_GBC_841b13bceaa744e7899c18aef7689caf"/>
        <w:id w:val="-66349601"/>
        <w:lock w:val="sdtLocked"/>
        <w:placeholder>
          <w:docPart w:val="GBC22222222222222222222222222222"/>
        </w:placeholder>
      </w:sdtPr>
      <w:sdtContent>
        <w:p w14:paraId="1D91238F" w14:textId="77777777" w:rsidR="00577D08" w:rsidRDefault="00577D08">
          <w:pPr>
            <w:rPr>
              <w:rFonts w:cs="Arial"/>
            </w:rPr>
          </w:pPr>
        </w:p>
        <w:tbl>
          <w:tblPr>
            <w:tblStyle w:val="aff2"/>
            <w:tblW w:w="0" w:type="auto"/>
            <w:tblLook w:val="04A0" w:firstRow="1" w:lastRow="0" w:firstColumn="1" w:lastColumn="0" w:noHBand="0" w:noVBand="1"/>
          </w:tblPr>
          <w:tblGrid>
            <w:gridCol w:w="2195"/>
            <w:gridCol w:w="2202"/>
            <w:gridCol w:w="2211"/>
            <w:gridCol w:w="2215"/>
          </w:tblGrid>
          <w:tr w:rsidR="00577D08" w14:paraId="4C274D96" w14:textId="77777777">
            <w:tc>
              <w:tcPr>
                <w:tcW w:w="2262" w:type="dxa"/>
              </w:tcPr>
              <w:p w14:paraId="640DEDED" w14:textId="77777777" w:rsidR="00577D08" w:rsidRDefault="00330FC0">
                <w:pPr>
                  <w:rPr>
                    <w:rFonts w:cs="Arial"/>
                  </w:rPr>
                </w:pPr>
                <w:r>
                  <w:rPr>
                    <w:rFonts w:hint="eastAsia"/>
                  </w:rPr>
                  <w:t>子公司名称</w:t>
                </w:r>
              </w:p>
            </w:tc>
            <w:tc>
              <w:tcPr>
                <w:tcW w:w="2262" w:type="dxa"/>
              </w:tcPr>
              <w:p w14:paraId="056D9A28" w14:textId="77777777" w:rsidR="00577D08" w:rsidRDefault="00330FC0">
                <w:pPr>
                  <w:rPr>
                    <w:rFonts w:cs="Arial"/>
                  </w:rPr>
                </w:pPr>
                <w:r>
                  <w:rPr>
                    <w:rFonts w:hint="eastAsia"/>
                  </w:rPr>
                  <w:t>变动时间</w:t>
                </w:r>
              </w:p>
            </w:tc>
            <w:tc>
              <w:tcPr>
                <w:tcW w:w="2262" w:type="dxa"/>
              </w:tcPr>
              <w:p w14:paraId="58BFAA13" w14:textId="77777777" w:rsidR="00577D08" w:rsidRDefault="00330FC0">
                <w:pPr>
                  <w:rPr>
                    <w:rFonts w:cs="Arial"/>
                  </w:rPr>
                </w:pPr>
                <w:r>
                  <w:rPr>
                    <w:rFonts w:hint="eastAsia"/>
                  </w:rPr>
                  <w:t>变动前持股比例</w:t>
                </w:r>
              </w:p>
            </w:tc>
            <w:tc>
              <w:tcPr>
                <w:tcW w:w="2263" w:type="dxa"/>
              </w:tcPr>
              <w:p w14:paraId="4BEC87EC" w14:textId="77777777" w:rsidR="00577D08" w:rsidRDefault="00330FC0">
                <w:pPr>
                  <w:rPr>
                    <w:rFonts w:cs="Arial"/>
                  </w:rPr>
                </w:pPr>
                <w:r>
                  <w:rPr>
                    <w:rFonts w:hint="eastAsia"/>
                  </w:rPr>
                  <w:t>变动后持股比例</w:t>
                </w:r>
              </w:p>
            </w:tc>
          </w:tr>
          <w:tr w:rsidR="00577D08" w14:paraId="583DD636" w14:textId="77777777">
            <w:tc>
              <w:tcPr>
                <w:tcW w:w="2262" w:type="dxa"/>
              </w:tcPr>
              <w:p w14:paraId="1AD86011" w14:textId="77777777" w:rsidR="00577D08" w:rsidRDefault="00330FC0">
                <w:pPr>
                  <w:rPr>
                    <w:rFonts w:cs="Arial"/>
                  </w:rPr>
                </w:pPr>
                <w:r>
                  <w:rPr>
                    <w:rFonts w:hint="eastAsia"/>
                  </w:rPr>
                  <w:t>云变电气</w:t>
                </w:r>
              </w:p>
            </w:tc>
            <w:tc>
              <w:tcPr>
                <w:tcW w:w="2262" w:type="dxa"/>
              </w:tcPr>
              <w:p w14:paraId="79EA2737" w14:textId="77777777" w:rsidR="00577D08" w:rsidRDefault="00330FC0">
                <w:pPr>
                  <w:rPr>
                    <w:rFonts w:cs="Arial"/>
                  </w:rPr>
                </w:pPr>
                <w:r>
                  <w:rPr>
                    <w:rFonts w:hint="eastAsia"/>
                  </w:rPr>
                  <w:t>2025</w:t>
                </w:r>
                <w:r>
                  <w:rPr>
                    <w:rFonts w:hint="eastAsia"/>
                  </w:rPr>
                  <w:t>年</w:t>
                </w:r>
                <w:r>
                  <w:rPr>
                    <w:rFonts w:hint="eastAsia"/>
                  </w:rPr>
                  <w:t>6</w:t>
                </w:r>
                <w:r>
                  <w:rPr>
                    <w:rFonts w:hint="eastAsia"/>
                  </w:rPr>
                  <w:t>月</w:t>
                </w:r>
                <w:r>
                  <w:rPr>
                    <w:rFonts w:hint="eastAsia"/>
                  </w:rPr>
                  <w:t>30</w:t>
                </w:r>
                <w:r>
                  <w:rPr>
                    <w:rFonts w:hint="eastAsia"/>
                  </w:rPr>
                  <w:t>日</w:t>
                </w:r>
              </w:p>
            </w:tc>
            <w:tc>
              <w:tcPr>
                <w:tcW w:w="2262" w:type="dxa"/>
              </w:tcPr>
              <w:p w14:paraId="26EF6E48" w14:textId="77777777" w:rsidR="00577D08" w:rsidRDefault="00330FC0">
                <w:pPr>
                  <w:jc w:val="right"/>
                  <w:rPr>
                    <w:rFonts w:cs="Arial"/>
                  </w:rPr>
                </w:pPr>
                <w:r>
                  <w:rPr>
                    <w:rFonts w:hint="eastAsia"/>
                  </w:rPr>
                  <w:t>79.97%</w:t>
                </w:r>
              </w:p>
            </w:tc>
            <w:tc>
              <w:tcPr>
                <w:tcW w:w="2263" w:type="dxa"/>
              </w:tcPr>
              <w:p w14:paraId="4A667907" w14:textId="77777777" w:rsidR="00577D08" w:rsidRDefault="00330FC0">
                <w:pPr>
                  <w:jc w:val="right"/>
                  <w:rPr>
                    <w:rFonts w:cs="Arial"/>
                  </w:rPr>
                </w:pPr>
                <w:r>
                  <w:rPr>
                    <w:rFonts w:hint="eastAsia"/>
                  </w:rPr>
                  <w:t>100.00%</w:t>
                </w:r>
              </w:p>
            </w:tc>
          </w:tr>
        </w:tbl>
        <w:p w14:paraId="574FB932" w14:textId="77777777" w:rsidR="00577D08" w:rsidRDefault="00000000">
          <w:pPr>
            <w:rPr>
              <w:rFonts w:cs="Arial"/>
            </w:rPr>
          </w:pPr>
        </w:p>
      </w:sdtContent>
    </w:sdt>
    <w:p w14:paraId="28809C5D" w14:textId="77777777" w:rsidR="00577D08" w:rsidRDefault="00330FC0">
      <w:pPr>
        <w:pStyle w:val="4"/>
        <w:numPr>
          <w:ilvl w:val="0"/>
          <w:numId w:val="107"/>
        </w:numPr>
        <w:rPr>
          <w:rFonts w:hint="eastAsia"/>
        </w:rPr>
      </w:pPr>
      <w:r>
        <w:rPr>
          <w:rFonts w:hint="eastAsia"/>
        </w:rPr>
        <w:t>交易对于少数股东权益及归属于母公司所有者权益的影响</w:t>
      </w:r>
    </w:p>
    <w:sdt>
      <w:sdtPr>
        <w:rPr>
          <w:rFonts w:hint="eastAsia"/>
        </w:rPr>
        <w:alias w:val="是否适用：交易对于少数股东权益及归属于母公司所有者权益的影响[双击切换]"/>
        <w:tag w:val="_GBC_e1f125d516d84f378793403854ba5c01"/>
        <w:id w:val="-652448661"/>
        <w:placeholder>
          <w:docPart w:val="GBC22222222222222222222222222222"/>
        </w:placeholder>
      </w:sdtPr>
      <w:sdtContent>
        <w:p w14:paraId="68FB7685"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1FECB40" w14:textId="00340803" w:rsidR="00577D08" w:rsidRDefault="00330FC0">
      <w:pPr>
        <w:jc w:val="right"/>
      </w:pPr>
      <w:r>
        <w:rPr>
          <w:rFonts w:hint="eastAsia"/>
        </w:rPr>
        <w:t>单位：</w:t>
      </w:r>
      <w:sdt>
        <w:sdtPr>
          <w:rPr>
            <w:rFonts w:hint="eastAsia"/>
          </w:rPr>
          <w:alias w:val="单位：财务附注：交易对于少数股东权益及归属于母公司所有者权益的影响"/>
          <w:tag w:val="_GBC_8bc6137285324aca89e1a906fd8e99b5"/>
          <w:id w:val="-14787601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交易对于少数股东权益及归属于母公司所有者权益的影响"/>
          <w:tag w:val="_GBC_228f6470ad5e43439d2bb8e05da1eddf"/>
          <w:id w:val="-1533808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3979"/>
      </w:tblGrid>
      <w:tr w:rsidR="00577D08" w14:paraId="557CCEC0" w14:textId="77777777">
        <w:trPr>
          <w:trHeight w:val="90"/>
          <w:jc w:val="center"/>
        </w:trPr>
        <w:tc>
          <w:tcPr>
            <w:tcW w:w="5070" w:type="dxa"/>
            <w:vAlign w:val="center"/>
          </w:tcPr>
          <w:p w14:paraId="76C7FE2F" w14:textId="77777777" w:rsidR="00577D08" w:rsidRDefault="00577D08">
            <w:pPr>
              <w:jc w:val="center"/>
              <w:rPr>
                <w:rFonts w:cs="Arial"/>
                <w:lang w:val="en-GB"/>
              </w:rPr>
            </w:pPr>
          </w:p>
        </w:tc>
        <w:sdt>
          <w:sdtPr>
            <w:alias w:val="交易对于少数股东权益及归属于母公司所有者权益的影响明细-公司名称"/>
            <w:tag w:val="_GBC_0899d6221c8b4c0197d4cc9d76f2a617"/>
            <w:id w:val="-1337154365"/>
          </w:sdtPr>
          <w:sdtEndPr>
            <w:rPr>
              <w:rFonts w:hint="eastAsia"/>
            </w:rPr>
          </w:sdtEndPr>
          <w:sdtContent>
            <w:tc>
              <w:tcPr>
                <w:tcW w:w="3979" w:type="dxa"/>
                <w:tcBorders>
                  <w:bottom w:val="single" w:sz="4" w:space="0" w:color="auto"/>
                </w:tcBorders>
                <w:vAlign w:val="center"/>
              </w:tcPr>
              <w:p w14:paraId="716F4A28" w14:textId="77777777" w:rsidR="00577D08" w:rsidRDefault="00330FC0">
                <w:pPr>
                  <w:jc w:val="center"/>
                </w:pPr>
                <w:r>
                  <w:rPr>
                    <w:rFonts w:hint="eastAsia"/>
                  </w:rPr>
                  <w:t>云变电气</w:t>
                </w:r>
              </w:p>
            </w:tc>
          </w:sdtContent>
        </w:sdt>
      </w:tr>
      <w:tr w:rsidR="00577D08" w14:paraId="1D0F6699" w14:textId="77777777">
        <w:trPr>
          <w:jc w:val="center"/>
        </w:trPr>
        <w:sdt>
          <w:sdtPr>
            <w:tag w:val="_PLD_65e676f300544834a93a8fdbee5bac37"/>
            <w:id w:val="795717688"/>
          </w:sdtPr>
          <w:sdtContent>
            <w:tc>
              <w:tcPr>
                <w:tcW w:w="9049" w:type="dxa"/>
                <w:gridSpan w:val="2"/>
                <w:vAlign w:val="center"/>
              </w:tcPr>
              <w:p w14:paraId="30147D15" w14:textId="77777777" w:rsidR="00577D08" w:rsidRDefault="00330FC0">
                <w:r>
                  <w:rPr>
                    <w:rFonts w:cs="Arial" w:hint="eastAsia"/>
                    <w:lang w:val="en-GB"/>
                  </w:rPr>
                  <w:t>购买成本</w:t>
                </w:r>
                <w:r>
                  <w:rPr>
                    <w:rFonts w:cs="Arial" w:hint="eastAsia"/>
                    <w:lang w:val="en-GB"/>
                  </w:rPr>
                  <w:t>/</w:t>
                </w:r>
                <w:r>
                  <w:rPr>
                    <w:rFonts w:cs="Arial" w:hint="eastAsia"/>
                    <w:lang w:val="en-GB"/>
                  </w:rPr>
                  <w:t>处置对价</w:t>
                </w:r>
              </w:p>
            </w:tc>
          </w:sdtContent>
        </w:sdt>
      </w:tr>
      <w:tr w:rsidR="00577D08" w14:paraId="598C30E0" w14:textId="77777777">
        <w:trPr>
          <w:jc w:val="center"/>
        </w:trPr>
        <w:tc>
          <w:tcPr>
            <w:tcW w:w="5070" w:type="dxa"/>
            <w:vAlign w:val="center"/>
          </w:tcPr>
          <w:p w14:paraId="72DFB87F" w14:textId="77777777" w:rsidR="00577D08" w:rsidRDefault="00330FC0">
            <w:pPr>
              <w:rPr>
                <w:rFonts w:cs="Arial"/>
                <w:color w:val="000000"/>
              </w:rPr>
            </w:pPr>
            <w:r>
              <w:rPr>
                <w:rFonts w:cs="Arial"/>
                <w:color w:val="000000"/>
              </w:rPr>
              <w:t>--</w:t>
            </w:r>
            <w:r>
              <w:rPr>
                <w:rFonts w:cs="Arial" w:hint="eastAsia"/>
                <w:color w:val="000000"/>
                <w:lang w:val="en-GB"/>
              </w:rPr>
              <w:t>现金</w:t>
            </w:r>
          </w:p>
        </w:tc>
        <w:tc>
          <w:tcPr>
            <w:tcW w:w="3979" w:type="dxa"/>
            <w:vAlign w:val="center"/>
          </w:tcPr>
          <w:p w14:paraId="0BB5D3D4" w14:textId="77777777" w:rsidR="00577D08" w:rsidRDefault="00330FC0">
            <w:pPr>
              <w:jc w:val="right"/>
            </w:pPr>
            <w:r>
              <w:t>120,413,100.00</w:t>
            </w:r>
          </w:p>
        </w:tc>
      </w:tr>
      <w:tr w:rsidR="00577D08" w14:paraId="6886F82D" w14:textId="77777777">
        <w:trPr>
          <w:jc w:val="center"/>
        </w:trPr>
        <w:tc>
          <w:tcPr>
            <w:tcW w:w="5070" w:type="dxa"/>
            <w:vAlign w:val="center"/>
          </w:tcPr>
          <w:p w14:paraId="723BD870" w14:textId="77777777" w:rsidR="00577D08" w:rsidRDefault="00330FC0">
            <w:pPr>
              <w:rPr>
                <w:rFonts w:cs="Arial"/>
                <w:color w:val="000000"/>
              </w:rPr>
            </w:pPr>
            <w:r>
              <w:rPr>
                <w:rFonts w:cs="Arial"/>
                <w:color w:val="000000"/>
              </w:rPr>
              <w:t>--</w:t>
            </w:r>
            <w:r>
              <w:rPr>
                <w:rFonts w:cs="Arial" w:hint="eastAsia"/>
                <w:color w:val="000000"/>
                <w:lang w:val="en-GB"/>
              </w:rPr>
              <w:t>非现金资产的公允价值</w:t>
            </w:r>
          </w:p>
        </w:tc>
        <w:tc>
          <w:tcPr>
            <w:tcW w:w="3979" w:type="dxa"/>
            <w:vAlign w:val="center"/>
          </w:tcPr>
          <w:p w14:paraId="7CEB436F" w14:textId="77777777" w:rsidR="00577D08" w:rsidRDefault="00577D08">
            <w:pPr>
              <w:jc w:val="right"/>
            </w:pPr>
          </w:p>
        </w:tc>
      </w:tr>
      <w:tr w:rsidR="00577D08" w14:paraId="04EF597B" w14:textId="77777777">
        <w:trPr>
          <w:jc w:val="center"/>
        </w:trPr>
        <w:tc>
          <w:tcPr>
            <w:tcW w:w="5070" w:type="dxa"/>
            <w:vAlign w:val="center"/>
          </w:tcPr>
          <w:p w14:paraId="1CEBC41F" w14:textId="77777777" w:rsidR="00577D08" w:rsidRDefault="00330FC0">
            <w:pPr>
              <w:rPr>
                <w:rFonts w:cs="Arial"/>
                <w:color w:val="000000"/>
              </w:rPr>
            </w:pPr>
            <w:r>
              <w:rPr>
                <w:rFonts w:cs="Arial" w:hint="eastAsia"/>
                <w:color w:val="000000"/>
                <w:lang w:val="en-GB"/>
              </w:rPr>
              <w:t>购买成本</w:t>
            </w:r>
            <w:r>
              <w:rPr>
                <w:rFonts w:cs="Arial" w:hint="eastAsia"/>
                <w:color w:val="000000"/>
                <w:lang w:val="en-GB"/>
              </w:rPr>
              <w:t>/</w:t>
            </w:r>
            <w:r>
              <w:rPr>
                <w:rFonts w:cs="Arial" w:hint="eastAsia"/>
                <w:color w:val="000000"/>
                <w:lang w:val="en-GB"/>
              </w:rPr>
              <w:t>处置对价合计</w:t>
            </w:r>
          </w:p>
        </w:tc>
        <w:tc>
          <w:tcPr>
            <w:tcW w:w="3979" w:type="dxa"/>
            <w:vAlign w:val="center"/>
          </w:tcPr>
          <w:p w14:paraId="1BCF90B6" w14:textId="77777777" w:rsidR="00577D08" w:rsidRDefault="00330FC0">
            <w:pPr>
              <w:jc w:val="right"/>
            </w:pPr>
            <w:r>
              <w:t>120,413,100.00</w:t>
            </w:r>
          </w:p>
        </w:tc>
      </w:tr>
      <w:tr w:rsidR="00577D08" w14:paraId="63D2D6A1" w14:textId="77777777">
        <w:trPr>
          <w:jc w:val="center"/>
        </w:trPr>
        <w:tc>
          <w:tcPr>
            <w:tcW w:w="5070" w:type="dxa"/>
            <w:vAlign w:val="center"/>
          </w:tcPr>
          <w:p w14:paraId="6D488279" w14:textId="77777777" w:rsidR="00577D08" w:rsidRDefault="00330FC0">
            <w:pPr>
              <w:rPr>
                <w:rFonts w:cs="Arial"/>
                <w:color w:val="000000"/>
              </w:rPr>
            </w:pPr>
            <w:r>
              <w:rPr>
                <w:rFonts w:cs="Arial" w:hint="eastAsia"/>
                <w:color w:val="000000"/>
                <w:lang w:val="en-GB"/>
              </w:rPr>
              <w:t>减：按取得</w:t>
            </w:r>
            <w:r>
              <w:rPr>
                <w:rFonts w:cs="Arial" w:hint="eastAsia"/>
                <w:color w:val="000000"/>
                <w:lang w:val="en-GB"/>
              </w:rPr>
              <w:t>/</w:t>
            </w:r>
            <w:r>
              <w:rPr>
                <w:rFonts w:cs="Arial" w:hint="eastAsia"/>
                <w:color w:val="000000"/>
                <w:lang w:val="en-GB"/>
              </w:rPr>
              <w:t>处置的股权比例计算的子公司净资产份额</w:t>
            </w:r>
          </w:p>
        </w:tc>
        <w:tc>
          <w:tcPr>
            <w:tcW w:w="3979" w:type="dxa"/>
            <w:vAlign w:val="center"/>
          </w:tcPr>
          <w:p w14:paraId="11C23E0B" w14:textId="77777777" w:rsidR="00577D08" w:rsidRDefault="00330FC0">
            <w:pPr>
              <w:jc w:val="right"/>
            </w:pPr>
            <w:r>
              <w:t>145,214,617.95</w:t>
            </w:r>
          </w:p>
        </w:tc>
      </w:tr>
      <w:tr w:rsidR="00577D08" w14:paraId="5F702909" w14:textId="77777777">
        <w:trPr>
          <w:jc w:val="center"/>
        </w:trPr>
        <w:tc>
          <w:tcPr>
            <w:tcW w:w="5070" w:type="dxa"/>
            <w:vAlign w:val="center"/>
          </w:tcPr>
          <w:p w14:paraId="2A80C5E4" w14:textId="77777777" w:rsidR="00577D08" w:rsidRDefault="00330FC0">
            <w:pPr>
              <w:rPr>
                <w:rFonts w:cs="Arial"/>
                <w:color w:val="000000"/>
              </w:rPr>
            </w:pPr>
            <w:r>
              <w:rPr>
                <w:rFonts w:cs="Arial" w:hint="eastAsia"/>
                <w:color w:val="000000"/>
                <w:lang w:val="en-GB"/>
              </w:rPr>
              <w:t>差额</w:t>
            </w:r>
          </w:p>
        </w:tc>
        <w:tc>
          <w:tcPr>
            <w:tcW w:w="3979" w:type="dxa"/>
            <w:vAlign w:val="center"/>
          </w:tcPr>
          <w:p w14:paraId="293488C8" w14:textId="77777777" w:rsidR="00577D08" w:rsidRDefault="00330FC0">
            <w:pPr>
              <w:jc w:val="right"/>
            </w:pPr>
            <w:r>
              <w:t>-24,801,517.95</w:t>
            </w:r>
          </w:p>
        </w:tc>
      </w:tr>
      <w:tr w:rsidR="00577D08" w14:paraId="0B4998D7" w14:textId="77777777">
        <w:trPr>
          <w:trHeight w:val="204"/>
          <w:jc w:val="center"/>
        </w:trPr>
        <w:tc>
          <w:tcPr>
            <w:tcW w:w="5070" w:type="dxa"/>
            <w:vAlign w:val="center"/>
          </w:tcPr>
          <w:p w14:paraId="6CE329F0" w14:textId="77777777" w:rsidR="00577D08" w:rsidRDefault="00330FC0">
            <w:pPr>
              <w:rPr>
                <w:rFonts w:cs="Arial"/>
                <w:color w:val="000000"/>
              </w:rPr>
            </w:pPr>
            <w:r>
              <w:rPr>
                <w:rFonts w:cs="Arial" w:hint="eastAsia"/>
                <w:color w:val="000000"/>
                <w:lang w:val="en-GB"/>
              </w:rPr>
              <w:t>其中：调整资本公积</w:t>
            </w:r>
          </w:p>
        </w:tc>
        <w:tc>
          <w:tcPr>
            <w:tcW w:w="3979" w:type="dxa"/>
            <w:vAlign w:val="center"/>
          </w:tcPr>
          <w:p w14:paraId="61CCDD10" w14:textId="77777777" w:rsidR="00577D08" w:rsidRDefault="00330FC0">
            <w:pPr>
              <w:jc w:val="right"/>
            </w:pPr>
            <w:r>
              <w:t>-24,801,517.95</w:t>
            </w:r>
          </w:p>
        </w:tc>
      </w:tr>
      <w:tr w:rsidR="00577D08" w14:paraId="3F680AA9" w14:textId="77777777">
        <w:trPr>
          <w:jc w:val="center"/>
        </w:trPr>
        <w:tc>
          <w:tcPr>
            <w:tcW w:w="5070" w:type="dxa"/>
            <w:vAlign w:val="center"/>
          </w:tcPr>
          <w:p w14:paraId="21792468" w14:textId="77777777" w:rsidR="00577D08" w:rsidRDefault="00330FC0">
            <w:pPr>
              <w:ind w:firstLineChars="300" w:firstLine="630"/>
              <w:rPr>
                <w:rFonts w:cs="Arial"/>
                <w:color w:val="000000"/>
              </w:rPr>
            </w:pPr>
            <w:r>
              <w:rPr>
                <w:rFonts w:cs="Arial" w:hint="eastAsia"/>
                <w:color w:val="000000"/>
                <w:lang w:val="en-GB"/>
              </w:rPr>
              <w:t>调整盈余公积</w:t>
            </w:r>
          </w:p>
        </w:tc>
        <w:tc>
          <w:tcPr>
            <w:tcW w:w="3979" w:type="dxa"/>
            <w:vAlign w:val="center"/>
          </w:tcPr>
          <w:p w14:paraId="3F767B61" w14:textId="77777777" w:rsidR="00577D08" w:rsidRDefault="00577D08">
            <w:pPr>
              <w:jc w:val="right"/>
            </w:pPr>
          </w:p>
        </w:tc>
      </w:tr>
      <w:tr w:rsidR="00577D08" w14:paraId="714E31EA" w14:textId="77777777">
        <w:trPr>
          <w:jc w:val="center"/>
        </w:trPr>
        <w:tc>
          <w:tcPr>
            <w:tcW w:w="5070" w:type="dxa"/>
            <w:vAlign w:val="center"/>
          </w:tcPr>
          <w:p w14:paraId="156DC7BE" w14:textId="77777777" w:rsidR="00577D08" w:rsidRDefault="00330FC0">
            <w:pPr>
              <w:ind w:firstLineChars="300" w:firstLine="630"/>
              <w:rPr>
                <w:rFonts w:cs="Arial"/>
                <w:color w:val="000000"/>
              </w:rPr>
            </w:pPr>
            <w:r>
              <w:rPr>
                <w:rFonts w:cs="Arial" w:hint="eastAsia"/>
                <w:color w:val="000000"/>
                <w:lang w:val="en-GB"/>
              </w:rPr>
              <w:t>调整未分配利润</w:t>
            </w:r>
          </w:p>
        </w:tc>
        <w:tc>
          <w:tcPr>
            <w:tcW w:w="3979" w:type="dxa"/>
            <w:vAlign w:val="center"/>
          </w:tcPr>
          <w:p w14:paraId="2F948F67" w14:textId="77777777" w:rsidR="00577D08" w:rsidRDefault="00577D08">
            <w:pPr>
              <w:jc w:val="right"/>
            </w:pPr>
          </w:p>
        </w:tc>
      </w:tr>
    </w:tbl>
    <w:p w14:paraId="5FDDD37E" w14:textId="77777777" w:rsidR="00577D08" w:rsidRDefault="00330FC0">
      <w:pPr>
        <w:rPr>
          <w:rFonts w:cs="Arial"/>
        </w:rPr>
      </w:pPr>
      <w:r>
        <w:rPr>
          <w:rFonts w:cs="Arial" w:hint="eastAsia"/>
        </w:rPr>
        <w:t>其他说明：</w:t>
      </w:r>
    </w:p>
    <w:sdt>
      <w:sdtPr>
        <w:rPr>
          <w:rFonts w:cs="Arial"/>
        </w:rPr>
        <w:alias w:val="是否适用：在子公司的所有者权益份额发生变化且仍控制子公司的交易的说明[双击切换]"/>
        <w:tag w:val="_GBC_f6cb777929974f7d8effe42e8ad42e7e"/>
        <w:id w:val="-1455561301"/>
        <w:placeholder>
          <w:docPart w:val="GBC22222222222222222222222222222"/>
        </w:placeholder>
      </w:sdtPr>
      <w:sdtContent>
        <w:p w14:paraId="5C0781C8" w14:textId="77777777" w:rsidR="00577D08" w:rsidRDefault="00330FC0">
          <w:pPr>
            <w:rPr>
              <w:rFonts w:cs="Arial"/>
            </w:rPr>
          </w:pPr>
          <w:r>
            <w:rPr>
              <w:rFonts w:ascii="宋体" w:hAnsi="宋体" w:cs="Arial"/>
            </w:rPr>
            <w:fldChar w:fldCharType="begin"/>
          </w:r>
          <w:r>
            <w:rPr>
              <w:rFonts w:ascii="宋体" w:hAnsi="宋体" w:cs="Arial" w:hint="eastAsia"/>
            </w:rPr>
            <w:instrText xml:space="preserve">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270ABCE9" w14:textId="77777777" w:rsidR="00577D08" w:rsidRDefault="00330FC0">
      <w:pPr>
        <w:pStyle w:val="3"/>
        <w:numPr>
          <w:ilvl w:val="2"/>
          <w:numId w:val="105"/>
        </w:numPr>
        <w:rPr>
          <w:rFonts w:ascii="宋体" w:hAnsi="宋体" w:cs="Arial" w:hint="eastAsia"/>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2029210547"/>
        <w:placeholder>
          <w:docPart w:val="GBC22222222222222222222222222222"/>
        </w:placeholder>
      </w:sdtPr>
      <w:sdtContent>
        <w:p w14:paraId="61FDF5A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6C62504" w14:textId="77777777" w:rsidR="00577D08" w:rsidRDefault="00330FC0">
      <w:pPr>
        <w:pStyle w:val="4"/>
        <w:numPr>
          <w:ilvl w:val="3"/>
          <w:numId w:val="108"/>
        </w:numPr>
        <w:ind w:left="426" w:hangingChars="202" w:hanging="426"/>
        <w:rPr>
          <w:rFonts w:hint="eastAsia"/>
        </w:rPr>
      </w:pPr>
      <w:r>
        <w:rPr>
          <w:rFonts w:hint="eastAsia"/>
        </w:rPr>
        <w:t>重要的合营企业或联营企业</w:t>
      </w:r>
    </w:p>
    <w:sdt>
      <w:sdtPr>
        <w:rPr>
          <w:rFonts w:hint="eastAsia"/>
        </w:rPr>
        <w:alias w:val="是否适用：重要的合营企业或联营企业[双击切换]"/>
        <w:tag w:val="_GBC_99df64ed4bb84c2da5fb54cda5ae039b"/>
        <w:id w:val="1826472513"/>
        <w:placeholder>
          <w:docPart w:val="GBC22222222222222222222222222222"/>
        </w:placeholder>
      </w:sdtPr>
      <w:sdtContent>
        <w:p w14:paraId="5A86F560" w14:textId="77777777" w:rsidR="00577D08" w:rsidRDefault="00330FC0">
          <w:pPr>
            <w:rPr>
              <w:rFonts w:cs="Arial"/>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80456F" w14:textId="77777777" w:rsidR="00577D08" w:rsidRDefault="00330FC0">
      <w:pPr>
        <w:pStyle w:val="4"/>
        <w:numPr>
          <w:ilvl w:val="3"/>
          <w:numId w:val="108"/>
        </w:numPr>
        <w:ind w:left="424" w:hangingChars="201" w:hanging="424"/>
        <w:rPr>
          <w:rFonts w:hint="eastAsia"/>
        </w:rPr>
      </w:pPr>
      <w:r>
        <w:rPr>
          <w:rFonts w:hint="eastAsia"/>
        </w:rPr>
        <w:t>重要合营企业的主要财务信息</w:t>
      </w:r>
    </w:p>
    <w:sdt>
      <w:sdtPr>
        <w:rPr>
          <w:rFonts w:hint="eastAsia"/>
        </w:rPr>
        <w:alias w:val="是否适用：重要合营企业的主要财务信息[双击切换]"/>
        <w:tag w:val="_GBC_8218a872fcd045d290940ccf3b3bdfa5"/>
        <w:id w:val="-1370908395"/>
        <w:placeholder>
          <w:docPart w:val="GBC22222222222222222222222222222"/>
        </w:placeholder>
      </w:sdtPr>
      <w:sdtContent>
        <w:p w14:paraId="01F479D6" w14:textId="77777777" w:rsidR="00577D08" w:rsidRDefault="00330FC0">
          <w:pPr>
            <w:rPr>
              <w:rFonts w:cs="Arial"/>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F2B74C" w14:textId="77777777" w:rsidR="00577D08" w:rsidRDefault="00330FC0">
      <w:pPr>
        <w:pStyle w:val="4"/>
        <w:numPr>
          <w:ilvl w:val="3"/>
          <w:numId w:val="108"/>
        </w:numPr>
        <w:ind w:left="424" w:hangingChars="201" w:hanging="424"/>
        <w:rPr>
          <w:rFonts w:hint="eastAsia"/>
        </w:rPr>
      </w:pPr>
      <w:r>
        <w:rPr>
          <w:rFonts w:hint="eastAsia"/>
        </w:rPr>
        <w:lastRenderedPageBreak/>
        <w:t>重要联营企业的主要财务信息</w:t>
      </w:r>
    </w:p>
    <w:sdt>
      <w:sdtPr>
        <w:rPr>
          <w:rFonts w:hint="eastAsia"/>
        </w:rPr>
        <w:alias w:val="是否适用：重要联营企业的主要财务信息[双击切换]"/>
        <w:tag w:val="_GBC_e570958be6b64b7d8be73c12ea5135f1"/>
        <w:id w:val="97457006"/>
        <w:placeholder>
          <w:docPart w:val="GBC22222222222222222222222222222"/>
        </w:placeholder>
      </w:sdtPr>
      <w:sdtContent>
        <w:p w14:paraId="6C6EAD0F" w14:textId="77777777" w:rsidR="00577D08" w:rsidRDefault="00330FC0">
          <w:pPr>
            <w:rPr>
              <w:rFonts w:cs="Arial"/>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CF2101B" w14:textId="77777777" w:rsidR="00577D08" w:rsidRDefault="00330FC0">
      <w:pPr>
        <w:pStyle w:val="4"/>
        <w:numPr>
          <w:ilvl w:val="3"/>
          <w:numId w:val="108"/>
        </w:numPr>
        <w:ind w:left="426" w:hangingChars="202" w:hanging="426"/>
        <w:rPr>
          <w:rFonts w:hint="eastAsia"/>
        </w:rPr>
      </w:pPr>
      <w:r>
        <w:rPr>
          <w:rFonts w:hint="eastAsia"/>
          <w:shd w:val="solid" w:color="FFFFFF" w:fill="auto"/>
        </w:rPr>
        <w:t>不重要的合营企业和联营企业的汇总财务信息</w:t>
      </w:r>
    </w:p>
    <w:sdt>
      <w:sdtPr>
        <w:rPr>
          <w:rFonts w:hint="eastAsia"/>
        </w:rPr>
        <w:alias w:val="是否适用：不重要的合营企业和联营企业的汇总财务信息[双击切换]"/>
        <w:tag w:val="_GBC_0aba65ffa2fc4a9db5812b38264da59a"/>
        <w:id w:val="1040628109"/>
        <w:placeholder>
          <w:docPart w:val="GBC22222222222222222222222222222"/>
        </w:placeholder>
      </w:sdtPr>
      <w:sdtContent>
        <w:p w14:paraId="1D60DF29"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85DEB68" w14:textId="4EC73CCA" w:rsidR="00577D08" w:rsidRDefault="00330FC0">
      <w:pPr>
        <w:jc w:val="right"/>
      </w:pPr>
      <w:r>
        <w:rPr>
          <w:rFonts w:hint="eastAsia"/>
        </w:rPr>
        <w:t>单位：</w:t>
      </w:r>
      <w:sdt>
        <w:sdtPr>
          <w:rPr>
            <w:rFonts w:hint="eastAsia"/>
          </w:rPr>
          <w:alias w:val="单位：财务附注：不重要的合营企业和联营企业的汇总财务信息"/>
          <w:tag w:val="_GBC_d02efd9c85904b029b5a51b02d9519e8"/>
          <w:id w:val="-11018751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不重要的合营企业和联营企业的汇总财务信息"/>
          <w:tag w:val="_GBC_a6fa35df627e4d9584fb9c311eb6a4b5"/>
          <w:id w:val="-18458557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2"/>
        <w:gridCol w:w="3071"/>
        <w:gridCol w:w="3076"/>
      </w:tblGrid>
      <w:tr w:rsidR="00577D08" w14:paraId="660BA938" w14:textId="77777777">
        <w:trPr>
          <w:trHeight w:val="241"/>
          <w:jc w:val="center"/>
        </w:trPr>
        <w:tc>
          <w:tcPr>
            <w:tcW w:w="2902" w:type="dxa"/>
            <w:vAlign w:val="center"/>
          </w:tcPr>
          <w:p w14:paraId="361CC182" w14:textId="77777777" w:rsidR="00577D08" w:rsidRDefault="00577D08">
            <w:pPr>
              <w:jc w:val="center"/>
              <w:rPr>
                <w:rFonts w:cs="Arial"/>
              </w:rPr>
            </w:pPr>
          </w:p>
        </w:tc>
        <w:sdt>
          <w:sdtPr>
            <w:tag w:val="_PLD_0f94e995a1b3419692bd4d8e5c6d3e83"/>
            <w:id w:val="1797712977"/>
          </w:sdtPr>
          <w:sdtContent>
            <w:tc>
              <w:tcPr>
                <w:tcW w:w="3071" w:type="dxa"/>
                <w:vAlign w:val="center"/>
              </w:tcPr>
              <w:p w14:paraId="08387212" w14:textId="77777777" w:rsidR="00577D08" w:rsidRDefault="00330FC0">
                <w:pPr>
                  <w:jc w:val="center"/>
                  <w:rPr>
                    <w:rFonts w:cs="Arial"/>
                  </w:rPr>
                </w:pPr>
                <w:r>
                  <w:rPr>
                    <w:rFonts w:cs="Arial" w:hint="eastAsia"/>
                    <w:lang w:val="en-GB"/>
                  </w:rPr>
                  <w:t>期末余额</w:t>
                </w:r>
                <w:r>
                  <w:rPr>
                    <w:rFonts w:cs="Arial"/>
                  </w:rPr>
                  <w:t>/</w:t>
                </w:r>
                <w:r>
                  <w:rPr>
                    <w:rFonts w:cs="Arial" w:hint="eastAsia"/>
                    <w:lang w:val="en-GB"/>
                  </w:rPr>
                  <w:t>本期发生额</w:t>
                </w:r>
              </w:p>
            </w:tc>
          </w:sdtContent>
        </w:sdt>
        <w:sdt>
          <w:sdtPr>
            <w:tag w:val="_PLD_41f132b6b30d40258178a800b0285b01"/>
            <w:id w:val="1285311318"/>
          </w:sdtPr>
          <w:sdtContent>
            <w:tc>
              <w:tcPr>
                <w:tcW w:w="3076" w:type="dxa"/>
                <w:vAlign w:val="center"/>
              </w:tcPr>
              <w:p w14:paraId="787CC7D8" w14:textId="77777777" w:rsidR="00577D08" w:rsidRDefault="00330FC0">
                <w:pPr>
                  <w:jc w:val="center"/>
                  <w:rPr>
                    <w:rFonts w:cs="Arial"/>
                  </w:rPr>
                </w:pPr>
                <w:r>
                  <w:rPr>
                    <w:rFonts w:cs="Arial" w:hint="eastAsia"/>
                    <w:lang w:val="en-GB"/>
                  </w:rPr>
                  <w:t>期初余额</w:t>
                </w:r>
                <w:r>
                  <w:rPr>
                    <w:rFonts w:cs="Arial"/>
                  </w:rPr>
                  <w:t>/</w:t>
                </w:r>
                <w:r>
                  <w:rPr>
                    <w:rFonts w:cs="Arial" w:hint="eastAsia"/>
                    <w:lang w:val="en-GB"/>
                  </w:rPr>
                  <w:t>上期发生额</w:t>
                </w:r>
              </w:p>
            </w:tc>
          </w:sdtContent>
        </w:sdt>
      </w:tr>
      <w:tr w:rsidR="00577D08" w14:paraId="6EF12572" w14:textId="77777777">
        <w:trPr>
          <w:jc w:val="center"/>
        </w:trPr>
        <w:sdt>
          <w:sdtPr>
            <w:tag w:val="_PLD_b70e5ea8d7ec4c33925b6219dd7a8fb0"/>
            <w:id w:val="2036452980"/>
          </w:sdtPr>
          <w:sdtContent>
            <w:tc>
              <w:tcPr>
                <w:tcW w:w="9049" w:type="dxa"/>
                <w:gridSpan w:val="3"/>
                <w:vAlign w:val="center"/>
              </w:tcPr>
              <w:p w14:paraId="6867BE01" w14:textId="77777777" w:rsidR="00577D08" w:rsidRDefault="00330FC0">
                <w:r>
                  <w:rPr>
                    <w:rFonts w:cs="Arial" w:hint="eastAsia"/>
                    <w:lang w:val="en-GB"/>
                  </w:rPr>
                  <w:t>合营企业：</w:t>
                </w:r>
              </w:p>
            </w:tc>
          </w:sdtContent>
        </w:sdt>
      </w:tr>
      <w:tr w:rsidR="00577D08" w14:paraId="275E85EA" w14:textId="77777777">
        <w:trPr>
          <w:jc w:val="center"/>
        </w:trPr>
        <w:tc>
          <w:tcPr>
            <w:tcW w:w="2902" w:type="dxa"/>
            <w:vAlign w:val="center"/>
          </w:tcPr>
          <w:p w14:paraId="343674A2" w14:textId="77777777" w:rsidR="00577D08" w:rsidRDefault="00330FC0">
            <w:pPr>
              <w:rPr>
                <w:rFonts w:cs="Arial"/>
                <w:color w:val="000000"/>
              </w:rPr>
            </w:pPr>
            <w:r>
              <w:rPr>
                <w:rFonts w:cs="Arial" w:hint="eastAsia"/>
                <w:color w:val="000000"/>
                <w:lang w:val="en-GB"/>
              </w:rPr>
              <w:t>投资账面价值合计</w:t>
            </w:r>
          </w:p>
        </w:tc>
        <w:tc>
          <w:tcPr>
            <w:tcW w:w="3071" w:type="dxa"/>
            <w:vAlign w:val="center"/>
          </w:tcPr>
          <w:p w14:paraId="28254C2F" w14:textId="77777777" w:rsidR="00577D08" w:rsidRDefault="00577D08">
            <w:pPr>
              <w:jc w:val="right"/>
            </w:pPr>
          </w:p>
        </w:tc>
        <w:tc>
          <w:tcPr>
            <w:tcW w:w="3076" w:type="dxa"/>
            <w:vAlign w:val="center"/>
          </w:tcPr>
          <w:p w14:paraId="39E87F0A" w14:textId="77777777" w:rsidR="00577D08" w:rsidRDefault="00577D08">
            <w:pPr>
              <w:jc w:val="right"/>
            </w:pPr>
          </w:p>
        </w:tc>
      </w:tr>
      <w:tr w:rsidR="00577D08" w14:paraId="02D8BB1B" w14:textId="77777777">
        <w:trPr>
          <w:jc w:val="center"/>
        </w:trPr>
        <w:sdt>
          <w:sdtPr>
            <w:tag w:val="_PLD_5535ac23a5e6449eacc8d9ee99f53e96"/>
            <w:id w:val="-1442458375"/>
          </w:sdtPr>
          <w:sdtContent>
            <w:tc>
              <w:tcPr>
                <w:tcW w:w="9049" w:type="dxa"/>
                <w:gridSpan w:val="3"/>
                <w:vAlign w:val="center"/>
              </w:tcPr>
              <w:p w14:paraId="70442F55" w14:textId="77777777" w:rsidR="00577D08" w:rsidRDefault="00330FC0">
                <w:r>
                  <w:rPr>
                    <w:rFonts w:cs="Arial" w:hint="eastAsia"/>
                    <w:color w:val="000000"/>
                    <w:lang w:val="en-GB"/>
                  </w:rPr>
                  <w:t>下列各项按持股比例计算的合计数</w:t>
                </w:r>
              </w:p>
            </w:tc>
          </w:sdtContent>
        </w:sdt>
      </w:tr>
      <w:tr w:rsidR="00577D08" w14:paraId="7B01DC05" w14:textId="77777777">
        <w:trPr>
          <w:jc w:val="center"/>
        </w:trPr>
        <w:tc>
          <w:tcPr>
            <w:tcW w:w="2902" w:type="dxa"/>
            <w:vAlign w:val="center"/>
          </w:tcPr>
          <w:p w14:paraId="4F8EAB96" w14:textId="77777777" w:rsidR="00577D08" w:rsidRDefault="00330FC0">
            <w:pPr>
              <w:rPr>
                <w:rFonts w:cs="Arial"/>
                <w:color w:val="000000"/>
              </w:rPr>
            </w:pPr>
            <w:r>
              <w:rPr>
                <w:rFonts w:cs="Arial"/>
                <w:color w:val="000000"/>
              </w:rPr>
              <w:t>--</w:t>
            </w:r>
            <w:r>
              <w:rPr>
                <w:rFonts w:cs="Arial" w:hint="eastAsia"/>
                <w:color w:val="000000"/>
                <w:lang w:val="en-GB"/>
              </w:rPr>
              <w:t>净利润</w:t>
            </w:r>
          </w:p>
        </w:tc>
        <w:tc>
          <w:tcPr>
            <w:tcW w:w="3071" w:type="dxa"/>
            <w:vAlign w:val="center"/>
          </w:tcPr>
          <w:p w14:paraId="2F597CDA" w14:textId="77777777" w:rsidR="00577D08" w:rsidRDefault="00577D08">
            <w:pPr>
              <w:jc w:val="right"/>
            </w:pPr>
          </w:p>
        </w:tc>
        <w:tc>
          <w:tcPr>
            <w:tcW w:w="3076" w:type="dxa"/>
            <w:vAlign w:val="center"/>
          </w:tcPr>
          <w:p w14:paraId="17177C22" w14:textId="77777777" w:rsidR="00577D08" w:rsidRDefault="00577D08">
            <w:pPr>
              <w:jc w:val="right"/>
            </w:pPr>
          </w:p>
        </w:tc>
      </w:tr>
      <w:tr w:rsidR="00577D08" w14:paraId="5EE7BF38" w14:textId="77777777">
        <w:trPr>
          <w:jc w:val="center"/>
        </w:trPr>
        <w:tc>
          <w:tcPr>
            <w:tcW w:w="2902" w:type="dxa"/>
            <w:vAlign w:val="center"/>
          </w:tcPr>
          <w:p w14:paraId="1162AA73" w14:textId="77777777" w:rsidR="00577D08" w:rsidRDefault="00330FC0">
            <w:pPr>
              <w:rPr>
                <w:rFonts w:cs="Arial"/>
                <w:color w:val="000000"/>
              </w:rPr>
            </w:pPr>
            <w:r>
              <w:rPr>
                <w:rFonts w:cs="Arial"/>
                <w:color w:val="000000"/>
              </w:rPr>
              <w:t>--</w:t>
            </w:r>
            <w:r>
              <w:rPr>
                <w:rFonts w:cs="Arial" w:hint="eastAsia"/>
                <w:color w:val="000000"/>
                <w:lang w:val="en-GB"/>
              </w:rPr>
              <w:t>其他综合收益</w:t>
            </w:r>
          </w:p>
        </w:tc>
        <w:tc>
          <w:tcPr>
            <w:tcW w:w="3071" w:type="dxa"/>
            <w:vAlign w:val="center"/>
          </w:tcPr>
          <w:p w14:paraId="1131B05B" w14:textId="77777777" w:rsidR="00577D08" w:rsidRDefault="00577D08">
            <w:pPr>
              <w:jc w:val="right"/>
            </w:pPr>
          </w:p>
        </w:tc>
        <w:tc>
          <w:tcPr>
            <w:tcW w:w="3076" w:type="dxa"/>
            <w:vAlign w:val="center"/>
          </w:tcPr>
          <w:p w14:paraId="3A475DD6" w14:textId="77777777" w:rsidR="00577D08" w:rsidRDefault="00577D08">
            <w:pPr>
              <w:jc w:val="right"/>
            </w:pPr>
          </w:p>
        </w:tc>
      </w:tr>
      <w:tr w:rsidR="00577D08" w14:paraId="5781059C" w14:textId="77777777">
        <w:trPr>
          <w:jc w:val="center"/>
        </w:trPr>
        <w:tc>
          <w:tcPr>
            <w:tcW w:w="2902" w:type="dxa"/>
            <w:vAlign w:val="center"/>
          </w:tcPr>
          <w:p w14:paraId="7B9FB76F" w14:textId="77777777" w:rsidR="00577D08" w:rsidRDefault="00330FC0">
            <w:pPr>
              <w:rPr>
                <w:rFonts w:cs="Arial"/>
                <w:color w:val="000000"/>
              </w:rPr>
            </w:pPr>
            <w:r>
              <w:rPr>
                <w:rFonts w:cs="Arial"/>
                <w:color w:val="000000"/>
              </w:rPr>
              <w:t>--</w:t>
            </w:r>
            <w:r>
              <w:rPr>
                <w:rFonts w:cs="Arial" w:hint="eastAsia"/>
                <w:color w:val="000000"/>
                <w:lang w:val="en-GB"/>
              </w:rPr>
              <w:t>综合收益总额</w:t>
            </w:r>
          </w:p>
        </w:tc>
        <w:tc>
          <w:tcPr>
            <w:tcW w:w="3071" w:type="dxa"/>
            <w:vAlign w:val="center"/>
          </w:tcPr>
          <w:p w14:paraId="394D1356" w14:textId="77777777" w:rsidR="00577D08" w:rsidRDefault="00577D08">
            <w:pPr>
              <w:jc w:val="right"/>
            </w:pPr>
          </w:p>
        </w:tc>
        <w:tc>
          <w:tcPr>
            <w:tcW w:w="3076" w:type="dxa"/>
            <w:vAlign w:val="center"/>
          </w:tcPr>
          <w:p w14:paraId="5CEBA760" w14:textId="77777777" w:rsidR="00577D08" w:rsidRDefault="00577D08">
            <w:pPr>
              <w:jc w:val="right"/>
            </w:pPr>
          </w:p>
        </w:tc>
      </w:tr>
      <w:tr w:rsidR="00577D08" w14:paraId="0964A0F0" w14:textId="77777777">
        <w:trPr>
          <w:jc w:val="center"/>
        </w:trPr>
        <w:tc>
          <w:tcPr>
            <w:tcW w:w="9049" w:type="dxa"/>
            <w:gridSpan w:val="3"/>
            <w:vAlign w:val="center"/>
          </w:tcPr>
          <w:p w14:paraId="0BC1158E" w14:textId="77777777" w:rsidR="00577D08" w:rsidRDefault="00577D08">
            <w:pPr>
              <w:jc w:val="right"/>
            </w:pPr>
          </w:p>
        </w:tc>
      </w:tr>
      <w:tr w:rsidR="00577D08" w14:paraId="3CDBC854" w14:textId="77777777">
        <w:trPr>
          <w:jc w:val="center"/>
        </w:trPr>
        <w:sdt>
          <w:sdtPr>
            <w:tag w:val="_PLD_cbda7c3468d14ed7a076bd7c6a1d9c6f"/>
            <w:id w:val="-836309723"/>
          </w:sdtPr>
          <w:sdtContent>
            <w:tc>
              <w:tcPr>
                <w:tcW w:w="9049" w:type="dxa"/>
                <w:gridSpan w:val="3"/>
                <w:vAlign w:val="center"/>
              </w:tcPr>
              <w:p w14:paraId="747EBB13" w14:textId="77777777" w:rsidR="00577D08" w:rsidRDefault="00330FC0">
                <w:r>
                  <w:rPr>
                    <w:rFonts w:cs="Arial" w:hint="eastAsia"/>
                    <w:lang w:val="en-GB"/>
                  </w:rPr>
                  <w:t>联营企业：</w:t>
                </w:r>
              </w:p>
            </w:tc>
          </w:sdtContent>
        </w:sdt>
      </w:tr>
      <w:tr w:rsidR="00577D08" w14:paraId="70A0B053" w14:textId="77777777">
        <w:trPr>
          <w:jc w:val="center"/>
        </w:trPr>
        <w:tc>
          <w:tcPr>
            <w:tcW w:w="2902" w:type="dxa"/>
            <w:vAlign w:val="center"/>
          </w:tcPr>
          <w:p w14:paraId="56A1253E" w14:textId="77777777" w:rsidR="00577D08" w:rsidRDefault="00330FC0">
            <w:pPr>
              <w:rPr>
                <w:rFonts w:cs="Arial"/>
                <w:color w:val="000000"/>
              </w:rPr>
            </w:pPr>
            <w:r>
              <w:rPr>
                <w:rFonts w:cs="Arial" w:hint="eastAsia"/>
                <w:color w:val="000000"/>
                <w:lang w:val="en-GB"/>
              </w:rPr>
              <w:t>投资账面价值合计</w:t>
            </w:r>
          </w:p>
        </w:tc>
        <w:tc>
          <w:tcPr>
            <w:tcW w:w="3071" w:type="dxa"/>
          </w:tcPr>
          <w:p w14:paraId="7F1E967C" w14:textId="77777777" w:rsidR="00577D08" w:rsidRDefault="00330FC0">
            <w:pPr>
              <w:jc w:val="right"/>
            </w:pPr>
            <w:r>
              <w:t>16,104,348.61</w:t>
            </w:r>
          </w:p>
        </w:tc>
        <w:tc>
          <w:tcPr>
            <w:tcW w:w="3076" w:type="dxa"/>
          </w:tcPr>
          <w:p w14:paraId="53800084" w14:textId="77777777" w:rsidR="00577D08" w:rsidRDefault="00330FC0">
            <w:pPr>
              <w:jc w:val="right"/>
            </w:pPr>
            <w:r>
              <w:t>14,718,479.56</w:t>
            </w:r>
          </w:p>
        </w:tc>
      </w:tr>
      <w:tr w:rsidR="00577D08" w14:paraId="1A37B30D" w14:textId="77777777">
        <w:trPr>
          <w:jc w:val="center"/>
        </w:trPr>
        <w:sdt>
          <w:sdtPr>
            <w:tag w:val="_PLD_83ce74083a4545808d6b87b66cb814b0"/>
            <w:id w:val="306911834"/>
          </w:sdtPr>
          <w:sdtContent>
            <w:tc>
              <w:tcPr>
                <w:tcW w:w="9049" w:type="dxa"/>
                <w:gridSpan w:val="3"/>
                <w:vAlign w:val="center"/>
              </w:tcPr>
              <w:p w14:paraId="5F996154" w14:textId="77777777" w:rsidR="00577D08" w:rsidRDefault="00330FC0">
                <w:r>
                  <w:rPr>
                    <w:rFonts w:cs="Arial" w:hint="eastAsia"/>
                    <w:color w:val="000000"/>
                    <w:lang w:val="en-GB"/>
                  </w:rPr>
                  <w:t>下列各项按持股比例计算的合计数</w:t>
                </w:r>
              </w:p>
            </w:tc>
          </w:sdtContent>
        </w:sdt>
      </w:tr>
      <w:tr w:rsidR="00577D08" w14:paraId="47286309" w14:textId="77777777">
        <w:trPr>
          <w:jc w:val="center"/>
        </w:trPr>
        <w:tc>
          <w:tcPr>
            <w:tcW w:w="2902" w:type="dxa"/>
            <w:vAlign w:val="center"/>
          </w:tcPr>
          <w:p w14:paraId="65DCC3E6" w14:textId="77777777" w:rsidR="00577D08" w:rsidRDefault="00330FC0">
            <w:pPr>
              <w:rPr>
                <w:rFonts w:cs="Arial"/>
                <w:color w:val="000000"/>
              </w:rPr>
            </w:pPr>
            <w:r>
              <w:rPr>
                <w:rFonts w:cs="Arial"/>
                <w:color w:val="000000"/>
              </w:rPr>
              <w:t>--</w:t>
            </w:r>
            <w:r>
              <w:rPr>
                <w:rFonts w:cs="Arial" w:hint="eastAsia"/>
                <w:color w:val="000000"/>
                <w:lang w:val="en-GB"/>
              </w:rPr>
              <w:t>净利润</w:t>
            </w:r>
          </w:p>
        </w:tc>
        <w:tc>
          <w:tcPr>
            <w:tcW w:w="3071" w:type="dxa"/>
          </w:tcPr>
          <w:p w14:paraId="61544803" w14:textId="77777777" w:rsidR="00577D08" w:rsidRDefault="00330FC0">
            <w:pPr>
              <w:jc w:val="right"/>
            </w:pPr>
            <w:r>
              <w:t>-2,614,130.95</w:t>
            </w:r>
          </w:p>
        </w:tc>
        <w:tc>
          <w:tcPr>
            <w:tcW w:w="3076" w:type="dxa"/>
          </w:tcPr>
          <w:p w14:paraId="795B85C9" w14:textId="77777777" w:rsidR="00577D08" w:rsidRDefault="00330FC0">
            <w:pPr>
              <w:jc w:val="right"/>
            </w:pPr>
            <w:r>
              <w:t>-524,873.05</w:t>
            </w:r>
          </w:p>
        </w:tc>
      </w:tr>
      <w:tr w:rsidR="00577D08" w14:paraId="6DDCDB3B" w14:textId="77777777">
        <w:trPr>
          <w:jc w:val="center"/>
        </w:trPr>
        <w:tc>
          <w:tcPr>
            <w:tcW w:w="2902" w:type="dxa"/>
            <w:vAlign w:val="center"/>
          </w:tcPr>
          <w:p w14:paraId="736C2336" w14:textId="77777777" w:rsidR="00577D08" w:rsidRDefault="00330FC0">
            <w:pPr>
              <w:rPr>
                <w:rFonts w:cs="Arial"/>
                <w:color w:val="000000"/>
              </w:rPr>
            </w:pPr>
            <w:r>
              <w:rPr>
                <w:rFonts w:cs="Arial"/>
                <w:color w:val="000000"/>
              </w:rPr>
              <w:t>--</w:t>
            </w:r>
            <w:r>
              <w:rPr>
                <w:rFonts w:cs="Arial" w:hint="eastAsia"/>
                <w:color w:val="000000"/>
                <w:lang w:val="en-GB"/>
              </w:rPr>
              <w:t>其他综合收益</w:t>
            </w:r>
          </w:p>
        </w:tc>
        <w:tc>
          <w:tcPr>
            <w:tcW w:w="3071" w:type="dxa"/>
          </w:tcPr>
          <w:p w14:paraId="168FD1BF" w14:textId="77777777" w:rsidR="00577D08" w:rsidRDefault="00577D08">
            <w:pPr>
              <w:jc w:val="right"/>
            </w:pPr>
          </w:p>
        </w:tc>
        <w:tc>
          <w:tcPr>
            <w:tcW w:w="3076" w:type="dxa"/>
          </w:tcPr>
          <w:p w14:paraId="266E3B12" w14:textId="77777777" w:rsidR="00577D08" w:rsidRDefault="00577D08">
            <w:pPr>
              <w:jc w:val="right"/>
            </w:pPr>
          </w:p>
        </w:tc>
      </w:tr>
      <w:tr w:rsidR="00577D08" w14:paraId="423F107B" w14:textId="77777777">
        <w:trPr>
          <w:jc w:val="center"/>
        </w:trPr>
        <w:tc>
          <w:tcPr>
            <w:tcW w:w="2902" w:type="dxa"/>
            <w:vAlign w:val="center"/>
          </w:tcPr>
          <w:p w14:paraId="4CD36164" w14:textId="77777777" w:rsidR="00577D08" w:rsidRDefault="00330FC0">
            <w:pPr>
              <w:rPr>
                <w:rFonts w:cs="Arial"/>
                <w:color w:val="000000"/>
              </w:rPr>
            </w:pPr>
            <w:r>
              <w:rPr>
                <w:rFonts w:cs="Arial"/>
                <w:color w:val="000000"/>
              </w:rPr>
              <w:t>--</w:t>
            </w:r>
            <w:r>
              <w:rPr>
                <w:rFonts w:cs="Arial" w:hint="eastAsia"/>
                <w:color w:val="000000"/>
                <w:lang w:val="en-GB"/>
              </w:rPr>
              <w:t>综合收益总额</w:t>
            </w:r>
          </w:p>
        </w:tc>
        <w:tc>
          <w:tcPr>
            <w:tcW w:w="3071" w:type="dxa"/>
          </w:tcPr>
          <w:p w14:paraId="644C1603" w14:textId="77777777" w:rsidR="00577D08" w:rsidRDefault="00330FC0">
            <w:pPr>
              <w:jc w:val="right"/>
            </w:pPr>
            <w:r>
              <w:t>-2,614,130.95</w:t>
            </w:r>
          </w:p>
        </w:tc>
        <w:tc>
          <w:tcPr>
            <w:tcW w:w="3076" w:type="dxa"/>
          </w:tcPr>
          <w:p w14:paraId="55F56561" w14:textId="77777777" w:rsidR="00577D08" w:rsidRDefault="00330FC0">
            <w:pPr>
              <w:jc w:val="right"/>
            </w:pPr>
            <w:r>
              <w:t>-524,873.05</w:t>
            </w:r>
          </w:p>
        </w:tc>
      </w:tr>
    </w:tbl>
    <w:p w14:paraId="08681B26" w14:textId="77777777" w:rsidR="00577D08" w:rsidRDefault="00330FC0">
      <w:pPr>
        <w:rPr>
          <w:rFonts w:cs="Arial"/>
        </w:rPr>
      </w:pPr>
      <w:r>
        <w:rPr>
          <w:rFonts w:cs="Arial" w:hint="eastAsia"/>
        </w:rPr>
        <w:t>其他说明：</w:t>
      </w:r>
    </w:p>
    <w:p w14:paraId="1CE639D4" w14:textId="77777777" w:rsidR="00577D08" w:rsidRDefault="00000000">
      <w:pPr>
        <w:rPr>
          <w:rFonts w:cs="Arial"/>
        </w:rPr>
      </w:pPr>
      <w:sdt>
        <w:sdtPr>
          <w:alias w:val="不重要的合营企业和联营企业的汇总财务信息其他说明"/>
          <w:tag w:val="_GBC_78096995ca9848409e6780ab5f1386f8"/>
          <w:id w:val="788389805"/>
          <w:placeholder>
            <w:docPart w:val="GBC22222222222222222222222222222"/>
          </w:placeholder>
        </w:sdtPr>
        <w:sdtContent>
          <w:r w:rsidR="00330FC0">
            <w:rPr>
              <w:rFonts w:hint="eastAsia"/>
            </w:rPr>
            <w:t>无</w:t>
          </w:r>
        </w:sdtContent>
      </w:sdt>
    </w:p>
    <w:p w14:paraId="47453642" w14:textId="77777777" w:rsidR="00577D08" w:rsidRDefault="00330FC0">
      <w:pPr>
        <w:pStyle w:val="4"/>
        <w:numPr>
          <w:ilvl w:val="3"/>
          <w:numId w:val="108"/>
        </w:numPr>
        <w:ind w:left="426" w:hangingChars="202" w:hanging="426"/>
        <w:rPr>
          <w:rFonts w:hint="eastAsia"/>
        </w:rPr>
      </w:pPr>
      <w:r>
        <w:rPr>
          <w:rFonts w:hint="eastAsia"/>
        </w:rPr>
        <w:t>合营企业或联营企业向本公司转移资金的能力存在重大限制的说明</w:t>
      </w:r>
    </w:p>
    <w:sdt>
      <w:sdtPr>
        <w:rPr>
          <w:rFonts w:cs="Arial" w:hint="eastAsia"/>
        </w:rPr>
        <w:alias w:val="是否适用：合营企业或联营企业向本公司转移资金的能力存在重大限制的说明[双击切换]"/>
        <w:tag w:val="_GBC_6adf336cbf6141a59d29de2be4c5a55b"/>
        <w:id w:val="1228189028"/>
        <w:placeholder>
          <w:docPart w:val="GBC22222222222222222222222222222"/>
        </w:placeholder>
      </w:sdtPr>
      <w:sdtContent>
        <w:p w14:paraId="453F5D50" w14:textId="77777777" w:rsidR="00577D08" w:rsidRDefault="00330FC0">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2AEBB003" w14:textId="77777777" w:rsidR="00577D08" w:rsidRDefault="00330FC0">
      <w:pPr>
        <w:pStyle w:val="4"/>
        <w:numPr>
          <w:ilvl w:val="3"/>
          <w:numId w:val="108"/>
        </w:numPr>
        <w:ind w:left="426" w:hangingChars="202" w:hanging="426"/>
        <w:rPr>
          <w:rFonts w:hint="eastAsia"/>
        </w:rPr>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326978873"/>
        <w:placeholder>
          <w:docPart w:val="GBC22222222222222222222222222222"/>
        </w:placeholder>
      </w:sdtPr>
      <w:sdtContent>
        <w:p w14:paraId="2ECC36C9" w14:textId="77777777" w:rsidR="00577D08" w:rsidRDefault="00330FC0">
          <w:pPr>
            <w:rPr>
              <w:rFonts w:cs="Arial"/>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B5E92BC" w14:textId="77777777" w:rsidR="00577D08" w:rsidRDefault="00330FC0">
      <w:pPr>
        <w:pStyle w:val="4"/>
        <w:numPr>
          <w:ilvl w:val="3"/>
          <w:numId w:val="108"/>
        </w:numPr>
        <w:ind w:left="426" w:hangingChars="202" w:hanging="426"/>
        <w:rPr>
          <w:rFonts w:hint="eastAsia"/>
        </w:rPr>
      </w:pPr>
      <w:r>
        <w:rPr>
          <w:rFonts w:hint="eastAsia"/>
        </w:rPr>
        <w:t>与合营企业投资相关的未确认承诺</w:t>
      </w:r>
    </w:p>
    <w:sdt>
      <w:sdtPr>
        <w:rPr>
          <w:rFonts w:cs="Arial" w:hint="eastAsia"/>
        </w:rPr>
        <w:alias w:val="是否适用：与合营企业投资相关的未确认承诺[双击切换]"/>
        <w:tag w:val="_GBC_31e45f9d52434cea9a9a27d328e562ec"/>
        <w:id w:val="1704285244"/>
        <w:placeholder>
          <w:docPart w:val="GBC22222222222222222222222222222"/>
        </w:placeholder>
      </w:sdtPr>
      <w:sdtContent>
        <w:p w14:paraId="26302EB5" w14:textId="77777777" w:rsidR="00577D08" w:rsidRDefault="00330FC0">
          <w:pPr>
            <w:rPr>
              <w:rFonts w:cs="Arial"/>
            </w:rPr>
          </w:pPr>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217CABB3" w14:textId="77777777" w:rsidR="00577D08" w:rsidRDefault="00330FC0">
      <w:pPr>
        <w:pStyle w:val="4"/>
        <w:numPr>
          <w:ilvl w:val="3"/>
          <w:numId w:val="108"/>
        </w:numPr>
        <w:ind w:left="426" w:hangingChars="202" w:hanging="426"/>
        <w:rPr>
          <w:rFonts w:hint="eastAsia"/>
        </w:rPr>
      </w:pPr>
      <w:r>
        <w:rPr>
          <w:rFonts w:hint="eastAsia"/>
        </w:rPr>
        <w:t>与合营企业或联营企业投资相关的或有负债</w:t>
      </w:r>
    </w:p>
    <w:sdt>
      <w:sdtPr>
        <w:rPr>
          <w:rFonts w:cs="Arial" w:hint="eastAsia"/>
        </w:rPr>
        <w:alias w:val="是否适用：与合营企业或联营企业投资相关的或有负债[双击切换]"/>
        <w:tag w:val="_GBC_d3c6dfcab3ab42afb854d4ea2e7c9b9f"/>
        <w:id w:val="-436752694"/>
        <w:placeholder>
          <w:docPart w:val="GBC22222222222222222222222222222"/>
        </w:placeholder>
      </w:sdtPr>
      <w:sdtContent>
        <w:p w14:paraId="46D3B29E" w14:textId="77777777" w:rsidR="00577D08" w:rsidRDefault="00330FC0">
          <w:pPr>
            <w:rPr>
              <w:rFonts w:cs="Arial"/>
            </w:rPr>
          </w:pPr>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427820E7" w14:textId="77777777" w:rsidR="00577D08" w:rsidRDefault="00330FC0">
      <w:pPr>
        <w:pStyle w:val="3"/>
        <w:numPr>
          <w:ilvl w:val="2"/>
          <w:numId w:val="105"/>
        </w:numPr>
        <w:rPr>
          <w:rFonts w:ascii="宋体" w:hAnsi="宋体" w:cs="Arial" w:hint="eastAsia"/>
          <w:szCs w:val="21"/>
        </w:rPr>
      </w:pPr>
      <w:r>
        <w:rPr>
          <w:rFonts w:ascii="宋体" w:hAnsi="宋体" w:cs="Arial" w:hint="eastAsia"/>
          <w:szCs w:val="21"/>
        </w:rPr>
        <w:t>重要的共同经营</w:t>
      </w:r>
    </w:p>
    <w:sdt>
      <w:sdtPr>
        <w:alias w:val="是否适用：重要的共同经营[双击切换]"/>
        <w:tag w:val="_GBC_8a0341a844454c89848e95b9c64a8efb"/>
        <w:id w:val="1049962652"/>
        <w:placeholder>
          <w:docPart w:val="GBC22222222222222222222222222222"/>
        </w:placeholder>
      </w:sdtPr>
      <w:sdtContent>
        <w:p w14:paraId="15931F07" w14:textId="77777777" w:rsidR="00577D08" w:rsidRDefault="00330FC0">
          <w:pPr>
            <w:rPr>
              <w:rFonts w:cs="Arial"/>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81A129B" w14:textId="77777777" w:rsidR="00577D08" w:rsidRDefault="00330FC0">
      <w:pPr>
        <w:pStyle w:val="3"/>
        <w:numPr>
          <w:ilvl w:val="2"/>
          <w:numId w:val="105"/>
        </w:numPr>
        <w:rPr>
          <w:rFonts w:ascii="宋体" w:hAnsi="宋体" w:cs="Arial" w:hint="eastAsia"/>
          <w:szCs w:val="21"/>
        </w:rPr>
      </w:pPr>
      <w:r>
        <w:rPr>
          <w:rFonts w:ascii="宋体" w:hAnsi="宋体" w:cs="Arial" w:hint="eastAsia"/>
          <w:szCs w:val="21"/>
        </w:rPr>
        <w:t>在未纳入合并财务报表范围的结构化主体中的权益</w:t>
      </w:r>
    </w:p>
    <w:p w14:paraId="2B488D97" w14:textId="77777777" w:rsidR="00577D08" w:rsidRDefault="00330FC0">
      <w:pPr>
        <w:rPr>
          <w:rFonts w:cs="Arial"/>
        </w:rPr>
      </w:pPr>
      <w:r>
        <w:rPr>
          <w:rFonts w:cs="Arial" w:hint="eastAsia"/>
        </w:rPr>
        <w:t>未纳入合并财务报表范围的结构化主体的相关说明：</w:t>
      </w:r>
    </w:p>
    <w:sdt>
      <w:sdtPr>
        <w:rPr>
          <w:rFonts w:cs="Arial"/>
        </w:rPr>
        <w:alias w:val="是否适用：未纳入合并财务报表范围的结构化主体的相关说明[双击切换]"/>
        <w:tag w:val="_GBC_fec7f9a28e8b48edbad9948b50cb3cae"/>
        <w:id w:val="-193615201"/>
        <w:placeholder>
          <w:docPart w:val="GBC22222222222222222222222222222"/>
        </w:placeholder>
      </w:sdtPr>
      <w:sdtContent>
        <w:p w14:paraId="196CA60F" w14:textId="77777777" w:rsidR="00577D08" w:rsidRDefault="00330FC0">
          <w:pPr>
            <w:rPr>
              <w:rFonts w:cs="Arial"/>
            </w:rPr>
          </w:pPr>
          <w:r>
            <w:rPr>
              <w:rFonts w:ascii="宋体" w:hAnsi="宋体" w:cs="Arial"/>
            </w:rPr>
            <w:fldChar w:fldCharType="begin"/>
          </w:r>
          <w:r>
            <w:rPr>
              <w:rFonts w:ascii="宋体" w:hAnsi="宋体" w:cs="Arial" w:hint="eastAsia"/>
            </w:rPr>
            <w:instrText xml:space="preserve">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782B5CDF" w14:textId="77777777" w:rsidR="00577D08" w:rsidRDefault="00330FC0">
      <w:pPr>
        <w:pStyle w:val="3"/>
        <w:numPr>
          <w:ilvl w:val="2"/>
          <w:numId w:val="105"/>
        </w:numPr>
        <w:rPr>
          <w:rFonts w:ascii="宋体" w:hAnsi="宋体" w:cs="Arial" w:hint="eastAsia"/>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288481876"/>
        <w:placeholder>
          <w:docPart w:val="GBC22222222222222222222222222222"/>
        </w:placeholder>
      </w:sdtPr>
      <w:sdtContent>
        <w:p w14:paraId="3296C58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24C93F" w14:textId="77777777" w:rsidR="00577D08" w:rsidRDefault="00330FC0">
      <w:pPr>
        <w:pStyle w:val="2"/>
        <w:numPr>
          <w:ilvl w:val="0"/>
          <w:numId w:val="52"/>
        </w:numPr>
        <w:ind w:left="450" w:hanging="450"/>
        <w:rPr>
          <w:rFonts w:ascii="宋体" w:hAnsi="宋体" w:hint="eastAsia"/>
        </w:rPr>
      </w:pPr>
      <w:r>
        <w:rPr>
          <w:rFonts w:ascii="宋体" w:hAnsi="宋体" w:hint="eastAsia"/>
        </w:rPr>
        <w:t>政府补助</w:t>
      </w:r>
    </w:p>
    <w:p w14:paraId="674963BB" w14:textId="77777777" w:rsidR="00577D08" w:rsidRDefault="00330FC0">
      <w:pPr>
        <w:pStyle w:val="3"/>
        <w:numPr>
          <w:ilvl w:val="0"/>
          <w:numId w:val="109"/>
        </w:numPr>
        <w:ind w:left="0" w:firstLine="0"/>
      </w:pPr>
      <w:r>
        <w:t>报告期末按应收金额确认的政府补助</w:t>
      </w:r>
    </w:p>
    <w:sdt>
      <w:sdtPr>
        <w:alias w:val="是否适用：按应收金额确认的政府补助[双击切换]"/>
        <w:tag w:val="_GBC_e1e20d7c43844cb8b0392ce8a915912f"/>
        <w:id w:val="-581140938"/>
        <w:placeholder>
          <w:docPart w:val="GBC22222222222222222222222222222"/>
        </w:placeholder>
      </w:sdtPr>
      <w:sdtContent>
        <w:p w14:paraId="0583E1B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76E8B9" w14:textId="77777777" w:rsidR="00577D08" w:rsidRDefault="00330FC0">
      <w:r>
        <w:t>未能在预计时点收到预计金额的政府补助</w:t>
      </w:r>
      <w:r>
        <w:rPr>
          <w:rFonts w:hint="eastAsia"/>
        </w:rPr>
        <w:t>的</w:t>
      </w:r>
      <w:r>
        <w:t>原因</w:t>
      </w:r>
    </w:p>
    <w:sdt>
      <w:sdtPr>
        <w:alias w:val="是否适用：未能在预计时点收到预计金额的政府补助的原因[双击切换]"/>
        <w:tag w:val="_GBC_c472b4b5f35848de9076579016736dc0"/>
        <w:id w:val="1967767290"/>
        <w:placeholder>
          <w:docPart w:val="GBC22222222222222222222222222222"/>
        </w:placeholder>
      </w:sdtPr>
      <w:sdtContent>
        <w:p w14:paraId="7FCAC05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42DB13" w14:textId="77777777" w:rsidR="00577D08" w:rsidRDefault="00330FC0">
      <w:pPr>
        <w:pStyle w:val="3"/>
        <w:numPr>
          <w:ilvl w:val="0"/>
          <w:numId w:val="109"/>
        </w:numPr>
        <w:ind w:left="0" w:firstLine="0"/>
      </w:pPr>
      <w:r>
        <w:lastRenderedPageBreak/>
        <w:t>涉及政府补助的负债项目</w:t>
      </w:r>
    </w:p>
    <w:sdt>
      <w:sdtPr>
        <w:alias w:val="是否适用：涉及政府补助的负债项目[双击切换]"/>
        <w:tag w:val="_GBC_ed9e8fabcc8e4318b2ec33d01e83aec4"/>
        <w:id w:val="-1728601685"/>
        <w:placeholder>
          <w:docPart w:val="GBC22222222222222222222222222222"/>
        </w:placeholder>
      </w:sdtPr>
      <w:sdtContent>
        <w:p w14:paraId="3FDB245F"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50F1A64" w14:textId="0A3D5B5B" w:rsidR="00577D08" w:rsidRDefault="00330FC0">
      <w:pPr>
        <w:jc w:val="right"/>
      </w:pPr>
      <w:r>
        <w:rPr>
          <w:rFonts w:hint="eastAsia"/>
        </w:rPr>
        <w:t>单位：</w:t>
      </w:r>
      <w:sdt>
        <w:sdtPr>
          <w:rPr>
            <w:rFonts w:hint="eastAsia"/>
          </w:rPr>
          <w:alias w:val="单位：涉及政府补助的负债项目"/>
          <w:tag w:val="_GBC_7f1d795aca2d46699971ecb934072fbd"/>
          <w:id w:val="190849638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涉及政府补助的负债项目"/>
          <w:tag w:val="_GBC_ba4177cbae6044fa854e8e3dea407bcc"/>
          <w:id w:val="20678324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366"/>
        <w:gridCol w:w="1430"/>
        <w:gridCol w:w="1012"/>
        <w:gridCol w:w="1430"/>
        <w:gridCol w:w="714"/>
        <w:gridCol w:w="1366"/>
        <w:gridCol w:w="790"/>
      </w:tblGrid>
      <w:tr w:rsidR="00577D08" w14:paraId="498E9444" w14:textId="77777777">
        <w:sdt>
          <w:sdtPr>
            <w:rPr>
              <w:sz w:val="20"/>
              <w:szCs w:val="20"/>
            </w:rPr>
            <w:tag w:val="_PLD_51e96a8ef830445cb15689886ccd8ab5"/>
            <w:id w:val="55752509"/>
          </w:sdtPr>
          <w:sdtContent>
            <w:tc>
              <w:tcPr>
                <w:tcW w:w="0" w:type="auto"/>
                <w:vAlign w:val="center"/>
              </w:tcPr>
              <w:p w14:paraId="3F744BEA" w14:textId="77777777" w:rsidR="00577D08" w:rsidRDefault="00330FC0">
                <w:pPr>
                  <w:jc w:val="center"/>
                  <w:rPr>
                    <w:sz w:val="20"/>
                    <w:szCs w:val="20"/>
                  </w:rPr>
                </w:pPr>
                <w:r>
                  <w:rPr>
                    <w:rFonts w:hint="eastAsia"/>
                    <w:sz w:val="20"/>
                    <w:szCs w:val="20"/>
                  </w:rPr>
                  <w:t>财务报表项目</w:t>
                </w:r>
              </w:p>
            </w:tc>
          </w:sdtContent>
        </w:sdt>
        <w:sdt>
          <w:sdtPr>
            <w:rPr>
              <w:sz w:val="20"/>
              <w:szCs w:val="20"/>
            </w:rPr>
            <w:tag w:val="_PLD_13c2708d76d140e9a2c8b42ee30372fa"/>
            <w:id w:val="334884476"/>
          </w:sdtPr>
          <w:sdtContent>
            <w:tc>
              <w:tcPr>
                <w:tcW w:w="0" w:type="auto"/>
                <w:vAlign w:val="center"/>
              </w:tcPr>
              <w:p w14:paraId="6B9124D3" w14:textId="77777777" w:rsidR="00577D08" w:rsidRDefault="00330FC0">
                <w:pPr>
                  <w:jc w:val="center"/>
                  <w:rPr>
                    <w:sz w:val="20"/>
                    <w:szCs w:val="20"/>
                  </w:rPr>
                </w:pPr>
                <w:r>
                  <w:rPr>
                    <w:rFonts w:hint="eastAsia"/>
                    <w:sz w:val="20"/>
                    <w:szCs w:val="20"/>
                  </w:rPr>
                  <w:t>期初余额</w:t>
                </w:r>
              </w:p>
            </w:tc>
          </w:sdtContent>
        </w:sdt>
        <w:sdt>
          <w:sdtPr>
            <w:rPr>
              <w:sz w:val="20"/>
              <w:szCs w:val="20"/>
            </w:rPr>
            <w:tag w:val="_PLD_baee6e4484a048eca37a455836f6d23a"/>
            <w:id w:val="1996298039"/>
          </w:sdtPr>
          <w:sdtContent>
            <w:tc>
              <w:tcPr>
                <w:tcW w:w="0" w:type="auto"/>
                <w:vAlign w:val="center"/>
              </w:tcPr>
              <w:p w14:paraId="3A3EA42B" w14:textId="77777777" w:rsidR="00577D08" w:rsidRDefault="00330FC0">
                <w:pPr>
                  <w:jc w:val="center"/>
                  <w:rPr>
                    <w:sz w:val="20"/>
                    <w:szCs w:val="20"/>
                  </w:rPr>
                </w:pPr>
                <w:r>
                  <w:rPr>
                    <w:sz w:val="20"/>
                    <w:szCs w:val="20"/>
                  </w:rPr>
                  <w:t>本期新增补助金额</w:t>
                </w:r>
              </w:p>
            </w:tc>
          </w:sdtContent>
        </w:sdt>
        <w:sdt>
          <w:sdtPr>
            <w:rPr>
              <w:sz w:val="20"/>
              <w:szCs w:val="20"/>
            </w:rPr>
            <w:tag w:val="_PLD_d4b5cb214b114ec4bb3ec943b3f45a12"/>
            <w:id w:val="-532189973"/>
          </w:sdtPr>
          <w:sdtContent>
            <w:tc>
              <w:tcPr>
                <w:tcW w:w="0" w:type="auto"/>
                <w:vAlign w:val="center"/>
              </w:tcPr>
              <w:p w14:paraId="102CE6A8" w14:textId="77777777" w:rsidR="00577D08" w:rsidRDefault="00330FC0">
                <w:pPr>
                  <w:jc w:val="center"/>
                  <w:rPr>
                    <w:sz w:val="20"/>
                    <w:szCs w:val="20"/>
                  </w:rPr>
                </w:pPr>
                <w:r>
                  <w:rPr>
                    <w:sz w:val="20"/>
                    <w:szCs w:val="20"/>
                  </w:rPr>
                  <w:t>本期计入营业外收入金额</w:t>
                </w:r>
              </w:p>
            </w:tc>
          </w:sdtContent>
        </w:sdt>
        <w:sdt>
          <w:sdtPr>
            <w:rPr>
              <w:sz w:val="20"/>
              <w:szCs w:val="20"/>
            </w:rPr>
            <w:tag w:val="_PLD_fe390be730354706a1af1589fdc9ce78"/>
            <w:id w:val="-583761527"/>
          </w:sdtPr>
          <w:sdtContent>
            <w:tc>
              <w:tcPr>
                <w:tcW w:w="0" w:type="auto"/>
                <w:vAlign w:val="center"/>
              </w:tcPr>
              <w:p w14:paraId="25997720" w14:textId="77777777" w:rsidR="00577D08" w:rsidRDefault="00330FC0">
                <w:pPr>
                  <w:jc w:val="center"/>
                  <w:rPr>
                    <w:sz w:val="20"/>
                    <w:szCs w:val="20"/>
                  </w:rPr>
                </w:pPr>
                <w:r>
                  <w:rPr>
                    <w:sz w:val="20"/>
                    <w:szCs w:val="20"/>
                  </w:rPr>
                  <w:t>本期转入其他收益</w:t>
                </w:r>
              </w:p>
            </w:tc>
          </w:sdtContent>
        </w:sdt>
        <w:sdt>
          <w:sdtPr>
            <w:rPr>
              <w:sz w:val="20"/>
              <w:szCs w:val="20"/>
            </w:rPr>
            <w:tag w:val="_PLD_0574cd35fdf24bda85fc60dbc5d663ad"/>
            <w:id w:val="-1136323467"/>
          </w:sdtPr>
          <w:sdtContent>
            <w:tc>
              <w:tcPr>
                <w:tcW w:w="0" w:type="auto"/>
                <w:vAlign w:val="center"/>
              </w:tcPr>
              <w:p w14:paraId="0B7BD408" w14:textId="77777777" w:rsidR="00577D08" w:rsidRDefault="00330FC0">
                <w:pPr>
                  <w:jc w:val="center"/>
                  <w:rPr>
                    <w:sz w:val="20"/>
                    <w:szCs w:val="20"/>
                  </w:rPr>
                </w:pPr>
                <w:r>
                  <w:rPr>
                    <w:rFonts w:hint="eastAsia"/>
                    <w:sz w:val="20"/>
                    <w:szCs w:val="20"/>
                  </w:rPr>
                  <w:t>本期其他变动</w:t>
                </w:r>
              </w:p>
            </w:tc>
          </w:sdtContent>
        </w:sdt>
        <w:sdt>
          <w:sdtPr>
            <w:rPr>
              <w:sz w:val="20"/>
              <w:szCs w:val="20"/>
            </w:rPr>
            <w:tag w:val="_PLD_b4cd227caa134d8da03257df3775b63f"/>
            <w:id w:val="235681613"/>
          </w:sdtPr>
          <w:sdtContent>
            <w:tc>
              <w:tcPr>
                <w:tcW w:w="0" w:type="auto"/>
                <w:vAlign w:val="center"/>
              </w:tcPr>
              <w:p w14:paraId="2881DC5F" w14:textId="77777777" w:rsidR="00577D08" w:rsidRDefault="00330FC0">
                <w:pPr>
                  <w:jc w:val="center"/>
                  <w:rPr>
                    <w:sz w:val="20"/>
                    <w:szCs w:val="20"/>
                  </w:rPr>
                </w:pPr>
                <w:r>
                  <w:rPr>
                    <w:rFonts w:hint="eastAsia"/>
                    <w:sz w:val="20"/>
                    <w:szCs w:val="20"/>
                  </w:rPr>
                  <w:t>期末余额</w:t>
                </w:r>
              </w:p>
            </w:tc>
          </w:sdtContent>
        </w:sdt>
        <w:sdt>
          <w:sdtPr>
            <w:rPr>
              <w:sz w:val="20"/>
              <w:szCs w:val="20"/>
            </w:rPr>
            <w:tag w:val="_PLD_9149efa168c746cfa58bdc4f4b4275bd"/>
            <w:id w:val="-578592348"/>
          </w:sdtPr>
          <w:sdtContent>
            <w:tc>
              <w:tcPr>
                <w:tcW w:w="0" w:type="auto"/>
                <w:vAlign w:val="center"/>
              </w:tcPr>
              <w:p w14:paraId="18EFFB76" w14:textId="77777777" w:rsidR="00577D08" w:rsidRDefault="00330FC0">
                <w:pPr>
                  <w:jc w:val="center"/>
                  <w:rPr>
                    <w:sz w:val="20"/>
                    <w:szCs w:val="20"/>
                  </w:rPr>
                </w:pPr>
                <w:r>
                  <w:rPr>
                    <w:rFonts w:hint="eastAsia"/>
                    <w:sz w:val="20"/>
                    <w:szCs w:val="20"/>
                  </w:rPr>
                  <w:t>与资产</w:t>
                </w:r>
                <w:r>
                  <w:rPr>
                    <w:sz w:val="20"/>
                    <w:szCs w:val="20"/>
                  </w:rPr>
                  <w:t>/</w:t>
                </w:r>
                <w:r>
                  <w:rPr>
                    <w:sz w:val="20"/>
                    <w:szCs w:val="20"/>
                  </w:rPr>
                  <w:t>收益相关</w:t>
                </w:r>
              </w:p>
            </w:tc>
          </w:sdtContent>
        </w:sdt>
      </w:tr>
      <w:tr w:rsidR="00577D08" w14:paraId="0E4BB330" w14:textId="77777777">
        <w:tc>
          <w:tcPr>
            <w:tcW w:w="0" w:type="auto"/>
            <w:vAlign w:val="center"/>
          </w:tcPr>
          <w:p w14:paraId="7DDAC998" w14:textId="77777777" w:rsidR="00577D08" w:rsidRDefault="00330FC0">
            <w:pPr>
              <w:jc w:val="center"/>
              <w:rPr>
                <w:sz w:val="20"/>
                <w:szCs w:val="20"/>
              </w:rPr>
            </w:pPr>
            <w:r>
              <w:rPr>
                <w:rFonts w:hint="eastAsia"/>
                <w:sz w:val="20"/>
                <w:szCs w:val="20"/>
              </w:rPr>
              <w:t>递延收益</w:t>
            </w:r>
          </w:p>
        </w:tc>
        <w:tc>
          <w:tcPr>
            <w:tcW w:w="0" w:type="auto"/>
            <w:vAlign w:val="center"/>
          </w:tcPr>
          <w:p w14:paraId="4D74C4B4" w14:textId="77777777" w:rsidR="00577D08" w:rsidRDefault="00330FC0">
            <w:pPr>
              <w:jc w:val="right"/>
              <w:rPr>
                <w:sz w:val="20"/>
                <w:szCs w:val="20"/>
              </w:rPr>
            </w:pPr>
            <w:r>
              <w:rPr>
                <w:rFonts w:hint="eastAsia"/>
                <w:sz w:val="20"/>
                <w:szCs w:val="20"/>
              </w:rPr>
              <w:t>73,234,976.95</w:t>
            </w:r>
          </w:p>
        </w:tc>
        <w:tc>
          <w:tcPr>
            <w:tcW w:w="0" w:type="auto"/>
            <w:vAlign w:val="center"/>
          </w:tcPr>
          <w:p w14:paraId="13AB0A3B" w14:textId="77777777" w:rsidR="00577D08" w:rsidRDefault="00330FC0">
            <w:pPr>
              <w:jc w:val="right"/>
              <w:rPr>
                <w:sz w:val="20"/>
                <w:szCs w:val="20"/>
              </w:rPr>
            </w:pPr>
            <w:r>
              <w:rPr>
                <w:rFonts w:hint="eastAsia"/>
                <w:sz w:val="20"/>
                <w:szCs w:val="20"/>
              </w:rPr>
              <w:t>1,100,000.00</w:t>
            </w:r>
          </w:p>
        </w:tc>
        <w:tc>
          <w:tcPr>
            <w:tcW w:w="0" w:type="auto"/>
            <w:vAlign w:val="center"/>
          </w:tcPr>
          <w:p w14:paraId="23B42EEF" w14:textId="77777777" w:rsidR="00577D08" w:rsidRDefault="00577D08">
            <w:pPr>
              <w:jc w:val="right"/>
              <w:rPr>
                <w:sz w:val="20"/>
                <w:szCs w:val="20"/>
              </w:rPr>
            </w:pPr>
          </w:p>
        </w:tc>
        <w:tc>
          <w:tcPr>
            <w:tcW w:w="0" w:type="auto"/>
            <w:vAlign w:val="center"/>
          </w:tcPr>
          <w:p w14:paraId="527954D3" w14:textId="77777777" w:rsidR="00577D08" w:rsidRDefault="00330FC0">
            <w:pPr>
              <w:jc w:val="right"/>
              <w:rPr>
                <w:sz w:val="20"/>
                <w:szCs w:val="20"/>
              </w:rPr>
            </w:pPr>
            <w:r>
              <w:rPr>
                <w:rFonts w:hint="eastAsia"/>
                <w:sz w:val="20"/>
                <w:szCs w:val="20"/>
              </w:rPr>
              <w:t>5,984,743.43</w:t>
            </w:r>
          </w:p>
        </w:tc>
        <w:tc>
          <w:tcPr>
            <w:tcW w:w="0" w:type="auto"/>
            <w:vAlign w:val="center"/>
          </w:tcPr>
          <w:p w14:paraId="13B7FFDE" w14:textId="77777777" w:rsidR="00577D08" w:rsidRDefault="00577D08">
            <w:pPr>
              <w:jc w:val="right"/>
              <w:rPr>
                <w:sz w:val="20"/>
                <w:szCs w:val="20"/>
              </w:rPr>
            </w:pPr>
          </w:p>
        </w:tc>
        <w:tc>
          <w:tcPr>
            <w:tcW w:w="0" w:type="auto"/>
            <w:vAlign w:val="center"/>
          </w:tcPr>
          <w:p w14:paraId="14DF99A1" w14:textId="77777777" w:rsidR="00577D08" w:rsidRDefault="00330FC0">
            <w:pPr>
              <w:jc w:val="right"/>
              <w:rPr>
                <w:sz w:val="20"/>
                <w:szCs w:val="20"/>
              </w:rPr>
            </w:pPr>
            <w:r>
              <w:rPr>
                <w:rFonts w:hint="eastAsia"/>
                <w:sz w:val="20"/>
                <w:szCs w:val="20"/>
              </w:rPr>
              <w:t>68,350,233.52</w:t>
            </w:r>
          </w:p>
        </w:tc>
        <w:tc>
          <w:tcPr>
            <w:tcW w:w="0" w:type="auto"/>
          </w:tcPr>
          <w:p w14:paraId="61156EE2" w14:textId="77777777" w:rsidR="00577D08" w:rsidRDefault="00330FC0">
            <w:pPr>
              <w:rPr>
                <w:sz w:val="20"/>
                <w:szCs w:val="20"/>
              </w:rPr>
            </w:pPr>
            <w:r>
              <w:rPr>
                <w:rFonts w:hint="eastAsia"/>
                <w:sz w:val="20"/>
                <w:szCs w:val="20"/>
              </w:rPr>
              <w:t>与资产相关</w:t>
            </w:r>
          </w:p>
        </w:tc>
      </w:tr>
      <w:tr w:rsidR="00577D08" w14:paraId="7D8E44B4" w14:textId="77777777">
        <w:tc>
          <w:tcPr>
            <w:tcW w:w="0" w:type="auto"/>
            <w:tcBorders>
              <w:top w:val="single" w:sz="4" w:space="0" w:color="auto"/>
              <w:left w:val="single" w:sz="4" w:space="0" w:color="auto"/>
              <w:bottom w:val="single" w:sz="4" w:space="0" w:color="auto"/>
              <w:right w:val="single" w:sz="4" w:space="0" w:color="auto"/>
            </w:tcBorders>
            <w:vAlign w:val="center"/>
          </w:tcPr>
          <w:p w14:paraId="0925FF2C" w14:textId="77777777" w:rsidR="00577D08" w:rsidRDefault="00330FC0">
            <w:pPr>
              <w:jc w:val="center"/>
              <w:rPr>
                <w:sz w:val="20"/>
                <w:szCs w:val="20"/>
              </w:rPr>
            </w:pPr>
            <w:r>
              <w:rPr>
                <w:sz w:val="20"/>
                <w:szCs w:val="20"/>
              </w:rPr>
              <w:t>合计</w:t>
            </w:r>
          </w:p>
        </w:tc>
        <w:tc>
          <w:tcPr>
            <w:tcW w:w="0" w:type="auto"/>
            <w:tcBorders>
              <w:top w:val="single" w:sz="4" w:space="0" w:color="auto"/>
              <w:left w:val="single" w:sz="4" w:space="0" w:color="auto"/>
              <w:bottom w:val="single" w:sz="4" w:space="0" w:color="auto"/>
              <w:right w:val="single" w:sz="4" w:space="0" w:color="auto"/>
            </w:tcBorders>
            <w:vAlign w:val="center"/>
          </w:tcPr>
          <w:p w14:paraId="11BB0072" w14:textId="77777777" w:rsidR="00577D08" w:rsidRDefault="00330FC0">
            <w:pPr>
              <w:jc w:val="right"/>
              <w:rPr>
                <w:sz w:val="20"/>
                <w:szCs w:val="20"/>
              </w:rPr>
            </w:pPr>
            <w:r>
              <w:rPr>
                <w:sz w:val="20"/>
                <w:szCs w:val="20"/>
              </w:rPr>
              <w:t>73,234,976.95</w:t>
            </w:r>
          </w:p>
        </w:tc>
        <w:tc>
          <w:tcPr>
            <w:tcW w:w="0" w:type="auto"/>
            <w:tcBorders>
              <w:top w:val="single" w:sz="4" w:space="0" w:color="auto"/>
              <w:left w:val="single" w:sz="4" w:space="0" w:color="auto"/>
              <w:bottom w:val="single" w:sz="4" w:space="0" w:color="auto"/>
              <w:right w:val="single" w:sz="4" w:space="0" w:color="auto"/>
            </w:tcBorders>
            <w:vAlign w:val="center"/>
          </w:tcPr>
          <w:p w14:paraId="4E0CD780" w14:textId="77777777" w:rsidR="00577D08" w:rsidRDefault="00330FC0">
            <w:pPr>
              <w:jc w:val="right"/>
              <w:rPr>
                <w:sz w:val="20"/>
                <w:szCs w:val="20"/>
              </w:rPr>
            </w:pPr>
            <w:r>
              <w:rPr>
                <w:sz w:val="20"/>
                <w:szCs w:val="20"/>
              </w:rPr>
              <w:t>1,100,000.00</w:t>
            </w:r>
          </w:p>
        </w:tc>
        <w:tc>
          <w:tcPr>
            <w:tcW w:w="0" w:type="auto"/>
            <w:tcBorders>
              <w:top w:val="single" w:sz="4" w:space="0" w:color="auto"/>
              <w:left w:val="single" w:sz="4" w:space="0" w:color="auto"/>
              <w:bottom w:val="single" w:sz="4" w:space="0" w:color="auto"/>
              <w:right w:val="single" w:sz="4" w:space="0" w:color="auto"/>
            </w:tcBorders>
            <w:vAlign w:val="center"/>
          </w:tcPr>
          <w:p w14:paraId="5DB42B48" w14:textId="77777777" w:rsidR="00577D08" w:rsidRDefault="00577D08">
            <w:pPr>
              <w:jc w:val="right"/>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3ED4491" w14:textId="77777777" w:rsidR="00577D08" w:rsidRDefault="00330FC0">
            <w:pPr>
              <w:jc w:val="right"/>
              <w:rPr>
                <w:sz w:val="20"/>
                <w:szCs w:val="20"/>
              </w:rPr>
            </w:pPr>
            <w:r>
              <w:rPr>
                <w:sz w:val="20"/>
                <w:szCs w:val="20"/>
              </w:rPr>
              <w:t>5,984,743.43</w:t>
            </w:r>
          </w:p>
        </w:tc>
        <w:tc>
          <w:tcPr>
            <w:tcW w:w="0" w:type="auto"/>
            <w:tcBorders>
              <w:top w:val="single" w:sz="4" w:space="0" w:color="auto"/>
              <w:left w:val="single" w:sz="4" w:space="0" w:color="auto"/>
              <w:bottom w:val="single" w:sz="4" w:space="0" w:color="auto"/>
              <w:right w:val="single" w:sz="4" w:space="0" w:color="auto"/>
            </w:tcBorders>
            <w:vAlign w:val="center"/>
          </w:tcPr>
          <w:p w14:paraId="206C5F98" w14:textId="77777777" w:rsidR="00577D08" w:rsidRDefault="00577D08">
            <w:pPr>
              <w:jc w:val="right"/>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89C19CA" w14:textId="77777777" w:rsidR="00577D08" w:rsidRDefault="00330FC0">
            <w:pPr>
              <w:jc w:val="right"/>
              <w:rPr>
                <w:sz w:val="20"/>
                <w:szCs w:val="20"/>
              </w:rPr>
            </w:pPr>
            <w:r>
              <w:rPr>
                <w:sz w:val="20"/>
                <w:szCs w:val="20"/>
              </w:rPr>
              <w:t>68,350,233.52</w:t>
            </w:r>
          </w:p>
        </w:tc>
        <w:tc>
          <w:tcPr>
            <w:tcW w:w="0" w:type="auto"/>
            <w:tcBorders>
              <w:top w:val="single" w:sz="4" w:space="0" w:color="auto"/>
              <w:left w:val="single" w:sz="4" w:space="0" w:color="auto"/>
              <w:bottom w:val="single" w:sz="4" w:space="0" w:color="auto"/>
              <w:right w:val="single" w:sz="4" w:space="0" w:color="auto"/>
            </w:tcBorders>
            <w:vAlign w:val="center"/>
          </w:tcPr>
          <w:p w14:paraId="179656D7" w14:textId="77777777" w:rsidR="00577D08" w:rsidRDefault="00330FC0">
            <w:pPr>
              <w:rPr>
                <w:sz w:val="20"/>
                <w:szCs w:val="20"/>
              </w:rPr>
            </w:pPr>
            <w:r>
              <w:rPr>
                <w:rFonts w:hint="eastAsia"/>
                <w:sz w:val="20"/>
                <w:szCs w:val="20"/>
              </w:rPr>
              <w:t>/</w:t>
            </w:r>
          </w:p>
        </w:tc>
      </w:tr>
    </w:tbl>
    <w:p w14:paraId="55EE9BFC" w14:textId="77777777" w:rsidR="00577D08" w:rsidRDefault="00330FC0">
      <w:pPr>
        <w:pStyle w:val="3"/>
        <w:numPr>
          <w:ilvl w:val="0"/>
          <w:numId w:val="109"/>
        </w:numPr>
        <w:ind w:left="0" w:firstLine="0"/>
        <w:rPr>
          <w:rFonts w:cs="宋体"/>
          <w:kern w:val="0"/>
          <w:szCs w:val="24"/>
        </w:rPr>
      </w:pPr>
      <w:bookmarkStart w:id="470" w:name="_Hlk153267407"/>
      <w:r>
        <w:rPr>
          <w:rFonts w:cs="宋体" w:hint="eastAsia"/>
          <w:kern w:val="0"/>
          <w:szCs w:val="24"/>
        </w:rPr>
        <w:t>计入当期损益的政府补助</w:t>
      </w:r>
    </w:p>
    <w:sdt>
      <w:sdtPr>
        <w:rPr>
          <w:rStyle w:val="40"/>
          <w:rFonts w:ascii="宋体" w:hAnsi="宋体"/>
          <w:b w:val="0"/>
          <w:szCs w:val="21"/>
        </w:rPr>
        <w:alias w:val="是否适用：计入当期损益的政府补助[双击切换]"/>
        <w:tag w:val="_GBC_8ddf92f66bfa4f87b73074ebf5a7bd32"/>
        <w:id w:val="709847951"/>
        <w:placeholder>
          <w:docPart w:val="GBC22222222222222222222222222222"/>
        </w:placeholder>
      </w:sdtPr>
      <w:sdtContent>
        <w:p w14:paraId="3DE2F048" w14:textId="77777777" w:rsidR="00577D08" w:rsidRDefault="00330FC0">
          <w:pPr>
            <w:rPr>
              <w:rStyle w:val="40"/>
              <w:rFonts w:ascii="宋体" w:hAnsi="宋体" w:hint="eastAsia"/>
              <w:b w:val="0"/>
              <w:szCs w:val="21"/>
            </w:rPr>
          </w:pPr>
          <w:r>
            <w:rPr>
              <w:rStyle w:val="40"/>
              <w:rFonts w:ascii="宋体" w:eastAsia="宋体" w:hAnsi="宋体"/>
              <w:b w:val="0"/>
              <w:szCs w:val="21"/>
            </w:rPr>
            <w:fldChar w:fldCharType="begin"/>
          </w:r>
          <w:r>
            <w:rPr>
              <w:rStyle w:val="40"/>
              <w:rFonts w:ascii="宋体" w:eastAsia="宋体" w:hAnsi="宋体" w:hint="eastAsia"/>
              <w:b w:val="0"/>
              <w:szCs w:val="21"/>
            </w:rPr>
            <w:instrText xml:space="preserve">MACROBUTTON  SnrToggleCheckbox √适用 </w:instrText>
          </w:r>
          <w:r>
            <w:rPr>
              <w:rStyle w:val="40"/>
              <w:rFonts w:ascii="宋体" w:eastAsia="宋体" w:hAnsi="宋体"/>
              <w:b w:val="0"/>
              <w:szCs w:val="21"/>
            </w:rPr>
            <w:fldChar w:fldCharType="end"/>
          </w:r>
          <w:r>
            <w:rPr>
              <w:rStyle w:val="40"/>
              <w:rFonts w:ascii="宋体" w:eastAsia="宋体" w:hAnsi="宋体"/>
              <w:b w:val="0"/>
              <w:szCs w:val="21"/>
            </w:rPr>
            <w:fldChar w:fldCharType="begin"/>
          </w:r>
          <w:r>
            <w:rPr>
              <w:rStyle w:val="40"/>
              <w:rFonts w:ascii="宋体" w:eastAsia="宋体" w:hAnsi="宋体"/>
              <w:b w:val="0"/>
              <w:szCs w:val="21"/>
            </w:rPr>
            <w:instrText xml:space="preserve"> MACROBUTTON  SnrToggleCheckbox □不适用 </w:instrText>
          </w:r>
          <w:r>
            <w:rPr>
              <w:rStyle w:val="40"/>
              <w:rFonts w:ascii="宋体" w:eastAsia="宋体" w:hAnsi="宋体"/>
              <w:b w:val="0"/>
              <w:szCs w:val="21"/>
            </w:rPr>
            <w:fldChar w:fldCharType="end"/>
          </w:r>
        </w:p>
      </w:sdtContent>
    </w:sdt>
    <w:p w14:paraId="4628DCE9" w14:textId="1492ECE5" w:rsidR="00577D08" w:rsidRDefault="00330FC0">
      <w:pPr>
        <w:jc w:val="right"/>
      </w:pPr>
      <w:r>
        <w:rPr>
          <w:rFonts w:hint="eastAsia"/>
        </w:rPr>
        <w:t>单位：</w:t>
      </w:r>
      <w:sdt>
        <w:sdtPr>
          <w:rPr>
            <w:rFonts w:hint="eastAsia"/>
          </w:rPr>
          <w:alias w:val="单位：财务附注：计入当期损益的政府补助"/>
          <w:tag w:val="_GBC_e18208ff61f24ff591a3dc1a23c8a26c"/>
          <w:id w:val="-13699925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计入当期损益的政府补助"/>
          <w:tag w:val="_GBC_46d58cfd963545aba949fdc131aee974"/>
          <w:id w:val="18235446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871"/>
        <w:gridCol w:w="3092"/>
        <w:gridCol w:w="3092"/>
      </w:tblGrid>
      <w:tr w:rsidR="00577D08" w14:paraId="511917DE" w14:textId="77777777">
        <w:trPr>
          <w:trHeight w:val="556"/>
          <w:jc w:val="center"/>
        </w:trPr>
        <w:sdt>
          <w:sdtPr>
            <w:tag w:val="_PLD_5b4079791e994686811417a70944bd9d"/>
            <w:id w:val="-1180885272"/>
          </w:sdtPr>
          <w:sdtContent>
            <w:tc>
              <w:tcPr>
                <w:tcW w:w="2871" w:type="dxa"/>
                <w:tcBorders>
                  <w:top w:val="single" w:sz="4" w:space="0" w:color="auto"/>
                  <w:left w:val="single" w:sz="4" w:space="0" w:color="auto"/>
                  <w:bottom w:val="single" w:sz="4" w:space="0" w:color="auto"/>
                  <w:right w:val="single" w:sz="4" w:space="0" w:color="auto"/>
                </w:tcBorders>
                <w:vAlign w:val="center"/>
              </w:tcPr>
              <w:p w14:paraId="28AFBFEC" w14:textId="77777777" w:rsidR="00577D08" w:rsidRDefault="00330FC0">
                <w:pPr>
                  <w:jc w:val="center"/>
                </w:pPr>
                <w:r>
                  <w:rPr>
                    <w:rFonts w:hint="eastAsia"/>
                  </w:rPr>
                  <w:t>类型</w:t>
                </w:r>
              </w:p>
            </w:tc>
          </w:sdtContent>
        </w:sdt>
        <w:sdt>
          <w:sdtPr>
            <w:tag w:val="_PLD_ae1ceb2d189344a5ad7763348cb654c3"/>
            <w:id w:val="-242881094"/>
          </w:sdtPr>
          <w:sdtContent>
            <w:tc>
              <w:tcPr>
                <w:tcW w:w="3092" w:type="dxa"/>
                <w:tcBorders>
                  <w:top w:val="single" w:sz="4" w:space="0" w:color="auto"/>
                  <w:left w:val="single" w:sz="4" w:space="0" w:color="auto"/>
                  <w:bottom w:val="single" w:sz="4" w:space="0" w:color="auto"/>
                  <w:right w:val="single" w:sz="4" w:space="0" w:color="auto"/>
                </w:tcBorders>
                <w:vAlign w:val="center"/>
              </w:tcPr>
              <w:p w14:paraId="79627C13" w14:textId="77777777" w:rsidR="00577D08" w:rsidRDefault="00330FC0">
                <w:pPr>
                  <w:jc w:val="center"/>
                </w:pPr>
                <w:r>
                  <w:t>本期发生额</w:t>
                </w:r>
              </w:p>
            </w:tc>
          </w:sdtContent>
        </w:sdt>
        <w:sdt>
          <w:sdtPr>
            <w:tag w:val="_PLD_e615d326bd42416e8f3721fad0ff2852"/>
            <w:id w:val="1793943379"/>
          </w:sdtPr>
          <w:sdtContent>
            <w:tc>
              <w:tcPr>
                <w:tcW w:w="3092" w:type="dxa"/>
                <w:tcBorders>
                  <w:top w:val="single" w:sz="4" w:space="0" w:color="auto"/>
                  <w:left w:val="single" w:sz="4" w:space="0" w:color="auto"/>
                  <w:bottom w:val="single" w:sz="4" w:space="0" w:color="auto"/>
                  <w:right w:val="single" w:sz="4" w:space="0" w:color="auto"/>
                </w:tcBorders>
                <w:vAlign w:val="center"/>
              </w:tcPr>
              <w:p w14:paraId="523EDFB6" w14:textId="77777777" w:rsidR="00577D08" w:rsidRDefault="00330FC0">
                <w:pPr>
                  <w:jc w:val="center"/>
                </w:pPr>
                <w:r>
                  <w:t>上期发生额</w:t>
                </w:r>
              </w:p>
            </w:tc>
          </w:sdtContent>
        </w:sdt>
      </w:tr>
      <w:tr w:rsidR="00577D08" w14:paraId="6F0DE91A" w14:textId="77777777">
        <w:trPr>
          <w:jc w:val="center"/>
        </w:trPr>
        <w:sdt>
          <w:sdtPr>
            <w:alias w:val="计入当期损益的政府补助项目名称"/>
            <w:tag w:val="_GBC_30e0d7873e3b41d781ec9deee5fe8de4"/>
            <w:id w:val="809675365"/>
            <w:comboBox>
              <w:listItem w:displayText="与资产相关" w:value="与资产相关"/>
              <w:listItem w:displayText="与收益相关" w:value="与收益相关"/>
              <w:listItem w:displayText="其他" w:value="其他"/>
            </w:comboBox>
          </w:sdtPr>
          <w:sdtContent>
            <w:tc>
              <w:tcPr>
                <w:tcW w:w="2871" w:type="dxa"/>
                <w:tcBorders>
                  <w:top w:val="single" w:sz="4" w:space="0" w:color="auto"/>
                  <w:left w:val="single" w:sz="4" w:space="0" w:color="auto"/>
                  <w:bottom w:val="single" w:sz="4" w:space="0" w:color="auto"/>
                  <w:right w:val="single" w:sz="4" w:space="0" w:color="auto"/>
                </w:tcBorders>
                <w:vAlign w:val="center"/>
              </w:tcPr>
              <w:p w14:paraId="4AB575D1" w14:textId="77777777" w:rsidR="00577D08" w:rsidRDefault="00330FC0">
                <w:r>
                  <w:t>与资产相关</w:t>
                </w:r>
              </w:p>
            </w:tc>
          </w:sdtContent>
        </w:sdt>
        <w:tc>
          <w:tcPr>
            <w:tcW w:w="3092" w:type="dxa"/>
            <w:tcBorders>
              <w:top w:val="single" w:sz="4" w:space="0" w:color="auto"/>
              <w:left w:val="single" w:sz="4" w:space="0" w:color="auto"/>
              <w:bottom w:val="single" w:sz="4" w:space="0" w:color="auto"/>
              <w:right w:val="single" w:sz="4" w:space="0" w:color="auto"/>
            </w:tcBorders>
          </w:tcPr>
          <w:p w14:paraId="2E75A86C" w14:textId="77777777" w:rsidR="00577D08" w:rsidRDefault="00330FC0">
            <w:pPr>
              <w:jc w:val="right"/>
            </w:pPr>
            <w:r>
              <w:t>5,984,743.43</w:t>
            </w:r>
          </w:p>
        </w:tc>
        <w:tc>
          <w:tcPr>
            <w:tcW w:w="3092" w:type="dxa"/>
            <w:tcBorders>
              <w:top w:val="single" w:sz="4" w:space="0" w:color="auto"/>
              <w:left w:val="single" w:sz="4" w:space="0" w:color="auto"/>
              <w:bottom w:val="single" w:sz="4" w:space="0" w:color="auto"/>
              <w:right w:val="single" w:sz="4" w:space="0" w:color="auto"/>
            </w:tcBorders>
          </w:tcPr>
          <w:p w14:paraId="72CAF460" w14:textId="77777777" w:rsidR="00577D08" w:rsidRDefault="00330FC0">
            <w:pPr>
              <w:jc w:val="right"/>
            </w:pPr>
            <w:r>
              <w:t>6,001,122.52</w:t>
            </w:r>
          </w:p>
        </w:tc>
      </w:tr>
      <w:tr w:rsidR="00577D08" w14:paraId="52635885" w14:textId="77777777">
        <w:trPr>
          <w:jc w:val="center"/>
        </w:trPr>
        <w:sdt>
          <w:sdtPr>
            <w:alias w:val="计入当期损益的政府补助项目名称"/>
            <w:tag w:val="_GBC_30e0d7873e3b41d781ec9deee5fe8de4"/>
            <w:id w:val="962388535"/>
            <w:comboBox>
              <w:listItem w:displayText="与资产相关" w:value="与资产相关"/>
              <w:listItem w:displayText="与收益相关" w:value="与收益相关"/>
              <w:listItem w:displayText="其他" w:value="其他"/>
            </w:comboBox>
          </w:sdtPr>
          <w:sdtContent>
            <w:tc>
              <w:tcPr>
                <w:tcW w:w="2871" w:type="dxa"/>
                <w:tcBorders>
                  <w:top w:val="single" w:sz="4" w:space="0" w:color="auto"/>
                  <w:left w:val="single" w:sz="4" w:space="0" w:color="auto"/>
                  <w:bottom w:val="single" w:sz="4" w:space="0" w:color="auto"/>
                  <w:right w:val="single" w:sz="4" w:space="0" w:color="auto"/>
                </w:tcBorders>
                <w:vAlign w:val="center"/>
              </w:tcPr>
              <w:p w14:paraId="03B48FBF" w14:textId="77777777" w:rsidR="00577D08" w:rsidRDefault="00330FC0">
                <w:r>
                  <w:t>与收益相关</w:t>
                </w:r>
              </w:p>
            </w:tc>
          </w:sdtContent>
        </w:sdt>
        <w:tc>
          <w:tcPr>
            <w:tcW w:w="3092" w:type="dxa"/>
            <w:tcBorders>
              <w:top w:val="single" w:sz="4" w:space="0" w:color="auto"/>
              <w:left w:val="single" w:sz="4" w:space="0" w:color="auto"/>
              <w:bottom w:val="single" w:sz="4" w:space="0" w:color="auto"/>
              <w:right w:val="single" w:sz="4" w:space="0" w:color="auto"/>
            </w:tcBorders>
          </w:tcPr>
          <w:p w14:paraId="40FB4B42" w14:textId="77777777" w:rsidR="00577D08" w:rsidRDefault="00330FC0">
            <w:pPr>
              <w:jc w:val="right"/>
            </w:pPr>
            <w:r>
              <w:t>5,619,706.73</w:t>
            </w:r>
          </w:p>
        </w:tc>
        <w:tc>
          <w:tcPr>
            <w:tcW w:w="3092" w:type="dxa"/>
            <w:tcBorders>
              <w:top w:val="single" w:sz="4" w:space="0" w:color="auto"/>
              <w:left w:val="single" w:sz="4" w:space="0" w:color="auto"/>
              <w:bottom w:val="single" w:sz="4" w:space="0" w:color="auto"/>
              <w:right w:val="single" w:sz="4" w:space="0" w:color="auto"/>
            </w:tcBorders>
          </w:tcPr>
          <w:p w14:paraId="0382F7A6" w14:textId="77777777" w:rsidR="00577D08" w:rsidRDefault="00330FC0">
            <w:pPr>
              <w:jc w:val="right"/>
            </w:pPr>
            <w:r>
              <w:t>48,636,425.91</w:t>
            </w:r>
          </w:p>
        </w:tc>
      </w:tr>
      <w:tr w:rsidR="00577D08" w14:paraId="32C775F3" w14:textId="77777777">
        <w:trPr>
          <w:jc w:val="center"/>
        </w:trPr>
        <w:sdt>
          <w:sdtPr>
            <w:alias w:val="计入当期损益的政府补助项目名称"/>
            <w:tag w:val="_GBC_30e0d7873e3b41d781ec9deee5fe8de4"/>
            <w:id w:val="1776830830"/>
            <w:placeholder>
              <w:docPart w:val="E7A536745F8B488D99A1266A9F945A86"/>
            </w:placeholder>
            <w:comboBox>
              <w:listItem w:displayText="与资产相关" w:value="与资产相关"/>
              <w:listItem w:displayText="与收益相关" w:value="与收益相关"/>
              <w:listItem w:displayText="其他" w:value="其他"/>
            </w:comboBox>
          </w:sdtPr>
          <w:sdtContent>
            <w:tc>
              <w:tcPr>
                <w:tcW w:w="2871" w:type="dxa"/>
                <w:tcBorders>
                  <w:top w:val="single" w:sz="4" w:space="0" w:color="auto"/>
                  <w:left w:val="single" w:sz="4" w:space="0" w:color="auto"/>
                  <w:bottom w:val="single" w:sz="4" w:space="0" w:color="auto"/>
                  <w:right w:val="single" w:sz="4" w:space="0" w:color="auto"/>
                </w:tcBorders>
                <w:vAlign w:val="center"/>
              </w:tcPr>
              <w:p w14:paraId="4847CF84" w14:textId="77777777" w:rsidR="00577D08" w:rsidRDefault="00330FC0">
                <w:r>
                  <w:t>其他</w:t>
                </w:r>
              </w:p>
            </w:tc>
          </w:sdtContent>
        </w:sdt>
        <w:tc>
          <w:tcPr>
            <w:tcW w:w="3092" w:type="dxa"/>
            <w:tcBorders>
              <w:top w:val="single" w:sz="4" w:space="0" w:color="auto"/>
              <w:left w:val="single" w:sz="4" w:space="0" w:color="auto"/>
              <w:bottom w:val="single" w:sz="4" w:space="0" w:color="auto"/>
              <w:right w:val="single" w:sz="4" w:space="0" w:color="auto"/>
            </w:tcBorders>
          </w:tcPr>
          <w:p w14:paraId="05F0D5B2" w14:textId="77777777" w:rsidR="00577D08" w:rsidRDefault="00330FC0">
            <w:pPr>
              <w:jc w:val="right"/>
            </w:pPr>
            <w:r>
              <w:t>3,842,527.74</w:t>
            </w:r>
          </w:p>
        </w:tc>
        <w:tc>
          <w:tcPr>
            <w:tcW w:w="3092" w:type="dxa"/>
            <w:tcBorders>
              <w:top w:val="single" w:sz="4" w:space="0" w:color="auto"/>
              <w:left w:val="single" w:sz="4" w:space="0" w:color="auto"/>
              <w:bottom w:val="single" w:sz="4" w:space="0" w:color="auto"/>
              <w:right w:val="single" w:sz="4" w:space="0" w:color="auto"/>
            </w:tcBorders>
          </w:tcPr>
          <w:p w14:paraId="0342BFDF" w14:textId="77777777" w:rsidR="00577D08" w:rsidRDefault="00330FC0">
            <w:pPr>
              <w:jc w:val="right"/>
            </w:pPr>
            <w:r>
              <w:t>2,400,594.44</w:t>
            </w:r>
          </w:p>
        </w:tc>
      </w:tr>
      <w:tr w:rsidR="00577D08" w14:paraId="421DBE5B" w14:textId="77777777">
        <w:trPr>
          <w:jc w:val="center"/>
        </w:trPr>
        <w:tc>
          <w:tcPr>
            <w:tcW w:w="2871" w:type="dxa"/>
            <w:tcBorders>
              <w:top w:val="single" w:sz="4" w:space="0" w:color="auto"/>
              <w:left w:val="single" w:sz="4" w:space="0" w:color="auto"/>
              <w:bottom w:val="single" w:sz="4" w:space="0" w:color="auto"/>
              <w:right w:val="single" w:sz="4" w:space="0" w:color="auto"/>
            </w:tcBorders>
            <w:vAlign w:val="center"/>
          </w:tcPr>
          <w:p w14:paraId="2904BE01" w14:textId="77777777" w:rsidR="00577D08" w:rsidRDefault="00330FC0">
            <w:pPr>
              <w:jc w:val="center"/>
            </w:pPr>
            <w:r>
              <w:rPr>
                <w:rFonts w:hint="eastAsia"/>
              </w:rPr>
              <w:t>合计</w:t>
            </w:r>
          </w:p>
        </w:tc>
        <w:tc>
          <w:tcPr>
            <w:tcW w:w="3092" w:type="dxa"/>
            <w:tcBorders>
              <w:top w:val="single" w:sz="4" w:space="0" w:color="auto"/>
              <w:left w:val="single" w:sz="4" w:space="0" w:color="auto"/>
              <w:bottom w:val="single" w:sz="4" w:space="0" w:color="auto"/>
              <w:right w:val="single" w:sz="4" w:space="0" w:color="auto"/>
            </w:tcBorders>
          </w:tcPr>
          <w:p w14:paraId="35F9E4DC" w14:textId="77777777" w:rsidR="00577D08" w:rsidRDefault="00330FC0">
            <w:pPr>
              <w:jc w:val="right"/>
            </w:pPr>
            <w:r>
              <w:t>15,446,977.90</w:t>
            </w:r>
          </w:p>
        </w:tc>
        <w:tc>
          <w:tcPr>
            <w:tcW w:w="3092" w:type="dxa"/>
            <w:tcBorders>
              <w:top w:val="single" w:sz="4" w:space="0" w:color="auto"/>
              <w:left w:val="single" w:sz="4" w:space="0" w:color="auto"/>
              <w:bottom w:val="single" w:sz="4" w:space="0" w:color="auto"/>
              <w:right w:val="single" w:sz="4" w:space="0" w:color="auto"/>
            </w:tcBorders>
          </w:tcPr>
          <w:p w14:paraId="4ECDA41D" w14:textId="77777777" w:rsidR="00577D08" w:rsidRDefault="00330FC0">
            <w:pPr>
              <w:jc w:val="right"/>
            </w:pPr>
            <w:r>
              <w:t>57,038,142.87</w:t>
            </w:r>
          </w:p>
        </w:tc>
      </w:tr>
    </w:tbl>
    <w:p w14:paraId="0A1C9063" w14:textId="77777777" w:rsidR="00577D08" w:rsidRDefault="00330FC0">
      <w:bookmarkStart w:id="471" w:name="_Hlk153267868"/>
      <w:bookmarkEnd w:id="470"/>
      <w:r>
        <w:rPr>
          <w:rFonts w:hint="eastAsia"/>
        </w:rPr>
        <w:t>其他说明：</w:t>
      </w:r>
    </w:p>
    <w:sdt>
      <w:sdtPr>
        <w:alias w:val="政府补助说明"/>
        <w:tag w:val="_GBC_8011e9ada7d741aeb9f59a958e812614"/>
        <w:id w:val="-1263445310"/>
        <w:placeholder>
          <w:docPart w:val="GBC22222222222222222222222222222"/>
        </w:placeholder>
      </w:sdtPr>
      <w:sdtContent>
        <w:p w14:paraId="04DBEBF4" w14:textId="77777777" w:rsidR="00577D08" w:rsidRDefault="00330FC0">
          <w:r>
            <w:rPr>
              <w:rFonts w:hint="eastAsia"/>
            </w:rPr>
            <w:t>（</w:t>
          </w:r>
          <w:r>
            <w:rPr>
              <w:rFonts w:hint="eastAsia"/>
            </w:rPr>
            <w:t>1</w:t>
          </w:r>
          <w:r>
            <w:rPr>
              <w:rFonts w:hint="eastAsia"/>
            </w:rPr>
            <w:t>）本期退回的政府补助</w:t>
          </w:r>
        </w:p>
        <w:p w14:paraId="03F795C8" w14:textId="13B35627" w:rsidR="00577D08" w:rsidRDefault="00330FC0">
          <w:pPr>
            <w:jc w:val="right"/>
          </w:pPr>
          <w:r>
            <w:rPr>
              <w:rFonts w:hint="eastAsia"/>
            </w:rPr>
            <w:t>单位：</w:t>
          </w:r>
          <w:sdt>
            <w:sdtPr>
              <w:rPr>
                <w:rFonts w:hint="eastAsia"/>
              </w:rPr>
              <w:alias w:val="单位：财务附注：计入当期损益的政府补助"/>
              <w:tag w:val="_GBC_e18208ff61f24ff591a3dc1a23c8a26c"/>
              <w:id w:val="-2055619041"/>
              <w:placeholder>
                <w:docPart w:val="AE7994D810CA47D0AD8390D8176D7B5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计入当期损益的政府补助"/>
              <w:tag w:val="_GBC_46d58cfd963545aba949fdc131aee974"/>
              <w:id w:val="239152083"/>
              <w:placeholder>
                <w:docPart w:val="AE7994D810CA47D0AD8390D8176D7B5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871"/>
            <w:gridCol w:w="3092"/>
            <w:gridCol w:w="3092"/>
          </w:tblGrid>
          <w:tr w:rsidR="00577D08" w14:paraId="270BCC83" w14:textId="77777777">
            <w:trPr>
              <w:jc w:val="center"/>
            </w:trPr>
            <w:tc>
              <w:tcPr>
                <w:tcW w:w="2871" w:type="dxa"/>
                <w:tcBorders>
                  <w:top w:val="single" w:sz="4" w:space="0" w:color="auto"/>
                  <w:left w:val="single" w:sz="4" w:space="0" w:color="auto"/>
                  <w:bottom w:val="single" w:sz="4" w:space="0" w:color="auto"/>
                  <w:right w:val="single" w:sz="4" w:space="0" w:color="auto"/>
                </w:tcBorders>
                <w:vAlign w:val="center"/>
              </w:tcPr>
              <w:p w14:paraId="4C39DE97" w14:textId="77777777" w:rsidR="00577D08" w:rsidRDefault="00330FC0">
                <w:pPr>
                  <w:jc w:val="center"/>
                </w:pPr>
                <w:r>
                  <w:rPr>
                    <w:rFonts w:hint="eastAsia"/>
                  </w:rPr>
                  <w:t>项目</w:t>
                </w:r>
              </w:p>
            </w:tc>
            <w:tc>
              <w:tcPr>
                <w:tcW w:w="3092" w:type="dxa"/>
                <w:tcBorders>
                  <w:top w:val="single" w:sz="4" w:space="0" w:color="auto"/>
                  <w:left w:val="single" w:sz="4" w:space="0" w:color="auto"/>
                  <w:bottom w:val="single" w:sz="4" w:space="0" w:color="auto"/>
                  <w:right w:val="single" w:sz="4" w:space="0" w:color="auto"/>
                </w:tcBorders>
                <w:vAlign w:val="center"/>
              </w:tcPr>
              <w:p w14:paraId="631D24E3" w14:textId="77777777" w:rsidR="00577D08" w:rsidRDefault="00330FC0">
                <w:pPr>
                  <w:jc w:val="center"/>
                </w:pPr>
                <w:r>
                  <w:rPr>
                    <w:rFonts w:hint="eastAsia"/>
                  </w:rPr>
                  <w:t>退回金额</w:t>
                </w:r>
              </w:p>
            </w:tc>
            <w:tc>
              <w:tcPr>
                <w:tcW w:w="3092" w:type="dxa"/>
                <w:tcBorders>
                  <w:top w:val="single" w:sz="4" w:space="0" w:color="auto"/>
                  <w:left w:val="single" w:sz="4" w:space="0" w:color="auto"/>
                  <w:bottom w:val="single" w:sz="4" w:space="0" w:color="auto"/>
                  <w:right w:val="single" w:sz="4" w:space="0" w:color="auto"/>
                </w:tcBorders>
                <w:vAlign w:val="center"/>
              </w:tcPr>
              <w:p w14:paraId="701D1717" w14:textId="77777777" w:rsidR="00577D08" w:rsidRDefault="00330FC0">
                <w:pPr>
                  <w:jc w:val="center"/>
                </w:pPr>
                <w:r>
                  <w:rPr>
                    <w:rFonts w:hint="eastAsia"/>
                  </w:rPr>
                  <w:t>退回原因</w:t>
                </w:r>
              </w:p>
            </w:tc>
          </w:tr>
          <w:tr w:rsidR="00577D08" w14:paraId="488C327B" w14:textId="77777777">
            <w:trPr>
              <w:jc w:val="center"/>
            </w:trPr>
            <w:tc>
              <w:tcPr>
                <w:tcW w:w="2871" w:type="dxa"/>
                <w:tcBorders>
                  <w:top w:val="single" w:sz="4" w:space="0" w:color="auto"/>
                  <w:left w:val="single" w:sz="4" w:space="0" w:color="auto"/>
                  <w:bottom w:val="single" w:sz="4" w:space="0" w:color="auto"/>
                  <w:right w:val="single" w:sz="4" w:space="0" w:color="auto"/>
                </w:tcBorders>
              </w:tcPr>
              <w:p w14:paraId="0AB17A83" w14:textId="77777777" w:rsidR="00577D08" w:rsidRDefault="00330FC0">
                <w:r>
                  <w:rPr>
                    <w:rFonts w:hint="eastAsia"/>
                  </w:rPr>
                  <w:t>重庆市长寿经济技术开发区管理委员会产业发展资金</w:t>
                </w:r>
              </w:p>
            </w:tc>
            <w:tc>
              <w:tcPr>
                <w:tcW w:w="3092" w:type="dxa"/>
                <w:tcBorders>
                  <w:top w:val="single" w:sz="4" w:space="0" w:color="auto"/>
                  <w:left w:val="single" w:sz="4" w:space="0" w:color="auto"/>
                  <w:bottom w:val="single" w:sz="4" w:space="0" w:color="auto"/>
                  <w:right w:val="single" w:sz="4" w:space="0" w:color="auto"/>
                </w:tcBorders>
                <w:vAlign w:val="center"/>
              </w:tcPr>
              <w:p w14:paraId="55B59A8D" w14:textId="77777777" w:rsidR="00577D08" w:rsidRDefault="00330FC0">
                <w:pPr>
                  <w:jc w:val="right"/>
                </w:pPr>
                <w:r>
                  <w:rPr>
                    <w:rFonts w:hint="eastAsia"/>
                  </w:rPr>
                  <w:t>3,755,100.00</w:t>
                </w:r>
              </w:p>
            </w:tc>
            <w:tc>
              <w:tcPr>
                <w:tcW w:w="3092" w:type="dxa"/>
                <w:tcBorders>
                  <w:top w:val="single" w:sz="4" w:space="0" w:color="auto"/>
                  <w:left w:val="single" w:sz="4" w:space="0" w:color="auto"/>
                  <w:bottom w:val="single" w:sz="4" w:space="0" w:color="auto"/>
                  <w:right w:val="single" w:sz="4" w:space="0" w:color="auto"/>
                </w:tcBorders>
                <w:vAlign w:val="center"/>
              </w:tcPr>
              <w:p w14:paraId="32F6FE72" w14:textId="77777777" w:rsidR="00577D08" w:rsidRDefault="00330FC0">
                <w:pPr>
                  <w:jc w:val="center"/>
                </w:pPr>
                <w:r>
                  <w:rPr>
                    <w:rFonts w:hint="eastAsia"/>
                  </w:rPr>
                  <w:t>政府审计调减</w:t>
                </w:r>
              </w:p>
            </w:tc>
          </w:tr>
          <w:tr w:rsidR="00577D08" w14:paraId="2F99CF1D" w14:textId="77777777">
            <w:trPr>
              <w:jc w:val="center"/>
            </w:trPr>
            <w:tc>
              <w:tcPr>
                <w:tcW w:w="2871" w:type="dxa"/>
                <w:tcBorders>
                  <w:top w:val="single" w:sz="4" w:space="0" w:color="auto"/>
                  <w:left w:val="single" w:sz="4" w:space="0" w:color="auto"/>
                  <w:bottom w:val="single" w:sz="4" w:space="0" w:color="auto"/>
                  <w:right w:val="single" w:sz="4" w:space="0" w:color="auto"/>
                </w:tcBorders>
                <w:vAlign w:val="center"/>
              </w:tcPr>
              <w:p w14:paraId="45797512" w14:textId="77777777" w:rsidR="00577D08" w:rsidRDefault="00330FC0">
                <w:pPr>
                  <w:jc w:val="center"/>
                </w:pPr>
                <w:r>
                  <w:rPr>
                    <w:rFonts w:hint="eastAsia"/>
                  </w:rPr>
                  <w:t>合计</w:t>
                </w:r>
              </w:p>
            </w:tc>
            <w:tc>
              <w:tcPr>
                <w:tcW w:w="3092" w:type="dxa"/>
                <w:tcBorders>
                  <w:top w:val="single" w:sz="4" w:space="0" w:color="auto"/>
                  <w:left w:val="single" w:sz="4" w:space="0" w:color="auto"/>
                  <w:bottom w:val="single" w:sz="4" w:space="0" w:color="auto"/>
                  <w:right w:val="single" w:sz="4" w:space="0" w:color="auto"/>
                </w:tcBorders>
                <w:vAlign w:val="center"/>
              </w:tcPr>
              <w:p w14:paraId="5F8D0BF4" w14:textId="77777777" w:rsidR="00577D08" w:rsidRDefault="00330FC0">
                <w:pPr>
                  <w:jc w:val="right"/>
                </w:pPr>
                <w:r>
                  <w:rPr>
                    <w:rFonts w:hint="eastAsia"/>
                  </w:rPr>
                  <w:t>3,755,100.00</w:t>
                </w:r>
              </w:p>
            </w:tc>
            <w:tc>
              <w:tcPr>
                <w:tcW w:w="3092" w:type="dxa"/>
                <w:tcBorders>
                  <w:top w:val="single" w:sz="4" w:space="0" w:color="auto"/>
                  <w:left w:val="single" w:sz="4" w:space="0" w:color="auto"/>
                  <w:bottom w:val="single" w:sz="4" w:space="0" w:color="auto"/>
                  <w:right w:val="single" w:sz="4" w:space="0" w:color="auto"/>
                </w:tcBorders>
                <w:vAlign w:val="center"/>
              </w:tcPr>
              <w:p w14:paraId="4110765E" w14:textId="77777777" w:rsidR="00577D08" w:rsidRDefault="00577D08">
                <w:pPr>
                  <w:jc w:val="center"/>
                </w:pPr>
              </w:p>
            </w:tc>
          </w:tr>
        </w:tbl>
        <w:p w14:paraId="3AAB52A5" w14:textId="77777777" w:rsidR="00577D08" w:rsidRDefault="00577D08"/>
        <w:p w14:paraId="598E45E1" w14:textId="77777777" w:rsidR="00577D08" w:rsidRDefault="00330FC0">
          <w:r>
            <w:rPr>
              <w:rFonts w:hint="eastAsia"/>
            </w:rPr>
            <w:t>（</w:t>
          </w:r>
          <w:r>
            <w:rPr>
              <w:rFonts w:hint="eastAsia"/>
            </w:rPr>
            <w:t>2</w:t>
          </w:r>
          <w:r>
            <w:rPr>
              <w:rFonts w:hint="eastAsia"/>
            </w:rPr>
            <w:t>）本期计入当期损益的政府补助“第八节</w:t>
          </w:r>
          <w:r>
            <w:rPr>
              <w:rFonts w:hint="eastAsia"/>
            </w:rPr>
            <w:t>.</w:t>
          </w:r>
          <w:r>
            <w:rPr>
              <w:rFonts w:hint="eastAsia"/>
            </w:rPr>
            <w:t>七、合并财务报表项目注释</w:t>
          </w:r>
          <w:r>
            <w:rPr>
              <w:rFonts w:hint="eastAsia"/>
            </w:rPr>
            <w:t>.67</w:t>
          </w:r>
          <w:r>
            <w:rPr>
              <w:rFonts w:hint="eastAsia"/>
            </w:rPr>
            <w:t>、其他收益”。</w:t>
          </w:r>
        </w:p>
      </w:sdtContent>
    </w:sdt>
    <w:bookmarkEnd w:id="471"/>
    <w:p w14:paraId="421B9C95" w14:textId="77777777" w:rsidR="00577D08" w:rsidRDefault="00330FC0">
      <w:pPr>
        <w:pStyle w:val="2"/>
        <w:numPr>
          <w:ilvl w:val="0"/>
          <w:numId w:val="52"/>
        </w:numPr>
        <w:rPr>
          <w:rFonts w:ascii="宋体" w:hAnsi="宋体" w:hint="eastAsia"/>
        </w:rPr>
      </w:pPr>
      <w:r>
        <w:rPr>
          <w:rFonts w:ascii="宋体" w:hAnsi="宋体" w:hint="eastAsia"/>
        </w:rPr>
        <w:t>与金融工具相关的风险</w:t>
      </w:r>
    </w:p>
    <w:p w14:paraId="3852E3C9" w14:textId="77777777" w:rsidR="00577D08" w:rsidRDefault="00330FC0">
      <w:pPr>
        <w:pStyle w:val="3"/>
        <w:numPr>
          <w:ilvl w:val="0"/>
          <w:numId w:val="110"/>
        </w:numPr>
      </w:pPr>
      <w:r>
        <w:rPr>
          <w:rFonts w:hint="eastAsia"/>
        </w:rPr>
        <w:t>金融工具的风险</w:t>
      </w:r>
    </w:p>
    <w:sdt>
      <w:sdtPr>
        <w:alias w:val="是否适用：与金融工具相关的风险[双击切换]"/>
        <w:tag w:val="_GBC_2be38aac6aaa4945a48be2cdc11eaaf6"/>
        <w:id w:val="625746948"/>
        <w:placeholder>
          <w:docPart w:val="GBC22222222222222222222222222222"/>
        </w:placeholder>
      </w:sdtPr>
      <w:sdtContent>
        <w:p w14:paraId="5EF95FD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与金融工具相关的风险"/>
        <w:tag w:val="_GBC_f6714dfdbb554edeb7e7fde71c65346d"/>
        <w:id w:val="71397777"/>
        <w:placeholder>
          <w:docPart w:val="GBC22222222222222222222222222222"/>
        </w:placeholder>
      </w:sdtPr>
      <w:sdtEndPr>
        <w:rPr>
          <w:b/>
        </w:rPr>
      </w:sdtEndPr>
      <w:sdtContent>
        <w:p w14:paraId="1FDDF846" w14:textId="77777777" w:rsidR="00577D08" w:rsidRDefault="00330FC0">
          <w:pPr>
            <w:spacing w:line="360" w:lineRule="exact"/>
            <w:ind w:firstLineChars="200" w:firstLine="420"/>
          </w:pPr>
          <w:r>
            <w:rPr>
              <w:rFonts w:hint="eastAsia"/>
            </w:rPr>
            <w:t>本公司从事风险管理的目标是在风险和收益之间取得平衡，将风险对本公司经营业绩的负面影响降至最低水平，使股东和其他权益投资者的利益最大化。基于该风险管理目标，本公司风险管理的基本策略是确认和分析本公司面临的各种风险，建立适当的风险承受底线和进行风险管理，并及时可靠地对各种风险进行监督，将风险控制在限定的范围内。</w:t>
          </w:r>
        </w:p>
        <w:p w14:paraId="218A4802" w14:textId="77777777" w:rsidR="00577D08" w:rsidRDefault="00330FC0">
          <w:pPr>
            <w:spacing w:line="360" w:lineRule="exact"/>
            <w:ind w:firstLineChars="200" w:firstLine="420"/>
          </w:pPr>
          <w:r>
            <w:rPr>
              <w:rFonts w:hint="eastAsia"/>
            </w:rPr>
            <w:t>本公司在日常活动中面临各种与金融工具相关的风险，主要包括信用风险、流动性风险及市场风险。管理层已审议并批准管理这些风险的政策，概括如下。</w:t>
          </w:r>
        </w:p>
        <w:p w14:paraId="50F93F81" w14:textId="77777777" w:rsidR="00577D08" w:rsidRDefault="00330FC0">
          <w:pPr>
            <w:spacing w:line="360" w:lineRule="exact"/>
            <w:ind w:firstLineChars="200" w:firstLine="420"/>
          </w:pPr>
          <w:r>
            <w:rPr>
              <w:rFonts w:hint="eastAsia"/>
            </w:rPr>
            <w:t>（</w:t>
          </w:r>
          <w:r>
            <w:rPr>
              <w:rFonts w:hint="eastAsia"/>
            </w:rPr>
            <w:t>1</w:t>
          </w:r>
          <w:r>
            <w:rPr>
              <w:rFonts w:hint="eastAsia"/>
            </w:rPr>
            <w:t>）信用风险</w:t>
          </w:r>
        </w:p>
        <w:p w14:paraId="05061C59" w14:textId="77777777" w:rsidR="00577D08" w:rsidRDefault="00330FC0">
          <w:pPr>
            <w:spacing w:line="360" w:lineRule="exact"/>
            <w:ind w:firstLineChars="200" w:firstLine="420"/>
          </w:pPr>
          <w:r>
            <w:rPr>
              <w:rFonts w:hint="eastAsia"/>
            </w:rPr>
            <w:t>信用风险，是指金融工具的一方不能履行义务，造成另一方发生财务损失的风险。</w:t>
          </w:r>
        </w:p>
        <w:p w14:paraId="567A25B2" w14:textId="77777777" w:rsidR="00577D08" w:rsidRDefault="00330FC0">
          <w:pPr>
            <w:spacing w:line="360" w:lineRule="exact"/>
            <w:ind w:firstLineChars="200" w:firstLine="420"/>
          </w:pPr>
          <w:r>
            <w:rPr>
              <w:rFonts w:hint="eastAsia"/>
            </w:rPr>
            <w:t>1</w:t>
          </w:r>
          <w:r>
            <w:rPr>
              <w:rFonts w:hint="eastAsia"/>
            </w:rPr>
            <w:t>）信用风险管理实务</w:t>
          </w:r>
        </w:p>
        <w:p w14:paraId="270513AE" w14:textId="77777777" w:rsidR="00577D08" w:rsidRDefault="00330FC0">
          <w:pPr>
            <w:spacing w:line="360" w:lineRule="exact"/>
            <w:ind w:firstLineChars="200" w:firstLine="420"/>
          </w:pPr>
          <w:r>
            <w:rPr>
              <w:rFonts w:hint="eastAsia"/>
            </w:rPr>
            <w:t>①信用风险的评价方法</w:t>
          </w:r>
        </w:p>
        <w:p w14:paraId="08D0B0EA" w14:textId="77777777" w:rsidR="00577D08" w:rsidRDefault="00330FC0">
          <w:pPr>
            <w:spacing w:line="360" w:lineRule="exact"/>
            <w:ind w:firstLineChars="200" w:firstLine="420"/>
          </w:pPr>
          <w:r>
            <w:rPr>
              <w:rFonts w:hint="eastAsia"/>
            </w:rPr>
            <w:t>公司在每个资产负债表日评估相关金融工具的信用风险自初始确认后是否已显著增加。在确定信用风险自初始确认后是否显著增加时，公司考虑在无须付出不必要的额外成本或努力即可获</w:t>
          </w:r>
          <w:r>
            <w:rPr>
              <w:rFonts w:hint="eastAsia"/>
            </w:rPr>
            <w:lastRenderedPageBreak/>
            <w:t>得合理且有依据的信息，包括基于历史数据的定性和定量分析、外部信用风险评级以及前瞻性信息。公司以单项金融工具或者具有相似信用风险特征的金融工具组合为基础，通过比较金融工具在资产负债表日发生违约的风险与在初始确认日发生违约的风险，以确定金融工具预计存续期内发生违约风险的变化情况。</w:t>
          </w:r>
        </w:p>
        <w:p w14:paraId="491FA50C" w14:textId="77777777" w:rsidR="00577D08" w:rsidRDefault="00330FC0">
          <w:pPr>
            <w:spacing w:line="360" w:lineRule="exact"/>
            <w:ind w:firstLineChars="200" w:firstLine="420"/>
          </w:pPr>
          <w:r>
            <w:rPr>
              <w:rFonts w:hint="eastAsia"/>
            </w:rPr>
            <w:t>当触发以下一个或多个定量、定性标准时，公司认为金融工具的信用风险已发生显著增加：</w:t>
          </w:r>
        </w:p>
        <w:p w14:paraId="5E0BA55C" w14:textId="77777777" w:rsidR="00577D08" w:rsidRDefault="00330FC0">
          <w:pPr>
            <w:spacing w:line="360" w:lineRule="exact"/>
            <w:ind w:firstLineChars="200" w:firstLine="420"/>
          </w:pPr>
          <w:r>
            <w:rPr>
              <w:rFonts w:hint="eastAsia"/>
            </w:rPr>
            <w:t>a.</w:t>
          </w:r>
          <w:r>
            <w:rPr>
              <w:rFonts w:hint="eastAsia"/>
            </w:rPr>
            <w:t>定量标准主要为资产负债表日剩余存续期违约概率较初始确认时上升超过一定比例；</w:t>
          </w:r>
        </w:p>
        <w:p w14:paraId="7FD398C1" w14:textId="77777777" w:rsidR="00577D08" w:rsidRDefault="00330FC0">
          <w:pPr>
            <w:spacing w:line="360" w:lineRule="exact"/>
            <w:ind w:firstLineChars="200" w:firstLine="420"/>
          </w:pPr>
          <w:r>
            <w:rPr>
              <w:rFonts w:hint="eastAsia"/>
            </w:rPr>
            <w:t>b.</w:t>
          </w:r>
          <w:r>
            <w:rPr>
              <w:rFonts w:hint="eastAsia"/>
            </w:rPr>
            <w:t>定性标准主要为债务人经营或财务情况出现重大不利变化、现存的或预期的技术、市场、经济或法律环境变化并将对债务人对公司的还款能力产生重大不利影响等。</w:t>
          </w:r>
        </w:p>
        <w:p w14:paraId="73981840" w14:textId="77777777" w:rsidR="00577D08" w:rsidRDefault="00330FC0">
          <w:pPr>
            <w:spacing w:line="360" w:lineRule="exact"/>
            <w:ind w:firstLineChars="200" w:firstLine="420"/>
          </w:pPr>
          <w:r>
            <w:rPr>
              <w:rFonts w:hint="eastAsia"/>
            </w:rPr>
            <w:t>②违约和已发生信用减值资产的定义</w:t>
          </w:r>
        </w:p>
        <w:p w14:paraId="2CE73E12" w14:textId="77777777" w:rsidR="00577D08" w:rsidRDefault="00330FC0">
          <w:pPr>
            <w:spacing w:line="360" w:lineRule="exact"/>
            <w:ind w:firstLineChars="200" w:firstLine="420"/>
          </w:pPr>
          <w:r>
            <w:rPr>
              <w:rFonts w:hint="eastAsia"/>
            </w:rPr>
            <w:t>当金融工具符合以下一项或多项条件时，公司将该金融资产界定为已发生违约，其标准与已发生信用减值的定义一致：</w:t>
          </w:r>
        </w:p>
        <w:p w14:paraId="3E4504E4" w14:textId="77777777" w:rsidR="00577D08" w:rsidRDefault="00330FC0">
          <w:pPr>
            <w:spacing w:line="360" w:lineRule="exact"/>
            <w:ind w:firstLineChars="200" w:firstLine="420"/>
          </w:pPr>
          <w:r>
            <w:rPr>
              <w:rFonts w:hint="eastAsia"/>
            </w:rPr>
            <w:t>a.</w:t>
          </w:r>
          <w:r>
            <w:rPr>
              <w:rFonts w:hint="eastAsia"/>
            </w:rPr>
            <w:t>债务人发生重大财务困难；</w:t>
          </w:r>
        </w:p>
        <w:p w14:paraId="78D97C30" w14:textId="77777777" w:rsidR="00577D08" w:rsidRDefault="00330FC0">
          <w:pPr>
            <w:spacing w:line="360" w:lineRule="exact"/>
            <w:ind w:firstLineChars="200" w:firstLine="420"/>
          </w:pPr>
          <w:r>
            <w:rPr>
              <w:rFonts w:hint="eastAsia"/>
            </w:rPr>
            <w:t>b.</w:t>
          </w:r>
          <w:r>
            <w:rPr>
              <w:rFonts w:hint="eastAsia"/>
            </w:rPr>
            <w:t>债务人违反合同中对债务人的约束条款；</w:t>
          </w:r>
        </w:p>
        <w:p w14:paraId="4A7E23B7" w14:textId="77777777" w:rsidR="00577D08" w:rsidRDefault="00330FC0">
          <w:pPr>
            <w:spacing w:line="360" w:lineRule="exact"/>
            <w:ind w:firstLineChars="200" w:firstLine="420"/>
          </w:pPr>
          <w:r>
            <w:rPr>
              <w:rFonts w:hint="eastAsia"/>
            </w:rPr>
            <w:t>c.</w:t>
          </w:r>
          <w:r>
            <w:rPr>
              <w:rFonts w:hint="eastAsia"/>
            </w:rPr>
            <w:t>债务人很可能破产或进行其他财务重组；</w:t>
          </w:r>
        </w:p>
        <w:p w14:paraId="642CFB12" w14:textId="77777777" w:rsidR="00577D08" w:rsidRDefault="00330FC0">
          <w:pPr>
            <w:spacing w:line="360" w:lineRule="exact"/>
            <w:ind w:firstLineChars="200" w:firstLine="420"/>
          </w:pPr>
          <w:r>
            <w:rPr>
              <w:rFonts w:hint="eastAsia"/>
            </w:rPr>
            <w:t>d.</w:t>
          </w:r>
          <w:r>
            <w:rPr>
              <w:rFonts w:hint="eastAsia"/>
            </w:rPr>
            <w:t>债权人出于与债务人财务困难有关的经济或合同考虑，给予债务人在任何其他情况下都不会做出的让步。</w:t>
          </w:r>
        </w:p>
        <w:p w14:paraId="2CA8C858" w14:textId="77777777" w:rsidR="00577D08" w:rsidRDefault="00330FC0">
          <w:pPr>
            <w:spacing w:line="360" w:lineRule="exact"/>
            <w:ind w:firstLineChars="200" w:firstLine="420"/>
          </w:pPr>
          <w:r>
            <w:rPr>
              <w:rFonts w:hint="eastAsia"/>
            </w:rPr>
            <w:t>2</w:t>
          </w:r>
          <w:r>
            <w:rPr>
              <w:rFonts w:hint="eastAsia"/>
            </w:rPr>
            <w:t>）预期信用损失的计量</w:t>
          </w:r>
        </w:p>
        <w:p w14:paraId="621A9389" w14:textId="77777777" w:rsidR="00577D08" w:rsidRDefault="00330FC0">
          <w:pPr>
            <w:spacing w:line="360" w:lineRule="exact"/>
            <w:ind w:firstLineChars="200" w:firstLine="420"/>
          </w:pPr>
          <w:r>
            <w:rPr>
              <w:rFonts w:hint="eastAsia"/>
            </w:rPr>
            <w:t>预期信用损失计量的关键参数包括违约概率、违约损失率和违约风险敞口。公司考虑历史统计数据（如交易对手评级、担保方式及抵质押物类别、还款方式等）的定量分析及前瞻性信息，建立违约概率、违约损失率及违约风险敞口模型。</w:t>
          </w:r>
        </w:p>
        <w:p w14:paraId="309AD81F" w14:textId="77777777" w:rsidR="00577D08" w:rsidRDefault="00330FC0">
          <w:pPr>
            <w:spacing w:line="360" w:lineRule="exact"/>
            <w:ind w:firstLineChars="200" w:firstLine="420"/>
          </w:pPr>
          <w:r>
            <w:rPr>
              <w:rFonts w:hint="eastAsia"/>
            </w:rPr>
            <w:t>3</w:t>
          </w:r>
          <w:r>
            <w:rPr>
              <w:rFonts w:hint="eastAsia"/>
            </w:rPr>
            <w:t>）金融工具损失准备期初余额与期末余额调节表</w:t>
          </w:r>
          <w:bookmarkStart w:id="472" w:name="OLE_LINK104"/>
          <w:r>
            <w:rPr>
              <w:rFonts w:hint="eastAsia"/>
            </w:rPr>
            <w:t>详见</w:t>
          </w:r>
          <w:bookmarkEnd w:id="472"/>
          <w:r>
            <w:rPr>
              <w:rFonts w:hint="eastAsia"/>
            </w:rPr>
            <w:t>“</w:t>
          </w:r>
          <w:bookmarkStart w:id="473" w:name="OLE_LINK105"/>
          <w:r>
            <w:rPr>
              <w:rFonts w:hint="eastAsia"/>
            </w:rPr>
            <w:t>第八节</w:t>
          </w:r>
          <w:r>
            <w:rPr>
              <w:rFonts w:hint="eastAsia"/>
            </w:rPr>
            <w:t>.</w:t>
          </w:r>
          <w:r>
            <w:rPr>
              <w:rFonts w:hint="eastAsia"/>
            </w:rPr>
            <w:t>七、合并财务报表项目注释</w:t>
          </w:r>
          <w:r>
            <w:rPr>
              <w:rFonts w:hint="eastAsia"/>
            </w:rPr>
            <w:t>.4</w:t>
          </w:r>
          <w:r>
            <w:rPr>
              <w:rFonts w:hint="eastAsia"/>
            </w:rPr>
            <w:t>、应收票据</w:t>
          </w:r>
          <w:bookmarkEnd w:id="473"/>
          <w:r>
            <w:rPr>
              <w:rFonts w:hint="eastAsia"/>
            </w:rPr>
            <w:t>，第八节</w:t>
          </w:r>
          <w:r>
            <w:rPr>
              <w:rFonts w:hint="eastAsia"/>
            </w:rPr>
            <w:t>.</w:t>
          </w:r>
          <w:r>
            <w:rPr>
              <w:rFonts w:hint="eastAsia"/>
            </w:rPr>
            <w:t>七、合并财务报表项目注释</w:t>
          </w:r>
          <w:r>
            <w:rPr>
              <w:rFonts w:hint="eastAsia"/>
            </w:rPr>
            <w:t>.5</w:t>
          </w:r>
          <w:r>
            <w:rPr>
              <w:rFonts w:hint="eastAsia"/>
            </w:rPr>
            <w:t>、应收账款</w:t>
          </w:r>
          <w:bookmarkStart w:id="474" w:name="OLE_LINK157"/>
          <w:r>
            <w:rPr>
              <w:rFonts w:hint="eastAsia"/>
            </w:rPr>
            <w:t>，第八节</w:t>
          </w:r>
          <w:r>
            <w:rPr>
              <w:rFonts w:hint="eastAsia"/>
            </w:rPr>
            <w:t>.</w:t>
          </w:r>
          <w:r>
            <w:rPr>
              <w:rFonts w:hint="eastAsia"/>
            </w:rPr>
            <w:t>七、合并财务报表项目注释</w:t>
          </w:r>
          <w:r>
            <w:rPr>
              <w:rFonts w:hint="eastAsia"/>
            </w:rPr>
            <w:t>.7</w:t>
          </w:r>
          <w:r>
            <w:rPr>
              <w:rFonts w:hint="eastAsia"/>
            </w:rPr>
            <w:t>、应收款项融资</w:t>
          </w:r>
          <w:bookmarkEnd w:id="474"/>
          <w:r>
            <w:rPr>
              <w:rFonts w:hint="eastAsia"/>
            </w:rPr>
            <w:t>，第八节</w:t>
          </w:r>
          <w:r>
            <w:rPr>
              <w:rFonts w:hint="eastAsia"/>
            </w:rPr>
            <w:t>.</w:t>
          </w:r>
          <w:r>
            <w:rPr>
              <w:rFonts w:hint="eastAsia"/>
            </w:rPr>
            <w:t>七、合并财务报表项目注释</w:t>
          </w:r>
          <w:r>
            <w:rPr>
              <w:rFonts w:hint="eastAsia"/>
            </w:rPr>
            <w:t>.9</w:t>
          </w:r>
          <w:r>
            <w:rPr>
              <w:rFonts w:hint="eastAsia"/>
            </w:rPr>
            <w:t>、其他应收款，第八节</w:t>
          </w:r>
          <w:r>
            <w:rPr>
              <w:rFonts w:hint="eastAsia"/>
            </w:rPr>
            <w:t>.</w:t>
          </w:r>
          <w:r>
            <w:rPr>
              <w:rFonts w:hint="eastAsia"/>
            </w:rPr>
            <w:t>七、合并财务报表项目注释</w:t>
          </w:r>
          <w:r>
            <w:rPr>
              <w:rFonts w:hint="eastAsia"/>
            </w:rPr>
            <w:t>.16</w:t>
          </w:r>
          <w:r>
            <w:rPr>
              <w:rFonts w:hint="eastAsia"/>
            </w:rPr>
            <w:t>、长期应收款”。</w:t>
          </w:r>
        </w:p>
        <w:p w14:paraId="3F61DF93" w14:textId="77777777" w:rsidR="00577D08" w:rsidRDefault="00330FC0">
          <w:pPr>
            <w:spacing w:line="360" w:lineRule="exact"/>
            <w:ind w:firstLineChars="200" w:firstLine="420"/>
          </w:pPr>
          <w:r>
            <w:rPr>
              <w:rFonts w:hint="eastAsia"/>
            </w:rPr>
            <w:t>4</w:t>
          </w:r>
          <w:r>
            <w:rPr>
              <w:rFonts w:hint="eastAsia"/>
            </w:rPr>
            <w:t>）信用风险敞口及信用风险集中度</w:t>
          </w:r>
        </w:p>
        <w:p w14:paraId="28CADABA" w14:textId="77777777" w:rsidR="00577D08" w:rsidRDefault="00330FC0">
          <w:pPr>
            <w:spacing w:line="360" w:lineRule="exact"/>
            <w:ind w:firstLineChars="200" w:firstLine="420"/>
          </w:pPr>
          <w:r>
            <w:rPr>
              <w:rFonts w:hint="eastAsia"/>
            </w:rPr>
            <w:t>本公司的信用风险主要来自货币资金和应收款项。为控制上述相关风险，本公司分别采取了以下措施。</w:t>
          </w:r>
        </w:p>
        <w:p w14:paraId="0935E0A0" w14:textId="77777777" w:rsidR="00577D08" w:rsidRDefault="00330FC0">
          <w:pPr>
            <w:spacing w:line="360" w:lineRule="exact"/>
            <w:ind w:firstLineChars="200" w:firstLine="420"/>
          </w:pPr>
          <w:r>
            <w:rPr>
              <w:rFonts w:hint="eastAsia"/>
            </w:rPr>
            <w:t>①货币资金</w:t>
          </w:r>
        </w:p>
        <w:p w14:paraId="72F6FF70" w14:textId="77777777" w:rsidR="00577D08" w:rsidRDefault="00330FC0">
          <w:pPr>
            <w:spacing w:line="360" w:lineRule="exact"/>
            <w:ind w:firstLineChars="200" w:firstLine="420"/>
          </w:pPr>
          <w:r>
            <w:rPr>
              <w:rFonts w:hint="eastAsia"/>
            </w:rPr>
            <w:t>本公司将银行存款和其他货币资金存放于信用评级较高的金融机构，故其信用风险较低。</w:t>
          </w:r>
        </w:p>
        <w:p w14:paraId="08B25710" w14:textId="77777777" w:rsidR="00577D08" w:rsidRDefault="00330FC0">
          <w:pPr>
            <w:spacing w:line="360" w:lineRule="exact"/>
            <w:ind w:firstLineChars="200" w:firstLine="420"/>
          </w:pPr>
          <w:r>
            <w:rPr>
              <w:rFonts w:hint="eastAsia"/>
            </w:rPr>
            <w:t>②应收款项</w:t>
          </w:r>
        </w:p>
        <w:p w14:paraId="3CC2BF87" w14:textId="77777777" w:rsidR="00577D08" w:rsidRDefault="00330FC0">
          <w:pPr>
            <w:spacing w:line="360" w:lineRule="exact"/>
            <w:ind w:firstLineChars="200" w:firstLine="420"/>
          </w:pPr>
          <w:r>
            <w:rPr>
              <w:rFonts w:hint="eastAsia"/>
            </w:rPr>
            <w:t>本公司定期对采用信用方式交易的客户进行信用评估。根据信用评估结果，本公司选择与经认可的且信用良好的客户进行交易，并对其应收款项余额进行监控，以确保本公司不会面临重大坏账风险。</w:t>
          </w:r>
        </w:p>
        <w:p w14:paraId="163A7929" w14:textId="77777777" w:rsidR="00577D08" w:rsidRDefault="00330FC0">
          <w:pPr>
            <w:spacing w:line="360" w:lineRule="exact"/>
            <w:ind w:firstLineChars="200" w:firstLine="420"/>
            <w:jc w:val="both"/>
          </w:pPr>
          <w:r>
            <w:rPr>
              <w:rFonts w:hint="eastAsia"/>
            </w:rPr>
            <w:t>由于本公司的应收账款风险点分布于多个合作方和多个客户，截至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日，本公司应收账款的前五名客户的余额占应收账款比例为</w:t>
          </w:r>
          <w:r>
            <w:t>11.49</w:t>
          </w:r>
          <w:r>
            <w:rPr>
              <w:rFonts w:hint="eastAsia"/>
            </w:rPr>
            <w:t>%</w:t>
          </w:r>
          <w:r>
            <w:rPr>
              <w:rFonts w:hint="eastAsia"/>
            </w:rPr>
            <w:t>，本公司不存在重大的信用集中风险。</w:t>
          </w:r>
        </w:p>
        <w:p w14:paraId="5C46C893" w14:textId="77777777" w:rsidR="00577D08" w:rsidRDefault="00330FC0">
          <w:pPr>
            <w:spacing w:line="360" w:lineRule="exact"/>
            <w:ind w:firstLineChars="200" w:firstLine="420"/>
          </w:pPr>
          <w:r>
            <w:rPr>
              <w:rFonts w:hint="eastAsia"/>
            </w:rPr>
            <w:t>本公司所承受的最大信用风险敞口为资产负债表中每项金融资产的账面价值。</w:t>
          </w:r>
        </w:p>
        <w:p w14:paraId="22898F76" w14:textId="77777777" w:rsidR="00577D08" w:rsidRDefault="00330FC0">
          <w:pPr>
            <w:spacing w:line="360" w:lineRule="exact"/>
            <w:ind w:firstLineChars="200" w:firstLine="420"/>
          </w:pPr>
          <w:r>
            <w:rPr>
              <w:rFonts w:hint="eastAsia"/>
            </w:rPr>
            <w:t>（</w:t>
          </w:r>
          <w:r>
            <w:rPr>
              <w:rFonts w:hint="eastAsia"/>
            </w:rPr>
            <w:t>2</w:t>
          </w:r>
          <w:r>
            <w:rPr>
              <w:rFonts w:hint="eastAsia"/>
            </w:rPr>
            <w:t>）流动性风险</w:t>
          </w:r>
        </w:p>
        <w:p w14:paraId="12517677" w14:textId="77777777" w:rsidR="00577D08" w:rsidRDefault="00330FC0">
          <w:pPr>
            <w:spacing w:line="360" w:lineRule="exact"/>
            <w:ind w:firstLineChars="200" w:firstLine="420"/>
          </w:pPr>
          <w:r>
            <w:rPr>
              <w:rFonts w:hint="eastAsia"/>
            </w:rPr>
            <w:lastRenderedPageBreak/>
            <w:t>流动性风险，是指本公司在履行以交付现金或其他金融资产的方式结算的义务时发生资金短缺的风险。流动性风险可能源于无法尽快以公允价值售出金融资产；或者源于对方无法偿还其合同债务；或者源于提前到期的债务；或者源于无法产生预期的现金流量。</w:t>
          </w:r>
        </w:p>
        <w:p w14:paraId="5A3A697A" w14:textId="77777777" w:rsidR="00577D08" w:rsidRDefault="00330FC0">
          <w:pPr>
            <w:spacing w:line="360" w:lineRule="exact"/>
            <w:ind w:firstLineChars="200" w:firstLine="420"/>
          </w:pPr>
          <w:r>
            <w:rPr>
              <w:rFonts w:hint="eastAsia"/>
            </w:rPr>
            <w:t>为控制该项风险，本公司综合运用票据结算、银行借款等多种融资手段，并采取长、短期融资方式适当结合，优化融资结构的方法，保持融资持续性与灵活性之间的平衡。本公司已从多家商业银行取得银行授信额度以满足营运资金需求和资本开支。</w:t>
          </w:r>
        </w:p>
        <w:p w14:paraId="0DED5AA5" w14:textId="77777777" w:rsidR="00577D08" w:rsidRDefault="00330FC0">
          <w:pPr>
            <w:spacing w:line="360" w:lineRule="exact"/>
            <w:ind w:firstLineChars="200" w:firstLine="420"/>
          </w:pPr>
          <w:r>
            <w:rPr>
              <w:rFonts w:hint="eastAsia"/>
            </w:rPr>
            <w:t>金融负债按剩余到期日分类</w:t>
          </w:r>
        </w:p>
        <w:p w14:paraId="65BB1FF1" w14:textId="065EC188" w:rsidR="00577D08" w:rsidRDefault="00330FC0">
          <w:pPr>
            <w:ind w:firstLineChars="200" w:firstLine="420"/>
            <w:jc w:val="right"/>
          </w:pPr>
          <w:r>
            <w:rPr>
              <w:rFonts w:hint="eastAsia"/>
            </w:rPr>
            <w:t>单位：元</w:t>
          </w:r>
          <w:r w:rsidR="00CC5C32">
            <w:rPr>
              <w:rFonts w:hint="eastAsia"/>
            </w:rPr>
            <w:t xml:space="preserve"> </w:t>
          </w:r>
          <w:r>
            <w:rPr>
              <w:rFonts w:hint="eastAsia"/>
            </w:rPr>
            <w:t>币种：人民币</w:t>
          </w:r>
        </w:p>
        <w:tbl>
          <w:tblPr>
            <w:tblStyle w:val="g4"/>
            <w:tblW w:w="5000" w:type="pct"/>
            <w:tblInd w:w="0" w:type="dxa"/>
            <w:tblLook w:val="04A0" w:firstRow="1" w:lastRow="0" w:firstColumn="1" w:lastColumn="0" w:noHBand="0" w:noVBand="1"/>
          </w:tblPr>
          <w:tblGrid>
            <w:gridCol w:w="1578"/>
            <w:gridCol w:w="1476"/>
            <w:gridCol w:w="1476"/>
            <w:gridCol w:w="1476"/>
            <w:gridCol w:w="1476"/>
            <w:gridCol w:w="1341"/>
          </w:tblGrid>
          <w:tr w:rsidR="00577D08" w14:paraId="03A7A21D" w14:textId="77777777">
            <w:trPr>
              <w:trHeight w:val="288"/>
              <w:tblHeader/>
            </w:trPr>
            <w:tc>
              <w:tcPr>
                <w:tcW w:w="996" w:type="pct"/>
                <w:vMerge w:val="restart"/>
                <w:tcBorders>
                  <w:top w:val="single" w:sz="4" w:space="0" w:color="auto"/>
                  <w:left w:val="single" w:sz="4" w:space="0" w:color="auto"/>
                  <w:bottom w:val="single" w:sz="4" w:space="0" w:color="auto"/>
                  <w:right w:val="single" w:sz="4" w:space="0" w:color="auto"/>
                </w:tcBorders>
                <w:vAlign w:val="center"/>
              </w:tcPr>
              <w:p w14:paraId="56C53CA3" w14:textId="77777777" w:rsidR="00577D08" w:rsidRDefault="00330FC0">
                <w:pPr>
                  <w:jc w:val="center"/>
                  <w:rPr>
                    <w:color w:val="000000"/>
                    <w:sz w:val="18"/>
                    <w:szCs w:val="18"/>
                  </w:rPr>
                </w:pPr>
                <w:r>
                  <w:rPr>
                    <w:rFonts w:hint="eastAsia"/>
                    <w:sz w:val="18"/>
                    <w:szCs w:val="18"/>
                  </w:rPr>
                  <w:t>项目</w:t>
                </w:r>
              </w:p>
            </w:tc>
            <w:tc>
              <w:tcPr>
                <w:tcW w:w="4004" w:type="pct"/>
                <w:gridSpan w:val="5"/>
                <w:tcBorders>
                  <w:top w:val="single" w:sz="4" w:space="0" w:color="auto"/>
                  <w:left w:val="nil"/>
                  <w:bottom w:val="single" w:sz="4" w:space="0" w:color="auto"/>
                  <w:right w:val="single" w:sz="4" w:space="0" w:color="auto"/>
                </w:tcBorders>
                <w:vAlign w:val="center"/>
              </w:tcPr>
              <w:p w14:paraId="67B41C1E" w14:textId="77777777" w:rsidR="00577D08" w:rsidRDefault="00330FC0">
                <w:pPr>
                  <w:jc w:val="center"/>
                  <w:rPr>
                    <w:color w:val="000000"/>
                    <w:sz w:val="18"/>
                    <w:szCs w:val="18"/>
                  </w:rPr>
                </w:pPr>
                <w:r>
                  <w:rPr>
                    <w:rFonts w:hint="eastAsia"/>
                    <w:sz w:val="18"/>
                    <w:szCs w:val="18"/>
                  </w:rPr>
                  <w:t>期末数</w:t>
                </w:r>
              </w:p>
            </w:tc>
          </w:tr>
          <w:tr w:rsidR="00577D08" w14:paraId="6C252DC4" w14:textId="77777777">
            <w:trPr>
              <w:trHeight w:val="288"/>
              <w:tblHeader/>
            </w:trPr>
            <w:tc>
              <w:tcPr>
                <w:tcW w:w="996" w:type="pct"/>
                <w:vMerge/>
                <w:tcBorders>
                  <w:top w:val="single" w:sz="4" w:space="0" w:color="auto"/>
                  <w:left w:val="single" w:sz="4" w:space="0" w:color="auto"/>
                  <w:bottom w:val="single" w:sz="4" w:space="0" w:color="auto"/>
                  <w:right w:val="single" w:sz="4" w:space="0" w:color="auto"/>
                </w:tcBorders>
                <w:vAlign w:val="center"/>
              </w:tcPr>
              <w:p w14:paraId="5102E5A3" w14:textId="77777777" w:rsidR="00577D08" w:rsidRDefault="00577D08">
                <w:pPr>
                  <w:rPr>
                    <w:color w:val="000000"/>
                    <w:sz w:val="18"/>
                    <w:szCs w:val="18"/>
                  </w:rPr>
                </w:pPr>
              </w:p>
            </w:tc>
            <w:tc>
              <w:tcPr>
                <w:tcW w:w="816" w:type="pct"/>
                <w:tcBorders>
                  <w:top w:val="nil"/>
                  <w:left w:val="nil"/>
                  <w:bottom w:val="single" w:sz="4" w:space="0" w:color="auto"/>
                  <w:right w:val="single" w:sz="4" w:space="0" w:color="auto"/>
                </w:tcBorders>
                <w:vAlign w:val="center"/>
              </w:tcPr>
              <w:p w14:paraId="77307368" w14:textId="77777777" w:rsidR="00577D08" w:rsidRDefault="00330FC0">
                <w:pPr>
                  <w:jc w:val="center"/>
                  <w:rPr>
                    <w:sz w:val="18"/>
                    <w:szCs w:val="18"/>
                  </w:rPr>
                </w:pPr>
                <w:r>
                  <w:rPr>
                    <w:rFonts w:hint="eastAsia"/>
                    <w:sz w:val="18"/>
                    <w:szCs w:val="18"/>
                  </w:rPr>
                  <w:t>账面价值</w:t>
                </w:r>
              </w:p>
            </w:tc>
            <w:tc>
              <w:tcPr>
                <w:tcW w:w="816" w:type="pct"/>
                <w:tcBorders>
                  <w:top w:val="nil"/>
                  <w:left w:val="nil"/>
                  <w:bottom w:val="single" w:sz="4" w:space="0" w:color="auto"/>
                  <w:right w:val="single" w:sz="4" w:space="0" w:color="auto"/>
                </w:tcBorders>
                <w:vAlign w:val="center"/>
              </w:tcPr>
              <w:p w14:paraId="18C84AC7" w14:textId="77777777" w:rsidR="00577D08" w:rsidRDefault="00330FC0">
                <w:pPr>
                  <w:jc w:val="center"/>
                  <w:rPr>
                    <w:sz w:val="18"/>
                    <w:szCs w:val="18"/>
                  </w:rPr>
                </w:pPr>
                <w:r>
                  <w:rPr>
                    <w:rFonts w:hint="eastAsia"/>
                    <w:sz w:val="18"/>
                    <w:szCs w:val="18"/>
                  </w:rPr>
                  <w:t>未折现合同金额</w:t>
                </w:r>
              </w:p>
            </w:tc>
            <w:tc>
              <w:tcPr>
                <w:tcW w:w="816" w:type="pct"/>
                <w:tcBorders>
                  <w:top w:val="nil"/>
                  <w:left w:val="nil"/>
                  <w:bottom w:val="single" w:sz="4" w:space="0" w:color="auto"/>
                  <w:right w:val="single" w:sz="4" w:space="0" w:color="auto"/>
                </w:tcBorders>
                <w:vAlign w:val="center"/>
              </w:tcPr>
              <w:p w14:paraId="56E980A5" w14:textId="77777777" w:rsidR="00577D08" w:rsidRDefault="00330FC0">
                <w:pPr>
                  <w:jc w:val="center"/>
                  <w:rPr>
                    <w:sz w:val="18"/>
                    <w:szCs w:val="18"/>
                  </w:rPr>
                </w:pPr>
                <w:r>
                  <w:rPr>
                    <w:rFonts w:hint="eastAsia"/>
                    <w:sz w:val="18"/>
                    <w:szCs w:val="18"/>
                  </w:rPr>
                  <w:t>1</w:t>
                </w:r>
                <w:r>
                  <w:rPr>
                    <w:rFonts w:hint="eastAsia"/>
                    <w:sz w:val="18"/>
                    <w:szCs w:val="18"/>
                  </w:rPr>
                  <w:t>年以内</w:t>
                </w:r>
              </w:p>
            </w:tc>
            <w:tc>
              <w:tcPr>
                <w:tcW w:w="816" w:type="pct"/>
                <w:tcBorders>
                  <w:top w:val="nil"/>
                  <w:left w:val="nil"/>
                  <w:bottom w:val="single" w:sz="4" w:space="0" w:color="auto"/>
                  <w:right w:val="single" w:sz="4" w:space="0" w:color="auto"/>
                </w:tcBorders>
                <w:vAlign w:val="center"/>
              </w:tcPr>
              <w:p w14:paraId="56F9174D" w14:textId="77777777" w:rsidR="00577D08" w:rsidRDefault="00330FC0">
                <w:pPr>
                  <w:jc w:val="center"/>
                  <w:rPr>
                    <w:sz w:val="18"/>
                    <w:szCs w:val="18"/>
                  </w:rPr>
                </w:pPr>
                <w:r>
                  <w:rPr>
                    <w:rFonts w:hint="eastAsia"/>
                    <w:sz w:val="18"/>
                    <w:szCs w:val="18"/>
                  </w:rPr>
                  <w:t>1-3</w:t>
                </w:r>
                <w:r>
                  <w:rPr>
                    <w:rFonts w:hint="eastAsia"/>
                    <w:sz w:val="18"/>
                    <w:szCs w:val="18"/>
                  </w:rPr>
                  <w:t>年</w:t>
                </w:r>
              </w:p>
            </w:tc>
            <w:tc>
              <w:tcPr>
                <w:tcW w:w="741" w:type="pct"/>
                <w:tcBorders>
                  <w:top w:val="nil"/>
                  <w:left w:val="nil"/>
                  <w:bottom w:val="single" w:sz="4" w:space="0" w:color="auto"/>
                  <w:right w:val="single" w:sz="4" w:space="0" w:color="auto"/>
                </w:tcBorders>
                <w:vAlign w:val="center"/>
              </w:tcPr>
              <w:p w14:paraId="2CFFCB40" w14:textId="77777777" w:rsidR="00577D08" w:rsidRDefault="00330FC0">
                <w:pPr>
                  <w:jc w:val="center"/>
                  <w:rPr>
                    <w:sz w:val="18"/>
                    <w:szCs w:val="18"/>
                  </w:rPr>
                </w:pPr>
                <w:r>
                  <w:rPr>
                    <w:rFonts w:hint="eastAsia"/>
                    <w:sz w:val="18"/>
                    <w:szCs w:val="18"/>
                  </w:rPr>
                  <w:t>3</w:t>
                </w:r>
                <w:r>
                  <w:rPr>
                    <w:rFonts w:hint="eastAsia"/>
                    <w:sz w:val="18"/>
                    <w:szCs w:val="18"/>
                  </w:rPr>
                  <w:t>年以上</w:t>
                </w:r>
              </w:p>
            </w:tc>
          </w:tr>
          <w:tr w:rsidR="00577D08" w14:paraId="1ED48A96" w14:textId="77777777">
            <w:trPr>
              <w:trHeight w:val="288"/>
            </w:trPr>
            <w:tc>
              <w:tcPr>
                <w:tcW w:w="996" w:type="pct"/>
                <w:tcBorders>
                  <w:top w:val="nil"/>
                  <w:left w:val="single" w:sz="4" w:space="0" w:color="auto"/>
                  <w:bottom w:val="single" w:sz="4" w:space="0" w:color="auto"/>
                  <w:right w:val="single" w:sz="4" w:space="0" w:color="auto"/>
                </w:tcBorders>
                <w:vAlign w:val="center"/>
              </w:tcPr>
              <w:p w14:paraId="69599809" w14:textId="77777777" w:rsidR="00577D08" w:rsidRDefault="00330FC0">
                <w:pPr>
                  <w:jc w:val="center"/>
                  <w:rPr>
                    <w:sz w:val="18"/>
                    <w:szCs w:val="18"/>
                  </w:rPr>
                </w:pPr>
                <w:r>
                  <w:rPr>
                    <w:rFonts w:hint="eastAsia"/>
                    <w:sz w:val="18"/>
                    <w:szCs w:val="18"/>
                  </w:rPr>
                  <w:t>银行借款</w:t>
                </w:r>
              </w:p>
            </w:tc>
            <w:tc>
              <w:tcPr>
                <w:tcW w:w="816" w:type="pct"/>
                <w:tcBorders>
                  <w:top w:val="nil"/>
                  <w:left w:val="nil"/>
                  <w:bottom w:val="single" w:sz="4" w:space="0" w:color="auto"/>
                  <w:right w:val="single" w:sz="4" w:space="0" w:color="auto"/>
                </w:tcBorders>
                <w:vAlign w:val="center"/>
              </w:tcPr>
              <w:p w14:paraId="2D2A7766" w14:textId="77777777" w:rsidR="00577D08" w:rsidRDefault="00330FC0">
                <w:pPr>
                  <w:jc w:val="right"/>
                  <w:rPr>
                    <w:sz w:val="18"/>
                    <w:szCs w:val="18"/>
                  </w:rPr>
                </w:pPr>
                <w:r>
                  <w:rPr>
                    <w:sz w:val="18"/>
                    <w:szCs w:val="18"/>
                  </w:rPr>
                  <w:t>2,202,810,101.81</w:t>
                </w:r>
              </w:p>
            </w:tc>
            <w:tc>
              <w:tcPr>
                <w:tcW w:w="816" w:type="pct"/>
                <w:tcBorders>
                  <w:top w:val="nil"/>
                  <w:left w:val="nil"/>
                  <w:bottom w:val="single" w:sz="4" w:space="0" w:color="auto"/>
                  <w:right w:val="single" w:sz="4" w:space="0" w:color="auto"/>
                </w:tcBorders>
                <w:vAlign w:val="center"/>
              </w:tcPr>
              <w:p w14:paraId="51334DA2" w14:textId="77777777" w:rsidR="00577D08" w:rsidRDefault="00330FC0">
                <w:pPr>
                  <w:jc w:val="right"/>
                  <w:rPr>
                    <w:sz w:val="18"/>
                    <w:szCs w:val="18"/>
                  </w:rPr>
                </w:pPr>
                <w:r>
                  <w:rPr>
                    <w:sz w:val="18"/>
                    <w:szCs w:val="18"/>
                  </w:rPr>
                  <w:t>2,302,077,838.86</w:t>
                </w:r>
              </w:p>
            </w:tc>
            <w:tc>
              <w:tcPr>
                <w:tcW w:w="816" w:type="pct"/>
                <w:tcBorders>
                  <w:top w:val="nil"/>
                  <w:left w:val="nil"/>
                  <w:bottom w:val="single" w:sz="4" w:space="0" w:color="auto"/>
                  <w:right w:val="single" w:sz="4" w:space="0" w:color="auto"/>
                </w:tcBorders>
                <w:vAlign w:val="center"/>
              </w:tcPr>
              <w:p w14:paraId="383627EE" w14:textId="77777777" w:rsidR="00577D08" w:rsidRDefault="00330FC0">
                <w:pPr>
                  <w:jc w:val="right"/>
                  <w:rPr>
                    <w:sz w:val="18"/>
                    <w:szCs w:val="18"/>
                  </w:rPr>
                </w:pPr>
                <w:r>
                  <w:rPr>
                    <w:sz w:val="18"/>
                    <w:szCs w:val="18"/>
                  </w:rPr>
                  <w:t>731,513,477.69</w:t>
                </w:r>
              </w:p>
            </w:tc>
            <w:tc>
              <w:tcPr>
                <w:tcW w:w="816" w:type="pct"/>
                <w:tcBorders>
                  <w:top w:val="nil"/>
                  <w:left w:val="nil"/>
                  <w:bottom w:val="single" w:sz="4" w:space="0" w:color="auto"/>
                  <w:right w:val="single" w:sz="4" w:space="0" w:color="auto"/>
                </w:tcBorders>
                <w:vAlign w:val="center"/>
              </w:tcPr>
              <w:p w14:paraId="10A69467" w14:textId="77777777" w:rsidR="00577D08" w:rsidRDefault="00330FC0">
                <w:pPr>
                  <w:jc w:val="right"/>
                  <w:rPr>
                    <w:sz w:val="18"/>
                    <w:szCs w:val="18"/>
                  </w:rPr>
                </w:pPr>
                <w:r>
                  <w:rPr>
                    <w:sz w:val="18"/>
                    <w:szCs w:val="18"/>
                  </w:rPr>
                  <w:t>1,258,297,677.24</w:t>
                </w:r>
              </w:p>
            </w:tc>
            <w:tc>
              <w:tcPr>
                <w:tcW w:w="741" w:type="pct"/>
                <w:tcBorders>
                  <w:top w:val="nil"/>
                  <w:left w:val="nil"/>
                  <w:bottom w:val="single" w:sz="4" w:space="0" w:color="auto"/>
                  <w:right w:val="single" w:sz="4" w:space="0" w:color="auto"/>
                </w:tcBorders>
                <w:vAlign w:val="center"/>
              </w:tcPr>
              <w:p w14:paraId="6197FD12" w14:textId="77777777" w:rsidR="00577D08" w:rsidRDefault="00330FC0">
                <w:pPr>
                  <w:jc w:val="right"/>
                  <w:rPr>
                    <w:sz w:val="18"/>
                    <w:szCs w:val="18"/>
                  </w:rPr>
                </w:pPr>
                <w:r>
                  <w:rPr>
                    <w:sz w:val="18"/>
                    <w:szCs w:val="18"/>
                  </w:rPr>
                  <w:t>312,266,683.93</w:t>
                </w:r>
              </w:p>
            </w:tc>
          </w:tr>
          <w:tr w:rsidR="00577D08" w14:paraId="256AE69A" w14:textId="77777777">
            <w:trPr>
              <w:trHeight w:val="288"/>
            </w:trPr>
            <w:tc>
              <w:tcPr>
                <w:tcW w:w="996" w:type="pct"/>
                <w:tcBorders>
                  <w:top w:val="nil"/>
                  <w:left w:val="single" w:sz="4" w:space="0" w:color="auto"/>
                  <w:bottom w:val="single" w:sz="4" w:space="0" w:color="auto"/>
                  <w:right w:val="single" w:sz="4" w:space="0" w:color="auto"/>
                </w:tcBorders>
                <w:vAlign w:val="center"/>
              </w:tcPr>
              <w:p w14:paraId="5AD5574F" w14:textId="77777777" w:rsidR="00577D08" w:rsidRDefault="00330FC0">
                <w:pPr>
                  <w:jc w:val="center"/>
                  <w:rPr>
                    <w:sz w:val="18"/>
                    <w:szCs w:val="18"/>
                  </w:rPr>
                </w:pPr>
                <w:r>
                  <w:rPr>
                    <w:rFonts w:hint="eastAsia"/>
                    <w:sz w:val="18"/>
                    <w:szCs w:val="18"/>
                  </w:rPr>
                  <w:t>应付票据</w:t>
                </w:r>
              </w:p>
            </w:tc>
            <w:tc>
              <w:tcPr>
                <w:tcW w:w="816" w:type="pct"/>
                <w:tcBorders>
                  <w:top w:val="nil"/>
                  <w:left w:val="nil"/>
                  <w:bottom w:val="single" w:sz="4" w:space="0" w:color="auto"/>
                  <w:right w:val="single" w:sz="4" w:space="0" w:color="auto"/>
                </w:tcBorders>
                <w:vAlign w:val="center"/>
              </w:tcPr>
              <w:p w14:paraId="45836217" w14:textId="77777777" w:rsidR="00577D08" w:rsidRDefault="00330FC0">
                <w:pPr>
                  <w:jc w:val="right"/>
                  <w:rPr>
                    <w:sz w:val="18"/>
                    <w:szCs w:val="18"/>
                  </w:rPr>
                </w:pPr>
                <w:r>
                  <w:rPr>
                    <w:sz w:val="18"/>
                    <w:szCs w:val="18"/>
                  </w:rPr>
                  <w:t>878,158,051.60</w:t>
                </w:r>
              </w:p>
            </w:tc>
            <w:tc>
              <w:tcPr>
                <w:tcW w:w="816" w:type="pct"/>
                <w:tcBorders>
                  <w:top w:val="nil"/>
                  <w:left w:val="nil"/>
                  <w:bottom w:val="single" w:sz="4" w:space="0" w:color="auto"/>
                  <w:right w:val="single" w:sz="4" w:space="0" w:color="auto"/>
                </w:tcBorders>
                <w:vAlign w:val="center"/>
              </w:tcPr>
              <w:p w14:paraId="5C56F7E0" w14:textId="77777777" w:rsidR="00577D08" w:rsidRDefault="00330FC0">
                <w:pPr>
                  <w:jc w:val="right"/>
                  <w:rPr>
                    <w:sz w:val="18"/>
                    <w:szCs w:val="18"/>
                  </w:rPr>
                </w:pPr>
                <w:r>
                  <w:rPr>
                    <w:sz w:val="18"/>
                    <w:szCs w:val="18"/>
                  </w:rPr>
                  <w:t>878,158,051.60</w:t>
                </w:r>
              </w:p>
            </w:tc>
            <w:tc>
              <w:tcPr>
                <w:tcW w:w="816" w:type="pct"/>
                <w:tcBorders>
                  <w:top w:val="nil"/>
                  <w:left w:val="nil"/>
                  <w:bottom w:val="single" w:sz="4" w:space="0" w:color="auto"/>
                  <w:right w:val="single" w:sz="4" w:space="0" w:color="auto"/>
                </w:tcBorders>
                <w:vAlign w:val="center"/>
              </w:tcPr>
              <w:p w14:paraId="0F703F51" w14:textId="77777777" w:rsidR="00577D08" w:rsidRDefault="00330FC0">
                <w:pPr>
                  <w:jc w:val="right"/>
                  <w:rPr>
                    <w:sz w:val="18"/>
                    <w:szCs w:val="18"/>
                  </w:rPr>
                </w:pPr>
                <w:r>
                  <w:rPr>
                    <w:sz w:val="18"/>
                    <w:szCs w:val="18"/>
                  </w:rPr>
                  <w:t>878,158,051.60</w:t>
                </w:r>
              </w:p>
            </w:tc>
            <w:tc>
              <w:tcPr>
                <w:tcW w:w="816" w:type="pct"/>
                <w:tcBorders>
                  <w:top w:val="nil"/>
                  <w:left w:val="nil"/>
                  <w:bottom w:val="single" w:sz="4" w:space="0" w:color="auto"/>
                  <w:right w:val="single" w:sz="4" w:space="0" w:color="auto"/>
                </w:tcBorders>
                <w:vAlign w:val="center"/>
              </w:tcPr>
              <w:p w14:paraId="6039D254" w14:textId="77777777" w:rsidR="00577D08" w:rsidRDefault="00577D08">
                <w:pPr>
                  <w:jc w:val="right"/>
                  <w:rPr>
                    <w:sz w:val="18"/>
                    <w:szCs w:val="18"/>
                  </w:rPr>
                </w:pPr>
              </w:p>
            </w:tc>
            <w:tc>
              <w:tcPr>
                <w:tcW w:w="741" w:type="pct"/>
                <w:tcBorders>
                  <w:top w:val="nil"/>
                  <w:left w:val="nil"/>
                  <w:bottom w:val="single" w:sz="4" w:space="0" w:color="auto"/>
                  <w:right w:val="single" w:sz="4" w:space="0" w:color="auto"/>
                </w:tcBorders>
                <w:vAlign w:val="center"/>
              </w:tcPr>
              <w:p w14:paraId="2546BA6E" w14:textId="77777777" w:rsidR="00577D08" w:rsidRDefault="00577D08">
                <w:pPr>
                  <w:jc w:val="right"/>
                  <w:rPr>
                    <w:sz w:val="18"/>
                    <w:szCs w:val="18"/>
                  </w:rPr>
                </w:pPr>
              </w:p>
            </w:tc>
          </w:tr>
          <w:tr w:rsidR="00577D08" w14:paraId="73C2A573" w14:textId="77777777">
            <w:trPr>
              <w:trHeight w:val="288"/>
            </w:trPr>
            <w:tc>
              <w:tcPr>
                <w:tcW w:w="996" w:type="pct"/>
                <w:tcBorders>
                  <w:top w:val="nil"/>
                  <w:left w:val="single" w:sz="4" w:space="0" w:color="auto"/>
                  <w:bottom w:val="single" w:sz="4" w:space="0" w:color="auto"/>
                  <w:right w:val="single" w:sz="4" w:space="0" w:color="auto"/>
                </w:tcBorders>
                <w:vAlign w:val="center"/>
              </w:tcPr>
              <w:p w14:paraId="111D7738" w14:textId="77777777" w:rsidR="00577D08" w:rsidRDefault="00330FC0">
                <w:pPr>
                  <w:jc w:val="center"/>
                  <w:rPr>
                    <w:sz w:val="18"/>
                    <w:szCs w:val="18"/>
                  </w:rPr>
                </w:pPr>
                <w:r>
                  <w:rPr>
                    <w:rFonts w:hint="eastAsia"/>
                    <w:sz w:val="18"/>
                    <w:szCs w:val="18"/>
                  </w:rPr>
                  <w:t>应付账款</w:t>
                </w:r>
              </w:p>
            </w:tc>
            <w:tc>
              <w:tcPr>
                <w:tcW w:w="816" w:type="pct"/>
                <w:tcBorders>
                  <w:top w:val="nil"/>
                  <w:left w:val="nil"/>
                  <w:bottom w:val="single" w:sz="4" w:space="0" w:color="auto"/>
                  <w:right w:val="single" w:sz="4" w:space="0" w:color="auto"/>
                </w:tcBorders>
                <w:vAlign w:val="center"/>
              </w:tcPr>
              <w:p w14:paraId="32734795" w14:textId="77777777" w:rsidR="00577D08" w:rsidRDefault="00330FC0">
                <w:pPr>
                  <w:jc w:val="right"/>
                  <w:rPr>
                    <w:sz w:val="18"/>
                    <w:szCs w:val="18"/>
                  </w:rPr>
                </w:pPr>
                <w:r>
                  <w:rPr>
                    <w:sz w:val="18"/>
                    <w:szCs w:val="18"/>
                  </w:rPr>
                  <w:t>743,992,815.82</w:t>
                </w:r>
              </w:p>
            </w:tc>
            <w:tc>
              <w:tcPr>
                <w:tcW w:w="816" w:type="pct"/>
                <w:tcBorders>
                  <w:top w:val="nil"/>
                  <w:left w:val="nil"/>
                  <w:bottom w:val="single" w:sz="4" w:space="0" w:color="auto"/>
                  <w:right w:val="single" w:sz="4" w:space="0" w:color="auto"/>
                </w:tcBorders>
                <w:vAlign w:val="center"/>
              </w:tcPr>
              <w:p w14:paraId="0B8DE75D" w14:textId="77777777" w:rsidR="00577D08" w:rsidRDefault="00330FC0">
                <w:pPr>
                  <w:jc w:val="right"/>
                  <w:rPr>
                    <w:sz w:val="18"/>
                    <w:szCs w:val="18"/>
                  </w:rPr>
                </w:pPr>
                <w:r>
                  <w:rPr>
                    <w:sz w:val="18"/>
                    <w:szCs w:val="18"/>
                  </w:rPr>
                  <w:t>743,992,815.82</w:t>
                </w:r>
              </w:p>
            </w:tc>
            <w:tc>
              <w:tcPr>
                <w:tcW w:w="816" w:type="pct"/>
                <w:tcBorders>
                  <w:top w:val="nil"/>
                  <w:left w:val="nil"/>
                  <w:bottom w:val="single" w:sz="4" w:space="0" w:color="auto"/>
                  <w:right w:val="single" w:sz="4" w:space="0" w:color="auto"/>
                </w:tcBorders>
                <w:vAlign w:val="center"/>
              </w:tcPr>
              <w:p w14:paraId="5DF19228" w14:textId="77777777" w:rsidR="00577D08" w:rsidRDefault="00330FC0">
                <w:pPr>
                  <w:jc w:val="right"/>
                  <w:rPr>
                    <w:sz w:val="18"/>
                    <w:szCs w:val="18"/>
                  </w:rPr>
                </w:pPr>
                <w:r>
                  <w:rPr>
                    <w:sz w:val="18"/>
                    <w:szCs w:val="18"/>
                  </w:rPr>
                  <w:t>681,979,531.93</w:t>
                </w:r>
              </w:p>
            </w:tc>
            <w:tc>
              <w:tcPr>
                <w:tcW w:w="816" w:type="pct"/>
                <w:tcBorders>
                  <w:top w:val="nil"/>
                  <w:left w:val="nil"/>
                  <w:bottom w:val="single" w:sz="4" w:space="0" w:color="auto"/>
                  <w:right w:val="single" w:sz="4" w:space="0" w:color="auto"/>
                </w:tcBorders>
                <w:vAlign w:val="center"/>
              </w:tcPr>
              <w:p w14:paraId="1780EB4A" w14:textId="77777777" w:rsidR="00577D08" w:rsidRDefault="00330FC0">
                <w:pPr>
                  <w:jc w:val="right"/>
                  <w:rPr>
                    <w:sz w:val="18"/>
                    <w:szCs w:val="18"/>
                  </w:rPr>
                </w:pPr>
                <w:r>
                  <w:rPr>
                    <w:sz w:val="18"/>
                    <w:szCs w:val="18"/>
                  </w:rPr>
                  <w:t>62,013,283.89</w:t>
                </w:r>
              </w:p>
            </w:tc>
            <w:tc>
              <w:tcPr>
                <w:tcW w:w="741" w:type="pct"/>
                <w:tcBorders>
                  <w:top w:val="nil"/>
                  <w:left w:val="nil"/>
                  <w:bottom w:val="single" w:sz="4" w:space="0" w:color="auto"/>
                  <w:right w:val="single" w:sz="4" w:space="0" w:color="auto"/>
                </w:tcBorders>
                <w:vAlign w:val="center"/>
              </w:tcPr>
              <w:p w14:paraId="47CF38CB" w14:textId="77777777" w:rsidR="00577D08" w:rsidRDefault="00577D08">
                <w:pPr>
                  <w:jc w:val="right"/>
                  <w:rPr>
                    <w:sz w:val="18"/>
                    <w:szCs w:val="18"/>
                  </w:rPr>
                </w:pPr>
              </w:p>
            </w:tc>
          </w:tr>
          <w:tr w:rsidR="00577D08" w14:paraId="4A5C948B" w14:textId="77777777">
            <w:trPr>
              <w:trHeight w:val="288"/>
            </w:trPr>
            <w:tc>
              <w:tcPr>
                <w:tcW w:w="996" w:type="pct"/>
                <w:tcBorders>
                  <w:top w:val="nil"/>
                  <w:left w:val="single" w:sz="4" w:space="0" w:color="auto"/>
                  <w:bottom w:val="single" w:sz="4" w:space="0" w:color="auto"/>
                  <w:right w:val="single" w:sz="4" w:space="0" w:color="auto"/>
                </w:tcBorders>
                <w:vAlign w:val="center"/>
              </w:tcPr>
              <w:p w14:paraId="0D522797" w14:textId="77777777" w:rsidR="00577D08" w:rsidRDefault="00330FC0">
                <w:pPr>
                  <w:jc w:val="center"/>
                  <w:rPr>
                    <w:sz w:val="18"/>
                    <w:szCs w:val="18"/>
                  </w:rPr>
                </w:pPr>
                <w:r>
                  <w:rPr>
                    <w:rFonts w:hint="eastAsia"/>
                    <w:sz w:val="18"/>
                    <w:szCs w:val="18"/>
                  </w:rPr>
                  <w:t>其他应付款</w:t>
                </w:r>
              </w:p>
            </w:tc>
            <w:tc>
              <w:tcPr>
                <w:tcW w:w="816" w:type="pct"/>
                <w:tcBorders>
                  <w:top w:val="nil"/>
                  <w:left w:val="nil"/>
                  <w:bottom w:val="single" w:sz="4" w:space="0" w:color="auto"/>
                  <w:right w:val="single" w:sz="4" w:space="0" w:color="auto"/>
                </w:tcBorders>
                <w:vAlign w:val="center"/>
              </w:tcPr>
              <w:p w14:paraId="23C5743E" w14:textId="77777777" w:rsidR="00577D08" w:rsidRDefault="00330FC0">
                <w:pPr>
                  <w:jc w:val="right"/>
                  <w:rPr>
                    <w:sz w:val="18"/>
                    <w:szCs w:val="18"/>
                  </w:rPr>
                </w:pPr>
                <w:r>
                  <w:rPr>
                    <w:sz w:val="18"/>
                    <w:szCs w:val="18"/>
                  </w:rPr>
                  <w:t>62,168,818.34</w:t>
                </w:r>
              </w:p>
            </w:tc>
            <w:tc>
              <w:tcPr>
                <w:tcW w:w="816" w:type="pct"/>
                <w:tcBorders>
                  <w:top w:val="nil"/>
                  <w:left w:val="nil"/>
                  <w:bottom w:val="single" w:sz="4" w:space="0" w:color="auto"/>
                  <w:right w:val="single" w:sz="4" w:space="0" w:color="auto"/>
                </w:tcBorders>
                <w:vAlign w:val="center"/>
              </w:tcPr>
              <w:p w14:paraId="690944B0" w14:textId="77777777" w:rsidR="00577D08" w:rsidRDefault="00330FC0">
                <w:pPr>
                  <w:jc w:val="right"/>
                  <w:rPr>
                    <w:sz w:val="18"/>
                    <w:szCs w:val="18"/>
                  </w:rPr>
                </w:pPr>
                <w:r>
                  <w:rPr>
                    <w:sz w:val="18"/>
                    <w:szCs w:val="18"/>
                  </w:rPr>
                  <w:t>62,168,818.34</w:t>
                </w:r>
              </w:p>
            </w:tc>
            <w:tc>
              <w:tcPr>
                <w:tcW w:w="816" w:type="pct"/>
                <w:tcBorders>
                  <w:top w:val="nil"/>
                  <w:left w:val="nil"/>
                  <w:bottom w:val="single" w:sz="4" w:space="0" w:color="auto"/>
                  <w:right w:val="single" w:sz="4" w:space="0" w:color="auto"/>
                </w:tcBorders>
                <w:vAlign w:val="center"/>
              </w:tcPr>
              <w:p w14:paraId="239D0FCC" w14:textId="77777777" w:rsidR="00577D08" w:rsidRDefault="00330FC0">
                <w:pPr>
                  <w:jc w:val="right"/>
                  <w:rPr>
                    <w:sz w:val="18"/>
                    <w:szCs w:val="18"/>
                  </w:rPr>
                </w:pPr>
                <w:r>
                  <w:rPr>
                    <w:sz w:val="18"/>
                    <w:szCs w:val="18"/>
                  </w:rPr>
                  <w:t>24,562,143.75</w:t>
                </w:r>
              </w:p>
            </w:tc>
            <w:tc>
              <w:tcPr>
                <w:tcW w:w="816" w:type="pct"/>
                <w:tcBorders>
                  <w:top w:val="nil"/>
                  <w:left w:val="nil"/>
                  <w:bottom w:val="single" w:sz="4" w:space="0" w:color="auto"/>
                  <w:right w:val="single" w:sz="4" w:space="0" w:color="auto"/>
                </w:tcBorders>
                <w:vAlign w:val="center"/>
              </w:tcPr>
              <w:p w14:paraId="5B73C240" w14:textId="77777777" w:rsidR="00577D08" w:rsidRDefault="00330FC0">
                <w:pPr>
                  <w:jc w:val="right"/>
                  <w:rPr>
                    <w:sz w:val="18"/>
                    <w:szCs w:val="18"/>
                  </w:rPr>
                </w:pPr>
                <w:r>
                  <w:rPr>
                    <w:sz w:val="18"/>
                    <w:szCs w:val="18"/>
                  </w:rPr>
                  <w:t>19,073,295.33</w:t>
                </w:r>
              </w:p>
            </w:tc>
            <w:tc>
              <w:tcPr>
                <w:tcW w:w="741" w:type="pct"/>
                <w:tcBorders>
                  <w:top w:val="nil"/>
                  <w:left w:val="nil"/>
                  <w:bottom w:val="single" w:sz="4" w:space="0" w:color="auto"/>
                  <w:right w:val="single" w:sz="4" w:space="0" w:color="auto"/>
                </w:tcBorders>
                <w:vAlign w:val="center"/>
              </w:tcPr>
              <w:p w14:paraId="02EFF37C" w14:textId="77777777" w:rsidR="00577D08" w:rsidRDefault="00330FC0">
                <w:pPr>
                  <w:jc w:val="right"/>
                  <w:rPr>
                    <w:sz w:val="18"/>
                    <w:szCs w:val="18"/>
                  </w:rPr>
                </w:pPr>
                <w:r>
                  <w:rPr>
                    <w:sz w:val="18"/>
                    <w:szCs w:val="18"/>
                  </w:rPr>
                  <w:t>18,533,379.26</w:t>
                </w:r>
              </w:p>
            </w:tc>
          </w:tr>
          <w:tr w:rsidR="00577D08" w14:paraId="348ECB86" w14:textId="77777777">
            <w:trPr>
              <w:trHeight w:val="288"/>
            </w:trPr>
            <w:tc>
              <w:tcPr>
                <w:tcW w:w="996" w:type="pct"/>
                <w:tcBorders>
                  <w:top w:val="nil"/>
                  <w:left w:val="single" w:sz="4" w:space="0" w:color="auto"/>
                  <w:bottom w:val="single" w:sz="4" w:space="0" w:color="auto"/>
                  <w:right w:val="single" w:sz="4" w:space="0" w:color="auto"/>
                </w:tcBorders>
                <w:vAlign w:val="center"/>
              </w:tcPr>
              <w:p w14:paraId="5CBB70B0" w14:textId="77777777" w:rsidR="00577D08" w:rsidRDefault="00330FC0">
                <w:pPr>
                  <w:jc w:val="center"/>
                  <w:rPr>
                    <w:sz w:val="18"/>
                    <w:szCs w:val="18"/>
                  </w:rPr>
                </w:pPr>
                <w:r>
                  <w:rPr>
                    <w:rFonts w:hint="eastAsia"/>
                    <w:sz w:val="18"/>
                    <w:szCs w:val="18"/>
                  </w:rPr>
                  <w:t>其他流动负债</w:t>
                </w:r>
                <w:r>
                  <w:rPr>
                    <w:rFonts w:hint="eastAsia"/>
                    <w:sz w:val="18"/>
                    <w:szCs w:val="18"/>
                  </w:rPr>
                  <w:t>-</w:t>
                </w:r>
                <w:r>
                  <w:rPr>
                    <w:rFonts w:hint="eastAsia"/>
                    <w:sz w:val="18"/>
                    <w:szCs w:val="18"/>
                  </w:rPr>
                  <w:t>票据相关</w:t>
                </w:r>
              </w:p>
            </w:tc>
            <w:tc>
              <w:tcPr>
                <w:tcW w:w="816" w:type="pct"/>
                <w:tcBorders>
                  <w:top w:val="nil"/>
                  <w:left w:val="nil"/>
                  <w:bottom w:val="single" w:sz="4" w:space="0" w:color="auto"/>
                  <w:right w:val="single" w:sz="4" w:space="0" w:color="auto"/>
                </w:tcBorders>
                <w:vAlign w:val="center"/>
              </w:tcPr>
              <w:p w14:paraId="1DDEF8C4" w14:textId="77777777" w:rsidR="00577D08" w:rsidRDefault="00330FC0">
                <w:pPr>
                  <w:jc w:val="right"/>
                  <w:rPr>
                    <w:sz w:val="18"/>
                    <w:szCs w:val="18"/>
                  </w:rPr>
                </w:pPr>
                <w:r>
                  <w:rPr>
                    <w:sz w:val="18"/>
                    <w:szCs w:val="18"/>
                  </w:rPr>
                  <w:t>313,617,724.22</w:t>
                </w:r>
              </w:p>
            </w:tc>
            <w:tc>
              <w:tcPr>
                <w:tcW w:w="816" w:type="pct"/>
                <w:tcBorders>
                  <w:top w:val="nil"/>
                  <w:left w:val="nil"/>
                  <w:bottom w:val="single" w:sz="4" w:space="0" w:color="auto"/>
                  <w:right w:val="single" w:sz="4" w:space="0" w:color="auto"/>
                </w:tcBorders>
                <w:vAlign w:val="center"/>
              </w:tcPr>
              <w:p w14:paraId="0DFA2F1A" w14:textId="77777777" w:rsidR="00577D08" w:rsidRDefault="00330FC0">
                <w:pPr>
                  <w:jc w:val="right"/>
                  <w:rPr>
                    <w:sz w:val="18"/>
                    <w:szCs w:val="18"/>
                  </w:rPr>
                </w:pPr>
                <w:r>
                  <w:rPr>
                    <w:sz w:val="18"/>
                    <w:szCs w:val="18"/>
                  </w:rPr>
                  <w:t>313,617,724.22</w:t>
                </w:r>
              </w:p>
            </w:tc>
            <w:tc>
              <w:tcPr>
                <w:tcW w:w="816" w:type="pct"/>
                <w:tcBorders>
                  <w:top w:val="nil"/>
                  <w:left w:val="nil"/>
                  <w:bottom w:val="single" w:sz="4" w:space="0" w:color="auto"/>
                  <w:right w:val="single" w:sz="4" w:space="0" w:color="auto"/>
                </w:tcBorders>
                <w:vAlign w:val="center"/>
              </w:tcPr>
              <w:p w14:paraId="51EDBF40" w14:textId="77777777" w:rsidR="00577D08" w:rsidRDefault="00330FC0">
                <w:pPr>
                  <w:jc w:val="right"/>
                  <w:rPr>
                    <w:sz w:val="18"/>
                    <w:szCs w:val="18"/>
                  </w:rPr>
                </w:pPr>
                <w:r>
                  <w:rPr>
                    <w:sz w:val="18"/>
                    <w:szCs w:val="18"/>
                  </w:rPr>
                  <w:t>313,617,724.22</w:t>
                </w:r>
              </w:p>
            </w:tc>
            <w:tc>
              <w:tcPr>
                <w:tcW w:w="816" w:type="pct"/>
                <w:tcBorders>
                  <w:top w:val="nil"/>
                  <w:left w:val="nil"/>
                  <w:bottom w:val="single" w:sz="4" w:space="0" w:color="auto"/>
                  <w:right w:val="single" w:sz="4" w:space="0" w:color="auto"/>
                </w:tcBorders>
                <w:vAlign w:val="center"/>
              </w:tcPr>
              <w:p w14:paraId="28CEED0B" w14:textId="77777777" w:rsidR="00577D08" w:rsidRDefault="00577D08">
                <w:pPr>
                  <w:jc w:val="right"/>
                  <w:rPr>
                    <w:sz w:val="18"/>
                    <w:szCs w:val="18"/>
                  </w:rPr>
                </w:pPr>
              </w:p>
            </w:tc>
            <w:tc>
              <w:tcPr>
                <w:tcW w:w="741" w:type="pct"/>
                <w:tcBorders>
                  <w:top w:val="nil"/>
                  <w:left w:val="nil"/>
                  <w:bottom w:val="single" w:sz="4" w:space="0" w:color="auto"/>
                  <w:right w:val="single" w:sz="4" w:space="0" w:color="auto"/>
                </w:tcBorders>
                <w:vAlign w:val="center"/>
              </w:tcPr>
              <w:p w14:paraId="25687CF7" w14:textId="77777777" w:rsidR="00577D08" w:rsidRDefault="00577D08">
                <w:pPr>
                  <w:jc w:val="right"/>
                  <w:rPr>
                    <w:sz w:val="18"/>
                    <w:szCs w:val="18"/>
                  </w:rPr>
                </w:pPr>
              </w:p>
            </w:tc>
          </w:tr>
          <w:tr w:rsidR="00577D08" w14:paraId="5E7BD66B" w14:textId="77777777">
            <w:trPr>
              <w:trHeight w:val="288"/>
            </w:trPr>
            <w:tc>
              <w:tcPr>
                <w:tcW w:w="996" w:type="pct"/>
                <w:tcBorders>
                  <w:top w:val="nil"/>
                  <w:left w:val="single" w:sz="4" w:space="0" w:color="auto"/>
                  <w:bottom w:val="single" w:sz="4" w:space="0" w:color="auto"/>
                  <w:right w:val="single" w:sz="4" w:space="0" w:color="auto"/>
                </w:tcBorders>
                <w:vAlign w:val="center"/>
              </w:tcPr>
              <w:p w14:paraId="6522AB92" w14:textId="77777777" w:rsidR="00577D08" w:rsidRDefault="00330FC0">
                <w:pPr>
                  <w:jc w:val="center"/>
                  <w:rPr>
                    <w:sz w:val="18"/>
                    <w:szCs w:val="18"/>
                  </w:rPr>
                </w:pPr>
                <w:r>
                  <w:rPr>
                    <w:rFonts w:hint="eastAsia"/>
                    <w:sz w:val="18"/>
                    <w:szCs w:val="18"/>
                  </w:rPr>
                  <w:t>租赁负债</w:t>
                </w:r>
              </w:p>
            </w:tc>
            <w:tc>
              <w:tcPr>
                <w:tcW w:w="816" w:type="pct"/>
                <w:tcBorders>
                  <w:top w:val="nil"/>
                  <w:left w:val="nil"/>
                  <w:bottom w:val="single" w:sz="4" w:space="0" w:color="auto"/>
                  <w:right w:val="single" w:sz="4" w:space="0" w:color="auto"/>
                </w:tcBorders>
                <w:vAlign w:val="center"/>
              </w:tcPr>
              <w:p w14:paraId="7E1CDC59" w14:textId="77777777" w:rsidR="00577D08" w:rsidRDefault="00330FC0">
                <w:pPr>
                  <w:jc w:val="right"/>
                  <w:rPr>
                    <w:sz w:val="18"/>
                    <w:szCs w:val="18"/>
                  </w:rPr>
                </w:pPr>
                <w:r>
                  <w:rPr>
                    <w:sz w:val="18"/>
                    <w:szCs w:val="18"/>
                  </w:rPr>
                  <w:t>22,208,854.09</w:t>
                </w:r>
              </w:p>
            </w:tc>
            <w:tc>
              <w:tcPr>
                <w:tcW w:w="816" w:type="pct"/>
                <w:tcBorders>
                  <w:top w:val="nil"/>
                  <w:left w:val="nil"/>
                  <w:bottom w:val="single" w:sz="4" w:space="0" w:color="auto"/>
                  <w:right w:val="single" w:sz="4" w:space="0" w:color="auto"/>
                </w:tcBorders>
                <w:vAlign w:val="center"/>
              </w:tcPr>
              <w:p w14:paraId="343E3A25" w14:textId="77777777" w:rsidR="00577D08" w:rsidRDefault="00330FC0">
                <w:pPr>
                  <w:jc w:val="right"/>
                  <w:rPr>
                    <w:sz w:val="18"/>
                    <w:szCs w:val="18"/>
                  </w:rPr>
                </w:pPr>
                <w:r>
                  <w:rPr>
                    <w:sz w:val="18"/>
                    <w:szCs w:val="18"/>
                  </w:rPr>
                  <w:t>23,065,451.60</w:t>
                </w:r>
              </w:p>
            </w:tc>
            <w:tc>
              <w:tcPr>
                <w:tcW w:w="816" w:type="pct"/>
                <w:tcBorders>
                  <w:top w:val="nil"/>
                  <w:left w:val="nil"/>
                  <w:bottom w:val="single" w:sz="4" w:space="0" w:color="auto"/>
                  <w:right w:val="single" w:sz="4" w:space="0" w:color="auto"/>
                </w:tcBorders>
                <w:vAlign w:val="center"/>
              </w:tcPr>
              <w:p w14:paraId="52496200" w14:textId="77777777" w:rsidR="00577D08" w:rsidRDefault="00330FC0">
                <w:pPr>
                  <w:jc w:val="right"/>
                  <w:rPr>
                    <w:sz w:val="18"/>
                    <w:szCs w:val="18"/>
                  </w:rPr>
                </w:pPr>
                <w:r>
                  <w:rPr>
                    <w:sz w:val="18"/>
                    <w:szCs w:val="18"/>
                  </w:rPr>
                  <w:t>10,551,682.55</w:t>
                </w:r>
              </w:p>
            </w:tc>
            <w:tc>
              <w:tcPr>
                <w:tcW w:w="816" w:type="pct"/>
                <w:tcBorders>
                  <w:top w:val="nil"/>
                  <w:left w:val="nil"/>
                  <w:bottom w:val="single" w:sz="4" w:space="0" w:color="auto"/>
                  <w:right w:val="single" w:sz="4" w:space="0" w:color="auto"/>
                </w:tcBorders>
                <w:vAlign w:val="center"/>
              </w:tcPr>
              <w:p w14:paraId="64417B8E" w14:textId="77777777" w:rsidR="00577D08" w:rsidRDefault="00330FC0">
                <w:pPr>
                  <w:jc w:val="right"/>
                  <w:rPr>
                    <w:sz w:val="18"/>
                    <w:szCs w:val="18"/>
                  </w:rPr>
                </w:pPr>
                <w:r>
                  <w:rPr>
                    <w:sz w:val="18"/>
                    <w:szCs w:val="18"/>
                  </w:rPr>
                  <w:t>11,849,125.11</w:t>
                </w:r>
              </w:p>
            </w:tc>
            <w:tc>
              <w:tcPr>
                <w:tcW w:w="741" w:type="pct"/>
                <w:tcBorders>
                  <w:top w:val="nil"/>
                  <w:left w:val="nil"/>
                  <w:bottom w:val="single" w:sz="4" w:space="0" w:color="auto"/>
                  <w:right w:val="single" w:sz="4" w:space="0" w:color="auto"/>
                </w:tcBorders>
                <w:vAlign w:val="center"/>
              </w:tcPr>
              <w:p w14:paraId="3F2DE375" w14:textId="77777777" w:rsidR="00577D08" w:rsidRDefault="00330FC0">
                <w:pPr>
                  <w:jc w:val="right"/>
                  <w:rPr>
                    <w:sz w:val="18"/>
                    <w:szCs w:val="18"/>
                  </w:rPr>
                </w:pPr>
                <w:r>
                  <w:rPr>
                    <w:sz w:val="18"/>
                    <w:szCs w:val="18"/>
                  </w:rPr>
                  <w:t>664,643.94</w:t>
                </w:r>
              </w:p>
            </w:tc>
          </w:tr>
          <w:tr w:rsidR="00577D08" w14:paraId="26C7D1A0" w14:textId="77777777">
            <w:trPr>
              <w:trHeight w:val="288"/>
            </w:trPr>
            <w:tc>
              <w:tcPr>
                <w:tcW w:w="996" w:type="pct"/>
                <w:tcBorders>
                  <w:top w:val="nil"/>
                  <w:left w:val="single" w:sz="4" w:space="0" w:color="auto"/>
                  <w:bottom w:val="single" w:sz="4" w:space="0" w:color="auto"/>
                  <w:right w:val="single" w:sz="4" w:space="0" w:color="auto"/>
                </w:tcBorders>
                <w:vAlign w:val="center"/>
              </w:tcPr>
              <w:p w14:paraId="4FDDBBAF" w14:textId="77777777" w:rsidR="00577D08" w:rsidRDefault="00330FC0">
                <w:pPr>
                  <w:jc w:val="center"/>
                  <w:rPr>
                    <w:sz w:val="18"/>
                    <w:szCs w:val="18"/>
                  </w:rPr>
                </w:pPr>
                <w:r>
                  <w:rPr>
                    <w:rFonts w:hint="eastAsia"/>
                    <w:sz w:val="18"/>
                    <w:szCs w:val="18"/>
                  </w:rPr>
                  <w:t>长期应付款</w:t>
                </w:r>
              </w:p>
            </w:tc>
            <w:tc>
              <w:tcPr>
                <w:tcW w:w="816" w:type="pct"/>
                <w:tcBorders>
                  <w:top w:val="nil"/>
                  <w:left w:val="nil"/>
                  <w:bottom w:val="single" w:sz="4" w:space="0" w:color="auto"/>
                  <w:right w:val="single" w:sz="4" w:space="0" w:color="auto"/>
                </w:tcBorders>
                <w:vAlign w:val="center"/>
              </w:tcPr>
              <w:p w14:paraId="0876093C" w14:textId="77777777" w:rsidR="00577D08" w:rsidRDefault="00330FC0">
                <w:pPr>
                  <w:jc w:val="right"/>
                  <w:rPr>
                    <w:sz w:val="18"/>
                    <w:szCs w:val="18"/>
                  </w:rPr>
                </w:pPr>
                <w:r>
                  <w:rPr>
                    <w:sz w:val="18"/>
                    <w:szCs w:val="18"/>
                  </w:rPr>
                  <w:t>181,929,540.89</w:t>
                </w:r>
              </w:p>
            </w:tc>
            <w:tc>
              <w:tcPr>
                <w:tcW w:w="816" w:type="pct"/>
                <w:tcBorders>
                  <w:top w:val="nil"/>
                  <w:left w:val="nil"/>
                  <w:bottom w:val="single" w:sz="4" w:space="0" w:color="auto"/>
                  <w:right w:val="single" w:sz="4" w:space="0" w:color="auto"/>
                </w:tcBorders>
                <w:vAlign w:val="center"/>
              </w:tcPr>
              <w:p w14:paraId="334D0269" w14:textId="77777777" w:rsidR="00577D08" w:rsidRDefault="00330FC0">
                <w:pPr>
                  <w:jc w:val="right"/>
                  <w:rPr>
                    <w:sz w:val="18"/>
                    <w:szCs w:val="18"/>
                  </w:rPr>
                </w:pPr>
                <w:r>
                  <w:rPr>
                    <w:sz w:val="18"/>
                    <w:szCs w:val="18"/>
                  </w:rPr>
                  <w:t>193,935,211.12</w:t>
                </w:r>
              </w:p>
            </w:tc>
            <w:tc>
              <w:tcPr>
                <w:tcW w:w="816" w:type="pct"/>
                <w:tcBorders>
                  <w:top w:val="nil"/>
                  <w:left w:val="nil"/>
                  <w:bottom w:val="single" w:sz="4" w:space="0" w:color="auto"/>
                  <w:right w:val="single" w:sz="4" w:space="0" w:color="auto"/>
                </w:tcBorders>
                <w:vAlign w:val="center"/>
              </w:tcPr>
              <w:p w14:paraId="2C625827" w14:textId="77777777" w:rsidR="00577D08" w:rsidRDefault="00330FC0">
                <w:pPr>
                  <w:jc w:val="right"/>
                  <w:rPr>
                    <w:sz w:val="18"/>
                    <w:szCs w:val="18"/>
                  </w:rPr>
                </w:pPr>
                <w:r>
                  <w:rPr>
                    <w:sz w:val="18"/>
                    <w:szCs w:val="18"/>
                  </w:rPr>
                  <w:t>45,259,555.56</w:t>
                </w:r>
              </w:p>
            </w:tc>
            <w:tc>
              <w:tcPr>
                <w:tcW w:w="816" w:type="pct"/>
                <w:tcBorders>
                  <w:top w:val="nil"/>
                  <w:left w:val="nil"/>
                  <w:bottom w:val="single" w:sz="4" w:space="0" w:color="auto"/>
                  <w:right w:val="single" w:sz="4" w:space="0" w:color="auto"/>
                </w:tcBorders>
                <w:vAlign w:val="center"/>
              </w:tcPr>
              <w:p w14:paraId="53DC9A1F" w14:textId="77777777" w:rsidR="00577D08" w:rsidRDefault="00330FC0">
                <w:pPr>
                  <w:jc w:val="right"/>
                  <w:rPr>
                    <w:sz w:val="18"/>
                    <w:szCs w:val="18"/>
                  </w:rPr>
                </w:pPr>
                <w:r>
                  <w:rPr>
                    <w:sz w:val="18"/>
                    <w:szCs w:val="18"/>
                  </w:rPr>
                  <w:t>128,363,777.78</w:t>
                </w:r>
              </w:p>
            </w:tc>
            <w:tc>
              <w:tcPr>
                <w:tcW w:w="741" w:type="pct"/>
                <w:tcBorders>
                  <w:top w:val="nil"/>
                  <w:left w:val="nil"/>
                  <w:bottom w:val="single" w:sz="4" w:space="0" w:color="auto"/>
                  <w:right w:val="single" w:sz="4" w:space="0" w:color="auto"/>
                </w:tcBorders>
                <w:vAlign w:val="center"/>
              </w:tcPr>
              <w:p w14:paraId="51117BD1" w14:textId="77777777" w:rsidR="00577D08" w:rsidRDefault="00330FC0">
                <w:pPr>
                  <w:jc w:val="right"/>
                  <w:rPr>
                    <w:sz w:val="18"/>
                    <w:szCs w:val="18"/>
                  </w:rPr>
                </w:pPr>
                <w:r>
                  <w:rPr>
                    <w:sz w:val="18"/>
                    <w:szCs w:val="18"/>
                  </w:rPr>
                  <w:t>20,311,877.78</w:t>
                </w:r>
              </w:p>
            </w:tc>
          </w:tr>
          <w:tr w:rsidR="00577D08" w14:paraId="355F32F1" w14:textId="77777777">
            <w:trPr>
              <w:trHeight w:val="288"/>
            </w:trPr>
            <w:tc>
              <w:tcPr>
                <w:tcW w:w="996" w:type="pct"/>
                <w:tcBorders>
                  <w:top w:val="nil"/>
                  <w:left w:val="single" w:sz="4" w:space="0" w:color="auto"/>
                  <w:bottom w:val="single" w:sz="4" w:space="0" w:color="auto"/>
                  <w:right w:val="single" w:sz="4" w:space="0" w:color="auto"/>
                </w:tcBorders>
                <w:vAlign w:val="center"/>
              </w:tcPr>
              <w:p w14:paraId="5AC1B2A7" w14:textId="77777777" w:rsidR="00577D08" w:rsidRDefault="00330FC0">
                <w:pPr>
                  <w:jc w:val="center"/>
                  <w:rPr>
                    <w:sz w:val="18"/>
                    <w:szCs w:val="18"/>
                  </w:rPr>
                </w:pPr>
                <w:r>
                  <w:rPr>
                    <w:rFonts w:hint="eastAsia"/>
                    <w:sz w:val="18"/>
                    <w:szCs w:val="18"/>
                  </w:rPr>
                  <w:t>合计</w:t>
                </w:r>
              </w:p>
            </w:tc>
            <w:tc>
              <w:tcPr>
                <w:tcW w:w="816" w:type="pct"/>
                <w:tcBorders>
                  <w:top w:val="nil"/>
                  <w:left w:val="nil"/>
                  <w:bottom w:val="single" w:sz="4" w:space="0" w:color="auto"/>
                  <w:right w:val="single" w:sz="4" w:space="0" w:color="auto"/>
                </w:tcBorders>
                <w:vAlign w:val="center"/>
              </w:tcPr>
              <w:p w14:paraId="53EF8E1A" w14:textId="77777777" w:rsidR="00577D08" w:rsidRDefault="00330FC0">
                <w:pPr>
                  <w:jc w:val="right"/>
                  <w:rPr>
                    <w:sz w:val="18"/>
                    <w:szCs w:val="18"/>
                  </w:rPr>
                </w:pPr>
                <w:r>
                  <w:rPr>
                    <w:sz w:val="18"/>
                    <w:szCs w:val="18"/>
                  </w:rPr>
                  <w:t>4,404,885,906.77</w:t>
                </w:r>
              </w:p>
            </w:tc>
            <w:tc>
              <w:tcPr>
                <w:tcW w:w="816" w:type="pct"/>
                <w:tcBorders>
                  <w:top w:val="nil"/>
                  <w:left w:val="nil"/>
                  <w:bottom w:val="single" w:sz="4" w:space="0" w:color="auto"/>
                  <w:right w:val="single" w:sz="4" w:space="0" w:color="auto"/>
                </w:tcBorders>
                <w:vAlign w:val="center"/>
              </w:tcPr>
              <w:p w14:paraId="282B68B1" w14:textId="77777777" w:rsidR="00577D08" w:rsidRDefault="00330FC0">
                <w:pPr>
                  <w:jc w:val="right"/>
                  <w:rPr>
                    <w:sz w:val="18"/>
                    <w:szCs w:val="18"/>
                  </w:rPr>
                </w:pPr>
                <w:r>
                  <w:rPr>
                    <w:sz w:val="18"/>
                    <w:szCs w:val="18"/>
                  </w:rPr>
                  <w:t>4,517,015,911.56</w:t>
                </w:r>
              </w:p>
            </w:tc>
            <w:tc>
              <w:tcPr>
                <w:tcW w:w="816" w:type="pct"/>
                <w:tcBorders>
                  <w:top w:val="nil"/>
                  <w:left w:val="nil"/>
                  <w:bottom w:val="single" w:sz="4" w:space="0" w:color="auto"/>
                  <w:right w:val="single" w:sz="4" w:space="0" w:color="auto"/>
                </w:tcBorders>
                <w:vAlign w:val="center"/>
              </w:tcPr>
              <w:p w14:paraId="245C21B3" w14:textId="77777777" w:rsidR="00577D08" w:rsidRDefault="00330FC0">
                <w:pPr>
                  <w:jc w:val="right"/>
                  <w:rPr>
                    <w:sz w:val="18"/>
                    <w:szCs w:val="18"/>
                  </w:rPr>
                </w:pPr>
                <w:r>
                  <w:rPr>
                    <w:sz w:val="18"/>
                    <w:szCs w:val="18"/>
                  </w:rPr>
                  <w:t>2,685,642,167.30</w:t>
                </w:r>
              </w:p>
            </w:tc>
            <w:tc>
              <w:tcPr>
                <w:tcW w:w="816" w:type="pct"/>
                <w:tcBorders>
                  <w:top w:val="nil"/>
                  <w:left w:val="nil"/>
                  <w:bottom w:val="single" w:sz="4" w:space="0" w:color="auto"/>
                  <w:right w:val="single" w:sz="4" w:space="0" w:color="auto"/>
                </w:tcBorders>
                <w:vAlign w:val="center"/>
              </w:tcPr>
              <w:p w14:paraId="7D8589DE" w14:textId="77777777" w:rsidR="00577D08" w:rsidRDefault="00330FC0">
                <w:pPr>
                  <w:jc w:val="right"/>
                  <w:rPr>
                    <w:sz w:val="18"/>
                    <w:szCs w:val="18"/>
                  </w:rPr>
                </w:pPr>
                <w:r>
                  <w:rPr>
                    <w:sz w:val="18"/>
                    <w:szCs w:val="18"/>
                  </w:rPr>
                  <w:t>1,479,597,159.35</w:t>
                </w:r>
              </w:p>
            </w:tc>
            <w:tc>
              <w:tcPr>
                <w:tcW w:w="741" w:type="pct"/>
                <w:tcBorders>
                  <w:top w:val="nil"/>
                  <w:left w:val="nil"/>
                  <w:bottom w:val="single" w:sz="4" w:space="0" w:color="auto"/>
                  <w:right w:val="single" w:sz="4" w:space="0" w:color="auto"/>
                </w:tcBorders>
                <w:vAlign w:val="center"/>
              </w:tcPr>
              <w:p w14:paraId="0707128C" w14:textId="77777777" w:rsidR="00577D08" w:rsidRDefault="00330FC0">
                <w:pPr>
                  <w:jc w:val="right"/>
                  <w:rPr>
                    <w:sz w:val="18"/>
                    <w:szCs w:val="18"/>
                  </w:rPr>
                </w:pPr>
                <w:r>
                  <w:rPr>
                    <w:sz w:val="18"/>
                    <w:szCs w:val="18"/>
                  </w:rPr>
                  <w:t>351,776,584.91</w:t>
                </w:r>
              </w:p>
            </w:tc>
          </w:tr>
        </w:tbl>
        <w:p w14:paraId="2032163A" w14:textId="77777777" w:rsidR="00577D08" w:rsidRDefault="00577D08">
          <w:pPr>
            <w:pStyle w:val="Style43"/>
          </w:pPr>
        </w:p>
        <w:tbl>
          <w:tblPr>
            <w:tblStyle w:val="g4"/>
            <w:tblW w:w="5000" w:type="pct"/>
            <w:tblInd w:w="0" w:type="dxa"/>
            <w:tblLook w:val="04A0" w:firstRow="1" w:lastRow="0" w:firstColumn="1" w:lastColumn="0" w:noHBand="0" w:noVBand="1"/>
          </w:tblPr>
          <w:tblGrid>
            <w:gridCol w:w="1713"/>
            <w:gridCol w:w="1476"/>
            <w:gridCol w:w="1476"/>
            <w:gridCol w:w="1476"/>
            <w:gridCol w:w="1341"/>
            <w:gridCol w:w="1341"/>
          </w:tblGrid>
          <w:tr w:rsidR="00577D08" w14:paraId="6B3F5457" w14:textId="77777777">
            <w:trPr>
              <w:trHeight w:val="288"/>
            </w:trPr>
            <w:tc>
              <w:tcPr>
                <w:tcW w:w="1071" w:type="pct"/>
                <w:vMerge w:val="restart"/>
                <w:tcBorders>
                  <w:top w:val="single" w:sz="4" w:space="0" w:color="auto"/>
                  <w:left w:val="single" w:sz="4" w:space="0" w:color="auto"/>
                  <w:bottom w:val="single" w:sz="4" w:space="0" w:color="auto"/>
                  <w:right w:val="single" w:sz="4" w:space="0" w:color="auto"/>
                </w:tcBorders>
                <w:vAlign w:val="center"/>
              </w:tcPr>
              <w:p w14:paraId="3C8B7E45" w14:textId="77777777" w:rsidR="00577D08" w:rsidRDefault="00330FC0">
                <w:pPr>
                  <w:jc w:val="center"/>
                  <w:rPr>
                    <w:sz w:val="18"/>
                    <w:szCs w:val="18"/>
                  </w:rPr>
                </w:pPr>
                <w:r>
                  <w:rPr>
                    <w:rFonts w:hint="eastAsia"/>
                    <w:sz w:val="18"/>
                    <w:szCs w:val="18"/>
                  </w:rPr>
                  <w:t>项目</w:t>
                </w:r>
              </w:p>
            </w:tc>
            <w:tc>
              <w:tcPr>
                <w:tcW w:w="3929" w:type="pct"/>
                <w:gridSpan w:val="5"/>
                <w:tcBorders>
                  <w:top w:val="single" w:sz="4" w:space="0" w:color="auto"/>
                  <w:left w:val="nil"/>
                  <w:bottom w:val="single" w:sz="4" w:space="0" w:color="auto"/>
                  <w:right w:val="single" w:sz="4" w:space="0" w:color="auto"/>
                </w:tcBorders>
                <w:vAlign w:val="center"/>
              </w:tcPr>
              <w:p w14:paraId="4E77F6AE" w14:textId="77777777" w:rsidR="00577D08" w:rsidRDefault="00330FC0">
                <w:pPr>
                  <w:jc w:val="center"/>
                  <w:rPr>
                    <w:sz w:val="18"/>
                    <w:szCs w:val="18"/>
                  </w:rPr>
                </w:pPr>
                <w:r>
                  <w:rPr>
                    <w:rFonts w:hint="eastAsia"/>
                    <w:sz w:val="18"/>
                    <w:szCs w:val="18"/>
                  </w:rPr>
                  <w:t>上年年末数</w:t>
                </w:r>
              </w:p>
            </w:tc>
          </w:tr>
          <w:tr w:rsidR="00577D08" w14:paraId="2E62325D" w14:textId="77777777">
            <w:trPr>
              <w:trHeight w:val="288"/>
            </w:trPr>
            <w:tc>
              <w:tcPr>
                <w:tcW w:w="1071" w:type="pct"/>
                <w:vMerge/>
                <w:tcBorders>
                  <w:top w:val="single" w:sz="4" w:space="0" w:color="auto"/>
                  <w:left w:val="single" w:sz="4" w:space="0" w:color="auto"/>
                  <w:bottom w:val="single" w:sz="4" w:space="0" w:color="auto"/>
                  <w:right w:val="single" w:sz="4" w:space="0" w:color="auto"/>
                </w:tcBorders>
                <w:vAlign w:val="center"/>
              </w:tcPr>
              <w:p w14:paraId="7793735B" w14:textId="77777777" w:rsidR="00577D08" w:rsidRDefault="00577D08">
                <w:pPr>
                  <w:jc w:val="center"/>
                  <w:rPr>
                    <w:sz w:val="18"/>
                    <w:szCs w:val="18"/>
                  </w:rPr>
                </w:pPr>
              </w:p>
            </w:tc>
            <w:tc>
              <w:tcPr>
                <w:tcW w:w="816" w:type="pct"/>
                <w:tcBorders>
                  <w:top w:val="nil"/>
                  <w:left w:val="nil"/>
                  <w:bottom w:val="single" w:sz="4" w:space="0" w:color="auto"/>
                  <w:right w:val="single" w:sz="4" w:space="0" w:color="auto"/>
                </w:tcBorders>
                <w:vAlign w:val="center"/>
              </w:tcPr>
              <w:p w14:paraId="6EBD5DAC" w14:textId="77777777" w:rsidR="00577D08" w:rsidRDefault="00330FC0">
                <w:pPr>
                  <w:jc w:val="center"/>
                  <w:rPr>
                    <w:sz w:val="18"/>
                    <w:szCs w:val="18"/>
                  </w:rPr>
                </w:pPr>
                <w:r>
                  <w:rPr>
                    <w:rFonts w:hint="eastAsia"/>
                    <w:sz w:val="18"/>
                    <w:szCs w:val="18"/>
                  </w:rPr>
                  <w:t>账面价值</w:t>
                </w:r>
              </w:p>
            </w:tc>
            <w:tc>
              <w:tcPr>
                <w:tcW w:w="816" w:type="pct"/>
                <w:tcBorders>
                  <w:top w:val="nil"/>
                  <w:left w:val="nil"/>
                  <w:bottom w:val="single" w:sz="4" w:space="0" w:color="auto"/>
                  <w:right w:val="single" w:sz="4" w:space="0" w:color="auto"/>
                </w:tcBorders>
                <w:vAlign w:val="center"/>
              </w:tcPr>
              <w:p w14:paraId="71BF73D0" w14:textId="77777777" w:rsidR="00577D08" w:rsidRDefault="00330FC0">
                <w:pPr>
                  <w:jc w:val="center"/>
                  <w:rPr>
                    <w:sz w:val="18"/>
                    <w:szCs w:val="18"/>
                  </w:rPr>
                </w:pPr>
                <w:r>
                  <w:rPr>
                    <w:rFonts w:hint="eastAsia"/>
                    <w:sz w:val="18"/>
                    <w:szCs w:val="18"/>
                  </w:rPr>
                  <w:t>未折现合同金额</w:t>
                </w:r>
              </w:p>
            </w:tc>
            <w:tc>
              <w:tcPr>
                <w:tcW w:w="816" w:type="pct"/>
                <w:tcBorders>
                  <w:top w:val="nil"/>
                  <w:left w:val="nil"/>
                  <w:bottom w:val="single" w:sz="4" w:space="0" w:color="auto"/>
                  <w:right w:val="single" w:sz="4" w:space="0" w:color="auto"/>
                </w:tcBorders>
                <w:vAlign w:val="center"/>
              </w:tcPr>
              <w:p w14:paraId="58CAD4CB" w14:textId="77777777" w:rsidR="00577D08" w:rsidRDefault="00330FC0">
                <w:pPr>
                  <w:jc w:val="center"/>
                  <w:rPr>
                    <w:sz w:val="18"/>
                    <w:szCs w:val="18"/>
                  </w:rPr>
                </w:pPr>
                <w:r>
                  <w:rPr>
                    <w:rFonts w:hint="eastAsia"/>
                    <w:sz w:val="18"/>
                    <w:szCs w:val="18"/>
                  </w:rPr>
                  <w:t>1</w:t>
                </w:r>
                <w:r>
                  <w:rPr>
                    <w:rFonts w:hint="eastAsia"/>
                    <w:sz w:val="18"/>
                    <w:szCs w:val="18"/>
                  </w:rPr>
                  <w:t>年以内</w:t>
                </w:r>
              </w:p>
            </w:tc>
            <w:tc>
              <w:tcPr>
                <w:tcW w:w="741" w:type="pct"/>
                <w:tcBorders>
                  <w:top w:val="nil"/>
                  <w:left w:val="nil"/>
                  <w:bottom w:val="single" w:sz="4" w:space="0" w:color="auto"/>
                  <w:right w:val="single" w:sz="4" w:space="0" w:color="auto"/>
                </w:tcBorders>
                <w:vAlign w:val="center"/>
              </w:tcPr>
              <w:p w14:paraId="78524EAD" w14:textId="77777777" w:rsidR="00577D08" w:rsidRDefault="00330FC0">
                <w:pPr>
                  <w:jc w:val="center"/>
                  <w:rPr>
                    <w:sz w:val="18"/>
                    <w:szCs w:val="18"/>
                  </w:rPr>
                </w:pPr>
                <w:r>
                  <w:rPr>
                    <w:rFonts w:hint="eastAsia"/>
                    <w:sz w:val="18"/>
                    <w:szCs w:val="18"/>
                  </w:rPr>
                  <w:t>1-3</w:t>
                </w:r>
                <w:r>
                  <w:rPr>
                    <w:rFonts w:hint="eastAsia"/>
                    <w:sz w:val="18"/>
                    <w:szCs w:val="18"/>
                  </w:rPr>
                  <w:t>年</w:t>
                </w:r>
              </w:p>
            </w:tc>
            <w:tc>
              <w:tcPr>
                <w:tcW w:w="741" w:type="pct"/>
                <w:tcBorders>
                  <w:top w:val="nil"/>
                  <w:left w:val="nil"/>
                  <w:bottom w:val="single" w:sz="4" w:space="0" w:color="auto"/>
                  <w:right w:val="single" w:sz="4" w:space="0" w:color="auto"/>
                </w:tcBorders>
                <w:vAlign w:val="center"/>
              </w:tcPr>
              <w:p w14:paraId="08A14860" w14:textId="77777777" w:rsidR="00577D08" w:rsidRDefault="00330FC0">
                <w:pPr>
                  <w:jc w:val="center"/>
                  <w:rPr>
                    <w:sz w:val="18"/>
                    <w:szCs w:val="18"/>
                  </w:rPr>
                </w:pPr>
                <w:r>
                  <w:rPr>
                    <w:rFonts w:hint="eastAsia"/>
                    <w:sz w:val="18"/>
                    <w:szCs w:val="18"/>
                  </w:rPr>
                  <w:t>3</w:t>
                </w:r>
                <w:r>
                  <w:rPr>
                    <w:rFonts w:hint="eastAsia"/>
                    <w:sz w:val="18"/>
                    <w:szCs w:val="18"/>
                  </w:rPr>
                  <w:t>年以上</w:t>
                </w:r>
              </w:p>
            </w:tc>
          </w:tr>
          <w:tr w:rsidR="00577D08" w14:paraId="2670FD2B" w14:textId="77777777">
            <w:trPr>
              <w:trHeight w:val="288"/>
            </w:trPr>
            <w:tc>
              <w:tcPr>
                <w:tcW w:w="1071" w:type="pct"/>
                <w:tcBorders>
                  <w:top w:val="nil"/>
                  <w:left w:val="single" w:sz="4" w:space="0" w:color="auto"/>
                  <w:bottom w:val="single" w:sz="4" w:space="0" w:color="auto"/>
                  <w:right w:val="single" w:sz="4" w:space="0" w:color="auto"/>
                </w:tcBorders>
                <w:vAlign w:val="center"/>
              </w:tcPr>
              <w:p w14:paraId="0832E910" w14:textId="77777777" w:rsidR="00577D08" w:rsidRDefault="00330FC0">
                <w:pPr>
                  <w:jc w:val="center"/>
                  <w:rPr>
                    <w:sz w:val="18"/>
                    <w:szCs w:val="18"/>
                  </w:rPr>
                </w:pPr>
                <w:r>
                  <w:rPr>
                    <w:rFonts w:hint="eastAsia"/>
                    <w:sz w:val="18"/>
                    <w:szCs w:val="18"/>
                  </w:rPr>
                  <w:t>银行借款</w:t>
                </w:r>
              </w:p>
            </w:tc>
            <w:tc>
              <w:tcPr>
                <w:tcW w:w="816" w:type="pct"/>
                <w:tcBorders>
                  <w:top w:val="nil"/>
                  <w:left w:val="nil"/>
                  <w:bottom w:val="single" w:sz="4" w:space="0" w:color="auto"/>
                  <w:right w:val="single" w:sz="4" w:space="0" w:color="auto"/>
                </w:tcBorders>
                <w:vAlign w:val="center"/>
              </w:tcPr>
              <w:p w14:paraId="2423C509" w14:textId="77777777" w:rsidR="00577D08" w:rsidRDefault="00330FC0">
                <w:pPr>
                  <w:jc w:val="right"/>
                  <w:rPr>
                    <w:sz w:val="18"/>
                    <w:szCs w:val="18"/>
                  </w:rPr>
                </w:pPr>
                <w:r>
                  <w:rPr>
                    <w:sz w:val="18"/>
                    <w:szCs w:val="18"/>
                  </w:rPr>
                  <w:t>1,869,679,623.66</w:t>
                </w:r>
              </w:p>
            </w:tc>
            <w:tc>
              <w:tcPr>
                <w:tcW w:w="816" w:type="pct"/>
                <w:tcBorders>
                  <w:top w:val="nil"/>
                  <w:left w:val="nil"/>
                  <w:bottom w:val="single" w:sz="4" w:space="0" w:color="auto"/>
                  <w:right w:val="single" w:sz="4" w:space="0" w:color="auto"/>
                </w:tcBorders>
                <w:vAlign w:val="center"/>
              </w:tcPr>
              <w:p w14:paraId="0B4AA2EB" w14:textId="77777777" w:rsidR="00577D08" w:rsidRDefault="00330FC0">
                <w:pPr>
                  <w:jc w:val="right"/>
                  <w:rPr>
                    <w:sz w:val="18"/>
                    <w:szCs w:val="18"/>
                  </w:rPr>
                </w:pPr>
                <w:r>
                  <w:rPr>
                    <w:sz w:val="18"/>
                    <w:szCs w:val="18"/>
                  </w:rPr>
                  <w:t>1,971,276,422.94</w:t>
                </w:r>
              </w:p>
            </w:tc>
            <w:tc>
              <w:tcPr>
                <w:tcW w:w="816" w:type="pct"/>
                <w:tcBorders>
                  <w:top w:val="nil"/>
                  <w:left w:val="nil"/>
                  <w:bottom w:val="single" w:sz="4" w:space="0" w:color="auto"/>
                  <w:right w:val="single" w:sz="4" w:space="0" w:color="auto"/>
                </w:tcBorders>
                <w:vAlign w:val="center"/>
              </w:tcPr>
              <w:p w14:paraId="4958D123" w14:textId="77777777" w:rsidR="00577D08" w:rsidRDefault="00330FC0">
                <w:pPr>
                  <w:jc w:val="right"/>
                  <w:rPr>
                    <w:sz w:val="18"/>
                    <w:szCs w:val="18"/>
                  </w:rPr>
                </w:pPr>
                <w:r>
                  <w:rPr>
                    <w:sz w:val="18"/>
                    <w:szCs w:val="18"/>
                  </w:rPr>
                  <w:t>800,545,205.17</w:t>
                </w:r>
              </w:p>
            </w:tc>
            <w:tc>
              <w:tcPr>
                <w:tcW w:w="741" w:type="pct"/>
                <w:tcBorders>
                  <w:top w:val="nil"/>
                  <w:left w:val="nil"/>
                  <w:bottom w:val="single" w:sz="4" w:space="0" w:color="auto"/>
                  <w:right w:val="single" w:sz="4" w:space="0" w:color="auto"/>
                </w:tcBorders>
                <w:vAlign w:val="center"/>
              </w:tcPr>
              <w:p w14:paraId="6F5BF54B" w14:textId="77777777" w:rsidR="00577D08" w:rsidRDefault="00330FC0">
                <w:pPr>
                  <w:jc w:val="right"/>
                  <w:rPr>
                    <w:sz w:val="18"/>
                    <w:szCs w:val="18"/>
                  </w:rPr>
                </w:pPr>
                <w:r>
                  <w:rPr>
                    <w:sz w:val="18"/>
                    <w:szCs w:val="18"/>
                  </w:rPr>
                  <w:t>864,583,747.41</w:t>
                </w:r>
              </w:p>
            </w:tc>
            <w:tc>
              <w:tcPr>
                <w:tcW w:w="741" w:type="pct"/>
                <w:tcBorders>
                  <w:top w:val="nil"/>
                  <w:left w:val="nil"/>
                  <w:bottom w:val="single" w:sz="4" w:space="0" w:color="auto"/>
                  <w:right w:val="single" w:sz="4" w:space="0" w:color="auto"/>
                </w:tcBorders>
                <w:vAlign w:val="center"/>
              </w:tcPr>
              <w:p w14:paraId="35DE2653" w14:textId="77777777" w:rsidR="00577D08" w:rsidRDefault="00330FC0">
                <w:pPr>
                  <w:jc w:val="right"/>
                  <w:rPr>
                    <w:sz w:val="18"/>
                    <w:szCs w:val="18"/>
                  </w:rPr>
                </w:pPr>
                <w:r>
                  <w:rPr>
                    <w:sz w:val="18"/>
                    <w:szCs w:val="18"/>
                  </w:rPr>
                  <w:t>306,147,470.36</w:t>
                </w:r>
              </w:p>
            </w:tc>
          </w:tr>
          <w:tr w:rsidR="00577D08" w14:paraId="2024D118" w14:textId="77777777">
            <w:trPr>
              <w:trHeight w:val="288"/>
            </w:trPr>
            <w:tc>
              <w:tcPr>
                <w:tcW w:w="1071" w:type="pct"/>
                <w:tcBorders>
                  <w:top w:val="nil"/>
                  <w:left w:val="single" w:sz="4" w:space="0" w:color="auto"/>
                  <w:bottom w:val="single" w:sz="4" w:space="0" w:color="auto"/>
                  <w:right w:val="single" w:sz="4" w:space="0" w:color="auto"/>
                </w:tcBorders>
                <w:vAlign w:val="center"/>
              </w:tcPr>
              <w:p w14:paraId="57AD2B3E" w14:textId="77777777" w:rsidR="00577D08" w:rsidRDefault="00330FC0">
                <w:pPr>
                  <w:jc w:val="center"/>
                  <w:rPr>
                    <w:sz w:val="18"/>
                    <w:szCs w:val="18"/>
                  </w:rPr>
                </w:pPr>
                <w:r>
                  <w:rPr>
                    <w:rFonts w:hint="eastAsia"/>
                    <w:sz w:val="18"/>
                    <w:szCs w:val="18"/>
                  </w:rPr>
                  <w:t>应付票据</w:t>
                </w:r>
              </w:p>
            </w:tc>
            <w:tc>
              <w:tcPr>
                <w:tcW w:w="816" w:type="pct"/>
                <w:tcBorders>
                  <w:top w:val="nil"/>
                  <w:left w:val="nil"/>
                  <w:bottom w:val="single" w:sz="4" w:space="0" w:color="auto"/>
                  <w:right w:val="single" w:sz="4" w:space="0" w:color="auto"/>
                </w:tcBorders>
                <w:vAlign w:val="center"/>
              </w:tcPr>
              <w:p w14:paraId="2960D473" w14:textId="77777777" w:rsidR="00577D08" w:rsidRDefault="00330FC0">
                <w:pPr>
                  <w:jc w:val="right"/>
                  <w:rPr>
                    <w:sz w:val="18"/>
                    <w:szCs w:val="18"/>
                  </w:rPr>
                </w:pPr>
                <w:r>
                  <w:rPr>
                    <w:sz w:val="18"/>
                    <w:szCs w:val="18"/>
                  </w:rPr>
                  <w:t>624,614,221.23</w:t>
                </w:r>
              </w:p>
            </w:tc>
            <w:tc>
              <w:tcPr>
                <w:tcW w:w="816" w:type="pct"/>
                <w:tcBorders>
                  <w:top w:val="nil"/>
                  <w:left w:val="nil"/>
                  <w:bottom w:val="single" w:sz="4" w:space="0" w:color="auto"/>
                  <w:right w:val="single" w:sz="4" w:space="0" w:color="auto"/>
                </w:tcBorders>
                <w:vAlign w:val="center"/>
              </w:tcPr>
              <w:p w14:paraId="02C2FAFA" w14:textId="77777777" w:rsidR="00577D08" w:rsidRDefault="00330FC0">
                <w:pPr>
                  <w:jc w:val="right"/>
                  <w:rPr>
                    <w:sz w:val="18"/>
                    <w:szCs w:val="18"/>
                  </w:rPr>
                </w:pPr>
                <w:r>
                  <w:rPr>
                    <w:sz w:val="18"/>
                    <w:szCs w:val="18"/>
                  </w:rPr>
                  <w:t>624,614,221.23</w:t>
                </w:r>
              </w:p>
            </w:tc>
            <w:tc>
              <w:tcPr>
                <w:tcW w:w="816" w:type="pct"/>
                <w:tcBorders>
                  <w:top w:val="nil"/>
                  <w:left w:val="nil"/>
                  <w:bottom w:val="single" w:sz="4" w:space="0" w:color="auto"/>
                  <w:right w:val="single" w:sz="4" w:space="0" w:color="auto"/>
                </w:tcBorders>
                <w:vAlign w:val="center"/>
              </w:tcPr>
              <w:p w14:paraId="0D22E8F8" w14:textId="77777777" w:rsidR="00577D08" w:rsidRDefault="00330FC0">
                <w:pPr>
                  <w:jc w:val="right"/>
                  <w:rPr>
                    <w:sz w:val="18"/>
                    <w:szCs w:val="18"/>
                  </w:rPr>
                </w:pPr>
                <w:r>
                  <w:rPr>
                    <w:sz w:val="18"/>
                    <w:szCs w:val="18"/>
                  </w:rPr>
                  <w:t>624,614,221.23</w:t>
                </w:r>
              </w:p>
            </w:tc>
            <w:tc>
              <w:tcPr>
                <w:tcW w:w="741" w:type="pct"/>
                <w:tcBorders>
                  <w:top w:val="nil"/>
                  <w:left w:val="nil"/>
                  <w:bottom w:val="single" w:sz="4" w:space="0" w:color="auto"/>
                  <w:right w:val="single" w:sz="4" w:space="0" w:color="auto"/>
                </w:tcBorders>
                <w:vAlign w:val="center"/>
              </w:tcPr>
              <w:p w14:paraId="0F5022A7" w14:textId="77777777" w:rsidR="00577D08" w:rsidRDefault="00577D08">
                <w:pPr>
                  <w:jc w:val="right"/>
                  <w:rPr>
                    <w:sz w:val="18"/>
                    <w:szCs w:val="18"/>
                  </w:rPr>
                </w:pPr>
              </w:p>
            </w:tc>
            <w:tc>
              <w:tcPr>
                <w:tcW w:w="741" w:type="pct"/>
                <w:tcBorders>
                  <w:top w:val="nil"/>
                  <w:left w:val="nil"/>
                  <w:bottom w:val="single" w:sz="4" w:space="0" w:color="auto"/>
                  <w:right w:val="single" w:sz="4" w:space="0" w:color="auto"/>
                </w:tcBorders>
                <w:vAlign w:val="center"/>
              </w:tcPr>
              <w:p w14:paraId="104E1FC0" w14:textId="77777777" w:rsidR="00577D08" w:rsidRDefault="00577D08">
                <w:pPr>
                  <w:jc w:val="right"/>
                  <w:rPr>
                    <w:sz w:val="18"/>
                    <w:szCs w:val="18"/>
                  </w:rPr>
                </w:pPr>
              </w:p>
            </w:tc>
          </w:tr>
          <w:tr w:rsidR="00577D08" w14:paraId="1F4C774F" w14:textId="77777777">
            <w:trPr>
              <w:trHeight w:val="288"/>
            </w:trPr>
            <w:tc>
              <w:tcPr>
                <w:tcW w:w="1071" w:type="pct"/>
                <w:tcBorders>
                  <w:top w:val="nil"/>
                  <w:left w:val="single" w:sz="4" w:space="0" w:color="auto"/>
                  <w:bottom w:val="single" w:sz="4" w:space="0" w:color="auto"/>
                  <w:right w:val="single" w:sz="4" w:space="0" w:color="auto"/>
                </w:tcBorders>
                <w:vAlign w:val="center"/>
              </w:tcPr>
              <w:p w14:paraId="3F765ABA" w14:textId="77777777" w:rsidR="00577D08" w:rsidRDefault="00330FC0">
                <w:pPr>
                  <w:jc w:val="center"/>
                  <w:rPr>
                    <w:sz w:val="18"/>
                    <w:szCs w:val="18"/>
                  </w:rPr>
                </w:pPr>
                <w:r>
                  <w:rPr>
                    <w:rFonts w:hint="eastAsia"/>
                    <w:sz w:val="18"/>
                    <w:szCs w:val="18"/>
                  </w:rPr>
                  <w:t>应付账款</w:t>
                </w:r>
              </w:p>
            </w:tc>
            <w:tc>
              <w:tcPr>
                <w:tcW w:w="816" w:type="pct"/>
                <w:tcBorders>
                  <w:top w:val="nil"/>
                  <w:left w:val="nil"/>
                  <w:bottom w:val="single" w:sz="4" w:space="0" w:color="auto"/>
                  <w:right w:val="single" w:sz="4" w:space="0" w:color="auto"/>
                </w:tcBorders>
                <w:vAlign w:val="center"/>
              </w:tcPr>
              <w:p w14:paraId="3A835AF7" w14:textId="77777777" w:rsidR="00577D08" w:rsidRDefault="00330FC0">
                <w:pPr>
                  <w:jc w:val="right"/>
                  <w:rPr>
                    <w:sz w:val="18"/>
                    <w:szCs w:val="18"/>
                  </w:rPr>
                </w:pPr>
                <w:r>
                  <w:rPr>
                    <w:sz w:val="18"/>
                    <w:szCs w:val="18"/>
                  </w:rPr>
                  <w:t>855,537,235.95</w:t>
                </w:r>
              </w:p>
            </w:tc>
            <w:tc>
              <w:tcPr>
                <w:tcW w:w="816" w:type="pct"/>
                <w:tcBorders>
                  <w:top w:val="nil"/>
                  <w:left w:val="nil"/>
                  <w:bottom w:val="single" w:sz="4" w:space="0" w:color="auto"/>
                  <w:right w:val="single" w:sz="4" w:space="0" w:color="auto"/>
                </w:tcBorders>
                <w:vAlign w:val="center"/>
              </w:tcPr>
              <w:p w14:paraId="5C45792A" w14:textId="77777777" w:rsidR="00577D08" w:rsidRDefault="00330FC0">
                <w:pPr>
                  <w:jc w:val="right"/>
                  <w:rPr>
                    <w:sz w:val="18"/>
                    <w:szCs w:val="18"/>
                  </w:rPr>
                </w:pPr>
                <w:r>
                  <w:rPr>
                    <w:sz w:val="18"/>
                    <w:szCs w:val="18"/>
                  </w:rPr>
                  <w:t>855,537,235.95</w:t>
                </w:r>
              </w:p>
            </w:tc>
            <w:tc>
              <w:tcPr>
                <w:tcW w:w="816" w:type="pct"/>
                <w:tcBorders>
                  <w:top w:val="nil"/>
                  <w:left w:val="nil"/>
                  <w:bottom w:val="single" w:sz="4" w:space="0" w:color="auto"/>
                  <w:right w:val="single" w:sz="4" w:space="0" w:color="auto"/>
                </w:tcBorders>
                <w:vAlign w:val="center"/>
              </w:tcPr>
              <w:p w14:paraId="70462C60" w14:textId="77777777" w:rsidR="00577D08" w:rsidRDefault="00330FC0">
                <w:pPr>
                  <w:jc w:val="right"/>
                  <w:rPr>
                    <w:sz w:val="18"/>
                    <w:szCs w:val="18"/>
                  </w:rPr>
                </w:pPr>
                <w:r>
                  <w:rPr>
                    <w:sz w:val="18"/>
                    <w:szCs w:val="18"/>
                  </w:rPr>
                  <w:t>855,537,235.95</w:t>
                </w:r>
              </w:p>
            </w:tc>
            <w:tc>
              <w:tcPr>
                <w:tcW w:w="741" w:type="pct"/>
                <w:tcBorders>
                  <w:top w:val="nil"/>
                  <w:left w:val="nil"/>
                  <w:bottom w:val="single" w:sz="4" w:space="0" w:color="auto"/>
                  <w:right w:val="single" w:sz="4" w:space="0" w:color="auto"/>
                </w:tcBorders>
                <w:vAlign w:val="center"/>
              </w:tcPr>
              <w:p w14:paraId="4F216333" w14:textId="77777777" w:rsidR="00577D08" w:rsidRDefault="00577D08">
                <w:pPr>
                  <w:jc w:val="right"/>
                  <w:rPr>
                    <w:sz w:val="18"/>
                    <w:szCs w:val="18"/>
                  </w:rPr>
                </w:pPr>
              </w:p>
            </w:tc>
            <w:tc>
              <w:tcPr>
                <w:tcW w:w="741" w:type="pct"/>
                <w:tcBorders>
                  <w:top w:val="nil"/>
                  <w:left w:val="nil"/>
                  <w:bottom w:val="single" w:sz="4" w:space="0" w:color="auto"/>
                  <w:right w:val="single" w:sz="4" w:space="0" w:color="auto"/>
                </w:tcBorders>
                <w:vAlign w:val="center"/>
              </w:tcPr>
              <w:p w14:paraId="4EE76CF9" w14:textId="77777777" w:rsidR="00577D08" w:rsidRDefault="00577D08">
                <w:pPr>
                  <w:jc w:val="right"/>
                  <w:rPr>
                    <w:sz w:val="18"/>
                    <w:szCs w:val="18"/>
                  </w:rPr>
                </w:pPr>
              </w:p>
            </w:tc>
          </w:tr>
          <w:tr w:rsidR="00577D08" w14:paraId="3C392F1E" w14:textId="77777777">
            <w:trPr>
              <w:trHeight w:val="288"/>
            </w:trPr>
            <w:tc>
              <w:tcPr>
                <w:tcW w:w="1071" w:type="pct"/>
                <w:tcBorders>
                  <w:top w:val="nil"/>
                  <w:left w:val="single" w:sz="4" w:space="0" w:color="auto"/>
                  <w:bottom w:val="single" w:sz="4" w:space="0" w:color="auto"/>
                  <w:right w:val="single" w:sz="4" w:space="0" w:color="auto"/>
                </w:tcBorders>
                <w:vAlign w:val="center"/>
              </w:tcPr>
              <w:p w14:paraId="5389C5EC" w14:textId="77777777" w:rsidR="00577D08" w:rsidRDefault="00330FC0">
                <w:pPr>
                  <w:jc w:val="center"/>
                  <w:rPr>
                    <w:sz w:val="18"/>
                    <w:szCs w:val="18"/>
                  </w:rPr>
                </w:pPr>
                <w:r>
                  <w:rPr>
                    <w:rFonts w:hint="eastAsia"/>
                    <w:sz w:val="18"/>
                    <w:szCs w:val="18"/>
                  </w:rPr>
                  <w:t>其他应付款</w:t>
                </w:r>
              </w:p>
            </w:tc>
            <w:tc>
              <w:tcPr>
                <w:tcW w:w="816" w:type="pct"/>
                <w:tcBorders>
                  <w:top w:val="nil"/>
                  <w:left w:val="nil"/>
                  <w:bottom w:val="single" w:sz="4" w:space="0" w:color="auto"/>
                  <w:right w:val="single" w:sz="4" w:space="0" w:color="auto"/>
                </w:tcBorders>
                <w:vAlign w:val="center"/>
              </w:tcPr>
              <w:p w14:paraId="677ADFB9" w14:textId="77777777" w:rsidR="00577D08" w:rsidRDefault="00330FC0">
                <w:pPr>
                  <w:jc w:val="right"/>
                  <w:rPr>
                    <w:sz w:val="18"/>
                    <w:szCs w:val="18"/>
                  </w:rPr>
                </w:pPr>
                <w:r>
                  <w:rPr>
                    <w:sz w:val="18"/>
                    <w:szCs w:val="18"/>
                  </w:rPr>
                  <w:t>60,784,232.00</w:t>
                </w:r>
              </w:p>
            </w:tc>
            <w:tc>
              <w:tcPr>
                <w:tcW w:w="816" w:type="pct"/>
                <w:tcBorders>
                  <w:top w:val="nil"/>
                  <w:left w:val="nil"/>
                  <w:bottom w:val="single" w:sz="4" w:space="0" w:color="auto"/>
                  <w:right w:val="single" w:sz="4" w:space="0" w:color="auto"/>
                </w:tcBorders>
                <w:vAlign w:val="center"/>
              </w:tcPr>
              <w:p w14:paraId="6FE5B91C" w14:textId="77777777" w:rsidR="00577D08" w:rsidRDefault="00330FC0">
                <w:pPr>
                  <w:jc w:val="right"/>
                  <w:rPr>
                    <w:sz w:val="18"/>
                    <w:szCs w:val="18"/>
                  </w:rPr>
                </w:pPr>
                <w:r>
                  <w:rPr>
                    <w:sz w:val="18"/>
                    <w:szCs w:val="18"/>
                  </w:rPr>
                  <w:t>60,784,232.00</w:t>
                </w:r>
              </w:p>
            </w:tc>
            <w:tc>
              <w:tcPr>
                <w:tcW w:w="816" w:type="pct"/>
                <w:tcBorders>
                  <w:top w:val="nil"/>
                  <w:left w:val="nil"/>
                  <w:bottom w:val="single" w:sz="4" w:space="0" w:color="auto"/>
                  <w:right w:val="single" w:sz="4" w:space="0" w:color="auto"/>
                </w:tcBorders>
                <w:vAlign w:val="center"/>
              </w:tcPr>
              <w:p w14:paraId="5AFB5F81" w14:textId="77777777" w:rsidR="00577D08" w:rsidRDefault="00330FC0">
                <w:pPr>
                  <w:jc w:val="right"/>
                  <w:rPr>
                    <w:sz w:val="18"/>
                    <w:szCs w:val="18"/>
                  </w:rPr>
                </w:pPr>
                <w:r>
                  <w:rPr>
                    <w:sz w:val="18"/>
                    <w:szCs w:val="18"/>
                  </w:rPr>
                  <w:t>60,784,232.00</w:t>
                </w:r>
              </w:p>
            </w:tc>
            <w:tc>
              <w:tcPr>
                <w:tcW w:w="741" w:type="pct"/>
                <w:tcBorders>
                  <w:top w:val="nil"/>
                  <w:left w:val="nil"/>
                  <w:bottom w:val="single" w:sz="4" w:space="0" w:color="auto"/>
                  <w:right w:val="single" w:sz="4" w:space="0" w:color="auto"/>
                </w:tcBorders>
                <w:vAlign w:val="center"/>
              </w:tcPr>
              <w:p w14:paraId="788BCD46" w14:textId="77777777" w:rsidR="00577D08" w:rsidRDefault="00577D08">
                <w:pPr>
                  <w:jc w:val="right"/>
                  <w:rPr>
                    <w:sz w:val="18"/>
                    <w:szCs w:val="18"/>
                  </w:rPr>
                </w:pPr>
              </w:p>
            </w:tc>
            <w:tc>
              <w:tcPr>
                <w:tcW w:w="741" w:type="pct"/>
                <w:tcBorders>
                  <w:top w:val="nil"/>
                  <w:left w:val="nil"/>
                  <w:bottom w:val="single" w:sz="4" w:space="0" w:color="auto"/>
                  <w:right w:val="single" w:sz="4" w:space="0" w:color="auto"/>
                </w:tcBorders>
                <w:vAlign w:val="center"/>
              </w:tcPr>
              <w:p w14:paraId="264EE879" w14:textId="77777777" w:rsidR="00577D08" w:rsidRDefault="00577D08">
                <w:pPr>
                  <w:jc w:val="right"/>
                  <w:rPr>
                    <w:sz w:val="18"/>
                    <w:szCs w:val="18"/>
                  </w:rPr>
                </w:pPr>
              </w:p>
            </w:tc>
          </w:tr>
          <w:tr w:rsidR="00577D08" w14:paraId="224919E2" w14:textId="77777777">
            <w:trPr>
              <w:trHeight w:val="288"/>
            </w:trPr>
            <w:tc>
              <w:tcPr>
                <w:tcW w:w="1071" w:type="pct"/>
                <w:tcBorders>
                  <w:top w:val="nil"/>
                  <w:left w:val="single" w:sz="4" w:space="0" w:color="auto"/>
                  <w:bottom w:val="single" w:sz="4" w:space="0" w:color="auto"/>
                  <w:right w:val="single" w:sz="4" w:space="0" w:color="auto"/>
                </w:tcBorders>
                <w:vAlign w:val="center"/>
              </w:tcPr>
              <w:p w14:paraId="78D15E79" w14:textId="77777777" w:rsidR="00577D08" w:rsidRDefault="00330FC0">
                <w:pPr>
                  <w:jc w:val="center"/>
                  <w:rPr>
                    <w:sz w:val="18"/>
                    <w:szCs w:val="18"/>
                  </w:rPr>
                </w:pPr>
                <w:r>
                  <w:rPr>
                    <w:rFonts w:hint="eastAsia"/>
                    <w:sz w:val="18"/>
                    <w:szCs w:val="18"/>
                  </w:rPr>
                  <w:t>其他流动负债</w:t>
                </w:r>
                <w:r>
                  <w:rPr>
                    <w:rFonts w:hint="eastAsia"/>
                    <w:sz w:val="18"/>
                    <w:szCs w:val="18"/>
                  </w:rPr>
                  <w:t>-</w:t>
                </w:r>
                <w:r>
                  <w:rPr>
                    <w:rFonts w:hint="eastAsia"/>
                    <w:sz w:val="18"/>
                    <w:szCs w:val="18"/>
                  </w:rPr>
                  <w:t>票据相关</w:t>
                </w:r>
              </w:p>
            </w:tc>
            <w:tc>
              <w:tcPr>
                <w:tcW w:w="816" w:type="pct"/>
                <w:tcBorders>
                  <w:top w:val="nil"/>
                  <w:left w:val="nil"/>
                  <w:bottom w:val="single" w:sz="4" w:space="0" w:color="auto"/>
                  <w:right w:val="single" w:sz="4" w:space="0" w:color="auto"/>
                </w:tcBorders>
                <w:vAlign w:val="center"/>
              </w:tcPr>
              <w:p w14:paraId="13223A3A" w14:textId="77777777" w:rsidR="00577D08" w:rsidRDefault="00330FC0">
                <w:pPr>
                  <w:jc w:val="right"/>
                  <w:rPr>
                    <w:sz w:val="18"/>
                    <w:szCs w:val="18"/>
                  </w:rPr>
                </w:pPr>
                <w:r>
                  <w:rPr>
                    <w:sz w:val="18"/>
                    <w:szCs w:val="18"/>
                  </w:rPr>
                  <w:t>248,607,895.47</w:t>
                </w:r>
              </w:p>
            </w:tc>
            <w:tc>
              <w:tcPr>
                <w:tcW w:w="816" w:type="pct"/>
                <w:tcBorders>
                  <w:top w:val="nil"/>
                  <w:left w:val="nil"/>
                  <w:bottom w:val="single" w:sz="4" w:space="0" w:color="auto"/>
                  <w:right w:val="single" w:sz="4" w:space="0" w:color="auto"/>
                </w:tcBorders>
                <w:vAlign w:val="center"/>
              </w:tcPr>
              <w:p w14:paraId="232076B3" w14:textId="77777777" w:rsidR="00577D08" w:rsidRDefault="00330FC0">
                <w:pPr>
                  <w:jc w:val="right"/>
                  <w:rPr>
                    <w:sz w:val="18"/>
                    <w:szCs w:val="18"/>
                  </w:rPr>
                </w:pPr>
                <w:r>
                  <w:rPr>
                    <w:sz w:val="18"/>
                    <w:szCs w:val="18"/>
                  </w:rPr>
                  <w:t>248,607,895.47</w:t>
                </w:r>
              </w:p>
            </w:tc>
            <w:tc>
              <w:tcPr>
                <w:tcW w:w="816" w:type="pct"/>
                <w:tcBorders>
                  <w:top w:val="nil"/>
                  <w:left w:val="nil"/>
                  <w:bottom w:val="single" w:sz="4" w:space="0" w:color="auto"/>
                  <w:right w:val="single" w:sz="4" w:space="0" w:color="auto"/>
                </w:tcBorders>
                <w:vAlign w:val="center"/>
              </w:tcPr>
              <w:p w14:paraId="2F766A46" w14:textId="77777777" w:rsidR="00577D08" w:rsidRDefault="00330FC0">
                <w:pPr>
                  <w:jc w:val="right"/>
                  <w:rPr>
                    <w:sz w:val="18"/>
                    <w:szCs w:val="18"/>
                  </w:rPr>
                </w:pPr>
                <w:r>
                  <w:rPr>
                    <w:sz w:val="18"/>
                    <w:szCs w:val="18"/>
                  </w:rPr>
                  <w:t>248,607,895.47</w:t>
                </w:r>
              </w:p>
            </w:tc>
            <w:tc>
              <w:tcPr>
                <w:tcW w:w="741" w:type="pct"/>
                <w:tcBorders>
                  <w:top w:val="nil"/>
                  <w:left w:val="nil"/>
                  <w:bottom w:val="single" w:sz="4" w:space="0" w:color="auto"/>
                  <w:right w:val="single" w:sz="4" w:space="0" w:color="auto"/>
                </w:tcBorders>
                <w:vAlign w:val="center"/>
              </w:tcPr>
              <w:p w14:paraId="6CD7D093" w14:textId="77777777" w:rsidR="00577D08" w:rsidRDefault="00577D08">
                <w:pPr>
                  <w:jc w:val="right"/>
                  <w:rPr>
                    <w:sz w:val="18"/>
                    <w:szCs w:val="18"/>
                  </w:rPr>
                </w:pPr>
              </w:p>
            </w:tc>
            <w:tc>
              <w:tcPr>
                <w:tcW w:w="741" w:type="pct"/>
                <w:tcBorders>
                  <w:top w:val="nil"/>
                  <w:left w:val="nil"/>
                  <w:bottom w:val="single" w:sz="4" w:space="0" w:color="auto"/>
                  <w:right w:val="single" w:sz="4" w:space="0" w:color="auto"/>
                </w:tcBorders>
                <w:vAlign w:val="center"/>
              </w:tcPr>
              <w:p w14:paraId="2E698CBE" w14:textId="77777777" w:rsidR="00577D08" w:rsidRDefault="00577D08">
                <w:pPr>
                  <w:jc w:val="right"/>
                  <w:rPr>
                    <w:sz w:val="18"/>
                    <w:szCs w:val="18"/>
                  </w:rPr>
                </w:pPr>
              </w:p>
            </w:tc>
          </w:tr>
          <w:tr w:rsidR="00577D08" w14:paraId="79C21610" w14:textId="77777777">
            <w:trPr>
              <w:trHeight w:val="288"/>
            </w:trPr>
            <w:tc>
              <w:tcPr>
                <w:tcW w:w="1071" w:type="pct"/>
                <w:tcBorders>
                  <w:top w:val="nil"/>
                  <w:left w:val="single" w:sz="4" w:space="0" w:color="auto"/>
                  <w:bottom w:val="single" w:sz="4" w:space="0" w:color="auto"/>
                  <w:right w:val="single" w:sz="4" w:space="0" w:color="auto"/>
                </w:tcBorders>
                <w:vAlign w:val="center"/>
              </w:tcPr>
              <w:p w14:paraId="6972CA2B" w14:textId="77777777" w:rsidR="00577D08" w:rsidRDefault="00330FC0">
                <w:pPr>
                  <w:jc w:val="center"/>
                  <w:rPr>
                    <w:sz w:val="18"/>
                    <w:szCs w:val="18"/>
                  </w:rPr>
                </w:pPr>
                <w:r>
                  <w:rPr>
                    <w:rFonts w:hint="eastAsia"/>
                    <w:sz w:val="18"/>
                    <w:szCs w:val="18"/>
                  </w:rPr>
                  <w:t>租赁负债</w:t>
                </w:r>
              </w:p>
            </w:tc>
            <w:tc>
              <w:tcPr>
                <w:tcW w:w="816" w:type="pct"/>
                <w:tcBorders>
                  <w:top w:val="nil"/>
                  <w:left w:val="nil"/>
                  <w:bottom w:val="single" w:sz="4" w:space="0" w:color="auto"/>
                  <w:right w:val="single" w:sz="4" w:space="0" w:color="auto"/>
                </w:tcBorders>
                <w:vAlign w:val="center"/>
              </w:tcPr>
              <w:p w14:paraId="73C2B001" w14:textId="77777777" w:rsidR="00577D08" w:rsidRDefault="00330FC0">
                <w:pPr>
                  <w:jc w:val="right"/>
                  <w:rPr>
                    <w:sz w:val="18"/>
                    <w:szCs w:val="18"/>
                  </w:rPr>
                </w:pPr>
                <w:r>
                  <w:rPr>
                    <w:sz w:val="18"/>
                    <w:szCs w:val="18"/>
                  </w:rPr>
                  <w:t>6,222,233.00</w:t>
                </w:r>
              </w:p>
            </w:tc>
            <w:tc>
              <w:tcPr>
                <w:tcW w:w="816" w:type="pct"/>
                <w:tcBorders>
                  <w:top w:val="nil"/>
                  <w:left w:val="nil"/>
                  <w:bottom w:val="single" w:sz="4" w:space="0" w:color="auto"/>
                  <w:right w:val="single" w:sz="4" w:space="0" w:color="auto"/>
                </w:tcBorders>
                <w:vAlign w:val="center"/>
              </w:tcPr>
              <w:p w14:paraId="0EE71525" w14:textId="77777777" w:rsidR="00577D08" w:rsidRDefault="00330FC0">
                <w:pPr>
                  <w:jc w:val="right"/>
                  <w:rPr>
                    <w:sz w:val="18"/>
                    <w:szCs w:val="18"/>
                  </w:rPr>
                </w:pPr>
                <w:r>
                  <w:rPr>
                    <w:sz w:val="18"/>
                    <w:szCs w:val="18"/>
                  </w:rPr>
                  <w:t>6,558,806.12</w:t>
                </w:r>
              </w:p>
            </w:tc>
            <w:tc>
              <w:tcPr>
                <w:tcW w:w="816" w:type="pct"/>
                <w:tcBorders>
                  <w:top w:val="nil"/>
                  <w:left w:val="nil"/>
                  <w:bottom w:val="single" w:sz="4" w:space="0" w:color="auto"/>
                  <w:right w:val="single" w:sz="4" w:space="0" w:color="auto"/>
                </w:tcBorders>
                <w:vAlign w:val="center"/>
              </w:tcPr>
              <w:p w14:paraId="5222ECCE" w14:textId="77777777" w:rsidR="00577D08" w:rsidRDefault="00330FC0">
                <w:pPr>
                  <w:jc w:val="right"/>
                  <w:rPr>
                    <w:sz w:val="18"/>
                    <w:szCs w:val="18"/>
                  </w:rPr>
                </w:pPr>
                <w:r>
                  <w:rPr>
                    <w:sz w:val="18"/>
                    <w:szCs w:val="18"/>
                  </w:rPr>
                  <w:t>3,316,958.50</w:t>
                </w:r>
              </w:p>
            </w:tc>
            <w:tc>
              <w:tcPr>
                <w:tcW w:w="741" w:type="pct"/>
                <w:tcBorders>
                  <w:top w:val="nil"/>
                  <w:left w:val="nil"/>
                  <w:bottom w:val="single" w:sz="4" w:space="0" w:color="auto"/>
                  <w:right w:val="single" w:sz="4" w:space="0" w:color="auto"/>
                </w:tcBorders>
                <w:vAlign w:val="center"/>
              </w:tcPr>
              <w:p w14:paraId="20E375CD" w14:textId="77777777" w:rsidR="00577D08" w:rsidRDefault="00330FC0">
                <w:pPr>
                  <w:jc w:val="right"/>
                  <w:rPr>
                    <w:sz w:val="18"/>
                    <w:szCs w:val="18"/>
                  </w:rPr>
                </w:pPr>
                <w:r>
                  <w:rPr>
                    <w:sz w:val="18"/>
                    <w:szCs w:val="18"/>
                  </w:rPr>
                  <w:t>3,241,847.62</w:t>
                </w:r>
              </w:p>
            </w:tc>
            <w:tc>
              <w:tcPr>
                <w:tcW w:w="741" w:type="pct"/>
                <w:tcBorders>
                  <w:top w:val="nil"/>
                  <w:left w:val="nil"/>
                  <w:bottom w:val="single" w:sz="4" w:space="0" w:color="auto"/>
                  <w:right w:val="single" w:sz="4" w:space="0" w:color="auto"/>
                </w:tcBorders>
                <w:vAlign w:val="center"/>
              </w:tcPr>
              <w:p w14:paraId="512B0094" w14:textId="77777777" w:rsidR="00577D08" w:rsidRDefault="00577D08">
                <w:pPr>
                  <w:jc w:val="right"/>
                  <w:rPr>
                    <w:sz w:val="18"/>
                    <w:szCs w:val="18"/>
                  </w:rPr>
                </w:pPr>
              </w:p>
            </w:tc>
          </w:tr>
          <w:tr w:rsidR="00577D08" w14:paraId="36EB4330" w14:textId="77777777">
            <w:trPr>
              <w:trHeight w:val="288"/>
            </w:trPr>
            <w:tc>
              <w:tcPr>
                <w:tcW w:w="1071" w:type="pct"/>
                <w:tcBorders>
                  <w:top w:val="nil"/>
                  <w:left w:val="single" w:sz="4" w:space="0" w:color="auto"/>
                  <w:bottom w:val="single" w:sz="4" w:space="0" w:color="auto"/>
                  <w:right w:val="single" w:sz="4" w:space="0" w:color="auto"/>
                </w:tcBorders>
                <w:vAlign w:val="center"/>
              </w:tcPr>
              <w:p w14:paraId="25D55E06" w14:textId="77777777" w:rsidR="00577D08" w:rsidRDefault="00330FC0">
                <w:pPr>
                  <w:jc w:val="center"/>
                  <w:rPr>
                    <w:sz w:val="18"/>
                    <w:szCs w:val="18"/>
                  </w:rPr>
                </w:pPr>
                <w:r>
                  <w:rPr>
                    <w:rFonts w:hint="eastAsia"/>
                    <w:sz w:val="18"/>
                    <w:szCs w:val="18"/>
                  </w:rPr>
                  <w:t>合计</w:t>
                </w:r>
              </w:p>
            </w:tc>
            <w:tc>
              <w:tcPr>
                <w:tcW w:w="816" w:type="pct"/>
                <w:tcBorders>
                  <w:top w:val="nil"/>
                  <w:left w:val="nil"/>
                  <w:bottom w:val="single" w:sz="4" w:space="0" w:color="auto"/>
                  <w:right w:val="single" w:sz="4" w:space="0" w:color="auto"/>
                </w:tcBorders>
                <w:vAlign w:val="center"/>
              </w:tcPr>
              <w:p w14:paraId="0584C98D" w14:textId="77777777" w:rsidR="00577D08" w:rsidRDefault="00330FC0">
                <w:pPr>
                  <w:jc w:val="right"/>
                  <w:rPr>
                    <w:sz w:val="18"/>
                    <w:szCs w:val="18"/>
                  </w:rPr>
                </w:pPr>
                <w:r>
                  <w:rPr>
                    <w:sz w:val="18"/>
                    <w:szCs w:val="18"/>
                  </w:rPr>
                  <w:t>3,665,445,441.31</w:t>
                </w:r>
              </w:p>
            </w:tc>
            <w:tc>
              <w:tcPr>
                <w:tcW w:w="816" w:type="pct"/>
                <w:tcBorders>
                  <w:top w:val="nil"/>
                  <w:left w:val="nil"/>
                  <w:bottom w:val="single" w:sz="4" w:space="0" w:color="auto"/>
                  <w:right w:val="single" w:sz="4" w:space="0" w:color="auto"/>
                </w:tcBorders>
                <w:vAlign w:val="center"/>
              </w:tcPr>
              <w:p w14:paraId="5234D0A2" w14:textId="77777777" w:rsidR="00577D08" w:rsidRDefault="00330FC0">
                <w:pPr>
                  <w:jc w:val="right"/>
                  <w:rPr>
                    <w:sz w:val="18"/>
                    <w:szCs w:val="18"/>
                  </w:rPr>
                </w:pPr>
                <w:r>
                  <w:rPr>
                    <w:sz w:val="18"/>
                    <w:szCs w:val="18"/>
                  </w:rPr>
                  <w:t>3,767,378,813.71</w:t>
                </w:r>
              </w:p>
            </w:tc>
            <w:tc>
              <w:tcPr>
                <w:tcW w:w="816" w:type="pct"/>
                <w:tcBorders>
                  <w:top w:val="nil"/>
                  <w:left w:val="nil"/>
                  <w:bottom w:val="single" w:sz="4" w:space="0" w:color="auto"/>
                  <w:right w:val="single" w:sz="4" w:space="0" w:color="auto"/>
                </w:tcBorders>
                <w:vAlign w:val="center"/>
              </w:tcPr>
              <w:p w14:paraId="4F34A959" w14:textId="77777777" w:rsidR="00577D08" w:rsidRDefault="00330FC0">
                <w:pPr>
                  <w:jc w:val="right"/>
                  <w:rPr>
                    <w:sz w:val="18"/>
                    <w:szCs w:val="18"/>
                  </w:rPr>
                </w:pPr>
                <w:r>
                  <w:rPr>
                    <w:sz w:val="18"/>
                    <w:szCs w:val="18"/>
                  </w:rPr>
                  <w:t>2,593,405,748.32</w:t>
                </w:r>
              </w:p>
            </w:tc>
            <w:tc>
              <w:tcPr>
                <w:tcW w:w="741" w:type="pct"/>
                <w:tcBorders>
                  <w:top w:val="nil"/>
                  <w:left w:val="nil"/>
                  <w:bottom w:val="single" w:sz="4" w:space="0" w:color="auto"/>
                  <w:right w:val="single" w:sz="4" w:space="0" w:color="auto"/>
                </w:tcBorders>
                <w:vAlign w:val="center"/>
              </w:tcPr>
              <w:p w14:paraId="325194A6" w14:textId="77777777" w:rsidR="00577D08" w:rsidRDefault="00330FC0">
                <w:pPr>
                  <w:jc w:val="right"/>
                  <w:rPr>
                    <w:sz w:val="18"/>
                    <w:szCs w:val="18"/>
                  </w:rPr>
                </w:pPr>
                <w:r>
                  <w:rPr>
                    <w:sz w:val="18"/>
                    <w:szCs w:val="18"/>
                  </w:rPr>
                  <w:t>867,825,595.03</w:t>
                </w:r>
              </w:p>
            </w:tc>
            <w:tc>
              <w:tcPr>
                <w:tcW w:w="741" w:type="pct"/>
                <w:tcBorders>
                  <w:top w:val="nil"/>
                  <w:left w:val="nil"/>
                  <w:bottom w:val="single" w:sz="4" w:space="0" w:color="auto"/>
                  <w:right w:val="single" w:sz="4" w:space="0" w:color="auto"/>
                </w:tcBorders>
                <w:vAlign w:val="center"/>
              </w:tcPr>
              <w:p w14:paraId="7EC06B8F" w14:textId="77777777" w:rsidR="00577D08" w:rsidRDefault="00330FC0">
                <w:pPr>
                  <w:jc w:val="right"/>
                  <w:rPr>
                    <w:sz w:val="18"/>
                    <w:szCs w:val="18"/>
                  </w:rPr>
                </w:pPr>
                <w:r>
                  <w:rPr>
                    <w:sz w:val="18"/>
                    <w:szCs w:val="18"/>
                  </w:rPr>
                  <w:t>306,147,470.36</w:t>
                </w:r>
              </w:p>
            </w:tc>
          </w:tr>
        </w:tbl>
        <w:p w14:paraId="7A7D5430" w14:textId="77777777" w:rsidR="00577D08" w:rsidRDefault="00330FC0">
          <w:pPr>
            <w:spacing w:line="360" w:lineRule="exact"/>
            <w:ind w:firstLineChars="200" w:firstLine="420"/>
          </w:pPr>
          <w:r>
            <w:rPr>
              <w:rFonts w:hint="eastAsia"/>
            </w:rPr>
            <w:t>注：银行借款及租赁负债包括列报到一年内的到期的非流动负债</w:t>
          </w:r>
        </w:p>
        <w:p w14:paraId="3513A7C7" w14:textId="77777777" w:rsidR="00577D08" w:rsidRDefault="00330FC0">
          <w:pPr>
            <w:spacing w:line="360" w:lineRule="exact"/>
            <w:ind w:firstLineChars="200" w:firstLine="420"/>
          </w:pPr>
          <w:r>
            <w:rPr>
              <w:rFonts w:hint="eastAsia"/>
            </w:rPr>
            <w:t>（</w:t>
          </w:r>
          <w:r>
            <w:rPr>
              <w:rFonts w:hint="eastAsia"/>
            </w:rPr>
            <w:t>3</w:t>
          </w:r>
          <w:r>
            <w:rPr>
              <w:rFonts w:hint="eastAsia"/>
            </w:rPr>
            <w:t>）市场风险</w:t>
          </w:r>
        </w:p>
        <w:p w14:paraId="4E185E53" w14:textId="77777777" w:rsidR="00577D08" w:rsidRDefault="00330FC0">
          <w:pPr>
            <w:spacing w:line="360" w:lineRule="exact"/>
            <w:ind w:firstLineChars="200" w:firstLine="420"/>
          </w:pPr>
          <w:r>
            <w:rPr>
              <w:rFonts w:hint="eastAsia"/>
            </w:rPr>
            <w:t>市场风险，是指金融工具的公允价值或未来现金流量因市场价格变动而发生波动的风险。市场风险主要包括利率风险和外汇风险。</w:t>
          </w:r>
        </w:p>
        <w:p w14:paraId="17E7789C" w14:textId="77777777" w:rsidR="00577D08" w:rsidRDefault="00330FC0">
          <w:pPr>
            <w:spacing w:line="360" w:lineRule="exact"/>
            <w:ind w:firstLineChars="200" w:firstLine="420"/>
          </w:pPr>
          <w:r>
            <w:rPr>
              <w:rFonts w:hint="eastAsia"/>
            </w:rPr>
            <w:t>1</w:t>
          </w:r>
          <w:r>
            <w:rPr>
              <w:rFonts w:hint="eastAsia"/>
            </w:rPr>
            <w:t>）利率风险</w:t>
          </w:r>
        </w:p>
        <w:p w14:paraId="260AC613" w14:textId="77777777" w:rsidR="00577D08" w:rsidRDefault="00330FC0">
          <w:pPr>
            <w:spacing w:line="360" w:lineRule="exact"/>
            <w:ind w:firstLineChars="200" w:firstLine="420"/>
            <w:jc w:val="both"/>
          </w:pPr>
          <w:r>
            <w:rPr>
              <w:rFonts w:hint="eastAsia"/>
            </w:rPr>
            <w:t>利率风险，是指金融工具的公允价值或未来现金流量因市场利率变动而发生波动的风险。固定利率的带息金融工具使本公司面临公允价值利率风险，浮动利率的带息金融工具使本公司面临现金流量利率风险。本公司根据市场环境来决定固定利率与浮动利率金融工具的比例，并通过定期审阅与监控维持适当的金融工具组合。本公司面临的现金流量利率风险主要与本公司以浮动利率计息的银行借款有关。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日，本公司以浮动利率计息的银行借款人民币</w:t>
          </w:r>
          <w:r>
            <w:t>169,634.94</w:t>
          </w:r>
          <w:r>
            <w:rPr>
              <w:rFonts w:hint="eastAsia"/>
            </w:rPr>
            <w:t>万元（</w:t>
          </w:r>
          <w:r>
            <w:rPr>
              <w:rFonts w:hint="eastAsia"/>
            </w:rPr>
            <w:t>2024</w:t>
          </w:r>
          <w:r>
            <w:rPr>
              <w:rFonts w:hint="eastAsia"/>
            </w:rPr>
            <w:t>年</w:t>
          </w:r>
          <w:r>
            <w:rPr>
              <w:rFonts w:hint="eastAsia"/>
            </w:rPr>
            <w:t>12</w:t>
          </w:r>
          <w:r>
            <w:rPr>
              <w:rFonts w:hint="eastAsia"/>
            </w:rPr>
            <w:t>月</w:t>
          </w:r>
          <w:r>
            <w:rPr>
              <w:rFonts w:hint="eastAsia"/>
            </w:rPr>
            <w:t>31</w:t>
          </w:r>
          <w:r>
            <w:rPr>
              <w:rFonts w:hint="eastAsia"/>
            </w:rPr>
            <w:t>日：人民币</w:t>
          </w:r>
          <w:r>
            <w:rPr>
              <w:rFonts w:hint="eastAsia"/>
            </w:rPr>
            <w:t>93,979.09</w:t>
          </w:r>
          <w:r>
            <w:rPr>
              <w:rFonts w:hint="eastAsia"/>
            </w:rPr>
            <w:t>万元），在其他变量不变的假设下，假定利率变动</w:t>
          </w:r>
          <w:r>
            <w:rPr>
              <w:rFonts w:hint="eastAsia"/>
            </w:rPr>
            <w:t>50</w:t>
          </w:r>
          <w:r>
            <w:rPr>
              <w:rFonts w:hint="eastAsia"/>
            </w:rPr>
            <w:t>个基准点，不会对本公司的利润总额和股东权益产生重大的影响。</w:t>
          </w:r>
        </w:p>
        <w:p w14:paraId="065D92BC" w14:textId="77777777" w:rsidR="00577D08" w:rsidRDefault="00330FC0">
          <w:pPr>
            <w:spacing w:line="360" w:lineRule="exact"/>
            <w:ind w:firstLineChars="200" w:firstLine="420"/>
          </w:pPr>
          <w:r>
            <w:rPr>
              <w:rFonts w:hint="eastAsia"/>
            </w:rPr>
            <w:t>2</w:t>
          </w:r>
          <w:r>
            <w:rPr>
              <w:rFonts w:hint="eastAsia"/>
            </w:rPr>
            <w:t>）外汇风险</w:t>
          </w:r>
        </w:p>
        <w:p w14:paraId="4ED2E2E1" w14:textId="77777777" w:rsidR="00577D08" w:rsidRDefault="00330FC0">
          <w:pPr>
            <w:spacing w:line="360" w:lineRule="exact"/>
            <w:ind w:firstLineChars="200" w:firstLine="420"/>
          </w:pPr>
          <w:r>
            <w:rPr>
              <w:rFonts w:hint="eastAsia"/>
            </w:rPr>
            <w:lastRenderedPageBreak/>
            <w:t>外汇风险，是指金融工具的公允价值或未来现金流量因外汇汇率变动而发生波动的风险。本公司于中国内地经营，且主要活动以人民币计价。因此，本公司所承担的外汇变动市场风险不重大。</w:t>
          </w:r>
        </w:p>
        <w:p w14:paraId="0B56AE81" w14:textId="77777777" w:rsidR="00577D08" w:rsidRDefault="00330FC0">
          <w:pPr>
            <w:spacing w:line="360" w:lineRule="exact"/>
            <w:ind w:firstLineChars="200" w:firstLine="420"/>
          </w:pPr>
          <w:r>
            <w:rPr>
              <w:rFonts w:hint="eastAsia"/>
            </w:rPr>
            <w:t>本公司期末外币货币性资产和负债情况详见“第八节</w:t>
          </w:r>
          <w:r>
            <w:rPr>
              <w:rFonts w:hint="eastAsia"/>
            </w:rPr>
            <w:t>.</w:t>
          </w:r>
          <w:r>
            <w:rPr>
              <w:rFonts w:hint="eastAsia"/>
            </w:rPr>
            <w:t>七、合并财务报表项目注释</w:t>
          </w:r>
          <w:r>
            <w:rPr>
              <w:rFonts w:hint="eastAsia"/>
            </w:rPr>
            <w:t>.81</w:t>
          </w:r>
          <w:r>
            <w:rPr>
              <w:rFonts w:hint="eastAsia"/>
            </w:rPr>
            <w:t>、外币货币性项目”。</w:t>
          </w:r>
        </w:p>
      </w:sdtContent>
    </w:sdt>
    <w:p w14:paraId="17713966" w14:textId="77777777" w:rsidR="00577D08" w:rsidRDefault="00330FC0">
      <w:pPr>
        <w:pStyle w:val="3"/>
        <w:numPr>
          <w:ilvl w:val="0"/>
          <w:numId w:val="110"/>
        </w:numPr>
      </w:pPr>
      <w:r>
        <w:rPr>
          <w:rFonts w:hint="eastAsia"/>
        </w:rPr>
        <w:t>套期</w:t>
      </w:r>
    </w:p>
    <w:p w14:paraId="6DB3A9CF" w14:textId="77777777" w:rsidR="00577D08" w:rsidRDefault="00330FC0">
      <w:pPr>
        <w:pStyle w:val="4"/>
        <w:numPr>
          <w:ilvl w:val="0"/>
          <w:numId w:val="111"/>
        </w:numPr>
        <w:ind w:left="0" w:firstLine="0"/>
        <w:rPr>
          <w:rFonts w:hint="eastAsia"/>
        </w:rPr>
      </w:pPr>
      <w:r>
        <w:rPr>
          <w:rFonts w:hint="eastAsia"/>
        </w:rPr>
        <w:t>公司开展套期业务进行风险管理</w:t>
      </w:r>
    </w:p>
    <w:sdt>
      <w:sdtPr>
        <w:alias w:val="是否适用：公司开展套期业务进行风险管理情况[双击切换]"/>
        <w:tag w:val="_GBC_71d11701ff3e412981460bc27e88a1b5"/>
        <w:id w:val="751477660"/>
        <w:placeholder>
          <w:docPart w:val="GBC22222222222222222222222222222"/>
        </w:placeholder>
      </w:sdtPr>
      <w:sdtContent>
        <w:p w14:paraId="20866D6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01FBDFD" w14:textId="77777777" w:rsidR="00577D08" w:rsidRDefault="00330FC0">
      <w:r>
        <w:rPr>
          <w:rFonts w:hint="eastAsia"/>
        </w:rPr>
        <w:t>其他说明：</w:t>
      </w:r>
    </w:p>
    <w:sdt>
      <w:sdtPr>
        <w:alias w:val="是否适用：公司开展套期业务进行风险管理的其他说明[双击切换]"/>
        <w:tag w:val="_GBC_bc39ee99cbfc4e469ac321509f461420"/>
        <w:id w:val="-1584911071"/>
        <w:placeholder>
          <w:docPart w:val="GBC22222222222222222222222222222"/>
        </w:placeholder>
      </w:sdtPr>
      <w:sdtContent>
        <w:p w14:paraId="3CC88E3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505B99C" w14:textId="77777777" w:rsidR="00577D08" w:rsidRDefault="00330FC0">
      <w:pPr>
        <w:pStyle w:val="4"/>
        <w:numPr>
          <w:ilvl w:val="0"/>
          <w:numId w:val="111"/>
        </w:numPr>
        <w:ind w:left="0" w:firstLine="0"/>
        <w:rPr>
          <w:rFonts w:hint="eastAsia"/>
        </w:rPr>
      </w:pPr>
      <w:r>
        <w:rPr>
          <w:rFonts w:hint="eastAsia"/>
        </w:rPr>
        <w:t>公司开展符合条件套期业务并应用套期会计</w:t>
      </w:r>
    </w:p>
    <w:sdt>
      <w:sdtPr>
        <w:alias w:val="是否适用：公司开展符合条件套期业务并应用套期会计情况[双击切换]"/>
        <w:tag w:val="_GBC_346f997d46464bdda5750bdd43495d02"/>
        <w:id w:val="-1980753517"/>
        <w:placeholder>
          <w:docPart w:val="GBC22222222222222222222222222222"/>
        </w:placeholder>
      </w:sdtPr>
      <w:sdtContent>
        <w:p w14:paraId="77AE94B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F8D65FC" w14:textId="77777777" w:rsidR="00577D08" w:rsidRDefault="00330FC0">
      <w:r>
        <w:rPr>
          <w:rFonts w:hint="eastAsia"/>
        </w:rPr>
        <w:t>其他说明：</w:t>
      </w:r>
    </w:p>
    <w:sdt>
      <w:sdtPr>
        <w:alias w:val="是否适用：公司开展符合条件套期业务并应用套期会计情况的其他说明[双击切换]"/>
        <w:tag w:val="_GBC_7f3675a931be4fe0b3ba0ed19f75108a"/>
        <w:id w:val="-1062008950"/>
        <w:placeholder>
          <w:docPart w:val="GBC22222222222222222222222222222"/>
        </w:placeholder>
      </w:sdtPr>
      <w:sdtContent>
        <w:p w14:paraId="6E8E657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D755E1" w14:textId="77777777" w:rsidR="00577D08" w:rsidRDefault="00330FC0">
      <w:pPr>
        <w:pStyle w:val="4"/>
        <w:numPr>
          <w:ilvl w:val="0"/>
          <w:numId w:val="111"/>
        </w:numPr>
        <w:ind w:left="0" w:firstLine="0"/>
        <w:rPr>
          <w:rFonts w:hint="eastAsia"/>
        </w:rPr>
      </w:pPr>
      <w:r>
        <w:rPr>
          <w:rFonts w:hint="eastAsia"/>
        </w:rPr>
        <w:t>公司开展套期业务进行风险管理、预期能实现风险管理目标但未应用套期会计</w:t>
      </w:r>
    </w:p>
    <w:sdt>
      <w:sdtPr>
        <w:alias w:val="是否适用：公司开展套期业务进行风险管理、预期能实现风险管理目标但未应用套期会计[双击切换]"/>
        <w:tag w:val="_GBC_a8e3b34e51d64b48bca9359ee5d1c683"/>
        <w:id w:val="494622431"/>
        <w:placeholder>
          <w:docPart w:val="GBC22222222222222222222222222222"/>
        </w:placeholder>
      </w:sdtPr>
      <w:sdtContent>
        <w:p w14:paraId="4B0675E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E4E3BF" w14:textId="77777777" w:rsidR="00577D08" w:rsidRDefault="00330FC0">
      <w:r>
        <w:rPr>
          <w:rFonts w:hint="eastAsia"/>
        </w:rPr>
        <w:t>其他说明：</w:t>
      </w:r>
    </w:p>
    <w:sdt>
      <w:sdtPr>
        <w:alias w:val="是否适用：公司开展套期业务进行风险管理、预期能实现风险管理目标但未应用套期会计的其他说明[双击切换]"/>
        <w:tag w:val="_GBC_7e60464ee1bf40b8b1d2fa0c0e7df1e4"/>
        <w:id w:val="-1026789937"/>
        <w:placeholder>
          <w:docPart w:val="GBC22222222222222222222222222222"/>
        </w:placeholder>
      </w:sdtPr>
      <w:sdtContent>
        <w:p w14:paraId="5501FA44"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7EAE16A" w14:textId="77777777" w:rsidR="00577D08" w:rsidRDefault="00330FC0">
      <w:pPr>
        <w:pStyle w:val="3"/>
        <w:numPr>
          <w:ilvl w:val="0"/>
          <w:numId w:val="110"/>
        </w:numPr>
      </w:pPr>
      <w:r>
        <w:rPr>
          <w:rFonts w:hint="eastAsia"/>
        </w:rPr>
        <w:t>金融资产转移</w:t>
      </w:r>
    </w:p>
    <w:p w14:paraId="18D669C4" w14:textId="77777777" w:rsidR="00577D08" w:rsidRDefault="00330FC0">
      <w:pPr>
        <w:pStyle w:val="4"/>
        <w:numPr>
          <w:ilvl w:val="0"/>
          <w:numId w:val="112"/>
        </w:numPr>
        <w:rPr>
          <w:rFonts w:ascii="宋体" w:eastAsia="宋体" w:hAnsi="宋体" w:cs="宋体" w:hint="eastAsia"/>
          <w:kern w:val="0"/>
          <w:szCs w:val="24"/>
        </w:rPr>
      </w:pPr>
      <w:bookmarkStart w:id="475" w:name="_Hlk153550670"/>
      <w:r>
        <w:rPr>
          <w:rFonts w:ascii="宋体" w:eastAsia="宋体" w:hAnsi="宋体" w:cs="宋体" w:hint="eastAsia"/>
          <w:kern w:val="0"/>
          <w:szCs w:val="24"/>
        </w:rPr>
        <w:t>转移方式分类</w:t>
      </w:r>
    </w:p>
    <w:sdt>
      <w:sdtPr>
        <w:alias w:val="是否适用：转移方式分类[双击切换]"/>
        <w:tag w:val="_GBC_ff6f967e629c4a6b934da2a3f33a107d"/>
        <w:id w:val="340432669"/>
        <w:placeholder>
          <w:docPart w:val="GBC22222222222222222222222222222"/>
        </w:placeholder>
      </w:sdtPr>
      <w:sdtContent>
        <w:p w14:paraId="74A437E7"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B017F7E" w14:textId="6272263D" w:rsidR="00577D08" w:rsidRDefault="00330FC0">
      <w:pPr>
        <w:jc w:val="right"/>
      </w:pPr>
      <w:r>
        <w:rPr>
          <w:rFonts w:hint="eastAsia"/>
        </w:rPr>
        <w:t>单位：</w:t>
      </w:r>
      <w:sdt>
        <w:sdtPr>
          <w:rPr>
            <w:rFonts w:hint="eastAsia"/>
          </w:rPr>
          <w:alias w:val="单位：转移方式分类"/>
          <w:tag w:val="_GBC_d7f95dcb2d6f4b869c97511f1a37f267"/>
          <w:id w:val="-155114709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转移方式分类"/>
          <w:tag w:val="_GBC_1bb0abcd190b4c65b19aad92b022743d"/>
          <w:id w:val="9939109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ook w:val="04A0" w:firstRow="1" w:lastRow="0" w:firstColumn="1" w:lastColumn="0" w:noHBand="0" w:noVBand="1"/>
      </w:tblPr>
      <w:tblGrid>
        <w:gridCol w:w="1620"/>
        <w:gridCol w:w="1651"/>
        <w:gridCol w:w="1830"/>
        <w:gridCol w:w="1651"/>
        <w:gridCol w:w="2071"/>
      </w:tblGrid>
      <w:tr w:rsidR="00577D08" w14:paraId="6573243E" w14:textId="77777777">
        <w:sdt>
          <w:sdtPr>
            <w:tag w:val="_PLD_ff3003becb624d2880dcbd2bb96855c6"/>
            <w:id w:val="405114967"/>
          </w:sdtPr>
          <w:sdtContent>
            <w:tc>
              <w:tcPr>
                <w:tcW w:w="1668" w:type="dxa"/>
                <w:vAlign w:val="center"/>
              </w:tcPr>
              <w:p w14:paraId="6384F83C" w14:textId="77777777" w:rsidR="00577D08" w:rsidRDefault="00330FC0">
                <w:pPr>
                  <w:jc w:val="center"/>
                </w:pPr>
                <w:r>
                  <w:rPr>
                    <w:rFonts w:hint="eastAsia"/>
                  </w:rPr>
                  <w:t>转移方式</w:t>
                </w:r>
              </w:p>
            </w:tc>
          </w:sdtContent>
        </w:sdt>
        <w:sdt>
          <w:sdtPr>
            <w:tag w:val="_PLD_938495e626604829a230c63b86a0377b"/>
            <w:id w:val="-887496678"/>
          </w:sdtPr>
          <w:sdtContent>
            <w:tc>
              <w:tcPr>
                <w:tcW w:w="1701" w:type="dxa"/>
                <w:vAlign w:val="center"/>
              </w:tcPr>
              <w:p w14:paraId="7F341279" w14:textId="77777777" w:rsidR="00577D08" w:rsidRDefault="00330FC0">
                <w:pPr>
                  <w:jc w:val="center"/>
                </w:pPr>
                <w:r>
                  <w:rPr>
                    <w:rFonts w:hint="eastAsia"/>
                  </w:rPr>
                  <w:t>已转移金融资产性质</w:t>
                </w:r>
              </w:p>
            </w:tc>
          </w:sdtContent>
        </w:sdt>
        <w:sdt>
          <w:sdtPr>
            <w:tag w:val="_PLD_68431c7b6df74a3ca59b2bb7fad11533"/>
            <w:id w:val="-1599868666"/>
          </w:sdtPr>
          <w:sdtContent>
            <w:tc>
              <w:tcPr>
                <w:tcW w:w="1842" w:type="dxa"/>
                <w:vAlign w:val="center"/>
              </w:tcPr>
              <w:p w14:paraId="0BB5B5C1" w14:textId="77777777" w:rsidR="00577D08" w:rsidRDefault="00330FC0">
                <w:pPr>
                  <w:jc w:val="center"/>
                </w:pPr>
                <w:r>
                  <w:rPr>
                    <w:rFonts w:hint="eastAsia"/>
                  </w:rPr>
                  <w:t>已转移金融资产金额</w:t>
                </w:r>
              </w:p>
            </w:tc>
          </w:sdtContent>
        </w:sdt>
        <w:sdt>
          <w:sdtPr>
            <w:tag w:val="_PLD_df7668e937d3453eae83b78f24ccfbd1"/>
            <w:id w:val="-750274281"/>
          </w:sdtPr>
          <w:sdtContent>
            <w:tc>
              <w:tcPr>
                <w:tcW w:w="1701" w:type="dxa"/>
                <w:vAlign w:val="center"/>
              </w:tcPr>
              <w:p w14:paraId="550A6216" w14:textId="77777777" w:rsidR="00577D08" w:rsidRDefault="00330FC0">
                <w:pPr>
                  <w:jc w:val="center"/>
                </w:pPr>
                <w:r>
                  <w:rPr>
                    <w:rFonts w:hint="eastAsia"/>
                  </w:rPr>
                  <w:t>终止确认情况</w:t>
                </w:r>
              </w:p>
            </w:tc>
          </w:sdtContent>
        </w:sdt>
        <w:sdt>
          <w:sdtPr>
            <w:tag w:val="_PLD_f9ebb1aaafd14c11b5dd2ad217a187b3"/>
            <w:id w:val="-82146138"/>
          </w:sdtPr>
          <w:sdtContent>
            <w:tc>
              <w:tcPr>
                <w:tcW w:w="2137" w:type="dxa"/>
                <w:vAlign w:val="center"/>
              </w:tcPr>
              <w:p w14:paraId="0A61CFF2" w14:textId="77777777" w:rsidR="00577D08" w:rsidRDefault="00330FC0">
                <w:pPr>
                  <w:jc w:val="center"/>
                </w:pPr>
                <w:r>
                  <w:rPr>
                    <w:rFonts w:hint="eastAsia"/>
                  </w:rPr>
                  <w:t>终止确认情况的判断依据</w:t>
                </w:r>
              </w:p>
            </w:tc>
          </w:sdtContent>
        </w:sdt>
      </w:tr>
      <w:tr w:rsidR="00577D08" w14:paraId="6FD1DF58" w14:textId="77777777">
        <w:tc>
          <w:tcPr>
            <w:tcW w:w="1668" w:type="dxa"/>
            <w:vAlign w:val="center"/>
          </w:tcPr>
          <w:p w14:paraId="0D425A9C" w14:textId="77777777" w:rsidR="00577D08" w:rsidRDefault="00330FC0">
            <w:r>
              <w:rPr>
                <w:rFonts w:hint="eastAsia"/>
              </w:rPr>
              <w:t>票据贴现</w:t>
            </w:r>
          </w:p>
        </w:tc>
        <w:tc>
          <w:tcPr>
            <w:tcW w:w="1701" w:type="dxa"/>
            <w:vAlign w:val="center"/>
          </w:tcPr>
          <w:p w14:paraId="459ABE5B" w14:textId="77777777" w:rsidR="00577D08" w:rsidRDefault="00330FC0">
            <w:r>
              <w:rPr>
                <w:rFonts w:hint="eastAsia"/>
              </w:rPr>
              <w:t>应收票据</w:t>
            </w:r>
          </w:p>
        </w:tc>
        <w:tc>
          <w:tcPr>
            <w:tcW w:w="1842" w:type="dxa"/>
            <w:vAlign w:val="center"/>
          </w:tcPr>
          <w:p w14:paraId="5C857EED" w14:textId="77777777" w:rsidR="00577D08" w:rsidRDefault="00330FC0">
            <w:pPr>
              <w:jc w:val="right"/>
            </w:pPr>
            <w:r>
              <w:rPr>
                <w:rFonts w:hint="eastAsia"/>
              </w:rPr>
              <w:t>2,651,000.00</w:t>
            </w:r>
          </w:p>
        </w:tc>
        <w:tc>
          <w:tcPr>
            <w:tcW w:w="1701" w:type="dxa"/>
            <w:vAlign w:val="center"/>
          </w:tcPr>
          <w:p w14:paraId="08632A16" w14:textId="77777777" w:rsidR="00577D08" w:rsidRDefault="00330FC0">
            <w:pPr>
              <w:jc w:val="center"/>
            </w:pPr>
            <w:r>
              <w:rPr>
                <w:rFonts w:hint="eastAsia"/>
              </w:rPr>
              <w:t>未终止确认</w:t>
            </w:r>
          </w:p>
        </w:tc>
        <w:tc>
          <w:tcPr>
            <w:tcW w:w="2137" w:type="dxa"/>
          </w:tcPr>
          <w:p w14:paraId="5F523541" w14:textId="77777777" w:rsidR="00577D08" w:rsidRDefault="00330FC0">
            <w:r>
              <w:rPr>
                <w:rFonts w:hint="eastAsia"/>
              </w:rPr>
              <w:t>保留了其几乎所有的风险和报酬</w:t>
            </w:r>
          </w:p>
        </w:tc>
      </w:tr>
      <w:tr w:rsidR="00577D08" w14:paraId="20B9DC2D" w14:textId="77777777">
        <w:tc>
          <w:tcPr>
            <w:tcW w:w="1668" w:type="dxa"/>
            <w:vAlign w:val="center"/>
          </w:tcPr>
          <w:p w14:paraId="61721FEA" w14:textId="77777777" w:rsidR="00577D08" w:rsidRDefault="00330FC0">
            <w:r>
              <w:rPr>
                <w:rFonts w:hint="eastAsia"/>
              </w:rPr>
              <w:t>应收账款贴现</w:t>
            </w:r>
          </w:p>
        </w:tc>
        <w:tc>
          <w:tcPr>
            <w:tcW w:w="1701" w:type="dxa"/>
            <w:vAlign w:val="center"/>
          </w:tcPr>
          <w:p w14:paraId="723F320A" w14:textId="77777777" w:rsidR="00577D08" w:rsidRDefault="00330FC0">
            <w:r>
              <w:rPr>
                <w:rFonts w:hint="eastAsia"/>
              </w:rPr>
              <w:t>应收账款</w:t>
            </w:r>
          </w:p>
        </w:tc>
        <w:tc>
          <w:tcPr>
            <w:tcW w:w="1842" w:type="dxa"/>
            <w:vAlign w:val="center"/>
          </w:tcPr>
          <w:p w14:paraId="7D6FA842" w14:textId="77777777" w:rsidR="00577D08" w:rsidRDefault="00330FC0">
            <w:pPr>
              <w:jc w:val="right"/>
            </w:pPr>
            <w:r>
              <w:rPr>
                <w:rFonts w:hint="eastAsia"/>
              </w:rPr>
              <w:t>2,800,000.00</w:t>
            </w:r>
          </w:p>
        </w:tc>
        <w:tc>
          <w:tcPr>
            <w:tcW w:w="1701" w:type="dxa"/>
            <w:vAlign w:val="center"/>
          </w:tcPr>
          <w:p w14:paraId="3F96EB48" w14:textId="77777777" w:rsidR="00577D08" w:rsidRDefault="00330FC0">
            <w:pPr>
              <w:jc w:val="center"/>
            </w:pPr>
            <w:r>
              <w:rPr>
                <w:rFonts w:hint="eastAsia"/>
              </w:rPr>
              <w:t>未终止确认</w:t>
            </w:r>
          </w:p>
        </w:tc>
        <w:tc>
          <w:tcPr>
            <w:tcW w:w="2137" w:type="dxa"/>
          </w:tcPr>
          <w:p w14:paraId="1BCCF403" w14:textId="77777777" w:rsidR="00577D08" w:rsidRDefault="00330FC0">
            <w:r>
              <w:rPr>
                <w:rFonts w:hint="eastAsia"/>
              </w:rPr>
              <w:t>保留了其几乎所有的风险和报酬</w:t>
            </w:r>
          </w:p>
        </w:tc>
      </w:tr>
      <w:tr w:rsidR="00577D08" w14:paraId="17EF04B5" w14:textId="77777777">
        <w:tc>
          <w:tcPr>
            <w:tcW w:w="1668" w:type="dxa"/>
            <w:vAlign w:val="center"/>
          </w:tcPr>
          <w:p w14:paraId="15406FF5" w14:textId="77777777" w:rsidR="00577D08" w:rsidRDefault="00330FC0">
            <w:r>
              <w:rPr>
                <w:rFonts w:hint="eastAsia"/>
              </w:rPr>
              <w:t>票据贴现</w:t>
            </w:r>
          </w:p>
        </w:tc>
        <w:tc>
          <w:tcPr>
            <w:tcW w:w="1701" w:type="dxa"/>
            <w:vAlign w:val="center"/>
          </w:tcPr>
          <w:p w14:paraId="6413DA07" w14:textId="77777777" w:rsidR="00577D08" w:rsidRDefault="00330FC0">
            <w:r>
              <w:rPr>
                <w:rFonts w:hint="eastAsia"/>
              </w:rPr>
              <w:t>应收款项融资</w:t>
            </w:r>
          </w:p>
        </w:tc>
        <w:tc>
          <w:tcPr>
            <w:tcW w:w="1842" w:type="dxa"/>
            <w:vAlign w:val="center"/>
          </w:tcPr>
          <w:p w14:paraId="68A01815" w14:textId="77777777" w:rsidR="00577D08" w:rsidRDefault="00330FC0">
            <w:pPr>
              <w:jc w:val="right"/>
            </w:pPr>
            <w:r>
              <w:rPr>
                <w:rFonts w:hint="eastAsia"/>
              </w:rPr>
              <w:t>38,581,825.17</w:t>
            </w:r>
          </w:p>
        </w:tc>
        <w:tc>
          <w:tcPr>
            <w:tcW w:w="1701" w:type="dxa"/>
            <w:vAlign w:val="center"/>
          </w:tcPr>
          <w:p w14:paraId="60C8B9CA" w14:textId="77777777" w:rsidR="00577D08" w:rsidRDefault="00330FC0">
            <w:pPr>
              <w:jc w:val="center"/>
            </w:pPr>
            <w:r>
              <w:rPr>
                <w:rFonts w:hint="eastAsia"/>
              </w:rPr>
              <w:t>终止确认</w:t>
            </w:r>
          </w:p>
        </w:tc>
        <w:tc>
          <w:tcPr>
            <w:tcW w:w="2137" w:type="dxa"/>
          </w:tcPr>
          <w:p w14:paraId="0F8C6443" w14:textId="77777777" w:rsidR="00577D08" w:rsidRDefault="00330FC0">
            <w:r>
              <w:rPr>
                <w:rFonts w:hint="eastAsia"/>
              </w:rPr>
              <w:t>已经转移了其几乎所有的风险和报酬</w:t>
            </w:r>
          </w:p>
        </w:tc>
      </w:tr>
      <w:tr w:rsidR="00577D08" w14:paraId="6B0B3AA0" w14:textId="77777777">
        <w:tc>
          <w:tcPr>
            <w:tcW w:w="1668" w:type="dxa"/>
            <w:vAlign w:val="center"/>
          </w:tcPr>
          <w:p w14:paraId="4794473B" w14:textId="77777777" w:rsidR="00577D08" w:rsidRDefault="00330FC0">
            <w:r>
              <w:rPr>
                <w:rFonts w:hint="eastAsia"/>
              </w:rPr>
              <w:t>票据背书</w:t>
            </w:r>
          </w:p>
        </w:tc>
        <w:tc>
          <w:tcPr>
            <w:tcW w:w="1701" w:type="dxa"/>
            <w:vAlign w:val="center"/>
          </w:tcPr>
          <w:p w14:paraId="1E7D741C" w14:textId="77777777" w:rsidR="00577D08" w:rsidRDefault="00330FC0">
            <w:r>
              <w:rPr>
                <w:rFonts w:hint="eastAsia"/>
              </w:rPr>
              <w:t>应收票据</w:t>
            </w:r>
          </w:p>
        </w:tc>
        <w:tc>
          <w:tcPr>
            <w:tcW w:w="1842" w:type="dxa"/>
            <w:vAlign w:val="center"/>
          </w:tcPr>
          <w:p w14:paraId="4DDC0933" w14:textId="77777777" w:rsidR="00577D08" w:rsidRDefault="00330FC0">
            <w:pPr>
              <w:jc w:val="right"/>
            </w:pPr>
            <w:r>
              <w:rPr>
                <w:rFonts w:hint="eastAsia"/>
              </w:rPr>
              <w:t>291,549,228.94</w:t>
            </w:r>
          </w:p>
        </w:tc>
        <w:tc>
          <w:tcPr>
            <w:tcW w:w="1701" w:type="dxa"/>
            <w:vAlign w:val="center"/>
          </w:tcPr>
          <w:p w14:paraId="0D59B7C2" w14:textId="77777777" w:rsidR="00577D08" w:rsidRDefault="00330FC0">
            <w:pPr>
              <w:jc w:val="center"/>
            </w:pPr>
            <w:r>
              <w:rPr>
                <w:rFonts w:hint="eastAsia"/>
              </w:rPr>
              <w:t>未终止确认</w:t>
            </w:r>
          </w:p>
        </w:tc>
        <w:tc>
          <w:tcPr>
            <w:tcW w:w="2137" w:type="dxa"/>
          </w:tcPr>
          <w:p w14:paraId="45EB32DE" w14:textId="77777777" w:rsidR="00577D08" w:rsidRDefault="00330FC0">
            <w:r>
              <w:rPr>
                <w:rFonts w:hint="eastAsia"/>
              </w:rPr>
              <w:t>保留了其几乎所有的风险和报酬</w:t>
            </w:r>
          </w:p>
        </w:tc>
      </w:tr>
      <w:tr w:rsidR="00577D08" w14:paraId="2468871F" w14:textId="77777777">
        <w:tc>
          <w:tcPr>
            <w:tcW w:w="1668" w:type="dxa"/>
            <w:vAlign w:val="center"/>
          </w:tcPr>
          <w:p w14:paraId="28D4ED02" w14:textId="77777777" w:rsidR="00577D08" w:rsidRDefault="00330FC0">
            <w:r>
              <w:rPr>
                <w:rFonts w:hint="eastAsia"/>
              </w:rPr>
              <w:t>票据背书</w:t>
            </w:r>
          </w:p>
        </w:tc>
        <w:tc>
          <w:tcPr>
            <w:tcW w:w="1701" w:type="dxa"/>
            <w:vAlign w:val="center"/>
          </w:tcPr>
          <w:p w14:paraId="0B953A53" w14:textId="77777777" w:rsidR="00577D08" w:rsidRDefault="00330FC0">
            <w:r>
              <w:rPr>
                <w:rFonts w:hint="eastAsia"/>
              </w:rPr>
              <w:t>应收账款</w:t>
            </w:r>
          </w:p>
        </w:tc>
        <w:tc>
          <w:tcPr>
            <w:tcW w:w="1842" w:type="dxa"/>
            <w:vAlign w:val="center"/>
          </w:tcPr>
          <w:p w14:paraId="76EB3866" w14:textId="77777777" w:rsidR="00577D08" w:rsidRDefault="00330FC0">
            <w:pPr>
              <w:jc w:val="right"/>
            </w:pPr>
            <w:r>
              <w:rPr>
                <w:rFonts w:hint="eastAsia"/>
              </w:rPr>
              <w:t>22,068,495.28</w:t>
            </w:r>
          </w:p>
        </w:tc>
        <w:tc>
          <w:tcPr>
            <w:tcW w:w="1701" w:type="dxa"/>
            <w:vAlign w:val="center"/>
          </w:tcPr>
          <w:p w14:paraId="38DF8E60" w14:textId="77777777" w:rsidR="00577D08" w:rsidRDefault="00330FC0">
            <w:pPr>
              <w:jc w:val="center"/>
            </w:pPr>
            <w:r>
              <w:rPr>
                <w:rFonts w:hint="eastAsia"/>
              </w:rPr>
              <w:t>未终止确认</w:t>
            </w:r>
          </w:p>
        </w:tc>
        <w:tc>
          <w:tcPr>
            <w:tcW w:w="2137" w:type="dxa"/>
          </w:tcPr>
          <w:p w14:paraId="7365D350" w14:textId="77777777" w:rsidR="00577D08" w:rsidRDefault="00330FC0">
            <w:r>
              <w:rPr>
                <w:rFonts w:hint="eastAsia"/>
              </w:rPr>
              <w:t>保留了其几乎所有的风险和报酬</w:t>
            </w:r>
          </w:p>
        </w:tc>
      </w:tr>
      <w:tr w:rsidR="00577D08" w14:paraId="3F614682" w14:textId="77777777">
        <w:tc>
          <w:tcPr>
            <w:tcW w:w="1668" w:type="dxa"/>
            <w:vAlign w:val="center"/>
          </w:tcPr>
          <w:p w14:paraId="591468D5" w14:textId="77777777" w:rsidR="00577D08" w:rsidRDefault="00330FC0">
            <w:r>
              <w:rPr>
                <w:rFonts w:hint="eastAsia"/>
              </w:rPr>
              <w:t>票据背书</w:t>
            </w:r>
          </w:p>
        </w:tc>
        <w:tc>
          <w:tcPr>
            <w:tcW w:w="1701" w:type="dxa"/>
            <w:vAlign w:val="center"/>
          </w:tcPr>
          <w:p w14:paraId="7F069289" w14:textId="77777777" w:rsidR="00577D08" w:rsidRDefault="00330FC0">
            <w:r>
              <w:rPr>
                <w:rFonts w:hint="eastAsia"/>
              </w:rPr>
              <w:t>应收款项融资</w:t>
            </w:r>
          </w:p>
        </w:tc>
        <w:tc>
          <w:tcPr>
            <w:tcW w:w="1842" w:type="dxa"/>
            <w:vAlign w:val="center"/>
          </w:tcPr>
          <w:p w14:paraId="3A3085D6" w14:textId="77777777" w:rsidR="00577D08" w:rsidRDefault="00330FC0">
            <w:pPr>
              <w:jc w:val="right"/>
            </w:pPr>
            <w:r>
              <w:rPr>
                <w:rFonts w:hint="eastAsia"/>
              </w:rPr>
              <w:t>316,455,336.65</w:t>
            </w:r>
          </w:p>
        </w:tc>
        <w:tc>
          <w:tcPr>
            <w:tcW w:w="1701" w:type="dxa"/>
            <w:vAlign w:val="center"/>
          </w:tcPr>
          <w:p w14:paraId="728B2427" w14:textId="77777777" w:rsidR="00577D08" w:rsidRDefault="00330FC0">
            <w:pPr>
              <w:jc w:val="center"/>
            </w:pPr>
            <w:r>
              <w:rPr>
                <w:rFonts w:hint="eastAsia"/>
              </w:rPr>
              <w:t>终止确认</w:t>
            </w:r>
          </w:p>
        </w:tc>
        <w:tc>
          <w:tcPr>
            <w:tcW w:w="2137" w:type="dxa"/>
          </w:tcPr>
          <w:p w14:paraId="5EF6DBF6" w14:textId="77777777" w:rsidR="00577D08" w:rsidRDefault="00330FC0">
            <w:r>
              <w:rPr>
                <w:rFonts w:hint="eastAsia"/>
              </w:rPr>
              <w:t>已经转移了其几乎所有的风险和报酬</w:t>
            </w:r>
          </w:p>
        </w:tc>
      </w:tr>
      <w:tr w:rsidR="00577D08" w14:paraId="073CD3FD" w14:textId="77777777">
        <w:tc>
          <w:tcPr>
            <w:tcW w:w="1668" w:type="dxa"/>
            <w:vAlign w:val="center"/>
          </w:tcPr>
          <w:p w14:paraId="11DAB069" w14:textId="77777777" w:rsidR="00577D08" w:rsidRDefault="00330FC0">
            <w:pPr>
              <w:jc w:val="center"/>
            </w:pPr>
            <w:r>
              <w:rPr>
                <w:rFonts w:hint="eastAsia"/>
              </w:rPr>
              <w:t>合计</w:t>
            </w:r>
          </w:p>
        </w:tc>
        <w:tc>
          <w:tcPr>
            <w:tcW w:w="1701" w:type="dxa"/>
            <w:vAlign w:val="center"/>
          </w:tcPr>
          <w:p w14:paraId="0DAE750E" w14:textId="77777777" w:rsidR="00577D08" w:rsidRDefault="00330FC0">
            <w:pPr>
              <w:jc w:val="center"/>
            </w:pPr>
            <w:r>
              <w:rPr>
                <w:rFonts w:hint="eastAsia"/>
              </w:rPr>
              <w:t>/</w:t>
            </w:r>
          </w:p>
        </w:tc>
        <w:tc>
          <w:tcPr>
            <w:tcW w:w="1842" w:type="dxa"/>
            <w:vAlign w:val="center"/>
          </w:tcPr>
          <w:p w14:paraId="78CD4371" w14:textId="77777777" w:rsidR="00577D08" w:rsidRDefault="00330FC0">
            <w:pPr>
              <w:jc w:val="right"/>
            </w:pPr>
            <w:r>
              <w:t>674,105,886.04</w:t>
            </w:r>
          </w:p>
        </w:tc>
        <w:tc>
          <w:tcPr>
            <w:tcW w:w="1701" w:type="dxa"/>
            <w:vAlign w:val="center"/>
          </w:tcPr>
          <w:p w14:paraId="75A15071" w14:textId="77777777" w:rsidR="00577D08" w:rsidRDefault="00330FC0">
            <w:pPr>
              <w:jc w:val="center"/>
            </w:pPr>
            <w:r>
              <w:rPr>
                <w:rFonts w:hint="eastAsia"/>
              </w:rPr>
              <w:t>/</w:t>
            </w:r>
          </w:p>
        </w:tc>
        <w:tc>
          <w:tcPr>
            <w:tcW w:w="2137" w:type="dxa"/>
            <w:vAlign w:val="center"/>
          </w:tcPr>
          <w:p w14:paraId="4897EBC6" w14:textId="77777777" w:rsidR="00577D08" w:rsidRDefault="00330FC0">
            <w:pPr>
              <w:jc w:val="center"/>
            </w:pPr>
            <w:r>
              <w:rPr>
                <w:rFonts w:hint="eastAsia"/>
              </w:rPr>
              <w:t>/</w:t>
            </w:r>
          </w:p>
        </w:tc>
      </w:tr>
    </w:tbl>
    <w:bookmarkEnd w:id="475"/>
    <w:p w14:paraId="439D4835" w14:textId="77777777" w:rsidR="00577D08" w:rsidRDefault="00330FC0">
      <w:pPr>
        <w:pStyle w:val="4"/>
        <w:numPr>
          <w:ilvl w:val="0"/>
          <w:numId w:val="112"/>
        </w:numPr>
        <w:rPr>
          <w:rFonts w:ascii="宋体" w:eastAsia="宋体" w:hAnsi="宋体" w:cs="宋体" w:hint="eastAsia"/>
          <w:kern w:val="0"/>
          <w:szCs w:val="24"/>
        </w:rPr>
      </w:pPr>
      <w:r>
        <w:rPr>
          <w:rFonts w:ascii="宋体" w:eastAsia="宋体" w:hAnsi="宋体" w:cs="宋体" w:hint="eastAsia"/>
          <w:kern w:val="0"/>
          <w:szCs w:val="24"/>
        </w:rPr>
        <w:t>因转移而终止确认的金融资产</w:t>
      </w:r>
    </w:p>
    <w:sdt>
      <w:sdtPr>
        <w:rPr>
          <w:rFonts w:hint="eastAsia"/>
        </w:rPr>
        <w:alias w:val="是否适用：因转移而终止确认的金融资产[双击切换]"/>
        <w:tag w:val="_GBC_9fb1347e32aa4376959cf58d1383255a"/>
        <w:id w:val="366112670"/>
        <w:placeholder>
          <w:docPart w:val="GBC22222222222222222222222222222"/>
        </w:placeholder>
      </w:sdtPr>
      <w:sdtContent>
        <w:p w14:paraId="03E7F50C"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4B06E06" w14:textId="04C45EAF" w:rsidR="00577D08" w:rsidRDefault="00330FC0">
      <w:pPr>
        <w:jc w:val="right"/>
      </w:pPr>
      <w:r>
        <w:rPr>
          <w:rFonts w:hint="eastAsia"/>
        </w:rPr>
        <w:t>单位：</w:t>
      </w:r>
      <w:sdt>
        <w:sdtPr>
          <w:rPr>
            <w:rFonts w:hint="eastAsia"/>
          </w:rPr>
          <w:alias w:val="单位：因转移而终止确认的金融资产"/>
          <w:tag w:val="_GBC_8059d230524548a6b7bed8973dd8532f"/>
          <w:id w:val="181675945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因转移而终止确认的金融资产"/>
          <w:tag w:val="_GBC_0713d79d8ee247e6b4353877127c1e7a"/>
          <w:id w:val="13509950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2262"/>
        <w:gridCol w:w="2262"/>
        <w:gridCol w:w="2262"/>
        <w:gridCol w:w="2263"/>
      </w:tblGrid>
      <w:tr w:rsidR="00577D08" w14:paraId="71E2D99F" w14:textId="77777777">
        <w:sdt>
          <w:sdtPr>
            <w:tag w:val="_PLD_0c28f0927edc43b082ba0c7b87104144"/>
            <w:id w:val="-1675108422"/>
          </w:sdtPr>
          <w:sdtContent>
            <w:tc>
              <w:tcPr>
                <w:tcW w:w="2262" w:type="dxa"/>
                <w:vAlign w:val="center"/>
              </w:tcPr>
              <w:p w14:paraId="2F79E3E0" w14:textId="77777777" w:rsidR="00577D08" w:rsidRDefault="00330FC0">
                <w:pPr>
                  <w:jc w:val="center"/>
                </w:pPr>
                <w:r>
                  <w:rPr>
                    <w:rFonts w:hint="eastAsia"/>
                  </w:rPr>
                  <w:t>项目</w:t>
                </w:r>
              </w:p>
            </w:tc>
          </w:sdtContent>
        </w:sdt>
        <w:sdt>
          <w:sdtPr>
            <w:tag w:val="_PLD_fcb00cafb60a48d382999f52fe23b2c1"/>
            <w:id w:val="1400719579"/>
          </w:sdtPr>
          <w:sdtContent>
            <w:tc>
              <w:tcPr>
                <w:tcW w:w="2262" w:type="dxa"/>
                <w:vAlign w:val="center"/>
              </w:tcPr>
              <w:p w14:paraId="7227E06A" w14:textId="77777777" w:rsidR="00577D08" w:rsidRDefault="00330FC0">
                <w:pPr>
                  <w:jc w:val="center"/>
                </w:pPr>
                <w:r>
                  <w:rPr>
                    <w:rFonts w:hint="eastAsia"/>
                  </w:rPr>
                  <w:t>金融资产转移的方式</w:t>
                </w:r>
              </w:p>
            </w:tc>
          </w:sdtContent>
        </w:sdt>
        <w:sdt>
          <w:sdtPr>
            <w:tag w:val="_PLD_ca7b3a7c9470473997aafc49e87c8823"/>
            <w:id w:val="1597444278"/>
          </w:sdtPr>
          <w:sdtContent>
            <w:tc>
              <w:tcPr>
                <w:tcW w:w="2262" w:type="dxa"/>
                <w:vAlign w:val="center"/>
              </w:tcPr>
              <w:p w14:paraId="7ED92CC1" w14:textId="77777777" w:rsidR="00577D08" w:rsidRDefault="00330FC0">
                <w:pPr>
                  <w:jc w:val="center"/>
                </w:pPr>
                <w:r>
                  <w:rPr>
                    <w:rFonts w:hint="eastAsia"/>
                  </w:rPr>
                  <w:t>终止确认的金融资产金额</w:t>
                </w:r>
              </w:p>
            </w:tc>
          </w:sdtContent>
        </w:sdt>
        <w:sdt>
          <w:sdtPr>
            <w:tag w:val="_PLD_6fb64ca600c043958cc8af5bba680fbf"/>
            <w:id w:val="1636367182"/>
          </w:sdtPr>
          <w:sdtContent>
            <w:tc>
              <w:tcPr>
                <w:tcW w:w="2263" w:type="dxa"/>
                <w:vAlign w:val="center"/>
              </w:tcPr>
              <w:p w14:paraId="6C96D7D4" w14:textId="77777777" w:rsidR="00577D08" w:rsidRDefault="00330FC0">
                <w:pPr>
                  <w:jc w:val="center"/>
                </w:pPr>
                <w:r>
                  <w:rPr>
                    <w:rFonts w:hint="eastAsia"/>
                  </w:rPr>
                  <w:t>与终止确认相关的利得或损失</w:t>
                </w:r>
              </w:p>
            </w:tc>
          </w:sdtContent>
        </w:sdt>
      </w:tr>
      <w:tr w:rsidR="00577D08" w14:paraId="2DE4D0A8" w14:textId="77777777">
        <w:tc>
          <w:tcPr>
            <w:tcW w:w="2262" w:type="dxa"/>
          </w:tcPr>
          <w:p w14:paraId="26C3A179" w14:textId="77777777" w:rsidR="00577D08" w:rsidRDefault="00330FC0">
            <w:r>
              <w:rPr>
                <w:rFonts w:hint="eastAsia"/>
              </w:rPr>
              <w:t>应收款项融资</w:t>
            </w:r>
          </w:p>
        </w:tc>
        <w:tc>
          <w:tcPr>
            <w:tcW w:w="2262" w:type="dxa"/>
          </w:tcPr>
          <w:p w14:paraId="3A166A69" w14:textId="77777777" w:rsidR="00577D08" w:rsidRDefault="00330FC0">
            <w:r>
              <w:rPr>
                <w:rFonts w:hint="eastAsia"/>
              </w:rPr>
              <w:t>票据贴现</w:t>
            </w:r>
          </w:p>
        </w:tc>
        <w:tc>
          <w:tcPr>
            <w:tcW w:w="2262" w:type="dxa"/>
          </w:tcPr>
          <w:p w14:paraId="08FD149E" w14:textId="77777777" w:rsidR="00577D08" w:rsidRDefault="00330FC0">
            <w:pPr>
              <w:jc w:val="right"/>
            </w:pPr>
            <w:r>
              <w:rPr>
                <w:rFonts w:hint="eastAsia"/>
              </w:rPr>
              <w:t>38,581,825.17</w:t>
            </w:r>
          </w:p>
        </w:tc>
        <w:tc>
          <w:tcPr>
            <w:tcW w:w="2263" w:type="dxa"/>
          </w:tcPr>
          <w:p w14:paraId="700C9609" w14:textId="77777777" w:rsidR="00577D08" w:rsidRDefault="00330FC0">
            <w:pPr>
              <w:jc w:val="right"/>
            </w:pPr>
            <w:r>
              <w:rPr>
                <w:rFonts w:hint="eastAsia"/>
              </w:rPr>
              <w:t>-152,064.43</w:t>
            </w:r>
          </w:p>
        </w:tc>
      </w:tr>
      <w:tr w:rsidR="00577D08" w14:paraId="59588389" w14:textId="77777777">
        <w:tc>
          <w:tcPr>
            <w:tcW w:w="2262" w:type="dxa"/>
          </w:tcPr>
          <w:p w14:paraId="3E257A66" w14:textId="77777777" w:rsidR="00577D08" w:rsidRDefault="00330FC0">
            <w:r>
              <w:rPr>
                <w:rFonts w:hint="eastAsia"/>
              </w:rPr>
              <w:lastRenderedPageBreak/>
              <w:t>应收款项融资</w:t>
            </w:r>
          </w:p>
        </w:tc>
        <w:tc>
          <w:tcPr>
            <w:tcW w:w="2262" w:type="dxa"/>
          </w:tcPr>
          <w:p w14:paraId="3ED56BD4" w14:textId="77777777" w:rsidR="00577D08" w:rsidRDefault="00330FC0">
            <w:r>
              <w:rPr>
                <w:rFonts w:hint="eastAsia"/>
              </w:rPr>
              <w:t>票据背书</w:t>
            </w:r>
          </w:p>
        </w:tc>
        <w:tc>
          <w:tcPr>
            <w:tcW w:w="2262" w:type="dxa"/>
          </w:tcPr>
          <w:p w14:paraId="1C967684" w14:textId="77777777" w:rsidR="00577D08" w:rsidRDefault="00330FC0">
            <w:pPr>
              <w:jc w:val="right"/>
            </w:pPr>
            <w:r>
              <w:rPr>
                <w:rFonts w:hint="eastAsia"/>
              </w:rPr>
              <w:t>316,455,336.65</w:t>
            </w:r>
          </w:p>
        </w:tc>
        <w:tc>
          <w:tcPr>
            <w:tcW w:w="2263" w:type="dxa"/>
          </w:tcPr>
          <w:p w14:paraId="534D58E7" w14:textId="77777777" w:rsidR="00577D08" w:rsidRDefault="00577D08">
            <w:pPr>
              <w:jc w:val="right"/>
            </w:pPr>
          </w:p>
        </w:tc>
      </w:tr>
      <w:tr w:rsidR="00577D08" w14:paraId="679EE2E8" w14:textId="77777777">
        <w:tc>
          <w:tcPr>
            <w:tcW w:w="2262" w:type="dxa"/>
            <w:vAlign w:val="center"/>
          </w:tcPr>
          <w:p w14:paraId="33BB1502" w14:textId="77777777" w:rsidR="00577D08" w:rsidRDefault="00330FC0">
            <w:pPr>
              <w:jc w:val="center"/>
            </w:pPr>
            <w:r>
              <w:rPr>
                <w:rFonts w:hint="eastAsia"/>
              </w:rPr>
              <w:t>合计</w:t>
            </w:r>
          </w:p>
        </w:tc>
        <w:tc>
          <w:tcPr>
            <w:tcW w:w="2262" w:type="dxa"/>
            <w:vAlign w:val="center"/>
          </w:tcPr>
          <w:p w14:paraId="2B21B955" w14:textId="77777777" w:rsidR="00577D08" w:rsidRDefault="00330FC0">
            <w:pPr>
              <w:jc w:val="center"/>
            </w:pPr>
            <w:r>
              <w:rPr>
                <w:rFonts w:hint="eastAsia"/>
              </w:rPr>
              <w:t>/</w:t>
            </w:r>
          </w:p>
        </w:tc>
        <w:tc>
          <w:tcPr>
            <w:tcW w:w="2262" w:type="dxa"/>
          </w:tcPr>
          <w:p w14:paraId="47CFAFEB" w14:textId="77777777" w:rsidR="00577D08" w:rsidRDefault="00330FC0">
            <w:pPr>
              <w:jc w:val="right"/>
            </w:pPr>
            <w:r>
              <w:t>355,037,161.82</w:t>
            </w:r>
          </w:p>
        </w:tc>
        <w:tc>
          <w:tcPr>
            <w:tcW w:w="2263" w:type="dxa"/>
          </w:tcPr>
          <w:p w14:paraId="059CB380" w14:textId="77777777" w:rsidR="00577D08" w:rsidRDefault="00330FC0">
            <w:pPr>
              <w:jc w:val="right"/>
            </w:pPr>
            <w:r>
              <w:t>-152,064.43</w:t>
            </w:r>
          </w:p>
        </w:tc>
      </w:tr>
    </w:tbl>
    <w:p w14:paraId="5573BAF7" w14:textId="77777777" w:rsidR="00577D08" w:rsidRDefault="00330FC0">
      <w:pPr>
        <w:pStyle w:val="4"/>
        <w:numPr>
          <w:ilvl w:val="0"/>
          <w:numId w:val="112"/>
        </w:numPr>
        <w:rPr>
          <w:rFonts w:ascii="宋体" w:eastAsia="宋体" w:hAnsi="宋体" w:cs="宋体" w:hint="eastAsia"/>
          <w:kern w:val="0"/>
          <w:szCs w:val="24"/>
        </w:rPr>
      </w:pPr>
      <w:r>
        <w:rPr>
          <w:rFonts w:ascii="宋体" w:eastAsia="宋体" w:hAnsi="宋体" w:cs="宋体" w:hint="eastAsia"/>
          <w:kern w:val="0"/>
          <w:szCs w:val="24"/>
        </w:rPr>
        <w:t>继续涉入的转移金融资产</w:t>
      </w:r>
    </w:p>
    <w:sdt>
      <w:sdtPr>
        <w:alias w:val="是否适用：继续涉入的转移金融资产[双击切换]"/>
        <w:tag w:val="_GBC_b604f7fddde64fe6935f4995b9a88a21"/>
        <w:id w:val="1453517120"/>
        <w:placeholder>
          <w:docPart w:val="GBC22222222222222222222222222222"/>
        </w:placeholder>
      </w:sdtPr>
      <w:sdtContent>
        <w:p w14:paraId="53D88A05"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533B80F" w14:textId="1B8D3131" w:rsidR="00577D08" w:rsidRDefault="00330FC0">
      <w:pPr>
        <w:jc w:val="right"/>
      </w:pPr>
      <w:r>
        <w:rPr>
          <w:rFonts w:hint="eastAsia"/>
        </w:rPr>
        <w:t>单位：</w:t>
      </w:r>
      <w:sdt>
        <w:sdtPr>
          <w:rPr>
            <w:rFonts w:hint="eastAsia"/>
          </w:rPr>
          <w:alias w:val="单位：继续涉入的转移金融资产"/>
          <w:tag w:val="_GBC_cdfde588110c40d1bbe2d570bf7729a2"/>
          <w:id w:val="-171302893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r w:rsidR="00CC5C32">
            <w:rPr>
              <w:rFonts w:hint="eastAsia"/>
            </w:rPr>
            <w:t xml:space="preserve"> </w:t>
          </w:r>
        </w:sdtContent>
      </w:sdt>
      <w:r>
        <w:rPr>
          <w:rFonts w:hint="eastAsia"/>
        </w:rPr>
        <w:t>币种：</w:t>
      </w:r>
      <w:sdt>
        <w:sdtPr>
          <w:rPr>
            <w:rFonts w:hint="eastAsia"/>
          </w:rPr>
          <w:alias w:val="币种：继续涉入的转移金融资产"/>
          <w:tag w:val="_GBC_b98a9cd25eb74f35905ea3051341418a"/>
          <w:id w:val="-5492988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2262"/>
        <w:gridCol w:w="2262"/>
        <w:gridCol w:w="2262"/>
        <w:gridCol w:w="2263"/>
      </w:tblGrid>
      <w:tr w:rsidR="00577D08" w14:paraId="3D138407" w14:textId="77777777">
        <w:sdt>
          <w:sdtPr>
            <w:tag w:val="_PLD_e7a3a30d69824ab4a382574ac8c49717"/>
            <w:id w:val="-140423505"/>
          </w:sdtPr>
          <w:sdtContent>
            <w:tc>
              <w:tcPr>
                <w:tcW w:w="2262" w:type="dxa"/>
                <w:vAlign w:val="center"/>
              </w:tcPr>
              <w:p w14:paraId="1C28F3EA" w14:textId="77777777" w:rsidR="00577D08" w:rsidRDefault="00330FC0">
                <w:pPr>
                  <w:jc w:val="center"/>
                </w:pPr>
                <w:r>
                  <w:rPr>
                    <w:rFonts w:hint="eastAsia"/>
                  </w:rPr>
                  <w:t>项目</w:t>
                </w:r>
              </w:p>
            </w:tc>
          </w:sdtContent>
        </w:sdt>
        <w:sdt>
          <w:sdtPr>
            <w:tag w:val="_PLD_0fd756fc7fbe49118e0432d7bb59bf90"/>
            <w:id w:val="-630091849"/>
          </w:sdtPr>
          <w:sdtContent>
            <w:tc>
              <w:tcPr>
                <w:tcW w:w="2262" w:type="dxa"/>
                <w:vAlign w:val="center"/>
              </w:tcPr>
              <w:p w14:paraId="6A221107" w14:textId="77777777" w:rsidR="00577D08" w:rsidRDefault="00330FC0">
                <w:pPr>
                  <w:jc w:val="center"/>
                </w:pPr>
                <w:r>
                  <w:rPr>
                    <w:rFonts w:hint="eastAsia"/>
                  </w:rPr>
                  <w:t>资产转移方式</w:t>
                </w:r>
              </w:p>
            </w:tc>
          </w:sdtContent>
        </w:sdt>
        <w:sdt>
          <w:sdtPr>
            <w:tag w:val="_PLD_418000d0e09b464d9d20a2069ce560d2"/>
            <w:id w:val="-955336099"/>
          </w:sdtPr>
          <w:sdtContent>
            <w:tc>
              <w:tcPr>
                <w:tcW w:w="2262" w:type="dxa"/>
                <w:vAlign w:val="center"/>
              </w:tcPr>
              <w:p w14:paraId="37F41C26" w14:textId="77777777" w:rsidR="00577D08" w:rsidRDefault="00330FC0">
                <w:pPr>
                  <w:jc w:val="center"/>
                </w:pPr>
                <w:r>
                  <w:rPr>
                    <w:rFonts w:hint="eastAsia"/>
                  </w:rPr>
                  <w:t>继续涉入形成的资产金额</w:t>
                </w:r>
              </w:p>
            </w:tc>
          </w:sdtContent>
        </w:sdt>
        <w:sdt>
          <w:sdtPr>
            <w:tag w:val="_PLD_cc3b346f8f394c1ea920c246a3e73a47"/>
            <w:id w:val="-535882587"/>
          </w:sdtPr>
          <w:sdtContent>
            <w:tc>
              <w:tcPr>
                <w:tcW w:w="2263" w:type="dxa"/>
                <w:vAlign w:val="center"/>
              </w:tcPr>
              <w:p w14:paraId="2AE8B925" w14:textId="77777777" w:rsidR="00577D08" w:rsidRDefault="00330FC0">
                <w:pPr>
                  <w:jc w:val="center"/>
                </w:pPr>
                <w:r>
                  <w:rPr>
                    <w:rFonts w:hint="eastAsia"/>
                  </w:rPr>
                  <w:t>继续涉入形成的负债金额</w:t>
                </w:r>
              </w:p>
            </w:tc>
          </w:sdtContent>
        </w:sdt>
      </w:tr>
      <w:tr w:rsidR="00577D08" w14:paraId="741B0A72" w14:textId="77777777">
        <w:tc>
          <w:tcPr>
            <w:tcW w:w="2262" w:type="dxa"/>
          </w:tcPr>
          <w:p w14:paraId="30BCD43D" w14:textId="77777777" w:rsidR="00577D08" w:rsidRDefault="00330FC0">
            <w:r>
              <w:rPr>
                <w:rFonts w:hint="eastAsia"/>
              </w:rPr>
              <w:t>应收票据</w:t>
            </w:r>
          </w:p>
        </w:tc>
        <w:tc>
          <w:tcPr>
            <w:tcW w:w="2262" w:type="dxa"/>
          </w:tcPr>
          <w:p w14:paraId="5726FDE1" w14:textId="77777777" w:rsidR="00577D08" w:rsidRDefault="00330FC0">
            <w:r>
              <w:rPr>
                <w:rFonts w:hint="eastAsia"/>
              </w:rPr>
              <w:t>票据贴现</w:t>
            </w:r>
          </w:p>
        </w:tc>
        <w:tc>
          <w:tcPr>
            <w:tcW w:w="2262" w:type="dxa"/>
          </w:tcPr>
          <w:p w14:paraId="0DE672CA" w14:textId="77777777" w:rsidR="00577D08" w:rsidRDefault="00330FC0">
            <w:pPr>
              <w:jc w:val="right"/>
            </w:pPr>
            <w:r>
              <w:t>2,651,000.00</w:t>
            </w:r>
          </w:p>
        </w:tc>
        <w:tc>
          <w:tcPr>
            <w:tcW w:w="2263" w:type="dxa"/>
          </w:tcPr>
          <w:p w14:paraId="5CCE5EE3" w14:textId="77777777" w:rsidR="00577D08" w:rsidRDefault="00330FC0">
            <w:pPr>
              <w:jc w:val="right"/>
            </w:pPr>
            <w:r>
              <w:t>2,651,000.00</w:t>
            </w:r>
          </w:p>
        </w:tc>
      </w:tr>
      <w:tr w:rsidR="00577D08" w14:paraId="1D53675D" w14:textId="77777777">
        <w:tc>
          <w:tcPr>
            <w:tcW w:w="2262" w:type="dxa"/>
          </w:tcPr>
          <w:p w14:paraId="4C6CAB67" w14:textId="77777777" w:rsidR="00577D08" w:rsidRDefault="00330FC0">
            <w:r>
              <w:rPr>
                <w:rFonts w:hint="eastAsia"/>
              </w:rPr>
              <w:t>应收账款</w:t>
            </w:r>
          </w:p>
        </w:tc>
        <w:tc>
          <w:tcPr>
            <w:tcW w:w="2262" w:type="dxa"/>
          </w:tcPr>
          <w:p w14:paraId="7FF86F26" w14:textId="77777777" w:rsidR="00577D08" w:rsidRDefault="00330FC0">
            <w:r>
              <w:rPr>
                <w:rFonts w:hint="eastAsia"/>
              </w:rPr>
              <w:t>应收账款贴现</w:t>
            </w:r>
          </w:p>
        </w:tc>
        <w:tc>
          <w:tcPr>
            <w:tcW w:w="2262" w:type="dxa"/>
          </w:tcPr>
          <w:p w14:paraId="78CCF1BF" w14:textId="77777777" w:rsidR="00577D08" w:rsidRDefault="00330FC0">
            <w:pPr>
              <w:jc w:val="right"/>
            </w:pPr>
            <w:r>
              <w:t>2,800,000.00</w:t>
            </w:r>
          </w:p>
        </w:tc>
        <w:tc>
          <w:tcPr>
            <w:tcW w:w="2263" w:type="dxa"/>
          </w:tcPr>
          <w:p w14:paraId="696330C8" w14:textId="77777777" w:rsidR="00577D08" w:rsidRDefault="00330FC0">
            <w:pPr>
              <w:jc w:val="right"/>
            </w:pPr>
            <w:r>
              <w:t>2,800,000.00</w:t>
            </w:r>
          </w:p>
        </w:tc>
      </w:tr>
      <w:tr w:rsidR="00577D08" w14:paraId="3E205E8C" w14:textId="77777777">
        <w:tc>
          <w:tcPr>
            <w:tcW w:w="2262" w:type="dxa"/>
          </w:tcPr>
          <w:p w14:paraId="23B1142F" w14:textId="77777777" w:rsidR="00577D08" w:rsidRDefault="00330FC0">
            <w:r>
              <w:rPr>
                <w:rFonts w:hint="eastAsia"/>
              </w:rPr>
              <w:t>应收票据</w:t>
            </w:r>
          </w:p>
        </w:tc>
        <w:tc>
          <w:tcPr>
            <w:tcW w:w="2262" w:type="dxa"/>
          </w:tcPr>
          <w:p w14:paraId="5B6007CB" w14:textId="77777777" w:rsidR="00577D08" w:rsidRDefault="00330FC0">
            <w:r>
              <w:rPr>
                <w:rFonts w:hint="eastAsia"/>
              </w:rPr>
              <w:t>票据背书</w:t>
            </w:r>
          </w:p>
        </w:tc>
        <w:tc>
          <w:tcPr>
            <w:tcW w:w="2262" w:type="dxa"/>
          </w:tcPr>
          <w:p w14:paraId="0E17E3D8" w14:textId="77777777" w:rsidR="00577D08" w:rsidRDefault="00330FC0">
            <w:pPr>
              <w:jc w:val="right"/>
            </w:pPr>
            <w:r>
              <w:t>291,549,228.94</w:t>
            </w:r>
          </w:p>
        </w:tc>
        <w:tc>
          <w:tcPr>
            <w:tcW w:w="2263" w:type="dxa"/>
          </w:tcPr>
          <w:p w14:paraId="458C9AED" w14:textId="77777777" w:rsidR="00577D08" w:rsidRDefault="00330FC0">
            <w:pPr>
              <w:jc w:val="right"/>
            </w:pPr>
            <w:r>
              <w:t>291,549,228.94</w:t>
            </w:r>
          </w:p>
        </w:tc>
      </w:tr>
      <w:tr w:rsidR="00577D08" w14:paraId="06FF2D1A" w14:textId="77777777">
        <w:tc>
          <w:tcPr>
            <w:tcW w:w="2262" w:type="dxa"/>
          </w:tcPr>
          <w:p w14:paraId="7AD802A3" w14:textId="77777777" w:rsidR="00577D08" w:rsidRDefault="00330FC0">
            <w:r>
              <w:rPr>
                <w:rFonts w:hint="eastAsia"/>
              </w:rPr>
              <w:t>应收账款</w:t>
            </w:r>
          </w:p>
        </w:tc>
        <w:tc>
          <w:tcPr>
            <w:tcW w:w="2262" w:type="dxa"/>
          </w:tcPr>
          <w:p w14:paraId="4BEA28FE" w14:textId="77777777" w:rsidR="00577D08" w:rsidRDefault="00330FC0">
            <w:r>
              <w:rPr>
                <w:rFonts w:hint="eastAsia"/>
              </w:rPr>
              <w:t>票据背书</w:t>
            </w:r>
          </w:p>
        </w:tc>
        <w:tc>
          <w:tcPr>
            <w:tcW w:w="2262" w:type="dxa"/>
          </w:tcPr>
          <w:p w14:paraId="713362D3" w14:textId="77777777" w:rsidR="00577D08" w:rsidRDefault="00330FC0">
            <w:pPr>
              <w:jc w:val="right"/>
            </w:pPr>
            <w:r>
              <w:t>22,068,495.28</w:t>
            </w:r>
          </w:p>
        </w:tc>
        <w:tc>
          <w:tcPr>
            <w:tcW w:w="2263" w:type="dxa"/>
          </w:tcPr>
          <w:p w14:paraId="5B632E97" w14:textId="77777777" w:rsidR="00577D08" w:rsidRDefault="00330FC0">
            <w:pPr>
              <w:jc w:val="right"/>
            </w:pPr>
            <w:r>
              <w:t>22,068,495.28</w:t>
            </w:r>
          </w:p>
        </w:tc>
      </w:tr>
      <w:tr w:rsidR="00577D08" w14:paraId="772E3648" w14:textId="77777777">
        <w:tc>
          <w:tcPr>
            <w:tcW w:w="2262" w:type="dxa"/>
            <w:vAlign w:val="center"/>
          </w:tcPr>
          <w:p w14:paraId="0671F48C" w14:textId="77777777" w:rsidR="00577D08" w:rsidRDefault="00330FC0">
            <w:pPr>
              <w:jc w:val="center"/>
            </w:pPr>
            <w:r>
              <w:rPr>
                <w:rFonts w:hint="eastAsia"/>
              </w:rPr>
              <w:t>合计</w:t>
            </w:r>
          </w:p>
        </w:tc>
        <w:tc>
          <w:tcPr>
            <w:tcW w:w="2262" w:type="dxa"/>
            <w:vAlign w:val="center"/>
          </w:tcPr>
          <w:p w14:paraId="5CBF57E1" w14:textId="77777777" w:rsidR="00577D08" w:rsidRDefault="00330FC0">
            <w:pPr>
              <w:jc w:val="center"/>
            </w:pPr>
            <w:r>
              <w:rPr>
                <w:rFonts w:hint="eastAsia"/>
              </w:rPr>
              <w:t>/</w:t>
            </w:r>
          </w:p>
        </w:tc>
        <w:tc>
          <w:tcPr>
            <w:tcW w:w="2262" w:type="dxa"/>
          </w:tcPr>
          <w:p w14:paraId="339B3558" w14:textId="77777777" w:rsidR="00577D08" w:rsidRDefault="00330FC0">
            <w:pPr>
              <w:jc w:val="right"/>
            </w:pPr>
            <w:r>
              <w:t>319,068,724.22</w:t>
            </w:r>
          </w:p>
        </w:tc>
        <w:tc>
          <w:tcPr>
            <w:tcW w:w="2263" w:type="dxa"/>
          </w:tcPr>
          <w:p w14:paraId="645A4C4E" w14:textId="77777777" w:rsidR="00577D08" w:rsidRDefault="00330FC0">
            <w:pPr>
              <w:jc w:val="right"/>
            </w:pPr>
            <w:r>
              <w:t>319,068,724.22</w:t>
            </w:r>
          </w:p>
        </w:tc>
      </w:tr>
    </w:tbl>
    <w:p w14:paraId="42E56237" w14:textId="77777777" w:rsidR="00577D08" w:rsidRDefault="00330FC0">
      <w:r>
        <w:rPr>
          <w:rFonts w:hint="eastAsia"/>
        </w:rPr>
        <w:t>其他说明：</w:t>
      </w:r>
    </w:p>
    <w:sdt>
      <w:sdtPr>
        <w:alias w:val="是否适用：金融资产转移其他说明[双击切换]"/>
        <w:tag w:val="_GBC_205480d73c8a413b9678dd4798b26763"/>
        <w:id w:val="1356615034"/>
        <w:placeholder>
          <w:docPart w:val="GBC22222222222222222222222222222"/>
        </w:placeholder>
      </w:sdtPr>
      <w:sdtContent>
        <w:p w14:paraId="74F5ADC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0185DF3" w14:textId="77777777" w:rsidR="00577D08" w:rsidRDefault="00330FC0">
      <w:pPr>
        <w:pStyle w:val="2"/>
        <w:numPr>
          <w:ilvl w:val="0"/>
          <w:numId w:val="52"/>
        </w:numPr>
        <w:rPr>
          <w:rFonts w:ascii="宋体" w:hAnsi="宋体" w:hint="eastAsia"/>
        </w:rPr>
      </w:pPr>
      <w:r>
        <w:rPr>
          <w:rFonts w:ascii="宋体" w:hAnsi="宋体" w:hint="eastAsia"/>
        </w:rPr>
        <w:t>公允价值的披露</w:t>
      </w:r>
    </w:p>
    <w:p w14:paraId="11D8DEAA" w14:textId="77777777" w:rsidR="00577D08" w:rsidRDefault="00330FC0">
      <w:pPr>
        <w:pStyle w:val="3"/>
        <w:numPr>
          <w:ilvl w:val="0"/>
          <w:numId w:val="113"/>
        </w:numPr>
      </w:pPr>
      <w:bookmarkStart w:id="476" w:name="_Hlk24030209"/>
      <w:bookmarkStart w:id="477" w:name="_Hlk10539195"/>
      <w:r>
        <w:rPr>
          <w:rFonts w:hint="eastAsia"/>
        </w:rPr>
        <w:t>以公允价值计量的资产和负债的期末公允价值</w:t>
      </w:r>
    </w:p>
    <w:sdt>
      <w:sdtPr>
        <w:alias w:val="是否适用：以公允价值计量的资产和负债的期末公允价值[双击切换]"/>
        <w:tag w:val="_GBC_6fbb4bafbfc548fdbb4a25b91f07bd6a"/>
        <w:id w:val="-330291814"/>
        <w:placeholder>
          <w:docPart w:val="GBC22222222222222222222222222222"/>
        </w:placeholder>
      </w:sdtPr>
      <w:sdtContent>
        <w:p w14:paraId="47E2D9C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4C88B37" w14:textId="2EDD8836" w:rsidR="00577D08" w:rsidRDefault="00330FC0">
      <w:pPr>
        <w:jc w:val="right"/>
      </w:pPr>
      <w:r>
        <w:rPr>
          <w:rFonts w:hint="eastAsia"/>
        </w:rPr>
        <w:t>单位：</w:t>
      </w:r>
      <w:sdt>
        <w:sdtPr>
          <w:rPr>
            <w:rFonts w:hint="eastAsia"/>
          </w:rPr>
          <w:alias w:val="单位：财务附注：以公允价值计量的资产和负债的期末公允价值"/>
          <w:tag w:val="_GBC_2c45ed0b719e4292b6389023b9ce1031"/>
          <w:id w:val="-9208704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以公允价值计量的资产和负债的期末公允价值"/>
          <w:tag w:val="_GBC_4c0658ced5d64a5f80dc11bb84ac9dbd"/>
          <w:id w:val="19554341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3"/>
        <w:gridCol w:w="1708"/>
        <w:gridCol w:w="1668"/>
        <w:gridCol w:w="1735"/>
        <w:gridCol w:w="1514"/>
      </w:tblGrid>
      <w:tr w:rsidR="00577D08" w14:paraId="79A917DB" w14:textId="77777777">
        <w:trPr>
          <w:trHeight w:val="145"/>
        </w:trPr>
        <w:sdt>
          <w:sdtPr>
            <w:tag w:val="_PLD_163e93b7c897498dae37bc5c38a11afe"/>
            <w:id w:val="1717243664"/>
          </w:sdtPr>
          <w:sdtContent>
            <w:tc>
              <w:tcPr>
                <w:tcW w:w="2423" w:type="dxa"/>
                <w:vMerge w:val="restart"/>
                <w:tcBorders>
                  <w:top w:val="single" w:sz="4" w:space="0" w:color="auto"/>
                  <w:left w:val="single" w:sz="4" w:space="0" w:color="auto"/>
                  <w:right w:val="single" w:sz="4" w:space="0" w:color="auto"/>
                </w:tcBorders>
                <w:vAlign w:val="center"/>
              </w:tcPr>
              <w:p w14:paraId="7C91AF78" w14:textId="77777777" w:rsidR="00577D08" w:rsidRDefault="00330FC0">
                <w:pPr>
                  <w:jc w:val="center"/>
                  <w:outlineLvl w:val="2"/>
                  <w:rPr>
                    <w:rFonts w:cs="Cambria"/>
                  </w:rPr>
                </w:pPr>
                <w:r>
                  <w:rPr>
                    <w:rFonts w:cs="Cambria" w:hint="eastAsia"/>
                  </w:rPr>
                  <w:t>项目</w:t>
                </w:r>
              </w:p>
            </w:tc>
          </w:sdtContent>
        </w:sdt>
        <w:sdt>
          <w:sdtPr>
            <w:tag w:val="_PLD_b8bd62f651414617bea8612c55db30ce"/>
            <w:id w:val="610169399"/>
          </w:sdtPr>
          <w:sdtContent>
            <w:tc>
              <w:tcPr>
                <w:tcW w:w="6625" w:type="dxa"/>
                <w:gridSpan w:val="4"/>
                <w:tcBorders>
                  <w:top w:val="single" w:sz="4" w:space="0" w:color="auto"/>
                  <w:left w:val="single" w:sz="4" w:space="0" w:color="auto"/>
                  <w:bottom w:val="single" w:sz="4" w:space="0" w:color="auto"/>
                  <w:right w:val="single" w:sz="4" w:space="0" w:color="auto"/>
                </w:tcBorders>
                <w:vAlign w:val="center"/>
              </w:tcPr>
              <w:p w14:paraId="7C057D69" w14:textId="77777777" w:rsidR="00577D08" w:rsidRDefault="00330FC0">
                <w:pPr>
                  <w:jc w:val="center"/>
                  <w:outlineLvl w:val="2"/>
                  <w:rPr>
                    <w:rFonts w:cs="Cambria"/>
                  </w:rPr>
                </w:pPr>
                <w:r>
                  <w:rPr>
                    <w:rFonts w:cs="Cambria" w:hint="eastAsia"/>
                  </w:rPr>
                  <w:t>期末公允价值</w:t>
                </w:r>
              </w:p>
            </w:tc>
          </w:sdtContent>
        </w:sdt>
      </w:tr>
      <w:tr w:rsidR="00577D08" w14:paraId="135FDC5C" w14:textId="77777777">
        <w:trPr>
          <w:trHeight w:val="145"/>
        </w:trPr>
        <w:tc>
          <w:tcPr>
            <w:tcW w:w="2423" w:type="dxa"/>
            <w:vMerge/>
            <w:tcBorders>
              <w:left w:val="single" w:sz="4" w:space="0" w:color="auto"/>
              <w:bottom w:val="single" w:sz="4" w:space="0" w:color="auto"/>
              <w:right w:val="single" w:sz="4" w:space="0" w:color="auto"/>
            </w:tcBorders>
            <w:vAlign w:val="center"/>
          </w:tcPr>
          <w:p w14:paraId="6705305B" w14:textId="77777777" w:rsidR="00577D08" w:rsidRDefault="00577D08">
            <w:pPr>
              <w:jc w:val="center"/>
              <w:outlineLvl w:val="2"/>
              <w:rPr>
                <w:rFonts w:cs="Cambria"/>
              </w:rPr>
            </w:pPr>
          </w:p>
        </w:tc>
        <w:sdt>
          <w:sdtPr>
            <w:tag w:val="_PLD_8b204b4b1832494b8312fec08990548b"/>
            <w:id w:val="-85690109"/>
          </w:sdtPr>
          <w:sdtContent>
            <w:tc>
              <w:tcPr>
                <w:tcW w:w="1708" w:type="dxa"/>
                <w:tcBorders>
                  <w:top w:val="single" w:sz="4" w:space="0" w:color="auto"/>
                  <w:left w:val="single" w:sz="4" w:space="0" w:color="auto"/>
                  <w:bottom w:val="single" w:sz="4" w:space="0" w:color="auto"/>
                  <w:right w:val="single" w:sz="4" w:space="0" w:color="auto"/>
                </w:tcBorders>
                <w:vAlign w:val="center"/>
              </w:tcPr>
              <w:p w14:paraId="4D1D0061" w14:textId="77777777" w:rsidR="00577D08" w:rsidRDefault="00330FC0">
                <w:pPr>
                  <w:jc w:val="center"/>
                  <w:outlineLvl w:val="2"/>
                  <w:rPr>
                    <w:rFonts w:cs="Cambria"/>
                  </w:rPr>
                </w:pPr>
                <w:r>
                  <w:rPr>
                    <w:rFonts w:cs="Cambria" w:hint="eastAsia"/>
                  </w:rPr>
                  <w:t>第一层次公允价值计量</w:t>
                </w:r>
              </w:p>
            </w:tc>
          </w:sdtContent>
        </w:sdt>
        <w:sdt>
          <w:sdtPr>
            <w:tag w:val="_PLD_de23a118a4e8435d9b0e1e2e2e494f30"/>
            <w:id w:val="-1089311037"/>
          </w:sdtPr>
          <w:sdtContent>
            <w:tc>
              <w:tcPr>
                <w:tcW w:w="1668" w:type="dxa"/>
                <w:tcBorders>
                  <w:top w:val="single" w:sz="4" w:space="0" w:color="auto"/>
                  <w:left w:val="single" w:sz="4" w:space="0" w:color="auto"/>
                  <w:bottom w:val="single" w:sz="4" w:space="0" w:color="auto"/>
                  <w:right w:val="single" w:sz="4" w:space="0" w:color="auto"/>
                </w:tcBorders>
                <w:vAlign w:val="center"/>
              </w:tcPr>
              <w:p w14:paraId="6CA46399" w14:textId="77777777" w:rsidR="00577D08" w:rsidRDefault="00330FC0">
                <w:pPr>
                  <w:jc w:val="center"/>
                  <w:outlineLvl w:val="2"/>
                  <w:rPr>
                    <w:rFonts w:cs="Cambria"/>
                  </w:rPr>
                </w:pPr>
                <w:r>
                  <w:rPr>
                    <w:rFonts w:cs="Cambria" w:hint="eastAsia"/>
                  </w:rPr>
                  <w:t>第二层次公允价值计量</w:t>
                </w:r>
              </w:p>
            </w:tc>
          </w:sdtContent>
        </w:sdt>
        <w:sdt>
          <w:sdtPr>
            <w:tag w:val="_PLD_4cb787262d4b4096b0d321ac48721dd2"/>
            <w:id w:val="-1994628118"/>
          </w:sdtPr>
          <w:sdtContent>
            <w:tc>
              <w:tcPr>
                <w:tcW w:w="1735" w:type="dxa"/>
                <w:tcBorders>
                  <w:top w:val="single" w:sz="4" w:space="0" w:color="auto"/>
                  <w:left w:val="single" w:sz="4" w:space="0" w:color="auto"/>
                  <w:bottom w:val="single" w:sz="4" w:space="0" w:color="auto"/>
                  <w:right w:val="single" w:sz="4" w:space="0" w:color="auto"/>
                </w:tcBorders>
                <w:vAlign w:val="center"/>
              </w:tcPr>
              <w:p w14:paraId="798DE707" w14:textId="77777777" w:rsidR="00577D08" w:rsidRDefault="00330FC0">
                <w:pPr>
                  <w:jc w:val="center"/>
                  <w:outlineLvl w:val="2"/>
                  <w:rPr>
                    <w:rFonts w:cs="Cambria"/>
                  </w:rPr>
                </w:pPr>
                <w:r>
                  <w:rPr>
                    <w:rFonts w:cs="Cambria" w:hint="eastAsia"/>
                  </w:rPr>
                  <w:t>第三层次公允价值计量</w:t>
                </w:r>
              </w:p>
            </w:tc>
          </w:sdtContent>
        </w:sdt>
        <w:sdt>
          <w:sdtPr>
            <w:tag w:val="_PLD_fb89c54d0c8e4fe2990587a96b78b5ca"/>
            <w:id w:val="1863697362"/>
          </w:sdtPr>
          <w:sdtContent>
            <w:tc>
              <w:tcPr>
                <w:tcW w:w="1514" w:type="dxa"/>
                <w:tcBorders>
                  <w:top w:val="single" w:sz="4" w:space="0" w:color="auto"/>
                  <w:left w:val="single" w:sz="4" w:space="0" w:color="auto"/>
                  <w:bottom w:val="single" w:sz="4" w:space="0" w:color="auto"/>
                  <w:right w:val="single" w:sz="4" w:space="0" w:color="auto"/>
                </w:tcBorders>
                <w:vAlign w:val="center"/>
              </w:tcPr>
              <w:p w14:paraId="53E500E3" w14:textId="77777777" w:rsidR="00577D08" w:rsidRDefault="00330FC0">
                <w:pPr>
                  <w:jc w:val="center"/>
                  <w:outlineLvl w:val="2"/>
                  <w:rPr>
                    <w:rFonts w:cs="Cambria"/>
                  </w:rPr>
                </w:pPr>
                <w:r>
                  <w:rPr>
                    <w:rFonts w:cs="Cambria" w:hint="eastAsia"/>
                  </w:rPr>
                  <w:t>合计</w:t>
                </w:r>
              </w:p>
            </w:tc>
          </w:sdtContent>
        </w:sdt>
      </w:tr>
      <w:tr w:rsidR="00577D08" w14:paraId="1EAC1225" w14:textId="77777777">
        <w:trPr>
          <w:trHeight w:val="227"/>
        </w:trPr>
        <w:tc>
          <w:tcPr>
            <w:tcW w:w="2423" w:type="dxa"/>
            <w:tcBorders>
              <w:top w:val="single" w:sz="4" w:space="0" w:color="auto"/>
              <w:left w:val="single" w:sz="4" w:space="0" w:color="auto"/>
              <w:bottom w:val="single" w:sz="4" w:space="0" w:color="auto"/>
              <w:right w:val="single" w:sz="4" w:space="0" w:color="auto"/>
            </w:tcBorders>
            <w:vAlign w:val="center"/>
          </w:tcPr>
          <w:p w14:paraId="5F956B5E" w14:textId="77777777" w:rsidR="00577D08" w:rsidRDefault="00330FC0">
            <w:pPr>
              <w:outlineLvl w:val="2"/>
              <w:rPr>
                <w:rFonts w:cs="Cambria"/>
                <w:b/>
              </w:rPr>
            </w:pPr>
            <w:r>
              <w:rPr>
                <w:rFonts w:cs="Cambria" w:hint="eastAsia"/>
                <w:b/>
              </w:rPr>
              <w:t>一、持续的公允价值计量</w:t>
            </w:r>
          </w:p>
        </w:tc>
        <w:tc>
          <w:tcPr>
            <w:tcW w:w="1708" w:type="dxa"/>
            <w:tcBorders>
              <w:top w:val="single" w:sz="4" w:space="0" w:color="auto"/>
              <w:left w:val="single" w:sz="4" w:space="0" w:color="auto"/>
              <w:bottom w:val="single" w:sz="4" w:space="0" w:color="auto"/>
              <w:right w:val="single" w:sz="4" w:space="0" w:color="auto"/>
            </w:tcBorders>
            <w:vAlign w:val="center"/>
          </w:tcPr>
          <w:p w14:paraId="0244ECF6"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29435DDA"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18744ECA"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0FF56A7" w14:textId="77777777" w:rsidR="00577D08" w:rsidRDefault="00577D08">
            <w:pPr>
              <w:jc w:val="right"/>
              <w:outlineLvl w:val="2"/>
              <w:rPr>
                <w:rFonts w:cs="Cambria"/>
              </w:rPr>
            </w:pPr>
          </w:p>
        </w:tc>
      </w:tr>
      <w:tr w:rsidR="00577D08" w14:paraId="2095C975"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4A40E83D" w14:textId="77777777" w:rsidR="00577D08" w:rsidRDefault="00330FC0">
            <w:pPr>
              <w:outlineLvl w:val="2"/>
            </w:pPr>
            <w:r>
              <w:rPr>
                <w:rFonts w:hint="eastAsia"/>
              </w:rPr>
              <w:t>（一）交易性金融资产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371A3AFC"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0455B2B0"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66B4B4F2"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D8E8BCB" w14:textId="77777777" w:rsidR="00577D08" w:rsidRDefault="00577D08">
            <w:pPr>
              <w:jc w:val="right"/>
              <w:outlineLvl w:val="2"/>
              <w:rPr>
                <w:rFonts w:cs="Cambria"/>
              </w:rPr>
            </w:pPr>
          </w:p>
        </w:tc>
      </w:tr>
      <w:tr w:rsidR="00577D08" w14:paraId="745FE4EE"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D5E57C2" w14:textId="77777777" w:rsidR="00577D08" w:rsidRDefault="00330FC0">
            <w:pPr>
              <w:outlineLvl w:val="2"/>
            </w:pPr>
            <w:r>
              <w:t>1.</w:t>
            </w:r>
            <w:r>
              <w:t>以公允价值计量且变动计入当期损益的金融资产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1759878B"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60B19FB5"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1948D625"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1A4C18CB" w14:textId="77777777" w:rsidR="00577D08" w:rsidRDefault="00577D08">
            <w:pPr>
              <w:jc w:val="right"/>
              <w:outlineLvl w:val="2"/>
              <w:rPr>
                <w:rFonts w:cs="Cambria"/>
              </w:rPr>
            </w:pPr>
          </w:p>
        </w:tc>
      </w:tr>
      <w:tr w:rsidR="00577D08" w14:paraId="27209073"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1DDE7FB7" w14:textId="77777777" w:rsidR="00577D08" w:rsidRDefault="00330FC0">
            <w:pPr>
              <w:outlineLvl w:val="2"/>
              <w:rPr>
                <w:rFonts w:cs="Cambria"/>
              </w:rPr>
            </w:pPr>
            <w:r>
              <w:rPr>
                <w:rFonts w:cs="Cambria" w:hint="eastAsia"/>
              </w:rPr>
              <w:t>（</w:t>
            </w:r>
            <w:r>
              <w:rPr>
                <w:rFonts w:cs="Cambria"/>
              </w:rPr>
              <w:t>1</w:t>
            </w:r>
            <w:r>
              <w:rPr>
                <w:rFonts w:cs="Cambria" w:hint="eastAsia"/>
              </w:rPr>
              <w:t>）债务工具投资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7BD64FB1"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67BC2CB0"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90B51A7"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024834DC" w14:textId="77777777" w:rsidR="00577D08" w:rsidRDefault="00577D08">
            <w:pPr>
              <w:jc w:val="right"/>
              <w:outlineLvl w:val="2"/>
              <w:rPr>
                <w:rFonts w:cs="Cambria"/>
              </w:rPr>
            </w:pPr>
          </w:p>
        </w:tc>
      </w:tr>
      <w:tr w:rsidR="00577D08" w14:paraId="6886B1B9"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7524BEC" w14:textId="77777777" w:rsidR="00577D08" w:rsidRDefault="00330FC0">
            <w:pPr>
              <w:outlineLvl w:val="2"/>
              <w:rPr>
                <w:rFonts w:cs="Cambria"/>
              </w:rPr>
            </w:pPr>
            <w:r>
              <w:rPr>
                <w:rFonts w:cs="Cambria" w:hint="eastAsia"/>
              </w:rPr>
              <w:t>（</w:t>
            </w:r>
            <w:r>
              <w:rPr>
                <w:rFonts w:cs="Cambria"/>
              </w:rPr>
              <w:t>2</w:t>
            </w:r>
            <w:r>
              <w:rPr>
                <w:rFonts w:cs="Cambria" w:hint="eastAsia"/>
              </w:rPr>
              <w:t>）权益工具投资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1B37536F"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348893BB"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76982E91"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73F7560" w14:textId="77777777" w:rsidR="00577D08" w:rsidRDefault="00577D08">
            <w:pPr>
              <w:jc w:val="right"/>
              <w:outlineLvl w:val="2"/>
              <w:rPr>
                <w:rFonts w:cs="Cambria"/>
              </w:rPr>
            </w:pPr>
          </w:p>
        </w:tc>
      </w:tr>
      <w:tr w:rsidR="00577D08" w14:paraId="523B2667"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125CFBD9" w14:textId="77777777" w:rsidR="00577D08" w:rsidRDefault="00330FC0">
            <w:pPr>
              <w:outlineLvl w:val="2"/>
              <w:rPr>
                <w:rFonts w:cs="Cambria"/>
              </w:rPr>
            </w:pPr>
            <w:r>
              <w:rPr>
                <w:rFonts w:cs="Cambria" w:hint="eastAsia"/>
              </w:rPr>
              <w:t>（</w:t>
            </w:r>
            <w:r>
              <w:rPr>
                <w:rFonts w:cs="Cambria"/>
              </w:rPr>
              <w:t>3</w:t>
            </w:r>
            <w:r>
              <w:rPr>
                <w:rFonts w:cs="Cambria" w:hint="eastAsia"/>
              </w:rPr>
              <w:t>）衍生金融资产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14366E0E"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0728C7BC"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42833710"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EE42A64" w14:textId="77777777" w:rsidR="00577D08" w:rsidRDefault="00577D08">
            <w:pPr>
              <w:jc w:val="right"/>
              <w:outlineLvl w:val="2"/>
              <w:rPr>
                <w:rFonts w:cs="Cambria"/>
              </w:rPr>
            </w:pPr>
          </w:p>
        </w:tc>
      </w:tr>
      <w:tr w:rsidR="00577D08" w14:paraId="62FBD1A9"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423D22B9" w14:textId="77777777" w:rsidR="00577D08" w:rsidRDefault="00330FC0">
            <w:pPr>
              <w:outlineLvl w:val="2"/>
              <w:rPr>
                <w:rFonts w:cs="Cambria"/>
              </w:rPr>
            </w:pPr>
            <w:r>
              <w:rPr>
                <w:rFonts w:cs="Cambria" w:hint="eastAsia"/>
              </w:rPr>
              <w:t>（</w:t>
            </w:r>
            <w:r>
              <w:rPr>
                <w:rFonts w:cs="Cambria" w:hint="eastAsia"/>
              </w:rPr>
              <w:t>4</w:t>
            </w:r>
            <w:r>
              <w:rPr>
                <w:rFonts w:cs="Cambria" w:hint="eastAsia"/>
              </w:rPr>
              <w:t>）结构性存款</w:t>
            </w:r>
          </w:p>
        </w:tc>
        <w:tc>
          <w:tcPr>
            <w:tcW w:w="1708" w:type="dxa"/>
            <w:tcBorders>
              <w:top w:val="single" w:sz="4" w:space="0" w:color="auto"/>
              <w:left w:val="single" w:sz="4" w:space="0" w:color="auto"/>
              <w:bottom w:val="single" w:sz="4" w:space="0" w:color="auto"/>
              <w:right w:val="single" w:sz="4" w:space="0" w:color="auto"/>
            </w:tcBorders>
            <w:vAlign w:val="center"/>
          </w:tcPr>
          <w:p w14:paraId="3E69DCDD"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7E4AD2F6"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178C2EEA"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77F0911C" w14:textId="77777777" w:rsidR="00577D08" w:rsidRDefault="00577D08">
            <w:pPr>
              <w:jc w:val="right"/>
              <w:outlineLvl w:val="2"/>
              <w:rPr>
                <w:rFonts w:cs="Cambria"/>
              </w:rPr>
            </w:pPr>
          </w:p>
        </w:tc>
      </w:tr>
      <w:tr w:rsidR="00577D08" w14:paraId="138D1CC3" w14:textId="77777777">
        <w:trPr>
          <w:trHeight w:val="799"/>
        </w:trPr>
        <w:tc>
          <w:tcPr>
            <w:tcW w:w="2423" w:type="dxa"/>
            <w:tcBorders>
              <w:top w:val="single" w:sz="4" w:space="0" w:color="auto"/>
              <w:left w:val="single" w:sz="4" w:space="0" w:color="auto"/>
              <w:bottom w:val="single" w:sz="4" w:space="0" w:color="auto"/>
              <w:right w:val="single" w:sz="4" w:space="0" w:color="auto"/>
            </w:tcBorders>
            <w:vAlign w:val="center"/>
          </w:tcPr>
          <w:p w14:paraId="71A72F36" w14:textId="77777777" w:rsidR="00577D08" w:rsidRDefault="00330FC0">
            <w:pPr>
              <w:outlineLvl w:val="2"/>
              <w:rPr>
                <w:rFonts w:cs="Cambria"/>
              </w:rPr>
            </w:pPr>
            <w:r>
              <w:rPr>
                <w:rFonts w:cs="Cambria"/>
              </w:rPr>
              <w:t>2.</w:t>
            </w:r>
            <w:r>
              <w:rPr>
                <w:rFonts w:cs="Cambria" w:hint="eastAsia"/>
              </w:rPr>
              <w:t>指定以公允价值计量且其变动计入当期损益的金融资产</w:t>
            </w:r>
          </w:p>
        </w:tc>
        <w:tc>
          <w:tcPr>
            <w:tcW w:w="1708" w:type="dxa"/>
            <w:tcBorders>
              <w:top w:val="single" w:sz="4" w:space="0" w:color="auto"/>
              <w:left w:val="single" w:sz="4" w:space="0" w:color="auto"/>
              <w:bottom w:val="single" w:sz="4" w:space="0" w:color="auto"/>
              <w:right w:val="single" w:sz="4" w:space="0" w:color="auto"/>
            </w:tcBorders>
            <w:vAlign w:val="center"/>
          </w:tcPr>
          <w:p w14:paraId="35CB1D42"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C2E4385"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5E1174A"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74740C8" w14:textId="77777777" w:rsidR="00577D08" w:rsidRDefault="00577D08">
            <w:pPr>
              <w:jc w:val="right"/>
              <w:outlineLvl w:val="2"/>
              <w:rPr>
                <w:rFonts w:cs="Cambria"/>
              </w:rPr>
            </w:pPr>
          </w:p>
        </w:tc>
      </w:tr>
      <w:tr w:rsidR="00577D08" w14:paraId="61B6DBCF"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7953218" w14:textId="77777777" w:rsidR="00577D08" w:rsidRDefault="00330FC0">
            <w:pPr>
              <w:outlineLvl w:val="2"/>
              <w:rPr>
                <w:rFonts w:cs="Cambria"/>
              </w:rPr>
            </w:pPr>
            <w:r>
              <w:rPr>
                <w:rFonts w:cs="Cambria" w:hint="eastAsia"/>
              </w:rPr>
              <w:t>（</w:t>
            </w:r>
            <w:r>
              <w:rPr>
                <w:rFonts w:cs="Cambria"/>
              </w:rPr>
              <w:t>1</w:t>
            </w:r>
            <w:r>
              <w:rPr>
                <w:rFonts w:cs="Cambria" w:hint="eastAsia"/>
              </w:rPr>
              <w:t>）债务工具投资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21AF809D"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64E5BBDC"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5C64C2EF"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09726C3" w14:textId="77777777" w:rsidR="00577D08" w:rsidRDefault="00577D08">
            <w:pPr>
              <w:jc w:val="right"/>
              <w:outlineLvl w:val="2"/>
              <w:rPr>
                <w:rFonts w:cs="Cambria"/>
              </w:rPr>
            </w:pPr>
          </w:p>
        </w:tc>
      </w:tr>
      <w:tr w:rsidR="00577D08" w14:paraId="6F5D8F32"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3F1B6D4A" w14:textId="77777777" w:rsidR="00577D08" w:rsidRDefault="00330FC0">
            <w:pPr>
              <w:outlineLvl w:val="2"/>
              <w:rPr>
                <w:rFonts w:cs="Cambria"/>
              </w:rPr>
            </w:pPr>
            <w:r>
              <w:rPr>
                <w:rFonts w:cs="Cambria" w:hint="eastAsia"/>
              </w:rPr>
              <w:t>（</w:t>
            </w:r>
            <w:r>
              <w:rPr>
                <w:rFonts w:cs="Cambria"/>
              </w:rPr>
              <w:t>2</w:t>
            </w:r>
            <w:r>
              <w:rPr>
                <w:rFonts w:cs="Cambria" w:hint="eastAsia"/>
              </w:rPr>
              <w:t>）权益工具投资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1A3C889A"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1F5131D2"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08F10FC5"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2F6C12D" w14:textId="77777777" w:rsidR="00577D08" w:rsidRDefault="00577D08">
            <w:pPr>
              <w:jc w:val="right"/>
              <w:outlineLvl w:val="2"/>
              <w:rPr>
                <w:rFonts w:cs="Cambria"/>
              </w:rPr>
            </w:pPr>
          </w:p>
        </w:tc>
      </w:tr>
      <w:tr w:rsidR="00577D08" w14:paraId="58F55332"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734B65AD" w14:textId="77777777" w:rsidR="00577D08" w:rsidRDefault="00330FC0">
            <w:pPr>
              <w:outlineLvl w:val="2"/>
            </w:pPr>
            <w:r>
              <w:rPr>
                <w:rFonts w:hint="eastAsia"/>
              </w:rPr>
              <w:t>（二）其他债权投资</w:t>
            </w:r>
          </w:p>
        </w:tc>
        <w:tc>
          <w:tcPr>
            <w:tcW w:w="1708" w:type="dxa"/>
            <w:tcBorders>
              <w:top w:val="single" w:sz="4" w:space="0" w:color="auto"/>
              <w:left w:val="single" w:sz="4" w:space="0" w:color="auto"/>
              <w:bottom w:val="single" w:sz="4" w:space="0" w:color="auto"/>
              <w:right w:val="single" w:sz="4" w:space="0" w:color="auto"/>
            </w:tcBorders>
            <w:vAlign w:val="center"/>
          </w:tcPr>
          <w:p w14:paraId="2E888912"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6FF4EAE"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4B7A4C91"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DD82AF9" w14:textId="77777777" w:rsidR="00577D08" w:rsidRDefault="00577D08">
            <w:pPr>
              <w:jc w:val="right"/>
              <w:outlineLvl w:val="2"/>
              <w:rPr>
                <w:rFonts w:cs="Cambria"/>
              </w:rPr>
            </w:pPr>
          </w:p>
        </w:tc>
      </w:tr>
      <w:tr w:rsidR="00577D08" w14:paraId="071CE7EE"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6857C9B" w14:textId="77777777" w:rsidR="00577D08" w:rsidRDefault="00330FC0">
            <w:pPr>
              <w:outlineLvl w:val="2"/>
            </w:pPr>
            <w:r>
              <w:rPr>
                <w:rFonts w:hint="eastAsia"/>
              </w:rPr>
              <w:t>（三）其他权益工具投资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5A0A1F2C" w14:textId="77777777" w:rsidR="00577D08" w:rsidRDefault="00330FC0">
            <w:pPr>
              <w:jc w:val="right"/>
              <w:outlineLvl w:val="2"/>
              <w:rPr>
                <w:rFonts w:cs="Cambria"/>
              </w:rPr>
            </w:pPr>
            <w:r>
              <w:rPr>
                <w:rFonts w:cs="Cambria"/>
              </w:rPr>
              <w:t>15,122,992.50</w:t>
            </w:r>
          </w:p>
        </w:tc>
        <w:tc>
          <w:tcPr>
            <w:tcW w:w="1668" w:type="dxa"/>
            <w:tcBorders>
              <w:top w:val="single" w:sz="4" w:space="0" w:color="auto"/>
              <w:left w:val="single" w:sz="4" w:space="0" w:color="auto"/>
              <w:bottom w:val="single" w:sz="4" w:space="0" w:color="auto"/>
              <w:right w:val="single" w:sz="4" w:space="0" w:color="auto"/>
            </w:tcBorders>
            <w:vAlign w:val="center"/>
          </w:tcPr>
          <w:p w14:paraId="515AC528"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24A7822"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1DEF79B5" w14:textId="77777777" w:rsidR="00577D08" w:rsidRDefault="00330FC0">
            <w:pPr>
              <w:jc w:val="right"/>
              <w:outlineLvl w:val="2"/>
              <w:rPr>
                <w:rFonts w:cs="Cambria"/>
              </w:rPr>
            </w:pPr>
            <w:r>
              <w:rPr>
                <w:rFonts w:cs="Cambria"/>
              </w:rPr>
              <w:t>15,122,992.50</w:t>
            </w:r>
          </w:p>
        </w:tc>
      </w:tr>
      <w:tr w:rsidR="00577D08" w14:paraId="1889713C"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7AFA3A66" w14:textId="77777777" w:rsidR="00577D08" w:rsidRDefault="00330FC0">
            <w:pPr>
              <w:outlineLvl w:val="2"/>
              <w:rPr>
                <w:rFonts w:cs="Cambria"/>
              </w:rPr>
            </w:pPr>
            <w:r>
              <w:rPr>
                <w:rFonts w:cs="Cambria" w:hint="eastAsia"/>
              </w:rPr>
              <w:t>（四）投资性房地产</w:t>
            </w:r>
          </w:p>
        </w:tc>
        <w:tc>
          <w:tcPr>
            <w:tcW w:w="1708" w:type="dxa"/>
            <w:tcBorders>
              <w:top w:val="single" w:sz="4" w:space="0" w:color="auto"/>
              <w:left w:val="single" w:sz="4" w:space="0" w:color="auto"/>
              <w:bottom w:val="single" w:sz="4" w:space="0" w:color="auto"/>
              <w:right w:val="single" w:sz="4" w:space="0" w:color="auto"/>
            </w:tcBorders>
            <w:vAlign w:val="center"/>
          </w:tcPr>
          <w:p w14:paraId="6C9F49F2"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35E4C286"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4076107"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A2214EC" w14:textId="77777777" w:rsidR="00577D08" w:rsidRDefault="00577D08">
            <w:pPr>
              <w:jc w:val="right"/>
              <w:outlineLvl w:val="2"/>
              <w:rPr>
                <w:rFonts w:cs="Cambria"/>
              </w:rPr>
            </w:pPr>
          </w:p>
        </w:tc>
      </w:tr>
      <w:tr w:rsidR="00577D08" w14:paraId="4723447D"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6BC9D9EB" w14:textId="77777777" w:rsidR="00577D08" w:rsidRDefault="00330FC0">
            <w:pPr>
              <w:outlineLvl w:val="2"/>
              <w:rPr>
                <w:rFonts w:cs="Cambria"/>
              </w:rPr>
            </w:pPr>
            <w:r>
              <w:rPr>
                <w:rFonts w:cs="Cambria"/>
              </w:rPr>
              <w:t>1.</w:t>
            </w:r>
            <w:r>
              <w:rPr>
                <w:rFonts w:cs="Cambria" w:hint="eastAsia"/>
              </w:rPr>
              <w:t>出租用的土地使用权</w:t>
            </w:r>
          </w:p>
        </w:tc>
        <w:tc>
          <w:tcPr>
            <w:tcW w:w="1708" w:type="dxa"/>
            <w:tcBorders>
              <w:top w:val="single" w:sz="4" w:space="0" w:color="auto"/>
              <w:left w:val="single" w:sz="4" w:space="0" w:color="auto"/>
              <w:bottom w:val="single" w:sz="4" w:space="0" w:color="auto"/>
              <w:right w:val="single" w:sz="4" w:space="0" w:color="auto"/>
            </w:tcBorders>
            <w:vAlign w:val="center"/>
          </w:tcPr>
          <w:p w14:paraId="39BA0562"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306D4191"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6A791DA8"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4373A8E5" w14:textId="77777777" w:rsidR="00577D08" w:rsidRDefault="00577D08">
            <w:pPr>
              <w:jc w:val="right"/>
              <w:outlineLvl w:val="2"/>
              <w:rPr>
                <w:rFonts w:cs="Cambria"/>
              </w:rPr>
            </w:pPr>
          </w:p>
        </w:tc>
      </w:tr>
      <w:tr w:rsidR="00577D08" w14:paraId="20C46804"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F074D72" w14:textId="77777777" w:rsidR="00577D08" w:rsidRDefault="00330FC0">
            <w:pPr>
              <w:outlineLvl w:val="2"/>
              <w:rPr>
                <w:rFonts w:cs="Cambria"/>
              </w:rPr>
            </w:pPr>
            <w:r>
              <w:rPr>
                <w:rFonts w:cs="Cambria"/>
              </w:rPr>
              <w:t>2.</w:t>
            </w:r>
            <w:r>
              <w:rPr>
                <w:rFonts w:cs="Cambria" w:hint="eastAsia"/>
              </w:rPr>
              <w:t>出租的建筑物</w:t>
            </w:r>
          </w:p>
        </w:tc>
        <w:tc>
          <w:tcPr>
            <w:tcW w:w="1708" w:type="dxa"/>
            <w:tcBorders>
              <w:top w:val="single" w:sz="4" w:space="0" w:color="auto"/>
              <w:left w:val="single" w:sz="4" w:space="0" w:color="auto"/>
              <w:bottom w:val="single" w:sz="4" w:space="0" w:color="auto"/>
              <w:right w:val="single" w:sz="4" w:space="0" w:color="auto"/>
            </w:tcBorders>
            <w:vAlign w:val="center"/>
          </w:tcPr>
          <w:p w14:paraId="4632E6AE"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29C87A01"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0AFD3535"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2EEEF89D" w14:textId="77777777" w:rsidR="00577D08" w:rsidRDefault="00577D08">
            <w:pPr>
              <w:jc w:val="right"/>
              <w:outlineLvl w:val="2"/>
              <w:rPr>
                <w:rFonts w:cs="Cambria"/>
              </w:rPr>
            </w:pPr>
          </w:p>
        </w:tc>
      </w:tr>
      <w:tr w:rsidR="00577D08" w14:paraId="205BF35F" w14:textId="77777777">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29D73826" w14:textId="77777777" w:rsidR="00577D08" w:rsidRDefault="00330FC0">
            <w:pPr>
              <w:outlineLvl w:val="2"/>
              <w:rPr>
                <w:rFonts w:cs="Cambria"/>
              </w:rPr>
            </w:pPr>
            <w:r>
              <w:rPr>
                <w:rFonts w:cs="Cambria"/>
              </w:rPr>
              <w:t>3.</w:t>
            </w:r>
            <w:r>
              <w:rPr>
                <w:rFonts w:cs="Cambria" w:hint="eastAsia"/>
              </w:rPr>
              <w:t>持有并准备增值后转让的土地使用权</w:t>
            </w:r>
          </w:p>
        </w:tc>
        <w:tc>
          <w:tcPr>
            <w:tcW w:w="1708" w:type="dxa"/>
            <w:tcBorders>
              <w:top w:val="single" w:sz="4" w:space="0" w:color="auto"/>
              <w:left w:val="single" w:sz="4" w:space="0" w:color="auto"/>
              <w:bottom w:val="single" w:sz="4" w:space="0" w:color="auto"/>
              <w:right w:val="single" w:sz="4" w:space="0" w:color="auto"/>
            </w:tcBorders>
            <w:vAlign w:val="center"/>
          </w:tcPr>
          <w:p w14:paraId="4091C35A"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33001A5B"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25FFD38D"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62638E6E" w14:textId="77777777" w:rsidR="00577D08" w:rsidRDefault="00577D08">
            <w:pPr>
              <w:jc w:val="right"/>
              <w:outlineLvl w:val="2"/>
              <w:rPr>
                <w:rFonts w:cs="Cambria"/>
              </w:rPr>
            </w:pPr>
          </w:p>
        </w:tc>
      </w:tr>
      <w:tr w:rsidR="00577D08" w14:paraId="21BC9E13"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02943C16" w14:textId="77777777" w:rsidR="00577D08" w:rsidRDefault="00330FC0">
            <w:pPr>
              <w:outlineLvl w:val="2"/>
              <w:rPr>
                <w:rFonts w:cs="Cambria"/>
              </w:rPr>
            </w:pPr>
            <w:r>
              <w:rPr>
                <w:rFonts w:cs="Cambria" w:hint="eastAsia"/>
              </w:rPr>
              <w:t>（五）生物资产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0BD1D0CB"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0B43A317"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CD45B53"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9C04FA7" w14:textId="77777777" w:rsidR="00577D08" w:rsidRDefault="00577D08">
            <w:pPr>
              <w:jc w:val="right"/>
              <w:outlineLvl w:val="2"/>
              <w:rPr>
                <w:rFonts w:cs="Cambria"/>
              </w:rPr>
            </w:pPr>
          </w:p>
        </w:tc>
      </w:tr>
      <w:tr w:rsidR="00577D08" w14:paraId="340EE5B8"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5C0901A9" w14:textId="77777777" w:rsidR="00577D08" w:rsidRDefault="00330FC0">
            <w:pPr>
              <w:outlineLvl w:val="2"/>
              <w:rPr>
                <w:rFonts w:cs="Cambria"/>
              </w:rPr>
            </w:pPr>
            <w:r>
              <w:rPr>
                <w:rFonts w:cs="Cambria"/>
              </w:rPr>
              <w:t>1.</w:t>
            </w:r>
            <w:r>
              <w:rPr>
                <w:rFonts w:cs="Cambria" w:hint="eastAsia"/>
              </w:rPr>
              <w:t>消耗性生物资产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6091AA87"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F47D9BB"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1278A8DD"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39F2D62A" w14:textId="77777777" w:rsidR="00577D08" w:rsidRDefault="00577D08">
            <w:pPr>
              <w:jc w:val="right"/>
              <w:outlineLvl w:val="2"/>
              <w:rPr>
                <w:rFonts w:cs="Cambria"/>
              </w:rPr>
            </w:pPr>
          </w:p>
        </w:tc>
      </w:tr>
      <w:tr w:rsidR="00577D08" w14:paraId="159ECB19"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3A8FA33A" w14:textId="77777777" w:rsidR="00577D08" w:rsidRDefault="00330FC0">
            <w:pPr>
              <w:outlineLvl w:val="2"/>
              <w:rPr>
                <w:rFonts w:cs="Cambria"/>
              </w:rPr>
            </w:pPr>
            <w:r>
              <w:rPr>
                <w:rFonts w:cs="Cambria"/>
              </w:rPr>
              <w:t>2.</w:t>
            </w:r>
            <w:r>
              <w:rPr>
                <w:rFonts w:cs="Cambria" w:hint="eastAsia"/>
              </w:rPr>
              <w:t>生产性生物资产</w:t>
            </w:r>
          </w:p>
        </w:tc>
        <w:tc>
          <w:tcPr>
            <w:tcW w:w="1708" w:type="dxa"/>
            <w:tcBorders>
              <w:top w:val="single" w:sz="4" w:space="0" w:color="auto"/>
              <w:left w:val="single" w:sz="4" w:space="0" w:color="auto"/>
              <w:bottom w:val="single" w:sz="4" w:space="0" w:color="auto"/>
              <w:right w:val="single" w:sz="4" w:space="0" w:color="auto"/>
            </w:tcBorders>
            <w:vAlign w:val="center"/>
          </w:tcPr>
          <w:p w14:paraId="3375CAAD"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48ED2A2F"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4D783706" w14:textId="77777777" w:rsidR="00577D08" w:rsidRDefault="00577D08">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17E3B4E1" w14:textId="77777777" w:rsidR="00577D08" w:rsidRDefault="00577D08">
            <w:pPr>
              <w:jc w:val="right"/>
              <w:outlineLvl w:val="2"/>
              <w:rPr>
                <w:rFonts w:cs="Cambria"/>
              </w:rPr>
            </w:pPr>
          </w:p>
        </w:tc>
      </w:tr>
      <w:tr w:rsidR="00577D08" w14:paraId="5ACFAC1F" w14:textId="77777777">
        <w:trPr>
          <w:trHeight w:val="215"/>
        </w:trPr>
        <w:tc>
          <w:tcPr>
            <w:tcW w:w="2423" w:type="dxa"/>
            <w:tcBorders>
              <w:top w:val="single" w:sz="4" w:space="0" w:color="auto"/>
              <w:left w:val="single" w:sz="4" w:space="0" w:color="auto"/>
              <w:bottom w:val="single" w:sz="4" w:space="0" w:color="auto"/>
              <w:right w:val="single" w:sz="4" w:space="0" w:color="auto"/>
            </w:tcBorders>
            <w:vAlign w:val="center"/>
          </w:tcPr>
          <w:p w14:paraId="07E229C5" w14:textId="77777777" w:rsidR="00577D08" w:rsidRDefault="00330FC0">
            <w:pPr>
              <w:outlineLvl w:val="2"/>
              <w:rPr>
                <w:rFonts w:cs="Cambria"/>
              </w:rPr>
            </w:pPr>
            <w:r>
              <w:rPr>
                <w:rFonts w:cs="Cambria" w:hint="eastAsia"/>
              </w:rPr>
              <w:lastRenderedPageBreak/>
              <w:t>（六）应收款项融资</w:t>
            </w:r>
          </w:p>
        </w:tc>
        <w:tc>
          <w:tcPr>
            <w:tcW w:w="1708" w:type="dxa"/>
            <w:tcBorders>
              <w:top w:val="single" w:sz="4" w:space="0" w:color="auto"/>
              <w:left w:val="single" w:sz="4" w:space="0" w:color="auto"/>
              <w:bottom w:val="single" w:sz="4" w:space="0" w:color="auto"/>
              <w:right w:val="single" w:sz="4" w:space="0" w:color="auto"/>
            </w:tcBorders>
            <w:vAlign w:val="center"/>
          </w:tcPr>
          <w:p w14:paraId="0A691A13" w14:textId="77777777" w:rsidR="00577D08" w:rsidRDefault="00577D08">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7D1A0485"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tcPr>
          <w:p w14:paraId="6A2C564E" w14:textId="77777777" w:rsidR="00577D08" w:rsidRDefault="00330FC0">
            <w:pPr>
              <w:jc w:val="right"/>
              <w:outlineLvl w:val="2"/>
              <w:rPr>
                <w:rFonts w:cs="Cambria"/>
              </w:rPr>
            </w:pPr>
            <w:r>
              <w:t>37,433,524.10</w:t>
            </w:r>
          </w:p>
        </w:tc>
        <w:tc>
          <w:tcPr>
            <w:tcW w:w="1514" w:type="dxa"/>
            <w:tcBorders>
              <w:top w:val="single" w:sz="4" w:space="0" w:color="auto"/>
              <w:left w:val="single" w:sz="4" w:space="0" w:color="auto"/>
              <w:bottom w:val="single" w:sz="4" w:space="0" w:color="auto"/>
              <w:right w:val="single" w:sz="4" w:space="0" w:color="auto"/>
            </w:tcBorders>
          </w:tcPr>
          <w:p w14:paraId="41F7CF12" w14:textId="77777777" w:rsidR="00577D08" w:rsidRDefault="00330FC0">
            <w:pPr>
              <w:jc w:val="right"/>
              <w:outlineLvl w:val="2"/>
              <w:rPr>
                <w:rFonts w:cs="Cambria"/>
              </w:rPr>
            </w:pPr>
            <w:r>
              <w:t>37,433,524.10</w:t>
            </w:r>
          </w:p>
        </w:tc>
      </w:tr>
      <w:tr w:rsidR="00577D08" w14:paraId="6D720AE9" w14:textId="77777777">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6C0AFF25" w14:textId="77777777" w:rsidR="00577D08" w:rsidRDefault="00330FC0">
            <w:pPr>
              <w:outlineLvl w:val="2"/>
              <w:rPr>
                <w:rFonts w:cs="Cambria"/>
                <w:b/>
              </w:rPr>
            </w:pPr>
            <w:r>
              <w:rPr>
                <w:rFonts w:cs="Cambria" w:hint="eastAsia"/>
                <w:b/>
              </w:rPr>
              <w:t>持续以公允价值计量的资产总额</w:t>
            </w:r>
          </w:p>
        </w:tc>
        <w:tc>
          <w:tcPr>
            <w:tcW w:w="1708" w:type="dxa"/>
            <w:tcBorders>
              <w:top w:val="single" w:sz="4" w:space="0" w:color="auto"/>
              <w:left w:val="single" w:sz="4" w:space="0" w:color="auto"/>
              <w:bottom w:val="single" w:sz="4" w:space="0" w:color="auto"/>
              <w:right w:val="single" w:sz="4" w:space="0" w:color="auto"/>
            </w:tcBorders>
            <w:vAlign w:val="center"/>
          </w:tcPr>
          <w:p w14:paraId="7CEB1F21" w14:textId="77777777" w:rsidR="00577D08" w:rsidRDefault="00330FC0">
            <w:pPr>
              <w:jc w:val="right"/>
              <w:outlineLvl w:val="2"/>
              <w:rPr>
                <w:rFonts w:cs="Cambria"/>
              </w:rPr>
            </w:pPr>
            <w:r>
              <w:t>15,122,992.50</w:t>
            </w:r>
          </w:p>
        </w:tc>
        <w:tc>
          <w:tcPr>
            <w:tcW w:w="1668" w:type="dxa"/>
            <w:tcBorders>
              <w:top w:val="single" w:sz="4" w:space="0" w:color="auto"/>
              <w:left w:val="single" w:sz="4" w:space="0" w:color="auto"/>
              <w:bottom w:val="single" w:sz="4" w:space="0" w:color="auto"/>
              <w:right w:val="single" w:sz="4" w:space="0" w:color="auto"/>
            </w:tcBorders>
            <w:vAlign w:val="center"/>
          </w:tcPr>
          <w:p w14:paraId="63163C62" w14:textId="77777777" w:rsidR="00577D08" w:rsidRDefault="00577D08">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67175E21" w14:textId="77777777" w:rsidR="00577D08" w:rsidRDefault="00330FC0">
            <w:pPr>
              <w:jc w:val="right"/>
              <w:outlineLvl w:val="2"/>
              <w:rPr>
                <w:rFonts w:cs="Cambria"/>
              </w:rPr>
            </w:pPr>
            <w:r>
              <w:t>37,433,524.10</w:t>
            </w:r>
          </w:p>
        </w:tc>
        <w:tc>
          <w:tcPr>
            <w:tcW w:w="1514" w:type="dxa"/>
            <w:tcBorders>
              <w:top w:val="single" w:sz="4" w:space="0" w:color="auto"/>
              <w:left w:val="single" w:sz="4" w:space="0" w:color="auto"/>
              <w:bottom w:val="single" w:sz="4" w:space="0" w:color="auto"/>
              <w:right w:val="single" w:sz="4" w:space="0" w:color="auto"/>
            </w:tcBorders>
            <w:vAlign w:val="center"/>
          </w:tcPr>
          <w:p w14:paraId="068312BA" w14:textId="77777777" w:rsidR="00577D08" w:rsidRDefault="00330FC0">
            <w:pPr>
              <w:jc w:val="right"/>
              <w:outlineLvl w:val="2"/>
              <w:rPr>
                <w:rFonts w:cs="Cambria"/>
              </w:rPr>
            </w:pPr>
            <w:r>
              <w:t>52,556,516.60</w:t>
            </w:r>
          </w:p>
        </w:tc>
      </w:tr>
    </w:tbl>
    <w:bookmarkEnd w:id="476"/>
    <w:bookmarkEnd w:id="477"/>
    <w:p w14:paraId="4B198654" w14:textId="77777777" w:rsidR="00577D08" w:rsidRDefault="00330FC0">
      <w:pPr>
        <w:pStyle w:val="3"/>
        <w:numPr>
          <w:ilvl w:val="0"/>
          <w:numId w:val="113"/>
        </w:numPr>
        <w:rPr>
          <w:rFonts w:ascii="宋体" w:hAnsi="宋体" w:cs="Arial" w:hint="eastAsia"/>
          <w:szCs w:val="21"/>
        </w:rPr>
      </w:pPr>
      <w:r>
        <w:rPr>
          <w:rFonts w:ascii="宋体" w:hAnsi="宋体" w:cs="Arial" w:hint="eastAsia"/>
          <w:szCs w:val="21"/>
        </w:rPr>
        <w:t>持续和非持续第一层次公允价值计量项目市价的确定依据</w:t>
      </w:r>
    </w:p>
    <w:sdt>
      <w:sdtPr>
        <w:rPr>
          <w:rFonts w:cs="Arial" w:hint="eastAsia"/>
        </w:rPr>
        <w:alias w:val="是否适用：持续和非持续第一层次公允价值计量项目市价的确定依据[双击切换]"/>
        <w:tag w:val="_GBC_fc42dd94906341819da0f825b0c88571"/>
        <w:id w:val="-1108739328"/>
        <w:placeholder>
          <w:docPart w:val="GBC22222222222222222222222222222"/>
        </w:placeholder>
      </w:sdtPr>
      <w:sdtContent>
        <w:p w14:paraId="2D431DC2" w14:textId="77777777" w:rsidR="00577D08" w:rsidRDefault="00330FC0">
          <w:pPr>
            <w:rPr>
              <w:rFonts w:cs="Arial"/>
            </w:rPr>
          </w:pPr>
          <w:r>
            <w:rPr>
              <w:rFonts w:ascii="宋体" w:hAnsi="宋体" w:cs="Arial"/>
            </w:rPr>
            <w:fldChar w:fldCharType="begin"/>
          </w:r>
          <w:r>
            <w:rPr>
              <w:rFonts w:ascii="宋体" w:hAnsi="宋体" w:cs="Arial"/>
            </w:rPr>
            <w:instrText xml:space="preserve"> </w:instrText>
          </w:r>
          <w:r>
            <w:rPr>
              <w:rFonts w:ascii="宋体" w:hAnsi="宋体" w:cs="Arial" w:hint="eastAsia"/>
            </w:rPr>
            <w:instrText xml:space="preserve">MACROBUTTON  SnrToggleCheckbox √适用 </w:instrText>
          </w:r>
          <w:r>
            <w:rPr>
              <w:rFonts w:ascii="宋体" w:hAnsi="宋体" w:cs="Arial"/>
            </w:rPr>
            <w:instrText xml:space="preserve"> </w:instrText>
          </w:r>
          <w:r>
            <w:rPr>
              <w:rFonts w:ascii="宋体" w:hAnsi="宋体" w:cs="Arial"/>
            </w:rPr>
            <w:fldChar w:fldCharType="end"/>
          </w:r>
          <w:r>
            <w:rPr>
              <w:rFonts w:ascii="宋体" w:hAnsi="宋体" w:cs="Arial"/>
            </w:rPr>
            <w:fldChar w:fldCharType="begin"/>
          </w:r>
          <w:r>
            <w:rPr>
              <w:rFonts w:ascii="宋体" w:hAnsi="宋体" w:cs="Arial"/>
            </w:rPr>
            <w:instrText xml:space="preserve"> MACROBUTTON  SnrToggleCheckbox □不适用 </w:instrText>
          </w:r>
          <w:r>
            <w:rPr>
              <w:rFonts w:ascii="宋体" w:hAnsi="宋体" w:cs="Arial"/>
            </w:rPr>
            <w:fldChar w:fldCharType="end"/>
          </w:r>
        </w:p>
      </w:sdtContent>
    </w:sdt>
    <w:p w14:paraId="02D95BC5" w14:textId="77777777" w:rsidR="00577D08" w:rsidRDefault="00000000">
      <w:pPr>
        <w:spacing w:line="360" w:lineRule="exact"/>
        <w:ind w:firstLineChars="200" w:firstLine="420"/>
        <w:rPr>
          <w:rFonts w:cs="Arial"/>
        </w:rPr>
      </w:pPr>
      <w:sdt>
        <w:sdtPr>
          <w:rPr>
            <w:rFonts w:cs="Arial" w:hint="eastAsia"/>
          </w:rPr>
          <w:alias w:val="持续和非持续第一层次公允价值计量项目市价的确定依据"/>
          <w:tag w:val="_GBC_8db65a2ca59047da919942f97cfc594e"/>
          <w:id w:val="-1901508853"/>
          <w:placeholder>
            <w:docPart w:val="GBC22222222222222222222222222222"/>
          </w:placeholder>
        </w:sdtPr>
        <w:sdtContent>
          <w:r w:rsidR="00330FC0">
            <w:rPr>
              <w:rFonts w:cs="Arial" w:hint="eastAsia"/>
            </w:rPr>
            <w:t>本公司持有的第一层次公允价值计量的交易性金融资产为在活跃市场上交易的股票，本公司以其活跃市场报价确定其公允价值。</w:t>
          </w:r>
        </w:sdtContent>
      </w:sdt>
    </w:p>
    <w:p w14:paraId="67A24232" w14:textId="77777777" w:rsidR="00577D08" w:rsidRDefault="00330FC0">
      <w:pPr>
        <w:pStyle w:val="3"/>
        <w:numPr>
          <w:ilvl w:val="0"/>
          <w:numId w:val="113"/>
        </w:numPr>
      </w:pPr>
      <w:r>
        <w:rPr>
          <w:rFonts w:ascii="宋体" w:hAnsi="宋体" w:cs="Arial" w:hint="eastAsia"/>
          <w:szCs w:val="21"/>
        </w:rPr>
        <w:t>持续和非持续第二层次公允价值计量项目，采用的估值技术和重要参数的定性及定量信息</w:t>
      </w:r>
    </w:p>
    <w:sdt>
      <w:sdtPr>
        <w:rPr>
          <w:rFonts w:cs="Cambria" w:hint="eastAsia"/>
        </w:rPr>
        <w:alias w:val="是否适用：持续和非持续第二层次公允价值计量项目，采用的估值技术和重要参数的定性及定量信息[双击切换]"/>
        <w:tag w:val="_GBC_524db4de656b4bccac2fc473643fe7a6"/>
        <w:id w:val="-1116442385"/>
        <w:placeholder>
          <w:docPart w:val="GBC22222222222222222222222222222"/>
        </w:placeholder>
      </w:sdtPr>
      <w:sdtContent>
        <w:p w14:paraId="56D269C2" w14:textId="77777777" w:rsidR="00577D08" w:rsidRDefault="00330FC0">
          <w:pPr>
            <w:tabs>
              <w:tab w:val="left" w:pos="1134"/>
            </w:tabs>
            <w:rPr>
              <w:rFonts w:cs="Cambria"/>
            </w:rPr>
          </w:pPr>
          <w:r>
            <w:rPr>
              <w:rFonts w:ascii="宋体" w:hAnsi="宋体" w:cs="Cambria"/>
            </w:rPr>
            <w:fldChar w:fldCharType="begin"/>
          </w:r>
          <w:r>
            <w:rPr>
              <w:rFonts w:ascii="宋体" w:hAnsi="宋体" w:cs="Cambria" w:hint="eastAsia"/>
            </w:rPr>
            <w:instrText xml:space="preserve"> 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6130100A" w14:textId="77777777" w:rsidR="00577D08" w:rsidRDefault="00330FC0">
      <w:pPr>
        <w:pStyle w:val="3"/>
        <w:numPr>
          <w:ilvl w:val="0"/>
          <w:numId w:val="113"/>
        </w:numPr>
      </w:pPr>
      <w:r>
        <w:rPr>
          <w:rFonts w:ascii="宋体" w:hAnsi="宋体" w:cs="Arial" w:hint="eastAsia"/>
          <w:szCs w:val="21"/>
        </w:rPr>
        <w:t>持续和非持续第三层次公允价值计量项目，采用的估值技术和重要参数的定性及定量信息</w:t>
      </w:r>
    </w:p>
    <w:sdt>
      <w:sdtPr>
        <w:rPr>
          <w:rFonts w:hint="eastAsia"/>
        </w:rPr>
        <w:alias w:val="是否适用：持续和非持续第三层次公允价值计量项目，采用的估值技术和重要参数的定性及定量信息[双击切换]"/>
        <w:tag w:val="_GBC_2fc8e5a18cee4309a229e736040a7cfd"/>
        <w:id w:val="453528104"/>
        <w:placeholder>
          <w:docPart w:val="GBC22222222222222222222222222222"/>
        </w:placeholder>
      </w:sdtPr>
      <w:sdtContent>
        <w:p w14:paraId="0BE4444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hint="eastAsia"/>
        </w:rPr>
        <w:alias w:val="持续和非持续第三层次公允价值计量项目，采用的估值技术和重要参数的定性及定量信息"/>
        <w:tag w:val="_GBC_db2fdcfb26ce4ca9ac1e8da23b16aaaa"/>
        <w:id w:val="641165919"/>
        <w:placeholder>
          <w:docPart w:val="C6FAA4F5C80D4628A5B3047BA0455536"/>
        </w:placeholder>
      </w:sdtPr>
      <w:sdtContent>
        <w:p w14:paraId="4F1CEA54" w14:textId="77777777" w:rsidR="00577D08" w:rsidRDefault="00330FC0">
          <w:pPr>
            <w:spacing w:line="360" w:lineRule="exact"/>
            <w:ind w:firstLineChars="200" w:firstLine="420"/>
          </w:pPr>
          <w:r>
            <w:rPr>
              <w:rFonts w:hint="eastAsia"/>
            </w:rPr>
            <w:t>本公司持有的第三层次公允价值计量的应收款项融资为应收银行承兑汇票，其信用风险较小且剩余期限较短，本公司以其票面余额确定其公允价值。</w:t>
          </w:r>
        </w:p>
      </w:sdtContent>
    </w:sdt>
    <w:p w14:paraId="235686BD" w14:textId="77777777" w:rsidR="00577D08" w:rsidRDefault="00330FC0">
      <w:pPr>
        <w:pStyle w:val="3"/>
        <w:numPr>
          <w:ilvl w:val="0"/>
          <w:numId w:val="113"/>
        </w:numPr>
        <w:ind w:left="0" w:firstLine="0"/>
      </w:pPr>
      <w:r>
        <w:rPr>
          <w:rFonts w:hint="eastAsia"/>
        </w:rPr>
        <w:t>持续的第三层次公允价值计量项目，期初与期末账面价值间的调节信息及不可观察参数敏感性分析</w:t>
      </w:r>
    </w:p>
    <w:sdt>
      <w:sdtPr>
        <w:rPr>
          <w:rFonts w:hint="eastAsia"/>
        </w:rPr>
        <w:alias w:val="是否适用：持续的第三层次公允价值计量项目，期初与期末账面价值间的调节信息及不可观察参数敏感性分析[双击切换]"/>
        <w:tag w:val="_GBC_71e79e015e97438a812cfd612b604172"/>
        <w:id w:val="560518192"/>
        <w:placeholder>
          <w:docPart w:val="GBC22222222222222222222222222222"/>
        </w:placeholder>
      </w:sdtPr>
      <w:sdtContent>
        <w:p w14:paraId="497BBB8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AD70796" w14:textId="77777777" w:rsidR="00577D08" w:rsidRDefault="00330FC0">
      <w:pPr>
        <w:pStyle w:val="3"/>
        <w:numPr>
          <w:ilvl w:val="0"/>
          <w:numId w:val="113"/>
        </w:numPr>
        <w:ind w:left="0" w:firstLine="0"/>
      </w:pPr>
      <w:r>
        <w:rPr>
          <w:rFonts w:hint="eastAsia"/>
        </w:rPr>
        <w:t>持续的公允价值计量项目，本期内发生各层级之间转换的，转换的原因及确定转换时点的政策</w:t>
      </w:r>
    </w:p>
    <w:sdt>
      <w:sdtPr>
        <w:rPr>
          <w:rFonts w:hint="eastAsia"/>
        </w:rPr>
        <w:alias w:val="是否适用：持续的公允价值计量项目，本期内发生各层级之间转换的，转换的原因及确定转换时点的政策[双击切换]"/>
        <w:tag w:val="_GBC_eebf98ea60f047d9917b79bbe8e1b6a3"/>
        <w:id w:val="-737482942"/>
        <w:placeholder>
          <w:docPart w:val="GBC22222222222222222222222222222"/>
        </w:placeholder>
      </w:sdtPr>
      <w:sdtContent>
        <w:p w14:paraId="164AC68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DAF1C5B" w14:textId="77777777" w:rsidR="00577D08" w:rsidRDefault="00330FC0">
      <w:pPr>
        <w:pStyle w:val="3"/>
        <w:numPr>
          <w:ilvl w:val="0"/>
          <w:numId w:val="113"/>
        </w:numPr>
      </w:pPr>
      <w:r>
        <w:rPr>
          <w:rFonts w:hint="eastAsia"/>
        </w:rPr>
        <w:t>本期内发生的估值技术变更及变更原因</w:t>
      </w:r>
    </w:p>
    <w:sdt>
      <w:sdtPr>
        <w:rPr>
          <w:rFonts w:hint="eastAsia"/>
        </w:rPr>
        <w:alias w:val="是否适用：本期内发生的估值技术变更及变更原因[双击切换]"/>
        <w:tag w:val="_GBC_c8355b64faff425ebd05215313c85419"/>
        <w:id w:val="-1535802433"/>
        <w:placeholder>
          <w:docPart w:val="GBC22222222222222222222222222222"/>
        </w:placeholder>
      </w:sdtPr>
      <w:sdtContent>
        <w:p w14:paraId="51DFBDC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F814D26" w14:textId="77777777" w:rsidR="00577D08" w:rsidRDefault="00330FC0">
      <w:pPr>
        <w:pStyle w:val="3"/>
        <w:numPr>
          <w:ilvl w:val="0"/>
          <w:numId w:val="113"/>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rPr>
        <w:alias w:val="是否适用：不以公允价值计量的金融资产和金融负债的公允价值情况[双击切换]"/>
        <w:tag w:val="_GBC_734377ec924449c3ae79732fec24b52d"/>
        <w:id w:val="1265581546"/>
        <w:placeholder>
          <w:docPart w:val="GBC22222222222222222222222222222"/>
        </w:placeholder>
      </w:sdtPr>
      <w:sdtContent>
        <w:p w14:paraId="6E795EF4" w14:textId="77777777" w:rsidR="00577D08" w:rsidRDefault="00330FC0">
          <w:pPr>
            <w:rPr>
              <w:rFonts w:cstheme="minorBidi"/>
            </w:rPr>
          </w:pPr>
          <w:r>
            <w:rPr>
              <w:rFonts w:ascii="宋体" w:hAnsi="宋体" w:cstheme="minorBidi"/>
            </w:rPr>
            <w:fldChar w:fldCharType="begin"/>
          </w:r>
          <w:r>
            <w:rPr>
              <w:rFonts w:ascii="宋体" w:hAnsi="宋体" w:cstheme="minorBidi"/>
            </w:rPr>
            <w:instrText xml:space="preserve"> </w:instrText>
          </w:r>
          <w:r>
            <w:rPr>
              <w:rFonts w:ascii="宋体" w:hAnsi="宋体" w:cstheme="minorBidi" w:hint="eastAsia"/>
            </w:rPr>
            <w:instrText xml:space="preserve">MACROBUTTON  SnrToggleCheckbox √适用 </w:instrText>
          </w:r>
          <w:r>
            <w:rPr>
              <w:rFonts w:ascii="宋体" w:hAnsi="宋体" w:cstheme="minorBidi"/>
            </w:rPr>
            <w:instrText xml:space="preserve"> </w:instrText>
          </w:r>
          <w:r>
            <w:rPr>
              <w:rFonts w:ascii="宋体" w:hAnsi="宋体" w:cstheme="minorBidi"/>
            </w:rPr>
            <w:fldChar w:fldCharType="end"/>
          </w:r>
          <w:r>
            <w:rPr>
              <w:rFonts w:ascii="宋体" w:hAnsi="宋体" w:cstheme="minorBidi"/>
            </w:rPr>
            <w:fldChar w:fldCharType="begin"/>
          </w:r>
          <w:r>
            <w:rPr>
              <w:rFonts w:ascii="宋体" w:hAnsi="宋体" w:cstheme="minorBidi"/>
            </w:rPr>
            <w:instrText xml:space="preserve"> MACROBUTTON  SnrToggleCheckbox □不适用 </w:instrText>
          </w:r>
          <w:r>
            <w:rPr>
              <w:rFonts w:ascii="宋体" w:hAnsi="宋体" w:cstheme="minorBidi"/>
            </w:rPr>
            <w:fldChar w:fldCharType="end"/>
          </w:r>
        </w:p>
      </w:sdtContent>
    </w:sdt>
    <w:sdt>
      <w:sdtPr>
        <w:rPr>
          <w:rFonts w:cstheme="minorBidi" w:hint="eastAsia"/>
        </w:rPr>
        <w:alias w:val="不以公允价值计量的金融资产和金融负债的公允价值情况"/>
        <w:tag w:val="_GBC_b98a8914aa7341d8811e287268440b08"/>
        <w:id w:val="2094505353"/>
        <w:placeholder>
          <w:docPart w:val="GBC22222222222222222222222222222"/>
        </w:placeholder>
      </w:sdtPr>
      <w:sdtContent>
        <w:p w14:paraId="413CA0AA" w14:textId="77777777" w:rsidR="00577D08" w:rsidRDefault="00330FC0">
          <w:pPr>
            <w:spacing w:line="360" w:lineRule="exact"/>
            <w:ind w:firstLineChars="200" w:firstLine="420"/>
            <w:rPr>
              <w:rFonts w:cstheme="minorBidi"/>
            </w:rPr>
          </w:pPr>
          <w:r>
            <w:rPr>
              <w:rFonts w:cstheme="minorBidi" w:hint="eastAsia"/>
            </w:rPr>
            <w:t>不以公允价值计量的金融资产和负债主要包括：应收款项、短期借款、应付款项、一年内到期的非流动负债和长期借款等。</w:t>
          </w:r>
        </w:p>
      </w:sdtContent>
    </w:sdt>
    <w:p w14:paraId="4DEC747F" w14:textId="77777777" w:rsidR="00577D08" w:rsidRDefault="00330FC0">
      <w:pPr>
        <w:pStyle w:val="3"/>
        <w:numPr>
          <w:ilvl w:val="0"/>
          <w:numId w:val="113"/>
        </w:numPr>
        <w:rPr>
          <w:szCs w:val="21"/>
        </w:rPr>
      </w:pPr>
      <w:r>
        <w:rPr>
          <w:rFonts w:hint="eastAsia"/>
          <w:szCs w:val="21"/>
        </w:rPr>
        <w:t>其他</w:t>
      </w:r>
    </w:p>
    <w:sdt>
      <w:sdtPr>
        <w:rPr>
          <w:rFonts w:hint="eastAsia"/>
        </w:rPr>
        <w:alias w:val="是否适用：公允价值其他需要披露的事项[双击切换]"/>
        <w:tag w:val="_GBC_face0919374341aba02b14f2247ac908"/>
        <w:id w:val="-78448068"/>
        <w:placeholder>
          <w:docPart w:val="GBC22222222222222222222222222222"/>
        </w:placeholder>
      </w:sdtPr>
      <w:sdtContent>
        <w:p w14:paraId="033E04B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D473BB0" w14:textId="77777777" w:rsidR="00577D08" w:rsidRDefault="00330FC0">
      <w:pPr>
        <w:pStyle w:val="2"/>
        <w:numPr>
          <w:ilvl w:val="0"/>
          <w:numId w:val="52"/>
        </w:numPr>
        <w:rPr>
          <w:rFonts w:ascii="宋体" w:hAnsi="宋体" w:hint="eastAsia"/>
        </w:rPr>
      </w:pPr>
      <w:r>
        <w:rPr>
          <w:rFonts w:ascii="宋体" w:hAnsi="宋体" w:hint="eastAsia"/>
        </w:rPr>
        <w:t>关联方及关联交易</w:t>
      </w:r>
    </w:p>
    <w:p w14:paraId="30C9C806" w14:textId="77777777" w:rsidR="00577D08" w:rsidRDefault="00330FC0">
      <w:pPr>
        <w:pStyle w:val="3"/>
        <w:numPr>
          <w:ilvl w:val="0"/>
          <w:numId w:val="114"/>
        </w:numPr>
      </w:pPr>
      <w:r>
        <w:rPr>
          <w:rFonts w:hint="eastAsia"/>
        </w:rPr>
        <w:t>本企业的母公司情况</w:t>
      </w:r>
    </w:p>
    <w:sdt>
      <w:sdtPr>
        <w:rPr>
          <w:rFonts w:hint="eastAsia"/>
        </w:rPr>
        <w:alias w:val="是否适用：本企业的母公司情况[双击切换]"/>
        <w:tag w:val="_GBC_fe5dd4a2c9ad405db72189e05b735e0c"/>
        <w:id w:val="-1814103130"/>
        <w:placeholder>
          <w:docPart w:val="GBC22222222222222222222222222222"/>
        </w:placeholder>
      </w:sdtPr>
      <w:sdtContent>
        <w:p w14:paraId="480B6D1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965D0B1" w14:textId="77777777" w:rsidR="00577D08" w:rsidRDefault="00330FC0">
      <w:pPr>
        <w:pStyle w:val="3"/>
        <w:numPr>
          <w:ilvl w:val="0"/>
          <w:numId w:val="114"/>
        </w:numPr>
        <w:rPr>
          <w:rFonts w:ascii="宋体" w:hAnsi="宋体" w:cs="Arial" w:hint="eastAsia"/>
          <w:szCs w:val="21"/>
        </w:rPr>
      </w:pPr>
      <w:r>
        <w:rPr>
          <w:rFonts w:ascii="宋体" w:hAnsi="宋体" w:cs="Arial" w:hint="eastAsia"/>
          <w:szCs w:val="21"/>
        </w:rPr>
        <w:t>本企业的子公司情况</w:t>
      </w:r>
    </w:p>
    <w:sdt>
      <w:sdtPr>
        <w:tag w:val="_PLD_00c8de6cd52c482b84acaf1117812c2c"/>
        <w:id w:val="480890305"/>
      </w:sdtPr>
      <w:sdtContent>
        <w:p w14:paraId="52040A5D" w14:textId="77777777" w:rsidR="00577D08" w:rsidRDefault="00330FC0">
          <w:r>
            <w:rPr>
              <w:rFonts w:hint="eastAsia"/>
            </w:rPr>
            <w:t>本企业子公司的情况详见附注</w:t>
          </w:r>
        </w:p>
      </w:sdtContent>
    </w:sdt>
    <w:sdt>
      <w:sdtPr>
        <w:rPr>
          <w:rFonts w:hint="eastAsia"/>
        </w:rPr>
        <w:alias w:val="是否适用：本公司的子公司情况详见附注[双击切换]"/>
        <w:tag w:val="_GBC_b3fd954877e04ee589f6c4ce95e1384a"/>
        <w:id w:val="-533659947"/>
        <w:placeholder>
          <w:docPart w:val="GBC22222222222222222222222222222"/>
        </w:placeholder>
      </w:sdtPr>
      <w:sdtContent>
        <w:p w14:paraId="000E7991"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本公司的子公司情况详见附注"/>
        <w:tag w:val="_GBC_bb3e2669c3cc45d0a6637b1809087708"/>
        <w:id w:val="-1375545075"/>
        <w:placeholder>
          <w:docPart w:val="GBC22222222222222222222222222222"/>
        </w:placeholder>
      </w:sdtPr>
      <w:sdtContent>
        <w:p w14:paraId="465A52BE" w14:textId="77777777" w:rsidR="00577D08" w:rsidRDefault="00330FC0">
          <w:r>
            <w:rPr>
              <w:rFonts w:hint="eastAsia"/>
            </w:rPr>
            <w:t>本企业子公司的情况详见本报告“第八节</w:t>
          </w:r>
          <w:r>
            <w:rPr>
              <w:rFonts w:hint="eastAsia"/>
            </w:rPr>
            <w:t>.</w:t>
          </w:r>
          <w:r>
            <w:rPr>
              <w:rFonts w:hint="eastAsia"/>
            </w:rPr>
            <w:t>十、在其他主体中的权益”。</w:t>
          </w:r>
        </w:p>
      </w:sdtContent>
    </w:sdt>
    <w:p w14:paraId="12251D2B" w14:textId="77777777" w:rsidR="00577D08" w:rsidRDefault="00330FC0">
      <w:pPr>
        <w:pStyle w:val="3"/>
        <w:numPr>
          <w:ilvl w:val="0"/>
          <w:numId w:val="114"/>
        </w:numPr>
      </w:pPr>
      <w:r>
        <w:rPr>
          <w:rFonts w:hint="eastAsia"/>
        </w:rPr>
        <w:t>本企业合营和联营企业情况</w:t>
      </w:r>
    </w:p>
    <w:sdt>
      <w:sdtPr>
        <w:tag w:val="_PLD_9a4ffa8cb6674ac4a0ddd525351b6abd"/>
        <w:id w:val="562692896"/>
      </w:sdtPr>
      <w:sdtContent>
        <w:p w14:paraId="34DCA914" w14:textId="77777777" w:rsidR="00577D08" w:rsidRDefault="00330FC0">
          <w:r>
            <w:rPr>
              <w:rFonts w:hint="eastAsia"/>
            </w:rPr>
            <w:t>本企业重要的合营或联营企业详见附注</w:t>
          </w:r>
        </w:p>
      </w:sdtContent>
    </w:sdt>
    <w:sdt>
      <w:sdtPr>
        <w:alias w:val="是否适用：本企业重要的合营或联营企业详见附注[双击切换]"/>
        <w:tag w:val="_GBC_a44d5ddc347344bcaadf8652bc7a927c"/>
        <w:id w:val="528762918"/>
        <w:placeholder>
          <w:docPart w:val="GBC22222222222222222222222222222"/>
        </w:placeholder>
      </w:sdtPr>
      <w:sdtContent>
        <w:p w14:paraId="104F2F6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8DAFCD4" w14:textId="77777777" w:rsidR="00577D08" w:rsidRDefault="00330FC0">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73162571"/>
        <w:placeholder>
          <w:docPart w:val="GBC22222222222222222222222222222"/>
        </w:placeholder>
      </w:sdtPr>
      <w:sdtContent>
        <w:p w14:paraId="14222C8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5063"/>
      </w:tblGrid>
      <w:tr w:rsidR="00577D08" w14:paraId="4B630E6A" w14:textId="77777777">
        <w:trPr>
          <w:trHeight w:val="284"/>
        </w:trPr>
        <w:sdt>
          <w:sdtPr>
            <w:tag w:val="_PLD_0e6d2a60380d424fbe39edbe16e876ad"/>
            <w:id w:val="2025899867"/>
          </w:sdtPr>
          <w:sdtContent>
            <w:tc>
              <w:tcPr>
                <w:tcW w:w="3985" w:type="dxa"/>
                <w:tcBorders>
                  <w:top w:val="single" w:sz="4" w:space="0" w:color="auto"/>
                  <w:left w:val="single" w:sz="4" w:space="0" w:color="auto"/>
                  <w:bottom w:val="single" w:sz="4" w:space="0" w:color="auto"/>
                  <w:right w:val="single" w:sz="4" w:space="0" w:color="auto"/>
                </w:tcBorders>
                <w:vAlign w:val="center"/>
              </w:tcPr>
              <w:p w14:paraId="7E122262" w14:textId="77777777" w:rsidR="00577D08" w:rsidRDefault="00330FC0">
                <w:pPr>
                  <w:jc w:val="center"/>
                  <w:rPr>
                    <w:rFonts w:cs="Cambria"/>
                  </w:rPr>
                </w:pPr>
                <w:r>
                  <w:rPr>
                    <w:rFonts w:cs="Cambria" w:hint="eastAsia"/>
                  </w:rPr>
                  <w:t>合营或联营企业名称</w:t>
                </w:r>
              </w:p>
            </w:tc>
          </w:sdtContent>
        </w:sdt>
        <w:sdt>
          <w:sdtPr>
            <w:tag w:val="_PLD_7a4c0374bc514021b6a270655cb81e9e"/>
            <w:id w:val="1589512344"/>
          </w:sdtPr>
          <w:sdtContent>
            <w:tc>
              <w:tcPr>
                <w:tcW w:w="5063" w:type="dxa"/>
                <w:tcBorders>
                  <w:top w:val="single" w:sz="4" w:space="0" w:color="auto"/>
                  <w:left w:val="single" w:sz="4" w:space="0" w:color="auto"/>
                  <w:bottom w:val="single" w:sz="4" w:space="0" w:color="auto"/>
                  <w:right w:val="single" w:sz="4" w:space="0" w:color="auto"/>
                </w:tcBorders>
                <w:vAlign w:val="center"/>
              </w:tcPr>
              <w:p w14:paraId="18BDFB6C" w14:textId="77777777" w:rsidR="00577D08" w:rsidRDefault="00330FC0">
                <w:pPr>
                  <w:jc w:val="center"/>
                  <w:rPr>
                    <w:rFonts w:cs="Cambria"/>
                  </w:rPr>
                </w:pPr>
                <w:r>
                  <w:rPr>
                    <w:rFonts w:cs="Cambria" w:hint="eastAsia"/>
                  </w:rPr>
                  <w:t>与本企业关系</w:t>
                </w:r>
              </w:p>
            </w:tc>
          </w:sdtContent>
        </w:sdt>
      </w:tr>
      <w:tr w:rsidR="00577D08" w14:paraId="44D6FB3C" w14:textId="77777777">
        <w:trPr>
          <w:trHeight w:val="250"/>
        </w:trPr>
        <w:tc>
          <w:tcPr>
            <w:tcW w:w="3985" w:type="dxa"/>
            <w:tcBorders>
              <w:top w:val="single" w:sz="4" w:space="0" w:color="auto"/>
              <w:left w:val="single" w:sz="4" w:space="0" w:color="auto"/>
              <w:bottom w:val="single" w:sz="4" w:space="0" w:color="auto"/>
              <w:right w:val="single" w:sz="4" w:space="0" w:color="auto"/>
            </w:tcBorders>
          </w:tcPr>
          <w:p w14:paraId="322CCA7B" w14:textId="77777777" w:rsidR="00577D08" w:rsidRDefault="00330FC0">
            <w:r>
              <w:rPr>
                <w:rFonts w:hint="eastAsia"/>
              </w:rPr>
              <w:t>重庆能投长寿经开区售电有限公司</w:t>
            </w:r>
          </w:p>
        </w:tc>
        <w:tc>
          <w:tcPr>
            <w:tcW w:w="5063" w:type="dxa"/>
            <w:tcBorders>
              <w:top w:val="single" w:sz="4" w:space="0" w:color="auto"/>
              <w:left w:val="single" w:sz="4" w:space="0" w:color="auto"/>
              <w:bottom w:val="single" w:sz="4" w:space="0" w:color="auto"/>
              <w:right w:val="single" w:sz="4" w:space="0" w:color="auto"/>
            </w:tcBorders>
          </w:tcPr>
          <w:p w14:paraId="7B609F94" w14:textId="77777777" w:rsidR="00577D08" w:rsidRDefault="00330FC0">
            <w:r>
              <w:rPr>
                <w:rFonts w:hint="eastAsia"/>
              </w:rPr>
              <w:t>联营企业</w:t>
            </w:r>
          </w:p>
        </w:tc>
      </w:tr>
      <w:tr w:rsidR="00577D08" w14:paraId="1AE09C3A" w14:textId="77777777">
        <w:trPr>
          <w:trHeight w:val="250"/>
        </w:trPr>
        <w:tc>
          <w:tcPr>
            <w:tcW w:w="3985" w:type="dxa"/>
            <w:tcBorders>
              <w:top w:val="single" w:sz="4" w:space="0" w:color="auto"/>
              <w:left w:val="single" w:sz="4" w:space="0" w:color="auto"/>
              <w:bottom w:val="single" w:sz="4" w:space="0" w:color="auto"/>
              <w:right w:val="single" w:sz="4" w:space="0" w:color="auto"/>
            </w:tcBorders>
          </w:tcPr>
          <w:p w14:paraId="0670FA0D" w14:textId="77777777" w:rsidR="00577D08" w:rsidRDefault="00330FC0">
            <w:r>
              <w:rPr>
                <w:rFonts w:hint="eastAsia"/>
              </w:rPr>
              <w:t>深圳南海电气科技有限公司</w:t>
            </w:r>
          </w:p>
        </w:tc>
        <w:tc>
          <w:tcPr>
            <w:tcW w:w="5063" w:type="dxa"/>
            <w:tcBorders>
              <w:top w:val="single" w:sz="4" w:space="0" w:color="auto"/>
              <w:left w:val="single" w:sz="4" w:space="0" w:color="auto"/>
              <w:bottom w:val="single" w:sz="4" w:space="0" w:color="auto"/>
              <w:right w:val="single" w:sz="4" w:space="0" w:color="auto"/>
            </w:tcBorders>
          </w:tcPr>
          <w:p w14:paraId="3735829D" w14:textId="77777777" w:rsidR="00577D08" w:rsidRDefault="00330FC0">
            <w:r>
              <w:rPr>
                <w:rFonts w:hint="eastAsia"/>
              </w:rPr>
              <w:t>联营企业</w:t>
            </w:r>
          </w:p>
        </w:tc>
      </w:tr>
    </w:tbl>
    <w:p w14:paraId="35D612B8" w14:textId="77777777" w:rsidR="00577D08" w:rsidRDefault="00330FC0">
      <w:pPr>
        <w:tabs>
          <w:tab w:val="left" w:pos="1134"/>
        </w:tabs>
        <w:rPr>
          <w:rFonts w:cs="Cambria"/>
        </w:rPr>
      </w:pPr>
      <w:r>
        <w:rPr>
          <w:rFonts w:cs="Cambria" w:hint="eastAsia"/>
        </w:rPr>
        <w:t>其他说明：</w:t>
      </w:r>
    </w:p>
    <w:sdt>
      <w:sdtPr>
        <w:rPr>
          <w:rFonts w:cs="Cambria"/>
        </w:rPr>
        <w:alias w:val="是否适用：存在关联方交易或余额的合营和联营企业情况说明[双击切换]"/>
        <w:tag w:val="_GBC_491f62bb76ba49c482a64272865cc4a1"/>
        <w:id w:val="-184833687"/>
        <w:placeholder>
          <w:docPart w:val="GBC22222222222222222222222222222"/>
        </w:placeholder>
      </w:sdtPr>
      <w:sdtContent>
        <w:p w14:paraId="7098F8C7" w14:textId="77777777" w:rsidR="00577D08" w:rsidRDefault="00330FC0">
          <w:pPr>
            <w:tabs>
              <w:tab w:val="left" w:pos="1134"/>
            </w:tabs>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378CE5A0" w14:textId="77777777" w:rsidR="00577D08" w:rsidRDefault="00330FC0">
      <w:pPr>
        <w:pStyle w:val="3"/>
        <w:numPr>
          <w:ilvl w:val="0"/>
          <w:numId w:val="114"/>
        </w:numPr>
      </w:pPr>
      <w:r>
        <w:rPr>
          <w:rFonts w:hint="eastAsia"/>
        </w:rPr>
        <w:t>其他关联方情况</w:t>
      </w:r>
    </w:p>
    <w:sdt>
      <w:sdtPr>
        <w:alias w:val="是否适用：其他关联方情况[双击切换]"/>
        <w:tag w:val="_GBC_42246b4c04fc4462b5fb05a5db67f4d0"/>
        <w:id w:val="-440300397"/>
        <w:placeholder>
          <w:docPart w:val="GBC22222222222222222222222222222"/>
        </w:placeholder>
      </w:sdtPr>
      <w:sdtContent>
        <w:p w14:paraId="3352045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7"/>
        <w:gridCol w:w="5071"/>
      </w:tblGrid>
      <w:tr w:rsidR="00577D08" w14:paraId="7BDACAE0" w14:textId="77777777">
        <w:trPr>
          <w:trHeight w:val="267"/>
        </w:trPr>
        <w:sdt>
          <w:sdtPr>
            <w:tag w:val="_PLD_36db3e8c12e04d279b0c2956ad69d8a6"/>
            <w:id w:val="1112469206"/>
          </w:sdtPr>
          <w:sdtContent>
            <w:tc>
              <w:tcPr>
                <w:tcW w:w="3977" w:type="dxa"/>
                <w:tcBorders>
                  <w:top w:val="single" w:sz="4" w:space="0" w:color="auto"/>
                  <w:left w:val="single" w:sz="4" w:space="0" w:color="auto"/>
                  <w:bottom w:val="single" w:sz="4" w:space="0" w:color="auto"/>
                  <w:right w:val="single" w:sz="4" w:space="0" w:color="auto"/>
                </w:tcBorders>
                <w:vAlign w:val="center"/>
              </w:tcPr>
              <w:p w14:paraId="6C7E4A6F" w14:textId="77777777" w:rsidR="00577D08" w:rsidRDefault="00330FC0">
                <w:pPr>
                  <w:jc w:val="center"/>
                  <w:rPr>
                    <w:rFonts w:cs="Cambria"/>
                  </w:rPr>
                </w:pPr>
                <w:r>
                  <w:rPr>
                    <w:rFonts w:cs="Cambria" w:hint="eastAsia"/>
                  </w:rPr>
                  <w:t>其他关联方名称</w:t>
                </w:r>
              </w:p>
            </w:tc>
          </w:sdtContent>
        </w:sdt>
        <w:sdt>
          <w:sdtPr>
            <w:tag w:val="_PLD_b851a2cc9280416290b9ebf815c49236"/>
            <w:id w:val="-429819697"/>
          </w:sdtPr>
          <w:sdtContent>
            <w:tc>
              <w:tcPr>
                <w:tcW w:w="5071" w:type="dxa"/>
                <w:tcBorders>
                  <w:top w:val="single" w:sz="4" w:space="0" w:color="auto"/>
                  <w:left w:val="single" w:sz="4" w:space="0" w:color="auto"/>
                  <w:bottom w:val="single" w:sz="4" w:space="0" w:color="auto"/>
                  <w:right w:val="single" w:sz="4" w:space="0" w:color="auto"/>
                </w:tcBorders>
                <w:vAlign w:val="center"/>
              </w:tcPr>
              <w:p w14:paraId="43FA7EAF" w14:textId="77777777" w:rsidR="00577D08" w:rsidRDefault="00330FC0">
                <w:pPr>
                  <w:jc w:val="center"/>
                  <w:rPr>
                    <w:rFonts w:cs="Cambria"/>
                  </w:rPr>
                </w:pPr>
                <w:r>
                  <w:rPr>
                    <w:rFonts w:cs="Cambria" w:hint="eastAsia"/>
                  </w:rPr>
                  <w:t>其他关联方与本企业关系</w:t>
                </w:r>
              </w:p>
            </w:tc>
          </w:sdtContent>
        </w:sdt>
      </w:tr>
      <w:tr w:rsidR="00577D08" w14:paraId="65D78355"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13A5E246" w14:textId="77777777" w:rsidR="00577D08" w:rsidRDefault="00330FC0">
            <w:pPr>
              <w:jc w:val="both"/>
              <w:rPr>
                <w:rFonts w:cs="Cambria"/>
              </w:rPr>
            </w:pPr>
            <w:r>
              <w:rPr>
                <w:rFonts w:hint="eastAsia"/>
              </w:rPr>
              <w:t>四川明珠电工材料有限责任公司</w:t>
            </w:r>
          </w:p>
        </w:tc>
        <w:tc>
          <w:tcPr>
            <w:tcW w:w="5071" w:type="dxa"/>
            <w:tcBorders>
              <w:top w:val="single" w:sz="4" w:space="0" w:color="auto"/>
              <w:left w:val="single" w:sz="4" w:space="0" w:color="auto"/>
              <w:bottom w:val="single" w:sz="4" w:space="0" w:color="auto"/>
              <w:right w:val="single" w:sz="4" w:space="0" w:color="auto"/>
            </w:tcBorders>
          </w:tcPr>
          <w:p w14:paraId="5DE6444F" w14:textId="77777777" w:rsidR="00577D08" w:rsidRDefault="00330FC0">
            <w:pPr>
              <w:rPr>
                <w:rFonts w:cs="Cambria"/>
              </w:rPr>
            </w:pPr>
            <w:r>
              <w:rPr>
                <w:rFonts w:cs="Cambria" w:hint="eastAsia"/>
              </w:rPr>
              <w:t>公司股东夏强（持有公司</w:t>
            </w:r>
            <w:r>
              <w:rPr>
                <w:rFonts w:cs="Cambria" w:hint="eastAsia"/>
              </w:rPr>
              <w:t>102.2</w:t>
            </w:r>
            <w:r>
              <w:rPr>
                <w:rFonts w:cs="Cambria" w:hint="eastAsia"/>
              </w:rPr>
              <w:t>万股股票，占公司股份总数的</w:t>
            </w:r>
            <w:r>
              <w:rPr>
                <w:rFonts w:cs="Cambria" w:hint="eastAsia"/>
              </w:rPr>
              <w:t>0.31%</w:t>
            </w:r>
            <w:r>
              <w:rPr>
                <w:rFonts w:cs="Cambria" w:hint="eastAsia"/>
              </w:rPr>
              <w:t>）持股</w:t>
            </w:r>
            <w:r>
              <w:rPr>
                <w:rFonts w:cs="Cambria" w:hint="eastAsia"/>
              </w:rPr>
              <w:t>51%</w:t>
            </w:r>
            <w:r>
              <w:rPr>
                <w:rFonts w:cs="Cambria" w:hint="eastAsia"/>
              </w:rPr>
              <w:t>并担任执行董事兼经理</w:t>
            </w:r>
          </w:p>
        </w:tc>
      </w:tr>
      <w:tr w:rsidR="00577D08" w14:paraId="3B30C5A2"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17D63EA8" w14:textId="77777777" w:rsidR="00577D08" w:rsidRDefault="00330FC0">
            <w:pPr>
              <w:jc w:val="both"/>
            </w:pPr>
            <w:r>
              <w:rPr>
                <w:rFonts w:hint="eastAsia"/>
              </w:rPr>
              <w:t>黔南都能开发有限公司</w:t>
            </w:r>
          </w:p>
        </w:tc>
        <w:tc>
          <w:tcPr>
            <w:tcW w:w="5071" w:type="dxa"/>
            <w:tcBorders>
              <w:top w:val="single" w:sz="4" w:space="0" w:color="auto"/>
              <w:left w:val="single" w:sz="4" w:space="0" w:color="auto"/>
              <w:bottom w:val="single" w:sz="4" w:space="0" w:color="auto"/>
              <w:right w:val="single" w:sz="4" w:space="0" w:color="auto"/>
            </w:tcBorders>
          </w:tcPr>
          <w:p w14:paraId="112E604B" w14:textId="77777777" w:rsidR="00577D08" w:rsidRDefault="00330FC0">
            <w:r>
              <w:rPr>
                <w:rFonts w:hint="eastAsia"/>
              </w:rPr>
              <w:t>2023</w:t>
            </w:r>
            <w:r>
              <w:rPr>
                <w:rFonts w:hint="eastAsia"/>
              </w:rPr>
              <w:t>年</w:t>
            </w:r>
            <w:r>
              <w:rPr>
                <w:rFonts w:hint="eastAsia"/>
              </w:rPr>
              <w:t>9</w:t>
            </w:r>
            <w:r>
              <w:rPr>
                <w:rFonts w:hint="eastAsia"/>
              </w:rPr>
              <w:t>月前持有公司子公司黔南望江</w:t>
            </w:r>
            <w:r>
              <w:rPr>
                <w:rFonts w:hint="eastAsia"/>
              </w:rPr>
              <w:t>40%</w:t>
            </w:r>
            <w:r>
              <w:rPr>
                <w:rFonts w:hint="eastAsia"/>
              </w:rPr>
              <w:t>股权的股东</w:t>
            </w:r>
          </w:p>
        </w:tc>
      </w:tr>
      <w:tr w:rsidR="00577D08" w14:paraId="6D8E7934"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591AAE05" w14:textId="77777777" w:rsidR="00577D08" w:rsidRDefault="00330FC0">
            <w:pPr>
              <w:jc w:val="both"/>
            </w:pPr>
            <w:r>
              <w:rPr>
                <w:rFonts w:hint="eastAsia"/>
              </w:rPr>
              <w:t>福泉市金山电力开发有限责任公司</w:t>
            </w:r>
          </w:p>
        </w:tc>
        <w:tc>
          <w:tcPr>
            <w:tcW w:w="5071" w:type="dxa"/>
            <w:tcBorders>
              <w:top w:val="single" w:sz="4" w:space="0" w:color="auto"/>
              <w:left w:val="single" w:sz="4" w:space="0" w:color="auto"/>
              <w:bottom w:val="single" w:sz="4" w:space="0" w:color="auto"/>
              <w:right w:val="single" w:sz="4" w:space="0" w:color="auto"/>
            </w:tcBorders>
          </w:tcPr>
          <w:p w14:paraId="6F92CB4F" w14:textId="77777777" w:rsidR="00577D08" w:rsidRDefault="00330FC0">
            <w:r>
              <w:rPr>
                <w:rFonts w:hint="eastAsia"/>
              </w:rPr>
              <w:t>黔南都能开发有限公司子公司</w:t>
            </w:r>
          </w:p>
        </w:tc>
      </w:tr>
      <w:tr w:rsidR="00577D08" w14:paraId="514E8353" w14:textId="77777777">
        <w:trPr>
          <w:trHeight w:val="267"/>
        </w:trPr>
        <w:tc>
          <w:tcPr>
            <w:tcW w:w="3977" w:type="dxa"/>
            <w:tcBorders>
              <w:top w:val="single" w:sz="4" w:space="0" w:color="auto"/>
              <w:left w:val="single" w:sz="4" w:space="0" w:color="auto"/>
              <w:bottom w:val="single" w:sz="4" w:space="0" w:color="auto"/>
              <w:right w:val="single" w:sz="4" w:space="0" w:color="auto"/>
            </w:tcBorders>
            <w:vAlign w:val="center"/>
          </w:tcPr>
          <w:p w14:paraId="0DCCA220" w14:textId="77777777" w:rsidR="00577D08" w:rsidRDefault="00330FC0">
            <w:pPr>
              <w:jc w:val="both"/>
            </w:pPr>
            <w:r>
              <w:rPr>
                <w:rFonts w:hint="eastAsia"/>
              </w:rPr>
              <w:t>重庆圣耀电力工程有限责任公司</w:t>
            </w:r>
          </w:p>
        </w:tc>
        <w:tc>
          <w:tcPr>
            <w:tcW w:w="5071" w:type="dxa"/>
            <w:tcBorders>
              <w:top w:val="single" w:sz="4" w:space="0" w:color="auto"/>
              <w:left w:val="single" w:sz="4" w:space="0" w:color="auto"/>
              <w:bottom w:val="single" w:sz="4" w:space="0" w:color="auto"/>
              <w:right w:val="single" w:sz="4" w:space="0" w:color="auto"/>
            </w:tcBorders>
          </w:tcPr>
          <w:p w14:paraId="7E745E31" w14:textId="77777777" w:rsidR="00577D08" w:rsidRDefault="00330FC0">
            <w:r>
              <w:rPr>
                <w:rFonts w:hint="eastAsia"/>
              </w:rPr>
              <w:t>员工持股的公司</w:t>
            </w:r>
          </w:p>
        </w:tc>
      </w:tr>
    </w:tbl>
    <w:p w14:paraId="4C10D501" w14:textId="77777777" w:rsidR="00577D08" w:rsidRDefault="00330FC0">
      <w:pPr>
        <w:tabs>
          <w:tab w:val="left" w:pos="1134"/>
        </w:tabs>
        <w:rPr>
          <w:rFonts w:cs="Cambria"/>
        </w:rPr>
      </w:pPr>
      <w:r>
        <w:rPr>
          <w:rFonts w:cs="Cambria" w:hint="eastAsia"/>
        </w:rPr>
        <w:t>其他说明：</w:t>
      </w:r>
    </w:p>
    <w:sdt>
      <w:sdtPr>
        <w:rPr>
          <w:rFonts w:cs="Cambria"/>
        </w:rPr>
        <w:alias w:val="本企业的其他关联方情况的说明"/>
        <w:tag w:val="_GBC_117952daaba845fa964eb3e2e22e8fc5"/>
        <w:id w:val="706304775"/>
        <w:placeholder>
          <w:docPart w:val="GBC22222222222222222222222222222"/>
        </w:placeholder>
      </w:sdtPr>
      <w:sdtContent>
        <w:p w14:paraId="3CC856A3" w14:textId="77777777" w:rsidR="00577D08" w:rsidRDefault="00330FC0">
          <w:pPr>
            <w:tabs>
              <w:tab w:val="left" w:pos="1134"/>
            </w:tabs>
            <w:spacing w:line="360" w:lineRule="exact"/>
            <w:ind w:firstLineChars="200" w:firstLine="420"/>
            <w:rPr>
              <w:rFonts w:cs="Cambria"/>
            </w:rPr>
          </w:pPr>
          <w:r>
            <w:rPr>
              <w:rFonts w:cs="Cambria" w:hint="eastAsia"/>
            </w:rPr>
            <w:t>2023</w:t>
          </w:r>
          <w:r>
            <w:rPr>
              <w:rFonts w:cs="Cambria" w:hint="eastAsia"/>
            </w:rPr>
            <w:t>年</w:t>
          </w:r>
          <w:r>
            <w:rPr>
              <w:rFonts w:cs="Cambria" w:hint="eastAsia"/>
            </w:rPr>
            <w:t>8</w:t>
          </w:r>
          <w:r>
            <w:rPr>
              <w:rFonts w:cs="Cambria" w:hint="eastAsia"/>
            </w:rPr>
            <w:t>月，公司收购黔南都能开发有限公司持有的子公司黔南望江</w:t>
          </w:r>
          <w:r>
            <w:rPr>
              <w:rFonts w:cs="Cambria" w:hint="eastAsia"/>
            </w:rPr>
            <w:t>40%</w:t>
          </w:r>
          <w:r>
            <w:rPr>
              <w:rFonts w:cs="Cambria" w:hint="eastAsia"/>
            </w:rPr>
            <w:t>股权，自</w:t>
          </w:r>
          <w:r>
            <w:rPr>
              <w:rFonts w:cs="Cambria" w:hint="eastAsia"/>
            </w:rPr>
            <w:t>2024</w:t>
          </w:r>
          <w:r>
            <w:rPr>
              <w:rFonts w:cs="Cambria" w:hint="eastAsia"/>
            </w:rPr>
            <w:t>年</w:t>
          </w:r>
          <w:r>
            <w:rPr>
              <w:rFonts w:cs="Cambria" w:hint="eastAsia"/>
            </w:rPr>
            <w:t>9</w:t>
          </w:r>
          <w:r>
            <w:rPr>
              <w:rFonts w:cs="Cambria" w:hint="eastAsia"/>
            </w:rPr>
            <w:t>月</w:t>
          </w:r>
          <w:r>
            <w:rPr>
              <w:rFonts w:cs="Cambria" w:hint="eastAsia"/>
            </w:rPr>
            <w:t>1</w:t>
          </w:r>
          <w:r>
            <w:rPr>
              <w:rFonts w:cs="Cambria" w:hint="eastAsia"/>
            </w:rPr>
            <w:t>日起，黔南都能开发有限公司及其子公司不再作为本公司关联方。</w:t>
          </w:r>
        </w:p>
      </w:sdtContent>
    </w:sdt>
    <w:p w14:paraId="6CB08BCC" w14:textId="77777777" w:rsidR="00577D08" w:rsidRDefault="00330FC0">
      <w:pPr>
        <w:pStyle w:val="3"/>
        <w:numPr>
          <w:ilvl w:val="0"/>
          <w:numId w:val="114"/>
        </w:numPr>
      </w:pPr>
      <w:r>
        <w:rPr>
          <w:rFonts w:hint="eastAsia"/>
        </w:rPr>
        <w:t>关联交易情况</w:t>
      </w:r>
    </w:p>
    <w:p w14:paraId="4BEFF01E" w14:textId="77777777" w:rsidR="00577D08" w:rsidRDefault="00330FC0">
      <w:pPr>
        <w:pStyle w:val="4"/>
        <w:numPr>
          <w:ilvl w:val="3"/>
          <w:numId w:val="115"/>
        </w:numPr>
        <w:ind w:left="424" w:hangingChars="201" w:hanging="424"/>
        <w:rPr>
          <w:rFonts w:hint="eastAsia"/>
        </w:rPr>
      </w:pPr>
      <w:r>
        <w:rPr>
          <w:rFonts w:hint="eastAsia"/>
        </w:rPr>
        <w:t>购销商品、提供和接受劳务的关联交易</w:t>
      </w:r>
    </w:p>
    <w:p w14:paraId="4EDB9506" w14:textId="77777777" w:rsidR="00577D08" w:rsidRDefault="00330FC0">
      <w:r>
        <w:rPr>
          <w:rFonts w:hint="eastAsia"/>
        </w:rPr>
        <w:t>采购商品</w:t>
      </w:r>
      <w:r>
        <w:rPr>
          <w:rFonts w:hint="eastAsia"/>
        </w:rPr>
        <w:t>/</w:t>
      </w:r>
      <w:r>
        <w:rPr>
          <w:rFonts w:hint="eastAsia"/>
        </w:rPr>
        <w:t>接受劳务情况表</w:t>
      </w:r>
    </w:p>
    <w:sdt>
      <w:sdtPr>
        <w:alias w:val="是否适用：采购商品或接受劳务情况表[双击切换]"/>
        <w:tag w:val="_GBC_c080653feddc4cf2a468adfbb755dff3"/>
        <w:id w:val="1947422108"/>
        <w:placeholder>
          <w:docPart w:val="GBC22222222222222222222222222222"/>
        </w:placeholder>
      </w:sdtPr>
      <w:sdtContent>
        <w:p w14:paraId="58F0F71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F454857" w14:textId="4207325F" w:rsidR="00577D08" w:rsidRDefault="00330FC0">
      <w:pPr>
        <w:jc w:val="right"/>
        <w:rPr>
          <w:rFonts w:cs="Cambria"/>
          <w:b/>
          <w:bCs/>
        </w:rPr>
      </w:pPr>
      <w:r>
        <w:rPr>
          <w:rFonts w:cs="Cambria" w:hint="eastAsia"/>
        </w:rPr>
        <w:t>单位：</w:t>
      </w:r>
      <w:sdt>
        <w:sdtPr>
          <w:rPr>
            <w:rFonts w:cs="Cambria" w:hint="eastAsia"/>
          </w:rPr>
          <w:alias w:val="单位：采购商品接受劳务情况表"/>
          <w:tag w:val="_GBC_60c7e55aaf24447a8a860810d4064a69"/>
          <w:id w:val="-11711023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rPr>
            <w:t>元</w:t>
          </w:r>
          <w:r w:rsidR="00CC5C32">
            <w:rPr>
              <w:rFonts w:cs="Cambria" w:hint="eastAsia"/>
            </w:rPr>
            <w:t xml:space="preserve"> </w:t>
          </w:r>
        </w:sdtContent>
      </w:sdt>
      <w:r>
        <w:rPr>
          <w:rFonts w:cs="Cambria" w:hint="eastAsia"/>
        </w:rPr>
        <w:t>币种：</w:t>
      </w:r>
      <w:sdt>
        <w:sdtPr>
          <w:rPr>
            <w:rFonts w:cs="Cambria" w:hint="eastAsia"/>
          </w:rPr>
          <w:alias w:val="币种：采购商品接受劳务情况表"/>
          <w:tag w:val="_GBC_18feeecfa5c34459a62da7de5d6b5a90"/>
          <w:id w:val="12375093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2"/>
        <w:gridCol w:w="1236"/>
        <w:gridCol w:w="1433"/>
        <w:gridCol w:w="1496"/>
        <w:gridCol w:w="1585"/>
        <w:gridCol w:w="1431"/>
      </w:tblGrid>
      <w:tr w:rsidR="00577D08" w14:paraId="042E4EEF" w14:textId="77777777">
        <w:trPr>
          <w:cantSplit/>
          <w:trHeight w:val="295"/>
        </w:trPr>
        <w:sdt>
          <w:sdtPr>
            <w:tag w:val="_PLD_ed4fd195f176464f83eb8db1dbcbc443"/>
            <w:id w:val="-1883009012"/>
          </w:sdtPr>
          <w:sdtContent>
            <w:tc>
              <w:tcPr>
                <w:tcW w:w="930" w:type="pct"/>
                <w:tcBorders>
                  <w:top w:val="single" w:sz="4" w:space="0" w:color="auto"/>
                  <w:left w:val="single" w:sz="4" w:space="0" w:color="auto"/>
                  <w:bottom w:val="single" w:sz="4" w:space="0" w:color="auto"/>
                  <w:right w:val="single" w:sz="4" w:space="0" w:color="auto"/>
                </w:tcBorders>
                <w:vAlign w:val="center"/>
              </w:tcPr>
              <w:p w14:paraId="0FF4F08C" w14:textId="77777777" w:rsidR="00577D08" w:rsidRDefault="00330FC0">
                <w:pPr>
                  <w:jc w:val="center"/>
                  <w:rPr>
                    <w:rFonts w:cs="Cambria"/>
                  </w:rPr>
                </w:pPr>
                <w:r>
                  <w:rPr>
                    <w:rFonts w:cs="Cambria" w:hint="eastAsia"/>
                  </w:rPr>
                  <w:t>关联方</w:t>
                </w:r>
              </w:p>
            </w:tc>
          </w:sdtContent>
        </w:sdt>
        <w:sdt>
          <w:sdtPr>
            <w:tag w:val="_PLD_013e7578c973447da6bccdb1a3924d96"/>
            <w:id w:val="1750306222"/>
          </w:sdtPr>
          <w:sdtContent>
            <w:tc>
              <w:tcPr>
                <w:tcW w:w="700" w:type="pct"/>
                <w:tcBorders>
                  <w:top w:val="single" w:sz="4" w:space="0" w:color="auto"/>
                  <w:left w:val="single" w:sz="4" w:space="0" w:color="auto"/>
                  <w:bottom w:val="single" w:sz="4" w:space="0" w:color="auto"/>
                  <w:right w:val="single" w:sz="4" w:space="0" w:color="auto"/>
                </w:tcBorders>
                <w:vAlign w:val="center"/>
              </w:tcPr>
              <w:p w14:paraId="42BCF484" w14:textId="77777777" w:rsidR="00577D08" w:rsidRDefault="00330FC0">
                <w:pPr>
                  <w:jc w:val="center"/>
                  <w:rPr>
                    <w:rFonts w:cs="Cambria"/>
                  </w:rPr>
                </w:pPr>
                <w:r>
                  <w:rPr>
                    <w:rFonts w:cs="Cambria" w:hint="eastAsia"/>
                  </w:rPr>
                  <w:t>关联交易内容</w:t>
                </w:r>
              </w:p>
            </w:tc>
          </w:sdtContent>
        </w:sdt>
        <w:sdt>
          <w:sdtPr>
            <w:tag w:val="_PLD_6b54e09a146a4c34bba286909831c05b"/>
            <w:id w:val="-1358340346"/>
          </w:sdtPr>
          <w:sdtContent>
            <w:tc>
              <w:tcPr>
                <w:tcW w:w="812" w:type="pct"/>
                <w:tcBorders>
                  <w:top w:val="single" w:sz="4" w:space="0" w:color="auto"/>
                  <w:left w:val="single" w:sz="4" w:space="0" w:color="auto"/>
                  <w:right w:val="single" w:sz="4" w:space="0" w:color="auto"/>
                </w:tcBorders>
                <w:vAlign w:val="center"/>
              </w:tcPr>
              <w:p w14:paraId="65FD34A2" w14:textId="77777777" w:rsidR="00577D08" w:rsidRDefault="00330FC0">
                <w:pPr>
                  <w:jc w:val="center"/>
                  <w:rPr>
                    <w:rFonts w:cs="Cambria"/>
                  </w:rPr>
                </w:pPr>
                <w:r>
                  <w:rPr>
                    <w:rFonts w:cs="Cambria" w:hint="eastAsia"/>
                  </w:rPr>
                  <w:t>本期发生额</w:t>
                </w:r>
              </w:p>
            </w:tc>
          </w:sdtContent>
        </w:sdt>
        <w:sdt>
          <w:sdtPr>
            <w:tag w:val="_PLD_1309066cefbd4c94a1a0060831f53cca"/>
            <w:id w:val="-1090773712"/>
          </w:sdtPr>
          <w:sdtContent>
            <w:tc>
              <w:tcPr>
                <w:tcW w:w="848" w:type="pct"/>
                <w:tcBorders>
                  <w:top w:val="single" w:sz="4" w:space="0" w:color="auto"/>
                  <w:left w:val="single" w:sz="4" w:space="0" w:color="auto"/>
                  <w:right w:val="single" w:sz="4" w:space="0" w:color="auto"/>
                </w:tcBorders>
                <w:vAlign w:val="center"/>
              </w:tcPr>
              <w:p w14:paraId="3DD90C09" w14:textId="77777777" w:rsidR="00577D08" w:rsidRDefault="00330FC0">
                <w:pPr>
                  <w:jc w:val="center"/>
                </w:pPr>
                <w:r>
                  <w:rPr>
                    <w:rFonts w:hint="eastAsia"/>
                  </w:rPr>
                  <w:t>获批的交易额度（如适用）</w:t>
                </w:r>
              </w:p>
            </w:tc>
          </w:sdtContent>
        </w:sdt>
        <w:sdt>
          <w:sdtPr>
            <w:tag w:val="_PLD_a7f960b39a0c45d1b50eca9b6cfe12b8"/>
            <w:id w:val="42331981"/>
          </w:sdtPr>
          <w:sdtEndPr>
            <w:rPr>
              <w:rFonts w:hint="eastAsia"/>
            </w:rPr>
          </w:sdtEndPr>
          <w:sdtContent>
            <w:tc>
              <w:tcPr>
                <w:tcW w:w="898" w:type="pct"/>
                <w:tcBorders>
                  <w:top w:val="single" w:sz="4" w:space="0" w:color="auto"/>
                  <w:left w:val="single" w:sz="4" w:space="0" w:color="auto"/>
                  <w:right w:val="single" w:sz="4" w:space="0" w:color="auto"/>
                </w:tcBorders>
                <w:vAlign w:val="center"/>
              </w:tcPr>
              <w:p w14:paraId="4AAF7F4C" w14:textId="77777777" w:rsidR="00577D08" w:rsidRDefault="00330FC0">
                <w:pPr>
                  <w:jc w:val="center"/>
                </w:pPr>
                <w:r>
                  <w:t>是否超过交易额度</w:t>
                </w:r>
                <w:r>
                  <w:rPr>
                    <w:rFonts w:hint="eastAsia"/>
                  </w:rPr>
                  <w:t>（如适用）</w:t>
                </w:r>
              </w:p>
            </w:tc>
          </w:sdtContent>
        </w:sdt>
        <w:sdt>
          <w:sdtPr>
            <w:tag w:val="_PLD_9f856a67de3d45acbef7ccb12b35985d"/>
            <w:id w:val="-1209876032"/>
          </w:sdtPr>
          <w:sdtContent>
            <w:tc>
              <w:tcPr>
                <w:tcW w:w="811" w:type="pct"/>
                <w:tcBorders>
                  <w:top w:val="single" w:sz="4" w:space="0" w:color="auto"/>
                  <w:left w:val="single" w:sz="4" w:space="0" w:color="auto"/>
                  <w:right w:val="single" w:sz="4" w:space="0" w:color="auto"/>
                </w:tcBorders>
                <w:vAlign w:val="center"/>
              </w:tcPr>
              <w:p w14:paraId="49B37222" w14:textId="77777777" w:rsidR="00577D08" w:rsidRDefault="00330FC0">
                <w:pPr>
                  <w:jc w:val="center"/>
                  <w:rPr>
                    <w:rFonts w:cs="Cambria"/>
                  </w:rPr>
                </w:pPr>
                <w:r>
                  <w:rPr>
                    <w:rFonts w:cs="Cambria" w:hint="eastAsia"/>
                  </w:rPr>
                  <w:t>上期发生额</w:t>
                </w:r>
              </w:p>
            </w:tc>
          </w:sdtContent>
        </w:sdt>
      </w:tr>
      <w:tr w:rsidR="00577D08" w14:paraId="0BDA4D0A" w14:textId="77777777">
        <w:trPr>
          <w:cantSplit/>
        </w:trPr>
        <w:tc>
          <w:tcPr>
            <w:tcW w:w="930" w:type="pct"/>
            <w:tcBorders>
              <w:top w:val="single" w:sz="4" w:space="0" w:color="auto"/>
              <w:left w:val="single" w:sz="4" w:space="0" w:color="auto"/>
              <w:bottom w:val="single" w:sz="4" w:space="0" w:color="auto"/>
              <w:right w:val="single" w:sz="4" w:space="0" w:color="auto"/>
            </w:tcBorders>
          </w:tcPr>
          <w:p w14:paraId="7F96CC5C" w14:textId="77777777" w:rsidR="00577D08" w:rsidRDefault="00330FC0">
            <w:bookmarkStart w:id="478" w:name="_Hlk40536931"/>
            <w:r>
              <w:rPr>
                <w:rFonts w:hint="eastAsia"/>
              </w:rPr>
              <w:t>四川明珠电工材料有限责任公司</w:t>
            </w:r>
          </w:p>
        </w:tc>
        <w:tc>
          <w:tcPr>
            <w:tcW w:w="700" w:type="pct"/>
            <w:tcBorders>
              <w:top w:val="single" w:sz="4" w:space="0" w:color="auto"/>
              <w:left w:val="single" w:sz="4" w:space="0" w:color="auto"/>
              <w:bottom w:val="single" w:sz="4" w:space="0" w:color="auto"/>
              <w:right w:val="single" w:sz="4" w:space="0" w:color="auto"/>
            </w:tcBorders>
            <w:vAlign w:val="center"/>
          </w:tcPr>
          <w:p w14:paraId="572AE5B3" w14:textId="77777777" w:rsidR="00577D08" w:rsidRDefault="00330FC0">
            <w:pPr>
              <w:jc w:val="both"/>
            </w:pPr>
            <w:r>
              <w:rPr>
                <w:rFonts w:hint="eastAsia"/>
              </w:rPr>
              <w:t>铜材等</w:t>
            </w:r>
          </w:p>
        </w:tc>
        <w:tc>
          <w:tcPr>
            <w:tcW w:w="812" w:type="pct"/>
            <w:tcBorders>
              <w:top w:val="single" w:sz="4" w:space="0" w:color="auto"/>
              <w:left w:val="single" w:sz="4" w:space="0" w:color="auto"/>
              <w:bottom w:val="single" w:sz="4" w:space="0" w:color="auto"/>
              <w:right w:val="single" w:sz="4" w:space="0" w:color="auto"/>
            </w:tcBorders>
            <w:vAlign w:val="center"/>
          </w:tcPr>
          <w:p w14:paraId="23BADCAB" w14:textId="77777777" w:rsidR="00577D08" w:rsidRDefault="00330FC0">
            <w:pPr>
              <w:jc w:val="right"/>
            </w:pPr>
            <w:r>
              <w:t>60,560,815.00</w:t>
            </w:r>
          </w:p>
        </w:tc>
        <w:tc>
          <w:tcPr>
            <w:tcW w:w="848" w:type="pct"/>
            <w:tcBorders>
              <w:top w:val="single" w:sz="4" w:space="0" w:color="auto"/>
              <w:left w:val="single" w:sz="4" w:space="0" w:color="auto"/>
              <w:bottom w:val="single" w:sz="4" w:space="0" w:color="auto"/>
              <w:right w:val="single" w:sz="4" w:space="0" w:color="auto"/>
            </w:tcBorders>
            <w:vAlign w:val="center"/>
          </w:tcPr>
          <w:p w14:paraId="52B06164" w14:textId="77777777" w:rsidR="00577D08" w:rsidRDefault="00577D08">
            <w:pPr>
              <w:jc w:val="right"/>
            </w:pPr>
          </w:p>
        </w:tc>
        <w:tc>
          <w:tcPr>
            <w:tcW w:w="898" w:type="pct"/>
            <w:tcBorders>
              <w:top w:val="single" w:sz="4" w:space="0" w:color="auto"/>
              <w:left w:val="single" w:sz="4" w:space="0" w:color="auto"/>
              <w:bottom w:val="single" w:sz="4" w:space="0" w:color="auto"/>
              <w:right w:val="single" w:sz="4" w:space="0" w:color="auto"/>
            </w:tcBorders>
            <w:vAlign w:val="center"/>
          </w:tcPr>
          <w:p w14:paraId="539507ED" w14:textId="77777777" w:rsidR="00577D08" w:rsidRDefault="00577D08">
            <w:pPr>
              <w:jc w:val="right"/>
            </w:pPr>
          </w:p>
        </w:tc>
        <w:tc>
          <w:tcPr>
            <w:tcW w:w="811" w:type="pct"/>
            <w:tcBorders>
              <w:top w:val="single" w:sz="4" w:space="0" w:color="auto"/>
              <w:left w:val="single" w:sz="4" w:space="0" w:color="auto"/>
              <w:bottom w:val="single" w:sz="4" w:space="0" w:color="auto"/>
              <w:right w:val="single" w:sz="4" w:space="0" w:color="auto"/>
            </w:tcBorders>
            <w:vAlign w:val="center"/>
          </w:tcPr>
          <w:p w14:paraId="175DFDB2" w14:textId="77777777" w:rsidR="00577D08" w:rsidRDefault="00330FC0">
            <w:pPr>
              <w:jc w:val="right"/>
            </w:pPr>
            <w:r>
              <w:t>64,623,323.55</w:t>
            </w:r>
          </w:p>
        </w:tc>
      </w:tr>
      <w:tr w:rsidR="00577D08" w14:paraId="4499695C" w14:textId="77777777">
        <w:trPr>
          <w:cantSplit/>
        </w:trPr>
        <w:tc>
          <w:tcPr>
            <w:tcW w:w="930" w:type="pct"/>
            <w:tcBorders>
              <w:top w:val="single" w:sz="4" w:space="0" w:color="auto"/>
              <w:left w:val="single" w:sz="4" w:space="0" w:color="auto"/>
              <w:bottom w:val="single" w:sz="4" w:space="0" w:color="auto"/>
              <w:right w:val="single" w:sz="4" w:space="0" w:color="auto"/>
            </w:tcBorders>
          </w:tcPr>
          <w:p w14:paraId="50CA3506" w14:textId="77777777" w:rsidR="00577D08" w:rsidRDefault="00330FC0">
            <w:r>
              <w:rPr>
                <w:rFonts w:hint="eastAsia"/>
              </w:rPr>
              <w:t>重庆能投长寿经开区售电有限公司</w:t>
            </w:r>
          </w:p>
        </w:tc>
        <w:tc>
          <w:tcPr>
            <w:tcW w:w="700" w:type="pct"/>
            <w:tcBorders>
              <w:top w:val="single" w:sz="4" w:space="0" w:color="auto"/>
              <w:left w:val="single" w:sz="4" w:space="0" w:color="auto"/>
              <w:bottom w:val="single" w:sz="4" w:space="0" w:color="auto"/>
              <w:right w:val="single" w:sz="4" w:space="0" w:color="auto"/>
            </w:tcBorders>
            <w:vAlign w:val="center"/>
          </w:tcPr>
          <w:p w14:paraId="78611073" w14:textId="77777777" w:rsidR="00577D08" w:rsidRDefault="00330FC0">
            <w:pPr>
              <w:jc w:val="both"/>
            </w:pPr>
            <w:r>
              <w:rPr>
                <w:rFonts w:hint="eastAsia"/>
              </w:rPr>
              <w:t>充电服务等</w:t>
            </w:r>
          </w:p>
        </w:tc>
        <w:tc>
          <w:tcPr>
            <w:tcW w:w="812" w:type="pct"/>
            <w:tcBorders>
              <w:top w:val="single" w:sz="4" w:space="0" w:color="auto"/>
              <w:left w:val="single" w:sz="4" w:space="0" w:color="auto"/>
              <w:bottom w:val="single" w:sz="4" w:space="0" w:color="auto"/>
              <w:right w:val="single" w:sz="4" w:space="0" w:color="auto"/>
            </w:tcBorders>
            <w:vAlign w:val="center"/>
          </w:tcPr>
          <w:p w14:paraId="3EC113D9" w14:textId="77777777" w:rsidR="00577D08" w:rsidRDefault="00330FC0">
            <w:pPr>
              <w:jc w:val="right"/>
            </w:pPr>
            <w:r>
              <w:t>20,353.99</w:t>
            </w:r>
          </w:p>
        </w:tc>
        <w:tc>
          <w:tcPr>
            <w:tcW w:w="848" w:type="pct"/>
            <w:tcBorders>
              <w:top w:val="single" w:sz="4" w:space="0" w:color="auto"/>
              <w:left w:val="single" w:sz="4" w:space="0" w:color="auto"/>
              <w:bottom w:val="single" w:sz="4" w:space="0" w:color="auto"/>
              <w:right w:val="single" w:sz="4" w:space="0" w:color="auto"/>
            </w:tcBorders>
            <w:vAlign w:val="center"/>
          </w:tcPr>
          <w:p w14:paraId="10234048" w14:textId="77777777" w:rsidR="00577D08" w:rsidRDefault="00577D08">
            <w:pPr>
              <w:jc w:val="right"/>
            </w:pPr>
          </w:p>
        </w:tc>
        <w:tc>
          <w:tcPr>
            <w:tcW w:w="898" w:type="pct"/>
            <w:tcBorders>
              <w:top w:val="single" w:sz="4" w:space="0" w:color="auto"/>
              <w:left w:val="single" w:sz="4" w:space="0" w:color="auto"/>
              <w:bottom w:val="single" w:sz="4" w:space="0" w:color="auto"/>
              <w:right w:val="single" w:sz="4" w:space="0" w:color="auto"/>
            </w:tcBorders>
            <w:vAlign w:val="center"/>
          </w:tcPr>
          <w:p w14:paraId="3365B278" w14:textId="77777777" w:rsidR="00577D08" w:rsidRDefault="00577D08">
            <w:pPr>
              <w:jc w:val="right"/>
            </w:pPr>
          </w:p>
        </w:tc>
        <w:tc>
          <w:tcPr>
            <w:tcW w:w="811" w:type="pct"/>
            <w:tcBorders>
              <w:top w:val="single" w:sz="4" w:space="0" w:color="auto"/>
              <w:left w:val="single" w:sz="4" w:space="0" w:color="auto"/>
              <w:bottom w:val="single" w:sz="4" w:space="0" w:color="auto"/>
              <w:right w:val="single" w:sz="4" w:space="0" w:color="auto"/>
            </w:tcBorders>
            <w:vAlign w:val="center"/>
          </w:tcPr>
          <w:p w14:paraId="5F7C74CB" w14:textId="77777777" w:rsidR="00577D08" w:rsidRDefault="00330FC0">
            <w:pPr>
              <w:jc w:val="right"/>
            </w:pPr>
            <w:r>
              <w:t>17,159.29</w:t>
            </w:r>
          </w:p>
        </w:tc>
      </w:tr>
      <w:tr w:rsidR="00577D08" w14:paraId="41EC19F1" w14:textId="77777777">
        <w:trPr>
          <w:cantSplit/>
        </w:trPr>
        <w:tc>
          <w:tcPr>
            <w:tcW w:w="930" w:type="pct"/>
            <w:tcBorders>
              <w:top w:val="single" w:sz="4" w:space="0" w:color="auto"/>
              <w:left w:val="single" w:sz="4" w:space="0" w:color="auto"/>
              <w:bottom w:val="single" w:sz="4" w:space="0" w:color="auto"/>
              <w:right w:val="single" w:sz="4" w:space="0" w:color="auto"/>
            </w:tcBorders>
          </w:tcPr>
          <w:p w14:paraId="4C6BD18D" w14:textId="77777777" w:rsidR="00577D08" w:rsidRDefault="00330FC0">
            <w:r>
              <w:rPr>
                <w:rFonts w:hint="eastAsia"/>
              </w:rPr>
              <w:t>深圳南海电气科技有限公司</w:t>
            </w:r>
          </w:p>
        </w:tc>
        <w:tc>
          <w:tcPr>
            <w:tcW w:w="700" w:type="pct"/>
            <w:tcBorders>
              <w:top w:val="single" w:sz="4" w:space="0" w:color="auto"/>
              <w:left w:val="single" w:sz="4" w:space="0" w:color="auto"/>
              <w:bottom w:val="single" w:sz="4" w:space="0" w:color="auto"/>
              <w:right w:val="single" w:sz="4" w:space="0" w:color="auto"/>
            </w:tcBorders>
            <w:vAlign w:val="center"/>
          </w:tcPr>
          <w:p w14:paraId="5F52F3F9" w14:textId="77777777" w:rsidR="00577D08" w:rsidRDefault="00330FC0">
            <w:pPr>
              <w:jc w:val="both"/>
            </w:pPr>
            <w:r>
              <w:rPr>
                <w:rFonts w:hint="eastAsia"/>
              </w:rPr>
              <w:t>材料等</w:t>
            </w:r>
          </w:p>
        </w:tc>
        <w:tc>
          <w:tcPr>
            <w:tcW w:w="812" w:type="pct"/>
            <w:tcBorders>
              <w:top w:val="single" w:sz="4" w:space="0" w:color="auto"/>
              <w:left w:val="single" w:sz="4" w:space="0" w:color="auto"/>
              <w:bottom w:val="single" w:sz="4" w:space="0" w:color="auto"/>
              <w:right w:val="single" w:sz="4" w:space="0" w:color="auto"/>
            </w:tcBorders>
            <w:vAlign w:val="center"/>
          </w:tcPr>
          <w:p w14:paraId="0C668AED" w14:textId="77777777" w:rsidR="00577D08" w:rsidRDefault="00330FC0">
            <w:pPr>
              <w:jc w:val="right"/>
            </w:pPr>
            <w:r>
              <w:t>945,061.64</w:t>
            </w:r>
          </w:p>
        </w:tc>
        <w:tc>
          <w:tcPr>
            <w:tcW w:w="848" w:type="pct"/>
            <w:tcBorders>
              <w:top w:val="single" w:sz="4" w:space="0" w:color="auto"/>
              <w:left w:val="single" w:sz="4" w:space="0" w:color="auto"/>
              <w:bottom w:val="single" w:sz="4" w:space="0" w:color="auto"/>
              <w:right w:val="single" w:sz="4" w:space="0" w:color="auto"/>
            </w:tcBorders>
            <w:vAlign w:val="center"/>
          </w:tcPr>
          <w:p w14:paraId="54EC560D" w14:textId="77777777" w:rsidR="00577D08" w:rsidRDefault="00577D08">
            <w:pPr>
              <w:jc w:val="right"/>
            </w:pPr>
          </w:p>
        </w:tc>
        <w:tc>
          <w:tcPr>
            <w:tcW w:w="898" w:type="pct"/>
            <w:tcBorders>
              <w:top w:val="single" w:sz="4" w:space="0" w:color="auto"/>
              <w:left w:val="single" w:sz="4" w:space="0" w:color="auto"/>
              <w:bottom w:val="single" w:sz="4" w:space="0" w:color="auto"/>
              <w:right w:val="single" w:sz="4" w:space="0" w:color="auto"/>
            </w:tcBorders>
            <w:vAlign w:val="center"/>
          </w:tcPr>
          <w:p w14:paraId="09AE1428" w14:textId="77777777" w:rsidR="00577D08" w:rsidRDefault="00577D08">
            <w:pPr>
              <w:jc w:val="right"/>
            </w:pPr>
          </w:p>
        </w:tc>
        <w:tc>
          <w:tcPr>
            <w:tcW w:w="811" w:type="pct"/>
            <w:tcBorders>
              <w:top w:val="single" w:sz="4" w:space="0" w:color="auto"/>
              <w:left w:val="single" w:sz="4" w:space="0" w:color="auto"/>
              <w:bottom w:val="single" w:sz="4" w:space="0" w:color="auto"/>
              <w:right w:val="single" w:sz="4" w:space="0" w:color="auto"/>
            </w:tcBorders>
            <w:vAlign w:val="center"/>
          </w:tcPr>
          <w:p w14:paraId="7647F76D" w14:textId="77777777" w:rsidR="00577D08" w:rsidRDefault="00577D08">
            <w:pPr>
              <w:jc w:val="right"/>
            </w:pPr>
          </w:p>
        </w:tc>
      </w:tr>
      <w:tr w:rsidR="00577D08" w14:paraId="1E48C27F" w14:textId="77777777">
        <w:trPr>
          <w:cantSplit/>
        </w:trPr>
        <w:tc>
          <w:tcPr>
            <w:tcW w:w="930" w:type="pct"/>
            <w:tcBorders>
              <w:top w:val="single" w:sz="4" w:space="0" w:color="auto"/>
              <w:left w:val="single" w:sz="4" w:space="0" w:color="auto"/>
              <w:bottom w:val="single" w:sz="4" w:space="0" w:color="auto"/>
              <w:right w:val="single" w:sz="4" w:space="0" w:color="auto"/>
            </w:tcBorders>
          </w:tcPr>
          <w:p w14:paraId="19AC0A72" w14:textId="77777777" w:rsidR="00577D08" w:rsidRDefault="00330FC0">
            <w:r>
              <w:rPr>
                <w:rFonts w:hint="eastAsia"/>
              </w:rPr>
              <w:t>重庆圣耀电力工程有限责任公司</w:t>
            </w:r>
          </w:p>
        </w:tc>
        <w:tc>
          <w:tcPr>
            <w:tcW w:w="700" w:type="pct"/>
            <w:tcBorders>
              <w:top w:val="single" w:sz="4" w:space="0" w:color="auto"/>
              <w:left w:val="single" w:sz="4" w:space="0" w:color="auto"/>
              <w:bottom w:val="single" w:sz="4" w:space="0" w:color="auto"/>
              <w:right w:val="single" w:sz="4" w:space="0" w:color="auto"/>
            </w:tcBorders>
            <w:vAlign w:val="center"/>
          </w:tcPr>
          <w:p w14:paraId="78196D5C" w14:textId="77777777" w:rsidR="00577D08" w:rsidRDefault="00330FC0">
            <w:pPr>
              <w:jc w:val="both"/>
            </w:pPr>
            <w:r>
              <w:rPr>
                <w:rFonts w:hint="eastAsia"/>
              </w:rPr>
              <w:t>材料、电气工程服务</w:t>
            </w:r>
          </w:p>
        </w:tc>
        <w:tc>
          <w:tcPr>
            <w:tcW w:w="812" w:type="pct"/>
            <w:tcBorders>
              <w:top w:val="single" w:sz="4" w:space="0" w:color="auto"/>
              <w:left w:val="single" w:sz="4" w:space="0" w:color="auto"/>
              <w:bottom w:val="single" w:sz="4" w:space="0" w:color="auto"/>
              <w:right w:val="single" w:sz="4" w:space="0" w:color="auto"/>
            </w:tcBorders>
            <w:vAlign w:val="center"/>
          </w:tcPr>
          <w:p w14:paraId="02855A3C" w14:textId="77777777" w:rsidR="00577D08" w:rsidRDefault="00577D08">
            <w:pPr>
              <w:jc w:val="right"/>
            </w:pPr>
          </w:p>
        </w:tc>
        <w:tc>
          <w:tcPr>
            <w:tcW w:w="848" w:type="pct"/>
            <w:tcBorders>
              <w:top w:val="single" w:sz="4" w:space="0" w:color="auto"/>
              <w:left w:val="single" w:sz="4" w:space="0" w:color="auto"/>
              <w:bottom w:val="single" w:sz="4" w:space="0" w:color="auto"/>
              <w:right w:val="single" w:sz="4" w:space="0" w:color="auto"/>
            </w:tcBorders>
            <w:vAlign w:val="center"/>
          </w:tcPr>
          <w:p w14:paraId="50E3745B" w14:textId="77777777" w:rsidR="00577D08" w:rsidRDefault="00577D08">
            <w:pPr>
              <w:jc w:val="right"/>
            </w:pPr>
          </w:p>
        </w:tc>
        <w:tc>
          <w:tcPr>
            <w:tcW w:w="898" w:type="pct"/>
            <w:tcBorders>
              <w:top w:val="single" w:sz="4" w:space="0" w:color="auto"/>
              <w:left w:val="single" w:sz="4" w:space="0" w:color="auto"/>
              <w:bottom w:val="single" w:sz="4" w:space="0" w:color="auto"/>
              <w:right w:val="single" w:sz="4" w:space="0" w:color="auto"/>
            </w:tcBorders>
            <w:vAlign w:val="center"/>
          </w:tcPr>
          <w:p w14:paraId="40F3A89E" w14:textId="77777777" w:rsidR="00577D08" w:rsidRDefault="00577D08">
            <w:pPr>
              <w:jc w:val="right"/>
            </w:pPr>
          </w:p>
        </w:tc>
        <w:tc>
          <w:tcPr>
            <w:tcW w:w="811" w:type="pct"/>
            <w:tcBorders>
              <w:top w:val="single" w:sz="4" w:space="0" w:color="auto"/>
              <w:left w:val="single" w:sz="4" w:space="0" w:color="auto"/>
              <w:bottom w:val="single" w:sz="4" w:space="0" w:color="auto"/>
              <w:right w:val="single" w:sz="4" w:space="0" w:color="auto"/>
            </w:tcBorders>
            <w:vAlign w:val="center"/>
          </w:tcPr>
          <w:p w14:paraId="5E9892E8" w14:textId="77777777" w:rsidR="00577D08" w:rsidRDefault="00330FC0">
            <w:pPr>
              <w:jc w:val="right"/>
            </w:pPr>
            <w:r>
              <w:t>1,457,057.67</w:t>
            </w:r>
          </w:p>
        </w:tc>
      </w:tr>
      <w:tr w:rsidR="00577D08" w14:paraId="7DD54DF4" w14:textId="77777777">
        <w:trPr>
          <w:cantSplit/>
        </w:trPr>
        <w:tc>
          <w:tcPr>
            <w:tcW w:w="930" w:type="pct"/>
            <w:tcBorders>
              <w:top w:val="single" w:sz="4" w:space="0" w:color="auto"/>
              <w:left w:val="single" w:sz="4" w:space="0" w:color="auto"/>
              <w:bottom w:val="single" w:sz="4" w:space="0" w:color="auto"/>
              <w:right w:val="single" w:sz="4" w:space="0" w:color="auto"/>
            </w:tcBorders>
          </w:tcPr>
          <w:p w14:paraId="685A5169" w14:textId="77777777" w:rsidR="00577D08" w:rsidRDefault="00330FC0">
            <w:r>
              <w:rPr>
                <w:rFonts w:hint="eastAsia"/>
              </w:rPr>
              <w:t>合计</w:t>
            </w:r>
          </w:p>
        </w:tc>
        <w:tc>
          <w:tcPr>
            <w:tcW w:w="700" w:type="pct"/>
            <w:tcBorders>
              <w:top w:val="single" w:sz="4" w:space="0" w:color="auto"/>
              <w:left w:val="single" w:sz="4" w:space="0" w:color="auto"/>
              <w:bottom w:val="single" w:sz="4" w:space="0" w:color="auto"/>
              <w:right w:val="single" w:sz="4" w:space="0" w:color="auto"/>
            </w:tcBorders>
          </w:tcPr>
          <w:p w14:paraId="6BF209BA" w14:textId="77777777" w:rsidR="00577D08" w:rsidRDefault="00577D08"/>
        </w:tc>
        <w:tc>
          <w:tcPr>
            <w:tcW w:w="812" w:type="pct"/>
            <w:tcBorders>
              <w:top w:val="single" w:sz="4" w:space="0" w:color="auto"/>
              <w:left w:val="single" w:sz="4" w:space="0" w:color="auto"/>
              <w:bottom w:val="single" w:sz="4" w:space="0" w:color="auto"/>
              <w:right w:val="single" w:sz="4" w:space="0" w:color="auto"/>
            </w:tcBorders>
            <w:vAlign w:val="center"/>
          </w:tcPr>
          <w:p w14:paraId="3F6C0394" w14:textId="77777777" w:rsidR="00577D08" w:rsidRDefault="00330FC0">
            <w:pPr>
              <w:jc w:val="right"/>
            </w:pPr>
            <w:r>
              <w:t>61,526,230.63</w:t>
            </w:r>
          </w:p>
        </w:tc>
        <w:tc>
          <w:tcPr>
            <w:tcW w:w="848" w:type="pct"/>
            <w:tcBorders>
              <w:top w:val="single" w:sz="4" w:space="0" w:color="auto"/>
              <w:left w:val="single" w:sz="4" w:space="0" w:color="auto"/>
              <w:bottom w:val="single" w:sz="4" w:space="0" w:color="auto"/>
              <w:right w:val="single" w:sz="4" w:space="0" w:color="auto"/>
            </w:tcBorders>
            <w:vAlign w:val="center"/>
          </w:tcPr>
          <w:p w14:paraId="2DD22AE5" w14:textId="77777777" w:rsidR="00577D08" w:rsidRDefault="00577D08">
            <w:pPr>
              <w:jc w:val="right"/>
            </w:pPr>
          </w:p>
        </w:tc>
        <w:tc>
          <w:tcPr>
            <w:tcW w:w="898" w:type="pct"/>
            <w:tcBorders>
              <w:top w:val="single" w:sz="4" w:space="0" w:color="auto"/>
              <w:left w:val="single" w:sz="4" w:space="0" w:color="auto"/>
              <w:bottom w:val="single" w:sz="4" w:space="0" w:color="auto"/>
              <w:right w:val="single" w:sz="4" w:space="0" w:color="auto"/>
            </w:tcBorders>
            <w:vAlign w:val="center"/>
          </w:tcPr>
          <w:p w14:paraId="72C45CC5" w14:textId="77777777" w:rsidR="00577D08" w:rsidRDefault="00577D08">
            <w:pPr>
              <w:jc w:val="right"/>
            </w:pPr>
          </w:p>
        </w:tc>
        <w:tc>
          <w:tcPr>
            <w:tcW w:w="811" w:type="pct"/>
            <w:tcBorders>
              <w:top w:val="single" w:sz="4" w:space="0" w:color="auto"/>
              <w:left w:val="single" w:sz="4" w:space="0" w:color="auto"/>
              <w:bottom w:val="single" w:sz="4" w:space="0" w:color="auto"/>
              <w:right w:val="single" w:sz="4" w:space="0" w:color="auto"/>
            </w:tcBorders>
            <w:vAlign w:val="center"/>
          </w:tcPr>
          <w:p w14:paraId="7227D9A4" w14:textId="77777777" w:rsidR="00577D08" w:rsidRDefault="00330FC0">
            <w:pPr>
              <w:jc w:val="right"/>
            </w:pPr>
            <w:r>
              <w:t>66,097,540.51</w:t>
            </w:r>
          </w:p>
        </w:tc>
      </w:tr>
    </w:tbl>
    <w:bookmarkEnd w:id="478"/>
    <w:p w14:paraId="7B1C80B3" w14:textId="77777777" w:rsidR="00577D08" w:rsidRDefault="00330FC0">
      <w:pPr>
        <w:ind w:rightChars="-369" w:right="-775"/>
      </w:pPr>
      <w:r>
        <w:rPr>
          <w:rFonts w:hint="eastAsia"/>
        </w:rPr>
        <w:t>出售商品</w:t>
      </w:r>
      <w:r>
        <w:rPr>
          <w:rFonts w:hint="eastAsia"/>
        </w:rPr>
        <w:t>/</w:t>
      </w:r>
      <w:r>
        <w:rPr>
          <w:rFonts w:hint="eastAsia"/>
        </w:rPr>
        <w:t>提供劳务情况表</w:t>
      </w:r>
    </w:p>
    <w:sdt>
      <w:sdtPr>
        <w:alias w:val="是否适用：出售商品或提供劳务情况表[双击切换]"/>
        <w:tag w:val="_GBC_38804595ac014174a1f7bfa274a356d2"/>
        <w:id w:val="1771666800"/>
        <w:placeholder>
          <w:docPart w:val="GBC22222222222222222222222222222"/>
        </w:placeholder>
      </w:sdtPr>
      <w:sdtContent>
        <w:p w14:paraId="0F8244FF" w14:textId="77777777" w:rsidR="00577D08" w:rsidRDefault="00330FC0">
          <w:pPr>
            <w:ind w:rightChars="-369" w:right="-775"/>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39DA8C1" w14:textId="0BBC3B02" w:rsidR="00577D08" w:rsidRDefault="00330FC0">
      <w:pPr>
        <w:tabs>
          <w:tab w:val="left" w:pos="3870"/>
        </w:tabs>
        <w:jc w:val="right"/>
        <w:rPr>
          <w:rFonts w:cs="Cambria"/>
        </w:rPr>
      </w:pPr>
      <w:r>
        <w:t>单位</w:t>
      </w:r>
      <w:r>
        <w:rPr>
          <w:rFonts w:hint="eastAsia"/>
        </w:rPr>
        <w:t>：</w:t>
      </w:r>
      <w:sdt>
        <w:sdtPr>
          <w:alias w:val="单位：出售商品提供劳务情况表"/>
          <w:tag w:val="_GBC_74429e932533428390da29c9e567c1c8"/>
          <w:id w:val="-16906002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r w:rsidR="00CC5C32">
            <w:rPr>
              <w:rFonts w:hint="eastAsia"/>
            </w:rPr>
            <w:t xml:space="preserve"> </w:t>
          </w:r>
        </w:sdtContent>
      </w:sdt>
      <w:r>
        <w:t>币种：</w:t>
      </w:r>
      <w:sdt>
        <w:sdtPr>
          <w:alias w:val="币种：出售商品提供劳务情况表"/>
          <w:tag w:val="_GBC_4fc61a58f8e34c3c8024ea0b63c2bd2f"/>
          <w:id w:val="-20318602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90"/>
        <w:gridCol w:w="2191"/>
        <w:gridCol w:w="2227"/>
        <w:gridCol w:w="2229"/>
      </w:tblGrid>
      <w:tr w:rsidR="00577D08" w14:paraId="43D3BE91" w14:textId="77777777">
        <w:trPr>
          <w:cantSplit/>
          <w:trHeight w:val="273"/>
        </w:trPr>
        <w:sdt>
          <w:sdtPr>
            <w:tag w:val="_PLD_8f46d61b556c4e7e9874d48274581d06"/>
            <w:id w:val="1270050028"/>
          </w:sdtPr>
          <w:sdtContent>
            <w:tc>
              <w:tcPr>
                <w:tcW w:w="2390" w:type="dxa"/>
                <w:tcBorders>
                  <w:top w:val="single" w:sz="4" w:space="0" w:color="auto"/>
                  <w:left w:val="single" w:sz="4" w:space="0" w:color="auto"/>
                  <w:bottom w:val="single" w:sz="4" w:space="0" w:color="auto"/>
                  <w:right w:val="single" w:sz="4" w:space="0" w:color="auto"/>
                </w:tcBorders>
                <w:vAlign w:val="center"/>
              </w:tcPr>
              <w:p w14:paraId="225FBDD8" w14:textId="77777777" w:rsidR="00577D08" w:rsidRDefault="00330FC0">
                <w:pPr>
                  <w:jc w:val="center"/>
                  <w:rPr>
                    <w:rFonts w:cs="Cambria"/>
                  </w:rPr>
                </w:pPr>
                <w:r>
                  <w:rPr>
                    <w:rFonts w:cs="Cambria" w:hint="eastAsia"/>
                  </w:rPr>
                  <w:t>关联方</w:t>
                </w:r>
              </w:p>
            </w:tc>
          </w:sdtContent>
        </w:sdt>
        <w:sdt>
          <w:sdtPr>
            <w:tag w:val="_PLD_86c6996d2c00443589b89411b2b4bde3"/>
            <w:id w:val="-25868570"/>
          </w:sdtPr>
          <w:sdtContent>
            <w:tc>
              <w:tcPr>
                <w:tcW w:w="2191" w:type="dxa"/>
                <w:tcBorders>
                  <w:top w:val="single" w:sz="4" w:space="0" w:color="auto"/>
                  <w:left w:val="single" w:sz="4" w:space="0" w:color="auto"/>
                  <w:bottom w:val="single" w:sz="4" w:space="0" w:color="auto"/>
                  <w:right w:val="single" w:sz="4" w:space="0" w:color="auto"/>
                </w:tcBorders>
                <w:vAlign w:val="center"/>
              </w:tcPr>
              <w:p w14:paraId="4E02D71E" w14:textId="77777777" w:rsidR="00577D08" w:rsidRDefault="00330FC0">
                <w:pPr>
                  <w:jc w:val="center"/>
                  <w:rPr>
                    <w:rFonts w:cs="Cambria"/>
                  </w:rPr>
                </w:pPr>
                <w:r>
                  <w:rPr>
                    <w:rFonts w:cs="Cambria" w:hint="eastAsia"/>
                  </w:rPr>
                  <w:t>关联交易内容</w:t>
                </w:r>
              </w:p>
            </w:tc>
          </w:sdtContent>
        </w:sdt>
        <w:sdt>
          <w:sdtPr>
            <w:tag w:val="_PLD_52688fb5000a4ccb8c43276d58764eb4"/>
            <w:id w:val="778759169"/>
          </w:sdtPr>
          <w:sdtContent>
            <w:tc>
              <w:tcPr>
                <w:tcW w:w="2227" w:type="dxa"/>
                <w:tcBorders>
                  <w:top w:val="single" w:sz="4" w:space="0" w:color="auto"/>
                  <w:left w:val="single" w:sz="4" w:space="0" w:color="auto"/>
                  <w:right w:val="single" w:sz="4" w:space="0" w:color="auto"/>
                </w:tcBorders>
                <w:vAlign w:val="center"/>
              </w:tcPr>
              <w:p w14:paraId="5E0376F5" w14:textId="77777777" w:rsidR="00577D08" w:rsidRDefault="00330FC0">
                <w:pPr>
                  <w:jc w:val="center"/>
                  <w:rPr>
                    <w:rFonts w:cs="Cambria"/>
                  </w:rPr>
                </w:pPr>
                <w:r>
                  <w:rPr>
                    <w:rFonts w:cs="Cambria" w:hint="eastAsia"/>
                  </w:rPr>
                  <w:t>本期发生额</w:t>
                </w:r>
              </w:p>
            </w:tc>
          </w:sdtContent>
        </w:sdt>
        <w:sdt>
          <w:sdtPr>
            <w:tag w:val="_PLD_e0158fcec29a443ca9e08a44a2489407"/>
            <w:id w:val="1487583740"/>
          </w:sdtPr>
          <w:sdtContent>
            <w:tc>
              <w:tcPr>
                <w:tcW w:w="2229" w:type="dxa"/>
                <w:tcBorders>
                  <w:top w:val="single" w:sz="4" w:space="0" w:color="auto"/>
                  <w:left w:val="single" w:sz="4" w:space="0" w:color="auto"/>
                  <w:right w:val="single" w:sz="4" w:space="0" w:color="auto"/>
                </w:tcBorders>
                <w:vAlign w:val="center"/>
              </w:tcPr>
              <w:p w14:paraId="45F785C5" w14:textId="77777777" w:rsidR="00577D08" w:rsidRDefault="00330FC0">
                <w:pPr>
                  <w:jc w:val="center"/>
                  <w:rPr>
                    <w:rFonts w:cs="Cambria"/>
                  </w:rPr>
                </w:pPr>
                <w:r>
                  <w:rPr>
                    <w:rFonts w:cs="Cambria" w:hint="eastAsia"/>
                  </w:rPr>
                  <w:t>上期发生额</w:t>
                </w:r>
              </w:p>
            </w:tc>
          </w:sdtContent>
        </w:sdt>
      </w:tr>
      <w:tr w:rsidR="00577D08" w14:paraId="6014EA79" w14:textId="77777777">
        <w:trPr>
          <w:cantSplit/>
        </w:trPr>
        <w:tc>
          <w:tcPr>
            <w:tcW w:w="2390" w:type="dxa"/>
            <w:tcBorders>
              <w:top w:val="single" w:sz="4" w:space="0" w:color="auto"/>
              <w:left w:val="single" w:sz="4" w:space="0" w:color="auto"/>
              <w:bottom w:val="single" w:sz="4" w:space="0" w:color="auto"/>
              <w:right w:val="single" w:sz="4" w:space="0" w:color="auto"/>
            </w:tcBorders>
          </w:tcPr>
          <w:p w14:paraId="2D429F03" w14:textId="77777777" w:rsidR="00577D08" w:rsidRDefault="00330FC0">
            <w:r>
              <w:rPr>
                <w:rFonts w:hint="eastAsia"/>
              </w:rPr>
              <w:t>重庆能投长寿经开区售电有限公司</w:t>
            </w:r>
          </w:p>
        </w:tc>
        <w:tc>
          <w:tcPr>
            <w:tcW w:w="2191" w:type="dxa"/>
            <w:tcBorders>
              <w:top w:val="single" w:sz="4" w:space="0" w:color="auto"/>
              <w:left w:val="single" w:sz="4" w:space="0" w:color="auto"/>
              <w:bottom w:val="single" w:sz="4" w:space="0" w:color="auto"/>
              <w:right w:val="single" w:sz="4" w:space="0" w:color="auto"/>
            </w:tcBorders>
            <w:vAlign w:val="center"/>
          </w:tcPr>
          <w:p w14:paraId="6FDB03DD" w14:textId="77777777" w:rsidR="00577D08" w:rsidRDefault="00330FC0">
            <w:pPr>
              <w:jc w:val="both"/>
            </w:pPr>
            <w:r>
              <w:rPr>
                <w:rFonts w:hint="eastAsia"/>
              </w:rPr>
              <w:t>管理服务等</w:t>
            </w:r>
          </w:p>
        </w:tc>
        <w:tc>
          <w:tcPr>
            <w:tcW w:w="2227" w:type="dxa"/>
            <w:tcBorders>
              <w:top w:val="single" w:sz="4" w:space="0" w:color="auto"/>
              <w:left w:val="single" w:sz="4" w:space="0" w:color="auto"/>
              <w:bottom w:val="single" w:sz="4" w:space="0" w:color="auto"/>
              <w:right w:val="single" w:sz="4" w:space="0" w:color="auto"/>
            </w:tcBorders>
            <w:vAlign w:val="center"/>
          </w:tcPr>
          <w:p w14:paraId="403023F4" w14:textId="77777777" w:rsidR="00577D08" w:rsidRDefault="00330FC0">
            <w:pPr>
              <w:jc w:val="right"/>
            </w:pPr>
            <w:r>
              <w:rPr>
                <w:rFonts w:hint="eastAsia"/>
              </w:rPr>
              <w:t>341,040.38</w:t>
            </w:r>
          </w:p>
        </w:tc>
        <w:tc>
          <w:tcPr>
            <w:tcW w:w="2229" w:type="dxa"/>
            <w:tcBorders>
              <w:top w:val="single" w:sz="4" w:space="0" w:color="auto"/>
              <w:left w:val="single" w:sz="4" w:space="0" w:color="auto"/>
              <w:bottom w:val="single" w:sz="4" w:space="0" w:color="auto"/>
              <w:right w:val="single" w:sz="4" w:space="0" w:color="auto"/>
            </w:tcBorders>
            <w:vAlign w:val="center"/>
          </w:tcPr>
          <w:p w14:paraId="11E02C6C" w14:textId="77777777" w:rsidR="00577D08" w:rsidRDefault="00330FC0">
            <w:pPr>
              <w:jc w:val="right"/>
            </w:pPr>
            <w:r>
              <w:rPr>
                <w:rFonts w:hint="eastAsia"/>
              </w:rPr>
              <w:t>435,734.30</w:t>
            </w:r>
          </w:p>
        </w:tc>
      </w:tr>
      <w:tr w:rsidR="00577D08" w14:paraId="20A6D3CF" w14:textId="77777777">
        <w:trPr>
          <w:cantSplit/>
        </w:trPr>
        <w:tc>
          <w:tcPr>
            <w:tcW w:w="2390" w:type="dxa"/>
            <w:tcBorders>
              <w:top w:val="single" w:sz="4" w:space="0" w:color="auto"/>
              <w:left w:val="single" w:sz="4" w:space="0" w:color="auto"/>
              <w:bottom w:val="single" w:sz="4" w:space="0" w:color="auto"/>
              <w:right w:val="single" w:sz="4" w:space="0" w:color="auto"/>
            </w:tcBorders>
          </w:tcPr>
          <w:p w14:paraId="1D74097D" w14:textId="77777777" w:rsidR="00577D08" w:rsidRDefault="00330FC0">
            <w:r>
              <w:rPr>
                <w:rFonts w:hint="eastAsia"/>
              </w:rPr>
              <w:t>福泉市金山电力开发有限责任公司</w:t>
            </w:r>
          </w:p>
        </w:tc>
        <w:tc>
          <w:tcPr>
            <w:tcW w:w="2191" w:type="dxa"/>
            <w:tcBorders>
              <w:top w:val="single" w:sz="4" w:space="0" w:color="auto"/>
              <w:left w:val="single" w:sz="4" w:space="0" w:color="auto"/>
              <w:bottom w:val="single" w:sz="4" w:space="0" w:color="auto"/>
              <w:right w:val="single" w:sz="4" w:space="0" w:color="auto"/>
            </w:tcBorders>
            <w:vAlign w:val="center"/>
          </w:tcPr>
          <w:p w14:paraId="079CB89C" w14:textId="77777777" w:rsidR="00577D08" w:rsidRDefault="00330FC0">
            <w:pPr>
              <w:jc w:val="both"/>
            </w:pPr>
            <w:r>
              <w:rPr>
                <w:rFonts w:hint="eastAsia"/>
              </w:rPr>
              <w:t>输配电及控制设备</w:t>
            </w:r>
          </w:p>
        </w:tc>
        <w:tc>
          <w:tcPr>
            <w:tcW w:w="2227" w:type="dxa"/>
            <w:tcBorders>
              <w:top w:val="single" w:sz="4" w:space="0" w:color="auto"/>
              <w:left w:val="single" w:sz="4" w:space="0" w:color="auto"/>
              <w:bottom w:val="single" w:sz="4" w:space="0" w:color="auto"/>
              <w:right w:val="single" w:sz="4" w:space="0" w:color="auto"/>
            </w:tcBorders>
            <w:vAlign w:val="center"/>
          </w:tcPr>
          <w:p w14:paraId="2262F4FE" w14:textId="77777777" w:rsidR="00577D08" w:rsidRDefault="00577D08">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495D7037" w14:textId="77777777" w:rsidR="00577D08" w:rsidRDefault="00330FC0">
            <w:pPr>
              <w:jc w:val="right"/>
            </w:pPr>
            <w:r>
              <w:rPr>
                <w:rFonts w:hint="eastAsia"/>
              </w:rPr>
              <w:t>60,088.50</w:t>
            </w:r>
          </w:p>
        </w:tc>
      </w:tr>
      <w:tr w:rsidR="00577D08" w14:paraId="7526FB72" w14:textId="77777777">
        <w:trPr>
          <w:cantSplit/>
        </w:trPr>
        <w:tc>
          <w:tcPr>
            <w:tcW w:w="2390" w:type="dxa"/>
            <w:tcBorders>
              <w:top w:val="single" w:sz="4" w:space="0" w:color="auto"/>
              <w:left w:val="single" w:sz="4" w:space="0" w:color="auto"/>
              <w:bottom w:val="single" w:sz="4" w:space="0" w:color="auto"/>
              <w:right w:val="single" w:sz="4" w:space="0" w:color="auto"/>
            </w:tcBorders>
          </w:tcPr>
          <w:p w14:paraId="3B188045" w14:textId="77777777" w:rsidR="00577D08" w:rsidRDefault="00330FC0">
            <w:r>
              <w:rPr>
                <w:rFonts w:hint="eastAsia"/>
              </w:rPr>
              <w:lastRenderedPageBreak/>
              <w:t>重庆圣耀电力工程有限责任公司</w:t>
            </w:r>
          </w:p>
        </w:tc>
        <w:tc>
          <w:tcPr>
            <w:tcW w:w="2191" w:type="dxa"/>
            <w:tcBorders>
              <w:top w:val="single" w:sz="4" w:space="0" w:color="auto"/>
              <w:left w:val="single" w:sz="4" w:space="0" w:color="auto"/>
              <w:bottom w:val="single" w:sz="4" w:space="0" w:color="auto"/>
              <w:right w:val="single" w:sz="4" w:space="0" w:color="auto"/>
            </w:tcBorders>
            <w:vAlign w:val="center"/>
          </w:tcPr>
          <w:p w14:paraId="35FDA944" w14:textId="77777777" w:rsidR="00577D08" w:rsidRDefault="00330FC0">
            <w:pPr>
              <w:jc w:val="both"/>
            </w:pPr>
            <w:r>
              <w:rPr>
                <w:rFonts w:hint="eastAsia"/>
              </w:rPr>
              <w:t>输配电及控制设备</w:t>
            </w:r>
          </w:p>
        </w:tc>
        <w:tc>
          <w:tcPr>
            <w:tcW w:w="2227" w:type="dxa"/>
            <w:tcBorders>
              <w:top w:val="single" w:sz="4" w:space="0" w:color="auto"/>
              <w:left w:val="single" w:sz="4" w:space="0" w:color="auto"/>
              <w:bottom w:val="single" w:sz="4" w:space="0" w:color="auto"/>
              <w:right w:val="single" w:sz="4" w:space="0" w:color="auto"/>
            </w:tcBorders>
            <w:vAlign w:val="center"/>
          </w:tcPr>
          <w:p w14:paraId="5F535325" w14:textId="77777777" w:rsidR="00577D08" w:rsidRDefault="00577D08">
            <w:pPr>
              <w:jc w:val="right"/>
            </w:pPr>
          </w:p>
        </w:tc>
        <w:tc>
          <w:tcPr>
            <w:tcW w:w="2229" w:type="dxa"/>
            <w:tcBorders>
              <w:top w:val="single" w:sz="4" w:space="0" w:color="auto"/>
              <w:left w:val="single" w:sz="4" w:space="0" w:color="auto"/>
              <w:bottom w:val="single" w:sz="4" w:space="0" w:color="auto"/>
              <w:right w:val="single" w:sz="4" w:space="0" w:color="auto"/>
            </w:tcBorders>
            <w:vAlign w:val="center"/>
          </w:tcPr>
          <w:p w14:paraId="1AA98A2F" w14:textId="77777777" w:rsidR="00577D08" w:rsidRDefault="00330FC0">
            <w:pPr>
              <w:jc w:val="right"/>
            </w:pPr>
            <w:r>
              <w:rPr>
                <w:rFonts w:hint="eastAsia"/>
              </w:rPr>
              <w:t>1,845,783.17</w:t>
            </w:r>
          </w:p>
        </w:tc>
      </w:tr>
      <w:tr w:rsidR="00577D08" w14:paraId="4514D0EB" w14:textId="77777777">
        <w:trPr>
          <w:cantSplit/>
        </w:trPr>
        <w:tc>
          <w:tcPr>
            <w:tcW w:w="2390" w:type="dxa"/>
            <w:tcBorders>
              <w:top w:val="single" w:sz="4" w:space="0" w:color="auto"/>
              <w:left w:val="single" w:sz="4" w:space="0" w:color="auto"/>
              <w:bottom w:val="single" w:sz="4" w:space="0" w:color="auto"/>
              <w:right w:val="single" w:sz="4" w:space="0" w:color="auto"/>
            </w:tcBorders>
          </w:tcPr>
          <w:p w14:paraId="73894477" w14:textId="77777777" w:rsidR="00577D08" w:rsidRDefault="00330FC0">
            <w:r>
              <w:rPr>
                <w:rFonts w:hint="eastAsia"/>
              </w:rPr>
              <w:t>合计</w:t>
            </w:r>
          </w:p>
        </w:tc>
        <w:tc>
          <w:tcPr>
            <w:tcW w:w="2191" w:type="dxa"/>
            <w:tcBorders>
              <w:top w:val="single" w:sz="4" w:space="0" w:color="auto"/>
              <w:left w:val="single" w:sz="4" w:space="0" w:color="auto"/>
              <w:bottom w:val="single" w:sz="4" w:space="0" w:color="auto"/>
              <w:right w:val="single" w:sz="4" w:space="0" w:color="auto"/>
            </w:tcBorders>
          </w:tcPr>
          <w:p w14:paraId="74147367" w14:textId="77777777" w:rsidR="00577D08" w:rsidRDefault="00577D08"/>
        </w:tc>
        <w:tc>
          <w:tcPr>
            <w:tcW w:w="2227" w:type="dxa"/>
            <w:tcBorders>
              <w:top w:val="single" w:sz="4" w:space="0" w:color="auto"/>
              <w:left w:val="single" w:sz="4" w:space="0" w:color="auto"/>
              <w:bottom w:val="single" w:sz="4" w:space="0" w:color="auto"/>
              <w:right w:val="single" w:sz="4" w:space="0" w:color="auto"/>
            </w:tcBorders>
            <w:vAlign w:val="center"/>
          </w:tcPr>
          <w:p w14:paraId="4F9C1F18" w14:textId="77777777" w:rsidR="00577D08" w:rsidRDefault="00330FC0">
            <w:pPr>
              <w:jc w:val="right"/>
            </w:pPr>
            <w:r>
              <w:rPr>
                <w:rFonts w:hint="eastAsia"/>
              </w:rPr>
              <w:t>341,040.38</w:t>
            </w:r>
          </w:p>
        </w:tc>
        <w:tc>
          <w:tcPr>
            <w:tcW w:w="2229" w:type="dxa"/>
            <w:tcBorders>
              <w:top w:val="single" w:sz="4" w:space="0" w:color="auto"/>
              <w:left w:val="single" w:sz="4" w:space="0" w:color="auto"/>
              <w:bottom w:val="single" w:sz="4" w:space="0" w:color="auto"/>
              <w:right w:val="single" w:sz="4" w:space="0" w:color="auto"/>
            </w:tcBorders>
            <w:vAlign w:val="center"/>
          </w:tcPr>
          <w:p w14:paraId="3361AC1E" w14:textId="77777777" w:rsidR="00577D08" w:rsidRDefault="00330FC0">
            <w:pPr>
              <w:jc w:val="right"/>
            </w:pPr>
            <w:r>
              <w:rPr>
                <w:rFonts w:hint="eastAsia"/>
              </w:rPr>
              <w:t>2,341,605.97</w:t>
            </w:r>
          </w:p>
        </w:tc>
      </w:tr>
    </w:tbl>
    <w:p w14:paraId="4A9F8EED" w14:textId="77777777" w:rsidR="00577D08" w:rsidRDefault="00330FC0">
      <w:pPr>
        <w:rPr>
          <w:rFonts w:cs="Cambria"/>
        </w:rPr>
      </w:pPr>
      <w:r>
        <w:rPr>
          <w:rFonts w:cs="Cambria" w:hint="eastAsia"/>
        </w:rPr>
        <w:t>购销商品、提供和接受劳务的关联交易说明</w:t>
      </w:r>
    </w:p>
    <w:sdt>
      <w:sdtPr>
        <w:rPr>
          <w:rFonts w:cs="Cambria"/>
        </w:rPr>
        <w:alias w:val="是否适用：购销商品、提供和接受劳务的关联交易说明[双击切换]"/>
        <w:tag w:val="_GBC_bfac708300bd4f9886d4b6bc97c99022"/>
        <w:id w:val="1540558076"/>
        <w:placeholder>
          <w:docPart w:val="GBC22222222222222222222222222222"/>
        </w:placeholder>
      </w:sdtPr>
      <w:sdtContent>
        <w:p w14:paraId="663B05D8" w14:textId="77777777" w:rsidR="00577D08" w:rsidRDefault="00330FC0">
          <w:pPr>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015C10F4" w14:textId="77777777" w:rsidR="00577D08" w:rsidRDefault="00330FC0">
      <w:pPr>
        <w:pStyle w:val="4"/>
        <w:numPr>
          <w:ilvl w:val="3"/>
          <w:numId w:val="115"/>
        </w:numPr>
        <w:ind w:left="426" w:hangingChars="202" w:hanging="426"/>
        <w:rPr>
          <w:rFonts w:hint="eastAsia"/>
        </w:rPr>
      </w:pPr>
      <w:r>
        <w:rPr>
          <w:rFonts w:hint="eastAsia"/>
        </w:rPr>
        <w:t>关联受托管理/承包及委托管理/出包情况</w:t>
      </w:r>
    </w:p>
    <w:p w14:paraId="4403202E" w14:textId="77777777" w:rsidR="00577D08" w:rsidRDefault="00330FC0">
      <w:r>
        <w:rPr>
          <w:rFonts w:hint="eastAsia"/>
        </w:rPr>
        <w:t>本公司受托管理</w:t>
      </w:r>
      <w:r>
        <w:rPr>
          <w:rFonts w:hint="eastAsia"/>
        </w:rPr>
        <w:t>/</w:t>
      </w:r>
      <w:r>
        <w:rPr>
          <w:rFonts w:hint="eastAsia"/>
        </w:rPr>
        <w:t>承包情况表：</w:t>
      </w:r>
    </w:p>
    <w:sdt>
      <w:sdtPr>
        <w:rPr>
          <w:rFonts w:cs="Cambria"/>
        </w:rPr>
        <w:alias w:val="是否适用：本公司受托管理或承包情况表[双击切换]"/>
        <w:tag w:val="_GBC_30440fae2d7246f59be82c31d907217a"/>
        <w:id w:val="368802716"/>
        <w:placeholder>
          <w:docPart w:val="GBC22222222222222222222222222222"/>
        </w:placeholder>
      </w:sdtPr>
      <w:sdtContent>
        <w:p w14:paraId="46F65FC0" w14:textId="77777777" w:rsidR="00577D08" w:rsidRDefault="00330FC0">
          <w:pPr>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74C42249" w14:textId="77777777" w:rsidR="00577D08" w:rsidRDefault="00330FC0">
      <w:pPr>
        <w:rPr>
          <w:rFonts w:cs="Cambria"/>
        </w:rPr>
      </w:pPr>
      <w:r>
        <w:rPr>
          <w:rFonts w:cs="Cambria" w:hint="eastAsia"/>
        </w:rPr>
        <w:t>关联托管</w:t>
      </w:r>
      <w:r>
        <w:rPr>
          <w:rFonts w:cs="Cambria" w:hint="eastAsia"/>
        </w:rPr>
        <w:t>/</w:t>
      </w:r>
      <w:r>
        <w:rPr>
          <w:rFonts w:cs="Cambria" w:hint="eastAsia"/>
        </w:rPr>
        <w:t>承包情况说明</w:t>
      </w:r>
    </w:p>
    <w:sdt>
      <w:sdtPr>
        <w:rPr>
          <w:rFonts w:cs="Cambria"/>
        </w:rPr>
        <w:alias w:val="是否适用：关联托管或承包情况说明[双击切换]"/>
        <w:tag w:val="_GBC_60aca51a92e545e9bbad9ba5228083c8"/>
        <w:id w:val="1087198917"/>
        <w:placeholder>
          <w:docPart w:val="GBC22222222222222222222222222222"/>
        </w:placeholder>
      </w:sdtPr>
      <w:sdtContent>
        <w:p w14:paraId="23644D0C" w14:textId="77777777" w:rsidR="00577D08" w:rsidRDefault="00330FC0">
          <w:pPr>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59EC8905" w14:textId="77777777" w:rsidR="00577D08" w:rsidRDefault="00330FC0">
      <w:pPr>
        <w:rPr>
          <w:rFonts w:cs="Cambria"/>
          <w:bCs/>
        </w:rPr>
      </w:pPr>
      <w:r>
        <w:rPr>
          <w:rFonts w:hint="eastAsia"/>
        </w:rPr>
        <w:t>本公司</w:t>
      </w:r>
      <w:r>
        <w:rPr>
          <w:rFonts w:cs="Cambria" w:hint="eastAsia"/>
          <w:bCs/>
        </w:rPr>
        <w:t>委托管理</w:t>
      </w:r>
      <w:r>
        <w:rPr>
          <w:rFonts w:cs="Cambria" w:hint="eastAsia"/>
          <w:bCs/>
        </w:rPr>
        <w:t>/</w:t>
      </w:r>
      <w:r>
        <w:rPr>
          <w:rFonts w:cs="Cambria" w:hint="eastAsia"/>
          <w:bCs/>
        </w:rPr>
        <w:t>出包情况表</w:t>
      </w:r>
    </w:p>
    <w:sdt>
      <w:sdtPr>
        <w:rPr>
          <w:rFonts w:cs="Cambria"/>
          <w:bCs/>
        </w:rPr>
        <w:alias w:val="是否适用：本公司委托管理或出包情况表[双击切换]"/>
        <w:tag w:val="_GBC_4655dfffa9a7464b8715035e819d5968"/>
        <w:id w:val="-201631190"/>
        <w:placeholder>
          <w:docPart w:val="GBC22222222222222222222222222222"/>
        </w:placeholder>
      </w:sdtPr>
      <w:sdtContent>
        <w:p w14:paraId="62515F7A" w14:textId="77777777" w:rsidR="00577D08" w:rsidRDefault="00330FC0">
          <w:pPr>
            <w:rPr>
              <w:rFonts w:cs="Cambria"/>
              <w:bCs/>
            </w:rPr>
          </w:pPr>
          <w:r>
            <w:rPr>
              <w:rFonts w:ascii="宋体" w:hAnsi="宋体" w:cs="Cambria"/>
              <w:bCs/>
            </w:rPr>
            <w:fldChar w:fldCharType="begin"/>
          </w:r>
          <w:r>
            <w:rPr>
              <w:rFonts w:ascii="宋体" w:hAnsi="宋体" w:cs="Cambria" w:hint="eastAsia"/>
              <w:bCs/>
            </w:rPr>
            <w:instrText xml:space="preserve">MACROBUTTON  SnrToggleCheckbox □适用 </w:instrText>
          </w:r>
          <w:r>
            <w:rPr>
              <w:rFonts w:ascii="宋体" w:hAnsi="宋体" w:cs="Cambria"/>
              <w:bCs/>
            </w:rPr>
            <w:fldChar w:fldCharType="end"/>
          </w:r>
          <w:r>
            <w:rPr>
              <w:rFonts w:ascii="宋体" w:hAnsi="宋体" w:cs="Cambria"/>
              <w:bCs/>
            </w:rPr>
            <w:fldChar w:fldCharType="begin"/>
          </w:r>
          <w:r>
            <w:rPr>
              <w:rFonts w:ascii="宋体" w:hAnsi="宋体" w:cs="Cambria" w:hint="eastAsia"/>
              <w:bCs/>
            </w:rPr>
            <w:instrText xml:space="preserve"> MACROBUTTON  SnrToggleCheckbox √不适用 </w:instrText>
          </w:r>
          <w:r>
            <w:rPr>
              <w:rFonts w:ascii="宋体" w:hAnsi="宋体" w:cs="Cambria"/>
              <w:bCs/>
            </w:rPr>
            <w:fldChar w:fldCharType="end"/>
          </w:r>
        </w:p>
      </w:sdtContent>
    </w:sdt>
    <w:p w14:paraId="66C8C347" w14:textId="77777777" w:rsidR="00577D08" w:rsidRDefault="00330FC0">
      <w:pPr>
        <w:rPr>
          <w:rFonts w:cs="Cambria"/>
          <w:bCs/>
        </w:rPr>
      </w:pPr>
      <w:r>
        <w:rPr>
          <w:rFonts w:cs="Cambria" w:hint="eastAsia"/>
          <w:bCs/>
        </w:rPr>
        <w:t>关联管理</w:t>
      </w:r>
      <w:r>
        <w:rPr>
          <w:rFonts w:cs="Cambria" w:hint="eastAsia"/>
          <w:bCs/>
        </w:rPr>
        <w:t>/</w:t>
      </w:r>
      <w:r>
        <w:rPr>
          <w:rFonts w:cs="Cambria" w:hint="eastAsia"/>
          <w:bCs/>
        </w:rPr>
        <w:t>出包情况说明</w:t>
      </w:r>
    </w:p>
    <w:sdt>
      <w:sdtPr>
        <w:rPr>
          <w:rFonts w:cs="Cambria"/>
          <w:bCs/>
        </w:rPr>
        <w:alias w:val="是否适用：关联管理或出包情况说明[双击切换]"/>
        <w:tag w:val="_GBC_a21df8e7013c4b70bab4125cabda8c46"/>
        <w:id w:val="1612701120"/>
        <w:placeholder>
          <w:docPart w:val="GBC22222222222222222222222222222"/>
        </w:placeholder>
      </w:sdtPr>
      <w:sdtContent>
        <w:p w14:paraId="3EF87394" w14:textId="77777777" w:rsidR="00577D08" w:rsidRDefault="00330FC0">
          <w:pPr>
            <w:rPr>
              <w:rFonts w:cs="Cambria"/>
              <w:bCs/>
            </w:rPr>
          </w:pPr>
          <w:r>
            <w:rPr>
              <w:rFonts w:ascii="宋体" w:hAnsi="宋体" w:cs="Cambria"/>
              <w:bCs/>
            </w:rPr>
            <w:fldChar w:fldCharType="begin"/>
          </w:r>
          <w:r>
            <w:rPr>
              <w:rFonts w:ascii="宋体" w:hAnsi="宋体" w:cs="Cambria" w:hint="eastAsia"/>
              <w:bCs/>
            </w:rPr>
            <w:instrText xml:space="preserve">MACROBUTTON  SnrToggleCheckbox □适用 </w:instrText>
          </w:r>
          <w:r>
            <w:rPr>
              <w:rFonts w:ascii="宋体" w:hAnsi="宋体" w:cs="Cambria"/>
              <w:bCs/>
            </w:rPr>
            <w:fldChar w:fldCharType="end"/>
          </w:r>
          <w:r>
            <w:rPr>
              <w:rFonts w:ascii="宋体" w:hAnsi="宋体" w:cs="Cambria"/>
              <w:bCs/>
            </w:rPr>
            <w:fldChar w:fldCharType="begin"/>
          </w:r>
          <w:r>
            <w:rPr>
              <w:rFonts w:ascii="宋体" w:hAnsi="宋体" w:cs="Cambria" w:hint="eastAsia"/>
              <w:bCs/>
            </w:rPr>
            <w:instrText xml:space="preserve"> MACROBUTTON  SnrToggleCheckbox √不适用 </w:instrText>
          </w:r>
          <w:r>
            <w:rPr>
              <w:rFonts w:ascii="宋体" w:hAnsi="宋体" w:cs="Cambria"/>
              <w:bCs/>
            </w:rPr>
            <w:fldChar w:fldCharType="end"/>
          </w:r>
        </w:p>
      </w:sdtContent>
    </w:sdt>
    <w:p w14:paraId="5C76C71C" w14:textId="77777777" w:rsidR="00577D08" w:rsidRDefault="00330FC0">
      <w:pPr>
        <w:pStyle w:val="4"/>
        <w:numPr>
          <w:ilvl w:val="3"/>
          <w:numId w:val="115"/>
        </w:numPr>
        <w:ind w:left="426" w:hangingChars="202" w:hanging="426"/>
        <w:rPr>
          <w:rFonts w:hint="eastAsia"/>
        </w:rPr>
      </w:pPr>
      <w:bookmarkStart w:id="479" w:name="_Hlk213680039"/>
      <w:r>
        <w:rPr>
          <w:rFonts w:hint="eastAsia"/>
        </w:rPr>
        <w:t>关联租赁情况</w:t>
      </w:r>
    </w:p>
    <w:p w14:paraId="53C16EEA" w14:textId="77777777" w:rsidR="00577D08" w:rsidRDefault="00330FC0">
      <w:r>
        <w:rPr>
          <w:rFonts w:hint="eastAsia"/>
        </w:rPr>
        <w:t>本公司作为出租方：</w:t>
      </w:r>
    </w:p>
    <w:sdt>
      <w:sdtPr>
        <w:alias w:val="是否适用：本公司作为出租方的租赁情况表[双击切换]"/>
        <w:tag w:val="_GBC_b67e8ccf7ec147d698f9f192968e98bf"/>
        <w:id w:val="-769701409"/>
        <w:placeholder>
          <w:docPart w:val="GBC22222222222222222222222222222"/>
        </w:placeholder>
      </w:sdtPr>
      <w:sdtContent>
        <w:p w14:paraId="3EC8D68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9DA085A" w14:textId="77777777" w:rsidR="00577D08" w:rsidRDefault="00330FC0">
      <w:r>
        <w:rPr>
          <w:rFonts w:hint="eastAsia"/>
        </w:rPr>
        <w:t>本公司作为承租方：</w:t>
      </w:r>
    </w:p>
    <w:sdt>
      <w:sdtPr>
        <w:alias w:val="是否适用：本公司作为承租方的租赁情况表[双击切换]"/>
        <w:tag w:val="_GBC_f8542afd84e2430aad299d7024543330"/>
        <w:id w:val="-464576119"/>
        <w:placeholder>
          <w:docPart w:val="GBC22222222222222222222222222222"/>
        </w:placeholder>
      </w:sdtPr>
      <w:sdtContent>
        <w:p w14:paraId="7C7F3756"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77AEBDC" w14:textId="77777777" w:rsidR="00577D08" w:rsidRDefault="00330FC0">
      <w:r>
        <w:rPr>
          <w:rFonts w:hint="eastAsia"/>
        </w:rPr>
        <w:t>关联租赁情况说明</w:t>
      </w:r>
    </w:p>
    <w:sdt>
      <w:sdtPr>
        <w:alias w:val="是否适用：关联租赁情况说明[双击切换]"/>
        <w:tag w:val="_GBC_f11304240a9e46d8b340976a035205d3"/>
        <w:id w:val="822005835"/>
        <w:placeholder>
          <w:docPart w:val="GBC22222222222222222222222222222"/>
        </w:placeholder>
      </w:sdtPr>
      <w:sdtContent>
        <w:p w14:paraId="01B7161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79"/>
    <w:p w14:paraId="67D7288D" w14:textId="77777777" w:rsidR="00577D08" w:rsidRDefault="00330FC0">
      <w:pPr>
        <w:pStyle w:val="4"/>
        <w:numPr>
          <w:ilvl w:val="3"/>
          <w:numId w:val="115"/>
        </w:numPr>
        <w:ind w:left="426" w:hangingChars="202" w:hanging="426"/>
        <w:rPr>
          <w:rFonts w:hint="eastAsia"/>
        </w:rPr>
      </w:pPr>
      <w:r>
        <w:rPr>
          <w:rFonts w:hint="eastAsia"/>
        </w:rPr>
        <w:t>关联担保情况</w:t>
      </w:r>
    </w:p>
    <w:p w14:paraId="443B8BE8" w14:textId="77777777" w:rsidR="00577D08" w:rsidRDefault="00330FC0">
      <w:r>
        <w:rPr>
          <w:rFonts w:hint="eastAsia"/>
        </w:rPr>
        <w:t>本公司作为担保方</w:t>
      </w:r>
    </w:p>
    <w:sdt>
      <w:sdtPr>
        <w:alias w:val="是否适用：本公司作为担保方的担保情况表[双击切换]"/>
        <w:tag w:val="_GBC_4ba390d56c0645788c7893af84ca2773"/>
        <w:id w:val="-1343390836"/>
        <w:placeholder>
          <w:docPart w:val="GBC22222222222222222222222222222"/>
        </w:placeholder>
      </w:sdtPr>
      <w:sdtContent>
        <w:p w14:paraId="3B73163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9288BD5" w14:textId="77777777" w:rsidR="00577D08" w:rsidRDefault="00330FC0">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771390623"/>
        <w:placeholder>
          <w:docPart w:val="GBC22222222222222222222222222222"/>
        </w:placeholder>
      </w:sdtPr>
      <w:sdtContent>
        <w:p w14:paraId="33893F46" w14:textId="77777777" w:rsidR="00577D08" w:rsidRDefault="00330FC0">
          <w:pPr>
            <w:rPr>
              <w:rFonts w:ascii="Cambria" w:hAnsi="Cambria"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rPr>
            <w:instrText xml:space="preserve"> MACROBUTTON  SnrToggleCheckbox □不适用 </w:instrText>
          </w:r>
          <w:r>
            <w:rPr>
              <w:rFonts w:ascii="宋体" w:hAnsi="宋体" w:cs="Cambria"/>
            </w:rPr>
            <w:fldChar w:fldCharType="end"/>
          </w:r>
        </w:p>
      </w:sdtContent>
    </w:sdt>
    <w:p w14:paraId="334D328D" w14:textId="47DFFC10" w:rsidR="00577D08" w:rsidRDefault="00330FC0">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本公司作为被担保方"/>
          <w:tag w:val="_GBC_08de61ddd16b467c884ca0edae6aa2be"/>
          <w:id w:val="7424519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r w:rsidR="00CC5C32">
            <w:rPr>
              <w:rFonts w:ascii="Cambria" w:hAnsi="Cambria" w:cs="Cambria" w:hint="eastAsia"/>
            </w:rPr>
            <w:t xml:space="preserve"> </w:t>
          </w:r>
        </w:sdtContent>
      </w:sdt>
      <w:r>
        <w:rPr>
          <w:rFonts w:ascii="Cambria" w:hAnsi="Cambria" w:cs="Cambria" w:hint="eastAsia"/>
        </w:rPr>
        <w:t>币种：</w:t>
      </w:r>
      <w:sdt>
        <w:sdtPr>
          <w:rPr>
            <w:rFonts w:ascii="Cambria" w:hAnsi="Cambria" w:cs="Cambria" w:hint="eastAsia"/>
          </w:rPr>
          <w:alias w:val="币种：财务附注：本公司作为被担保方"/>
          <w:tag w:val="_GBC_42fee4856c844a5db5f4478afdb3c96d"/>
          <w:id w:val="-8993693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570"/>
        <w:gridCol w:w="1652"/>
        <w:gridCol w:w="1805"/>
        <w:gridCol w:w="1791"/>
        <w:gridCol w:w="2073"/>
      </w:tblGrid>
      <w:tr w:rsidR="00577D08" w14:paraId="2A357914" w14:textId="77777777">
        <w:sdt>
          <w:sdtPr>
            <w:tag w:val="_PLD_e05323f7a96841bb935f95dcfec68e48"/>
            <w:id w:val="-189447241"/>
          </w:sdtPr>
          <w:sdtContent>
            <w:tc>
              <w:tcPr>
                <w:tcW w:w="1570" w:type="dxa"/>
                <w:tcBorders>
                  <w:top w:val="single" w:sz="4" w:space="0" w:color="auto"/>
                  <w:left w:val="single" w:sz="4" w:space="0" w:color="auto"/>
                  <w:bottom w:val="single" w:sz="4" w:space="0" w:color="auto"/>
                  <w:right w:val="single" w:sz="4" w:space="0" w:color="auto"/>
                </w:tcBorders>
                <w:vAlign w:val="center"/>
              </w:tcPr>
              <w:p w14:paraId="3399280F" w14:textId="77777777" w:rsidR="00577D08" w:rsidRDefault="00330FC0">
                <w:pPr>
                  <w:jc w:val="center"/>
                  <w:rPr>
                    <w:rFonts w:cs="Cambria"/>
                  </w:rPr>
                </w:pPr>
                <w:r>
                  <w:rPr>
                    <w:rFonts w:cs="Cambria" w:hint="eastAsia"/>
                  </w:rPr>
                  <w:t>担保方</w:t>
                </w:r>
              </w:p>
            </w:tc>
          </w:sdtContent>
        </w:sdt>
        <w:sdt>
          <w:sdtPr>
            <w:tag w:val="_PLD_7721a8a4c1844b24b36caad78c1dee85"/>
            <w:id w:val="179017823"/>
          </w:sdtPr>
          <w:sdtContent>
            <w:tc>
              <w:tcPr>
                <w:tcW w:w="1652" w:type="dxa"/>
                <w:tcBorders>
                  <w:top w:val="single" w:sz="4" w:space="0" w:color="auto"/>
                  <w:left w:val="single" w:sz="4" w:space="0" w:color="auto"/>
                  <w:bottom w:val="single" w:sz="4" w:space="0" w:color="auto"/>
                  <w:right w:val="single" w:sz="4" w:space="0" w:color="auto"/>
                </w:tcBorders>
                <w:vAlign w:val="center"/>
              </w:tcPr>
              <w:p w14:paraId="15A2A350" w14:textId="77777777" w:rsidR="00577D08" w:rsidRDefault="00330FC0">
                <w:pPr>
                  <w:jc w:val="center"/>
                  <w:rPr>
                    <w:rFonts w:cs="Cambria"/>
                  </w:rPr>
                </w:pPr>
                <w:r>
                  <w:rPr>
                    <w:rFonts w:cs="Cambria" w:hint="eastAsia"/>
                  </w:rPr>
                  <w:t>担保金额</w:t>
                </w:r>
              </w:p>
            </w:tc>
          </w:sdtContent>
        </w:sdt>
        <w:sdt>
          <w:sdtPr>
            <w:tag w:val="_PLD_cac4c4f152c846eb9313593bf39d4ef9"/>
            <w:id w:val="-933350070"/>
          </w:sdtPr>
          <w:sdtContent>
            <w:tc>
              <w:tcPr>
                <w:tcW w:w="1805" w:type="dxa"/>
                <w:tcBorders>
                  <w:top w:val="single" w:sz="4" w:space="0" w:color="auto"/>
                  <w:left w:val="single" w:sz="4" w:space="0" w:color="auto"/>
                  <w:bottom w:val="single" w:sz="4" w:space="0" w:color="auto"/>
                  <w:right w:val="single" w:sz="4" w:space="0" w:color="auto"/>
                </w:tcBorders>
                <w:vAlign w:val="center"/>
              </w:tcPr>
              <w:p w14:paraId="1B600211" w14:textId="77777777" w:rsidR="00577D08" w:rsidRDefault="00330FC0">
                <w:pPr>
                  <w:jc w:val="center"/>
                  <w:rPr>
                    <w:rFonts w:cs="Cambria"/>
                  </w:rPr>
                </w:pPr>
                <w:r>
                  <w:rPr>
                    <w:rFonts w:cs="Cambria" w:hint="eastAsia"/>
                  </w:rPr>
                  <w:t>担保起始日</w:t>
                </w:r>
              </w:p>
            </w:tc>
          </w:sdtContent>
        </w:sdt>
        <w:sdt>
          <w:sdtPr>
            <w:tag w:val="_PLD_c0918f2db0154eb396818afe3e3f0e9d"/>
            <w:id w:val="-1659768658"/>
          </w:sdtPr>
          <w:sdtContent>
            <w:tc>
              <w:tcPr>
                <w:tcW w:w="1791" w:type="dxa"/>
                <w:tcBorders>
                  <w:top w:val="single" w:sz="4" w:space="0" w:color="auto"/>
                  <w:left w:val="single" w:sz="4" w:space="0" w:color="auto"/>
                  <w:bottom w:val="single" w:sz="4" w:space="0" w:color="auto"/>
                  <w:right w:val="single" w:sz="4" w:space="0" w:color="auto"/>
                </w:tcBorders>
                <w:vAlign w:val="center"/>
              </w:tcPr>
              <w:p w14:paraId="4D3BFD06" w14:textId="77777777" w:rsidR="00577D08" w:rsidRDefault="00330FC0">
                <w:pPr>
                  <w:jc w:val="center"/>
                  <w:rPr>
                    <w:rFonts w:cs="Cambria"/>
                  </w:rPr>
                </w:pPr>
                <w:r>
                  <w:rPr>
                    <w:rFonts w:cs="Cambria" w:hint="eastAsia"/>
                  </w:rPr>
                  <w:t>担保到期日</w:t>
                </w:r>
              </w:p>
            </w:tc>
          </w:sdtContent>
        </w:sdt>
        <w:sdt>
          <w:sdtPr>
            <w:tag w:val="_PLD_f7d47a75b517407d8d11153f5529706f"/>
            <w:id w:val="-1632238521"/>
          </w:sdtPr>
          <w:sdtContent>
            <w:tc>
              <w:tcPr>
                <w:tcW w:w="2073" w:type="dxa"/>
                <w:tcBorders>
                  <w:top w:val="single" w:sz="4" w:space="0" w:color="auto"/>
                  <w:left w:val="single" w:sz="4" w:space="0" w:color="auto"/>
                  <w:bottom w:val="single" w:sz="4" w:space="0" w:color="auto"/>
                  <w:right w:val="single" w:sz="4" w:space="0" w:color="auto"/>
                </w:tcBorders>
                <w:vAlign w:val="center"/>
              </w:tcPr>
              <w:p w14:paraId="1166A786" w14:textId="77777777" w:rsidR="00577D08" w:rsidRDefault="00330FC0">
                <w:pPr>
                  <w:jc w:val="center"/>
                  <w:rPr>
                    <w:rFonts w:cs="Cambria"/>
                  </w:rPr>
                </w:pPr>
                <w:r>
                  <w:rPr>
                    <w:rFonts w:cs="Cambria" w:hint="eastAsia"/>
                  </w:rPr>
                  <w:t>担保是否已经履行完毕</w:t>
                </w:r>
              </w:p>
            </w:tc>
          </w:sdtContent>
        </w:sdt>
      </w:tr>
      <w:tr w:rsidR="00577D08" w14:paraId="67CB135A" w14:textId="77777777">
        <w:tc>
          <w:tcPr>
            <w:tcW w:w="1570" w:type="dxa"/>
            <w:tcBorders>
              <w:top w:val="single" w:sz="4" w:space="0" w:color="auto"/>
              <w:left w:val="single" w:sz="4" w:space="0" w:color="auto"/>
              <w:bottom w:val="single" w:sz="4" w:space="0" w:color="auto"/>
              <w:right w:val="single" w:sz="4" w:space="0" w:color="auto"/>
            </w:tcBorders>
          </w:tcPr>
          <w:p w14:paraId="6072ACFC" w14:textId="77777777" w:rsidR="00577D08" w:rsidRDefault="00330FC0">
            <w:pPr>
              <w:rPr>
                <w:rFonts w:cs="Cambria"/>
              </w:rPr>
            </w:pPr>
            <w:r>
              <w:rPr>
                <w:rFonts w:hint="eastAsia"/>
              </w:rPr>
              <w:t>杨泽民、秦惠兰</w:t>
            </w:r>
          </w:p>
        </w:tc>
        <w:tc>
          <w:tcPr>
            <w:tcW w:w="1652" w:type="dxa"/>
            <w:tcBorders>
              <w:top w:val="single" w:sz="4" w:space="0" w:color="auto"/>
              <w:left w:val="single" w:sz="4" w:space="0" w:color="auto"/>
              <w:bottom w:val="single" w:sz="4" w:space="0" w:color="auto"/>
              <w:right w:val="single" w:sz="4" w:space="0" w:color="auto"/>
            </w:tcBorders>
          </w:tcPr>
          <w:p w14:paraId="2A632CA5" w14:textId="77777777" w:rsidR="00577D08" w:rsidRDefault="00330FC0">
            <w:pPr>
              <w:jc w:val="right"/>
              <w:rPr>
                <w:rFonts w:cs="Cambria"/>
              </w:rPr>
            </w:pPr>
            <w:r>
              <w:rPr>
                <w:rFonts w:hint="eastAsia"/>
              </w:rPr>
              <w:t>80,000,000.00</w:t>
            </w:r>
          </w:p>
        </w:tc>
        <w:tc>
          <w:tcPr>
            <w:tcW w:w="1805" w:type="dxa"/>
            <w:tcBorders>
              <w:top w:val="single" w:sz="4" w:space="0" w:color="auto"/>
              <w:left w:val="single" w:sz="4" w:space="0" w:color="auto"/>
              <w:bottom w:val="single" w:sz="4" w:space="0" w:color="auto"/>
              <w:right w:val="single" w:sz="4" w:space="0" w:color="auto"/>
            </w:tcBorders>
            <w:vAlign w:val="center"/>
          </w:tcPr>
          <w:p w14:paraId="39B47B67" w14:textId="77777777" w:rsidR="00577D08" w:rsidRDefault="00330FC0">
            <w:pPr>
              <w:jc w:val="center"/>
              <w:rPr>
                <w:rFonts w:cs="Cambria"/>
              </w:rPr>
            </w:pPr>
            <w:r>
              <w:rPr>
                <w:rFonts w:hint="eastAsia"/>
              </w:rPr>
              <w:t>2021/11/1</w:t>
            </w:r>
          </w:p>
        </w:tc>
        <w:tc>
          <w:tcPr>
            <w:tcW w:w="1791" w:type="dxa"/>
            <w:tcBorders>
              <w:top w:val="single" w:sz="4" w:space="0" w:color="auto"/>
              <w:left w:val="single" w:sz="4" w:space="0" w:color="auto"/>
              <w:bottom w:val="single" w:sz="4" w:space="0" w:color="auto"/>
              <w:right w:val="single" w:sz="4" w:space="0" w:color="auto"/>
            </w:tcBorders>
            <w:vAlign w:val="center"/>
          </w:tcPr>
          <w:p w14:paraId="5BEEE081" w14:textId="77777777" w:rsidR="00577D08" w:rsidRDefault="00330FC0">
            <w:pPr>
              <w:jc w:val="center"/>
              <w:rPr>
                <w:rFonts w:cs="Cambria"/>
              </w:rPr>
            </w:pPr>
            <w:r>
              <w:rPr>
                <w:rFonts w:hint="eastAsia"/>
              </w:rPr>
              <w:t>2027/12/31</w:t>
            </w:r>
          </w:p>
        </w:tc>
        <w:tc>
          <w:tcPr>
            <w:tcW w:w="2073" w:type="dxa"/>
            <w:tcBorders>
              <w:top w:val="single" w:sz="4" w:space="0" w:color="auto"/>
              <w:left w:val="single" w:sz="4" w:space="0" w:color="auto"/>
              <w:bottom w:val="single" w:sz="4" w:space="0" w:color="auto"/>
              <w:right w:val="single" w:sz="4" w:space="0" w:color="auto"/>
            </w:tcBorders>
            <w:vAlign w:val="center"/>
          </w:tcPr>
          <w:p w14:paraId="762796A4" w14:textId="77777777" w:rsidR="00577D08" w:rsidRDefault="00330FC0">
            <w:pPr>
              <w:jc w:val="center"/>
              <w:rPr>
                <w:rFonts w:cs="Cambria"/>
              </w:rPr>
            </w:pPr>
            <w:r>
              <w:rPr>
                <w:rFonts w:hint="eastAsia"/>
              </w:rPr>
              <w:t>否</w:t>
            </w:r>
          </w:p>
        </w:tc>
      </w:tr>
      <w:tr w:rsidR="00577D08" w14:paraId="77951277" w14:textId="77777777">
        <w:tc>
          <w:tcPr>
            <w:tcW w:w="1570" w:type="dxa"/>
            <w:tcBorders>
              <w:top w:val="single" w:sz="4" w:space="0" w:color="auto"/>
              <w:left w:val="single" w:sz="4" w:space="0" w:color="auto"/>
              <w:bottom w:val="single" w:sz="4" w:space="0" w:color="auto"/>
              <w:right w:val="single" w:sz="4" w:space="0" w:color="auto"/>
            </w:tcBorders>
          </w:tcPr>
          <w:p w14:paraId="74B2549C" w14:textId="77777777" w:rsidR="00577D08" w:rsidRDefault="00330FC0">
            <w:pPr>
              <w:rPr>
                <w:rFonts w:cs="Cambria"/>
              </w:rPr>
            </w:pPr>
            <w:r>
              <w:rPr>
                <w:rFonts w:hint="eastAsia"/>
              </w:rPr>
              <w:t>杨泽民、秦惠兰</w:t>
            </w:r>
          </w:p>
        </w:tc>
        <w:tc>
          <w:tcPr>
            <w:tcW w:w="1652" w:type="dxa"/>
            <w:tcBorders>
              <w:top w:val="single" w:sz="4" w:space="0" w:color="auto"/>
              <w:left w:val="single" w:sz="4" w:space="0" w:color="auto"/>
              <w:bottom w:val="single" w:sz="4" w:space="0" w:color="auto"/>
              <w:right w:val="single" w:sz="4" w:space="0" w:color="auto"/>
            </w:tcBorders>
          </w:tcPr>
          <w:p w14:paraId="7864DA9B" w14:textId="77777777" w:rsidR="00577D08" w:rsidRDefault="00330FC0">
            <w:pPr>
              <w:jc w:val="right"/>
              <w:rPr>
                <w:rFonts w:cs="Cambria"/>
              </w:rPr>
            </w:pPr>
            <w:r>
              <w:rPr>
                <w:rFonts w:hint="eastAsia"/>
              </w:rPr>
              <w:t>100,000,000.00</w:t>
            </w:r>
          </w:p>
        </w:tc>
        <w:tc>
          <w:tcPr>
            <w:tcW w:w="1805" w:type="dxa"/>
            <w:tcBorders>
              <w:top w:val="single" w:sz="4" w:space="0" w:color="auto"/>
              <w:left w:val="single" w:sz="4" w:space="0" w:color="auto"/>
              <w:bottom w:val="single" w:sz="4" w:space="0" w:color="auto"/>
              <w:right w:val="single" w:sz="4" w:space="0" w:color="auto"/>
            </w:tcBorders>
            <w:vAlign w:val="center"/>
          </w:tcPr>
          <w:p w14:paraId="502368EA" w14:textId="77777777" w:rsidR="00577D08" w:rsidRDefault="00330FC0">
            <w:pPr>
              <w:jc w:val="center"/>
              <w:rPr>
                <w:rFonts w:cs="Cambria"/>
              </w:rPr>
            </w:pPr>
            <w:r>
              <w:rPr>
                <w:rFonts w:hint="eastAsia"/>
              </w:rPr>
              <w:t>2022/12/26</w:t>
            </w:r>
          </w:p>
        </w:tc>
        <w:tc>
          <w:tcPr>
            <w:tcW w:w="1791" w:type="dxa"/>
            <w:tcBorders>
              <w:top w:val="single" w:sz="4" w:space="0" w:color="auto"/>
              <w:left w:val="single" w:sz="4" w:space="0" w:color="auto"/>
              <w:bottom w:val="single" w:sz="4" w:space="0" w:color="auto"/>
              <w:right w:val="single" w:sz="4" w:space="0" w:color="auto"/>
            </w:tcBorders>
            <w:vAlign w:val="center"/>
          </w:tcPr>
          <w:p w14:paraId="797CB58B" w14:textId="77777777" w:rsidR="00577D08" w:rsidRDefault="00330FC0">
            <w:pPr>
              <w:jc w:val="center"/>
              <w:rPr>
                <w:rFonts w:cs="Cambria"/>
              </w:rPr>
            </w:pPr>
            <w:r>
              <w:rPr>
                <w:rFonts w:hint="eastAsia"/>
              </w:rPr>
              <w:t>2025/12/26</w:t>
            </w:r>
          </w:p>
        </w:tc>
        <w:tc>
          <w:tcPr>
            <w:tcW w:w="2073" w:type="dxa"/>
            <w:tcBorders>
              <w:top w:val="single" w:sz="4" w:space="0" w:color="auto"/>
              <w:left w:val="single" w:sz="4" w:space="0" w:color="auto"/>
              <w:bottom w:val="single" w:sz="4" w:space="0" w:color="auto"/>
              <w:right w:val="single" w:sz="4" w:space="0" w:color="auto"/>
            </w:tcBorders>
            <w:vAlign w:val="center"/>
          </w:tcPr>
          <w:p w14:paraId="404D7BD9" w14:textId="77777777" w:rsidR="00577D08" w:rsidRDefault="00330FC0">
            <w:pPr>
              <w:jc w:val="center"/>
              <w:rPr>
                <w:rFonts w:cs="Cambria"/>
              </w:rPr>
            </w:pPr>
            <w:r>
              <w:rPr>
                <w:rFonts w:hint="eastAsia"/>
              </w:rPr>
              <w:t>是</w:t>
            </w:r>
          </w:p>
        </w:tc>
      </w:tr>
      <w:tr w:rsidR="00577D08" w14:paraId="714AD6AA" w14:textId="77777777">
        <w:tc>
          <w:tcPr>
            <w:tcW w:w="1570" w:type="dxa"/>
            <w:tcBorders>
              <w:top w:val="single" w:sz="4" w:space="0" w:color="auto"/>
              <w:left w:val="single" w:sz="4" w:space="0" w:color="auto"/>
              <w:bottom w:val="single" w:sz="4" w:space="0" w:color="auto"/>
              <w:right w:val="single" w:sz="4" w:space="0" w:color="auto"/>
            </w:tcBorders>
          </w:tcPr>
          <w:p w14:paraId="2CF248E2" w14:textId="77777777" w:rsidR="00577D08" w:rsidRDefault="00330FC0">
            <w:pPr>
              <w:rPr>
                <w:rFonts w:cs="Cambria"/>
              </w:rPr>
            </w:pPr>
            <w:r>
              <w:rPr>
                <w:rFonts w:hint="eastAsia"/>
              </w:rPr>
              <w:t>杨泽民、秦惠兰</w:t>
            </w:r>
          </w:p>
        </w:tc>
        <w:tc>
          <w:tcPr>
            <w:tcW w:w="1652" w:type="dxa"/>
            <w:tcBorders>
              <w:top w:val="single" w:sz="4" w:space="0" w:color="auto"/>
              <w:left w:val="single" w:sz="4" w:space="0" w:color="auto"/>
              <w:bottom w:val="single" w:sz="4" w:space="0" w:color="auto"/>
              <w:right w:val="single" w:sz="4" w:space="0" w:color="auto"/>
            </w:tcBorders>
          </w:tcPr>
          <w:p w14:paraId="65E2BE12" w14:textId="77777777" w:rsidR="00577D08" w:rsidRDefault="00330FC0">
            <w:pPr>
              <w:jc w:val="right"/>
              <w:rPr>
                <w:rFonts w:cs="Cambria"/>
              </w:rPr>
            </w:pPr>
            <w:r>
              <w:rPr>
                <w:rFonts w:hint="eastAsia"/>
              </w:rPr>
              <w:t>180,000,000.00</w:t>
            </w:r>
          </w:p>
        </w:tc>
        <w:tc>
          <w:tcPr>
            <w:tcW w:w="1805" w:type="dxa"/>
            <w:tcBorders>
              <w:top w:val="single" w:sz="4" w:space="0" w:color="auto"/>
              <w:left w:val="single" w:sz="4" w:space="0" w:color="auto"/>
              <w:bottom w:val="single" w:sz="4" w:space="0" w:color="auto"/>
              <w:right w:val="single" w:sz="4" w:space="0" w:color="auto"/>
            </w:tcBorders>
            <w:vAlign w:val="center"/>
          </w:tcPr>
          <w:p w14:paraId="46A2ACAE" w14:textId="77777777" w:rsidR="00577D08" w:rsidRDefault="00330FC0">
            <w:pPr>
              <w:jc w:val="center"/>
              <w:rPr>
                <w:rFonts w:cs="Cambria"/>
              </w:rPr>
            </w:pPr>
            <w:r>
              <w:rPr>
                <w:rFonts w:hint="eastAsia"/>
              </w:rPr>
              <w:t>2022/11/8</w:t>
            </w:r>
          </w:p>
        </w:tc>
        <w:tc>
          <w:tcPr>
            <w:tcW w:w="1791" w:type="dxa"/>
            <w:tcBorders>
              <w:top w:val="single" w:sz="4" w:space="0" w:color="auto"/>
              <w:left w:val="single" w:sz="4" w:space="0" w:color="auto"/>
              <w:bottom w:val="single" w:sz="4" w:space="0" w:color="auto"/>
              <w:right w:val="single" w:sz="4" w:space="0" w:color="auto"/>
            </w:tcBorders>
            <w:vAlign w:val="center"/>
          </w:tcPr>
          <w:p w14:paraId="69C75784" w14:textId="77777777" w:rsidR="00577D08" w:rsidRDefault="00330FC0">
            <w:pPr>
              <w:jc w:val="center"/>
              <w:rPr>
                <w:rFonts w:cs="Cambria"/>
              </w:rPr>
            </w:pPr>
            <w:r>
              <w:rPr>
                <w:rFonts w:hint="eastAsia"/>
              </w:rPr>
              <w:t>2026/2/25</w:t>
            </w:r>
          </w:p>
        </w:tc>
        <w:tc>
          <w:tcPr>
            <w:tcW w:w="2073" w:type="dxa"/>
            <w:tcBorders>
              <w:top w:val="single" w:sz="4" w:space="0" w:color="auto"/>
              <w:left w:val="single" w:sz="4" w:space="0" w:color="auto"/>
              <w:bottom w:val="single" w:sz="4" w:space="0" w:color="auto"/>
              <w:right w:val="single" w:sz="4" w:space="0" w:color="auto"/>
            </w:tcBorders>
            <w:vAlign w:val="center"/>
          </w:tcPr>
          <w:p w14:paraId="1F7547A9" w14:textId="77777777" w:rsidR="00577D08" w:rsidRDefault="00330FC0">
            <w:pPr>
              <w:jc w:val="center"/>
              <w:rPr>
                <w:rFonts w:cs="Cambria"/>
              </w:rPr>
            </w:pPr>
            <w:r>
              <w:rPr>
                <w:rFonts w:hint="eastAsia"/>
              </w:rPr>
              <w:t>否</w:t>
            </w:r>
          </w:p>
        </w:tc>
      </w:tr>
      <w:tr w:rsidR="00577D08" w14:paraId="15F36FA6" w14:textId="77777777">
        <w:tc>
          <w:tcPr>
            <w:tcW w:w="1570" w:type="dxa"/>
            <w:tcBorders>
              <w:top w:val="single" w:sz="4" w:space="0" w:color="auto"/>
              <w:left w:val="single" w:sz="4" w:space="0" w:color="auto"/>
              <w:bottom w:val="single" w:sz="4" w:space="0" w:color="auto"/>
              <w:right w:val="single" w:sz="4" w:space="0" w:color="auto"/>
            </w:tcBorders>
          </w:tcPr>
          <w:p w14:paraId="5F1A2168" w14:textId="77777777" w:rsidR="00577D08" w:rsidRDefault="00330FC0">
            <w:pPr>
              <w:rPr>
                <w:rFonts w:cs="Cambria"/>
              </w:rPr>
            </w:pPr>
            <w:r>
              <w:rPr>
                <w:rFonts w:hint="eastAsia"/>
              </w:rPr>
              <w:t>杨泽民、秦惠兰</w:t>
            </w:r>
          </w:p>
        </w:tc>
        <w:tc>
          <w:tcPr>
            <w:tcW w:w="1652" w:type="dxa"/>
            <w:tcBorders>
              <w:top w:val="single" w:sz="4" w:space="0" w:color="auto"/>
              <w:left w:val="single" w:sz="4" w:space="0" w:color="auto"/>
              <w:bottom w:val="single" w:sz="4" w:space="0" w:color="auto"/>
              <w:right w:val="single" w:sz="4" w:space="0" w:color="auto"/>
            </w:tcBorders>
          </w:tcPr>
          <w:p w14:paraId="0880711F" w14:textId="77777777" w:rsidR="00577D08" w:rsidRDefault="00330FC0">
            <w:pPr>
              <w:jc w:val="right"/>
              <w:rPr>
                <w:rFonts w:cs="Cambria"/>
              </w:rPr>
            </w:pPr>
            <w:r>
              <w:rPr>
                <w:rFonts w:hint="eastAsia"/>
              </w:rPr>
              <w:t>796,500,000.00</w:t>
            </w:r>
          </w:p>
        </w:tc>
        <w:tc>
          <w:tcPr>
            <w:tcW w:w="1805" w:type="dxa"/>
            <w:tcBorders>
              <w:top w:val="single" w:sz="4" w:space="0" w:color="auto"/>
              <w:left w:val="single" w:sz="4" w:space="0" w:color="auto"/>
              <w:bottom w:val="single" w:sz="4" w:space="0" w:color="auto"/>
              <w:right w:val="single" w:sz="4" w:space="0" w:color="auto"/>
            </w:tcBorders>
            <w:vAlign w:val="center"/>
          </w:tcPr>
          <w:p w14:paraId="428059AD" w14:textId="77777777" w:rsidR="00577D08" w:rsidRDefault="00330FC0">
            <w:pPr>
              <w:jc w:val="center"/>
              <w:rPr>
                <w:rFonts w:cs="Cambria"/>
              </w:rPr>
            </w:pPr>
            <w:r>
              <w:rPr>
                <w:rFonts w:hint="eastAsia"/>
              </w:rPr>
              <w:t>2022/12/28</w:t>
            </w:r>
          </w:p>
        </w:tc>
        <w:tc>
          <w:tcPr>
            <w:tcW w:w="1791" w:type="dxa"/>
            <w:tcBorders>
              <w:top w:val="single" w:sz="4" w:space="0" w:color="auto"/>
              <w:left w:val="single" w:sz="4" w:space="0" w:color="auto"/>
              <w:bottom w:val="single" w:sz="4" w:space="0" w:color="auto"/>
              <w:right w:val="single" w:sz="4" w:space="0" w:color="auto"/>
            </w:tcBorders>
            <w:vAlign w:val="center"/>
          </w:tcPr>
          <w:p w14:paraId="50FD0A27" w14:textId="77777777" w:rsidR="00577D08" w:rsidRDefault="00330FC0">
            <w:pPr>
              <w:jc w:val="center"/>
              <w:rPr>
                <w:rFonts w:cs="Cambria"/>
              </w:rPr>
            </w:pPr>
            <w:r>
              <w:rPr>
                <w:rFonts w:hint="eastAsia"/>
              </w:rPr>
              <w:t>2026/3/5</w:t>
            </w:r>
          </w:p>
        </w:tc>
        <w:tc>
          <w:tcPr>
            <w:tcW w:w="2073" w:type="dxa"/>
            <w:tcBorders>
              <w:top w:val="single" w:sz="4" w:space="0" w:color="auto"/>
              <w:left w:val="single" w:sz="4" w:space="0" w:color="auto"/>
              <w:bottom w:val="single" w:sz="4" w:space="0" w:color="auto"/>
              <w:right w:val="single" w:sz="4" w:space="0" w:color="auto"/>
            </w:tcBorders>
            <w:vAlign w:val="center"/>
          </w:tcPr>
          <w:p w14:paraId="167B5EE0" w14:textId="77777777" w:rsidR="00577D08" w:rsidRDefault="00330FC0">
            <w:pPr>
              <w:jc w:val="center"/>
              <w:rPr>
                <w:rFonts w:cs="Cambria"/>
              </w:rPr>
            </w:pPr>
            <w:r>
              <w:rPr>
                <w:rFonts w:hint="eastAsia"/>
              </w:rPr>
              <w:t>是</w:t>
            </w:r>
          </w:p>
        </w:tc>
      </w:tr>
      <w:tr w:rsidR="00577D08" w14:paraId="17DBA16C" w14:textId="77777777">
        <w:tc>
          <w:tcPr>
            <w:tcW w:w="1570" w:type="dxa"/>
            <w:tcBorders>
              <w:top w:val="single" w:sz="4" w:space="0" w:color="auto"/>
              <w:left w:val="single" w:sz="4" w:space="0" w:color="auto"/>
              <w:bottom w:val="single" w:sz="4" w:space="0" w:color="auto"/>
              <w:right w:val="single" w:sz="4" w:space="0" w:color="auto"/>
            </w:tcBorders>
          </w:tcPr>
          <w:p w14:paraId="370EF697" w14:textId="77777777" w:rsidR="00577D08" w:rsidRDefault="00330FC0">
            <w:pPr>
              <w:rPr>
                <w:rFonts w:cs="Cambria"/>
              </w:rPr>
            </w:pPr>
            <w:r>
              <w:rPr>
                <w:rFonts w:hint="eastAsia"/>
              </w:rPr>
              <w:t>合计</w:t>
            </w:r>
          </w:p>
        </w:tc>
        <w:tc>
          <w:tcPr>
            <w:tcW w:w="1652" w:type="dxa"/>
            <w:tcBorders>
              <w:top w:val="single" w:sz="4" w:space="0" w:color="auto"/>
              <w:left w:val="single" w:sz="4" w:space="0" w:color="auto"/>
              <w:bottom w:val="single" w:sz="4" w:space="0" w:color="auto"/>
              <w:right w:val="single" w:sz="4" w:space="0" w:color="auto"/>
            </w:tcBorders>
            <w:vAlign w:val="center"/>
          </w:tcPr>
          <w:p w14:paraId="5416DD0A" w14:textId="77777777" w:rsidR="00577D08" w:rsidRDefault="00330FC0">
            <w:pPr>
              <w:jc w:val="right"/>
              <w:rPr>
                <w:rFonts w:cs="Cambria"/>
              </w:rPr>
            </w:pPr>
            <w:r>
              <w:rPr>
                <w:rFonts w:hint="eastAsia"/>
              </w:rPr>
              <w:t>1,156,500,000.00</w:t>
            </w:r>
          </w:p>
        </w:tc>
        <w:tc>
          <w:tcPr>
            <w:tcW w:w="1805" w:type="dxa"/>
            <w:tcBorders>
              <w:top w:val="single" w:sz="4" w:space="0" w:color="auto"/>
              <w:left w:val="single" w:sz="4" w:space="0" w:color="auto"/>
              <w:bottom w:val="single" w:sz="4" w:space="0" w:color="auto"/>
              <w:right w:val="single" w:sz="4" w:space="0" w:color="auto"/>
            </w:tcBorders>
            <w:vAlign w:val="center"/>
          </w:tcPr>
          <w:p w14:paraId="0C2AAED7" w14:textId="77777777" w:rsidR="00577D08" w:rsidRDefault="00577D08">
            <w:pPr>
              <w:jc w:val="right"/>
              <w:rPr>
                <w:rFonts w:cs="Cambria"/>
              </w:rPr>
            </w:pPr>
          </w:p>
        </w:tc>
        <w:tc>
          <w:tcPr>
            <w:tcW w:w="1791" w:type="dxa"/>
            <w:tcBorders>
              <w:top w:val="single" w:sz="4" w:space="0" w:color="auto"/>
              <w:left w:val="single" w:sz="4" w:space="0" w:color="auto"/>
              <w:bottom w:val="single" w:sz="4" w:space="0" w:color="auto"/>
              <w:right w:val="single" w:sz="4" w:space="0" w:color="auto"/>
            </w:tcBorders>
            <w:vAlign w:val="center"/>
          </w:tcPr>
          <w:p w14:paraId="5C82184A" w14:textId="77777777" w:rsidR="00577D08" w:rsidRDefault="00577D08">
            <w:pPr>
              <w:jc w:val="right"/>
              <w:rPr>
                <w:rFonts w:cs="Cambria"/>
              </w:rPr>
            </w:pPr>
          </w:p>
        </w:tc>
        <w:tc>
          <w:tcPr>
            <w:tcW w:w="2073" w:type="dxa"/>
            <w:tcBorders>
              <w:top w:val="single" w:sz="4" w:space="0" w:color="auto"/>
              <w:left w:val="single" w:sz="4" w:space="0" w:color="auto"/>
              <w:bottom w:val="single" w:sz="4" w:space="0" w:color="auto"/>
              <w:right w:val="single" w:sz="4" w:space="0" w:color="auto"/>
            </w:tcBorders>
          </w:tcPr>
          <w:p w14:paraId="05EAB2D7" w14:textId="77777777" w:rsidR="00577D08" w:rsidRDefault="00577D08">
            <w:pPr>
              <w:rPr>
                <w:rFonts w:cs="Cambria"/>
              </w:rPr>
            </w:pPr>
          </w:p>
        </w:tc>
      </w:tr>
    </w:tbl>
    <w:p w14:paraId="5FCC725E" w14:textId="77777777" w:rsidR="00577D08" w:rsidRDefault="00330FC0">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1392414882"/>
        <w:placeholder>
          <w:docPart w:val="GBC22222222222222222222222222222"/>
        </w:placeholder>
      </w:sdtPr>
      <w:sdtContent>
        <w:p w14:paraId="414C5A96" w14:textId="77777777" w:rsidR="00577D08" w:rsidRDefault="00330FC0">
          <w:pPr>
            <w:rPr>
              <w:rFonts w:ascii="Cambria" w:hAnsi="Cambria"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rPr>
            <w:instrText xml:space="preserve"> MACROBUTTON  SnrToggleCheckbox □不适用 </w:instrText>
          </w:r>
          <w:r>
            <w:rPr>
              <w:rFonts w:ascii="宋体" w:hAnsi="宋体" w:cs="Cambria"/>
            </w:rPr>
            <w:fldChar w:fldCharType="end"/>
          </w:r>
        </w:p>
      </w:sdtContent>
    </w:sdt>
    <w:sdt>
      <w:sdtPr>
        <w:rPr>
          <w:rFonts w:ascii="Cambria" w:hAnsi="Cambria" w:cs="Cambria"/>
        </w:rPr>
        <w:alias w:val="关联担保说明"/>
        <w:tag w:val="_GBC_3eee756411e248a88ccd781b4dc66942"/>
        <w:id w:val="-838384029"/>
        <w:placeholder>
          <w:docPart w:val="GBC22222222222222222222222222222"/>
        </w:placeholder>
      </w:sdtPr>
      <w:sdtContent>
        <w:p w14:paraId="293C0F8D" w14:textId="77777777" w:rsidR="00577D08" w:rsidRDefault="00330FC0">
          <w:pPr>
            <w:ind w:firstLineChars="200" w:firstLine="420"/>
          </w:pPr>
          <w:r>
            <w:rPr>
              <w:rFonts w:hint="eastAsia"/>
            </w:rPr>
            <w:t>（</w:t>
          </w:r>
          <w:r>
            <w:rPr>
              <w:rFonts w:hint="eastAsia"/>
            </w:rPr>
            <w:t>1</w:t>
          </w:r>
          <w:r>
            <w:rPr>
              <w:rFonts w:hint="eastAsia"/>
            </w:rPr>
            <w:t>）</w:t>
          </w:r>
          <w:r>
            <w:rPr>
              <w:rFonts w:hint="eastAsia"/>
            </w:rPr>
            <w:t>2021</w:t>
          </w:r>
          <w:r>
            <w:rPr>
              <w:rFonts w:hint="eastAsia"/>
            </w:rPr>
            <w:t>年</w:t>
          </w:r>
          <w:r>
            <w:rPr>
              <w:rFonts w:hint="eastAsia"/>
            </w:rPr>
            <w:t>11</w:t>
          </w:r>
          <w:r>
            <w:rPr>
              <w:rFonts w:hint="eastAsia"/>
            </w:rPr>
            <w:t>月</w:t>
          </w:r>
          <w:r>
            <w:rPr>
              <w:rFonts w:hint="eastAsia"/>
            </w:rPr>
            <w:t>1</w:t>
          </w:r>
          <w:r>
            <w:rPr>
              <w:rFonts w:hint="eastAsia"/>
            </w:rPr>
            <w:t>日杨泽民、秦惠兰与中国工商银行股份有限公司都匀分行签订担保协议，担保人杨泽民、秦惠兰为黔南望江变压器有限公司与中国工商银行股份有限公司都匀分行签订的《项目贷款合同》提供担保，担保金额</w:t>
          </w:r>
          <w:r>
            <w:rPr>
              <w:rFonts w:hint="eastAsia"/>
            </w:rPr>
            <w:t>0.8</w:t>
          </w:r>
          <w:r>
            <w:rPr>
              <w:rFonts w:hint="eastAsia"/>
            </w:rPr>
            <w:t>亿元，实际担保余额</w:t>
          </w:r>
          <w:r>
            <w:rPr>
              <w:rFonts w:hint="eastAsia"/>
            </w:rPr>
            <w:t>0.19</w:t>
          </w:r>
          <w:r>
            <w:rPr>
              <w:rFonts w:hint="eastAsia"/>
            </w:rPr>
            <w:t>亿元；</w:t>
          </w:r>
        </w:p>
        <w:p w14:paraId="002D4CA6" w14:textId="77777777" w:rsidR="00577D08" w:rsidRDefault="00330FC0">
          <w:pPr>
            <w:ind w:firstLineChars="200" w:firstLine="420"/>
          </w:pPr>
          <w:r>
            <w:rPr>
              <w:rFonts w:hint="eastAsia"/>
            </w:rPr>
            <w:t>（</w:t>
          </w:r>
          <w:r>
            <w:rPr>
              <w:rFonts w:hint="eastAsia"/>
            </w:rPr>
            <w:t>2</w:t>
          </w:r>
          <w:r>
            <w:rPr>
              <w:rFonts w:hint="eastAsia"/>
            </w:rPr>
            <w:t>）</w:t>
          </w:r>
          <w:r>
            <w:rPr>
              <w:rFonts w:hint="eastAsia"/>
            </w:rPr>
            <w:t>2022</w:t>
          </w:r>
          <w:r>
            <w:rPr>
              <w:rFonts w:hint="eastAsia"/>
            </w:rPr>
            <w:t>年</w:t>
          </w:r>
          <w:r>
            <w:rPr>
              <w:rFonts w:hint="eastAsia"/>
            </w:rPr>
            <w:t>12</w:t>
          </w:r>
          <w:r>
            <w:rPr>
              <w:rFonts w:hint="eastAsia"/>
            </w:rPr>
            <w:t>月</w:t>
          </w:r>
          <w:r>
            <w:rPr>
              <w:rFonts w:hint="eastAsia"/>
            </w:rPr>
            <w:t>26</w:t>
          </w:r>
          <w:r>
            <w:rPr>
              <w:rFonts w:hint="eastAsia"/>
            </w:rPr>
            <w:t>日杨泽民、秦惠兰与上海浦东发展银行股份有限公司重庆分行签订担保协议，担保人杨泽民、秦惠兰为本公司与上海浦东发展银行股份有限公司重庆分行签订的《授信合同》提供担保，担保金额</w:t>
          </w:r>
          <w:r>
            <w:rPr>
              <w:rFonts w:hint="eastAsia"/>
            </w:rPr>
            <w:t>1</w:t>
          </w:r>
          <w:r>
            <w:rPr>
              <w:rFonts w:hint="eastAsia"/>
            </w:rPr>
            <w:t>亿元整，截至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日，因主债务已履行完毕，该担保责任相应终止。</w:t>
          </w:r>
        </w:p>
        <w:p w14:paraId="64E22729" w14:textId="77777777" w:rsidR="00577D08" w:rsidRDefault="00330FC0">
          <w:pPr>
            <w:ind w:firstLineChars="200" w:firstLine="420"/>
          </w:pPr>
          <w:r>
            <w:rPr>
              <w:rFonts w:hint="eastAsia"/>
            </w:rPr>
            <w:t>（</w:t>
          </w:r>
          <w:r>
            <w:rPr>
              <w:rFonts w:hint="eastAsia"/>
            </w:rPr>
            <w:t>3</w:t>
          </w:r>
          <w:r>
            <w:rPr>
              <w:rFonts w:hint="eastAsia"/>
            </w:rPr>
            <w:t>）</w:t>
          </w:r>
          <w:r>
            <w:rPr>
              <w:rFonts w:hint="eastAsia"/>
            </w:rPr>
            <w:t>2022</w:t>
          </w:r>
          <w:r>
            <w:rPr>
              <w:rFonts w:hint="eastAsia"/>
            </w:rPr>
            <w:t>年</w:t>
          </w:r>
          <w:r>
            <w:rPr>
              <w:rFonts w:hint="eastAsia"/>
            </w:rPr>
            <w:t>11</w:t>
          </w:r>
          <w:r>
            <w:rPr>
              <w:rFonts w:hint="eastAsia"/>
            </w:rPr>
            <w:t>月</w:t>
          </w:r>
          <w:r>
            <w:rPr>
              <w:rFonts w:hint="eastAsia"/>
            </w:rPr>
            <w:t>08</w:t>
          </w:r>
          <w:r>
            <w:rPr>
              <w:rFonts w:hint="eastAsia"/>
            </w:rPr>
            <w:t>日杨泽民、秦惠兰与中信银行股份有限公司重庆分行签订担保协议，担保人杨泽民、秦惠兰为本公司与中信银行股份有限公司重庆分行签订的《授信合同》提供担保，担保金额</w:t>
          </w:r>
          <w:r>
            <w:rPr>
              <w:rFonts w:hint="eastAsia"/>
            </w:rPr>
            <w:t>1.8</w:t>
          </w:r>
          <w:r>
            <w:rPr>
              <w:rFonts w:hint="eastAsia"/>
            </w:rPr>
            <w:t>亿元，实际担保余额</w:t>
          </w:r>
          <w:r>
            <w:rPr>
              <w:rFonts w:hint="eastAsia"/>
            </w:rPr>
            <w:t>0.18</w:t>
          </w:r>
          <w:r>
            <w:rPr>
              <w:rFonts w:hint="eastAsia"/>
            </w:rPr>
            <w:t>亿元；</w:t>
          </w:r>
        </w:p>
        <w:p w14:paraId="53054C34" w14:textId="77777777" w:rsidR="00577D08" w:rsidRDefault="00330FC0">
          <w:pPr>
            <w:ind w:firstLineChars="200" w:firstLine="420"/>
            <w:rPr>
              <w:rFonts w:ascii="Cambria" w:hAnsi="Cambria" w:cs="Cambria"/>
            </w:rPr>
          </w:pPr>
          <w:r>
            <w:rPr>
              <w:rFonts w:hint="eastAsia"/>
            </w:rPr>
            <w:t>（</w:t>
          </w:r>
          <w:r>
            <w:rPr>
              <w:rFonts w:hint="eastAsia"/>
            </w:rPr>
            <w:t>4</w:t>
          </w:r>
          <w:r>
            <w:rPr>
              <w:rFonts w:hint="eastAsia"/>
            </w:rPr>
            <w:t>）</w:t>
          </w:r>
          <w:r>
            <w:rPr>
              <w:rFonts w:hint="eastAsia"/>
            </w:rPr>
            <w:t>2022</w:t>
          </w:r>
          <w:r>
            <w:rPr>
              <w:rFonts w:hint="eastAsia"/>
            </w:rPr>
            <w:t>年</w:t>
          </w:r>
          <w:r>
            <w:rPr>
              <w:rFonts w:hint="eastAsia"/>
            </w:rPr>
            <w:t>12</w:t>
          </w:r>
          <w:r>
            <w:rPr>
              <w:rFonts w:hint="eastAsia"/>
            </w:rPr>
            <w:t>月</w:t>
          </w:r>
          <w:r>
            <w:rPr>
              <w:rFonts w:hint="eastAsia"/>
            </w:rPr>
            <w:t>28</w:t>
          </w:r>
          <w:r>
            <w:rPr>
              <w:rFonts w:hint="eastAsia"/>
            </w:rPr>
            <w:t>日杨泽民、秦惠兰与重庆三峡银行股份有限公司长寿支行签订担保协议，担保人杨泽民、秦惠兰为本公司与重庆三峡银行股份有限公司长寿支行签订的《授信合同》</w:t>
          </w:r>
          <w:r>
            <w:rPr>
              <w:rFonts w:hint="eastAsia"/>
            </w:rPr>
            <w:lastRenderedPageBreak/>
            <w:t>提供担保，担保金额</w:t>
          </w:r>
          <w:r>
            <w:rPr>
              <w:rFonts w:hint="eastAsia"/>
            </w:rPr>
            <w:t>7.965</w:t>
          </w:r>
          <w:r>
            <w:rPr>
              <w:rFonts w:hint="eastAsia"/>
            </w:rPr>
            <w:t>亿元，截至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日，因主债务已履行完毕，该担保责任相应终止。</w:t>
          </w:r>
          <w:r>
            <w:rPr>
              <w:rFonts w:hint="eastAsia"/>
            </w:rPr>
            <w:tab/>
          </w:r>
          <w:r>
            <w:rPr>
              <w:rFonts w:ascii="Cambria" w:hAnsi="Cambria" w:cs="Cambria" w:hint="eastAsia"/>
            </w:rPr>
            <w:tab/>
          </w:r>
          <w:r>
            <w:rPr>
              <w:rFonts w:ascii="Cambria" w:hAnsi="Cambria" w:cs="Cambria" w:hint="eastAsia"/>
            </w:rPr>
            <w:tab/>
          </w:r>
          <w:r>
            <w:rPr>
              <w:rFonts w:ascii="Cambria" w:hAnsi="Cambria" w:cs="Cambria" w:hint="eastAsia"/>
            </w:rPr>
            <w:tab/>
          </w:r>
          <w:r>
            <w:rPr>
              <w:rFonts w:ascii="Cambria" w:hAnsi="Cambria" w:cs="Cambria" w:hint="eastAsia"/>
            </w:rPr>
            <w:tab/>
          </w:r>
        </w:p>
      </w:sdtContent>
    </w:sdt>
    <w:p w14:paraId="0D4935DE" w14:textId="77777777" w:rsidR="00577D08" w:rsidRDefault="00330FC0">
      <w:pPr>
        <w:pStyle w:val="4"/>
        <w:numPr>
          <w:ilvl w:val="3"/>
          <w:numId w:val="115"/>
        </w:numPr>
        <w:ind w:left="426" w:hangingChars="202" w:hanging="426"/>
        <w:rPr>
          <w:rFonts w:hint="eastAsia"/>
        </w:rPr>
      </w:pPr>
      <w:r>
        <w:rPr>
          <w:rFonts w:hint="eastAsia"/>
        </w:rPr>
        <w:t>关联方资金拆借</w:t>
      </w:r>
    </w:p>
    <w:sdt>
      <w:sdtPr>
        <w:alias w:val="是否适用：关联方资金拆借[双击切换]"/>
        <w:tag w:val="_GBC_9b5630a86e1e452494249106e2600b15"/>
        <w:id w:val="-1523785502"/>
        <w:placeholder>
          <w:docPart w:val="GBC22222222222222222222222222222"/>
        </w:placeholder>
      </w:sdtPr>
      <w:sdtContent>
        <w:p w14:paraId="4CA44A5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C5748D" w14:textId="77777777" w:rsidR="00577D08" w:rsidRDefault="00330FC0">
      <w:pPr>
        <w:pStyle w:val="4"/>
        <w:numPr>
          <w:ilvl w:val="3"/>
          <w:numId w:val="115"/>
        </w:numPr>
        <w:ind w:left="426" w:hangingChars="202" w:hanging="426"/>
        <w:rPr>
          <w:rFonts w:hint="eastAsia"/>
        </w:rPr>
      </w:pPr>
      <w:r>
        <w:rPr>
          <w:rFonts w:hint="eastAsia"/>
        </w:rPr>
        <w:t>关联方资产转让、债务重组情况</w:t>
      </w:r>
    </w:p>
    <w:sdt>
      <w:sdtPr>
        <w:alias w:val="是否适用：关联方资产转让、债务重组情况[双击切换]"/>
        <w:tag w:val="_GBC_6f8fce72ce784c23aba8af28c51de336"/>
        <w:id w:val="1729415903"/>
        <w:placeholder>
          <w:docPart w:val="GBC22222222222222222222222222222"/>
        </w:placeholder>
      </w:sdtPr>
      <w:sdtContent>
        <w:p w14:paraId="131529DB"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F367DD" w14:textId="77777777" w:rsidR="00577D08" w:rsidRDefault="00330FC0">
      <w:pPr>
        <w:pStyle w:val="4"/>
        <w:numPr>
          <w:ilvl w:val="3"/>
          <w:numId w:val="115"/>
        </w:numPr>
        <w:ind w:left="426" w:hangingChars="202" w:hanging="426"/>
        <w:rPr>
          <w:rFonts w:hint="eastAsia"/>
        </w:rPr>
      </w:pPr>
      <w:r>
        <w:rPr>
          <w:rFonts w:hint="eastAsia"/>
        </w:rPr>
        <w:t>关键管理人员报酬</w:t>
      </w:r>
    </w:p>
    <w:sdt>
      <w:sdtPr>
        <w:alias w:val="是否适用：关键管理人员报酬[双击切换]"/>
        <w:tag w:val="_GBC_4768ccd806f845f4b6f5f0ec038ec747"/>
        <w:id w:val="-2073654477"/>
        <w:placeholder>
          <w:docPart w:val="GBC22222222222222222222222222222"/>
        </w:placeholder>
      </w:sdtPr>
      <w:sdtContent>
        <w:p w14:paraId="6DE450B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AF8741C" w14:textId="644AC8BD" w:rsidR="00577D08" w:rsidRDefault="00330FC0">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19049522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r w:rsidR="00CC5C32">
            <w:rPr>
              <w:rFonts w:ascii="Cambria" w:hAnsi="Cambria" w:cs="Cambria" w:hint="eastAsia"/>
            </w:rPr>
            <w:t xml:space="preserve"> </w:t>
          </w:r>
        </w:sdtContent>
      </w:sdt>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8824825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3273"/>
        <w:gridCol w:w="2501"/>
      </w:tblGrid>
      <w:tr w:rsidR="00577D08" w14:paraId="2E5958B0" w14:textId="77777777">
        <w:sdt>
          <w:sdtPr>
            <w:tag w:val="_PLD_3d38745be5c64397b1dab92289838da1"/>
            <w:id w:val="1869330414"/>
          </w:sdtPr>
          <w:sdtContent>
            <w:tc>
              <w:tcPr>
                <w:tcW w:w="3273" w:type="dxa"/>
                <w:tcBorders>
                  <w:top w:val="single" w:sz="4" w:space="0" w:color="auto"/>
                  <w:left w:val="single" w:sz="4" w:space="0" w:color="auto"/>
                  <w:bottom w:val="single" w:sz="4" w:space="0" w:color="auto"/>
                  <w:right w:val="single" w:sz="4" w:space="0" w:color="auto"/>
                </w:tcBorders>
                <w:vAlign w:val="center"/>
              </w:tcPr>
              <w:p w14:paraId="588B3FE5" w14:textId="77777777" w:rsidR="00577D08" w:rsidRDefault="00330FC0">
                <w:pPr>
                  <w:jc w:val="center"/>
                  <w:rPr>
                    <w:rFonts w:cs="Cambria"/>
                  </w:rPr>
                </w:pPr>
                <w:r>
                  <w:rPr>
                    <w:rFonts w:cs="Cambria" w:hint="eastAsia"/>
                  </w:rPr>
                  <w:t>项目</w:t>
                </w:r>
              </w:p>
            </w:tc>
          </w:sdtContent>
        </w:sdt>
        <w:sdt>
          <w:sdtPr>
            <w:tag w:val="_PLD_31133ff59dcf4a7b93a7991d1f435b05"/>
            <w:id w:val="2049188120"/>
          </w:sdtPr>
          <w:sdtContent>
            <w:tc>
              <w:tcPr>
                <w:tcW w:w="3273" w:type="dxa"/>
                <w:tcBorders>
                  <w:top w:val="single" w:sz="4" w:space="0" w:color="auto"/>
                  <w:left w:val="single" w:sz="4" w:space="0" w:color="auto"/>
                  <w:bottom w:val="single" w:sz="4" w:space="0" w:color="auto"/>
                  <w:right w:val="single" w:sz="4" w:space="0" w:color="auto"/>
                </w:tcBorders>
                <w:vAlign w:val="center"/>
              </w:tcPr>
              <w:p w14:paraId="711F196B" w14:textId="77777777" w:rsidR="00577D08" w:rsidRDefault="00330FC0">
                <w:pPr>
                  <w:jc w:val="center"/>
                  <w:rPr>
                    <w:rFonts w:cs="Cambria"/>
                  </w:rPr>
                </w:pPr>
                <w:r>
                  <w:rPr>
                    <w:rFonts w:cs="Cambria" w:hint="eastAsia"/>
                  </w:rPr>
                  <w:t>本期发生额</w:t>
                </w:r>
              </w:p>
            </w:tc>
          </w:sdtContent>
        </w:sdt>
        <w:sdt>
          <w:sdtPr>
            <w:tag w:val="_PLD_e08658a238f7419ca0d4ce3386ff565e"/>
            <w:id w:val="-200558780"/>
          </w:sdtPr>
          <w:sdtContent>
            <w:tc>
              <w:tcPr>
                <w:tcW w:w="2501" w:type="dxa"/>
                <w:tcBorders>
                  <w:top w:val="single" w:sz="4" w:space="0" w:color="auto"/>
                  <w:left w:val="single" w:sz="4" w:space="0" w:color="auto"/>
                  <w:bottom w:val="single" w:sz="4" w:space="0" w:color="auto"/>
                  <w:right w:val="single" w:sz="4" w:space="0" w:color="auto"/>
                </w:tcBorders>
                <w:vAlign w:val="center"/>
              </w:tcPr>
              <w:p w14:paraId="511F06EB" w14:textId="77777777" w:rsidR="00577D08" w:rsidRDefault="00330FC0">
                <w:pPr>
                  <w:jc w:val="center"/>
                  <w:rPr>
                    <w:rFonts w:cs="Cambria"/>
                  </w:rPr>
                </w:pPr>
                <w:r>
                  <w:rPr>
                    <w:rFonts w:cs="Cambria" w:hint="eastAsia"/>
                  </w:rPr>
                  <w:t>上期发生额</w:t>
                </w:r>
              </w:p>
            </w:tc>
          </w:sdtContent>
        </w:sdt>
      </w:tr>
      <w:tr w:rsidR="00577D08" w14:paraId="3EFDAD3E" w14:textId="77777777">
        <w:tc>
          <w:tcPr>
            <w:tcW w:w="3273" w:type="dxa"/>
            <w:tcBorders>
              <w:top w:val="single" w:sz="4" w:space="0" w:color="auto"/>
              <w:left w:val="single" w:sz="4" w:space="0" w:color="auto"/>
              <w:bottom w:val="single" w:sz="4" w:space="0" w:color="auto"/>
              <w:right w:val="single" w:sz="4" w:space="0" w:color="auto"/>
            </w:tcBorders>
            <w:vAlign w:val="center"/>
          </w:tcPr>
          <w:p w14:paraId="34AC2052" w14:textId="77777777" w:rsidR="00577D08" w:rsidRDefault="00330FC0">
            <w:pPr>
              <w:rPr>
                <w:rFonts w:cs="Cambria"/>
              </w:rPr>
            </w:pPr>
            <w:r>
              <w:rPr>
                <w:rFonts w:cs="Cambria" w:hint="eastAsia"/>
              </w:rPr>
              <w:t>关键管理人员报酬</w:t>
            </w:r>
          </w:p>
        </w:tc>
        <w:tc>
          <w:tcPr>
            <w:tcW w:w="3273" w:type="dxa"/>
            <w:tcBorders>
              <w:top w:val="single" w:sz="4" w:space="0" w:color="auto"/>
              <w:left w:val="single" w:sz="4" w:space="0" w:color="auto"/>
              <w:bottom w:val="single" w:sz="4" w:space="0" w:color="auto"/>
              <w:right w:val="single" w:sz="4" w:space="0" w:color="auto"/>
            </w:tcBorders>
          </w:tcPr>
          <w:p w14:paraId="4A60AF19" w14:textId="77777777" w:rsidR="00577D08" w:rsidRDefault="00330FC0">
            <w:pPr>
              <w:jc w:val="right"/>
              <w:rPr>
                <w:rFonts w:cs="Cambria"/>
              </w:rPr>
            </w:pPr>
            <w:r>
              <w:t>7,947,718.46</w:t>
            </w:r>
          </w:p>
        </w:tc>
        <w:tc>
          <w:tcPr>
            <w:tcW w:w="2501" w:type="dxa"/>
            <w:tcBorders>
              <w:top w:val="single" w:sz="4" w:space="0" w:color="auto"/>
              <w:left w:val="single" w:sz="4" w:space="0" w:color="auto"/>
              <w:bottom w:val="single" w:sz="4" w:space="0" w:color="auto"/>
              <w:right w:val="single" w:sz="4" w:space="0" w:color="auto"/>
            </w:tcBorders>
          </w:tcPr>
          <w:p w14:paraId="7A2A2C98" w14:textId="77777777" w:rsidR="00577D08" w:rsidRDefault="00330FC0">
            <w:pPr>
              <w:jc w:val="right"/>
              <w:rPr>
                <w:rFonts w:cs="Cambria"/>
              </w:rPr>
            </w:pPr>
            <w:r>
              <w:t>6,510,623.40</w:t>
            </w:r>
          </w:p>
        </w:tc>
      </w:tr>
    </w:tbl>
    <w:p w14:paraId="24EBFE43" w14:textId="77777777" w:rsidR="00577D08" w:rsidRDefault="00330FC0">
      <w:pPr>
        <w:pStyle w:val="4"/>
        <w:numPr>
          <w:ilvl w:val="3"/>
          <w:numId w:val="115"/>
        </w:numPr>
        <w:ind w:left="426" w:hangingChars="202" w:hanging="426"/>
        <w:rPr>
          <w:rFonts w:hint="eastAsia"/>
        </w:rPr>
      </w:pPr>
      <w:r>
        <w:rPr>
          <w:rFonts w:hint="eastAsia"/>
        </w:rPr>
        <w:t>其他关联交易</w:t>
      </w:r>
    </w:p>
    <w:sdt>
      <w:sdtPr>
        <w:rPr>
          <w:rFonts w:hint="eastAsia"/>
        </w:rPr>
        <w:alias w:val="是否适用：其他关联交易[双击切换]"/>
        <w:tag w:val="_GBC_a1203a07d7684e08bdc2f1959f1cb9ae"/>
        <w:id w:val="85428497"/>
        <w:placeholder>
          <w:docPart w:val="GBC22222222222222222222222222222"/>
        </w:placeholder>
      </w:sdtPr>
      <w:sdtContent>
        <w:p w14:paraId="0C8628E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1DC1A96" w14:textId="77777777" w:rsidR="00577D08" w:rsidRDefault="00330FC0">
      <w:pPr>
        <w:pStyle w:val="3"/>
        <w:numPr>
          <w:ilvl w:val="0"/>
          <w:numId w:val="114"/>
        </w:numPr>
        <w:ind w:left="450" w:hanging="450"/>
        <w:rPr>
          <w:rFonts w:ascii="宋体" w:hAnsi="宋体" w:cs="Arial" w:hint="eastAsia"/>
          <w:szCs w:val="21"/>
        </w:rPr>
      </w:pPr>
      <w:r>
        <w:rPr>
          <w:rFonts w:ascii="宋体" w:hAnsi="宋体" w:cs="Arial" w:hint="eastAsia"/>
          <w:szCs w:val="21"/>
        </w:rPr>
        <w:t>应收、应付关联方等未结算项目情况</w:t>
      </w:r>
    </w:p>
    <w:p w14:paraId="43F498DA" w14:textId="77777777" w:rsidR="00577D08" w:rsidRDefault="00330FC0">
      <w:pPr>
        <w:pStyle w:val="4"/>
        <w:numPr>
          <w:ilvl w:val="3"/>
          <w:numId w:val="116"/>
        </w:numPr>
        <w:ind w:left="426" w:hangingChars="202" w:hanging="426"/>
        <w:rPr>
          <w:rFonts w:ascii="宋体" w:hAnsi="宋体" w:cs="Arial" w:hint="eastAsia"/>
          <w:szCs w:val="21"/>
        </w:rPr>
      </w:pPr>
      <w:r>
        <w:rPr>
          <w:rFonts w:hint="eastAsia"/>
        </w:rPr>
        <w:t>应收项目</w:t>
      </w:r>
    </w:p>
    <w:sdt>
      <w:sdtPr>
        <w:rPr>
          <w:rFonts w:hint="eastAsia"/>
        </w:rPr>
        <w:alias w:val="是否适用：应收项目[双击切换]"/>
        <w:tag w:val="_GBC_4ae94d538d2e44ae839d59a1751a6d01"/>
        <w:id w:val="1137685850"/>
        <w:placeholder>
          <w:docPart w:val="GBC22222222222222222222222222222"/>
        </w:placeholder>
      </w:sdtPr>
      <w:sdtContent>
        <w:p w14:paraId="1998AB0E"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0E6F2FC" w14:textId="13C14F26" w:rsidR="00577D08" w:rsidRDefault="00330FC0">
      <w:pPr>
        <w:jc w:val="right"/>
      </w:pPr>
      <w:r>
        <w:rPr>
          <w:rFonts w:hint="eastAsia"/>
        </w:rPr>
        <w:t>单位：</w:t>
      </w:r>
      <w:sdt>
        <w:sdtPr>
          <w:rPr>
            <w:rFonts w:hint="eastAsia"/>
          </w:rPr>
          <w:alias w:val="单位：上市公司应收关联方款项"/>
          <w:tag w:val="_GBC_83968b233566404db428b085bcb695b8"/>
          <w:id w:val="-16246813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上市公司应收关联方款项"/>
          <w:tag w:val="_GBC_546206ef37784e9ca5284158e64b95dc"/>
          <w:id w:val="-8608986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1388"/>
        <w:gridCol w:w="1389"/>
        <w:gridCol w:w="1389"/>
        <w:gridCol w:w="1516"/>
        <w:gridCol w:w="1897"/>
      </w:tblGrid>
      <w:tr w:rsidR="00577D08" w14:paraId="438DA90E" w14:textId="77777777">
        <w:sdt>
          <w:sdtPr>
            <w:tag w:val="_PLD_c0c6dc2d23f94f929199b42c584f57ca"/>
            <w:id w:val="-31420791"/>
          </w:sdtPr>
          <w:sdtContent>
            <w:tc>
              <w:tcPr>
                <w:tcW w:w="1469" w:type="dxa"/>
                <w:vMerge w:val="restart"/>
                <w:tcBorders>
                  <w:top w:val="single" w:sz="4" w:space="0" w:color="auto"/>
                  <w:left w:val="single" w:sz="4" w:space="0" w:color="auto"/>
                  <w:right w:val="single" w:sz="4" w:space="0" w:color="auto"/>
                </w:tcBorders>
                <w:vAlign w:val="center"/>
              </w:tcPr>
              <w:p w14:paraId="0704582F" w14:textId="77777777" w:rsidR="00577D08" w:rsidRDefault="00330FC0">
                <w:pPr>
                  <w:jc w:val="center"/>
                </w:pPr>
                <w:r>
                  <w:rPr>
                    <w:rFonts w:hint="eastAsia"/>
                  </w:rPr>
                  <w:t>项目名称</w:t>
                </w:r>
              </w:p>
            </w:tc>
          </w:sdtContent>
        </w:sdt>
        <w:sdt>
          <w:sdtPr>
            <w:tag w:val="_PLD_56aedf077d5c4d3b814d04d193f71af7"/>
            <w:id w:val="1963760412"/>
          </w:sdtPr>
          <w:sdtContent>
            <w:tc>
              <w:tcPr>
                <w:tcW w:w="1388" w:type="dxa"/>
                <w:vMerge w:val="restart"/>
                <w:tcBorders>
                  <w:top w:val="single" w:sz="4" w:space="0" w:color="auto"/>
                  <w:left w:val="single" w:sz="4" w:space="0" w:color="auto"/>
                  <w:right w:val="single" w:sz="4" w:space="0" w:color="auto"/>
                </w:tcBorders>
                <w:vAlign w:val="center"/>
              </w:tcPr>
              <w:p w14:paraId="4CB7C41D" w14:textId="77777777" w:rsidR="00577D08" w:rsidRDefault="00330FC0">
                <w:pPr>
                  <w:jc w:val="center"/>
                </w:pPr>
                <w:r>
                  <w:rPr>
                    <w:rFonts w:hint="eastAsia"/>
                  </w:rPr>
                  <w:t>关联方</w:t>
                </w:r>
              </w:p>
            </w:tc>
          </w:sdtContent>
        </w:sdt>
        <w:sdt>
          <w:sdtPr>
            <w:tag w:val="_PLD_e8867e7b52fb42f4b447e445a20beebc"/>
            <w:id w:val="-394134378"/>
          </w:sdtPr>
          <w:sdtContent>
            <w:tc>
              <w:tcPr>
                <w:tcW w:w="2778" w:type="dxa"/>
                <w:gridSpan w:val="2"/>
                <w:tcBorders>
                  <w:top w:val="single" w:sz="4" w:space="0" w:color="auto"/>
                  <w:left w:val="single" w:sz="4" w:space="0" w:color="auto"/>
                  <w:bottom w:val="single" w:sz="4" w:space="0" w:color="auto"/>
                  <w:right w:val="single" w:sz="4" w:space="0" w:color="auto"/>
                </w:tcBorders>
                <w:vAlign w:val="center"/>
              </w:tcPr>
              <w:p w14:paraId="40EB597D" w14:textId="77777777" w:rsidR="00577D08" w:rsidRDefault="00330FC0">
                <w:pPr>
                  <w:jc w:val="center"/>
                </w:pPr>
                <w:r>
                  <w:rPr>
                    <w:rFonts w:hint="eastAsia"/>
                  </w:rPr>
                  <w:t>期末余额</w:t>
                </w:r>
              </w:p>
            </w:tc>
          </w:sdtContent>
        </w:sdt>
        <w:sdt>
          <w:sdtPr>
            <w:tag w:val="_PLD_6a4888e558004037a5faac678bea523c"/>
            <w:id w:val="1746522581"/>
          </w:sdtPr>
          <w:sdtContent>
            <w:tc>
              <w:tcPr>
                <w:tcW w:w="3413" w:type="dxa"/>
                <w:gridSpan w:val="2"/>
                <w:tcBorders>
                  <w:top w:val="single" w:sz="4" w:space="0" w:color="auto"/>
                  <w:left w:val="single" w:sz="4" w:space="0" w:color="auto"/>
                  <w:bottom w:val="single" w:sz="4" w:space="0" w:color="auto"/>
                  <w:right w:val="single" w:sz="4" w:space="0" w:color="auto"/>
                </w:tcBorders>
                <w:vAlign w:val="center"/>
              </w:tcPr>
              <w:p w14:paraId="1FD4D8CB" w14:textId="77777777" w:rsidR="00577D08" w:rsidRDefault="00330FC0">
                <w:pPr>
                  <w:jc w:val="center"/>
                </w:pPr>
                <w:r>
                  <w:rPr>
                    <w:rFonts w:hint="eastAsia"/>
                  </w:rPr>
                  <w:t>期初余额</w:t>
                </w:r>
              </w:p>
            </w:tc>
          </w:sdtContent>
        </w:sdt>
      </w:tr>
      <w:tr w:rsidR="00577D08" w14:paraId="1C4AEFDC" w14:textId="77777777">
        <w:tc>
          <w:tcPr>
            <w:tcW w:w="1469" w:type="dxa"/>
            <w:vMerge/>
            <w:tcBorders>
              <w:left w:val="single" w:sz="4" w:space="0" w:color="auto"/>
              <w:bottom w:val="single" w:sz="4" w:space="0" w:color="auto"/>
              <w:right w:val="single" w:sz="4" w:space="0" w:color="auto"/>
            </w:tcBorders>
            <w:vAlign w:val="center"/>
          </w:tcPr>
          <w:p w14:paraId="2C9B589A" w14:textId="77777777" w:rsidR="00577D08" w:rsidRDefault="00577D08">
            <w:pPr>
              <w:jc w:val="center"/>
            </w:pPr>
          </w:p>
        </w:tc>
        <w:tc>
          <w:tcPr>
            <w:tcW w:w="1388" w:type="dxa"/>
            <w:vMerge/>
            <w:tcBorders>
              <w:left w:val="single" w:sz="4" w:space="0" w:color="auto"/>
              <w:bottom w:val="single" w:sz="4" w:space="0" w:color="auto"/>
              <w:right w:val="single" w:sz="4" w:space="0" w:color="auto"/>
            </w:tcBorders>
            <w:vAlign w:val="center"/>
          </w:tcPr>
          <w:p w14:paraId="5EA2CF9B" w14:textId="77777777" w:rsidR="00577D08" w:rsidRDefault="00577D08">
            <w:pPr>
              <w:jc w:val="center"/>
            </w:pPr>
          </w:p>
        </w:tc>
        <w:sdt>
          <w:sdtPr>
            <w:tag w:val="_PLD_0545f54235344f978e1e8356e1b05042"/>
            <w:id w:val="814071285"/>
          </w:sdtPr>
          <w:sdtContent>
            <w:tc>
              <w:tcPr>
                <w:tcW w:w="1389" w:type="dxa"/>
                <w:tcBorders>
                  <w:top w:val="single" w:sz="4" w:space="0" w:color="auto"/>
                  <w:left w:val="single" w:sz="4" w:space="0" w:color="auto"/>
                  <w:bottom w:val="single" w:sz="4" w:space="0" w:color="auto"/>
                  <w:right w:val="single" w:sz="4" w:space="0" w:color="auto"/>
                </w:tcBorders>
                <w:vAlign w:val="center"/>
              </w:tcPr>
              <w:p w14:paraId="270347F9" w14:textId="77777777" w:rsidR="00577D08" w:rsidRDefault="00330FC0">
                <w:pPr>
                  <w:jc w:val="center"/>
                </w:pPr>
                <w:r>
                  <w:rPr>
                    <w:rFonts w:hint="eastAsia"/>
                  </w:rPr>
                  <w:t>账面余额</w:t>
                </w:r>
              </w:p>
            </w:tc>
          </w:sdtContent>
        </w:sdt>
        <w:sdt>
          <w:sdtPr>
            <w:tag w:val="_PLD_9e6982f3b5cd46e9b3be23eda364cd7a"/>
            <w:id w:val="-950551638"/>
          </w:sdtPr>
          <w:sdtContent>
            <w:tc>
              <w:tcPr>
                <w:tcW w:w="1389" w:type="dxa"/>
                <w:tcBorders>
                  <w:top w:val="single" w:sz="4" w:space="0" w:color="auto"/>
                  <w:left w:val="single" w:sz="4" w:space="0" w:color="auto"/>
                  <w:bottom w:val="single" w:sz="4" w:space="0" w:color="auto"/>
                  <w:right w:val="single" w:sz="4" w:space="0" w:color="auto"/>
                </w:tcBorders>
                <w:vAlign w:val="center"/>
              </w:tcPr>
              <w:p w14:paraId="43ECED0E" w14:textId="77777777" w:rsidR="00577D08" w:rsidRDefault="00330FC0">
                <w:pPr>
                  <w:jc w:val="center"/>
                </w:pPr>
                <w:r>
                  <w:rPr>
                    <w:rFonts w:hint="eastAsia"/>
                  </w:rPr>
                  <w:t>坏账准备</w:t>
                </w:r>
              </w:p>
            </w:tc>
          </w:sdtContent>
        </w:sdt>
        <w:sdt>
          <w:sdtPr>
            <w:tag w:val="_PLD_5c8e0a4ac99e4539bea932f77317d8de"/>
            <w:id w:val="-775093439"/>
          </w:sdtPr>
          <w:sdtContent>
            <w:tc>
              <w:tcPr>
                <w:tcW w:w="1516" w:type="dxa"/>
                <w:tcBorders>
                  <w:top w:val="single" w:sz="4" w:space="0" w:color="auto"/>
                  <w:left w:val="single" w:sz="4" w:space="0" w:color="auto"/>
                  <w:bottom w:val="single" w:sz="4" w:space="0" w:color="auto"/>
                  <w:right w:val="single" w:sz="4" w:space="0" w:color="auto"/>
                </w:tcBorders>
                <w:vAlign w:val="center"/>
              </w:tcPr>
              <w:p w14:paraId="734F0481" w14:textId="77777777" w:rsidR="00577D08" w:rsidRDefault="00330FC0">
                <w:pPr>
                  <w:jc w:val="center"/>
                </w:pPr>
                <w:r>
                  <w:rPr>
                    <w:rFonts w:hint="eastAsia"/>
                  </w:rPr>
                  <w:t>账面余额</w:t>
                </w:r>
              </w:p>
            </w:tc>
          </w:sdtContent>
        </w:sdt>
        <w:sdt>
          <w:sdtPr>
            <w:tag w:val="_PLD_c5afa9908d794831a4bc715802a1061d"/>
            <w:id w:val="814064229"/>
          </w:sdtPr>
          <w:sdtContent>
            <w:tc>
              <w:tcPr>
                <w:tcW w:w="1897" w:type="dxa"/>
                <w:tcBorders>
                  <w:top w:val="single" w:sz="4" w:space="0" w:color="auto"/>
                  <w:left w:val="single" w:sz="4" w:space="0" w:color="auto"/>
                  <w:bottom w:val="single" w:sz="4" w:space="0" w:color="auto"/>
                  <w:right w:val="single" w:sz="4" w:space="0" w:color="auto"/>
                </w:tcBorders>
                <w:vAlign w:val="center"/>
              </w:tcPr>
              <w:p w14:paraId="396CC193" w14:textId="77777777" w:rsidR="00577D08" w:rsidRDefault="00330FC0">
                <w:pPr>
                  <w:jc w:val="center"/>
                </w:pPr>
                <w:r>
                  <w:rPr>
                    <w:rFonts w:hint="eastAsia"/>
                  </w:rPr>
                  <w:t>坏账准备</w:t>
                </w:r>
              </w:p>
            </w:tc>
          </w:sdtContent>
        </w:sdt>
      </w:tr>
      <w:tr w:rsidR="00577D08" w14:paraId="62DB7B49" w14:textId="77777777">
        <w:tc>
          <w:tcPr>
            <w:tcW w:w="1469" w:type="dxa"/>
            <w:tcBorders>
              <w:top w:val="single" w:sz="4" w:space="0" w:color="auto"/>
              <w:left w:val="single" w:sz="4" w:space="0" w:color="auto"/>
              <w:bottom w:val="single" w:sz="4" w:space="0" w:color="auto"/>
              <w:right w:val="single" w:sz="4" w:space="0" w:color="auto"/>
            </w:tcBorders>
            <w:vAlign w:val="center"/>
          </w:tcPr>
          <w:p w14:paraId="01E07B08" w14:textId="77777777" w:rsidR="00577D08" w:rsidRDefault="00330FC0">
            <w:pPr>
              <w:autoSpaceDE w:val="0"/>
              <w:autoSpaceDN w:val="0"/>
              <w:adjustRightInd w:val="0"/>
              <w:jc w:val="both"/>
            </w:pPr>
            <w:r>
              <w:rPr>
                <w:rFonts w:hint="eastAsia"/>
              </w:rPr>
              <w:t>应收账款</w:t>
            </w:r>
          </w:p>
        </w:tc>
        <w:tc>
          <w:tcPr>
            <w:tcW w:w="1388" w:type="dxa"/>
            <w:tcBorders>
              <w:top w:val="single" w:sz="4" w:space="0" w:color="auto"/>
              <w:left w:val="single" w:sz="4" w:space="0" w:color="auto"/>
              <w:bottom w:val="single" w:sz="4" w:space="0" w:color="auto"/>
              <w:right w:val="single" w:sz="4" w:space="0" w:color="auto"/>
            </w:tcBorders>
          </w:tcPr>
          <w:p w14:paraId="1BDC868C" w14:textId="77777777" w:rsidR="00577D08" w:rsidRDefault="00330FC0">
            <w:pPr>
              <w:autoSpaceDE w:val="0"/>
              <w:autoSpaceDN w:val="0"/>
              <w:adjustRightInd w:val="0"/>
            </w:pPr>
            <w:r>
              <w:rPr>
                <w:rFonts w:hint="eastAsia"/>
              </w:rPr>
              <w:t>重庆能投长寿经开区售电有限公司</w:t>
            </w:r>
          </w:p>
        </w:tc>
        <w:tc>
          <w:tcPr>
            <w:tcW w:w="1389" w:type="dxa"/>
            <w:tcBorders>
              <w:top w:val="single" w:sz="4" w:space="0" w:color="auto"/>
              <w:left w:val="single" w:sz="4" w:space="0" w:color="auto"/>
              <w:bottom w:val="single" w:sz="4" w:space="0" w:color="auto"/>
              <w:right w:val="single" w:sz="4" w:space="0" w:color="auto"/>
            </w:tcBorders>
            <w:vAlign w:val="center"/>
          </w:tcPr>
          <w:p w14:paraId="76227BE1" w14:textId="77777777" w:rsidR="00577D08" w:rsidRDefault="00330FC0">
            <w:pPr>
              <w:autoSpaceDE w:val="0"/>
              <w:autoSpaceDN w:val="0"/>
              <w:adjustRightInd w:val="0"/>
              <w:jc w:val="right"/>
            </w:pPr>
            <w:r>
              <w:rPr>
                <w:rFonts w:hint="eastAsia"/>
              </w:rPr>
              <w:t>72,643.22</w:t>
            </w:r>
          </w:p>
        </w:tc>
        <w:tc>
          <w:tcPr>
            <w:tcW w:w="1389" w:type="dxa"/>
            <w:tcBorders>
              <w:top w:val="single" w:sz="4" w:space="0" w:color="auto"/>
              <w:left w:val="single" w:sz="4" w:space="0" w:color="auto"/>
              <w:bottom w:val="single" w:sz="4" w:space="0" w:color="auto"/>
              <w:right w:val="single" w:sz="4" w:space="0" w:color="auto"/>
            </w:tcBorders>
            <w:vAlign w:val="center"/>
          </w:tcPr>
          <w:p w14:paraId="23F76179" w14:textId="77777777" w:rsidR="00577D08" w:rsidRDefault="00330FC0">
            <w:pPr>
              <w:autoSpaceDE w:val="0"/>
              <w:autoSpaceDN w:val="0"/>
              <w:adjustRightInd w:val="0"/>
              <w:jc w:val="right"/>
            </w:pPr>
            <w:r>
              <w:rPr>
                <w:rFonts w:hint="eastAsia"/>
              </w:rPr>
              <w:t>3,871.82</w:t>
            </w:r>
          </w:p>
        </w:tc>
        <w:tc>
          <w:tcPr>
            <w:tcW w:w="1516" w:type="dxa"/>
            <w:tcBorders>
              <w:top w:val="single" w:sz="4" w:space="0" w:color="auto"/>
              <w:left w:val="single" w:sz="4" w:space="0" w:color="auto"/>
              <w:bottom w:val="single" w:sz="4" w:space="0" w:color="auto"/>
              <w:right w:val="single" w:sz="4" w:space="0" w:color="auto"/>
            </w:tcBorders>
            <w:vAlign w:val="center"/>
          </w:tcPr>
          <w:p w14:paraId="646326D0" w14:textId="77777777" w:rsidR="00577D08" w:rsidRDefault="00330FC0">
            <w:pPr>
              <w:autoSpaceDE w:val="0"/>
              <w:autoSpaceDN w:val="0"/>
              <w:adjustRightInd w:val="0"/>
              <w:jc w:val="right"/>
            </w:pPr>
            <w:r>
              <w:rPr>
                <w:rFonts w:hint="eastAsia"/>
              </w:rPr>
              <w:t>9,043.22</w:t>
            </w:r>
          </w:p>
        </w:tc>
        <w:tc>
          <w:tcPr>
            <w:tcW w:w="1897" w:type="dxa"/>
            <w:tcBorders>
              <w:top w:val="single" w:sz="4" w:space="0" w:color="auto"/>
              <w:left w:val="single" w:sz="4" w:space="0" w:color="auto"/>
              <w:bottom w:val="single" w:sz="4" w:space="0" w:color="auto"/>
              <w:right w:val="single" w:sz="4" w:space="0" w:color="auto"/>
            </w:tcBorders>
            <w:vAlign w:val="center"/>
          </w:tcPr>
          <w:p w14:paraId="4AD4DAD2" w14:textId="77777777" w:rsidR="00577D08" w:rsidRDefault="00330FC0">
            <w:pPr>
              <w:autoSpaceDE w:val="0"/>
              <w:autoSpaceDN w:val="0"/>
              <w:adjustRightInd w:val="0"/>
              <w:jc w:val="right"/>
            </w:pPr>
            <w:r>
              <w:rPr>
                <w:rFonts w:hint="eastAsia"/>
              </w:rPr>
              <w:t>452.16</w:t>
            </w:r>
          </w:p>
        </w:tc>
      </w:tr>
      <w:tr w:rsidR="00577D08" w14:paraId="73FE7E2F" w14:textId="77777777">
        <w:tc>
          <w:tcPr>
            <w:tcW w:w="1469" w:type="dxa"/>
            <w:tcBorders>
              <w:top w:val="single" w:sz="4" w:space="0" w:color="auto"/>
              <w:left w:val="single" w:sz="4" w:space="0" w:color="auto"/>
              <w:bottom w:val="single" w:sz="4" w:space="0" w:color="auto"/>
              <w:right w:val="single" w:sz="4" w:space="0" w:color="auto"/>
            </w:tcBorders>
            <w:vAlign w:val="center"/>
          </w:tcPr>
          <w:p w14:paraId="191586EC" w14:textId="77777777" w:rsidR="00577D08" w:rsidRDefault="00330FC0">
            <w:pPr>
              <w:autoSpaceDE w:val="0"/>
              <w:autoSpaceDN w:val="0"/>
              <w:adjustRightInd w:val="0"/>
              <w:jc w:val="both"/>
            </w:pPr>
            <w:r>
              <w:rPr>
                <w:rFonts w:hint="eastAsia"/>
              </w:rPr>
              <w:t>预付账款</w:t>
            </w:r>
          </w:p>
        </w:tc>
        <w:tc>
          <w:tcPr>
            <w:tcW w:w="1388" w:type="dxa"/>
            <w:tcBorders>
              <w:top w:val="single" w:sz="4" w:space="0" w:color="auto"/>
              <w:left w:val="single" w:sz="4" w:space="0" w:color="auto"/>
              <w:bottom w:val="single" w:sz="4" w:space="0" w:color="auto"/>
              <w:right w:val="single" w:sz="4" w:space="0" w:color="auto"/>
            </w:tcBorders>
          </w:tcPr>
          <w:p w14:paraId="69E5D8AF" w14:textId="77777777" w:rsidR="00577D08" w:rsidRDefault="00330FC0">
            <w:pPr>
              <w:autoSpaceDE w:val="0"/>
              <w:autoSpaceDN w:val="0"/>
              <w:adjustRightInd w:val="0"/>
            </w:pPr>
            <w:r>
              <w:rPr>
                <w:rFonts w:hint="eastAsia"/>
              </w:rPr>
              <w:t>重庆能投长寿经开区售电有限公司</w:t>
            </w:r>
          </w:p>
        </w:tc>
        <w:tc>
          <w:tcPr>
            <w:tcW w:w="1389" w:type="dxa"/>
            <w:tcBorders>
              <w:top w:val="single" w:sz="4" w:space="0" w:color="auto"/>
              <w:left w:val="single" w:sz="4" w:space="0" w:color="auto"/>
              <w:bottom w:val="single" w:sz="4" w:space="0" w:color="auto"/>
              <w:right w:val="single" w:sz="4" w:space="0" w:color="auto"/>
            </w:tcBorders>
            <w:vAlign w:val="center"/>
          </w:tcPr>
          <w:p w14:paraId="31B6A052" w14:textId="77777777" w:rsidR="00577D08" w:rsidRDefault="00330FC0">
            <w:pPr>
              <w:autoSpaceDE w:val="0"/>
              <w:autoSpaceDN w:val="0"/>
              <w:adjustRightInd w:val="0"/>
              <w:jc w:val="right"/>
            </w:pPr>
            <w:r>
              <w:rPr>
                <w:rFonts w:hint="eastAsia"/>
              </w:rPr>
              <w:t>10,000.00</w:t>
            </w:r>
          </w:p>
        </w:tc>
        <w:tc>
          <w:tcPr>
            <w:tcW w:w="1389" w:type="dxa"/>
            <w:tcBorders>
              <w:top w:val="single" w:sz="4" w:space="0" w:color="auto"/>
              <w:left w:val="single" w:sz="4" w:space="0" w:color="auto"/>
              <w:bottom w:val="single" w:sz="4" w:space="0" w:color="auto"/>
              <w:right w:val="single" w:sz="4" w:space="0" w:color="auto"/>
            </w:tcBorders>
            <w:vAlign w:val="center"/>
          </w:tcPr>
          <w:p w14:paraId="46312F19" w14:textId="77777777" w:rsidR="00577D08" w:rsidRDefault="00577D08">
            <w:pPr>
              <w:autoSpaceDE w:val="0"/>
              <w:autoSpaceDN w:val="0"/>
              <w:adjustRightInd w:val="0"/>
              <w:jc w:val="right"/>
            </w:pPr>
          </w:p>
        </w:tc>
        <w:tc>
          <w:tcPr>
            <w:tcW w:w="1516" w:type="dxa"/>
            <w:tcBorders>
              <w:top w:val="single" w:sz="4" w:space="0" w:color="auto"/>
              <w:left w:val="single" w:sz="4" w:space="0" w:color="auto"/>
              <w:bottom w:val="single" w:sz="4" w:space="0" w:color="auto"/>
              <w:right w:val="single" w:sz="4" w:space="0" w:color="auto"/>
            </w:tcBorders>
            <w:vAlign w:val="center"/>
          </w:tcPr>
          <w:p w14:paraId="67E8AC98" w14:textId="77777777" w:rsidR="00577D08" w:rsidRDefault="00577D08">
            <w:pPr>
              <w:autoSpaceDE w:val="0"/>
              <w:autoSpaceDN w:val="0"/>
              <w:adjustRightInd w:val="0"/>
              <w:jc w:val="right"/>
            </w:pPr>
          </w:p>
        </w:tc>
        <w:tc>
          <w:tcPr>
            <w:tcW w:w="1897" w:type="dxa"/>
            <w:tcBorders>
              <w:top w:val="single" w:sz="4" w:space="0" w:color="auto"/>
              <w:left w:val="single" w:sz="4" w:space="0" w:color="auto"/>
              <w:bottom w:val="single" w:sz="4" w:space="0" w:color="auto"/>
              <w:right w:val="single" w:sz="4" w:space="0" w:color="auto"/>
            </w:tcBorders>
            <w:vAlign w:val="center"/>
          </w:tcPr>
          <w:p w14:paraId="64322D3E" w14:textId="77777777" w:rsidR="00577D08" w:rsidRDefault="00577D08">
            <w:pPr>
              <w:autoSpaceDE w:val="0"/>
              <w:autoSpaceDN w:val="0"/>
              <w:adjustRightInd w:val="0"/>
              <w:jc w:val="right"/>
            </w:pPr>
          </w:p>
        </w:tc>
      </w:tr>
      <w:tr w:rsidR="00577D08" w14:paraId="7C12E598" w14:textId="77777777">
        <w:tc>
          <w:tcPr>
            <w:tcW w:w="1469" w:type="dxa"/>
            <w:tcBorders>
              <w:top w:val="single" w:sz="4" w:space="0" w:color="auto"/>
              <w:left w:val="single" w:sz="4" w:space="0" w:color="auto"/>
              <w:bottom w:val="single" w:sz="4" w:space="0" w:color="auto"/>
              <w:right w:val="single" w:sz="4" w:space="0" w:color="auto"/>
            </w:tcBorders>
          </w:tcPr>
          <w:p w14:paraId="053BC90A" w14:textId="77777777" w:rsidR="00577D08" w:rsidRDefault="00330FC0">
            <w:pPr>
              <w:autoSpaceDE w:val="0"/>
              <w:autoSpaceDN w:val="0"/>
              <w:adjustRightInd w:val="0"/>
              <w:jc w:val="both"/>
            </w:pPr>
            <w:r>
              <w:rPr>
                <w:rFonts w:hint="eastAsia"/>
              </w:rPr>
              <w:t>合计</w:t>
            </w:r>
          </w:p>
        </w:tc>
        <w:tc>
          <w:tcPr>
            <w:tcW w:w="1388" w:type="dxa"/>
            <w:tcBorders>
              <w:top w:val="single" w:sz="4" w:space="0" w:color="auto"/>
              <w:left w:val="single" w:sz="4" w:space="0" w:color="auto"/>
              <w:bottom w:val="single" w:sz="4" w:space="0" w:color="auto"/>
              <w:right w:val="single" w:sz="4" w:space="0" w:color="auto"/>
            </w:tcBorders>
          </w:tcPr>
          <w:p w14:paraId="619C30C4" w14:textId="77777777" w:rsidR="00577D08" w:rsidRDefault="00577D08">
            <w:pPr>
              <w:autoSpaceDE w:val="0"/>
              <w:autoSpaceDN w:val="0"/>
              <w:adjustRightInd w:val="0"/>
            </w:pPr>
          </w:p>
        </w:tc>
        <w:tc>
          <w:tcPr>
            <w:tcW w:w="1389" w:type="dxa"/>
            <w:tcBorders>
              <w:top w:val="single" w:sz="4" w:space="0" w:color="auto"/>
              <w:left w:val="single" w:sz="4" w:space="0" w:color="auto"/>
              <w:bottom w:val="single" w:sz="4" w:space="0" w:color="auto"/>
              <w:right w:val="single" w:sz="4" w:space="0" w:color="auto"/>
            </w:tcBorders>
          </w:tcPr>
          <w:p w14:paraId="4007A885" w14:textId="77777777" w:rsidR="00577D08" w:rsidRDefault="00330FC0">
            <w:pPr>
              <w:autoSpaceDE w:val="0"/>
              <w:autoSpaceDN w:val="0"/>
              <w:adjustRightInd w:val="0"/>
              <w:jc w:val="right"/>
            </w:pPr>
            <w:r>
              <w:rPr>
                <w:rFonts w:hint="eastAsia"/>
              </w:rPr>
              <w:t>82,643.22</w:t>
            </w:r>
          </w:p>
        </w:tc>
        <w:tc>
          <w:tcPr>
            <w:tcW w:w="1389" w:type="dxa"/>
            <w:tcBorders>
              <w:top w:val="single" w:sz="4" w:space="0" w:color="auto"/>
              <w:left w:val="single" w:sz="4" w:space="0" w:color="auto"/>
              <w:bottom w:val="single" w:sz="4" w:space="0" w:color="auto"/>
              <w:right w:val="single" w:sz="4" w:space="0" w:color="auto"/>
            </w:tcBorders>
          </w:tcPr>
          <w:p w14:paraId="00D8BD94" w14:textId="77777777" w:rsidR="00577D08" w:rsidRDefault="00330FC0">
            <w:pPr>
              <w:autoSpaceDE w:val="0"/>
              <w:autoSpaceDN w:val="0"/>
              <w:adjustRightInd w:val="0"/>
              <w:jc w:val="right"/>
            </w:pPr>
            <w:r>
              <w:rPr>
                <w:rFonts w:hint="eastAsia"/>
              </w:rPr>
              <w:t>3,871.82</w:t>
            </w:r>
          </w:p>
        </w:tc>
        <w:tc>
          <w:tcPr>
            <w:tcW w:w="1516" w:type="dxa"/>
            <w:tcBorders>
              <w:top w:val="single" w:sz="4" w:space="0" w:color="auto"/>
              <w:left w:val="single" w:sz="4" w:space="0" w:color="auto"/>
              <w:bottom w:val="single" w:sz="4" w:space="0" w:color="auto"/>
              <w:right w:val="single" w:sz="4" w:space="0" w:color="auto"/>
            </w:tcBorders>
          </w:tcPr>
          <w:p w14:paraId="15ED8047" w14:textId="77777777" w:rsidR="00577D08" w:rsidRDefault="00330FC0">
            <w:pPr>
              <w:autoSpaceDE w:val="0"/>
              <w:autoSpaceDN w:val="0"/>
              <w:adjustRightInd w:val="0"/>
              <w:jc w:val="right"/>
            </w:pPr>
            <w:r>
              <w:rPr>
                <w:rFonts w:hint="eastAsia"/>
              </w:rPr>
              <w:t>9,043.22</w:t>
            </w:r>
          </w:p>
        </w:tc>
        <w:tc>
          <w:tcPr>
            <w:tcW w:w="1897" w:type="dxa"/>
            <w:tcBorders>
              <w:top w:val="single" w:sz="4" w:space="0" w:color="auto"/>
              <w:left w:val="single" w:sz="4" w:space="0" w:color="auto"/>
              <w:bottom w:val="single" w:sz="4" w:space="0" w:color="auto"/>
              <w:right w:val="single" w:sz="4" w:space="0" w:color="auto"/>
            </w:tcBorders>
          </w:tcPr>
          <w:p w14:paraId="535EEF65" w14:textId="77777777" w:rsidR="00577D08" w:rsidRDefault="00330FC0">
            <w:pPr>
              <w:autoSpaceDE w:val="0"/>
              <w:autoSpaceDN w:val="0"/>
              <w:adjustRightInd w:val="0"/>
              <w:jc w:val="right"/>
            </w:pPr>
            <w:r>
              <w:rPr>
                <w:rFonts w:hint="eastAsia"/>
              </w:rPr>
              <w:t>452.16</w:t>
            </w:r>
          </w:p>
        </w:tc>
      </w:tr>
    </w:tbl>
    <w:p w14:paraId="7BFEEFF3" w14:textId="77777777" w:rsidR="00577D08" w:rsidRDefault="00330FC0">
      <w:pPr>
        <w:pStyle w:val="4"/>
        <w:numPr>
          <w:ilvl w:val="3"/>
          <w:numId w:val="116"/>
        </w:numPr>
        <w:ind w:left="426" w:hangingChars="202" w:hanging="426"/>
        <w:rPr>
          <w:rFonts w:hint="eastAsia"/>
        </w:rPr>
      </w:pPr>
      <w:r>
        <w:rPr>
          <w:rFonts w:hint="eastAsia"/>
        </w:rPr>
        <w:t>应付项目</w:t>
      </w:r>
    </w:p>
    <w:sdt>
      <w:sdtPr>
        <w:rPr>
          <w:rFonts w:hint="eastAsia"/>
        </w:rPr>
        <w:alias w:val="是否适用：应付项目[双击切换]"/>
        <w:tag w:val="_GBC_41bc31a1fefb4e25918c1ece7c27be62"/>
        <w:id w:val="1601376140"/>
        <w:placeholder>
          <w:docPart w:val="GBC22222222222222222222222222222"/>
        </w:placeholder>
      </w:sdtPr>
      <w:sdtContent>
        <w:p w14:paraId="7E4847AB"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5F257D8" w14:textId="192AAF05" w:rsidR="00577D08" w:rsidRDefault="00330FC0">
      <w:pPr>
        <w:jc w:val="right"/>
      </w:pPr>
      <w:r>
        <w:rPr>
          <w:rFonts w:hint="eastAsia"/>
        </w:rPr>
        <w:t>单位：</w:t>
      </w:r>
      <w:sdt>
        <w:sdtPr>
          <w:rPr>
            <w:rFonts w:hint="eastAsia"/>
          </w:rPr>
          <w:alias w:val="单位：上市公司应付关联方款项"/>
          <w:tag w:val="_GBC_dda5edeadff34e4f829b49a813d869a1"/>
          <w:id w:val="-13368397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上市公司应付关联方款项"/>
          <w:tag w:val="_GBC_5830ef25ff41407f8d8b3fde33e4bdf1"/>
          <w:id w:val="-6594652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4"/>
        <w:gridCol w:w="2083"/>
        <w:gridCol w:w="2084"/>
        <w:gridCol w:w="2716"/>
      </w:tblGrid>
      <w:tr w:rsidR="00577D08" w14:paraId="59C9288A" w14:textId="77777777">
        <w:sdt>
          <w:sdtPr>
            <w:tag w:val="_PLD_e606617d378f48ec942565c9488249ee"/>
            <w:id w:val="1261408490"/>
          </w:sdtPr>
          <w:sdtContent>
            <w:tc>
              <w:tcPr>
                <w:tcW w:w="2164" w:type="dxa"/>
                <w:tcBorders>
                  <w:top w:val="single" w:sz="4" w:space="0" w:color="auto"/>
                  <w:left w:val="single" w:sz="4" w:space="0" w:color="auto"/>
                  <w:right w:val="single" w:sz="4" w:space="0" w:color="auto"/>
                </w:tcBorders>
                <w:vAlign w:val="center"/>
              </w:tcPr>
              <w:p w14:paraId="2D20C286" w14:textId="77777777" w:rsidR="00577D08" w:rsidRDefault="00330FC0">
                <w:pPr>
                  <w:jc w:val="center"/>
                </w:pPr>
                <w:r>
                  <w:rPr>
                    <w:rFonts w:hint="eastAsia"/>
                  </w:rPr>
                  <w:t>项目名称</w:t>
                </w:r>
              </w:p>
            </w:tc>
          </w:sdtContent>
        </w:sdt>
        <w:sdt>
          <w:sdtPr>
            <w:tag w:val="_PLD_8c0f65fb9987497db9d8cb750665f14a"/>
            <w:id w:val="-1157222275"/>
          </w:sdtPr>
          <w:sdtContent>
            <w:tc>
              <w:tcPr>
                <w:tcW w:w="2083" w:type="dxa"/>
                <w:tcBorders>
                  <w:top w:val="single" w:sz="4" w:space="0" w:color="auto"/>
                  <w:left w:val="single" w:sz="4" w:space="0" w:color="auto"/>
                  <w:right w:val="single" w:sz="4" w:space="0" w:color="auto"/>
                </w:tcBorders>
                <w:vAlign w:val="center"/>
              </w:tcPr>
              <w:p w14:paraId="5CD36C57" w14:textId="77777777" w:rsidR="00577D08" w:rsidRDefault="00330FC0">
                <w:pPr>
                  <w:jc w:val="center"/>
                </w:pPr>
                <w:r>
                  <w:rPr>
                    <w:rFonts w:hint="eastAsia"/>
                  </w:rPr>
                  <w:t>关联方</w:t>
                </w:r>
              </w:p>
            </w:tc>
          </w:sdtContent>
        </w:sdt>
        <w:sdt>
          <w:sdtPr>
            <w:tag w:val="_PLD_6abb3a201708442494b9fede0eddf518"/>
            <w:id w:val="1797406268"/>
          </w:sdtPr>
          <w:sdtContent>
            <w:tc>
              <w:tcPr>
                <w:tcW w:w="2084" w:type="dxa"/>
                <w:tcBorders>
                  <w:top w:val="single" w:sz="4" w:space="0" w:color="auto"/>
                  <w:left w:val="single" w:sz="4" w:space="0" w:color="auto"/>
                  <w:bottom w:val="single" w:sz="4" w:space="0" w:color="auto"/>
                  <w:right w:val="single" w:sz="4" w:space="0" w:color="auto"/>
                </w:tcBorders>
                <w:vAlign w:val="center"/>
              </w:tcPr>
              <w:p w14:paraId="35F02165" w14:textId="77777777" w:rsidR="00577D08" w:rsidRDefault="00330FC0">
                <w:pPr>
                  <w:jc w:val="center"/>
                </w:pPr>
                <w:r>
                  <w:rPr>
                    <w:rFonts w:hint="eastAsia"/>
                  </w:rPr>
                  <w:t>期末账面余额</w:t>
                </w:r>
              </w:p>
            </w:tc>
          </w:sdtContent>
        </w:sdt>
        <w:sdt>
          <w:sdtPr>
            <w:tag w:val="_PLD_55efe2bab54445818fecaf16ed9366f9"/>
            <w:id w:val="-954561248"/>
          </w:sdtPr>
          <w:sdtContent>
            <w:tc>
              <w:tcPr>
                <w:tcW w:w="2716" w:type="dxa"/>
                <w:tcBorders>
                  <w:top w:val="single" w:sz="4" w:space="0" w:color="auto"/>
                  <w:left w:val="single" w:sz="4" w:space="0" w:color="auto"/>
                  <w:bottom w:val="single" w:sz="4" w:space="0" w:color="auto"/>
                  <w:right w:val="single" w:sz="4" w:space="0" w:color="auto"/>
                </w:tcBorders>
                <w:vAlign w:val="center"/>
              </w:tcPr>
              <w:p w14:paraId="583DE6B9" w14:textId="77777777" w:rsidR="00577D08" w:rsidRDefault="00330FC0">
                <w:pPr>
                  <w:jc w:val="center"/>
                </w:pPr>
                <w:r>
                  <w:rPr>
                    <w:rFonts w:hint="eastAsia"/>
                  </w:rPr>
                  <w:t>期初账面余额</w:t>
                </w:r>
              </w:p>
            </w:tc>
          </w:sdtContent>
        </w:sdt>
      </w:tr>
      <w:tr w:rsidR="00577D08" w14:paraId="7AEE7FC1" w14:textId="77777777">
        <w:tc>
          <w:tcPr>
            <w:tcW w:w="2164" w:type="dxa"/>
            <w:tcBorders>
              <w:top w:val="single" w:sz="4" w:space="0" w:color="auto"/>
              <w:left w:val="single" w:sz="4" w:space="0" w:color="auto"/>
              <w:bottom w:val="single" w:sz="4" w:space="0" w:color="auto"/>
              <w:right w:val="single" w:sz="4" w:space="0" w:color="auto"/>
            </w:tcBorders>
            <w:vAlign w:val="center"/>
          </w:tcPr>
          <w:p w14:paraId="15250E1A" w14:textId="77777777" w:rsidR="00577D08" w:rsidRDefault="00330FC0">
            <w:pPr>
              <w:autoSpaceDE w:val="0"/>
              <w:autoSpaceDN w:val="0"/>
              <w:adjustRightInd w:val="0"/>
              <w:jc w:val="both"/>
            </w:pPr>
            <w:r>
              <w:rPr>
                <w:rFonts w:hint="eastAsia"/>
              </w:rPr>
              <w:t>应付账款</w:t>
            </w:r>
          </w:p>
        </w:tc>
        <w:tc>
          <w:tcPr>
            <w:tcW w:w="2083" w:type="dxa"/>
            <w:tcBorders>
              <w:top w:val="single" w:sz="4" w:space="0" w:color="auto"/>
              <w:left w:val="single" w:sz="4" w:space="0" w:color="auto"/>
              <w:bottom w:val="single" w:sz="4" w:space="0" w:color="auto"/>
              <w:right w:val="single" w:sz="4" w:space="0" w:color="auto"/>
            </w:tcBorders>
          </w:tcPr>
          <w:p w14:paraId="499AB85D" w14:textId="77777777" w:rsidR="00577D08" w:rsidRDefault="00330FC0">
            <w:pPr>
              <w:autoSpaceDE w:val="0"/>
              <w:autoSpaceDN w:val="0"/>
              <w:adjustRightInd w:val="0"/>
            </w:pPr>
            <w:r>
              <w:rPr>
                <w:rFonts w:hint="eastAsia"/>
              </w:rPr>
              <w:t>四川明珠电工材料有限责任公司</w:t>
            </w:r>
          </w:p>
        </w:tc>
        <w:tc>
          <w:tcPr>
            <w:tcW w:w="2084" w:type="dxa"/>
            <w:tcBorders>
              <w:top w:val="single" w:sz="4" w:space="0" w:color="auto"/>
              <w:left w:val="single" w:sz="4" w:space="0" w:color="auto"/>
              <w:bottom w:val="single" w:sz="4" w:space="0" w:color="auto"/>
              <w:right w:val="single" w:sz="4" w:space="0" w:color="auto"/>
            </w:tcBorders>
            <w:vAlign w:val="center"/>
          </w:tcPr>
          <w:p w14:paraId="4F9F951C" w14:textId="77777777" w:rsidR="00577D08" w:rsidRDefault="00330FC0">
            <w:pPr>
              <w:autoSpaceDE w:val="0"/>
              <w:autoSpaceDN w:val="0"/>
              <w:adjustRightInd w:val="0"/>
              <w:jc w:val="right"/>
            </w:pPr>
            <w:r>
              <w:rPr>
                <w:rFonts w:hint="eastAsia"/>
              </w:rPr>
              <w:t>4,903,388.24</w:t>
            </w:r>
          </w:p>
        </w:tc>
        <w:tc>
          <w:tcPr>
            <w:tcW w:w="2716" w:type="dxa"/>
            <w:tcBorders>
              <w:top w:val="single" w:sz="4" w:space="0" w:color="auto"/>
              <w:left w:val="single" w:sz="4" w:space="0" w:color="auto"/>
              <w:bottom w:val="single" w:sz="4" w:space="0" w:color="auto"/>
              <w:right w:val="single" w:sz="4" w:space="0" w:color="auto"/>
            </w:tcBorders>
            <w:vAlign w:val="center"/>
          </w:tcPr>
          <w:p w14:paraId="38283E65" w14:textId="77777777" w:rsidR="00577D08" w:rsidRDefault="00330FC0">
            <w:pPr>
              <w:autoSpaceDE w:val="0"/>
              <w:autoSpaceDN w:val="0"/>
              <w:adjustRightInd w:val="0"/>
              <w:jc w:val="right"/>
            </w:pPr>
            <w:r>
              <w:rPr>
                <w:rFonts w:hint="eastAsia"/>
              </w:rPr>
              <w:t>11,356,660.61</w:t>
            </w:r>
          </w:p>
        </w:tc>
      </w:tr>
      <w:tr w:rsidR="00577D08" w14:paraId="20FB5194" w14:textId="77777777">
        <w:tc>
          <w:tcPr>
            <w:tcW w:w="2164" w:type="dxa"/>
            <w:tcBorders>
              <w:top w:val="single" w:sz="4" w:space="0" w:color="auto"/>
              <w:left w:val="single" w:sz="4" w:space="0" w:color="auto"/>
              <w:bottom w:val="single" w:sz="4" w:space="0" w:color="auto"/>
              <w:right w:val="single" w:sz="4" w:space="0" w:color="auto"/>
            </w:tcBorders>
            <w:vAlign w:val="center"/>
          </w:tcPr>
          <w:p w14:paraId="2AA811DD" w14:textId="77777777" w:rsidR="00577D08" w:rsidRDefault="00330FC0">
            <w:pPr>
              <w:autoSpaceDE w:val="0"/>
              <w:autoSpaceDN w:val="0"/>
              <w:adjustRightInd w:val="0"/>
              <w:jc w:val="both"/>
            </w:pPr>
            <w:r>
              <w:rPr>
                <w:rFonts w:hint="eastAsia"/>
              </w:rPr>
              <w:t>应付账款</w:t>
            </w:r>
          </w:p>
        </w:tc>
        <w:tc>
          <w:tcPr>
            <w:tcW w:w="2083" w:type="dxa"/>
            <w:tcBorders>
              <w:top w:val="single" w:sz="4" w:space="0" w:color="auto"/>
              <w:left w:val="single" w:sz="4" w:space="0" w:color="auto"/>
              <w:bottom w:val="single" w:sz="4" w:space="0" w:color="auto"/>
              <w:right w:val="single" w:sz="4" w:space="0" w:color="auto"/>
            </w:tcBorders>
          </w:tcPr>
          <w:p w14:paraId="0CC223C7" w14:textId="77777777" w:rsidR="00577D08" w:rsidRDefault="00330FC0">
            <w:pPr>
              <w:autoSpaceDE w:val="0"/>
              <w:autoSpaceDN w:val="0"/>
              <w:adjustRightInd w:val="0"/>
            </w:pPr>
            <w:r>
              <w:rPr>
                <w:rFonts w:hint="eastAsia"/>
              </w:rPr>
              <w:t>重庆能投长寿经开区售电有限公司</w:t>
            </w:r>
          </w:p>
        </w:tc>
        <w:tc>
          <w:tcPr>
            <w:tcW w:w="2084" w:type="dxa"/>
            <w:tcBorders>
              <w:top w:val="single" w:sz="4" w:space="0" w:color="auto"/>
              <w:left w:val="single" w:sz="4" w:space="0" w:color="auto"/>
              <w:bottom w:val="single" w:sz="4" w:space="0" w:color="auto"/>
              <w:right w:val="single" w:sz="4" w:space="0" w:color="auto"/>
            </w:tcBorders>
            <w:vAlign w:val="center"/>
          </w:tcPr>
          <w:p w14:paraId="0EE350A1" w14:textId="77777777" w:rsidR="00577D08" w:rsidRDefault="00577D08">
            <w:pPr>
              <w:autoSpaceDE w:val="0"/>
              <w:autoSpaceDN w:val="0"/>
              <w:adjustRightInd w:val="0"/>
              <w:jc w:val="right"/>
            </w:pPr>
          </w:p>
        </w:tc>
        <w:tc>
          <w:tcPr>
            <w:tcW w:w="2716" w:type="dxa"/>
            <w:tcBorders>
              <w:top w:val="single" w:sz="4" w:space="0" w:color="auto"/>
              <w:left w:val="single" w:sz="4" w:space="0" w:color="auto"/>
              <w:bottom w:val="single" w:sz="4" w:space="0" w:color="auto"/>
              <w:right w:val="single" w:sz="4" w:space="0" w:color="auto"/>
            </w:tcBorders>
            <w:vAlign w:val="center"/>
          </w:tcPr>
          <w:p w14:paraId="4198E0F8" w14:textId="77777777" w:rsidR="00577D08" w:rsidRDefault="00330FC0">
            <w:pPr>
              <w:autoSpaceDE w:val="0"/>
              <w:autoSpaceDN w:val="0"/>
              <w:adjustRightInd w:val="0"/>
              <w:jc w:val="right"/>
            </w:pPr>
            <w:r>
              <w:rPr>
                <w:rFonts w:hint="eastAsia"/>
              </w:rPr>
              <w:t>10,000.00</w:t>
            </w:r>
          </w:p>
        </w:tc>
      </w:tr>
      <w:tr w:rsidR="00577D08" w14:paraId="550EF530" w14:textId="77777777">
        <w:tc>
          <w:tcPr>
            <w:tcW w:w="2164" w:type="dxa"/>
            <w:tcBorders>
              <w:top w:val="single" w:sz="4" w:space="0" w:color="auto"/>
              <w:left w:val="single" w:sz="4" w:space="0" w:color="auto"/>
              <w:bottom w:val="single" w:sz="4" w:space="0" w:color="auto"/>
              <w:right w:val="single" w:sz="4" w:space="0" w:color="auto"/>
            </w:tcBorders>
            <w:vAlign w:val="center"/>
          </w:tcPr>
          <w:p w14:paraId="6475592E" w14:textId="77777777" w:rsidR="00577D08" w:rsidRDefault="00330FC0">
            <w:pPr>
              <w:autoSpaceDE w:val="0"/>
              <w:autoSpaceDN w:val="0"/>
              <w:adjustRightInd w:val="0"/>
              <w:jc w:val="both"/>
            </w:pPr>
            <w:r>
              <w:rPr>
                <w:rFonts w:hint="eastAsia"/>
              </w:rPr>
              <w:t>应付账款</w:t>
            </w:r>
          </w:p>
        </w:tc>
        <w:tc>
          <w:tcPr>
            <w:tcW w:w="2083" w:type="dxa"/>
            <w:tcBorders>
              <w:top w:val="single" w:sz="4" w:space="0" w:color="auto"/>
              <w:left w:val="single" w:sz="4" w:space="0" w:color="auto"/>
              <w:bottom w:val="single" w:sz="4" w:space="0" w:color="auto"/>
              <w:right w:val="single" w:sz="4" w:space="0" w:color="auto"/>
            </w:tcBorders>
          </w:tcPr>
          <w:p w14:paraId="04EB1F51" w14:textId="77777777" w:rsidR="00577D08" w:rsidRDefault="00330FC0">
            <w:pPr>
              <w:autoSpaceDE w:val="0"/>
              <w:autoSpaceDN w:val="0"/>
              <w:adjustRightInd w:val="0"/>
            </w:pPr>
            <w:r>
              <w:rPr>
                <w:rFonts w:hint="eastAsia"/>
              </w:rPr>
              <w:t>深圳南海电气科技有限公司</w:t>
            </w:r>
          </w:p>
        </w:tc>
        <w:tc>
          <w:tcPr>
            <w:tcW w:w="2084" w:type="dxa"/>
            <w:tcBorders>
              <w:top w:val="single" w:sz="4" w:space="0" w:color="auto"/>
              <w:left w:val="single" w:sz="4" w:space="0" w:color="auto"/>
              <w:bottom w:val="single" w:sz="4" w:space="0" w:color="auto"/>
              <w:right w:val="single" w:sz="4" w:space="0" w:color="auto"/>
            </w:tcBorders>
            <w:vAlign w:val="center"/>
          </w:tcPr>
          <w:p w14:paraId="4B1D2597" w14:textId="77777777" w:rsidR="00577D08" w:rsidRDefault="00330FC0">
            <w:pPr>
              <w:autoSpaceDE w:val="0"/>
              <w:autoSpaceDN w:val="0"/>
              <w:adjustRightInd w:val="0"/>
              <w:jc w:val="right"/>
            </w:pPr>
            <w:r>
              <w:rPr>
                <w:rFonts w:hint="eastAsia"/>
              </w:rPr>
              <w:t>50,850.00</w:t>
            </w:r>
          </w:p>
        </w:tc>
        <w:tc>
          <w:tcPr>
            <w:tcW w:w="2716" w:type="dxa"/>
            <w:tcBorders>
              <w:top w:val="single" w:sz="4" w:space="0" w:color="auto"/>
              <w:left w:val="single" w:sz="4" w:space="0" w:color="auto"/>
              <w:bottom w:val="single" w:sz="4" w:space="0" w:color="auto"/>
              <w:right w:val="single" w:sz="4" w:space="0" w:color="auto"/>
            </w:tcBorders>
            <w:vAlign w:val="center"/>
          </w:tcPr>
          <w:p w14:paraId="3837F06A" w14:textId="77777777" w:rsidR="00577D08" w:rsidRDefault="00577D08">
            <w:pPr>
              <w:autoSpaceDE w:val="0"/>
              <w:autoSpaceDN w:val="0"/>
              <w:adjustRightInd w:val="0"/>
              <w:jc w:val="right"/>
            </w:pPr>
          </w:p>
        </w:tc>
      </w:tr>
      <w:tr w:rsidR="00577D08" w14:paraId="2E5EF65C" w14:textId="77777777">
        <w:tc>
          <w:tcPr>
            <w:tcW w:w="2164" w:type="dxa"/>
            <w:tcBorders>
              <w:top w:val="single" w:sz="4" w:space="0" w:color="auto"/>
              <w:left w:val="single" w:sz="4" w:space="0" w:color="auto"/>
              <w:bottom w:val="single" w:sz="4" w:space="0" w:color="auto"/>
              <w:right w:val="single" w:sz="4" w:space="0" w:color="auto"/>
            </w:tcBorders>
            <w:vAlign w:val="center"/>
          </w:tcPr>
          <w:p w14:paraId="39E114BE" w14:textId="77777777" w:rsidR="00577D08" w:rsidRDefault="00330FC0">
            <w:pPr>
              <w:autoSpaceDE w:val="0"/>
              <w:autoSpaceDN w:val="0"/>
              <w:adjustRightInd w:val="0"/>
              <w:jc w:val="both"/>
            </w:pPr>
            <w:r>
              <w:rPr>
                <w:rFonts w:hint="eastAsia"/>
              </w:rPr>
              <w:t>合计</w:t>
            </w:r>
          </w:p>
        </w:tc>
        <w:tc>
          <w:tcPr>
            <w:tcW w:w="2083" w:type="dxa"/>
            <w:tcBorders>
              <w:top w:val="single" w:sz="4" w:space="0" w:color="auto"/>
              <w:left w:val="single" w:sz="4" w:space="0" w:color="auto"/>
              <w:bottom w:val="single" w:sz="4" w:space="0" w:color="auto"/>
              <w:right w:val="single" w:sz="4" w:space="0" w:color="auto"/>
            </w:tcBorders>
          </w:tcPr>
          <w:p w14:paraId="0AE5A2DB" w14:textId="77777777" w:rsidR="00577D08" w:rsidRDefault="00577D08">
            <w:pPr>
              <w:autoSpaceDE w:val="0"/>
              <w:autoSpaceDN w:val="0"/>
              <w:adjustRightInd w:val="0"/>
            </w:pPr>
          </w:p>
        </w:tc>
        <w:tc>
          <w:tcPr>
            <w:tcW w:w="2084" w:type="dxa"/>
            <w:tcBorders>
              <w:top w:val="single" w:sz="4" w:space="0" w:color="auto"/>
              <w:left w:val="single" w:sz="4" w:space="0" w:color="auto"/>
              <w:bottom w:val="single" w:sz="4" w:space="0" w:color="auto"/>
              <w:right w:val="single" w:sz="4" w:space="0" w:color="auto"/>
            </w:tcBorders>
            <w:vAlign w:val="center"/>
          </w:tcPr>
          <w:p w14:paraId="26A55944" w14:textId="77777777" w:rsidR="00577D08" w:rsidRDefault="00330FC0">
            <w:pPr>
              <w:autoSpaceDE w:val="0"/>
              <w:autoSpaceDN w:val="0"/>
              <w:adjustRightInd w:val="0"/>
              <w:jc w:val="right"/>
            </w:pPr>
            <w:r>
              <w:rPr>
                <w:rFonts w:hint="eastAsia"/>
              </w:rPr>
              <w:t>4,954,238.24</w:t>
            </w:r>
          </w:p>
        </w:tc>
        <w:tc>
          <w:tcPr>
            <w:tcW w:w="2716" w:type="dxa"/>
            <w:tcBorders>
              <w:top w:val="single" w:sz="4" w:space="0" w:color="auto"/>
              <w:left w:val="single" w:sz="4" w:space="0" w:color="auto"/>
              <w:bottom w:val="single" w:sz="4" w:space="0" w:color="auto"/>
              <w:right w:val="single" w:sz="4" w:space="0" w:color="auto"/>
            </w:tcBorders>
            <w:vAlign w:val="center"/>
          </w:tcPr>
          <w:p w14:paraId="305E57E7" w14:textId="77777777" w:rsidR="00577D08" w:rsidRDefault="00330FC0">
            <w:pPr>
              <w:autoSpaceDE w:val="0"/>
              <w:autoSpaceDN w:val="0"/>
              <w:adjustRightInd w:val="0"/>
              <w:jc w:val="right"/>
            </w:pPr>
            <w:r>
              <w:rPr>
                <w:rFonts w:hint="eastAsia"/>
              </w:rPr>
              <w:t>11,366,660.61</w:t>
            </w:r>
          </w:p>
        </w:tc>
      </w:tr>
    </w:tbl>
    <w:p w14:paraId="0C1DFF2B" w14:textId="77777777" w:rsidR="00577D08" w:rsidRDefault="00330FC0">
      <w:pPr>
        <w:pStyle w:val="4"/>
        <w:numPr>
          <w:ilvl w:val="3"/>
          <w:numId w:val="116"/>
        </w:numPr>
        <w:ind w:left="426" w:hangingChars="202" w:hanging="426"/>
        <w:rPr>
          <w:rFonts w:hint="eastAsia"/>
        </w:rPr>
      </w:pPr>
      <w:r>
        <w:rPr>
          <w:rFonts w:hint="eastAsia"/>
        </w:rPr>
        <w:t>其他项目</w:t>
      </w:r>
    </w:p>
    <w:sdt>
      <w:sdtPr>
        <w:alias w:val="是否适用：关联方其他未结算项目情况[双击切换]"/>
        <w:tag w:val="_GBC_61142f5ee3c54a58901e03781b59f5db"/>
        <w:id w:val="1709833230"/>
        <w:placeholder>
          <w:docPart w:val="GBC22222222222222222222222222222"/>
        </w:placeholder>
      </w:sdtPr>
      <w:sdtContent>
        <w:p w14:paraId="75D2BCA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09B6C8B" w14:textId="77777777" w:rsidR="00577D08" w:rsidRDefault="00330FC0">
      <w:pPr>
        <w:pStyle w:val="3"/>
        <w:numPr>
          <w:ilvl w:val="0"/>
          <w:numId w:val="114"/>
        </w:numPr>
      </w:pPr>
      <w:r>
        <w:rPr>
          <w:rFonts w:hint="eastAsia"/>
        </w:rPr>
        <w:t>关联方</w:t>
      </w:r>
      <w:r>
        <w:rPr>
          <w:rFonts w:ascii="宋体" w:hAnsi="宋体" w:cs="Arial" w:hint="eastAsia"/>
          <w:szCs w:val="21"/>
        </w:rPr>
        <w:t>承诺</w:t>
      </w:r>
    </w:p>
    <w:sdt>
      <w:sdtPr>
        <w:rPr>
          <w:rFonts w:hint="eastAsia"/>
        </w:rPr>
        <w:alias w:val="是否适用：关联方承诺[双击切换]"/>
        <w:tag w:val="_GBC_cf52a7b0760b4670b5fc5ea8d7363a6c"/>
        <w:id w:val="1551344149"/>
        <w:placeholder>
          <w:docPart w:val="GBC22222222222222222222222222222"/>
        </w:placeholder>
      </w:sdtPr>
      <w:sdtContent>
        <w:p w14:paraId="559FD44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FA09CEF" w14:textId="77777777" w:rsidR="00577D08" w:rsidRDefault="00330FC0">
      <w:pPr>
        <w:pStyle w:val="3"/>
        <w:numPr>
          <w:ilvl w:val="0"/>
          <w:numId w:val="114"/>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420208429"/>
        <w:placeholder>
          <w:docPart w:val="GBC22222222222222222222222222222"/>
        </w:placeholder>
      </w:sdtPr>
      <w:sdtContent>
        <w:p w14:paraId="7FB16C8A" w14:textId="77777777" w:rsidR="00577D08" w:rsidRDefault="00330FC0">
          <w:pPr>
            <w:tabs>
              <w:tab w:val="left" w:pos="1134"/>
            </w:tabs>
            <w:rPr>
              <w:rFonts w:asciiTheme="minorEastAsia" w:eastAsiaTheme="minorEastAsia" w:hAnsiTheme="minorEastAsia" w:cs="Cambria" w:hint="eastAsia"/>
              <w:bCs/>
              <w:sz w:val="20"/>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9DE3BE" w14:textId="77777777" w:rsidR="00577D08" w:rsidRDefault="00330FC0">
      <w:pPr>
        <w:pStyle w:val="2"/>
        <w:numPr>
          <w:ilvl w:val="0"/>
          <w:numId w:val="52"/>
        </w:numPr>
      </w:pPr>
      <w:r>
        <w:rPr>
          <w:rFonts w:hint="eastAsia"/>
        </w:rPr>
        <w:lastRenderedPageBreak/>
        <w:t>股份支付</w:t>
      </w:r>
    </w:p>
    <w:p w14:paraId="4836C25F" w14:textId="77777777" w:rsidR="00577D08" w:rsidRDefault="00330FC0">
      <w:pPr>
        <w:pStyle w:val="3"/>
        <w:numPr>
          <w:ilvl w:val="0"/>
          <w:numId w:val="117"/>
        </w:numPr>
        <w:ind w:left="450" w:hanging="450"/>
        <w:rPr>
          <w:color w:val="000000" w:themeColor="text1"/>
        </w:rPr>
      </w:pPr>
      <w:bookmarkStart w:id="480" w:name="_Hlk40787153"/>
      <w:bookmarkStart w:id="481" w:name="_Hlk182486041"/>
      <w:bookmarkStart w:id="482" w:name="_Hlk151135509"/>
      <w:r>
        <w:rPr>
          <w:rFonts w:hint="eastAsia"/>
          <w:color w:val="000000" w:themeColor="text1"/>
        </w:rPr>
        <w:t>各项权益工具</w:t>
      </w:r>
    </w:p>
    <w:p w14:paraId="77CB81E3" w14:textId="77777777" w:rsidR="00577D08" w:rsidRDefault="00330FC0">
      <w:pPr>
        <w:pStyle w:val="aff9"/>
        <w:numPr>
          <w:ilvl w:val="0"/>
          <w:numId w:val="118"/>
        </w:numPr>
        <w:ind w:firstLineChars="0"/>
        <w:rPr>
          <w:b/>
          <w:bCs/>
        </w:rPr>
      </w:pPr>
      <w:r>
        <w:rPr>
          <w:rFonts w:hint="eastAsia"/>
          <w:b/>
          <w:bCs/>
        </w:rPr>
        <w:t>明细情况</w:t>
      </w:r>
    </w:p>
    <w:bookmarkStart w:id="483" w:name="_Hlk168492989" w:displacedByCustomXml="next"/>
    <w:sdt>
      <w:sdtPr>
        <w:rPr>
          <w:color w:val="000000" w:themeColor="text1"/>
        </w:rPr>
        <w:alias w:val="是否适用：各项权益工具[双击切换]"/>
        <w:tag w:val="_GBC_591f7158994b46b7adfcd7566ff3a5b8"/>
        <w:id w:val="893394704"/>
        <w:lock w:val="contentLocked"/>
        <w:placeholder>
          <w:docPart w:val="GBC22222222222222222222222222222"/>
        </w:placeholder>
      </w:sdtPr>
      <w:sdtContent>
        <w:p w14:paraId="5542D753"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04B80B8" w14:textId="5C07A253" w:rsidR="00577D08" w:rsidRDefault="00330FC0">
      <w:pPr>
        <w:jc w:val="right"/>
        <w:rPr>
          <w:color w:val="000000" w:themeColor="text1"/>
        </w:rPr>
      </w:pPr>
      <w:bookmarkStart w:id="484" w:name="_Hlk168478628"/>
      <w:bookmarkEnd w:id="483"/>
      <w:r>
        <w:rPr>
          <w:rFonts w:hint="eastAsia"/>
          <w:color w:val="000000" w:themeColor="text1"/>
        </w:rPr>
        <w:t>数量单位：</w:t>
      </w:r>
      <w:sdt>
        <w:sdtPr>
          <w:rPr>
            <w:rFonts w:hint="eastAsia"/>
            <w:color w:val="000000" w:themeColor="text1"/>
          </w:rPr>
          <w:alias w:val="单位：各项权益工具"/>
          <w:tag w:val="_GBC_f9118237b13b46fa959144ad6b662be7"/>
          <w:id w:val="84818715"/>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color w:val="000000" w:themeColor="text1"/>
            </w:rPr>
            <w:t>股</w:t>
          </w:r>
        </w:sdtContent>
      </w:sdt>
      <w:r>
        <w:rPr>
          <w:rFonts w:hint="eastAsia"/>
          <w:color w:val="000000" w:themeColor="text1"/>
        </w:rPr>
        <w:t>金额单位：</w:t>
      </w:r>
      <w:sdt>
        <w:sdtPr>
          <w:rPr>
            <w:rFonts w:hint="eastAsia"/>
            <w:color w:val="000000" w:themeColor="text1"/>
          </w:rPr>
          <w:alias w:val="单位2：各项权益工具"/>
          <w:tag w:val="_GBC_fa84b873287342688a4021d513324ea8"/>
          <w:id w:val="-91099487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r w:rsidR="00CC5C32">
            <w:rPr>
              <w:rFonts w:hint="eastAsia"/>
              <w:color w:val="000000" w:themeColor="text1"/>
            </w:rPr>
            <w:t xml:space="preserve"> </w:t>
          </w:r>
        </w:sdtContent>
      </w:sdt>
      <w:r>
        <w:rPr>
          <w:rFonts w:hint="eastAsia"/>
          <w:color w:val="000000" w:themeColor="text1"/>
        </w:rPr>
        <w:t>币种：</w:t>
      </w:r>
      <w:sdt>
        <w:sdtPr>
          <w:rPr>
            <w:rFonts w:hint="eastAsia"/>
            <w:color w:val="000000" w:themeColor="text1"/>
          </w:rPr>
          <w:alias w:val="币种：各项权益工具"/>
          <w:tag w:val="_GBC_d0f31367b35b40b4ba63e0ed88e46383"/>
          <w:id w:val="-9512407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aff2"/>
        <w:tblW w:w="5000" w:type="pct"/>
        <w:tblLook w:val="04A0" w:firstRow="1" w:lastRow="0" w:firstColumn="1" w:lastColumn="0" w:noHBand="0" w:noVBand="1"/>
      </w:tblPr>
      <w:tblGrid>
        <w:gridCol w:w="857"/>
        <w:gridCol w:w="1161"/>
        <w:gridCol w:w="1319"/>
        <w:gridCol w:w="751"/>
        <w:gridCol w:w="751"/>
        <w:gridCol w:w="752"/>
        <w:gridCol w:w="752"/>
        <w:gridCol w:w="1161"/>
        <w:gridCol w:w="1319"/>
      </w:tblGrid>
      <w:tr w:rsidR="00577D08" w14:paraId="2400DF3A" w14:textId="77777777">
        <w:trPr>
          <w:trHeight w:val="135"/>
        </w:trPr>
        <w:sdt>
          <w:sdtPr>
            <w:tag w:val="_PLD_690cf5dfd31740caa39726bd6df8a195"/>
            <w:id w:val="-1923934898"/>
          </w:sdtPr>
          <w:sdtContent>
            <w:tc>
              <w:tcPr>
                <w:tcW w:w="609" w:type="pct"/>
                <w:vMerge w:val="restart"/>
                <w:vAlign w:val="center"/>
              </w:tcPr>
              <w:p w14:paraId="6B95C618" w14:textId="77777777" w:rsidR="00577D08" w:rsidRDefault="00330FC0">
                <w:pPr>
                  <w:jc w:val="center"/>
                  <w:rPr>
                    <w:color w:val="000000" w:themeColor="text1"/>
                  </w:rPr>
                </w:pPr>
                <w:r>
                  <w:rPr>
                    <w:rFonts w:hint="eastAsia"/>
                    <w:color w:val="000000" w:themeColor="text1"/>
                  </w:rPr>
                  <w:t>授予对象类别</w:t>
                </w:r>
              </w:p>
            </w:tc>
          </w:sdtContent>
        </w:sdt>
        <w:sdt>
          <w:sdtPr>
            <w:tag w:val="_PLD_47636284d34941ff8254e3d10dfc5f15"/>
            <w:id w:val="-1647427740"/>
          </w:sdtPr>
          <w:sdtContent>
            <w:tc>
              <w:tcPr>
                <w:tcW w:w="1097" w:type="pct"/>
                <w:gridSpan w:val="2"/>
                <w:vAlign w:val="center"/>
              </w:tcPr>
              <w:p w14:paraId="6BDD69D9" w14:textId="77777777" w:rsidR="00577D08" w:rsidRDefault="00330FC0">
                <w:pPr>
                  <w:jc w:val="center"/>
                  <w:rPr>
                    <w:color w:val="000000" w:themeColor="text1"/>
                  </w:rPr>
                </w:pPr>
                <w:r>
                  <w:rPr>
                    <w:rFonts w:hint="eastAsia"/>
                    <w:color w:val="000000" w:themeColor="text1"/>
                  </w:rPr>
                  <w:t>本期授予</w:t>
                </w:r>
              </w:p>
            </w:tc>
          </w:sdtContent>
        </w:sdt>
        <w:sdt>
          <w:sdtPr>
            <w:tag w:val="_PLD_e9cf9113d398485a9015619d11b52468"/>
            <w:id w:val="1113404473"/>
          </w:sdtPr>
          <w:sdtContent>
            <w:tc>
              <w:tcPr>
                <w:tcW w:w="1098" w:type="pct"/>
                <w:gridSpan w:val="2"/>
                <w:vAlign w:val="center"/>
              </w:tcPr>
              <w:p w14:paraId="28329E0C" w14:textId="77777777" w:rsidR="00577D08" w:rsidRDefault="00330FC0">
                <w:pPr>
                  <w:jc w:val="center"/>
                  <w:rPr>
                    <w:color w:val="000000" w:themeColor="text1"/>
                  </w:rPr>
                </w:pPr>
                <w:r>
                  <w:rPr>
                    <w:rFonts w:hint="eastAsia"/>
                    <w:color w:val="000000" w:themeColor="text1"/>
                  </w:rPr>
                  <w:t>本期行权</w:t>
                </w:r>
              </w:p>
            </w:tc>
          </w:sdtContent>
        </w:sdt>
        <w:sdt>
          <w:sdtPr>
            <w:tag w:val="_PLD_d4140e827d5c4aa88dc07b8324b32d54"/>
            <w:id w:val="-766307678"/>
          </w:sdtPr>
          <w:sdtContent>
            <w:tc>
              <w:tcPr>
                <w:tcW w:w="1097" w:type="pct"/>
                <w:gridSpan w:val="2"/>
                <w:vAlign w:val="center"/>
              </w:tcPr>
              <w:p w14:paraId="38E601B6" w14:textId="77777777" w:rsidR="00577D08" w:rsidRDefault="00330FC0">
                <w:pPr>
                  <w:jc w:val="center"/>
                  <w:rPr>
                    <w:color w:val="000000" w:themeColor="text1"/>
                  </w:rPr>
                </w:pPr>
                <w:r>
                  <w:rPr>
                    <w:rFonts w:hint="eastAsia"/>
                    <w:color w:val="000000" w:themeColor="text1"/>
                  </w:rPr>
                  <w:t>本期解锁</w:t>
                </w:r>
              </w:p>
            </w:tc>
          </w:sdtContent>
        </w:sdt>
        <w:sdt>
          <w:sdtPr>
            <w:tag w:val="_PLD_0f5c44353169409c992507082b20a9bf"/>
            <w:id w:val="683950720"/>
          </w:sdtPr>
          <w:sdtContent>
            <w:tc>
              <w:tcPr>
                <w:tcW w:w="1098" w:type="pct"/>
                <w:gridSpan w:val="2"/>
                <w:vAlign w:val="center"/>
              </w:tcPr>
              <w:p w14:paraId="6ADC644D" w14:textId="77777777" w:rsidR="00577D08" w:rsidRDefault="00330FC0">
                <w:pPr>
                  <w:jc w:val="center"/>
                  <w:rPr>
                    <w:color w:val="000000" w:themeColor="text1"/>
                  </w:rPr>
                </w:pPr>
                <w:r>
                  <w:rPr>
                    <w:rFonts w:hint="eastAsia"/>
                    <w:color w:val="000000" w:themeColor="text1"/>
                  </w:rPr>
                  <w:t>本期失效</w:t>
                </w:r>
              </w:p>
            </w:tc>
          </w:sdtContent>
        </w:sdt>
      </w:tr>
      <w:tr w:rsidR="00577D08" w14:paraId="4D5D6CE1" w14:textId="77777777">
        <w:trPr>
          <w:trHeight w:val="135"/>
        </w:trPr>
        <w:tc>
          <w:tcPr>
            <w:tcW w:w="609" w:type="pct"/>
            <w:vMerge/>
            <w:vAlign w:val="center"/>
          </w:tcPr>
          <w:p w14:paraId="50807448" w14:textId="77777777" w:rsidR="00577D08" w:rsidRDefault="00577D08">
            <w:pPr>
              <w:jc w:val="center"/>
              <w:rPr>
                <w:color w:val="000000" w:themeColor="text1"/>
              </w:rPr>
            </w:pPr>
          </w:p>
        </w:tc>
        <w:sdt>
          <w:sdtPr>
            <w:tag w:val="_PLD_08ea8ae5029246858239315872be9751"/>
            <w:id w:val="1803888772"/>
          </w:sdtPr>
          <w:sdtContent>
            <w:tc>
              <w:tcPr>
                <w:tcW w:w="549" w:type="pct"/>
                <w:vAlign w:val="center"/>
              </w:tcPr>
              <w:p w14:paraId="6AF9E18B" w14:textId="77777777" w:rsidR="00577D08" w:rsidRDefault="00330FC0">
                <w:pPr>
                  <w:jc w:val="center"/>
                  <w:rPr>
                    <w:color w:val="000000" w:themeColor="text1"/>
                  </w:rPr>
                </w:pPr>
                <w:r>
                  <w:rPr>
                    <w:rFonts w:hint="eastAsia"/>
                    <w:color w:val="000000" w:themeColor="text1"/>
                  </w:rPr>
                  <w:t>数量</w:t>
                </w:r>
              </w:p>
            </w:tc>
          </w:sdtContent>
        </w:sdt>
        <w:sdt>
          <w:sdtPr>
            <w:tag w:val="_PLD_50a6b9f3a585453d8d1f0e8e97f8f69a"/>
            <w:id w:val="-1923488050"/>
          </w:sdtPr>
          <w:sdtContent>
            <w:tc>
              <w:tcPr>
                <w:tcW w:w="549" w:type="pct"/>
                <w:vAlign w:val="center"/>
              </w:tcPr>
              <w:p w14:paraId="0F4E8736" w14:textId="77777777" w:rsidR="00577D08" w:rsidRDefault="00330FC0">
                <w:pPr>
                  <w:jc w:val="center"/>
                  <w:rPr>
                    <w:color w:val="000000" w:themeColor="text1"/>
                  </w:rPr>
                </w:pPr>
                <w:r>
                  <w:rPr>
                    <w:rFonts w:hint="eastAsia"/>
                    <w:color w:val="000000" w:themeColor="text1"/>
                  </w:rPr>
                  <w:t>金额</w:t>
                </w:r>
              </w:p>
            </w:tc>
          </w:sdtContent>
        </w:sdt>
        <w:sdt>
          <w:sdtPr>
            <w:tag w:val="_PLD_f276c0b44af641ad847ba8f6a3f3c137"/>
            <w:id w:val="-730469469"/>
          </w:sdtPr>
          <w:sdtContent>
            <w:tc>
              <w:tcPr>
                <w:tcW w:w="549" w:type="pct"/>
                <w:vAlign w:val="center"/>
              </w:tcPr>
              <w:p w14:paraId="52A5E3E1" w14:textId="77777777" w:rsidR="00577D08" w:rsidRDefault="00330FC0">
                <w:pPr>
                  <w:jc w:val="center"/>
                  <w:rPr>
                    <w:color w:val="000000" w:themeColor="text1"/>
                  </w:rPr>
                </w:pPr>
                <w:r>
                  <w:rPr>
                    <w:rFonts w:hint="eastAsia"/>
                    <w:color w:val="000000" w:themeColor="text1"/>
                  </w:rPr>
                  <w:t>数量</w:t>
                </w:r>
              </w:p>
            </w:tc>
          </w:sdtContent>
        </w:sdt>
        <w:sdt>
          <w:sdtPr>
            <w:tag w:val="_PLD_4f5e328f5f124eadbca10c5aae8346a0"/>
            <w:id w:val="964077804"/>
          </w:sdtPr>
          <w:sdtContent>
            <w:tc>
              <w:tcPr>
                <w:tcW w:w="549" w:type="pct"/>
                <w:vAlign w:val="center"/>
              </w:tcPr>
              <w:p w14:paraId="41241098" w14:textId="77777777" w:rsidR="00577D08" w:rsidRDefault="00330FC0">
                <w:pPr>
                  <w:jc w:val="center"/>
                  <w:rPr>
                    <w:color w:val="000000" w:themeColor="text1"/>
                  </w:rPr>
                </w:pPr>
                <w:r>
                  <w:rPr>
                    <w:rFonts w:hint="eastAsia"/>
                    <w:color w:val="000000" w:themeColor="text1"/>
                  </w:rPr>
                  <w:t>金额</w:t>
                </w:r>
              </w:p>
            </w:tc>
          </w:sdtContent>
        </w:sdt>
        <w:sdt>
          <w:sdtPr>
            <w:tag w:val="_PLD_f0e2d02c3ba14b0f9921153a835b1418"/>
            <w:id w:val="-762142580"/>
          </w:sdtPr>
          <w:sdtContent>
            <w:tc>
              <w:tcPr>
                <w:tcW w:w="549" w:type="pct"/>
                <w:vAlign w:val="center"/>
              </w:tcPr>
              <w:p w14:paraId="1F9D799A" w14:textId="77777777" w:rsidR="00577D08" w:rsidRDefault="00330FC0">
                <w:pPr>
                  <w:jc w:val="center"/>
                  <w:rPr>
                    <w:color w:val="000000" w:themeColor="text1"/>
                  </w:rPr>
                </w:pPr>
                <w:r>
                  <w:rPr>
                    <w:rFonts w:hint="eastAsia"/>
                    <w:color w:val="000000" w:themeColor="text1"/>
                  </w:rPr>
                  <w:t>数量</w:t>
                </w:r>
              </w:p>
            </w:tc>
          </w:sdtContent>
        </w:sdt>
        <w:sdt>
          <w:sdtPr>
            <w:tag w:val="_PLD_2988b48211264d67a60e42098266f5c8"/>
            <w:id w:val="1986813334"/>
          </w:sdtPr>
          <w:sdtContent>
            <w:tc>
              <w:tcPr>
                <w:tcW w:w="549" w:type="pct"/>
                <w:vAlign w:val="center"/>
              </w:tcPr>
              <w:p w14:paraId="774ECF60" w14:textId="77777777" w:rsidR="00577D08" w:rsidRDefault="00330FC0">
                <w:pPr>
                  <w:jc w:val="center"/>
                  <w:rPr>
                    <w:color w:val="000000" w:themeColor="text1"/>
                  </w:rPr>
                </w:pPr>
                <w:r>
                  <w:rPr>
                    <w:rFonts w:hint="eastAsia"/>
                    <w:color w:val="000000" w:themeColor="text1"/>
                  </w:rPr>
                  <w:t>金额</w:t>
                </w:r>
              </w:p>
            </w:tc>
          </w:sdtContent>
        </w:sdt>
        <w:sdt>
          <w:sdtPr>
            <w:tag w:val="_PLD_23aded98d13140e1907fbf2255bab032"/>
            <w:id w:val="-1933427080"/>
          </w:sdtPr>
          <w:sdtContent>
            <w:tc>
              <w:tcPr>
                <w:tcW w:w="549" w:type="pct"/>
                <w:vAlign w:val="center"/>
              </w:tcPr>
              <w:p w14:paraId="25768C30" w14:textId="77777777" w:rsidR="00577D08" w:rsidRDefault="00330FC0">
                <w:pPr>
                  <w:jc w:val="center"/>
                  <w:rPr>
                    <w:color w:val="000000" w:themeColor="text1"/>
                  </w:rPr>
                </w:pPr>
                <w:r>
                  <w:rPr>
                    <w:rFonts w:hint="eastAsia"/>
                    <w:color w:val="000000" w:themeColor="text1"/>
                  </w:rPr>
                  <w:t>数量</w:t>
                </w:r>
              </w:p>
            </w:tc>
          </w:sdtContent>
        </w:sdt>
        <w:sdt>
          <w:sdtPr>
            <w:tag w:val="_PLD_ef8da1e1b02d4677809aa9360a11844b"/>
            <w:id w:val="-841169173"/>
          </w:sdtPr>
          <w:sdtContent>
            <w:tc>
              <w:tcPr>
                <w:tcW w:w="549" w:type="pct"/>
                <w:vAlign w:val="center"/>
              </w:tcPr>
              <w:p w14:paraId="4FECE015" w14:textId="77777777" w:rsidR="00577D08" w:rsidRDefault="00330FC0">
                <w:pPr>
                  <w:jc w:val="center"/>
                  <w:rPr>
                    <w:color w:val="000000" w:themeColor="text1"/>
                  </w:rPr>
                </w:pPr>
                <w:r>
                  <w:rPr>
                    <w:rFonts w:hint="eastAsia"/>
                    <w:color w:val="000000" w:themeColor="text1"/>
                  </w:rPr>
                  <w:t>金额</w:t>
                </w:r>
              </w:p>
            </w:tc>
          </w:sdtContent>
        </w:sdt>
      </w:tr>
      <w:tr w:rsidR="00577D08" w14:paraId="19BB56E6" w14:textId="77777777">
        <w:tc>
          <w:tcPr>
            <w:tcW w:w="609" w:type="pct"/>
            <w:vAlign w:val="center"/>
          </w:tcPr>
          <w:p w14:paraId="1426D91F" w14:textId="77777777" w:rsidR="00577D08" w:rsidRDefault="00330FC0">
            <w:pPr>
              <w:rPr>
                <w:rFonts w:asciiTheme="minorEastAsia" w:eastAsiaTheme="minorEastAsia" w:hAnsiTheme="minorEastAsia" w:hint="eastAsia"/>
              </w:rPr>
            </w:pPr>
            <w:r>
              <w:rPr>
                <w:rFonts w:asciiTheme="minorEastAsia" w:eastAsiaTheme="minorEastAsia" w:hAnsiTheme="minorEastAsia" w:hint="eastAsia"/>
              </w:rPr>
              <w:t>董事会认为需要激励的人员</w:t>
            </w:r>
          </w:p>
        </w:tc>
        <w:tc>
          <w:tcPr>
            <w:tcW w:w="549" w:type="pct"/>
            <w:vAlign w:val="center"/>
          </w:tcPr>
          <w:p w14:paraId="31642486" w14:textId="77777777" w:rsidR="00577D08" w:rsidRDefault="00330FC0">
            <w:pPr>
              <w:jc w:val="right"/>
              <w:rPr>
                <w:rFonts w:asciiTheme="minorEastAsia" w:eastAsiaTheme="minorEastAsia" w:hAnsiTheme="minorEastAsia" w:hint="eastAsia"/>
              </w:rPr>
            </w:pPr>
            <w:r>
              <w:t>580,000.00</w:t>
            </w:r>
          </w:p>
        </w:tc>
        <w:tc>
          <w:tcPr>
            <w:tcW w:w="549" w:type="pct"/>
            <w:vAlign w:val="center"/>
          </w:tcPr>
          <w:p w14:paraId="69D9ED3D" w14:textId="77777777" w:rsidR="00577D08" w:rsidRDefault="00330FC0">
            <w:pPr>
              <w:jc w:val="right"/>
              <w:rPr>
                <w:rFonts w:asciiTheme="minorEastAsia" w:eastAsiaTheme="minorEastAsia" w:hAnsiTheme="minorEastAsia" w:hint="eastAsia"/>
              </w:rPr>
            </w:pPr>
            <w:r>
              <w:t>4,605,200.00</w:t>
            </w:r>
          </w:p>
        </w:tc>
        <w:tc>
          <w:tcPr>
            <w:tcW w:w="549" w:type="pct"/>
            <w:vAlign w:val="center"/>
          </w:tcPr>
          <w:p w14:paraId="686F1EB7" w14:textId="77777777" w:rsidR="00577D08" w:rsidRDefault="00577D08">
            <w:pPr>
              <w:jc w:val="right"/>
              <w:rPr>
                <w:rFonts w:asciiTheme="minorEastAsia" w:eastAsiaTheme="minorEastAsia" w:hAnsiTheme="minorEastAsia" w:hint="eastAsia"/>
              </w:rPr>
            </w:pPr>
          </w:p>
        </w:tc>
        <w:tc>
          <w:tcPr>
            <w:tcW w:w="549" w:type="pct"/>
            <w:vAlign w:val="center"/>
          </w:tcPr>
          <w:p w14:paraId="09FA3F5B" w14:textId="77777777" w:rsidR="00577D08" w:rsidRDefault="00577D08">
            <w:pPr>
              <w:jc w:val="right"/>
              <w:rPr>
                <w:rFonts w:asciiTheme="minorEastAsia" w:eastAsiaTheme="minorEastAsia" w:hAnsiTheme="minorEastAsia" w:hint="eastAsia"/>
              </w:rPr>
            </w:pPr>
          </w:p>
        </w:tc>
        <w:tc>
          <w:tcPr>
            <w:tcW w:w="549" w:type="pct"/>
            <w:vAlign w:val="center"/>
          </w:tcPr>
          <w:p w14:paraId="605D369C" w14:textId="77777777" w:rsidR="00577D08" w:rsidRDefault="00577D08">
            <w:pPr>
              <w:jc w:val="right"/>
              <w:rPr>
                <w:rFonts w:asciiTheme="minorEastAsia" w:eastAsiaTheme="minorEastAsia" w:hAnsiTheme="minorEastAsia" w:hint="eastAsia"/>
              </w:rPr>
            </w:pPr>
          </w:p>
        </w:tc>
        <w:tc>
          <w:tcPr>
            <w:tcW w:w="549" w:type="pct"/>
            <w:vAlign w:val="center"/>
          </w:tcPr>
          <w:p w14:paraId="7304F37B" w14:textId="77777777" w:rsidR="00577D08" w:rsidRDefault="00577D08">
            <w:pPr>
              <w:jc w:val="right"/>
              <w:rPr>
                <w:rFonts w:asciiTheme="minorEastAsia" w:eastAsiaTheme="minorEastAsia" w:hAnsiTheme="minorEastAsia" w:hint="eastAsia"/>
              </w:rPr>
            </w:pPr>
          </w:p>
        </w:tc>
        <w:tc>
          <w:tcPr>
            <w:tcW w:w="549" w:type="pct"/>
            <w:vAlign w:val="center"/>
          </w:tcPr>
          <w:p w14:paraId="1FFDBCB5" w14:textId="77777777" w:rsidR="00577D08" w:rsidRDefault="00330FC0">
            <w:pPr>
              <w:jc w:val="right"/>
              <w:rPr>
                <w:rFonts w:asciiTheme="minorEastAsia" w:eastAsiaTheme="minorEastAsia" w:hAnsiTheme="minorEastAsia" w:hint="eastAsia"/>
              </w:rPr>
            </w:pPr>
            <w:r>
              <w:t>814,000.00</w:t>
            </w:r>
          </w:p>
        </w:tc>
        <w:tc>
          <w:tcPr>
            <w:tcW w:w="549" w:type="pct"/>
            <w:vAlign w:val="center"/>
          </w:tcPr>
          <w:p w14:paraId="643D2B84" w14:textId="77777777" w:rsidR="00577D08" w:rsidRDefault="00330FC0">
            <w:pPr>
              <w:jc w:val="right"/>
              <w:rPr>
                <w:rFonts w:asciiTheme="minorEastAsia" w:eastAsiaTheme="minorEastAsia" w:hAnsiTheme="minorEastAsia" w:hint="eastAsia"/>
              </w:rPr>
            </w:pPr>
            <w:r>
              <w:t>6,585,260.00</w:t>
            </w:r>
          </w:p>
        </w:tc>
      </w:tr>
      <w:tr w:rsidR="00577D08" w14:paraId="6AA51FE8" w14:textId="77777777">
        <w:tc>
          <w:tcPr>
            <w:tcW w:w="609" w:type="pct"/>
            <w:vAlign w:val="center"/>
          </w:tcPr>
          <w:p w14:paraId="43017744" w14:textId="77777777" w:rsidR="00577D08" w:rsidRDefault="00330FC0">
            <w:pPr>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合计</w:t>
            </w:r>
          </w:p>
        </w:tc>
        <w:tc>
          <w:tcPr>
            <w:tcW w:w="549" w:type="pct"/>
            <w:vAlign w:val="center"/>
          </w:tcPr>
          <w:p w14:paraId="2A495102" w14:textId="77777777" w:rsidR="00577D08" w:rsidRDefault="00330FC0">
            <w:pPr>
              <w:jc w:val="right"/>
              <w:rPr>
                <w:rFonts w:asciiTheme="minorEastAsia" w:eastAsiaTheme="minorEastAsia" w:hAnsiTheme="minorEastAsia" w:hint="eastAsia"/>
              </w:rPr>
            </w:pPr>
            <w:r>
              <w:t>580,000.00</w:t>
            </w:r>
          </w:p>
        </w:tc>
        <w:tc>
          <w:tcPr>
            <w:tcW w:w="549" w:type="pct"/>
            <w:vAlign w:val="center"/>
          </w:tcPr>
          <w:p w14:paraId="59B58361" w14:textId="77777777" w:rsidR="00577D08" w:rsidRDefault="00330FC0">
            <w:pPr>
              <w:jc w:val="right"/>
              <w:rPr>
                <w:rFonts w:asciiTheme="minorEastAsia" w:eastAsiaTheme="minorEastAsia" w:hAnsiTheme="minorEastAsia" w:hint="eastAsia"/>
              </w:rPr>
            </w:pPr>
            <w:r>
              <w:t>4,605,200.00</w:t>
            </w:r>
          </w:p>
        </w:tc>
        <w:tc>
          <w:tcPr>
            <w:tcW w:w="549" w:type="pct"/>
            <w:vAlign w:val="center"/>
          </w:tcPr>
          <w:p w14:paraId="237E0F49" w14:textId="77777777" w:rsidR="00577D08" w:rsidRDefault="00577D08">
            <w:pPr>
              <w:jc w:val="right"/>
              <w:rPr>
                <w:rFonts w:asciiTheme="minorEastAsia" w:eastAsiaTheme="minorEastAsia" w:hAnsiTheme="minorEastAsia" w:hint="eastAsia"/>
              </w:rPr>
            </w:pPr>
          </w:p>
        </w:tc>
        <w:tc>
          <w:tcPr>
            <w:tcW w:w="549" w:type="pct"/>
            <w:vAlign w:val="center"/>
          </w:tcPr>
          <w:p w14:paraId="361D1E57" w14:textId="77777777" w:rsidR="00577D08" w:rsidRDefault="00577D08">
            <w:pPr>
              <w:jc w:val="right"/>
              <w:rPr>
                <w:rFonts w:asciiTheme="minorEastAsia" w:eastAsiaTheme="minorEastAsia" w:hAnsiTheme="minorEastAsia" w:hint="eastAsia"/>
              </w:rPr>
            </w:pPr>
          </w:p>
        </w:tc>
        <w:tc>
          <w:tcPr>
            <w:tcW w:w="549" w:type="pct"/>
            <w:vAlign w:val="center"/>
          </w:tcPr>
          <w:p w14:paraId="1621B9A3" w14:textId="77777777" w:rsidR="00577D08" w:rsidRDefault="00577D08">
            <w:pPr>
              <w:jc w:val="right"/>
              <w:rPr>
                <w:rFonts w:asciiTheme="minorEastAsia" w:eastAsiaTheme="minorEastAsia" w:hAnsiTheme="minorEastAsia" w:hint="eastAsia"/>
              </w:rPr>
            </w:pPr>
          </w:p>
        </w:tc>
        <w:tc>
          <w:tcPr>
            <w:tcW w:w="549" w:type="pct"/>
            <w:vAlign w:val="center"/>
          </w:tcPr>
          <w:p w14:paraId="26DB6760" w14:textId="77777777" w:rsidR="00577D08" w:rsidRDefault="00577D08">
            <w:pPr>
              <w:jc w:val="right"/>
              <w:rPr>
                <w:rFonts w:asciiTheme="minorEastAsia" w:eastAsiaTheme="minorEastAsia" w:hAnsiTheme="minorEastAsia" w:hint="eastAsia"/>
              </w:rPr>
            </w:pPr>
          </w:p>
        </w:tc>
        <w:tc>
          <w:tcPr>
            <w:tcW w:w="549" w:type="pct"/>
            <w:vAlign w:val="center"/>
          </w:tcPr>
          <w:p w14:paraId="4A199A74" w14:textId="77777777" w:rsidR="00577D08" w:rsidRDefault="00330FC0">
            <w:pPr>
              <w:jc w:val="right"/>
              <w:rPr>
                <w:rFonts w:asciiTheme="minorEastAsia" w:eastAsiaTheme="minorEastAsia" w:hAnsiTheme="minorEastAsia" w:hint="eastAsia"/>
              </w:rPr>
            </w:pPr>
            <w:r>
              <w:t>814,000.00</w:t>
            </w:r>
          </w:p>
        </w:tc>
        <w:tc>
          <w:tcPr>
            <w:tcW w:w="549" w:type="pct"/>
            <w:vAlign w:val="center"/>
          </w:tcPr>
          <w:p w14:paraId="5347200B" w14:textId="77777777" w:rsidR="00577D08" w:rsidRDefault="00330FC0">
            <w:pPr>
              <w:jc w:val="right"/>
              <w:rPr>
                <w:rFonts w:asciiTheme="minorEastAsia" w:eastAsiaTheme="minorEastAsia" w:hAnsiTheme="minorEastAsia" w:hint="eastAsia"/>
              </w:rPr>
            </w:pPr>
            <w:r>
              <w:t>6,585,260.00</w:t>
            </w:r>
          </w:p>
        </w:tc>
      </w:tr>
    </w:tbl>
    <w:p w14:paraId="5BC60649" w14:textId="77777777" w:rsidR="00577D08" w:rsidRDefault="00330FC0">
      <w:pPr>
        <w:pStyle w:val="aff9"/>
        <w:numPr>
          <w:ilvl w:val="0"/>
          <w:numId w:val="118"/>
        </w:numPr>
        <w:ind w:firstLineChars="0"/>
        <w:rPr>
          <w:b/>
          <w:bCs/>
        </w:rPr>
      </w:pPr>
      <w:r>
        <w:rPr>
          <w:rFonts w:hint="eastAsia"/>
          <w:b/>
          <w:bCs/>
        </w:rPr>
        <w:t>期末发行在外的股票期权或其他权益工具</w:t>
      </w:r>
    </w:p>
    <w:bookmarkStart w:id="485" w:name="_Hlk168493917" w:displacedByCustomXml="next"/>
    <w:bookmarkStart w:id="486" w:name="_Hlk168493896" w:displacedByCustomXml="next"/>
    <w:sdt>
      <w:sdtPr>
        <w:rPr>
          <w:color w:val="000000" w:themeColor="text1"/>
        </w:rPr>
        <w:alias w:val="是否适用：期末发行在外的股票期权或其他权益工具[双击切换]"/>
        <w:tag w:val="_GBC_8f850d6c945b493292d68c3127f1182d"/>
        <w:id w:val="-1960243980"/>
        <w:placeholder>
          <w:docPart w:val="GBC22222222222222222222222222222"/>
        </w:placeholder>
      </w:sdtPr>
      <w:sdtContent>
        <w:p w14:paraId="56EBF3C9" w14:textId="77777777" w:rsidR="00577D08" w:rsidRDefault="00330FC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4F45AFC" w14:textId="77777777" w:rsidR="00577D08" w:rsidRDefault="00330FC0">
      <w:pPr>
        <w:pStyle w:val="3"/>
        <w:numPr>
          <w:ilvl w:val="0"/>
          <w:numId w:val="117"/>
        </w:numPr>
        <w:ind w:left="420" w:hanging="420"/>
        <w:rPr>
          <w:rFonts w:ascii="宋体" w:hAnsi="宋体" w:hint="eastAsia"/>
        </w:rPr>
      </w:pPr>
      <w:bookmarkStart w:id="487" w:name="_Hlk40787299"/>
      <w:bookmarkEnd w:id="480"/>
      <w:bookmarkEnd w:id="481"/>
      <w:bookmarkEnd w:id="484"/>
      <w:bookmarkEnd w:id="486"/>
      <w:bookmarkEnd w:id="485"/>
      <w:r>
        <w:rPr>
          <w:rFonts w:ascii="宋体" w:hAnsi="宋体" w:hint="eastAsia"/>
        </w:rPr>
        <w:t>以权益结算的股份支付情况</w:t>
      </w:r>
    </w:p>
    <w:sdt>
      <w:sdtPr>
        <w:alias w:val="是否适用：以权益结算的股份支付情况[双击切换]"/>
        <w:tag w:val="_GBC_8723814961d6478ca2db4f04f2667fcd"/>
        <w:id w:val="-1083758328"/>
        <w:placeholder>
          <w:docPart w:val="GBC22222222222222222222222222222"/>
        </w:placeholder>
      </w:sdtPr>
      <w:sdtContent>
        <w:p w14:paraId="1D533DC8"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75D908" w14:textId="71B9B01B" w:rsidR="00577D08" w:rsidRDefault="00330FC0">
      <w:pPr>
        <w:wordWrap w:val="0"/>
        <w:jc w:val="right"/>
      </w:pPr>
      <w:r>
        <w:rPr>
          <w:rFonts w:hint="eastAsia"/>
        </w:rPr>
        <w:t>单位：</w:t>
      </w:r>
      <w:sdt>
        <w:sdtPr>
          <w:rPr>
            <w:rFonts w:hint="eastAsia"/>
          </w:rPr>
          <w:alias w:val="单位：以权益结算的股份支付情况"/>
          <w:tag w:val="_GBC_5aea0fdc69f14c4bbde218236ae1cc97"/>
          <w:id w:val="18042726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以权益结算的股份支付情况"/>
          <w:tag w:val="_GBC_28dd71343c064b1198c5e79c02ae3633"/>
          <w:id w:val="4646994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405"/>
      </w:tblGrid>
      <w:tr w:rsidR="00577D08" w14:paraId="66833FCE" w14:textId="77777777">
        <w:tc>
          <w:tcPr>
            <w:tcW w:w="4643" w:type="dxa"/>
            <w:tcBorders>
              <w:top w:val="single" w:sz="4" w:space="0" w:color="auto"/>
              <w:left w:val="single" w:sz="4" w:space="0" w:color="auto"/>
              <w:bottom w:val="single" w:sz="4" w:space="0" w:color="auto"/>
              <w:right w:val="single" w:sz="4" w:space="0" w:color="auto"/>
            </w:tcBorders>
            <w:vAlign w:val="center"/>
          </w:tcPr>
          <w:sdt>
            <w:sdtPr>
              <w:rPr>
                <w:rFonts w:hint="eastAsia"/>
              </w:rPr>
              <w:tag w:val="_PLD_6666ccd1e9ce4e0c95efc74e515ddc98"/>
              <w:id w:val="-1432817572"/>
            </w:sdtPr>
            <w:sdtContent>
              <w:p w14:paraId="4D13C44C" w14:textId="77777777" w:rsidR="00577D08" w:rsidRDefault="00330FC0">
                <w:r>
                  <w:t>以权益结算的股份支付对象</w:t>
                </w:r>
              </w:p>
            </w:sdtContent>
          </w:sdt>
        </w:tc>
        <w:sdt>
          <w:sdtPr>
            <w:alias w:val="以权益结算的股份支付对象"/>
            <w:tag w:val="_GBC_11e962ff39ec4b1383ece06b99360366"/>
            <w:id w:val="1860621005"/>
          </w:sdtPr>
          <w:sdtContent>
            <w:tc>
              <w:tcPr>
                <w:tcW w:w="4405" w:type="dxa"/>
                <w:tcBorders>
                  <w:top w:val="single" w:sz="4" w:space="0" w:color="auto"/>
                  <w:left w:val="single" w:sz="4" w:space="0" w:color="auto"/>
                  <w:bottom w:val="single" w:sz="4" w:space="0" w:color="auto"/>
                  <w:right w:val="single" w:sz="4" w:space="0" w:color="auto"/>
                </w:tcBorders>
                <w:vAlign w:val="center"/>
              </w:tcPr>
              <w:p w14:paraId="0A5E80E3" w14:textId="77777777" w:rsidR="00577D08" w:rsidRDefault="00330FC0">
                <w:r>
                  <w:rPr>
                    <w:rFonts w:hint="eastAsia"/>
                  </w:rPr>
                  <w:t>授予日的市场价格</w:t>
                </w:r>
              </w:p>
            </w:tc>
          </w:sdtContent>
        </w:sdt>
      </w:tr>
      <w:tr w:rsidR="00577D08" w14:paraId="1C61809A" w14:textId="77777777">
        <w:tc>
          <w:tcPr>
            <w:tcW w:w="4643" w:type="dxa"/>
            <w:tcBorders>
              <w:top w:val="single" w:sz="4" w:space="0" w:color="auto"/>
              <w:left w:val="single" w:sz="4" w:space="0" w:color="auto"/>
              <w:bottom w:val="single" w:sz="4" w:space="0" w:color="auto"/>
              <w:right w:val="single" w:sz="4" w:space="0" w:color="auto"/>
            </w:tcBorders>
            <w:vAlign w:val="center"/>
          </w:tcPr>
          <w:p w14:paraId="5433BCA4" w14:textId="77777777" w:rsidR="00577D08" w:rsidRDefault="00330FC0">
            <w:r>
              <w:rPr>
                <w:rFonts w:hint="eastAsia"/>
              </w:rPr>
              <w:t>授予日权益工具公允价值的确定方法</w:t>
            </w:r>
          </w:p>
        </w:tc>
        <w:tc>
          <w:tcPr>
            <w:tcW w:w="4405" w:type="dxa"/>
            <w:tcBorders>
              <w:top w:val="single" w:sz="4" w:space="0" w:color="auto"/>
              <w:left w:val="single" w:sz="4" w:space="0" w:color="auto"/>
              <w:bottom w:val="single" w:sz="4" w:space="0" w:color="auto"/>
              <w:right w:val="single" w:sz="4" w:space="0" w:color="auto"/>
            </w:tcBorders>
            <w:vAlign w:val="center"/>
          </w:tcPr>
          <w:p w14:paraId="5FD8D49D" w14:textId="77777777" w:rsidR="00577D08" w:rsidRDefault="00577D08"/>
        </w:tc>
      </w:tr>
      <w:tr w:rsidR="00577D08" w14:paraId="63CF1EFF" w14:textId="77777777">
        <w:tc>
          <w:tcPr>
            <w:tcW w:w="4643" w:type="dxa"/>
            <w:tcBorders>
              <w:top w:val="single" w:sz="4" w:space="0" w:color="auto"/>
              <w:left w:val="single" w:sz="4" w:space="0" w:color="auto"/>
              <w:bottom w:val="single" w:sz="4" w:space="0" w:color="auto"/>
              <w:right w:val="single" w:sz="4" w:space="0" w:color="auto"/>
            </w:tcBorders>
            <w:vAlign w:val="center"/>
          </w:tcPr>
          <w:p w14:paraId="638F4732" w14:textId="77777777" w:rsidR="00577D08" w:rsidRDefault="00330FC0">
            <w:r>
              <w:rPr>
                <w:rFonts w:hint="eastAsia"/>
              </w:rPr>
              <w:t>授予日权益工具公允价值的重要参数</w:t>
            </w:r>
          </w:p>
        </w:tc>
        <w:tc>
          <w:tcPr>
            <w:tcW w:w="4405" w:type="dxa"/>
            <w:tcBorders>
              <w:top w:val="single" w:sz="4" w:space="0" w:color="auto"/>
              <w:left w:val="single" w:sz="4" w:space="0" w:color="auto"/>
              <w:bottom w:val="single" w:sz="4" w:space="0" w:color="auto"/>
              <w:right w:val="single" w:sz="4" w:space="0" w:color="auto"/>
            </w:tcBorders>
            <w:vAlign w:val="center"/>
          </w:tcPr>
          <w:p w14:paraId="0AAB2C4C" w14:textId="77777777" w:rsidR="00577D08" w:rsidRDefault="00577D08"/>
        </w:tc>
      </w:tr>
      <w:tr w:rsidR="00577D08" w14:paraId="5FA99B45" w14:textId="77777777">
        <w:tc>
          <w:tcPr>
            <w:tcW w:w="4643" w:type="dxa"/>
            <w:tcBorders>
              <w:top w:val="single" w:sz="4" w:space="0" w:color="auto"/>
              <w:left w:val="single" w:sz="4" w:space="0" w:color="auto"/>
              <w:bottom w:val="single" w:sz="4" w:space="0" w:color="auto"/>
              <w:right w:val="single" w:sz="4" w:space="0" w:color="auto"/>
            </w:tcBorders>
            <w:vAlign w:val="center"/>
          </w:tcPr>
          <w:p w14:paraId="1BE5101B" w14:textId="77777777" w:rsidR="00577D08" w:rsidRDefault="00330FC0">
            <w:r>
              <w:rPr>
                <w:rFonts w:hint="eastAsia"/>
              </w:rPr>
              <w:t>可行权权益工具数量的确定依据</w:t>
            </w:r>
          </w:p>
        </w:tc>
        <w:tc>
          <w:tcPr>
            <w:tcW w:w="4405" w:type="dxa"/>
            <w:tcBorders>
              <w:top w:val="single" w:sz="4" w:space="0" w:color="auto"/>
              <w:left w:val="single" w:sz="4" w:space="0" w:color="auto"/>
              <w:bottom w:val="single" w:sz="4" w:space="0" w:color="auto"/>
              <w:right w:val="single" w:sz="4" w:space="0" w:color="auto"/>
            </w:tcBorders>
            <w:vAlign w:val="center"/>
          </w:tcPr>
          <w:p w14:paraId="3DA78BC3" w14:textId="77777777" w:rsidR="00577D08" w:rsidRDefault="00330FC0">
            <w:r>
              <w:rPr>
                <w:rFonts w:hint="eastAsia"/>
              </w:rPr>
              <w:t>根据最新取得的可行权职工数、职工考核变动等后续信息进行估计</w:t>
            </w:r>
          </w:p>
        </w:tc>
      </w:tr>
      <w:tr w:rsidR="00577D08" w14:paraId="0EDF1DF5" w14:textId="77777777">
        <w:tc>
          <w:tcPr>
            <w:tcW w:w="4643" w:type="dxa"/>
            <w:tcBorders>
              <w:top w:val="single" w:sz="4" w:space="0" w:color="auto"/>
              <w:left w:val="single" w:sz="4" w:space="0" w:color="auto"/>
              <w:bottom w:val="single" w:sz="4" w:space="0" w:color="auto"/>
              <w:right w:val="single" w:sz="4" w:space="0" w:color="auto"/>
            </w:tcBorders>
            <w:vAlign w:val="center"/>
          </w:tcPr>
          <w:p w14:paraId="08B68155" w14:textId="77777777" w:rsidR="00577D08" w:rsidRDefault="00330FC0">
            <w:r>
              <w:rPr>
                <w:rFonts w:hint="eastAsia"/>
              </w:rPr>
              <w:t>本期估计与上期估计有重大差异的原因</w:t>
            </w:r>
          </w:p>
        </w:tc>
        <w:tc>
          <w:tcPr>
            <w:tcW w:w="4405" w:type="dxa"/>
            <w:tcBorders>
              <w:top w:val="single" w:sz="4" w:space="0" w:color="auto"/>
              <w:left w:val="single" w:sz="4" w:space="0" w:color="auto"/>
              <w:bottom w:val="single" w:sz="4" w:space="0" w:color="auto"/>
              <w:right w:val="single" w:sz="4" w:space="0" w:color="auto"/>
            </w:tcBorders>
            <w:vAlign w:val="center"/>
          </w:tcPr>
          <w:p w14:paraId="5C8C567F" w14:textId="77777777" w:rsidR="00577D08" w:rsidRDefault="00577D08"/>
        </w:tc>
      </w:tr>
      <w:tr w:rsidR="00577D08" w14:paraId="2B85B603" w14:textId="77777777">
        <w:tc>
          <w:tcPr>
            <w:tcW w:w="4643" w:type="dxa"/>
            <w:tcBorders>
              <w:top w:val="single" w:sz="4" w:space="0" w:color="auto"/>
              <w:left w:val="single" w:sz="4" w:space="0" w:color="auto"/>
              <w:bottom w:val="single" w:sz="4" w:space="0" w:color="auto"/>
              <w:right w:val="single" w:sz="4" w:space="0" w:color="auto"/>
            </w:tcBorders>
            <w:vAlign w:val="center"/>
          </w:tcPr>
          <w:p w14:paraId="208CEEFC" w14:textId="77777777" w:rsidR="00577D08" w:rsidRDefault="00330FC0">
            <w:r>
              <w:rPr>
                <w:rFonts w:hint="eastAsia"/>
              </w:rPr>
              <w:t>以权益结算的股份支付计入资本公积的累计金额</w:t>
            </w:r>
          </w:p>
        </w:tc>
        <w:tc>
          <w:tcPr>
            <w:tcW w:w="4405" w:type="dxa"/>
            <w:tcBorders>
              <w:top w:val="single" w:sz="4" w:space="0" w:color="auto"/>
              <w:left w:val="single" w:sz="4" w:space="0" w:color="auto"/>
              <w:bottom w:val="single" w:sz="4" w:space="0" w:color="auto"/>
              <w:right w:val="single" w:sz="4" w:space="0" w:color="auto"/>
            </w:tcBorders>
            <w:vAlign w:val="center"/>
          </w:tcPr>
          <w:p w14:paraId="59B90F1D" w14:textId="77777777" w:rsidR="00577D08" w:rsidRDefault="00330FC0">
            <w:pPr>
              <w:jc w:val="right"/>
            </w:pPr>
            <w:r>
              <w:t>8,912,920.00</w:t>
            </w:r>
          </w:p>
        </w:tc>
      </w:tr>
    </w:tbl>
    <w:p w14:paraId="43A448D6" w14:textId="77777777" w:rsidR="00577D08" w:rsidRDefault="00330FC0">
      <w:r>
        <w:rPr>
          <w:rFonts w:hint="eastAsia"/>
        </w:rPr>
        <w:t>其他说明：</w:t>
      </w:r>
    </w:p>
    <w:sdt>
      <w:sdtPr>
        <w:alias w:val="以权益结算的股份支付的说明"/>
        <w:tag w:val="_GBC_aa7c942701ab49d5aa249ab5394898bc"/>
        <w:id w:val="2112543000"/>
        <w:placeholder>
          <w:docPart w:val="GBC22222222222222222222222222222"/>
        </w:placeholder>
      </w:sdtPr>
      <w:sdtContent>
        <w:p w14:paraId="108B18FB" w14:textId="77777777" w:rsidR="00577D08" w:rsidRDefault="00330FC0">
          <w:pPr>
            <w:rPr>
              <w:rFonts w:cstheme="minorBidi"/>
            </w:rPr>
          </w:pPr>
          <w:r>
            <w:rPr>
              <w:rFonts w:hint="eastAsia"/>
            </w:rPr>
            <w:t>无</w:t>
          </w:r>
        </w:p>
      </w:sdtContent>
    </w:sdt>
    <w:bookmarkEnd w:id="482"/>
    <w:bookmarkEnd w:id="487"/>
    <w:p w14:paraId="434A037D" w14:textId="77777777" w:rsidR="00577D08" w:rsidRDefault="00330FC0">
      <w:pPr>
        <w:pStyle w:val="3"/>
        <w:numPr>
          <w:ilvl w:val="0"/>
          <w:numId w:val="117"/>
        </w:numPr>
      </w:pPr>
      <w:r>
        <w:rPr>
          <w:rFonts w:hint="eastAsia"/>
        </w:rPr>
        <w:t>以现金结算的股份支付情况</w:t>
      </w:r>
    </w:p>
    <w:sdt>
      <w:sdtPr>
        <w:alias w:val="是否适用：以现金结算的股份支付情况[双击切换]"/>
        <w:tag w:val="_GBC_aa134f611909486bb3a2d6258058f88d"/>
        <w:id w:val="-588319889"/>
        <w:placeholder>
          <w:docPart w:val="GBC22222222222222222222222222222"/>
        </w:placeholder>
      </w:sdtPr>
      <w:sdtContent>
        <w:p w14:paraId="0974B5F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76941C" w14:textId="77777777" w:rsidR="00577D08" w:rsidRDefault="00330FC0">
      <w:pPr>
        <w:pStyle w:val="3"/>
        <w:numPr>
          <w:ilvl w:val="0"/>
          <w:numId w:val="117"/>
        </w:numPr>
        <w:ind w:left="420" w:hanging="420"/>
        <w:rPr>
          <w:color w:val="000000" w:themeColor="text1"/>
        </w:rPr>
      </w:pPr>
      <w:bookmarkStart w:id="488" w:name="_Hlk182486377"/>
      <w:r>
        <w:rPr>
          <w:color w:val="000000" w:themeColor="text1"/>
        </w:rPr>
        <w:t>本期</w:t>
      </w:r>
      <w:r>
        <w:rPr>
          <w:rFonts w:hint="eastAsia"/>
          <w:color w:val="000000" w:themeColor="text1"/>
        </w:rPr>
        <w:t>股份支付费用</w:t>
      </w:r>
    </w:p>
    <w:bookmarkStart w:id="489" w:name="_Hlk168494235" w:displacedByCustomXml="next"/>
    <w:sdt>
      <w:sdtPr>
        <w:rPr>
          <w:color w:val="000000" w:themeColor="text1"/>
        </w:rPr>
        <w:alias w:val="是否适用：股份支付费用[双击切换]"/>
        <w:tag w:val="_GBC_1ce28477cfda4be8ba3dd9f6b49b5010"/>
        <w:id w:val="-535035560"/>
        <w:lock w:val="contentLocked"/>
        <w:placeholder>
          <w:docPart w:val="GBC22222222222222222222222222222"/>
        </w:placeholder>
      </w:sdtPr>
      <w:sdtContent>
        <w:p w14:paraId="291CD0E9" w14:textId="77777777" w:rsidR="00577D08" w:rsidRDefault="00330FC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51875336" w14:textId="21939BC5" w:rsidR="00577D08" w:rsidRDefault="00330FC0">
      <w:pPr>
        <w:jc w:val="right"/>
        <w:rPr>
          <w:color w:val="000000" w:themeColor="text1"/>
        </w:rPr>
      </w:pPr>
      <w:bookmarkStart w:id="490" w:name="_Hlk168494618"/>
      <w:bookmarkEnd w:id="489"/>
      <w:r>
        <w:rPr>
          <w:rFonts w:hint="eastAsia"/>
          <w:color w:val="000000" w:themeColor="text1"/>
        </w:rPr>
        <w:t>单位：</w:t>
      </w:r>
      <w:sdt>
        <w:sdtPr>
          <w:rPr>
            <w:rFonts w:hint="eastAsia"/>
            <w:color w:val="000000" w:themeColor="text1"/>
          </w:rPr>
          <w:alias w:val="单位：股份支付费用"/>
          <w:tag w:val="_GBC_fa8b4c68205a49bca9ddabb13842faf1"/>
          <w:id w:val="-71596310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r w:rsidR="00CC5C32">
            <w:rPr>
              <w:rFonts w:hint="eastAsia"/>
              <w:color w:val="000000" w:themeColor="text1"/>
            </w:rPr>
            <w:t xml:space="preserve"> </w:t>
          </w:r>
        </w:sdtContent>
      </w:sdt>
      <w:r>
        <w:rPr>
          <w:rFonts w:hint="eastAsia"/>
          <w:color w:val="000000" w:themeColor="text1"/>
        </w:rPr>
        <w:t>币种：</w:t>
      </w:r>
      <w:sdt>
        <w:sdtPr>
          <w:rPr>
            <w:rFonts w:hint="eastAsia"/>
            <w:color w:val="000000" w:themeColor="text1"/>
          </w:rPr>
          <w:alias w:val="币种：股份支付费用"/>
          <w:tag w:val="_GBC_6e8897592033420a8edb8433bc9271f5"/>
          <w:id w:val="-8494160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Style w:val="aff2"/>
        <w:tblW w:w="0" w:type="auto"/>
        <w:tblLayout w:type="fixed"/>
        <w:tblLook w:val="04A0" w:firstRow="1" w:lastRow="0" w:firstColumn="1" w:lastColumn="0" w:noHBand="0" w:noVBand="1"/>
      </w:tblPr>
      <w:tblGrid>
        <w:gridCol w:w="3016"/>
        <w:gridCol w:w="3016"/>
        <w:gridCol w:w="3017"/>
      </w:tblGrid>
      <w:tr w:rsidR="00577D08" w14:paraId="1F9FDEA9" w14:textId="77777777">
        <w:sdt>
          <w:sdtPr>
            <w:tag w:val="_PLD_58cbd34a362f4beeb751f57c604d7d40"/>
            <w:id w:val="-643891015"/>
          </w:sdtPr>
          <w:sdtContent>
            <w:tc>
              <w:tcPr>
                <w:tcW w:w="3016" w:type="dxa"/>
                <w:vAlign w:val="center"/>
              </w:tcPr>
              <w:p w14:paraId="4F900CEB" w14:textId="77777777" w:rsidR="00577D08" w:rsidRDefault="00330FC0">
                <w:pPr>
                  <w:jc w:val="center"/>
                  <w:rPr>
                    <w:color w:val="000000" w:themeColor="text1"/>
                  </w:rPr>
                </w:pPr>
                <w:r>
                  <w:rPr>
                    <w:color w:val="000000" w:themeColor="text1"/>
                  </w:rPr>
                  <w:t>授予对象类别</w:t>
                </w:r>
              </w:p>
            </w:tc>
          </w:sdtContent>
        </w:sdt>
        <w:sdt>
          <w:sdtPr>
            <w:tag w:val="_PLD_f92a7621244d46c8a1e16f0f41ea1378"/>
            <w:id w:val="-272253007"/>
          </w:sdtPr>
          <w:sdtContent>
            <w:tc>
              <w:tcPr>
                <w:tcW w:w="3016" w:type="dxa"/>
                <w:vAlign w:val="center"/>
              </w:tcPr>
              <w:p w14:paraId="644C6617" w14:textId="77777777" w:rsidR="00577D08" w:rsidRDefault="00330FC0">
                <w:pPr>
                  <w:jc w:val="center"/>
                  <w:rPr>
                    <w:color w:val="000000" w:themeColor="text1"/>
                  </w:rPr>
                </w:pPr>
                <w:r>
                  <w:rPr>
                    <w:color w:val="000000" w:themeColor="text1"/>
                  </w:rPr>
                  <w:t>以权益结算的股份支付费用</w:t>
                </w:r>
              </w:p>
            </w:tc>
          </w:sdtContent>
        </w:sdt>
        <w:sdt>
          <w:sdtPr>
            <w:tag w:val="_PLD_ff1e5fc970694cab997211d684671242"/>
            <w:id w:val="1397322870"/>
          </w:sdtPr>
          <w:sdtContent>
            <w:tc>
              <w:tcPr>
                <w:tcW w:w="3017" w:type="dxa"/>
                <w:vAlign w:val="center"/>
              </w:tcPr>
              <w:p w14:paraId="61F56E93" w14:textId="77777777" w:rsidR="00577D08" w:rsidRDefault="00330FC0">
                <w:pPr>
                  <w:jc w:val="center"/>
                  <w:rPr>
                    <w:color w:val="000000" w:themeColor="text1"/>
                  </w:rPr>
                </w:pPr>
                <w:r>
                  <w:rPr>
                    <w:color w:val="000000" w:themeColor="text1"/>
                  </w:rPr>
                  <w:t>以现金结算的股份支付费用</w:t>
                </w:r>
              </w:p>
            </w:tc>
          </w:sdtContent>
        </w:sdt>
      </w:tr>
      <w:tr w:rsidR="00577D08" w14:paraId="286043D9" w14:textId="77777777">
        <w:tc>
          <w:tcPr>
            <w:tcW w:w="3016" w:type="dxa"/>
          </w:tcPr>
          <w:p w14:paraId="532DCA64" w14:textId="77777777" w:rsidR="00577D08" w:rsidRDefault="00330FC0">
            <w:pPr>
              <w:rPr>
                <w:rFonts w:asciiTheme="minorEastAsia" w:eastAsiaTheme="minorEastAsia" w:hAnsiTheme="minorEastAsia" w:hint="eastAsia"/>
              </w:rPr>
            </w:pPr>
            <w:r>
              <w:rPr>
                <w:rFonts w:hint="eastAsia"/>
              </w:rPr>
              <w:t>管理人员</w:t>
            </w:r>
          </w:p>
        </w:tc>
        <w:tc>
          <w:tcPr>
            <w:tcW w:w="3016" w:type="dxa"/>
          </w:tcPr>
          <w:p w14:paraId="1EBA45BB" w14:textId="77777777" w:rsidR="00577D08" w:rsidRDefault="00330FC0">
            <w:pPr>
              <w:jc w:val="right"/>
              <w:rPr>
                <w:rFonts w:asciiTheme="minorEastAsia" w:eastAsiaTheme="minorEastAsia" w:hAnsiTheme="minorEastAsia" w:hint="eastAsia"/>
              </w:rPr>
            </w:pPr>
            <w:r>
              <w:rPr>
                <w:rFonts w:hint="eastAsia"/>
              </w:rPr>
              <w:t>2,187,097.78</w:t>
            </w:r>
          </w:p>
        </w:tc>
        <w:tc>
          <w:tcPr>
            <w:tcW w:w="3017" w:type="dxa"/>
            <w:vAlign w:val="center"/>
          </w:tcPr>
          <w:p w14:paraId="6B11E3E2" w14:textId="77777777" w:rsidR="00577D08" w:rsidRDefault="00577D08">
            <w:pPr>
              <w:jc w:val="right"/>
              <w:rPr>
                <w:rFonts w:asciiTheme="minorEastAsia" w:eastAsiaTheme="minorEastAsia" w:hAnsiTheme="minorEastAsia" w:hint="eastAsia"/>
              </w:rPr>
            </w:pPr>
          </w:p>
        </w:tc>
      </w:tr>
      <w:tr w:rsidR="00577D08" w14:paraId="7840F0E1" w14:textId="77777777">
        <w:tc>
          <w:tcPr>
            <w:tcW w:w="3016" w:type="dxa"/>
          </w:tcPr>
          <w:p w14:paraId="1017A14B" w14:textId="77777777" w:rsidR="00577D08" w:rsidRDefault="00330FC0">
            <w:pPr>
              <w:rPr>
                <w:rFonts w:asciiTheme="minorEastAsia" w:eastAsiaTheme="minorEastAsia" w:hAnsiTheme="minorEastAsia" w:hint="eastAsia"/>
              </w:rPr>
            </w:pPr>
            <w:r>
              <w:rPr>
                <w:rFonts w:hint="eastAsia"/>
              </w:rPr>
              <w:t>销售人员</w:t>
            </w:r>
          </w:p>
        </w:tc>
        <w:tc>
          <w:tcPr>
            <w:tcW w:w="3016" w:type="dxa"/>
          </w:tcPr>
          <w:p w14:paraId="75937C54" w14:textId="77777777" w:rsidR="00577D08" w:rsidRDefault="00330FC0">
            <w:pPr>
              <w:jc w:val="right"/>
              <w:rPr>
                <w:rFonts w:asciiTheme="minorEastAsia" w:eastAsiaTheme="minorEastAsia" w:hAnsiTheme="minorEastAsia" w:hint="eastAsia"/>
              </w:rPr>
            </w:pPr>
            <w:r>
              <w:rPr>
                <w:rFonts w:hint="eastAsia"/>
              </w:rPr>
              <w:t>1,137,090.00</w:t>
            </w:r>
          </w:p>
        </w:tc>
        <w:tc>
          <w:tcPr>
            <w:tcW w:w="3017" w:type="dxa"/>
            <w:vAlign w:val="center"/>
          </w:tcPr>
          <w:p w14:paraId="3615AAA9" w14:textId="77777777" w:rsidR="00577D08" w:rsidRDefault="00577D08">
            <w:pPr>
              <w:jc w:val="right"/>
              <w:rPr>
                <w:rFonts w:asciiTheme="minorEastAsia" w:eastAsiaTheme="minorEastAsia" w:hAnsiTheme="minorEastAsia" w:hint="eastAsia"/>
              </w:rPr>
            </w:pPr>
          </w:p>
        </w:tc>
      </w:tr>
      <w:tr w:rsidR="00577D08" w14:paraId="24EE24AC" w14:textId="77777777">
        <w:tc>
          <w:tcPr>
            <w:tcW w:w="3016" w:type="dxa"/>
          </w:tcPr>
          <w:p w14:paraId="6E65DF9F" w14:textId="77777777" w:rsidR="00577D08" w:rsidRDefault="00330FC0">
            <w:pPr>
              <w:rPr>
                <w:rFonts w:asciiTheme="minorEastAsia" w:eastAsiaTheme="minorEastAsia" w:hAnsiTheme="minorEastAsia" w:hint="eastAsia"/>
              </w:rPr>
            </w:pPr>
            <w:r>
              <w:rPr>
                <w:rFonts w:hint="eastAsia"/>
              </w:rPr>
              <w:t>研发人员</w:t>
            </w:r>
          </w:p>
        </w:tc>
        <w:tc>
          <w:tcPr>
            <w:tcW w:w="3016" w:type="dxa"/>
          </w:tcPr>
          <w:p w14:paraId="5540C894" w14:textId="77777777" w:rsidR="00577D08" w:rsidRDefault="00330FC0">
            <w:pPr>
              <w:jc w:val="right"/>
              <w:rPr>
                <w:rFonts w:asciiTheme="minorEastAsia" w:eastAsiaTheme="minorEastAsia" w:hAnsiTheme="minorEastAsia" w:hint="eastAsia"/>
              </w:rPr>
            </w:pPr>
            <w:r>
              <w:rPr>
                <w:rFonts w:hint="eastAsia"/>
              </w:rPr>
              <w:t>192,495.56</w:t>
            </w:r>
          </w:p>
        </w:tc>
        <w:tc>
          <w:tcPr>
            <w:tcW w:w="3017" w:type="dxa"/>
            <w:vAlign w:val="center"/>
          </w:tcPr>
          <w:p w14:paraId="315BAC4F" w14:textId="77777777" w:rsidR="00577D08" w:rsidRDefault="00577D08">
            <w:pPr>
              <w:jc w:val="right"/>
              <w:rPr>
                <w:rFonts w:asciiTheme="minorEastAsia" w:eastAsiaTheme="minorEastAsia" w:hAnsiTheme="minorEastAsia" w:hint="eastAsia"/>
              </w:rPr>
            </w:pPr>
          </w:p>
        </w:tc>
      </w:tr>
      <w:tr w:rsidR="00577D08" w14:paraId="28F9DB9E" w14:textId="77777777">
        <w:tc>
          <w:tcPr>
            <w:tcW w:w="3016" w:type="dxa"/>
          </w:tcPr>
          <w:p w14:paraId="5F01A962" w14:textId="77777777" w:rsidR="00577D08" w:rsidRDefault="00330FC0">
            <w:pPr>
              <w:rPr>
                <w:rFonts w:asciiTheme="minorEastAsia" w:eastAsiaTheme="minorEastAsia" w:hAnsiTheme="minorEastAsia" w:hint="eastAsia"/>
              </w:rPr>
            </w:pPr>
            <w:r>
              <w:rPr>
                <w:rFonts w:hint="eastAsia"/>
              </w:rPr>
              <w:t>生产人员</w:t>
            </w:r>
          </w:p>
        </w:tc>
        <w:tc>
          <w:tcPr>
            <w:tcW w:w="3016" w:type="dxa"/>
          </w:tcPr>
          <w:p w14:paraId="5DCBF8B4" w14:textId="77777777" w:rsidR="00577D08" w:rsidRDefault="00330FC0">
            <w:pPr>
              <w:jc w:val="right"/>
              <w:rPr>
                <w:rFonts w:asciiTheme="minorEastAsia" w:eastAsiaTheme="minorEastAsia" w:hAnsiTheme="minorEastAsia" w:hint="eastAsia"/>
              </w:rPr>
            </w:pPr>
            <w:r>
              <w:rPr>
                <w:rFonts w:hint="eastAsia"/>
              </w:rPr>
              <w:t>815,681.10</w:t>
            </w:r>
          </w:p>
        </w:tc>
        <w:tc>
          <w:tcPr>
            <w:tcW w:w="3017" w:type="dxa"/>
            <w:vAlign w:val="center"/>
          </w:tcPr>
          <w:p w14:paraId="75110501" w14:textId="77777777" w:rsidR="00577D08" w:rsidRDefault="00577D08">
            <w:pPr>
              <w:jc w:val="right"/>
              <w:rPr>
                <w:rFonts w:asciiTheme="minorEastAsia" w:eastAsiaTheme="minorEastAsia" w:hAnsiTheme="minorEastAsia" w:hint="eastAsia"/>
              </w:rPr>
            </w:pPr>
          </w:p>
        </w:tc>
      </w:tr>
      <w:tr w:rsidR="00577D08" w14:paraId="57E196EC" w14:textId="77777777">
        <w:tc>
          <w:tcPr>
            <w:tcW w:w="3016" w:type="dxa"/>
            <w:vAlign w:val="center"/>
          </w:tcPr>
          <w:p w14:paraId="146B17BD" w14:textId="77777777" w:rsidR="00577D08" w:rsidRDefault="00330FC0">
            <w:pPr>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合计</w:t>
            </w:r>
          </w:p>
        </w:tc>
        <w:tc>
          <w:tcPr>
            <w:tcW w:w="3016" w:type="dxa"/>
            <w:vAlign w:val="center"/>
          </w:tcPr>
          <w:p w14:paraId="6B7A713E" w14:textId="77777777" w:rsidR="00577D08" w:rsidRDefault="00330FC0">
            <w:pPr>
              <w:jc w:val="right"/>
            </w:pPr>
            <w:r>
              <w:t>4,332,364.44</w:t>
            </w:r>
          </w:p>
        </w:tc>
        <w:tc>
          <w:tcPr>
            <w:tcW w:w="3017" w:type="dxa"/>
            <w:vAlign w:val="center"/>
          </w:tcPr>
          <w:p w14:paraId="53575195" w14:textId="77777777" w:rsidR="00577D08" w:rsidRDefault="00577D08">
            <w:pPr>
              <w:jc w:val="right"/>
              <w:rPr>
                <w:rFonts w:asciiTheme="minorEastAsia" w:eastAsiaTheme="minorEastAsia" w:hAnsiTheme="minorEastAsia" w:hint="eastAsia"/>
              </w:rPr>
            </w:pPr>
          </w:p>
        </w:tc>
      </w:tr>
    </w:tbl>
    <w:p w14:paraId="0467B4C1" w14:textId="77777777" w:rsidR="00577D08" w:rsidRDefault="00330FC0">
      <w:pPr>
        <w:rPr>
          <w:color w:val="000000" w:themeColor="text1"/>
        </w:rPr>
      </w:pPr>
      <w:bookmarkStart w:id="491" w:name="_Hlk168494436"/>
      <w:bookmarkEnd w:id="490"/>
      <w:r>
        <w:rPr>
          <w:rFonts w:hint="eastAsia"/>
          <w:color w:val="000000" w:themeColor="text1"/>
        </w:rPr>
        <w:t>其他说明</w:t>
      </w:r>
    </w:p>
    <w:sdt>
      <w:sdtPr>
        <w:rPr>
          <w:color w:val="000000" w:themeColor="text1"/>
        </w:rPr>
        <w:alias w:val="股份支付费用的说明"/>
        <w:tag w:val="_GBC_e3b08f7b639e457ebe1c766fe0d0f181"/>
        <w:id w:val="992530329"/>
        <w:placeholder>
          <w:docPart w:val="GBC22222222222222222222222222222"/>
        </w:placeholder>
      </w:sdtPr>
      <w:sdtContent>
        <w:p w14:paraId="198DFB80" w14:textId="77777777" w:rsidR="00577D08" w:rsidRDefault="00330FC0">
          <w:pPr>
            <w:rPr>
              <w:color w:val="000000" w:themeColor="text1"/>
            </w:rPr>
          </w:pPr>
          <w:r>
            <w:rPr>
              <w:rFonts w:hint="eastAsia"/>
              <w:color w:val="000000" w:themeColor="text1"/>
            </w:rPr>
            <w:t>无</w:t>
          </w:r>
        </w:p>
      </w:sdtContent>
    </w:sdt>
    <w:bookmarkEnd w:id="488"/>
    <w:bookmarkEnd w:id="491"/>
    <w:p w14:paraId="76F6177E" w14:textId="77777777" w:rsidR="00577D08" w:rsidRDefault="00330FC0">
      <w:pPr>
        <w:pStyle w:val="3"/>
        <w:numPr>
          <w:ilvl w:val="0"/>
          <w:numId w:val="117"/>
        </w:numPr>
      </w:pPr>
      <w:r>
        <w:rPr>
          <w:rFonts w:hint="eastAsia"/>
        </w:rPr>
        <w:t>股份支付的修改、终止情况</w:t>
      </w:r>
    </w:p>
    <w:sdt>
      <w:sdtPr>
        <w:rPr>
          <w:rFonts w:hint="eastAsia"/>
        </w:rPr>
        <w:alias w:val="是否适用：股份支付的修改、终止情况[双击切换]"/>
        <w:tag w:val="_GBC_6da986e9834d42b9bb7548673f325962"/>
        <w:id w:val="-1772534457"/>
        <w:placeholder>
          <w:docPart w:val="GBC22222222222222222222222222222"/>
        </w:placeholder>
      </w:sdtPr>
      <w:sdtContent>
        <w:p w14:paraId="59F02D3D"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股份支付的修改原因、主要修改条款"/>
        <w:tag w:val="_GBC_bdf63f45ac534948af5a8f6c35f23836"/>
        <w:id w:val="165057571"/>
        <w:placeholder>
          <w:docPart w:val="GBC22222222222222222222222222222"/>
        </w:placeholder>
      </w:sdtPr>
      <w:sdtContent>
        <w:p w14:paraId="6E046FB9" w14:textId="77777777" w:rsidR="00577D08" w:rsidRDefault="00330FC0">
          <w:pPr>
            <w:spacing w:line="360" w:lineRule="exact"/>
            <w:ind w:firstLineChars="200" w:firstLine="420"/>
            <w:rPr>
              <w:rFonts w:asciiTheme="minorHAnsi" w:eastAsiaTheme="minorEastAsia" w:hAnsiTheme="minorHAnsi" w:cstheme="minorBidi"/>
            </w:rPr>
          </w:pPr>
          <w:r>
            <w:rPr>
              <w:rFonts w:hint="eastAsia"/>
            </w:rPr>
            <w:t>根据</w:t>
          </w:r>
          <w:r>
            <w:rPr>
              <w:rFonts w:hint="eastAsia"/>
            </w:rPr>
            <w:t>2025</w:t>
          </w:r>
          <w:r>
            <w:rPr>
              <w:rFonts w:hint="eastAsia"/>
            </w:rPr>
            <w:t>年</w:t>
          </w:r>
          <w:r>
            <w:rPr>
              <w:rFonts w:hint="eastAsia"/>
            </w:rPr>
            <w:t>12</w:t>
          </w:r>
          <w:r>
            <w:rPr>
              <w:rFonts w:hint="eastAsia"/>
            </w:rPr>
            <w:t>月</w:t>
          </w:r>
          <w:r>
            <w:rPr>
              <w:rFonts w:hint="eastAsia"/>
            </w:rPr>
            <w:t>9</w:t>
          </w:r>
          <w:r>
            <w:rPr>
              <w:rFonts w:hint="eastAsia"/>
            </w:rPr>
            <w:t>日第四届董事会第十五次会议和</w:t>
          </w:r>
          <w:r>
            <w:rPr>
              <w:rFonts w:hint="eastAsia"/>
            </w:rPr>
            <w:t>2025</w:t>
          </w:r>
          <w:r>
            <w:rPr>
              <w:rFonts w:hint="eastAsia"/>
            </w:rPr>
            <w:t>年</w:t>
          </w:r>
          <w:r>
            <w:rPr>
              <w:rFonts w:hint="eastAsia"/>
            </w:rPr>
            <w:t>12</w:t>
          </w:r>
          <w:r>
            <w:rPr>
              <w:rFonts w:hint="eastAsia"/>
            </w:rPr>
            <w:t>月</w:t>
          </w:r>
          <w:r>
            <w:rPr>
              <w:rFonts w:hint="eastAsia"/>
            </w:rPr>
            <w:t>26</w:t>
          </w:r>
          <w:r>
            <w:rPr>
              <w:rFonts w:hint="eastAsia"/>
            </w:rPr>
            <w:t>日</w:t>
          </w:r>
          <w:r>
            <w:rPr>
              <w:rFonts w:hint="eastAsia"/>
            </w:rPr>
            <w:t>2025</w:t>
          </w:r>
          <w:r>
            <w:rPr>
              <w:rFonts w:hint="eastAsia"/>
            </w:rPr>
            <w:t>年第一次临时股东大会审议通过的《关于终止实施</w:t>
          </w:r>
          <w:r>
            <w:rPr>
              <w:rFonts w:hint="eastAsia"/>
            </w:rPr>
            <w:t>2024</w:t>
          </w:r>
          <w:r>
            <w:rPr>
              <w:rFonts w:hint="eastAsia"/>
            </w:rPr>
            <w:t>年限制性股票激励计划暨回购注销相关限制性股票并调整回购价格的议案》，鉴于当前市场宏观环境变化，以及公司战略迭代与升级，上述限制性股</w:t>
          </w:r>
          <w:r>
            <w:rPr>
              <w:rFonts w:hint="eastAsia"/>
            </w:rPr>
            <w:lastRenderedPageBreak/>
            <w:t>票激励计划不能匹配当前公司发展需要，难以达到核心员工工作目标与公司发展需要相统一的预期激励目的与效果。综合考虑多方因素，公司决定终止实施上述</w:t>
          </w:r>
          <w:r>
            <w:rPr>
              <w:rFonts w:hint="eastAsia"/>
            </w:rPr>
            <w:t>2024</w:t>
          </w:r>
          <w:r>
            <w:rPr>
              <w:rFonts w:hint="eastAsia"/>
            </w:rPr>
            <w:t>年度限制性股票激励计划，并回购该激励计划已授予但尚未解除限售的全部限制性股票，与该激励计划未授予部分股票一并注销。同时与该激励计划相关的《</w:t>
          </w:r>
          <w:r>
            <w:rPr>
              <w:rFonts w:hint="eastAsia"/>
            </w:rPr>
            <w:t>2024</w:t>
          </w:r>
          <w:r>
            <w:rPr>
              <w:rFonts w:hint="eastAsia"/>
            </w:rPr>
            <w:t>年限制性股票激励计划实施考核管理办法》等文件一并终止。截至本财务报告批准报出日，上述限制性股票已全部回购注销。</w:t>
          </w:r>
        </w:p>
      </w:sdtContent>
    </w:sdt>
    <w:p w14:paraId="3B3F01FF" w14:textId="77777777" w:rsidR="00577D08" w:rsidRDefault="00330FC0">
      <w:pPr>
        <w:pStyle w:val="3"/>
        <w:numPr>
          <w:ilvl w:val="0"/>
          <w:numId w:val="117"/>
        </w:numPr>
        <w:rPr>
          <w:szCs w:val="21"/>
        </w:rPr>
      </w:pPr>
      <w:r>
        <w:rPr>
          <w:rFonts w:hint="eastAsia"/>
          <w:szCs w:val="21"/>
        </w:rPr>
        <w:t>其他</w:t>
      </w:r>
    </w:p>
    <w:sdt>
      <w:sdtPr>
        <w:rPr>
          <w:rFonts w:hint="eastAsia"/>
        </w:rPr>
        <w:alias w:val="是否适用：股份支付的其他情况说明[双击切换]"/>
        <w:tag w:val="_GBC_d03d26e0d4844b798c3d4b87d2578ece"/>
        <w:id w:val="1782532195"/>
        <w:placeholder>
          <w:docPart w:val="GBC22222222222222222222222222222"/>
        </w:placeholder>
      </w:sdtPr>
      <w:sdtContent>
        <w:p w14:paraId="7B3C5BC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9A5183" w14:textId="77777777" w:rsidR="00577D08" w:rsidRDefault="00330FC0">
      <w:pPr>
        <w:pStyle w:val="2"/>
        <w:numPr>
          <w:ilvl w:val="0"/>
          <w:numId w:val="52"/>
        </w:numPr>
      </w:pPr>
      <w:r>
        <w:rPr>
          <w:rFonts w:hint="eastAsia"/>
        </w:rPr>
        <w:t>承诺及或有事项</w:t>
      </w:r>
    </w:p>
    <w:p w14:paraId="1C35F59E" w14:textId="77777777" w:rsidR="00577D08" w:rsidRDefault="00330FC0">
      <w:pPr>
        <w:pStyle w:val="3"/>
        <w:numPr>
          <w:ilvl w:val="0"/>
          <w:numId w:val="119"/>
        </w:numPr>
        <w:rPr>
          <w:rFonts w:ascii="宋体" w:hAnsi="宋体" w:hint="eastAsia"/>
        </w:rPr>
      </w:pPr>
      <w:r>
        <w:rPr>
          <w:rFonts w:ascii="宋体" w:hAnsi="宋体" w:hint="eastAsia"/>
        </w:rPr>
        <w:t>重要承诺事项</w:t>
      </w:r>
    </w:p>
    <w:sdt>
      <w:sdtPr>
        <w:alias w:val="是否适用：重要承诺事项[双击切换]"/>
        <w:tag w:val="_GBC_568be9a6805040a8b9fbd5c5d07b45dd"/>
        <w:id w:val="-660923490"/>
        <w:lock w:val="contentLocked"/>
        <w:placeholder>
          <w:docPart w:val="GBC22222222222222222222222222222"/>
        </w:placeholder>
      </w:sdtPr>
      <w:sdtContent>
        <w:p w14:paraId="5D1C7EDF"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93C0E00" w14:textId="77777777" w:rsidR="00577D08" w:rsidRDefault="00330FC0">
      <w:r>
        <w:rPr>
          <w:rFonts w:hint="eastAsia"/>
        </w:rPr>
        <w:t>资产负债表日存在的对外重要承诺、性质、金额</w:t>
      </w:r>
    </w:p>
    <w:sdt>
      <w:sdtPr>
        <w:rPr>
          <w:rFonts w:cs="Cambria"/>
          <w:bCs/>
        </w:rPr>
        <w:alias w:val="资产负债表日存在的重要承诺"/>
        <w:tag w:val="_GBC_d8961aa2bd524a56bb4914de9e5d2dc3"/>
        <w:id w:val="-1049841259"/>
        <w:placeholder>
          <w:docPart w:val="GBC22222222222222222222222222222"/>
        </w:placeholder>
      </w:sdtPr>
      <w:sdtContent>
        <w:p w14:paraId="7FF1D96F" w14:textId="77777777" w:rsidR="00577D08" w:rsidRDefault="00330FC0">
          <w:pPr>
            <w:spacing w:line="360" w:lineRule="exact"/>
            <w:ind w:firstLineChars="200" w:firstLine="420"/>
            <w:rPr>
              <w:rFonts w:cs="Cambria"/>
              <w:bCs/>
            </w:rPr>
          </w:pPr>
          <w:r>
            <w:rPr>
              <w:rFonts w:cs="Cambria" w:hint="eastAsia"/>
              <w:bCs/>
            </w:rPr>
            <w:t>截至</w:t>
          </w:r>
          <w:r>
            <w:rPr>
              <w:rFonts w:cs="Cambria" w:hint="eastAsia"/>
              <w:bCs/>
            </w:rPr>
            <w:t>2025</w:t>
          </w:r>
          <w:r>
            <w:rPr>
              <w:rFonts w:cs="Cambria" w:hint="eastAsia"/>
              <w:bCs/>
            </w:rPr>
            <w:t>年</w:t>
          </w:r>
          <w:r>
            <w:rPr>
              <w:rFonts w:cs="Cambria" w:hint="eastAsia"/>
              <w:bCs/>
            </w:rPr>
            <w:t>12</w:t>
          </w:r>
          <w:r>
            <w:rPr>
              <w:rFonts w:cs="Cambria" w:hint="eastAsia"/>
              <w:bCs/>
            </w:rPr>
            <w:t>月</w:t>
          </w:r>
          <w:r>
            <w:rPr>
              <w:rFonts w:cs="Cambria" w:hint="eastAsia"/>
              <w:bCs/>
            </w:rPr>
            <w:t>31</w:t>
          </w:r>
          <w:r>
            <w:rPr>
              <w:rFonts w:cs="Cambria" w:hint="eastAsia"/>
              <w:bCs/>
            </w:rPr>
            <w:t>日止，本公司开出未到期人民币保函</w:t>
          </w:r>
          <w:r>
            <w:rPr>
              <w:rFonts w:cs="Cambria"/>
              <w:bCs/>
            </w:rPr>
            <w:t>125,399,051.93</w:t>
          </w:r>
          <w:r>
            <w:rPr>
              <w:rFonts w:cs="Cambria" w:hint="eastAsia"/>
              <w:bCs/>
            </w:rPr>
            <w:t>元。</w:t>
          </w:r>
        </w:p>
        <w:p w14:paraId="7C2F6371" w14:textId="77777777" w:rsidR="00577D08" w:rsidRDefault="00330FC0">
          <w:pPr>
            <w:spacing w:line="360" w:lineRule="exact"/>
            <w:ind w:firstLineChars="200" w:firstLine="420"/>
            <w:rPr>
              <w:rFonts w:cs="Cambria"/>
              <w:bCs/>
            </w:rPr>
          </w:pPr>
          <w:r>
            <w:rPr>
              <w:rFonts w:cs="Cambria" w:hint="eastAsia"/>
              <w:bCs/>
            </w:rPr>
            <w:t>除存在上述承诺事项外，截至</w:t>
          </w:r>
          <w:r>
            <w:rPr>
              <w:rFonts w:cs="Cambria" w:hint="eastAsia"/>
              <w:bCs/>
            </w:rPr>
            <w:t>2025</w:t>
          </w:r>
          <w:r>
            <w:rPr>
              <w:rFonts w:cs="Cambria" w:hint="eastAsia"/>
              <w:bCs/>
            </w:rPr>
            <w:t>年</w:t>
          </w:r>
          <w:r>
            <w:rPr>
              <w:rFonts w:cs="Cambria" w:hint="eastAsia"/>
              <w:bCs/>
            </w:rPr>
            <w:t>12</w:t>
          </w:r>
          <w:r>
            <w:rPr>
              <w:rFonts w:cs="Cambria" w:hint="eastAsia"/>
              <w:bCs/>
            </w:rPr>
            <w:t>月</w:t>
          </w:r>
          <w:r>
            <w:rPr>
              <w:rFonts w:cs="Cambria" w:hint="eastAsia"/>
              <w:bCs/>
            </w:rPr>
            <w:t>31</w:t>
          </w:r>
          <w:r>
            <w:rPr>
              <w:rFonts w:cs="Cambria" w:hint="eastAsia"/>
              <w:bCs/>
            </w:rPr>
            <w:t>日止，本公司不存在其他需要披露的重要承诺事项。</w:t>
          </w:r>
        </w:p>
      </w:sdtContent>
    </w:sdt>
    <w:p w14:paraId="4106EA73" w14:textId="77777777" w:rsidR="00577D08" w:rsidRDefault="00330FC0">
      <w:pPr>
        <w:pStyle w:val="3"/>
        <w:numPr>
          <w:ilvl w:val="0"/>
          <w:numId w:val="119"/>
        </w:numPr>
      </w:pPr>
      <w:r>
        <w:rPr>
          <w:rFonts w:hint="eastAsia"/>
        </w:rPr>
        <w:t>或有事项</w:t>
      </w:r>
    </w:p>
    <w:p w14:paraId="415D161E" w14:textId="77777777" w:rsidR="00577D08" w:rsidRDefault="00330FC0">
      <w:pPr>
        <w:pStyle w:val="4"/>
        <w:numPr>
          <w:ilvl w:val="3"/>
          <w:numId w:val="120"/>
        </w:numPr>
        <w:ind w:left="426" w:hangingChars="202" w:hanging="426"/>
        <w:rPr>
          <w:rFonts w:hint="eastAsia"/>
        </w:rPr>
      </w:pPr>
      <w:r>
        <w:rPr>
          <w:rFonts w:hint="eastAsia"/>
        </w:rPr>
        <w:t>资产负债表日存在的重要或有事项</w:t>
      </w:r>
    </w:p>
    <w:sdt>
      <w:sdtPr>
        <w:rPr>
          <w:rFonts w:hint="eastAsia"/>
        </w:rPr>
        <w:alias w:val="是否适用：资产负债表日存在的重要或有事项[双击切换]"/>
        <w:tag w:val="_GBC_d987504ad98e408986b4fc6f62089ffe"/>
        <w:id w:val="-170494384"/>
        <w:placeholder>
          <w:docPart w:val="GBC22222222222222222222222222222"/>
        </w:placeholder>
      </w:sdtPr>
      <w:sdtContent>
        <w:p w14:paraId="2B265CA9"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资产负债表日存在的重要或有事项"/>
        <w:tag w:val="_GBC_44fe1af4de6e4875a4861efb466efdca"/>
        <w:id w:val="614101460"/>
        <w:placeholder>
          <w:docPart w:val="GBC22222222222222222222222222222"/>
        </w:placeholder>
      </w:sdtPr>
      <w:sdtContent>
        <w:p w14:paraId="79BD781D" w14:textId="77777777" w:rsidR="00577D08" w:rsidRDefault="00330FC0">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日止，本公司不存在需要披露的重要或有事项。</w:t>
          </w:r>
        </w:p>
      </w:sdtContent>
    </w:sdt>
    <w:p w14:paraId="74B5DDA1" w14:textId="77777777" w:rsidR="00577D08" w:rsidRDefault="00330FC0">
      <w:pPr>
        <w:pStyle w:val="4"/>
        <w:numPr>
          <w:ilvl w:val="3"/>
          <w:numId w:val="120"/>
        </w:numPr>
        <w:ind w:left="426" w:hangingChars="202" w:hanging="426"/>
        <w:rPr>
          <w:rFonts w:hint="eastAsia"/>
        </w:rPr>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640153218"/>
        <w:placeholder>
          <w:docPart w:val="GBC22222222222222222222222222222"/>
        </w:placeholder>
      </w:sdtPr>
      <w:sdtContent>
        <w:p w14:paraId="0004555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149A039" w14:textId="77777777" w:rsidR="00577D08" w:rsidRDefault="00330FC0">
      <w:pPr>
        <w:pStyle w:val="3"/>
        <w:numPr>
          <w:ilvl w:val="0"/>
          <w:numId w:val="119"/>
        </w:numPr>
      </w:pPr>
      <w:r>
        <w:rPr>
          <w:rFonts w:hint="eastAsia"/>
        </w:rPr>
        <w:t>其他</w:t>
      </w:r>
    </w:p>
    <w:sdt>
      <w:sdtPr>
        <w:rPr>
          <w:rFonts w:hint="eastAsia"/>
        </w:rPr>
        <w:alias w:val="是否适用：承诺及或有事项的其他情况说明[双击切换]"/>
        <w:tag w:val="_GBC_cf5b3c02da904b4ea27843983d9a6248"/>
        <w:id w:val="-1533410842"/>
        <w:placeholder>
          <w:docPart w:val="GBC22222222222222222222222222222"/>
        </w:placeholder>
      </w:sdtPr>
      <w:sdtContent>
        <w:p w14:paraId="4094937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EE9D4A9" w14:textId="77777777" w:rsidR="00577D08" w:rsidRDefault="00330FC0">
      <w:pPr>
        <w:pStyle w:val="2"/>
        <w:numPr>
          <w:ilvl w:val="0"/>
          <w:numId w:val="52"/>
        </w:numPr>
      </w:pPr>
      <w:r>
        <w:rPr>
          <w:rFonts w:hint="eastAsia"/>
        </w:rPr>
        <w:t>资产负债表日后事项</w:t>
      </w:r>
    </w:p>
    <w:p w14:paraId="0B90131E" w14:textId="77777777" w:rsidR="00577D08" w:rsidRDefault="00330FC0">
      <w:pPr>
        <w:pStyle w:val="3"/>
        <w:numPr>
          <w:ilvl w:val="0"/>
          <w:numId w:val="121"/>
        </w:numPr>
      </w:pPr>
      <w:r>
        <w:rPr>
          <w:rFonts w:hint="eastAsia"/>
        </w:rPr>
        <w:t>重要的非调整事项</w:t>
      </w:r>
    </w:p>
    <w:sdt>
      <w:sdtPr>
        <w:alias w:val="是否适用：重要的非调整事项[双击切换]"/>
        <w:tag w:val="_GBC_5d94a9ce52454687be716014c1894fef"/>
        <w:id w:val="-1192533198"/>
        <w:placeholder>
          <w:docPart w:val="GBC22222222222222222222222222222"/>
        </w:placeholder>
      </w:sdtPr>
      <w:sdtContent>
        <w:p w14:paraId="313A107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B9638F0" w14:textId="77777777" w:rsidR="00577D08" w:rsidRDefault="00330FC0">
      <w:pPr>
        <w:spacing w:line="360" w:lineRule="exact"/>
        <w:ind w:firstLineChars="200" w:firstLine="420"/>
      </w:pPr>
      <w:r>
        <w:rPr>
          <w:rFonts w:hint="eastAsia"/>
        </w:rPr>
        <w:t>（</w:t>
      </w:r>
      <w:r>
        <w:rPr>
          <w:rFonts w:hint="eastAsia"/>
        </w:rPr>
        <w:t>1</w:t>
      </w:r>
      <w:r>
        <w:rPr>
          <w:rFonts w:hint="eastAsia"/>
        </w:rPr>
        <w:t>）向特定对象发行股票</w:t>
      </w:r>
    </w:p>
    <w:p w14:paraId="6D132042" w14:textId="77777777" w:rsidR="00577D08" w:rsidRDefault="00330FC0">
      <w:pPr>
        <w:spacing w:line="360" w:lineRule="exact"/>
        <w:ind w:firstLineChars="200" w:firstLine="420"/>
      </w:pPr>
      <w:r>
        <w:rPr>
          <w:rFonts w:hint="eastAsia"/>
        </w:rPr>
        <w:t>根据公司第四届董事会第十七次会议审议通过的《关于公司符合向特定对象发行股票条件的议案》《关于公司向特定对象发行股票方案的议案》《关于公司向特定对象发行股票预案的议案》等议案，公司拟向特定对象发行股票，发行对象为杨泽民先生或其控制的企业，杨泽民先生或其控制的企业同意以现金方式全额认购本次发行的股票，拟认购数量为</w:t>
      </w:r>
      <w:r>
        <w:rPr>
          <w:rFonts w:hint="eastAsia"/>
        </w:rPr>
        <w:t>19,493,177</w:t>
      </w:r>
      <w:r>
        <w:rPr>
          <w:rFonts w:hint="eastAsia"/>
        </w:rPr>
        <w:t>股，拟认购金额为</w:t>
      </w:r>
      <w:r>
        <w:rPr>
          <w:rFonts w:hint="eastAsia"/>
        </w:rPr>
        <w:t>30,000.00</w:t>
      </w:r>
      <w:r>
        <w:rPr>
          <w:rFonts w:hint="eastAsia"/>
        </w:rPr>
        <w:t>万元。上述交易构成关联交易，但不构成《上市公司重大资产重组管理办法》规定的重大资产重组。本次发行尚需公司股东会审议通过、上交所审核通过及中国证监会同意注册后方可实施，并以监管机构最终审批通过的方案为准。</w:t>
      </w:r>
    </w:p>
    <w:p w14:paraId="11C97259" w14:textId="77777777" w:rsidR="00577D08" w:rsidRDefault="00330FC0">
      <w:pPr>
        <w:spacing w:line="360" w:lineRule="exact"/>
        <w:ind w:firstLineChars="200" w:firstLine="420"/>
      </w:pPr>
      <w:r>
        <w:rPr>
          <w:rFonts w:hint="eastAsia"/>
        </w:rPr>
        <w:t>（</w:t>
      </w:r>
      <w:r>
        <w:rPr>
          <w:rFonts w:hint="eastAsia"/>
        </w:rPr>
        <w:t>2</w:t>
      </w:r>
      <w:r>
        <w:rPr>
          <w:rFonts w:hint="eastAsia"/>
        </w:rPr>
        <w:t>）设立子公司</w:t>
      </w:r>
    </w:p>
    <w:p w14:paraId="7834893C" w14:textId="77777777" w:rsidR="00577D08" w:rsidRDefault="00330FC0">
      <w:pPr>
        <w:spacing w:line="360" w:lineRule="exact"/>
        <w:ind w:firstLineChars="200" w:firstLine="420"/>
      </w:pPr>
      <w:r>
        <w:rPr>
          <w:rFonts w:hint="eastAsia"/>
        </w:rPr>
        <w:t>1</w:t>
      </w:r>
      <w:r>
        <w:rPr>
          <w:rFonts w:hint="eastAsia"/>
        </w:rPr>
        <w:t>）根据战略规划及业务发展需要，公司投资设立重庆望来电智能装备科技有限公司，持股比例为</w:t>
      </w:r>
      <w:r>
        <w:rPr>
          <w:rFonts w:hint="eastAsia"/>
        </w:rPr>
        <w:t>80%</w:t>
      </w:r>
      <w:r>
        <w:rPr>
          <w:rFonts w:hint="eastAsia"/>
        </w:rPr>
        <w:t>，截至本财务报告批准报出日，该公司工商登记手续已经办理完毕。</w:t>
      </w:r>
    </w:p>
    <w:p w14:paraId="1281B8E3" w14:textId="77777777" w:rsidR="00577D08" w:rsidRDefault="00330FC0">
      <w:pPr>
        <w:spacing w:line="360" w:lineRule="exact"/>
        <w:ind w:firstLineChars="200" w:firstLine="420"/>
      </w:pPr>
      <w:r>
        <w:rPr>
          <w:rFonts w:hint="eastAsia"/>
        </w:rPr>
        <w:lastRenderedPageBreak/>
        <w:t>2</w:t>
      </w:r>
      <w:r>
        <w:rPr>
          <w:rFonts w:hint="eastAsia"/>
        </w:rPr>
        <w:t>）根据战略规划及业务发展需要，公司之子公司投资设立云南望来充金池科技有限公司，持股比例为</w:t>
      </w:r>
      <w:r>
        <w:rPr>
          <w:rFonts w:hint="eastAsia"/>
        </w:rPr>
        <w:t>51%</w:t>
      </w:r>
      <w:r>
        <w:rPr>
          <w:rFonts w:hint="eastAsia"/>
        </w:rPr>
        <w:t>，截至本财务报告批准报出日，该公司工商登记手续已经办理完毕。</w:t>
      </w:r>
    </w:p>
    <w:p w14:paraId="159E9A22" w14:textId="77777777" w:rsidR="00577D08" w:rsidRDefault="00330FC0">
      <w:pPr>
        <w:spacing w:line="360" w:lineRule="exact"/>
        <w:ind w:firstLineChars="200" w:firstLine="420"/>
      </w:pPr>
      <w:r>
        <w:rPr>
          <w:rFonts w:hint="eastAsia"/>
        </w:rPr>
        <w:t>3</w:t>
      </w:r>
      <w:r>
        <w:rPr>
          <w:rFonts w:hint="eastAsia"/>
        </w:rPr>
        <w:t>）根据战略规划及业务发展需要，公司之子公司投资设立重庆望来充渝合新能源有限公司，持股比例为</w:t>
      </w:r>
      <w:r>
        <w:rPr>
          <w:rFonts w:hint="eastAsia"/>
        </w:rPr>
        <w:t>100%</w:t>
      </w:r>
      <w:r>
        <w:rPr>
          <w:rFonts w:hint="eastAsia"/>
        </w:rPr>
        <w:t>，截至本财务报告批准报出日，该公司工商登记手续已经办理完毕。</w:t>
      </w:r>
    </w:p>
    <w:p w14:paraId="008BD0A3" w14:textId="77777777" w:rsidR="00577D08" w:rsidRDefault="00330FC0">
      <w:pPr>
        <w:spacing w:line="360" w:lineRule="exact"/>
        <w:ind w:firstLineChars="200" w:firstLine="420"/>
      </w:pPr>
      <w:r>
        <w:rPr>
          <w:rFonts w:hint="eastAsia"/>
        </w:rPr>
        <w:t>4</w:t>
      </w:r>
      <w:r>
        <w:rPr>
          <w:rFonts w:hint="eastAsia"/>
        </w:rPr>
        <w:t>）根据战略规划及业务发展需要，公司之子公司投资设立准格尔旗望来充新能源科技有限公司，持股比例为</w:t>
      </w:r>
      <w:r>
        <w:rPr>
          <w:rFonts w:hint="eastAsia"/>
        </w:rPr>
        <w:t>51%</w:t>
      </w:r>
      <w:r>
        <w:rPr>
          <w:rFonts w:hint="eastAsia"/>
        </w:rPr>
        <w:t>，截至本财务报告批准报出日，该公司工商登记手续已经办理完毕。</w:t>
      </w:r>
    </w:p>
    <w:p w14:paraId="0ECFBF3B" w14:textId="77777777" w:rsidR="00577D08" w:rsidRDefault="00330FC0">
      <w:pPr>
        <w:pStyle w:val="3"/>
        <w:numPr>
          <w:ilvl w:val="0"/>
          <w:numId w:val="121"/>
        </w:numPr>
      </w:pPr>
      <w:r>
        <w:rPr>
          <w:rFonts w:hint="eastAsia"/>
        </w:rPr>
        <w:t>利润分配情况</w:t>
      </w:r>
    </w:p>
    <w:sdt>
      <w:sdtPr>
        <w:alias w:val="是否适用：利润分配情况[双击切换]"/>
        <w:tag w:val="_GBC_9a91fb54a6c146e5b9ee1ecff3141237"/>
        <w:id w:val="-1753117348"/>
        <w:placeholder>
          <w:docPart w:val="GBC22222222222222222222222222222"/>
        </w:placeholder>
      </w:sdtPr>
      <w:sdtContent>
        <w:p w14:paraId="52E7EEE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6C43F23" w14:textId="7C52239E" w:rsidR="00577D08" w:rsidRDefault="00330FC0">
      <w:pPr>
        <w:jc w:val="right"/>
      </w:pPr>
      <w:r>
        <w:rPr>
          <w:rFonts w:hint="eastAsia"/>
        </w:rPr>
        <w:t>单位：</w:t>
      </w:r>
      <w:sdt>
        <w:sdtPr>
          <w:rPr>
            <w:rFonts w:hint="eastAsia"/>
          </w:rPr>
          <w:alias w:val="单位：财务附注：资产负债表日后利润分配情况说明"/>
          <w:tag w:val="_GBC_6424df7632ca4cf5ab9e9760e3119d62"/>
          <w:id w:val="134212975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资产负债表日后利润分配情况说明"/>
          <w:tag w:val="_GBC_e75fd1607c614d249844c767ceffa84e"/>
          <w:id w:val="-19862313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2"/>
        <w:gridCol w:w="5326"/>
      </w:tblGrid>
      <w:tr w:rsidR="00577D08" w14:paraId="719684C9" w14:textId="77777777">
        <w:tc>
          <w:tcPr>
            <w:tcW w:w="3722" w:type="dxa"/>
            <w:tcBorders>
              <w:top w:val="single" w:sz="4" w:space="0" w:color="auto"/>
              <w:left w:val="single" w:sz="4" w:space="0" w:color="auto"/>
              <w:bottom w:val="single" w:sz="4" w:space="0" w:color="auto"/>
              <w:right w:val="single" w:sz="4" w:space="0" w:color="auto"/>
            </w:tcBorders>
            <w:vAlign w:val="center"/>
          </w:tcPr>
          <w:p w14:paraId="51B6FA94" w14:textId="77777777" w:rsidR="00577D08" w:rsidRDefault="00330FC0">
            <w:r>
              <w:rPr>
                <w:rFonts w:hint="eastAsia"/>
              </w:rPr>
              <w:t>拟分配的利润或股利</w:t>
            </w:r>
          </w:p>
        </w:tc>
        <w:sdt>
          <w:sdtPr>
            <w:alias w:val="资产负债表日后拟分配的利润或股利"/>
            <w:tag w:val="_GBC_3add72466c2e49709858581a726eb392"/>
            <w:id w:val="-384262425"/>
          </w:sdtPr>
          <w:sdtContent>
            <w:tc>
              <w:tcPr>
                <w:tcW w:w="5326" w:type="dxa"/>
                <w:tcBorders>
                  <w:top w:val="single" w:sz="4" w:space="0" w:color="auto"/>
                  <w:left w:val="single" w:sz="4" w:space="0" w:color="auto"/>
                  <w:bottom w:val="single" w:sz="4" w:space="0" w:color="auto"/>
                  <w:right w:val="single" w:sz="4" w:space="0" w:color="auto"/>
                </w:tcBorders>
                <w:vAlign w:val="center"/>
              </w:tcPr>
              <w:p w14:paraId="73B7E9F0" w14:textId="77777777" w:rsidR="00577D08" w:rsidRDefault="00330FC0">
                <w:pPr>
                  <w:jc w:val="right"/>
                </w:pPr>
                <w:r>
                  <w:t>16,498,231.95</w:t>
                </w:r>
              </w:p>
            </w:tc>
          </w:sdtContent>
        </w:sdt>
      </w:tr>
      <w:tr w:rsidR="00577D08" w14:paraId="3FD4998E" w14:textId="77777777">
        <w:tc>
          <w:tcPr>
            <w:tcW w:w="3722" w:type="dxa"/>
            <w:tcBorders>
              <w:top w:val="single" w:sz="4" w:space="0" w:color="auto"/>
              <w:left w:val="single" w:sz="4" w:space="0" w:color="auto"/>
              <w:bottom w:val="single" w:sz="4" w:space="0" w:color="auto"/>
              <w:right w:val="single" w:sz="4" w:space="0" w:color="auto"/>
            </w:tcBorders>
            <w:vAlign w:val="center"/>
          </w:tcPr>
          <w:p w14:paraId="367102BD" w14:textId="77777777" w:rsidR="00577D08" w:rsidRDefault="00330FC0">
            <w:r>
              <w:rPr>
                <w:rFonts w:hint="eastAsia"/>
              </w:rPr>
              <w:t>经审议批准宣告发放的利润或股利</w:t>
            </w:r>
          </w:p>
        </w:tc>
        <w:tc>
          <w:tcPr>
            <w:tcW w:w="5326" w:type="dxa"/>
            <w:tcBorders>
              <w:top w:val="single" w:sz="4" w:space="0" w:color="auto"/>
              <w:left w:val="single" w:sz="4" w:space="0" w:color="auto"/>
              <w:bottom w:val="single" w:sz="4" w:space="0" w:color="auto"/>
              <w:right w:val="single" w:sz="4" w:space="0" w:color="auto"/>
            </w:tcBorders>
            <w:vAlign w:val="center"/>
          </w:tcPr>
          <w:p w14:paraId="2882DFE8" w14:textId="77777777" w:rsidR="00577D08" w:rsidRDefault="00330FC0">
            <w:pPr>
              <w:jc w:val="right"/>
            </w:pPr>
            <w:r>
              <w:t>16,498,231.95</w:t>
            </w:r>
          </w:p>
        </w:tc>
      </w:tr>
    </w:tbl>
    <w:p w14:paraId="5A13A0FF" w14:textId="77777777" w:rsidR="00577D08" w:rsidRDefault="00330FC0">
      <w:pPr>
        <w:pStyle w:val="3"/>
        <w:numPr>
          <w:ilvl w:val="0"/>
          <w:numId w:val="121"/>
        </w:numPr>
      </w:pPr>
      <w:r>
        <w:rPr>
          <w:rFonts w:hint="eastAsia"/>
          <w:szCs w:val="21"/>
        </w:rPr>
        <w:t>销售</w:t>
      </w:r>
      <w:r>
        <w:rPr>
          <w:rFonts w:hint="eastAsia"/>
        </w:rPr>
        <w:t>退回</w:t>
      </w:r>
    </w:p>
    <w:sdt>
      <w:sdtPr>
        <w:alias w:val="是否适用：销售退回[双击切换]"/>
        <w:tag w:val="_GBC_7fb2ecaa1ffb494486f4a8b2e94240d2"/>
        <w:id w:val="1721634053"/>
        <w:placeholder>
          <w:docPart w:val="GBC22222222222222222222222222222"/>
        </w:placeholder>
      </w:sdtPr>
      <w:sdtContent>
        <w:p w14:paraId="3E142A42"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6A5F4BA" w14:textId="77777777" w:rsidR="00577D08" w:rsidRDefault="00330FC0">
      <w:pPr>
        <w:pStyle w:val="3"/>
        <w:numPr>
          <w:ilvl w:val="0"/>
          <w:numId w:val="121"/>
        </w:numPr>
      </w:pPr>
      <w:r>
        <w:rPr>
          <w:rFonts w:hint="eastAsia"/>
        </w:rPr>
        <w:t>其他资产负债表日后事项说明</w:t>
      </w:r>
    </w:p>
    <w:sdt>
      <w:sdtPr>
        <w:rPr>
          <w:rFonts w:hint="eastAsia"/>
        </w:rPr>
        <w:alias w:val="是否适用：其他资产负债表日后事项说明[双击切换]"/>
        <w:tag w:val="_GBC_4fc0f824aaea4ed096cae3b9f97ff314"/>
        <w:id w:val="-1559467551"/>
        <w:placeholder>
          <w:docPart w:val="GBC22222222222222222222222222222"/>
        </w:placeholder>
      </w:sdtPr>
      <w:sdtContent>
        <w:p w14:paraId="47AA59B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D417D27" w14:textId="77777777" w:rsidR="00577D08" w:rsidRDefault="00330FC0">
      <w:pPr>
        <w:pStyle w:val="2"/>
        <w:numPr>
          <w:ilvl w:val="0"/>
          <w:numId w:val="52"/>
        </w:numPr>
      </w:pPr>
      <w:r>
        <w:rPr>
          <w:rFonts w:hint="eastAsia"/>
        </w:rPr>
        <w:t>其他重要事项</w:t>
      </w:r>
    </w:p>
    <w:p w14:paraId="046B24AD" w14:textId="77777777" w:rsidR="00577D08" w:rsidRDefault="00330FC0">
      <w:pPr>
        <w:pStyle w:val="3"/>
        <w:numPr>
          <w:ilvl w:val="0"/>
          <w:numId w:val="122"/>
        </w:numPr>
      </w:pPr>
      <w:r>
        <w:rPr>
          <w:rFonts w:hint="eastAsia"/>
        </w:rPr>
        <w:t>前期会计差错更正</w:t>
      </w:r>
    </w:p>
    <w:p w14:paraId="1D6ABCB8" w14:textId="77777777" w:rsidR="00577D08" w:rsidRDefault="00330FC0">
      <w:r>
        <w:rPr>
          <w:rFonts w:hint="eastAsia"/>
        </w:rPr>
        <w:t>详见“重要事项”的“公司对会计政策、会计估计变更或重大会计差错更正原因和影响的分析说明”</w:t>
      </w:r>
    </w:p>
    <w:p w14:paraId="22D69757" w14:textId="77777777" w:rsidR="00577D08" w:rsidRDefault="00330FC0">
      <w:pPr>
        <w:pStyle w:val="3"/>
        <w:numPr>
          <w:ilvl w:val="0"/>
          <w:numId w:val="122"/>
        </w:numPr>
      </w:pPr>
      <w:r>
        <w:rPr>
          <w:rFonts w:ascii="宋体" w:hAnsi="宋体" w:cs="宋体" w:hint="eastAsia"/>
          <w:kern w:val="0"/>
          <w:szCs w:val="24"/>
        </w:rPr>
        <w:t>重要</w:t>
      </w:r>
      <w:r>
        <w:rPr>
          <w:rFonts w:hint="eastAsia"/>
        </w:rPr>
        <w:t>债务重组</w:t>
      </w:r>
    </w:p>
    <w:sdt>
      <w:sdtPr>
        <w:alias w:val="是否适用：重要债务重组[双击切换]"/>
        <w:tag w:val="_GBC_6b3631222f074ee0b23297cdcd94685f"/>
        <w:id w:val="-2830182"/>
        <w:placeholder>
          <w:docPart w:val="GBC22222222222222222222222222222"/>
        </w:placeholder>
      </w:sdtPr>
      <w:sdtContent>
        <w:p w14:paraId="1D78BCC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EFAFEF" w14:textId="77777777" w:rsidR="00577D08" w:rsidRDefault="00330FC0">
      <w:pPr>
        <w:pStyle w:val="3"/>
        <w:numPr>
          <w:ilvl w:val="0"/>
          <w:numId w:val="122"/>
        </w:numPr>
      </w:pPr>
      <w:r>
        <w:rPr>
          <w:rFonts w:hint="eastAsia"/>
        </w:rPr>
        <w:t>资产置换</w:t>
      </w:r>
    </w:p>
    <w:p w14:paraId="753D24C9" w14:textId="77777777" w:rsidR="00577D08" w:rsidRDefault="00330FC0">
      <w:pPr>
        <w:pStyle w:val="4"/>
        <w:numPr>
          <w:ilvl w:val="3"/>
          <w:numId w:val="123"/>
        </w:numPr>
        <w:ind w:left="426" w:hangingChars="202" w:hanging="426"/>
        <w:rPr>
          <w:rFonts w:hint="eastAsia"/>
        </w:rPr>
      </w:pPr>
      <w:r>
        <w:rPr>
          <w:rFonts w:hint="eastAsia"/>
        </w:rPr>
        <w:t>非货币性资产交换</w:t>
      </w:r>
    </w:p>
    <w:sdt>
      <w:sdtPr>
        <w:rPr>
          <w:rFonts w:hint="eastAsia"/>
        </w:rPr>
        <w:alias w:val="是否适用：非货币性资产交换[双击切换]"/>
        <w:tag w:val="_GBC_480975ada702478dae8a1468d6e0c3cd"/>
        <w:id w:val="-1531719466"/>
        <w:placeholder>
          <w:docPart w:val="GBC22222222222222222222222222222"/>
        </w:placeholder>
      </w:sdtPr>
      <w:sdtContent>
        <w:p w14:paraId="45B91F5E" w14:textId="77777777" w:rsidR="00577D08" w:rsidRDefault="00330FC0">
          <w:pPr>
            <w:spacing w:line="360" w:lineRule="exact"/>
            <w:ind w:right="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F525CC" w14:textId="77777777" w:rsidR="00577D08" w:rsidRDefault="00330FC0">
      <w:pPr>
        <w:pStyle w:val="4"/>
        <w:numPr>
          <w:ilvl w:val="3"/>
          <w:numId w:val="123"/>
        </w:numPr>
        <w:ind w:left="426" w:hangingChars="202" w:hanging="426"/>
        <w:rPr>
          <w:rFonts w:hint="eastAsia"/>
        </w:rPr>
      </w:pPr>
      <w:r>
        <w:rPr>
          <w:rFonts w:hint="eastAsia"/>
        </w:rPr>
        <w:t>其他资产置换</w:t>
      </w:r>
    </w:p>
    <w:sdt>
      <w:sdtPr>
        <w:rPr>
          <w:rFonts w:hint="eastAsia"/>
        </w:rPr>
        <w:alias w:val="是否适用：其他资产置换[双击切换]"/>
        <w:tag w:val="_GBC_d4d75cf02549483681739e6eb10910ff"/>
        <w:id w:val="1715698461"/>
        <w:placeholder>
          <w:docPart w:val="GBC22222222222222222222222222222"/>
        </w:placeholder>
      </w:sdtPr>
      <w:sdtContent>
        <w:p w14:paraId="7CB7FC5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95891C3" w14:textId="77777777" w:rsidR="00577D08" w:rsidRDefault="00330FC0">
      <w:pPr>
        <w:pStyle w:val="3"/>
        <w:numPr>
          <w:ilvl w:val="0"/>
          <w:numId w:val="122"/>
        </w:numPr>
      </w:pPr>
      <w:r>
        <w:rPr>
          <w:rFonts w:hint="eastAsia"/>
        </w:rPr>
        <w:t>年金计划</w:t>
      </w:r>
    </w:p>
    <w:sdt>
      <w:sdtPr>
        <w:alias w:val="是否适用：年金计划[双击切换]"/>
        <w:tag w:val="_GBC_7abcd6901bc848d8b58391e0ddd63034"/>
        <w:id w:val="2064673118"/>
        <w:placeholder>
          <w:docPart w:val="GBC22222222222222222222222222222"/>
        </w:placeholder>
      </w:sdtPr>
      <w:sdtContent>
        <w:p w14:paraId="15DCBEEF" w14:textId="77777777" w:rsidR="00577D08" w:rsidRDefault="00330FC0">
          <w:pPr>
            <w:rPr>
              <w:rFonts w:asciiTheme="minorHAnsi" w:eastAsiaTheme="minorEastAsia" w:hAnsiTheme="minorHAnsi" w:cstheme="minorBidi"/>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095892D" w14:textId="77777777" w:rsidR="00577D08" w:rsidRDefault="00330FC0">
      <w:pPr>
        <w:pStyle w:val="3"/>
        <w:numPr>
          <w:ilvl w:val="0"/>
          <w:numId w:val="122"/>
        </w:numPr>
        <w:rPr>
          <w:rFonts w:ascii="宋体" w:hAnsi="宋体" w:hint="eastAsia"/>
          <w:szCs w:val="21"/>
        </w:rPr>
      </w:pPr>
      <w:r>
        <w:rPr>
          <w:rFonts w:ascii="宋体" w:hAnsi="宋体" w:hint="eastAsia"/>
          <w:szCs w:val="21"/>
        </w:rPr>
        <w:t>终止经营</w:t>
      </w:r>
    </w:p>
    <w:p w14:paraId="13BC5F96" w14:textId="77777777" w:rsidR="00577D08" w:rsidRDefault="00000000">
      <w:pPr>
        <w:rPr>
          <w:rFonts w:cstheme="minorBidi"/>
          <w:kern w:val="2"/>
        </w:rPr>
      </w:pPr>
      <w:sdt>
        <w:sdtPr>
          <w:alias w:val="是否适用：终止经营[双击切换]"/>
          <w:tag w:val="_GBC_667e81a5639a48488e957a55e45c7763"/>
          <w:id w:val="1255871305"/>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hint="eastAsia"/>
            </w:rPr>
            <w:instrText xml:space="preserve"> MACROBUTTON  SnrToggleCheckbox √不适用 </w:instrText>
          </w:r>
          <w:r w:rsidR="00330FC0">
            <w:rPr>
              <w:rFonts w:ascii="宋体" w:hAnsi="宋体"/>
            </w:rPr>
            <w:fldChar w:fldCharType="end"/>
          </w:r>
        </w:sdtContent>
      </w:sdt>
    </w:p>
    <w:p w14:paraId="3CABC7F9" w14:textId="77777777" w:rsidR="00577D08" w:rsidRDefault="00330FC0">
      <w:pPr>
        <w:pStyle w:val="3"/>
        <w:numPr>
          <w:ilvl w:val="0"/>
          <w:numId w:val="122"/>
        </w:numPr>
        <w:rPr>
          <w:rFonts w:ascii="宋体" w:hAnsi="宋体" w:hint="eastAsia"/>
          <w:szCs w:val="21"/>
        </w:rPr>
      </w:pPr>
      <w:r>
        <w:rPr>
          <w:rFonts w:ascii="宋体" w:hAnsi="宋体" w:hint="eastAsia"/>
          <w:szCs w:val="21"/>
        </w:rPr>
        <w:t>分部信息</w:t>
      </w:r>
    </w:p>
    <w:p w14:paraId="25236411" w14:textId="77777777" w:rsidR="00577D08" w:rsidRDefault="00330FC0">
      <w:pPr>
        <w:pStyle w:val="4"/>
        <w:numPr>
          <w:ilvl w:val="3"/>
          <w:numId w:val="124"/>
        </w:numPr>
        <w:ind w:left="426" w:hangingChars="202" w:hanging="426"/>
        <w:rPr>
          <w:rFonts w:hint="eastAsia"/>
        </w:rPr>
      </w:pPr>
      <w:r>
        <w:rPr>
          <w:rFonts w:hint="eastAsia"/>
        </w:rPr>
        <w:t>报告分部的确定依据与会计政策</w:t>
      </w:r>
    </w:p>
    <w:sdt>
      <w:sdtPr>
        <w:rPr>
          <w:rFonts w:hint="eastAsia"/>
        </w:rPr>
        <w:alias w:val="是否适用：报告分部的确定依据与会计政策[双击切换]"/>
        <w:tag w:val="_GBC_b3cac5485321452cadb6e7ec2be5d907"/>
        <w:id w:val="-420564698"/>
        <w:placeholder>
          <w:docPart w:val="GBC22222222222222222222222222222"/>
        </w:placeholder>
      </w:sdtPr>
      <w:sdtContent>
        <w:p w14:paraId="59C29406" w14:textId="77777777" w:rsidR="00577D08" w:rsidRDefault="00330FC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报告分部的确定依据与会计政策"/>
        <w:tag w:val="_GBC_93ce2d8a1bb34f5498420754de576c4b"/>
        <w:id w:val="1617014979"/>
        <w:placeholder>
          <w:docPart w:val="GBC22222222222222222222222222222"/>
        </w:placeholder>
      </w:sdtPr>
      <w:sdtContent>
        <w:p w14:paraId="18B59EB2" w14:textId="77777777" w:rsidR="00577D08" w:rsidRDefault="00330FC0">
          <w:pPr>
            <w:spacing w:line="360" w:lineRule="exact"/>
            <w:ind w:firstLineChars="200" w:firstLine="420"/>
          </w:pPr>
          <w:r>
            <w:rPr>
              <w:rFonts w:hint="eastAsia"/>
            </w:rPr>
            <w:t>本公司主要业务为生产和销售输配电及控制设备、取向硅钢。公司将此业务视作为一个整体实施管理、评估经营成果。因此，本公司无需披露分部信息。</w:t>
          </w:r>
        </w:p>
      </w:sdtContent>
    </w:sdt>
    <w:p w14:paraId="0A95D774" w14:textId="77777777" w:rsidR="00577D08" w:rsidRDefault="00330FC0">
      <w:pPr>
        <w:pStyle w:val="4"/>
        <w:numPr>
          <w:ilvl w:val="3"/>
          <w:numId w:val="124"/>
        </w:numPr>
        <w:ind w:left="426" w:hangingChars="202" w:hanging="426"/>
        <w:rPr>
          <w:rFonts w:hint="eastAsia"/>
        </w:rPr>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1839766149"/>
        <w:placeholder>
          <w:docPart w:val="GBC22222222222222222222222222222"/>
        </w:placeholder>
      </w:sdtPr>
      <w:sdtContent>
        <w:p w14:paraId="317726E0" w14:textId="77777777" w:rsidR="00577D08" w:rsidRDefault="00330FC0">
          <w:pPr>
            <w:pStyle w:val="aff9"/>
            <w:ind w:firstLineChars="0" w:firstLine="0"/>
            <w:jc w:val="left"/>
            <w:rPr>
              <w:rFonts w:ascii="宋体" w:hAnsi="宋体" w:hint="eastAsia"/>
              <w:szCs w:val="21"/>
            </w:rPr>
          </w:pPr>
          <w:r>
            <w:rPr>
              <w:rFonts w:ascii="宋体" w:hAnsi="宋体"/>
              <w:szCs w:val="21"/>
            </w:rPr>
            <w:fldChar w:fldCharType="begin"/>
          </w:r>
          <w:r>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hint="eastAsia"/>
              <w:szCs w:val="21"/>
            </w:rPr>
            <w:instrText xml:space="preserve"> MACROBUTTON  SnrToggleCheckbox √不适用 </w:instrText>
          </w:r>
          <w:r>
            <w:rPr>
              <w:rFonts w:ascii="宋体" w:hAnsi="宋体"/>
              <w:szCs w:val="21"/>
            </w:rPr>
            <w:fldChar w:fldCharType="end"/>
          </w:r>
        </w:p>
      </w:sdtContent>
    </w:sdt>
    <w:p w14:paraId="431B3FE2" w14:textId="77777777" w:rsidR="00577D08" w:rsidRDefault="00330FC0">
      <w:pPr>
        <w:pStyle w:val="4"/>
        <w:numPr>
          <w:ilvl w:val="3"/>
          <w:numId w:val="124"/>
        </w:numPr>
        <w:ind w:left="426" w:hangingChars="202" w:hanging="426"/>
        <w:rPr>
          <w:rFonts w:hint="eastAsia"/>
        </w:rPr>
      </w:pPr>
      <w:r>
        <w:lastRenderedPageBreak/>
        <w:t>公司无报告分部的，或者不能披露各报告分部的资产总额和负债总额的，应说明原因</w:t>
      </w:r>
    </w:p>
    <w:sdt>
      <w:sdtPr>
        <w:rPr>
          <w:rFonts w:hint="eastAsia"/>
        </w:rPr>
        <w:alias w:val="是否适用：公司无报告分部的，或者不能披露各报告分部的资产总额和负债总额的，应说明原因[双击切换]"/>
        <w:tag w:val="_GBC_bcab2070d3744848a3b9d7010db71172"/>
        <w:id w:val="1122415492"/>
        <w:placeholder>
          <w:docPart w:val="GBC22222222222222222222222222222"/>
        </w:placeholder>
      </w:sdtPr>
      <w:sdtContent>
        <w:p w14:paraId="076E9925" w14:textId="77777777" w:rsidR="00577D08" w:rsidRDefault="00330FC0">
          <w:pPr>
            <w:jc w:val="both"/>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8F5E454" w14:textId="77777777" w:rsidR="00577D08" w:rsidRDefault="00330FC0">
      <w:pPr>
        <w:pStyle w:val="4"/>
        <w:numPr>
          <w:ilvl w:val="3"/>
          <w:numId w:val="124"/>
        </w:numPr>
        <w:ind w:left="426" w:hangingChars="202" w:hanging="426"/>
        <w:rPr>
          <w:rFonts w:hint="eastAsia"/>
        </w:rPr>
      </w:pPr>
      <w:r>
        <w:rPr>
          <w:rFonts w:hint="eastAsia"/>
        </w:rPr>
        <w:t>其他说明</w:t>
      </w:r>
    </w:p>
    <w:sdt>
      <w:sdtPr>
        <w:rPr>
          <w:rFonts w:hint="eastAsia"/>
        </w:rPr>
        <w:alias w:val="是否适用：分部信息的其他说明[双击切换]"/>
        <w:tag w:val="_GBC_a7173613038248df8d31b8ffe91e1e27"/>
        <w:id w:val="-583758893"/>
        <w:placeholder>
          <w:docPart w:val="GBC22222222222222222222222222222"/>
        </w:placeholder>
      </w:sdtPr>
      <w:sdtContent>
        <w:p w14:paraId="4C4533B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5DE0572" w14:textId="77777777" w:rsidR="00577D08" w:rsidRDefault="00330FC0">
      <w:pPr>
        <w:pStyle w:val="3"/>
        <w:numPr>
          <w:ilvl w:val="0"/>
          <w:numId w:val="122"/>
        </w:numPr>
      </w:pPr>
      <w:r>
        <w:rPr>
          <w:rFonts w:ascii="宋体" w:hAnsi="宋体" w:cs="宋体" w:hint="eastAsia"/>
          <w:bCs w:val="0"/>
          <w:kern w:val="0"/>
          <w:szCs w:val="21"/>
        </w:rPr>
        <w:t>其他对投资者决策有影响的重要交易和事项</w:t>
      </w:r>
    </w:p>
    <w:sdt>
      <w:sdtPr>
        <w:rPr>
          <w:rFonts w:hint="eastAsia"/>
        </w:rPr>
        <w:alias w:val="是否适用：其他对投资者决策有影响的重要交易和事项[双击切换]"/>
        <w:tag w:val="_GBC_fb50fde0c1774b5b8ae2688488649ea7"/>
        <w:id w:val="-611511473"/>
        <w:placeholder>
          <w:docPart w:val="GBC22222222222222222222222222222"/>
        </w:placeholder>
      </w:sdtPr>
      <w:sdtContent>
        <w:p w14:paraId="0183939A" w14:textId="77777777" w:rsidR="00577D08" w:rsidRDefault="00330FC0">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C21C5D" w14:textId="77777777" w:rsidR="00577D08" w:rsidRDefault="00330FC0">
      <w:pPr>
        <w:pStyle w:val="3"/>
        <w:numPr>
          <w:ilvl w:val="0"/>
          <w:numId w:val="122"/>
        </w:numPr>
        <w:rPr>
          <w:szCs w:val="21"/>
        </w:rPr>
      </w:pPr>
      <w:r>
        <w:rPr>
          <w:rFonts w:ascii="宋体" w:hAnsi="宋体" w:hint="eastAsia"/>
          <w:szCs w:val="21"/>
        </w:rPr>
        <w:t>其他</w:t>
      </w:r>
    </w:p>
    <w:sdt>
      <w:sdtPr>
        <w:rPr>
          <w:rFonts w:hint="eastAsia"/>
        </w:rPr>
        <w:alias w:val="是否适用：其他重要事项的说明[双击切换]"/>
        <w:tag w:val="_GBC_fb43f52ac5bc49a4b33e34d6b1758f09"/>
        <w:id w:val="-1609727166"/>
        <w:placeholder>
          <w:docPart w:val="GBC22222222222222222222222222222"/>
        </w:placeholder>
      </w:sdtPr>
      <w:sdtContent>
        <w:p w14:paraId="44C6F61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DB1786" w14:textId="77777777" w:rsidR="00577D08" w:rsidRDefault="00577D08">
      <w:pPr>
        <w:spacing w:line="360" w:lineRule="exact"/>
        <w:ind w:firstLineChars="200" w:firstLine="420"/>
        <w:rPr>
          <w:rFonts w:ascii="宋体" w:hAnsi="宋体" w:hint="eastAsia"/>
        </w:rPr>
      </w:pPr>
    </w:p>
    <w:p w14:paraId="33223EF4" w14:textId="77777777" w:rsidR="00577D08" w:rsidRDefault="00577D08">
      <w:pPr>
        <w:spacing w:line="360" w:lineRule="exact"/>
        <w:ind w:firstLineChars="200" w:firstLine="420"/>
        <w:rPr>
          <w:rFonts w:ascii="宋体" w:hAnsi="宋体" w:hint="eastAsia"/>
        </w:rPr>
      </w:pPr>
    </w:p>
    <w:p w14:paraId="43D5F739" w14:textId="77777777" w:rsidR="00577D08" w:rsidRDefault="00577D08">
      <w:pPr>
        <w:spacing w:line="360" w:lineRule="exact"/>
        <w:ind w:firstLineChars="200" w:firstLine="420"/>
        <w:rPr>
          <w:rFonts w:ascii="宋体" w:hAnsi="宋体" w:hint="eastAsia"/>
        </w:rPr>
        <w:sectPr w:rsidR="00577D08">
          <w:pgSz w:w="11906" w:h="16838"/>
          <w:pgMar w:top="1525" w:right="1276" w:bottom="1440" w:left="1797" w:header="856" w:footer="992" w:gutter="0"/>
          <w:cols w:space="425"/>
          <w:docGrid w:linePitch="312"/>
        </w:sectPr>
      </w:pPr>
    </w:p>
    <w:p w14:paraId="027A24B8" w14:textId="77777777" w:rsidR="00577D08" w:rsidRDefault="00330FC0">
      <w:pPr>
        <w:pStyle w:val="2"/>
        <w:numPr>
          <w:ilvl w:val="0"/>
          <w:numId w:val="52"/>
        </w:numPr>
        <w:rPr>
          <w:rFonts w:ascii="宋体" w:hAnsi="宋体" w:hint="eastAsia"/>
        </w:rPr>
      </w:pPr>
      <w:r>
        <w:rPr>
          <w:rFonts w:ascii="宋体" w:hAnsi="宋体" w:hint="eastAsia"/>
        </w:rPr>
        <w:lastRenderedPageBreak/>
        <w:t>母公司财务报表主要项目注释</w:t>
      </w:r>
    </w:p>
    <w:p w14:paraId="22DF669C" w14:textId="77777777" w:rsidR="00577D08" w:rsidRDefault="00330FC0">
      <w:pPr>
        <w:pStyle w:val="3"/>
        <w:numPr>
          <w:ilvl w:val="0"/>
          <w:numId w:val="125"/>
        </w:numPr>
      </w:pPr>
      <w:r>
        <w:rPr>
          <w:rFonts w:ascii="宋体" w:hAnsi="宋体" w:hint="eastAsia"/>
          <w:szCs w:val="21"/>
        </w:rPr>
        <w:t>应收账款</w:t>
      </w:r>
    </w:p>
    <w:p w14:paraId="6F703840" w14:textId="77777777" w:rsidR="00577D08" w:rsidRDefault="00330FC0">
      <w:pPr>
        <w:pStyle w:val="4"/>
        <w:numPr>
          <w:ilvl w:val="3"/>
          <w:numId w:val="126"/>
        </w:numPr>
        <w:ind w:left="426" w:hangingChars="202" w:hanging="426"/>
        <w:rPr>
          <w:rFonts w:hint="eastAsia"/>
        </w:rPr>
      </w:pPr>
      <w:bookmarkStart w:id="492" w:name="_Hlk533796665"/>
      <w:r>
        <w:rPr>
          <w:rFonts w:hint="eastAsia"/>
        </w:rPr>
        <w:t>按账龄披露</w:t>
      </w:r>
    </w:p>
    <w:sdt>
      <w:sdtPr>
        <w:alias w:val="是否适用：母公司应收账款按账龄披露[双击切换]"/>
        <w:tag w:val="_GBC_dafcd7d733014c4a8aaa9a9a4b6c92f1"/>
        <w:id w:val="-1737923035"/>
        <w:placeholder>
          <w:docPart w:val="GBC22222222222222222222222222222"/>
        </w:placeholder>
      </w:sdtPr>
      <w:sdtContent>
        <w:p w14:paraId="3F2AEE54"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D05E8C0" w14:textId="735A4FD9" w:rsidR="00577D08" w:rsidRDefault="00330FC0">
      <w:pPr>
        <w:jc w:val="right"/>
      </w:pPr>
      <w:r>
        <w:rPr>
          <w:rFonts w:hint="eastAsia"/>
        </w:rPr>
        <w:t>单位：</w:t>
      </w:r>
      <w:sdt>
        <w:sdtPr>
          <w:rPr>
            <w:rFonts w:hint="eastAsia"/>
          </w:rPr>
          <w:alias w:val="单位：母公司应收账款按账龄披露"/>
          <w:tag w:val="_GBC_6f3238355b1f4a02b89a4d1aa10b0026"/>
          <w:id w:val="-5578910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应收账款按账龄披露"/>
          <w:tag w:val="_GBC_c255ef872ced4f4ba9701062491ddd60"/>
          <w:id w:val="14576082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675"/>
        <w:gridCol w:w="4675"/>
      </w:tblGrid>
      <w:tr w:rsidR="00577D08" w14:paraId="335BBB95" w14:textId="77777777">
        <w:trPr>
          <w:cantSplit/>
        </w:trPr>
        <w:sdt>
          <w:sdtPr>
            <w:tag w:val="_PLD_91f1d8bffa9649c89e109fe838d32207"/>
            <w:id w:val="1343734996"/>
          </w:sdtPr>
          <w:sdtContent>
            <w:tc>
              <w:tcPr>
                <w:tcW w:w="1628" w:type="pct"/>
                <w:tcBorders>
                  <w:top w:val="single" w:sz="4" w:space="0" w:color="auto"/>
                  <w:left w:val="single" w:sz="4" w:space="0" w:color="auto"/>
                  <w:bottom w:val="single" w:sz="4" w:space="0" w:color="auto"/>
                  <w:right w:val="single" w:sz="4" w:space="0" w:color="auto"/>
                </w:tcBorders>
                <w:vAlign w:val="center"/>
              </w:tcPr>
              <w:p w14:paraId="16BEFE98" w14:textId="77777777" w:rsidR="00577D08" w:rsidRDefault="00330FC0">
                <w:pPr>
                  <w:jc w:val="center"/>
                </w:pPr>
                <w:r>
                  <w:rPr>
                    <w:rFonts w:hint="eastAsia"/>
                  </w:rPr>
                  <w:t>账龄</w:t>
                </w:r>
              </w:p>
            </w:tc>
          </w:sdtContent>
        </w:sdt>
        <w:sdt>
          <w:sdtPr>
            <w:tag w:val="_PLD_6b7aa27e99b34e1eb61af3bd12c578d2"/>
            <w:id w:val="1527826560"/>
          </w:sdtPr>
          <w:sdtContent>
            <w:tc>
              <w:tcPr>
                <w:tcW w:w="1686" w:type="pct"/>
                <w:tcBorders>
                  <w:top w:val="single" w:sz="4" w:space="0" w:color="auto"/>
                  <w:left w:val="single" w:sz="4" w:space="0" w:color="auto"/>
                  <w:bottom w:val="single" w:sz="4" w:space="0" w:color="auto"/>
                  <w:right w:val="single" w:sz="4" w:space="0" w:color="auto"/>
                </w:tcBorders>
                <w:vAlign w:val="center"/>
              </w:tcPr>
              <w:p w14:paraId="3839D5FA" w14:textId="77777777" w:rsidR="00577D08" w:rsidRDefault="00330FC0">
                <w:pPr>
                  <w:jc w:val="center"/>
                </w:pPr>
                <w:r>
                  <w:rPr>
                    <w:rFonts w:hint="eastAsia"/>
                  </w:rPr>
                  <w:t>期末账面余额</w:t>
                </w:r>
              </w:p>
            </w:tc>
          </w:sdtContent>
        </w:sdt>
        <w:sdt>
          <w:sdtPr>
            <w:tag w:val="_PLD_0e2d3c046f184578857e4606189d40ef"/>
            <w:id w:val="1142846490"/>
          </w:sdtPr>
          <w:sdtContent>
            <w:tc>
              <w:tcPr>
                <w:tcW w:w="1686" w:type="pct"/>
                <w:tcBorders>
                  <w:top w:val="single" w:sz="4" w:space="0" w:color="auto"/>
                  <w:left w:val="single" w:sz="4" w:space="0" w:color="auto"/>
                  <w:bottom w:val="single" w:sz="4" w:space="0" w:color="auto"/>
                  <w:right w:val="single" w:sz="4" w:space="0" w:color="auto"/>
                </w:tcBorders>
                <w:vAlign w:val="center"/>
              </w:tcPr>
              <w:p w14:paraId="1DD2999C" w14:textId="77777777" w:rsidR="00577D08" w:rsidRDefault="00330FC0">
                <w:pPr>
                  <w:jc w:val="center"/>
                </w:pPr>
                <w:r>
                  <w:rPr>
                    <w:rFonts w:hint="eastAsia"/>
                  </w:rPr>
                  <w:t>期初账面余额</w:t>
                </w:r>
              </w:p>
            </w:tc>
          </w:sdtContent>
        </w:sdt>
      </w:tr>
      <w:tr w:rsidR="00577D08" w14:paraId="1586A57F"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613808A9" w14:textId="77777777" w:rsidR="00577D08" w:rsidRDefault="00330FC0">
            <w:r>
              <w:rPr>
                <w:rFonts w:hint="eastAsia"/>
              </w:rPr>
              <w:t>1</w:t>
            </w:r>
            <w:r>
              <w:rPr>
                <w:rFonts w:hint="eastAsia"/>
              </w:rPr>
              <w:t>年以内（含</w:t>
            </w:r>
            <w:r>
              <w:rPr>
                <w:rFonts w:hint="eastAsia"/>
              </w:rPr>
              <w:t>1</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3DB12AD0" w14:textId="77777777" w:rsidR="00577D08" w:rsidRDefault="00330FC0">
            <w:pPr>
              <w:jc w:val="right"/>
            </w:pPr>
            <w:r>
              <w:t>930,340,645.10</w:t>
            </w:r>
          </w:p>
        </w:tc>
        <w:tc>
          <w:tcPr>
            <w:tcW w:w="1686" w:type="pct"/>
            <w:tcBorders>
              <w:top w:val="single" w:sz="4" w:space="0" w:color="auto"/>
              <w:left w:val="single" w:sz="4" w:space="0" w:color="auto"/>
              <w:bottom w:val="single" w:sz="4" w:space="0" w:color="auto"/>
              <w:right w:val="single" w:sz="4" w:space="0" w:color="auto"/>
            </w:tcBorders>
          </w:tcPr>
          <w:p w14:paraId="50C44B39" w14:textId="77777777" w:rsidR="00577D08" w:rsidRDefault="00330FC0">
            <w:pPr>
              <w:jc w:val="right"/>
            </w:pPr>
            <w:r>
              <w:t>702,293,129.68</w:t>
            </w:r>
          </w:p>
        </w:tc>
      </w:tr>
      <w:tr w:rsidR="00577D08" w14:paraId="62E30796"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6987C02B" w14:textId="77777777" w:rsidR="00577D08" w:rsidRDefault="00330FC0">
            <w:r>
              <w:rPr>
                <w:rFonts w:hint="eastAsia"/>
              </w:rPr>
              <w:t>1</w:t>
            </w:r>
            <w:r>
              <w:rPr>
                <w:rFonts w:hint="eastAsia"/>
              </w:rPr>
              <w:t>至</w:t>
            </w:r>
            <w:r>
              <w:rPr>
                <w:rFonts w:hint="eastAsia"/>
              </w:rPr>
              <w:t>2</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17E412F5" w14:textId="77777777" w:rsidR="00577D08" w:rsidRDefault="00330FC0">
            <w:pPr>
              <w:jc w:val="right"/>
            </w:pPr>
            <w:r>
              <w:t>181,078,788.54</w:t>
            </w:r>
          </w:p>
        </w:tc>
        <w:tc>
          <w:tcPr>
            <w:tcW w:w="1686" w:type="pct"/>
            <w:tcBorders>
              <w:top w:val="single" w:sz="4" w:space="0" w:color="auto"/>
              <w:left w:val="single" w:sz="4" w:space="0" w:color="auto"/>
              <w:bottom w:val="single" w:sz="4" w:space="0" w:color="auto"/>
              <w:right w:val="single" w:sz="4" w:space="0" w:color="auto"/>
            </w:tcBorders>
          </w:tcPr>
          <w:p w14:paraId="23B7F29C" w14:textId="77777777" w:rsidR="00577D08" w:rsidRDefault="00330FC0">
            <w:pPr>
              <w:jc w:val="right"/>
            </w:pPr>
            <w:r>
              <w:t>215,683,703.03</w:t>
            </w:r>
          </w:p>
        </w:tc>
      </w:tr>
      <w:tr w:rsidR="00577D08" w14:paraId="5AD11637"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3AA6F92F" w14:textId="77777777" w:rsidR="00577D08" w:rsidRDefault="00330FC0">
            <w:r>
              <w:rPr>
                <w:rFonts w:hint="eastAsia"/>
              </w:rPr>
              <w:t>2</w:t>
            </w:r>
            <w:r>
              <w:rPr>
                <w:rFonts w:hint="eastAsia"/>
              </w:rPr>
              <w:t>至</w:t>
            </w:r>
            <w:r>
              <w:rPr>
                <w:rFonts w:hint="eastAsia"/>
              </w:rPr>
              <w:t>3</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32B244EF" w14:textId="77777777" w:rsidR="00577D08" w:rsidRDefault="00330FC0">
            <w:pPr>
              <w:jc w:val="right"/>
            </w:pPr>
            <w:r>
              <w:t>85,029,948.44</w:t>
            </w:r>
          </w:p>
        </w:tc>
        <w:tc>
          <w:tcPr>
            <w:tcW w:w="1686" w:type="pct"/>
            <w:tcBorders>
              <w:top w:val="single" w:sz="4" w:space="0" w:color="auto"/>
              <w:left w:val="single" w:sz="4" w:space="0" w:color="auto"/>
              <w:bottom w:val="single" w:sz="4" w:space="0" w:color="auto"/>
              <w:right w:val="single" w:sz="4" w:space="0" w:color="auto"/>
            </w:tcBorders>
          </w:tcPr>
          <w:p w14:paraId="7C0B5BE3" w14:textId="77777777" w:rsidR="00577D08" w:rsidRDefault="00330FC0">
            <w:pPr>
              <w:jc w:val="right"/>
            </w:pPr>
            <w:r>
              <w:t>48,015,349.82</w:t>
            </w:r>
          </w:p>
        </w:tc>
      </w:tr>
      <w:tr w:rsidR="00577D08" w14:paraId="1B78150E"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224E1479" w14:textId="77777777" w:rsidR="00577D08" w:rsidRDefault="00330FC0">
            <w:r>
              <w:rPr>
                <w:rFonts w:hint="eastAsia"/>
              </w:rPr>
              <w:t>3</w:t>
            </w:r>
            <w:r>
              <w:rPr>
                <w:rFonts w:hint="eastAsia"/>
              </w:rPr>
              <w:t>至</w:t>
            </w:r>
            <w:r>
              <w:rPr>
                <w:rFonts w:hint="eastAsia"/>
              </w:rPr>
              <w:t>4</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28742D4A" w14:textId="77777777" w:rsidR="00577D08" w:rsidRDefault="00330FC0">
            <w:pPr>
              <w:jc w:val="right"/>
            </w:pPr>
            <w:r>
              <w:t>29,643,561.31</w:t>
            </w:r>
          </w:p>
        </w:tc>
        <w:tc>
          <w:tcPr>
            <w:tcW w:w="1686" w:type="pct"/>
            <w:tcBorders>
              <w:top w:val="single" w:sz="4" w:space="0" w:color="auto"/>
              <w:left w:val="single" w:sz="4" w:space="0" w:color="auto"/>
              <w:bottom w:val="single" w:sz="4" w:space="0" w:color="auto"/>
              <w:right w:val="single" w:sz="4" w:space="0" w:color="auto"/>
            </w:tcBorders>
          </w:tcPr>
          <w:p w14:paraId="0BFA46BA" w14:textId="77777777" w:rsidR="00577D08" w:rsidRDefault="00330FC0">
            <w:pPr>
              <w:jc w:val="right"/>
            </w:pPr>
            <w:r>
              <w:t>19,054,925.60</w:t>
            </w:r>
          </w:p>
        </w:tc>
      </w:tr>
      <w:tr w:rsidR="00577D08" w14:paraId="06F99D05"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68CC7880" w14:textId="77777777" w:rsidR="00577D08" w:rsidRDefault="00330FC0">
            <w:r>
              <w:rPr>
                <w:rFonts w:hint="eastAsia"/>
              </w:rPr>
              <w:t>4</w:t>
            </w:r>
            <w:r>
              <w:rPr>
                <w:rFonts w:hint="eastAsia"/>
              </w:rPr>
              <w:t>至</w:t>
            </w:r>
            <w:r>
              <w:rPr>
                <w:rFonts w:hint="eastAsia"/>
              </w:rPr>
              <w:t>5</w:t>
            </w:r>
            <w:r>
              <w:rPr>
                <w:rFonts w:hint="eastAsia"/>
              </w:rPr>
              <w:t>年</w:t>
            </w:r>
          </w:p>
        </w:tc>
        <w:tc>
          <w:tcPr>
            <w:tcW w:w="1686" w:type="pct"/>
            <w:tcBorders>
              <w:top w:val="single" w:sz="4" w:space="0" w:color="auto"/>
              <w:left w:val="single" w:sz="4" w:space="0" w:color="auto"/>
              <w:bottom w:val="single" w:sz="4" w:space="0" w:color="auto"/>
              <w:right w:val="single" w:sz="4" w:space="0" w:color="auto"/>
            </w:tcBorders>
          </w:tcPr>
          <w:p w14:paraId="0737AC1B" w14:textId="77777777" w:rsidR="00577D08" w:rsidRDefault="00330FC0">
            <w:pPr>
              <w:jc w:val="right"/>
            </w:pPr>
            <w:r>
              <w:t>12,624,391.56</w:t>
            </w:r>
          </w:p>
        </w:tc>
        <w:tc>
          <w:tcPr>
            <w:tcW w:w="1686" w:type="pct"/>
            <w:tcBorders>
              <w:top w:val="single" w:sz="4" w:space="0" w:color="auto"/>
              <w:left w:val="single" w:sz="4" w:space="0" w:color="auto"/>
              <w:bottom w:val="single" w:sz="4" w:space="0" w:color="auto"/>
              <w:right w:val="single" w:sz="4" w:space="0" w:color="auto"/>
            </w:tcBorders>
          </w:tcPr>
          <w:p w14:paraId="7DD246F8" w14:textId="77777777" w:rsidR="00577D08" w:rsidRDefault="00330FC0">
            <w:pPr>
              <w:jc w:val="right"/>
            </w:pPr>
            <w:r>
              <w:t>18,778,741.92</w:t>
            </w:r>
          </w:p>
        </w:tc>
      </w:tr>
      <w:tr w:rsidR="00577D08" w14:paraId="360DD966"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31098549" w14:textId="77777777" w:rsidR="00577D08" w:rsidRDefault="00330FC0">
            <w:r>
              <w:rPr>
                <w:rFonts w:hint="eastAsia"/>
              </w:rPr>
              <w:t>5</w:t>
            </w:r>
            <w:r>
              <w:rPr>
                <w:rFonts w:hint="eastAsia"/>
              </w:rPr>
              <w:t>年以上</w:t>
            </w:r>
          </w:p>
        </w:tc>
        <w:tc>
          <w:tcPr>
            <w:tcW w:w="1686" w:type="pct"/>
            <w:tcBorders>
              <w:top w:val="single" w:sz="4" w:space="0" w:color="auto"/>
              <w:left w:val="single" w:sz="4" w:space="0" w:color="auto"/>
              <w:bottom w:val="single" w:sz="4" w:space="0" w:color="auto"/>
              <w:right w:val="single" w:sz="4" w:space="0" w:color="auto"/>
            </w:tcBorders>
          </w:tcPr>
          <w:p w14:paraId="554B0B66" w14:textId="77777777" w:rsidR="00577D08" w:rsidRDefault="00330FC0">
            <w:pPr>
              <w:jc w:val="right"/>
            </w:pPr>
            <w:r>
              <w:t>34,829,641.55</w:t>
            </w:r>
          </w:p>
        </w:tc>
        <w:tc>
          <w:tcPr>
            <w:tcW w:w="1686" w:type="pct"/>
            <w:tcBorders>
              <w:top w:val="single" w:sz="4" w:space="0" w:color="auto"/>
              <w:left w:val="single" w:sz="4" w:space="0" w:color="auto"/>
              <w:bottom w:val="single" w:sz="4" w:space="0" w:color="auto"/>
              <w:right w:val="single" w:sz="4" w:space="0" w:color="auto"/>
            </w:tcBorders>
          </w:tcPr>
          <w:p w14:paraId="3B0125A4" w14:textId="77777777" w:rsidR="00577D08" w:rsidRDefault="00330FC0">
            <w:pPr>
              <w:jc w:val="right"/>
            </w:pPr>
            <w:r>
              <w:t>22,039,650.06</w:t>
            </w:r>
          </w:p>
        </w:tc>
      </w:tr>
      <w:tr w:rsidR="00577D08" w14:paraId="24EB9355"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4C59E935" w14:textId="77777777" w:rsidR="00577D08" w:rsidRDefault="00330FC0">
            <w:pPr>
              <w:jc w:val="center"/>
            </w:pPr>
            <w:r>
              <w:rPr>
                <w:rFonts w:hint="eastAsia"/>
              </w:rPr>
              <w:t>合计</w:t>
            </w:r>
          </w:p>
        </w:tc>
        <w:tc>
          <w:tcPr>
            <w:tcW w:w="1686" w:type="pct"/>
            <w:tcBorders>
              <w:top w:val="single" w:sz="4" w:space="0" w:color="auto"/>
              <w:left w:val="single" w:sz="4" w:space="0" w:color="auto"/>
              <w:bottom w:val="single" w:sz="4" w:space="0" w:color="auto"/>
              <w:right w:val="single" w:sz="4" w:space="0" w:color="auto"/>
            </w:tcBorders>
          </w:tcPr>
          <w:p w14:paraId="30547736" w14:textId="77777777" w:rsidR="00577D08" w:rsidRDefault="00330FC0">
            <w:pPr>
              <w:jc w:val="right"/>
            </w:pPr>
            <w:r>
              <w:t>1,273,546,976.50</w:t>
            </w:r>
          </w:p>
        </w:tc>
        <w:tc>
          <w:tcPr>
            <w:tcW w:w="1686" w:type="pct"/>
            <w:tcBorders>
              <w:top w:val="single" w:sz="4" w:space="0" w:color="auto"/>
              <w:left w:val="single" w:sz="4" w:space="0" w:color="auto"/>
              <w:bottom w:val="single" w:sz="4" w:space="0" w:color="auto"/>
              <w:right w:val="single" w:sz="4" w:space="0" w:color="auto"/>
            </w:tcBorders>
          </w:tcPr>
          <w:p w14:paraId="336E2E1B" w14:textId="77777777" w:rsidR="00577D08" w:rsidRDefault="00330FC0">
            <w:pPr>
              <w:jc w:val="right"/>
            </w:pPr>
            <w:r>
              <w:t>1,025,865,500.11</w:t>
            </w:r>
          </w:p>
        </w:tc>
      </w:tr>
    </w:tbl>
    <w:p w14:paraId="7C7FEF54" w14:textId="77777777" w:rsidR="00577D08" w:rsidRDefault="00577D08"/>
    <w:p w14:paraId="530D6658" w14:textId="77777777" w:rsidR="00577D08" w:rsidRDefault="00577D08"/>
    <w:p w14:paraId="441C2F7C" w14:textId="77777777" w:rsidR="00577D08" w:rsidRDefault="00330FC0">
      <w:pPr>
        <w:pStyle w:val="4"/>
        <w:numPr>
          <w:ilvl w:val="3"/>
          <w:numId w:val="126"/>
        </w:numPr>
        <w:ind w:left="426" w:hangingChars="202" w:hanging="426"/>
        <w:rPr>
          <w:rFonts w:hint="eastAsia"/>
        </w:rPr>
      </w:pPr>
      <w:bookmarkStart w:id="493" w:name="_Hlk533796703"/>
      <w:bookmarkEnd w:id="492"/>
      <w:r>
        <w:rPr>
          <w:rFonts w:hint="eastAsia"/>
        </w:rPr>
        <w:t>按坏账计提方法分类披露</w:t>
      </w:r>
    </w:p>
    <w:sdt>
      <w:sdtPr>
        <w:alias w:val="是否适用：母公司应收账款按坏账计提方法分类披露[双击切换]"/>
        <w:tag w:val="_GBC_7881b37ba62844928bb3a0f84fa1312c"/>
        <w:id w:val="1954678717"/>
        <w:placeholder>
          <w:docPart w:val="GBC22222222222222222222222222222"/>
        </w:placeholder>
      </w:sdtPr>
      <w:sdtContent>
        <w:p w14:paraId="08568902"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AD2C6D9" w14:textId="3F7EB898" w:rsidR="00577D08" w:rsidRDefault="00330FC0">
      <w:pPr>
        <w:pStyle w:val="aff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9192235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sdtContent>
      </w:sdt>
      <w:r>
        <w:rPr>
          <w:rFonts w:hint="eastAsia"/>
          <w:szCs w:val="21"/>
        </w:rPr>
        <w:t>币种：</w:t>
      </w:r>
      <w:sdt>
        <w:sdtPr>
          <w:rPr>
            <w:rFonts w:hint="eastAsia"/>
            <w:szCs w:val="21"/>
          </w:rPr>
          <w:alias w:val="币种：母公司应收账款按坏账计提方法分类披露"/>
          <w:tag w:val="_GBC_b8d2fec8e15e43c8b9a141c04cb5fea0"/>
          <w:id w:val="-7158105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686"/>
        <w:gridCol w:w="794"/>
        <w:gridCol w:w="1529"/>
        <w:gridCol w:w="689"/>
        <w:gridCol w:w="1686"/>
        <w:gridCol w:w="1686"/>
        <w:gridCol w:w="794"/>
        <w:gridCol w:w="1529"/>
        <w:gridCol w:w="689"/>
        <w:gridCol w:w="1529"/>
      </w:tblGrid>
      <w:tr w:rsidR="00577D08" w14:paraId="6611D344" w14:textId="77777777">
        <w:trPr>
          <w:cantSplit/>
          <w:trHeight w:val="259"/>
        </w:trPr>
        <w:sdt>
          <w:sdtPr>
            <w:tag w:val="_PLD_0b6f94bf734a49f28ff9eb2211eccc4e"/>
            <w:id w:val="1749381694"/>
          </w:sdtPr>
          <w:sdtContent>
            <w:tc>
              <w:tcPr>
                <w:tcW w:w="525" w:type="pct"/>
                <w:vMerge w:val="restart"/>
                <w:tcBorders>
                  <w:top w:val="single" w:sz="4" w:space="0" w:color="auto"/>
                  <w:left w:val="single" w:sz="4" w:space="0" w:color="auto"/>
                  <w:right w:val="single" w:sz="4" w:space="0" w:color="auto"/>
                </w:tcBorders>
                <w:vAlign w:val="center"/>
              </w:tcPr>
              <w:p w14:paraId="03236AB9" w14:textId="77777777" w:rsidR="00577D08" w:rsidRDefault="00330FC0">
                <w:pPr>
                  <w:jc w:val="center"/>
                </w:pPr>
                <w:r>
                  <w:rPr>
                    <w:rFonts w:hint="eastAsia"/>
                  </w:rPr>
                  <w:t>类别</w:t>
                </w:r>
              </w:p>
            </w:tc>
          </w:sdtContent>
        </w:sdt>
        <w:sdt>
          <w:sdtPr>
            <w:tag w:val="_PLD_cadda055920649559b4578dc73b6f05e"/>
            <w:id w:val="502410389"/>
          </w:sdtPr>
          <w:sdtContent>
            <w:tc>
              <w:tcPr>
                <w:tcW w:w="2266" w:type="pct"/>
                <w:gridSpan w:val="5"/>
                <w:tcBorders>
                  <w:top w:val="single" w:sz="4" w:space="0" w:color="auto"/>
                  <w:left w:val="single" w:sz="4" w:space="0" w:color="auto"/>
                  <w:right w:val="single" w:sz="4" w:space="0" w:color="auto"/>
                </w:tcBorders>
                <w:vAlign w:val="center"/>
              </w:tcPr>
              <w:p w14:paraId="00C1E04D" w14:textId="77777777" w:rsidR="00577D08" w:rsidRDefault="00330FC0">
                <w:pPr>
                  <w:autoSpaceDE w:val="0"/>
                  <w:autoSpaceDN w:val="0"/>
                  <w:adjustRightInd w:val="0"/>
                  <w:snapToGrid w:val="0"/>
                  <w:spacing w:line="240" w:lineRule="atLeast"/>
                  <w:jc w:val="center"/>
                </w:pPr>
                <w:r>
                  <w:rPr>
                    <w:rFonts w:hint="eastAsia"/>
                  </w:rPr>
                  <w:t>期末余额</w:t>
                </w:r>
              </w:p>
            </w:tc>
          </w:sdtContent>
        </w:sdt>
        <w:sdt>
          <w:sdtPr>
            <w:tag w:val="_PLD_28a8aaa48276458aa987282704951cc5"/>
            <w:id w:val="-1895496134"/>
          </w:sdtPr>
          <w:sdtContent>
            <w:tc>
              <w:tcPr>
                <w:tcW w:w="2210" w:type="pct"/>
                <w:gridSpan w:val="5"/>
                <w:tcBorders>
                  <w:top w:val="single" w:sz="4" w:space="0" w:color="auto"/>
                  <w:left w:val="single" w:sz="4" w:space="0" w:color="auto"/>
                  <w:right w:val="single" w:sz="4" w:space="0" w:color="auto"/>
                </w:tcBorders>
                <w:vAlign w:val="center"/>
              </w:tcPr>
              <w:p w14:paraId="28C69A15" w14:textId="77777777" w:rsidR="00577D08" w:rsidRDefault="00330FC0">
                <w:pPr>
                  <w:autoSpaceDE w:val="0"/>
                  <w:autoSpaceDN w:val="0"/>
                  <w:adjustRightInd w:val="0"/>
                  <w:snapToGrid w:val="0"/>
                  <w:spacing w:line="240" w:lineRule="atLeast"/>
                  <w:jc w:val="center"/>
                </w:pPr>
                <w:r>
                  <w:rPr>
                    <w:rFonts w:hint="eastAsia"/>
                  </w:rPr>
                  <w:t>期初余额</w:t>
                </w:r>
              </w:p>
            </w:tc>
          </w:sdtContent>
        </w:sdt>
      </w:tr>
      <w:tr w:rsidR="00577D08" w14:paraId="543F8FB2" w14:textId="77777777">
        <w:trPr>
          <w:cantSplit/>
          <w:trHeight w:val="227"/>
        </w:trPr>
        <w:tc>
          <w:tcPr>
            <w:tcW w:w="525" w:type="pct"/>
            <w:vMerge/>
            <w:tcBorders>
              <w:left w:val="single" w:sz="4" w:space="0" w:color="auto"/>
              <w:right w:val="single" w:sz="4" w:space="0" w:color="auto"/>
            </w:tcBorders>
            <w:vAlign w:val="center"/>
          </w:tcPr>
          <w:p w14:paraId="54E2B4E0" w14:textId="77777777" w:rsidR="00577D08" w:rsidRDefault="00577D08"/>
        </w:tc>
        <w:sdt>
          <w:sdtPr>
            <w:tag w:val="_PLD_b6e4cad360f948d68bd5af2c3f52e83a"/>
            <w:id w:val="945804332"/>
          </w:sdtPr>
          <w:sdtContent>
            <w:tc>
              <w:tcPr>
                <w:tcW w:w="880" w:type="pct"/>
                <w:gridSpan w:val="2"/>
                <w:tcBorders>
                  <w:top w:val="single" w:sz="4" w:space="0" w:color="auto"/>
                  <w:left w:val="single" w:sz="4" w:space="0" w:color="auto"/>
                  <w:bottom w:val="single" w:sz="4" w:space="0" w:color="auto"/>
                  <w:right w:val="single" w:sz="4" w:space="0" w:color="auto"/>
                </w:tcBorders>
                <w:vAlign w:val="center"/>
              </w:tcPr>
              <w:p w14:paraId="1841DD61" w14:textId="77777777" w:rsidR="00577D08" w:rsidRDefault="00330FC0">
                <w:pPr>
                  <w:jc w:val="center"/>
                </w:pPr>
                <w:r>
                  <w:rPr>
                    <w:rFonts w:hint="eastAsia"/>
                  </w:rPr>
                  <w:t>账面余额</w:t>
                </w:r>
              </w:p>
            </w:tc>
          </w:sdtContent>
        </w:sdt>
        <w:sdt>
          <w:sdtPr>
            <w:tag w:val="_PLD_1812a70770914fa4b8145f493ad4c468"/>
            <w:id w:val="-222137645"/>
          </w:sdtPr>
          <w:sdtContent>
            <w:tc>
              <w:tcPr>
                <w:tcW w:w="787" w:type="pct"/>
                <w:gridSpan w:val="2"/>
                <w:tcBorders>
                  <w:top w:val="single" w:sz="4" w:space="0" w:color="auto"/>
                  <w:left w:val="single" w:sz="4" w:space="0" w:color="auto"/>
                  <w:bottom w:val="single" w:sz="4" w:space="0" w:color="auto"/>
                  <w:right w:val="single" w:sz="4" w:space="0" w:color="auto"/>
                </w:tcBorders>
                <w:vAlign w:val="center"/>
              </w:tcPr>
              <w:p w14:paraId="31D68A36" w14:textId="77777777" w:rsidR="00577D08" w:rsidRDefault="00330FC0">
                <w:pPr>
                  <w:jc w:val="center"/>
                </w:pPr>
                <w:r>
                  <w:rPr>
                    <w:rFonts w:hint="eastAsia"/>
                  </w:rPr>
                  <w:t>坏账准备</w:t>
                </w:r>
              </w:p>
            </w:tc>
          </w:sdtContent>
        </w:sdt>
        <w:sdt>
          <w:sdtPr>
            <w:tag w:val="_PLD_970be2ae3a84456bb0feb4eb360d2b2f"/>
            <w:id w:val="1606538994"/>
          </w:sdtPr>
          <w:sdtContent>
            <w:tc>
              <w:tcPr>
                <w:tcW w:w="598" w:type="pct"/>
                <w:vMerge w:val="restart"/>
                <w:tcBorders>
                  <w:top w:val="single" w:sz="4" w:space="0" w:color="auto"/>
                  <w:left w:val="single" w:sz="4" w:space="0" w:color="auto"/>
                  <w:right w:val="single" w:sz="4" w:space="0" w:color="auto"/>
                </w:tcBorders>
                <w:vAlign w:val="center"/>
              </w:tcPr>
              <w:p w14:paraId="0E810765" w14:textId="77777777" w:rsidR="00577D08" w:rsidRDefault="00330FC0">
                <w:pPr>
                  <w:jc w:val="center"/>
                </w:pPr>
                <w:r>
                  <w:rPr>
                    <w:rFonts w:hint="eastAsia"/>
                  </w:rPr>
                  <w:t>账面</w:t>
                </w:r>
              </w:p>
              <w:p w14:paraId="07057600" w14:textId="77777777" w:rsidR="00577D08" w:rsidRDefault="00330FC0">
                <w:pPr>
                  <w:jc w:val="center"/>
                </w:pPr>
                <w:r>
                  <w:rPr>
                    <w:rFonts w:hint="eastAsia"/>
                  </w:rPr>
                  <w:t>价值</w:t>
                </w:r>
              </w:p>
            </w:tc>
          </w:sdtContent>
        </w:sdt>
        <w:sdt>
          <w:sdtPr>
            <w:tag w:val="_PLD_be04f05fbfa341e1a7546ee304164c92"/>
            <w:id w:val="2085179312"/>
          </w:sdtPr>
          <w:sdtContent>
            <w:tc>
              <w:tcPr>
                <w:tcW w:w="880" w:type="pct"/>
                <w:gridSpan w:val="2"/>
                <w:tcBorders>
                  <w:top w:val="single" w:sz="4" w:space="0" w:color="auto"/>
                  <w:left w:val="single" w:sz="4" w:space="0" w:color="auto"/>
                  <w:right w:val="single" w:sz="4" w:space="0" w:color="auto"/>
                </w:tcBorders>
                <w:vAlign w:val="center"/>
              </w:tcPr>
              <w:p w14:paraId="778C9C56" w14:textId="77777777" w:rsidR="00577D08" w:rsidRDefault="00330FC0">
                <w:pPr>
                  <w:jc w:val="center"/>
                </w:pPr>
                <w:r>
                  <w:rPr>
                    <w:rFonts w:hint="eastAsia"/>
                  </w:rPr>
                  <w:t>账面余额</w:t>
                </w:r>
              </w:p>
            </w:tc>
          </w:sdtContent>
        </w:sdt>
        <w:sdt>
          <w:sdtPr>
            <w:tag w:val="_PLD_708baf88b6ab4f6ca208582ef2033d3e"/>
            <w:id w:val="1996673540"/>
          </w:sdtPr>
          <w:sdtContent>
            <w:tc>
              <w:tcPr>
                <w:tcW w:w="787" w:type="pct"/>
                <w:gridSpan w:val="2"/>
                <w:tcBorders>
                  <w:top w:val="single" w:sz="4" w:space="0" w:color="auto"/>
                  <w:left w:val="single" w:sz="4" w:space="0" w:color="auto"/>
                  <w:right w:val="single" w:sz="4" w:space="0" w:color="auto"/>
                </w:tcBorders>
                <w:vAlign w:val="center"/>
              </w:tcPr>
              <w:p w14:paraId="6856943D" w14:textId="77777777" w:rsidR="00577D08" w:rsidRDefault="00330FC0">
                <w:pPr>
                  <w:jc w:val="center"/>
                </w:pPr>
                <w:r>
                  <w:rPr>
                    <w:rFonts w:hint="eastAsia"/>
                  </w:rPr>
                  <w:t>坏账准备</w:t>
                </w:r>
              </w:p>
            </w:tc>
          </w:sdtContent>
        </w:sdt>
        <w:sdt>
          <w:sdtPr>
            <w:tag w:val="_PLD_7c2453d3d43547428eaaafae8df8b7d0"/>
            <w:id w:val="1429158184"/>
          </w:sdtPr>
          <w:sdtContent>
            <w:tc>
              <w:tcPr>
                <w:tcW w:w="543" w:type="pct"/>
                <w:vMerge w:val="restart"/>
                <w:tcBorders>
                  <w:top w:val="single" w:sz="4" w:space="0" w:color="auto"/>
                  <w:left w:val="single" w:sz="4" w:space="0" w:color="auto"/>
                  <w:right w:val="single" w:sz="4" w:space="0" w:color="auto"/>
                </w:tcBorders>
                <w:vAlign w:val="center"/>
              </w:tcPr>
              <w:p w14:paraId="5C81D1E2" w14:textId="77777777" w:rsidR="00577D08" w:rsidRDefault="00330FC0">
                <w:pPr>
                  <w:jc w:val="center"/>
                </w:pPr>
                <w:r>
                  <w:rPr>
                    <w:rFonts w:hint="eastAsia"/>
                  </w:rPr>
                  <w:t>账面</w:t>
                </w:r>
              </w:p>
              <w:p w14:paraId="7B5DB040" w14:textId="77777777" w:rsidR="00577D08" w:rsidRDefault="00330FC0">
                <w:pPr>
                  <w:jc w:val="center"/>
                </w:pPr>
                <w:r>
                  <w:rPr>
                    <w:rFonts w:hint="eastAsia"/>
                  </w:rPr>
                  <w:t>价值</w:t>
                </w:r>
              </w:p>
            </w:tc>
          </w:sdtContent>
        </w:sdt>
      </w:tr>
      <w:tr w:rsidR="00577D08" w14:paraId="6D82C1ED" w14:textId="77777777">
        <w:trPr>
          <w:cantSplit/>
          <w:trHeight w:val="375"/>
        </w:trPr>
        <w:tc>
          <w:tcPr>
            <w:tcW w:w="525" w:type="pct"/>
            <w:vMerge/>
            <w:tcBorders>
              <w:left w:val="single" w:sz="4" w:space="0" w:color="auto"/>
              <w:bottom w:val="single" w:sz="4" w:space="0" w:color="auto"/>
              <w:right w:val="single" w:sz="4" w:space="0" w:color="auto"/>
            </w:tcBorders>
            <w:vAlign w:val="center"/>
          </w:tcPr>
          <w:p w14:paraId="257870AA" w14:textId="77777777" w:rsidR="00577D08" w:rsidRDefault="00577D08"/>
        </w:tc>
        <w:sdt>
          <w:sdtPr>
            <w:tag w:val="_PLD_c5c981ae53b144af90139d228c5285af"/>
            <w:id w:val="347613689"/>
          </w:sdtPr>
          <w:sdtContent>
            <w:tc>
              <w:tcPr>
                <w:tcW w:w="598" w:type="pct"/>
                <w:tcBorders>
                  <w:left w:val="single" w:sz="4" w:space="0" w:color="auto"/>
                  <w:bottom w:val="single" w:sz="4" w:space="0" w:color="auto"/>
                  <w:right w:val="single" w:sz="4" w:space="0" w:color="auto"/>
                </w:tcBorders>
                <w:vAlign w:val="center"/>
              </w:tcPr>
              <w:p w14:paraId="1886EACC" w14:textId="77777777" w:rsidR="00577D08" w:rsidRDefault="00330FC0">
                <w:pPr>
                  <w:jc w:val="center"/>
                </w:pPr>
                <w:r>
                  <w:rPr>
                    <w:rFonts w:hint="eastAsia"/>
                  </w:rPr>
                  <w:t>金额</w:t>
                </w:r>
              </w:p>
            </w:tc>
          </w:sdtContent>
        </w:sdt>
        <w:sdt>
          <w:sdtPr>
            <w:tag w:val="_PLD_c62cdb22fba648808acfebda9f29289b"/>
            <w:id w:val="-1884560072"/>
          </w:sdtPr>
          <w:sdtContent>
            <w:tc>
              <w:tcPr>
                <w:tcW w:w="282" w:type="pct"/>
                <w:tcBorders>
                  <w:left w:val="single" w:sz="4" w:space="0" w:color="auto"/>
                  <w:bottom w:val="single" w:sz="4" w:space="0" w:color="auto"/>
                  <w:right w:val="single" w:sz="4" w:space="0" w:color="auto"/>
                </w:tcBorders>
                <w:vAlign w:val="center"/>
              </w:tcPr>
              <w:p w14:paraId="0AEA6110" w14:textId="77777777" w:rsidR="00577D08" w:rsidRDefault="00330FC0">
                <w:pPr>
                  <w:jc w:val="center"/>
                </w:pPr>
                <w:r>
                  <w:rPr>
                    <w:rFonts w:hint="eastAsia"/>
                  </w:rPr>
                  <w:t>比例</w:t>
                </w:r>
                <w:r>
                  <w:t>(%)</w:t>
                </w:r>
              </w:p>
            </w:tc>
          </w:sdtContent>
        </w:sdt>
        <w:sdt>
          <w:sdtPr>
            <w:tag w:val="_PLD_d259a31756a946a6a441328cc78413fc"/>
            <w:id w:val="-163937727"/>
          </w:sdtPr>
          <w:sdtContent>
            <w:tc>
              <w:tcPr>
                <w:tcW w:w="543" w:type="pct"/>
                <w:tcBorders>
                  <w:left w:val="single" w:sz="4" w:space="0" w:color="auto"/>
                  <w:bottom w:val="single" w:sz="4" w:space="0" w:color="auto"/>
                  <w:right w:val="single" w:sz="4" w:space="0" w:color="auto"/>
                </w:tcBorders>
                <w:vAlign w:val="center"/>
              </w:tcPr>
              <w:p w14:paraId="5C9A6B31" w14:textId="77777777" w:rsidR="00577D08" w:rsidRDefault="00330FC0">
                <w:pPr>
                  <w:jc w:val="center"/>
                </w:pPr>
                <w:r>
                  <w:rPr>
                    <w:rFonts w:hint="eastAsia"/>
                  </w:rPr>
                  <w:t>金额</w:t>
                </w:r>
              </w:p>
            </w:tc>
          </w:sdtContent>
        </w:sdt>
        <w:sdt>
          <w:sdtPr>
            <w:tag w:val="_PLD_f74078100e7348efb6fa93b2ac934809"/>
            <w:id w:val="1492141962"/>
          </w:sdtPr>
          <w:sdtContent>
            <w:tc>
              <w:tcPr>
                <w:tcW w:w="245" w:type="pct"/>
                <w:tcBorders>
                  <w:left w:val="single" w:sz="4" w:space="0" w:color="auto"/>
                  <w:bottom w:val="single" w:sz="4" w:space="0" w:color="auto"/>
                  <w:right w:val="single" w:sz="4" w:space="0" w:color="auto"/>
                </w:tcBorders>
                <w:vAlign w:val="center"/>
              </w:tcPr>
              <w:p w14:paraId="2B0F2279" w14:textId="77777777" w:rsidR="00577D08" w:rsidRDefault="00330FC0">
                <w:pPr>
                  <w:jc w:val="center"/>
                </w:pPr>
                <w:r>
                  <w:rPr>
                    <w:rFonts w:hint="eastAsia"/>
                  </w:rPr>
                  <w:t>计提比例</w:t>
                </w:r>
                <w:r>
                  <w:t>(%)</w:t>
                </w:r>
              </w:p>
            </w:tc>
          </w:sdtContent>
        </w:sdt>
        <w:tc>
          <w:tcPr>
            <w:tcW w:w="598" w:type="pct"/>
            <w:vMerge/>
            <w:tcBorders>
              <w:left w:val="single" w:sz="4" w:space="0" w:color="auto"/>
              <w:bottom w:val="single" w:sz="4" w:space="0" w:color="auto"/>
              <w:right w:val="single" w:sz="4" w:space="0" w:color="auto"/>
            </w:tcBorders>
            <w:vAlign w:val="center"/>
          </w:tcPr>
          <w:p w14:paraId="7EAA5678" w14:textId="77777777" w:rsidR="00577D08" w:rsidRDefault="00577D08">
            <w:pPr>
              <w:jc w:val="center"/>
            </w:pPr>
          </w:p>
        </w:tc>
        <w:sdt>
          <w:sdtPr>
            <w:tag w:val="_PLD_4b188b463cd04b5f935c04bb97091ad7"/>
            <w:id w:val="-1003277005"/>
          </w:sdtPr>
          <w:sdtContent>
            <w:tc>
              <w:tcPr>
                <w:tcW w:w="598" w:type="pct"/>
                <w:tcBorders>
                  <w:left w:val="single" w:sz="4" w:space="0" w:color="auto"/>
                  <w:bottom w:val="single" w:sz="4" w:space="0" w:color="auto"/>
                  <w:right w:val="single" w:sz="4" w:space="0" w:color="auto"/>
                </w:tcBorders>
                <w:vAlign w:val="center"/>
              </w:tcPr>
              <w:p w14:paraId="67C4239D" w14:textId="77777777" w:rsidR="00577D08" w:rsidRDefault="00330FC0">
                <w:pPr>
                  <w:jc w:val="center"/>
                </w:pPr>
                <w:r>
                  <w:rPr>
                    <w:rFonts w:hint="eastAsia"/>
                  </w:rPr>
                  <w:t>金额</w:t>
                </w:r>
              </w:p>
            </w:tc>
          </w:sdtContent>
        </w:sdt>
        <w:sdt>
          <w:sdtPr>
            <w:tag w:val="_PLD_0eb49b8077f24050b883fe1c83156c6a"/>
            <w:id w:val="832648981"/>
          </w:sdtPr>
          <w:sdtContent>
            <w:tc>
              <w:tcPr>
                <w:tcW w:w="282" w:type="pct"/>
                <w:tcBorders>
                  <w:left w:val="single" w:sz="4" w:space="0" w:color="auto"/>
                  <w:bottom w:val="single" w:sz="4" w:space="0" w:color="auto"/>
                  <w:right w:val="single" w:sz="4" w:space="0" w:color="auto"/>
                </w:tcBorders>
                <w:vAlign w:val="center"/>
              </w:tcPr>
              <w:p w14:paraId="6A973F22" w14:textId="77777777" w:rsidR="00577D08" w:rsidRDefault="00330FC0">
                <w:pPr>
                  <w:jc w:val="center"/>
                </w:pPr>
                <w:r>
                  <w:rPr>
                    <w:rFonts w:hint="eastAsia"/>
                  </w:rPr>
                  <w:t>比例</w:t>
                </w:r>
                <w:r>
                  <w:t>(%)</w:t>
                </w:r>
              </w:p>
            </w:tc>
          </w:sdtContent>
        </w:sdt>
        <w:sdt>
          <w:sdtPr>
            <w:tag w:val="_PLD_97b959dafb2649fe9097ba91d4d77a2f"/>
            <w:id w:val="1804650735"/>
          </w:sdtPr>
          <w:sdtContent>
            <w:tc>
              <w:tcPr>
                <w:tcW w:w="543" w:type="pct"/>
                <w:tcBorders>
                  <w:left w:val="single" w:sz="4" w:space="0" w:color="auto"/>
                  <w:bottom w:val="single" w:sz="4" w:space="0" w:color="auto"/>
                  <w:right w:val="single" w:sz="4" w:space="0" w:color="auto"/>
                </w:tcBorders>
                <w:vAlign w:val="center"/>
              </w:tcPr>
              <w:p w14:paraId="475DFA48" w14:textId="77777777" w:rsidR="00577D08" w:rsidRDefault="00330FC0">
                <w:pPr>
                  <w:jc w:val="center"/>
                </w:pPr>
                <w:r>
                  <w:rPr>
                    <w:rFonts w:hint="eastAsia"/>
                  </w:rPr>
                  <w:t>金额</w:t>
                </w:r>
              </w:p>
            </w:tc>
          </w:sdtContent>
        </w:sdt>
        <w:sdt>
          <w:sdtPr>
            <w:tag w:val="_PLD_99dda048c2a04725a5d8bfac8b356378"/>
            <w:id w:val="-346944254"/>
          </w:sdtPr>
          <w:sdtContent>
            <w:tc>
              <w:tcPr>
                <w:tcW w:w="245" w:type="pct"/>
                <w:tcBorders>
                  <w:left w:val="single" w:sz="4" w:space="0" w:color="auto"/>
                  <w:bottom w:val="single" w:sz="4" w:space="0" w:color="auto"/>
                  <w:right w:val="single" w:sz="4" w:space="0" w:color="auto"/>
                </w:tcBorders>
                <w:vAlign w:val="center"/>
              </w:tcPr>
              <w:p w14:paraId="7B576A74" w14:textId="77777777" w:rsidR="00577D08" w:rsidRDefault="00330FC0">
                <w:pPr>
                  <w:jc w:val="center"/>
                </w:pPr>
                <w:r>
                  <w:rPr>
                    <w:rFonts w:hint="eastAsia"/>
                  </w:rPr>
                  <w:t>计提比例</w:t>
                </w:r>
                <w:r>
                  <w:t>(%)</w:t>
                </w:r>
              </w:p>
            </w:tc>
          </w:sdtContent>
        </w:sdt>
        <w:tc>
          <w:tcPr>
            <w:tcW w:w="543" w:type="pct"/>
            <w:vMerge/>
            <w:tcBorders>
              <w:left w:val="single" w:sz="4" w:space="0" w:color="auto"/>
              <w:bottom w:val="single" w:sz="4" w:space="0" w:color="auto"/>
              <w:right w:val="single" w:sz="4" w:space="0" w:color="auto"/>
            </w:tcBorders>
            <w:vAlign w:val="center"/>
          </w:tcPr>
          <w:p w14:paraId="639BDD39" w14:textId="77777777" w:rsidR="00577D08" w:rsidRDefault="00577D08">
            <w:pPr>
              <w:jc w:val="center"/>
            </w:pPr>
          </w:p>
        </w:tc>
      </w:tr>
      <w:tr w:rsidR="00577D08" w14:paraId="5E614C75" w14:textId="77777777">
        <w:trPr>
          <w:cantSplit/>
        </w:trPr>
        <w:tc>
          <w:tcPr>
            <w:tcW w:w="525" w:type="pct"/>
            <w:tcBorders>
              <w:top w:val="single" w:sz="4" w:space="0" w:color="auto"/>
              <w:left w:val="single" w:sz="4" w:space="0" w:color="auto"/>
              <w:bottom w:val="single" w:sz="4" w:space="0" w:color="auto"/>
              <w:right w:val="single" w:sz="4" w:space="0" w:color="auto"/>
            </w:tcBorders>
            <w:vAlign w:val="center"/>
          </w:tcPr>
          <w:p w14:paraId="4C56825B" w14:textId="77777777" w:rsidR="00577D08" w:rsidRDefault="00330FC0">
            <w:r>
              <w:rPr>
                <w:rFonts w:hint="eastAsia"/>
              </w:rPr>
              <w:t>按单项计提坏账准备</w:t>
            </w:r>
          </w:p>
        </w:tc>
        <w:tc>
          <w:tcPr>
            <w:tcW w:w="598" w:type="pct"/>
            <w:tcBorders>
              <w:top w:val="single" w:sz="4" w:space="0" w:color="auto"/>
              <w:left w:val="single" w:sz="4" w:space="0" w:color="auto"/>
              <w:bottom w:val="single" w:sz="4" w:space="0" w:color="auto"/>
              <w:right w:val="single" w:sz="4" w:space="0" w:color="auto"/>
            </w:tcBorders>
            <w:vAlign w:val="center"/>
          </w:tcPr>
          <w:p w14:paraId="2DD3AE35" w14:textId="77777777" w:rsidR="00577D08" w:rsidRDefault="00330FC0">
            <w:pPr>
              <w:jc w:val="right"/>
            </w:pPr>
            <w:r>
              <w:t>33,547,026.51</w:t>
            </w:r>
          </w:p>
        </w:tc>
        <w:tc>
          <w:tcPr>
            <w:tcW w:w="282" w:type="pct"/>
            <w:tcBorders>
              <w:top w:val="single" w:sz="4" w:space="0" w:color="auto"/>
              <w:left w:val="single" w:sz="4" w:space="0" w:color="auto"/>
              <w:bottom w:val="single" w:sz="4" w:space="0" w:color="auto"/>
              <w:right w:val="single" w:sz="4" w:space="0" w:color="auto"/>
            </w:tcBorders>
            <w:vAlign w:val="center"/>
          </w:tcPr>
          <w:p w14:paraId="2CCEF63B" w14:textId="77777777" w:rsidR="00577D08" w:rsidRDefault="00330FC0">
            <w:pPr>
              <w:jc w:val="right"/>
            </w:pPr>
            <w:r>
              <w:t>2.63</w:t>
            </w:r>
          </w:p>
        </w:tc>
        <w:tc>
          <w:tcPr>
            <w:tcW w:w="543" w:type="pct"/>
            <w:tcBorders>
              <w:top w:val="single" w:sz="4" w:space="0" w:color="auto"/>
              <w:left w:val="single" w:sz="4" w:space="0" w:color="auto"/>
              <w:bottom w:val="single" w:sz="4" w:space="0" w:color="auto"/>
              <w:right w:val="single" w:sz="4" w:space="0" w:color="auto"/>
            </w:tcBorders>
            <w:vAlign w:val="center"/>
          </w:tcPr>
          <w:p w14:paraId="1AC8FA25" w14:textId="77777777" w:rsidR="00577D08" w:rsidRDefault="00330FC0">
            <w:pPr>
              <w:jc w:val="right"/>
            </w:pPr>
            <w:r>
              <w:t>29,452,072.52</w:t>
            </w:r>
          </w:p>
        </w:tc>
        <w:tc>
          <w:tcPr>
            <w:tcW w:w="245" w:type="pct"/>
            <w:tcBorders>
              <w:top w:val="single" w:sz="4" w:space="0" w:color="auto"/>
              <w:left w:val="single" w:sz="4" w:space="0" w:color="auto"/>
              <w:bottom w:val="single" w:sz="4" w:space="0" w:color="auto"/>
              <w:right w:val="single" w:sz="4" w:space="0" w:color="auto"/>
            </w:tcBorders>
            <w:vAlign w:val="center"/>
          </w:tcPr>
          <w:p w14:paraId="2B312693" w14:textId="77777777" w:rsidR="00577D08" w:rsidRDefault="00330FC0">
            <w:pPr>
              <w:jc w:val="right"/>
            </w:pPr>
            <w:r>
              <w:t>87.79</w:t>
            </w:r>
          </w:p>
        </w:tc>
        <w:tc>
          <w:tcPr>
            <w:tcW w:w="598" w:type="pct"/>
            <w:tcBorders>
              <w:top w:val="single" w:sz="4" w:space="0" w:color="auto"/>
              <w:left w:val="single" w:sz="4" w:space="0" w:color="auto"/>
              <w:bottom w:val="single" w:sz="4" w:space="0" w:color="auto"/>
              <w:right w:val="single" w:sz="4" w:space="0" w:color="auto"/>
            </w:tcBorders>
            <w:vAlign w:val="center"/>
          </w:tcPr>
          <w:p w14:paraId="17A193AC" w14:textId="77777777" w:rsidR="00577D08" w:rsidRDefault="00330FC0">
            <w:pPr>
              <w:jc w:val="right"/>
            </w:pPr>
            <w:r>
              <w:t>4,094,953.99</w:t>
            </w:r>
          </w:p>
        </w:tc>
        <w:tc>
          <w:tcPr>
            <w:tcW w:w="598" w:type="pct"/>
            <w:tcBorders>
              <w:top w:val="single" w:sz="4" w:space="0" w:color="auto"/>
              <w:left w:val="single" w:sz="4" w:space="0" w:color="auto"/>
              <w:bottom w:val="single" w:sz="4" w:space="0" w:color="auto"/>
              <w:right w:val="single" w:sz="4" w:space="0" w:color="auto"/>
            </w:tcBorders>
            <w:vAlign w:val="center"/>
          </w:tcPr>
          <w:p w14:paraId="2CAADECA" w14:textId="77777777" w:rsidR="00577D08" w:rsidRDefault="00330FC0">
            <w:pPr>
              <w:jc w:val="right"/>
            </w:pPr>
            <w:r>
              <w:t>35,632,122.29</w:t>
            </w:r>
          </w:p>
        </w:tc>
        <w:tc>
          <w:tcPr>
            <w:tcW w:w="282" w:type="pct"/>
            <w:tcBorders>
              <w:top w:val="single" w:sz="4" w:space="0" w:color="auto"/>
              <w:left w:val="single" w:sz="4" w:space="0" w:color="auto"/>
              <w:bottom w:val="single" w:sz="4" w:space="0" w:color="auto"/>
              <w:right w:val="single" w:sz="4" w:space="0" w:color="auto"/>
            </w:tcBorders>
            <w:vAlign w:val="center"/>
          </w:tcPr>
          <w:p w14:paraId="3231B2CA" w14:textId="77777777" w:rsidR="00577D08" w:rsidRDefault="00330FC0">
            <w:pPr>
              <w:jc w:val="right"/>
            </w:pPr>
            <w:r>
              <w:t>3.47</w:t>
            </w:r>
          </w:p>
        </w:tc>
        <w:tc>
          <w:tcPr>
            <w:tcW w:w="543" w:type="pct"/>
            <w:tcBorders>
              <w:top w:val="single" w:sz="4" w:space="0" w:color="auto"/>
              <w:left w:val="single" w:sz="4" w:space="0" w:color="auto"/>
              <w:bottom w:val="single" w:sz="4" w:space="0" w:color="auto"/>
              <w:right w:val="single" w:sz="4" w:space="0" w:color="auto"/>
            </w:tcBorders>
            <w:vAlign w:val="center"/>
          </w:tcPr>
          <w:p w14:paraId="37A4CD32" w14:textId="77777777" w:rsidR="00577D08" w:rsidRDefault="00330FC0">
            <w:pPr>
              <w:jc w:val="right"/>
            </w:pPr>
            <w:r>
              <w:t>26,918,902.65</w:t>
            </w:r>
          </w:p>
        </w:tc>
        <w:tc>
          <w:tcPr>
            <w:tcW w:w="245" w:type="pct"/>
            <w:tcBorders>
              <w:top w:val="single" w:sz="4" w:space="0" w:color="auto"/>
              <w:left w:val="single" w:sz="4" w:space="0" w:color="auto"/>
              <w:bottom w:val="single" w:sz="4" w:space="0" w:color="auto"/>
              <w:right w:val="single" w:sz="4" w:space="0" w:color="auto"/>
            </w:tcBorders>
            <w:vAlign w:val="center"/>
          </w:tcPr>
          <w:p w14:paraId="4860BA86" w14:textId="77777777" w:rsidR="00577D08" w:rsidRDefault="00330FC0">
            <w:pPr>
              <w:jc w:val="right"/>
            </w:pPr>
            <w:r>
              <w:t>75.55</w:t>
            </w:r>
          </w:p>
        </w:tc>
        <w:tc>
          <w:tcPr>
            <w:tcW w:w="543" w:type="pct"/>
            <w:tcBorders>
              <w:top w:val="single" w:sz="4" w:space="0" w:color="auto"/>
              <w:left w:val="single" w:sz="4" w:space="0" w:color="auto"/>
              <w:bottom w:val="single" w:sz="4" w:space="0" w:color="auto"/>
              <w:right w:val="single" w:sz="4" w:space="0" w:color="auto"/>
            </w:tcBorders>
            <w:vAlign w:val="center"/>
          </w:tcPr>
          <w:p w14:paraId="41E08BD5" w14:textId="77777777" w:rsidR="00577D08" w:rsidRDefault="00330FC0">
            <w:pPr>
              <w:jc w:val="right"/>
            </w:pPr>
            <w:r>
              <w:t>8,713,219.64</w:t>
            </w:r>
          </w:p>
        </w:tc>
      </w:tr>
      <w:tr w:rsidR="00577D08" w14:paraId="1F99F4D1" w14:textId="77777777">
        <w:trPr>
          <w:cantSplit/>
        </w:trPr>
        <w:sdt>
          <w:sdtPr>
            <w:tag w:val="_PLD_b482c2c63c82442b8be7b0cffa7694c4"/>
            <w:id w:val="1349525506"/>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55BF1BCA" w14:textId="77777777" w:rsidR="00577D08" w:rsidRDefault="00330FC0">
                <w:r>
                  <w:rPr>
                    <w:rFonts w:hint="eastAsia"/>
                  </w:rPr>
                  <w:t>其中：</w:t>
                </w:r>
              </w:p>
            </w:tc>
          </w:sdtContent>
        </w:sdt>
      </w:tr>
      <w:tr w:rsidR="00577D08" w14:paraId="719D8908" w14:textId="77777777">
        <w:trPr>
          <w:cantSplit/>
        </w:trPr>
        <w:tc>
          <w:tcPr>
            <w:tcW w:w="525" w:type="pct"/>
            <w:tcBorders>
              <w:top w:val="single" w:sz="4" w:space="0" w:color="auto"/>
              <w:left w:val="single" w:sz="4" w:space="0" w:color="auto"/>
              <w:bottom w:val="single" w:sz="4" w:space="0" w:color="auto"/>
              <w:right w:val="single" w:sz="4" w:space="0" w:color="auto"/>
            </w:tcBorders>
            <w:vAlign w:val="center"/>
          </w:tcPr>
          <w:p w14:paraId="7051C6FF" w14:textId="77777777" w:rsidR="00577D08" w:rsidRDefault="00330FC0">
            <w:r>
              <w:rPr>
                <w:rFonts w:hint="eastAsia"/>
              </w:rPr>
              <w:lastRenderedPageBreak/>
              <w:t>按组合计提坏账准备</w:t>
            </w:r>
          </w:p>
        </w:tc>
        <w:tc>
          <w:tcPr>
            <w:tcW w:w="598" w:type="pct"/>
            <w:tcBorders>
              <w:top w:val="single" w:sz="4" w:space="0" w:color="auto"/>
              <w:left w:val="single" w:sz="4" w:space="0" w:color="auto"/>
              <w:bottom w:val="single" w:sz="4" w:space="0" w:color="auto"/>
              <w:right w:val="single" w:sz="4" w:space="0" w:color="auto"/>
            </w:tcBorders>
            <w:vAlign w:val="center"/>
          </w:tcPr>
          <w:p w14:paraId="0C4C1302" w14:textId="77777777" w:rsidR="00577D08" w:rsidRDefault="00330FC0">
            <w:pPr>
              <w:jc w:val="right"/>
            </w:pPr>
            <w:r>
              <w:t xml:space="preserve">1,239,999,949.99 </w:t>
            </w:r>
          </w:p>
        </w:tc>
        <w:tc>
          <w:tcPr>
            <w:tcW w:w="282" w:type="pct"/>
            <w:tcBorders>
              <w:top w:val="single" w:sz="4" w:space="0" w:color="auto"/>
              <w:left w:val="single" w:sz="4" w:space="0" w:color="auto"/>
              <w:bottom w:val="single" w:sz="4" w:space="0" w:color="auto"/>
              <w:right w:val="single" w:sz="4" w:space="0" w:color="auto"/>
            </w:tcBorders>
            <w:vAlign w:val="center"/>
          </w:tcPr>
          <w:p w14:paraId="5D81FCA1" w14:textId="77777777" w:rsidR="00577D08" w:rsidRDefault="00330FC0">
            <w:pPr>
              <w:jc w:val="right"/>
            </w:pPr>
            <w:r>
              <w:t xml:space="preserve"> 97.37 </w:t>
            </w:r>
          </w:p>
        </w:tc>
        <w:tc>
          <w:tcPr>
            <w:tcW w:w="543" w:type="pct"/>
            <w:tcBorders>
              <w:top w:val="single" w:sz="4" w:space="0" w:color="auto"/>
              <w:left w:val="single" w:sz="4" w:space="0" w:color="auto"/>
              <w:bottom w:val="single" w:sz="4" w:space="0" w:color="auto"/>
              <w:right w:val="single" w:sz="4" w:space="0" w:color="auto"/>
            </w:tcBorders>
            <w:vAlign w:val="center"/>
          </w:tcPr>
          <w:p w14:paraId="5EC5A293" w14:textId="77777777" w:rsidR="00577D08" w:rsidRDefault="00330FC0">
            <w:pPr>
              <w:jc w:val="right"/>
            </w:pPr>
            <w:r>
              <w:t xml:space="preserve"> 94,009,136.12 </w:t>
            </w:r>
          </w:p>
        </w:tc>
        <w:tc>
          <w:tcPr>
            <w:tcW w:w="245" w:type="pct"/>
            <w:tcBorders>
              <w:top w:val="single" w:sz="4" w:space="0" w:color="auto"/>
              <w:left w:val="single" w:sz="4" w:space="0" w:color="auto"/>
              <w:bottom w:val="single" w:sz="4" w:space="0" w:color="auto"/>
              <w:right w:val="single" w:sz="4" w:space="0" w:color="auto"/>
            </w:tcBorders>
            <w:vAlign w:val="center"/>
          </w:tcPr>
          <w:p w14:paraId="5EFAC56E" w14:textId="77777777" w:rsidR="00577D08" w:rsidRDefault="00330FC0">
            <w:pPr>
              <w:jc w:val="right"/>
            </w:pPr>
            <w:r>
              <w:t xml:space="preserve"> 7.58 </w:t>
            </w:r>
          </w:p>
        </w:tc>
        <w:tc>
          <w:tcPr>
            <w:tcW w:w="598" w:type="pct"/>
            <w:tcBorders>
              <w:top w:val="single" w:sz="4" w:space="0" w:color="auto"/>
              <w:left w:val="single" w:sz="4" w:space="0" w:color="auto"/>
              <w:bottom w:val="single" w:sz="4" w:space="0" w:color="auto"/>
              <w:right w:val="single" w:sz="4" w:space="0" w:color="auto"/>
            </w:tcBorders>
            <w:vAlign w:val="center"/>
          </w:tcPr>
          <w:p w14:paraId="5574F99B" w14:textId="77777777" w:rsidR="00577D08" w:rsidRDefault="00330FC0">
            <w:pPr>
              <w:jc w:val="right"/>
            </w:pPr>
            <w:r>
              <w:t xml:space="preserve">1,145,990,813.87 </w:t>
            </w:r>
          </w:p>
        </w:tc>
        <w:tc>
          <w:tcPr>
            <w:tcW w:w="598" w:type="pct"/>
            <w:tcBorders>
              <w:top w:val="single" w:sz="4" w:space="0" w:color="auto"/>
              <w:left w:val="single" w:sz="4" w:space="0" w:color="auto"/>
              <w:bottom w:val="single" w:sz="4" w:space="0" w:color="auto"/>
              <w:right w:val="single" w:sz="4" w:space="0" w:color="auto"/>
            </w:tcBorders>
            <w:vAlign w:val="center"/>
          </w:tcPr>
          <w:p w14:paraId="039897B0" w14:textId="77777777" w:rsidR="00577D08" w:rsidRDefault="00330FC0">
            <w:pPr>
              <w:jc w:val="right"/>
            </w:pPr>
            <w:r>
              <w:t xml:space="preserve"> 990,233,377.82 </w:t>
            </w:r>
          </w:p>
        </w:tc>
        <w:tc>
          <w:tcPr>
            <w:tcW w:w="282" w:type="pct"/>
            <w:tcBorders>
              <w:top w:val="single" w:sz="4" w:space="0" w:color="auto"/>
              <w:left w:val="single" w:sz="4" w:space="0" w:color="auto"/>
              <w:bottom w:val="single" w:sz="4" w:space="0" w:color="auto"/>
              <w:right w:val="single" w:sz="4" w:space="0" w:color="auto"/>
            </w:tcBorders>
            <w:vAlign w:val="center"/>
          </w:tcPr>
          <w:p w14:paraId="0FFFEF64" w14:textId="77777777" w:rsidR="00577D08" w:rsidRDefault="00330FC0">
            <w:pPr>
              <w:jc w:val="right"/>
            </w:pPr>
            <w:r>
              <w:t xml:space="preserve"> 96.53 </w:t>
            </w:r>
          </w:p>
        </w:tc>
        <w:tc>
          <w:tcPr>
            <w:tcW w:w="543" w:type="pct"/>
            <w:tcBorders>
              <w:top w:val="single" w:sz="4" w:space="0" w:color="auto"/>
              <w:left w:val="single" w:sz="4" w:space="0" w:color="auto"/>
              <w:bottom w:val="single" w:sz="4" w:space="0" w:color="auto"/>
              <w:right w:val="single" w:sz="4" w:space="0" w:color="auto"/>
            </w:tcBorders>
            <w:vAlign w:val="center"/>
          </w:tcPr>
          <w:p w14:paraId="688F887F" w14:textId="77777777" w:rsidR="00577D08" w:rsidRDefault="00330FC0">
            <w:pPr>
              <w:jc w:val="right"/>
            </w:pPr>
            <w:r>
              <w:t xml:space="preserve"> 79,591,139.76 </w:t>
            </w:r>
          </w:p>
        </w:tc>
        <w:tc>
          <w:tcPr>
            <w:tcW w:w="245" w:type="pct"/>
            <w:tcBorders>
              <w:top w:val="single" w:sz="4" w:space="0" w:color="auto"/>
              <w:left w:val="single" w:sz="4" w:space="0" w:color="auto"/>
              <w:bottom w:val="single" w:sz="4" w:space="0" w:color="auto"/>
              <w:right w:val="single" w:sz="4" w:space="0" w:color="auto"/>
            </w:tcBorders>
            <w:vAlign w:val="center"/>
          </w:tcPr>
          <w:p w14:paraId="657460AD" w14:textId="77777777" w:rsidR="00577D08" w:rsidRDefault="00330FC0">
            <w:pPr>
              <w:jc w:val="right"/>
            </w:pPr>
            <w:r>
              <w:t xml:space="preserve"> 8.04 </w:t>
            </w:r>
          </w:p>
        </w:tc>
        <w:tc>
          <w:tcPr>
            <w:tcW w:w="543" w:type="pct"/>
            <w:tcBorders>
              <w:top w:val="single" w:sz="4" w:space="0" w:color="auto"/>
              <w:left w:val="single" w:sz="4" w:space="0" w:color="auto"/>
              <w:bottom w:val="single" w:sz="4" w:space="0" w:color="auto"/>
              <w:right w:val="single" w:sz="4" w:space="0" w:color="auto"/>
            </w:tcBorders>
            <w:vAlign w:val="center"/>
          </w:tcPr>
          <w:p w14:paraId="3CADC64F" w14:textId="77777777" w:rsidR="00577D08" w:rsidRDefault="00330FC0">
            <w:pPr>
              <w:jc w:val="right"/>
            </w:pPr>
            <w:r>
              <w:t xml:space="preserve">910,642,238.06 </w:t>
            </w:r>
          </w:p>
        </w:tc>
      </w:tr>
      <w:tr w:rsidR="00577D08" w14:paraId="42A732AE" w14:textId="77777777">
        <w:trPr>
          <w:cantSplit/>
        </w:trPr>
        <w:sdt>
          <w:sdtPr>
            <w:tag w:val="_PLD_3e90aa50b20c494dafda2d9726e46570"/>
            <w:id w:val="-1232304317"/>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439EEAEC" w14:textId="77777777" w:rsidR="00577D08" w:rsidRDefault="00330FC0">
                <w:r>
                  <w:rPr>
                    <w:rFonts w:hint="eastAsia"/>
                  </w:rPr>
                  <w:t>其中：</w:t>
                </w:r>
              </w:p>
            </w:tc>
          </w:sdtContent>
        </w:sdt>
      </w:tr>
      <w:tr w:rsidR="00577D08" w14:paraId="302E1F87" w14:textId="77777777">
        <w:trPr>
          <w:cantSplit/>
        </w:trPr>
        <w:tc>
          <w:tcPr>
            <w:tcW w:w="525" w:type="pct"/>
            <w:tcBorders>
              <w:top w:val="single" w:sz="4" w:space="0" w:color="auto"/>
              <w:left w:val="single" w:sz="4" w:space="0" w:color="auto"/>
              <w:bottom w:val="single" w:sz="4" w:space="0" w:color="auto"/>
              <w:right w:val="single" w:sz="4" w:space="0" w:color="auto"/>
            </w:tcBorders>
          </w:tcPr>
          <w:p w14:paraId="235019F9" w14:textId="77777777" w:rsidR="00577D08" w:rsidRDefault="00330FC0">
            <w:pPr>
              <w:jc w:val="both"/>
              <w:rPr>
                <w:color w:val="808080"/>
              </w:rPr>
            </w:pPr>
            <w:r>
              <w:rPr>
                <w:rFonts w:hint="eastAsia"/>
              </w:rPr>
              <w:t>合并范围内关联方组合</w:t>
            </w:r>
          </w:p>
        </w:tc>
        <w:tc>
          <w:tcPr>
            <w:tcW w:w="598" w:type="pct"/>
            <w:tcBorders>
              <w:top w:val="single" w:sz="4" w:space="0" w:color="auto"/>
              <w:left w:val="single" w:sz="4" w:space="0" w:color="auto"/>
              <w:bottom w:val="single" w:sz="4" w:space="0" w:color="auto"/>
              <w:right w:val="single" w:sz="4" w:space="0" w:color="auto"/>
            </w:tcBorders>
            <w:vAlign w:val="center"/>
          </w:tcPr>
          <w:p w14:paraId="53013A5A" w14:textId="77777777" w:rsidR="00577D08" w:rsidRDefault="00330FC0">
            <w:pPr>
              <w:jc w:val="right"/>
            </w:pPr>
            <w:r>
              <w:t>216,638,106.48</w:t>
            </w:r>
          </w:p>
        </w:tc>
        <w:tc>
          <w:tcPr>
            <w:tcW w:w="282" w:type="pct"/>
            <w:tcBorders>
              <w:top w:val="single" w:sz="4" w:space="0" w:color="auto"/>
              <w:left w:val="single" w:sz="4" w:space="0" w:color="auto"/>
              <w:bottom w:val="single" w:sz="4" w:space="0" w:color="auto"/>
              <w:right w:val="single" w:sz="4" w:space="0" w:color="auto"/>
            </w:tcBorders>
            <w:vAlign w:val="center"/>
          </w:tcPr>
          <w:p w14:paraId="712860D0" w14:textId="77777777" w:rsidR="00577D08" w:rsidRDefault="00330FC0">
            <w:pPr>
              <w:jc w:val="right"/>
            </w:pPr>
            <w:r>
              <w:t>17.01</w:t>
            </w:r>
          </w:p>
        </w:tc>
        <w:tc>
          <w:tcPr>
            <w:tcW w:w="543" w:type="pct"/>
            <w:tcBorders>
              <w:top w:val="single" w:sz="4" w:space="0" w:color="auto"/>
              <w:left w:val="single" w:sz="4" w:space="0" w:color="auto"/>
              <w:bottom w:val="single" w:sz="4" w:space="0" w:color="auto"/>
              <w:right w:val="single" w:sz="4" w:space="0" w:color="auto"/>
            </w:tcBorders>
            <w:vAlign w:val="center"/>
          </w:tcPr>
          <w:p w14:paraId="35170EC3" w14:textId="77777777" w:rsidR="00577D08" w:rsidRDefault="00577D08">
            <w:pPr>
              <w:jc w:val="right"/>
            </w:pPr>
          </w:p>
        </w:tc>
        <w:tc>
          <w:tcPr>
            <w:tcW w:w="245" w:type="pct"/>
            <w:tcBorders>
              <w:top w:val="single" w:sz="4" w:space="0" w:color="auto"/>
              <w:left w:val="single" w:sz="4" w:space="0" w:color="auto"/>
              <w:bottom w:val="single" w:sz="4" w:space="0" w:color="auto"/>
              <w:right w:val="single" w:sz="4" w:space="0" w:color="auto"/>
            </w:tcBorders>
            <w:vAlign w:val="center"/>
          </w:tcPr>
          <w:p w14:paraId="509E2AC7" w14:textId="77777777" w:rsidR="00577D08" w:rsidRDefault="00577D08">
            <w:pPr>
              <w:jc w:val="right"/>
            </w:pPr>
          </w:p>
        </w:tc>
        <w:tc>
          <w:tcPr>
            <w:tcW w:w="598" w:type="pct"/>
            <w:tcBorders>
              <w:top w:val="single" w:sz="4" w:space="0" w:color="auto"/>
              <w:left w:val="single" w:sz="4" w:space="0" w:color="auto"/>
              <w:bottom w:val="single" w:sz="4" w:space="0" w:color="auto"/>
              <w:right w:val="single" w:sz="4" w:space="0" w:color="auto"/>
            </w:tcBorders>
            <w:vAlign w:val="center"/>
          </w:tcPr>
          <w:p w14:paraId="5EDBE943" w14:textId="77777777" w:rsidR="00577D08" w:rsidRDefault="00330FC0">
            <w:pPr>
              <w:jc w:val="right"/>
            </w:pPr>
            <w:r>
              <w:t>216,638,106.48</w:t>
            </w:r>
          </w:p>
        </w:tc>
        <w:tc>
          <w:tcPr>
            <w:tcW w:w="598" w:type="pct"/>
            <w:tcBorders>
              <w:top w:val="single" w:sz="4" w:space="0" w:color="auto"/>
              <w:left w:val="single" w:sz="4" w:space="0" w:color="auto"/>
              <w:bottom w:val="single" w:sz="4" w:space="0" w:color="auto"/>
              <w:right w:val="single" w:sz="4" w:space="0" w:color="auto"/>
            </w:tcBorders>
            <w:vAlign w:val="center"/>
          </w:tcPr>
          <w:p w14:paraId="3590886E" w14:textId="77777777" w:rsidR="00577D08" w:rsidRDefault="00330FC0">
            <w:pPr>
              <w:jc w:val="right"/>
            </w:pPr>
            <w:r>
              <w:t>38,996,198.49</w:t>
            </w:r>
          </w:p>
        </w:tc>
        <w:tc>
          <w:tcPr>
            <w:tcW w:w="282" w:type="pct"/>
            <w:tcBorders>
              <w:top w:val="single" w:sz="4" w:space="0" w:color="auto"/>
              <w:left w:val="single" w:sz="4" w:space="0" w:color="auto"/>
              <w:bottom w:val="single" w:sz="4" w:space="0" w:color="auto"/>
              <w:right w:val="single" w:sz="4" w:space="0" w:color="auto"/>
            </w:tcBorders>
            <w:vAlign w:val="center"/>
          </w:tcPr>
          <w:p w14:paraId="04CEBCAE" w14:textId="77777777" w:rsidR="00577D08" w:rsidRDefault="00330FC0">
            <w:pPr>
              <w:jc w:val="right"/>
            </w:pPr>
            <w:r>
              <w:t>3.8</w:t>
            </w:r>
            <w:r>
              <w:rPr>
                <w:rFonts w:hint="eastAsia"/>
              </w:rPr>
              <w:t>0</w:t>
            </w:r>
          </w:p>
        </w:tc>
        <w:tc>
          <w:tcPr>
            <w:tcW w:w="543" w:type="pct"/>
            <w:tcBorders>
              <w:top w:val="single" w:sz="4" w:space="0" w:color="auto"/>
              <w:left w:val="single" w:sz="4" w:space="0" w:color="auto"/>
              <w:bottom w:val="single" w:sz="4" w:space="0" w:color="auto"/>
              <w:right w:val="single" w:sz="4" w:space="0" w:color="auto"/>
            </w:tcBorders>
            <w:vAlign w:val="center"/>
          </w:tcPr>
          <w:p w14:paraId="0A291517" w14:textId="77777777" w:rsidR="00577D08" w:rsidRDefault="00577D08">
            <w:pPr>
              <w:jc w:val="right"/>
            </w:pPr>
          </w:p>
        </w:tc>
        <w:tc>
          <w:tcPr>
            <w:tcW w:w="245" w:type="pct"/>
            <w:tcBorders>
              <w:top w:val="single" w:sz="4" w:space="0" w:color="auto"/>
              <w:left w:val="single" w:sz="4" w:space="0" w:color="auto"/>
              <w:bottom w:val="single" w:sz="4" w:space="0" w:color="auto"/>
              <w:right w:val="single" w:sz="4" w:space="0" w:color="auto"/>
            </w:tcBorders>
            <w:vAlign w:val="center"/>
          </w:tcPr>
          <w:p w14:paraId="651AB778" w14:textId="77777777" w:rsidR="00577D08" w:rsidRDefault="00577D08">
            <w:pPr>
              <w:jc w:val="right"/>
            </w:pPr>
          </w:p>
        </w:tc>
        <w:tc>
          <w:tcPr>
            <w:tcW w:w="543" w:type="pct"/>
            <w:tcBorders>
              <w:top w:val="single" w:sz="4" w:space="0" w:color="auto"/>
              <w:left w:val="single" w:sz="4" w:space="0" w:color="auto"/>
              <w:bottom w:val="single" w:sz="4" w:space="0" w:color="auto"/>
              <w:right w:val="single" w:sz="4" w:space="0" w:color="auto"/>
            </w:tcBorders>
            <w:vAlign w:val="center"/>
          </w:tcPr>
          <w:p w14:paraId="4CFD6590" w14:textId="77777777" w:rsidR="00577D08" w:rsidRDefault="00330FC0">
            <w:pPr>
              <w:jc w:val="right"/>
            </w:pPr>
            <w:r>
              <w:t>38,996,198.49</w:t>
            </w:r>
          </w:p>
        </w:tc>
      </w:tr>
      <w:tr w:rsidR="00577D08" w14:paraId="22523879" w14:textId="77777777">
        <w:trPr>
          <w:cantSplit/>
        </w:trPr>
        <w:tc>
          <w:tcPr>
            <w:tcW w:w="525" w:type="pct"/>
            <w:tcBorders>
              <w:top w:val="single" w:sz="4" w:space="0" w:color="auto"/>
              <w:left w:val="single" w:sz="4" w:space="0" w:color="auto"/>
              <w:bottom w:val="single" w:sz="4" w:space="0" w:color="auto"/>
              <w:right w:val="single" w:sz="4" w:space="0" w:color="auto"/>
            </w:tcBorders>
          </w:tcPr>
          <w:p w14:paraId="747C4C31" w14:textId="77777777" w:rsidR="00577D08" w:rsidRDefault="00330FC0">
            <w:pPr>
              <w:jc w:val="both"/>
              <w:rPr>
                <w:color w:val="808080"/>
              </w:rPr>
            </w:pPr>
            <w:r>
              <w:rPr>
                <w:rFonts w:hint="eastAsia"/>
              </w:rPr>
              <w:t>账龄组合</w:t>
            </w:r>
          </w:p>
        </w:tc>
        <w:tc>
          <w:tcPr>
            <w:tcW w:w="598" w:type="pct"/>
            <w:tcBorders>
              <w:top w:val="single" w:sz="4" w:space="0" w:color="auto"/>
              <w:left w:val="single" w:sz="4" w:space="0" w:color="auto"/>
              <w:bottom w:val="single" w:sz="4" w:space="0" w:color="auto"/>
              <w:right w:val="single" w:sz="4" w:space="0" w:color="auto"/>
            </w:tcBorders>
            <w:vAlign w:val="center"/>
          </w:tcPr>
          <w:p w14:paraId="5F83DEF2" w14:textId="77777777" w:rsidR="00577D08" w:rsidRDefault="00330FC0">
            <w:pPr>
              <w:jc w:val="right"/>
            </w:pPr>
            <w:r>
              <w:t>1,023,361,843.51</w:t>
            </w:r>
          </w:p>
        </w:tc>
        <w:tc>
          <w:tcPr>
            <w:tcW w:w="282" w:type="pct"/>
            <w:tcBorders>
              <w:top w:val="single" w:sz="4" w:space="0" w:color="auto"/>
              <w:left w:val="single" w:sz="4" w:space="0" w:color="auto"/>
              <w:bottom w:val="single" w:sz="4" w:space="0" w:color="auto"/>
              <w:right w:val="single" w:sz="4" w:space="0" w:color="auto"/>
            </w:tcBorders>
            <w:vAlign w:val="center"/>
          </w:tcPr>
          <w:p w14:paraId="610CE086" w14:textId="77777777" w:rsidR="00577D08" w:rsidRDefault="00330FC0">
            <w:pPr>
              <w:jc w:val="right"/>
            </w:pPr>
            <w:r>
              <w:t>80.36</w:t>
            </w:r>
          </w:p>
        </w:tc>
        <w:tc>
          <w:tcPr>
            <w:tcW w:w="543" w:type="pct"/>
            <w:tcBorders>
              <w:top w:val="single" w:sz="4" w:space="0" w:color="auto"/>
              <w:left w:val="single" w:sz="4" w:space="0" w:color="auto"/>
              <w:bottom w:val="single" w:sz="4" w:space="0" w:color="auto"/>
              <w:right w:val="single" w:sz="4" w:space="0" w:color="auto"/>
            </w:tcBorders>
            <w:vAlign w:val="center"/>
          </w:tcPr>
          <w:p w14:paraId="460E6320" w14:textId="77777777" w:rsidR="00577D08" w:rsidRDefault="00330FC0">
            <w:pPr>
              <w:jc w:val="right"/>
            </w:pPr>
            <w:r>
              <w:t>94,009,136.12</w:t>
            </w:r>
          </w:p>
        </w:tc>
        <w:tc>
          <w:tcPr>
            <w:tcW w:w="245" w:type="pct"/>
            <w:tcBorders>
              <w:top w:val="single" w:sz="4" w:space="0" w:color="auto"/>
              <w:left w:val="single" w:sz="4" w:space="0" w:color="auto"/>
              <w:bottom w:val="single" w:sz="4" w:space="0" w:color="auto"/>
              <w:right w:val="single" w:sz="4" w:space="0" w:color="auto"/>
            </w:tcBorders>
            <w:vAlign w:val="center"/>
          </w:tcPr>
          <w:p w14:paraId="30FD926D" w14:textId="77777777" w:rsidR="00577D08" w:rsidRDefault="00330FC0">
            <w:pPr>
              <w:jc w:val="right"/>
            </w:pPr>
            <w:r>
              <w:t>9.19</w:t>
            </w:r>
          </w:p>
        </w:tc>
        <w:tc>
          <w:tcPr>
            <w:tcW w:w="598" w:type="pct"/>
            <w:tcBorders>
              <w:top w:val="single" w:sz="4" w:space="0" w:color="auto"/>
              <w:left w:val="single" w:sz="4" w:space="0" w:color="auto"/>
              <w:bottom w:val="single" w:sz="4" w:space="0" w:color="auto"/>
              <w:right w:val="single" w:sz="4" w:space="0" w:color="auto"/>
            </w:tcBorders>
            <w:vAlign w:val="center"/>
          </w:tcPr>
          <w:p w14:paraId="0AE7243C" w14:textId="77777777" w:rsidR="00577D08" w:rsidRDefault="00330FC0">
            <w:pPr>
              <w:jc w:val="right"/>
            </w:pPr>
            <w:r>
              <w:t>929,352,707.39</w:t>
            </w:r>
          </w:p>
        </w:tc>
        <w:tc>
          <w:tcPr>
            <w:tcW w:w="598" w:type="pct"/>
            <w:tcBorders>
              <w:top w:val="single" w:sz="4" w:space="0" w:color="auto"/>
              <w:left w:val="single" w:sz="4" w:space="0" w:color="auto"/>
              <w:bottom w:val="single" w:sz="4" w:space="0" w:color="auto"/>
              <w:right w:val="single" w:sz="4" w:space="0" w:color="auto"/>
            </w:tcBorders>
            <w:vAlign w:val="center"/>
          </w:tcPr>
          <w:p w14:paraId="6065D3F5" w14:textId="77777777" w:rsidR="00577D08" w:rsidRDefault="00330FC0">
            <w:pPr>
              <w:jc w:val="right"/>
            </w:pPr>
            <w:r>
              <w:t>951,237,179.33</w:t>
            </w:r>
          </w:p>
        </w:tc>
        <w:tc>
          <w:tcPr>
            <w:tcW w:w="282" w:type="pct"/>
            <w:tcBorders>
              <w:top w:val="single" w:sz="4" w:space="0" w:color="auto"/>
              <w:left w:val="single" w:sz="4" w:space="0" w:color="auto"/>
              <w:bottom w:val="single" w:sz="4" w:space="0" w:color="auto"/>
              <w:right w:val="single" w:sz="4" w:space="0" w:color="auto"/>
            </w:tcBorders>
            <w:vAlign w:val="center"/>
          </w:tcPr>
          <w:p w14:paraId="3D8146C1" w14:textId="77777777" w:rsidR="00577D08" w:rsidRDefault="00330FC0">
            <w:pPr>
              <w:jc w:val="right"/>
            </w:pPr>
            <w:r>
              <w:t>92.73</w:t>
            </w:r>
          </w:p>
        </w:tc>
        <w:tc>
          <w:tcPr>
            <w:tcW w:w="543" w:type="pct"/>
            <w:tcBorders>
              <w:top w:val="single" w:sz="4" w:space="0" w:color="auto"/>
              <w:left w:val="single" w:sz="4" w:space="0" w:color="auto"/>
              <w:bottom w:val="single" w:sz="4" w:space="0" w:color="auto"/>
              <w:right w:val="single" w:sz="4" w:space="0" w:color="auto"/>
            </w:tcBorders>
            <w:vAlign w:val="center"/>
          </w:tcPr>
          <w:p w14:paraId="23843168" w14:textId="77777777" w:rsidR="00577D08" w:rsidRDefault="00330FC0">
            <w:pPr>
              <w:jc w:val="right"/>
            </w:pPr>
            <w:r>
              <w:t>79,591,139.76</w:t>
            </w:r>
          </w:p>
        </w:tc>
        <w:tc>
          <w:tcPr>
            <w:tcW w:w="245" w:type="pct"/>
            <w:tcBorders>
              <w:top w:val="single" w:sz="4" w:space="0" w:color="auto"/>
              <w:left w:val="single" w:sz="4" w:space="0" w:color="auto"/>
              <w:bottom w:val="single" w:sz="4" w:space="0" w:color="auto"/>
              <w:right w:val="single" w:sz="4" w:space="0" w:color="auto"/>
            </w:tcBorders>
            <w:vAlign w:val="center"/>
          </w:tcPr>
          <w:p w14:paraId="21682DB6" w14:textId="77777777" w:rsidR="00577D08" w:rsidRDefault="00330FC0">
            <w:pPr>
              <w:jc w:val="right"/>
            </w:pPr>
            <w:r>
              <w:t>8.37</w:t>
            </w:r>
          </w:p>
        </w:tc>
        <w:tc>
          <w:tcPr>
            <w:tcW w:w="543" w:type="pct"/>
            <w:tcBorders>
              <w:top w:val="single" w:sz="4" w:space="0" w:color="auto"/>
              <w:left w:val="single" w:sz="4" w:space="0" w:color="auto"/>
              <w:bottom w:val="single" w:sz="4" w:space="0" w:color="auto"/>
              <w:right w:val="single" w:sz="4" w:space="0" w:color="auto"/>
            </w:tcBorders>
            <w:vAlign w:val="center"/>
          </w:tcPr>
          <w:p w14:paraId="34AE6B2C" w14:textId="77777777" w:rsidR="00577D08" w:rsidRDefault="00330FC0">
            <w:pPr>
              <w:jc w:val="right"/>
            </w:pPr>
            <w:r>
              <w:t>871,646,039.57</w:t>
            </w:r>
          </w:p>
        </w:tc>
      </w:tr>
      <w:tr w:rsidR="00577D08" w14:paraId="281703DD" w14:textId="77777777">
        <w:trPr>
          <w:cantSplit/>
        </w:trPr>
        <w:tc>
          <w:tcPr>
            <w:tcW w:w="525" w:type="pct"/>
            <w:tcBorders>
              <w:top w:val="single" w:sz="4" w:space="0" w:color="auto"/>
              <w:left w:val="single" w:sz="4" w:space="0" w:color="auto"/>
              <w:bottom w:val="single" w:sz="4" w:space="0" w:color="auto"/>
              <w:right w:val="single" w:sz="4" w:space="0" w:color="auto"/>
            </w:tcBorders>
            <w:vAlign w:val="center"/>
          </w:tcPr>
          <w:p w14:paraId="474D4A5B" w14:textId="77777777" w:rsidR="00577D08" w:rsidRDefault="00330FC0">
            <w:pPr>
              <w:autoSpaceDE w:val="0"/>
              <w:autoSpaceDN w:val="0"/>
              <w:adjustRightInd w:val="0"/>
              <w:jc w:val="center"/>
            </w:pPr>
            <w:r>
              <w:rPr>
                <w:rFonts w:hint="eastAsia"/>
              </w:rPr>
              <w:t>合计</w:t>
            </w:r>
          </w:p>
        </w:tc>
        <w:tc>
          <w:tcPr>
            <w:tcW w:w="598" w:type="pct"/>
            <w:tcBorders>
              <w:top w:val="single" w:sz="4" w:space="0" w:color="auto"/>
              <w:left w:val="single" w:sz="4" w:space="0" w:color="auto"/>
              <w:bottom w:val="single" w:sz="4" w:space="0" w:color="auto"/>
              <w:right w:val="single" w:sz="4" w:space="0" w:color="auto"/>
            </w:tcBorders>
            <w:vAlign w:val="center"/>
          </w:tcPr>
          <w:p w14:paraId="7B2A5B13" w14:textId="77777777" w:rsidR="00577D08" w:rsidRDefault="00330FC0">
            <w:pPr>
              <w:jc w:val="right"/>
            </w:pPr>
            <w:r>
              <w:t>1,273,546,976.50</w:t>
            </w:r>
          </w:p>
        </w:tc>
        <w:tc>
          <w:tcPr>
            <w:tcW w:w="282" w:type="pct"/>
            <w:tcBorders>
              <w:top w:val="single" w:sz="4" w:space="0" w:color="auto"/>
              <w:left w:val="single" w:sz="4" w:space="0" w:color="auto"/>
              <w:bottom w:val="single" w:sz="4" w:space="0" w:color="auto"/>
              <w:right w:val="single" w:sz="4" w:space="0" w:color="auto"/>
            </w:tcBorders>
            <w:vAlign w:val="center"/>
          </w:tcPr>
          <w:p w14:paraId="22F4D5D3" w14:textId="77777777" w:rsidR="00577D08" w:rsidRDefault="00330FC0">
            <w:pPr>
              <w:jc w:val="right"/>
            </w:pPr>
            <w:r>
              <w:t>100.00</w:t>
            </w:r>
          </w:p>
        </w:tc>
        <w:tc>
          <w:tcPr>
            <w:tcW w:w="543" w:type="pct"/>
            <w:tcBorders>
              <w:top w:val="single" w:sz="4" w:space="0" w:color="auto"/>
              <w:left w:val="single" w:sz="4" w:space="0" w:color="auto"/>
              <w:bottom w:val="single" w:sz="4" w:space="0" w:color="auto"/>
              <w:right w:val="single" w:sz="4" w:space="0" w:color="auto"/>
            </w:tcBorders>
            <w:vAlign w:val="center"/>
          </w:tcPr>
          <w:p w14:paraId="25BBC51D" w14:textId="77777777" w:rsidR="00577D08" w:rsidRDefault="00330FC0">
            <w:pPr>
              <w:jc w:val="right"/>
            </w:pPr>
            <w:r>
              <w:t>123,461,208.64</w:t>
            </w:r>
          </w:p>
        </w:tc>
        <w:tc>
          <w:tcPr>
            <w:tcW w:w="245" w:type="pct"/>
            <w:tcBorders>
              <w:top w:val="single" w:sz="4" w:space="0" w:color="auto"/>
              <w:left w:val="single" w:sz="4" w:space="0" w:color="auto"/>
              <w:bottom w:val="single" w:sz="4" w:space="0" w:color="auto"/>
              <w:right w:val="single" w:sz="4" w:space="0" w:color="auto"/>
            </w:tcBorders>
            <w:vAlign w:val="center"/>
          </w:tcPr>
          <w:p w14:paraId="2F85ABA0" w14:textId="77777777" w:rsidR="00577D08" w:rsidRDefault="00330FC0">
            <w:pPr>
              <w:jc w:val="right"/>
            </w:pPr>
            <w:r>
              <w:t>9.69</w:t>
            </w:r>
          </w:p>
        </w:tc>
        <w:tc>
          <w:tcPr>
            <w:tcW w:w="598" w:type="pct"/>
            <w:tcBorders>
              <w:top w:val="single" w:sz="4" w:space="0" w:color="auto"/>
              <w:left w:val="single" w:sz="4" w:space="0" w:color="auto"/>
              <w:bottom w:val="single" w:sz="4" w:space="0" w:color="auto"/>
              <w:right w:val="single" w:sz="4" w:space="0" w:color="auto"/>
            </w:tcBorders>
            <w:vAlign w:val="center"/>
          </w:tcPr>
          <w:p w14:paraId="3615D48B" w14:textId="77777777" w:rsidR="00577D08" w:rsidRDefault="00330FC0">
            <w:pPr>
              <w:jc w:val="right"/>
            </w:pPr>
            <w:r>
              <w:t>1,150,085,767.86</w:t>
            </w:r>
          </w:p>
        </w:tc>
        <w:tc>
          <w:tcPr>
            <w:tcW w:w="598" w:type="pct"/>
            <w:tcBorders>
              <w:top w:val="single" w:sz="4" w:space="0" w:color="auto"/>
              <w:left w:val="single" w:sz="4" w:space="0" w:color="auto"/>
              <w:bottom w:val="single" w:sz="4" w:space="0" w:color="auto"/>
              <w:right w:val="single" w:sz="4" w:space="0" w:color="auto"/>
            </w:tcBorders>
            <w:vAlign w:val="center"/>
          </w:tcPr>
          <w:p w14:paraId="7E87B3E8" w14:textId="77777777" w:rsidR="00577D08" w:rsidRDefault="00330FC0">
            <w:pPr>
              <w:jc w:val="right"/>
            </w:pPr>
            <w:r>
              <w:t>1,025,865,500.11</w:t>
            </w:r>
          </w:p>
        </w:tc>
        <w:tc>
          <w:tcPr>
            <w:tcW w:w="282" w:type="pct"/>
            <w:tcBorders>
              <w:top w:val="single" w:sz="4" w:space="0" w:color="auto"/>
              <w:left w:val="single" w:sz="4" w:space="0" w:color="auto"/>
              <w:bottom w:val="single" w:sz="4" w:space="0" w:color="auto"/>
              <w:right w:val="single" w:sz="4" w:space="0" w:color="auto"/>
            </w:tcBorders>
            <w:vAlign w:val="center"/>
          </w:tcPr>
          <w:p w14:paraId="370DBC33" w14:textId="77777777" w:rsidR="00577D08" w:rsidRDefault="00330FC0">
            <w:pPr>
              <w:jc w:val="right"/>
            </w:pPr>
            <w:r>
              <w:t>100.00</w:t>
            </w:r>
          </w:p>
        </w:tc>
        <w:tc>
          <w:tcPr>
            <w:tcW w:w="543" w:type="pct"/>
            <w:tcBorders>
              <w:top w:val="single" w:sz="4" w:space="0" w:color="auto"/>
              <w:left w:val="single" w:sz="4" w:space="0" w:color="auto"/>
              <w:bottom w:val="single" w:sz="4" w:space="0" w:color="auto"/>
              <w:right w:val="single" w:sz="4" w:space="0" w:color="auto"/>
            </w:tcBorders>
            <w:vAlign w:val="center"/>
          </w:tcPr>
          <w:p w14:paraId="24F9C02E" w14:textId="77777777" w:rsidR="00577D08" w:rsidRDefault="00330FC0">
            <w:pPr>
              <w:jc w:val="right"/>
            </w:pPr>
            <w:r>
              <w:t>106,510,042.41</w:t>
            </w:r>
          </w:p>
        </w:tc>
        <w:tc>
          <w:tcPr>
            <w:tcW w:w="245" w:type="pct"/>
            <w:tcBorders>
              <w:top w:val="single" w:sz="4" w:space="0" w:color="auto"/>
              <w:left w:val="single" w:sz="4" w:space="0" w:color="auto"/>
              <w:bottom w:val="single" w:sz="4" w:space="0" w:color="auto"/>
              <w:right w:val="single" w:sz="4" w:space="0" w:color="auto"/>
            </w:tcBorders>
            <w:vAlign w:val="center"/>
          </w:tcPr>
          <w:p w14:paraId="1C4E5B69" w14:textId="77777777" w:rsidR="00577D08" w:rsidRDefault="00330FC0">
            <w:pPr>
              <w:jc w:val="right"/>
            </w:pPr>
            <w:r>
              <w:t>10.38</w:t>
            </w:r>
          </w:p>
        </w:tc>
        <w:tc>
          <w:tcPr>
            <w:tcW w:w="543" w:type="pct"/>
            <w:tcBorders>
              <w:top w:val="single" w:sz="4" w:space="0" w:color="auto"/>
              <w:left w:val="single" w:sz="4" w:space="0" w:color="auto"/>
              <w:bottom w:val="single" w:sz="4" w:space="0" w:color="auto"/>
              <w:right w:val="single" w:sz="4" w:space="0" w:color="auto"/>
            </w:tcBorders>
            <w:vAlign w:val="center"/>
          </w:tcPr>
          <w:p w14:paraId="0515958D" w14:textId="77777777" w:rsidR="00577D08" w:rsidRDefault="00330FC0">
            <w:pPr>
              <w:jc w:val="right"/>
            </w:pPr>
            <w:r>
              <w:t>919,355,457.70</w:t>
            </w:r>
          </w:p>
        </w:tc>
      </w:tr>
    </w:tbl>
    <w:bookmarkEnd w:id="493"/>
    <w:p w14:paraId="15FBED42" w14:textId="77777777" w:rsidR="00577D08" w:rsidRDefault="00330FC0">
      <w:r>
        <w:rPr>
          <w:rFonts w:hint="eastAsia"/>
        </w:rPr>
        <w:t>按单项计提坏账准备：</w:t>
      </w:r>
    </w:p>
    <w:sdt>
      <w:sdtPr>
        <w:alias w:val="是否适用：母公司应收账款按单项计提坏账准备[双击切换]"/>
        <w:tag w:val="_GBC_1cd34dae0bf14ebba3d99534844e7d95"/>
        <w:id w:val="480973817"/>
        <w:placeholder>
          <w:docPart w:val="GBC22222222222222222222222222222"/>
        </w:placeholder>
      </w:sdtPr>
      <w:sdtContent>
        <w:p w14:paraId="7CC9CAC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Start w:id="494" w:name="_Hlk533796752" w:displacedByCustomXml="next"/>
    <w:bookmarkEnd w:id="494" w:displacedByCustomXml="next"/>
    <w:sdt>
      <w:sdtPr>
        <w:tag w:val="_PLD_23aec57fe4b34ac2aa7d42cb52467101"/>
        <w:id w:val="-640041281"/>
      </w:sdtPr>
      <w:sdtContent>
        <w:p w14:paraId="6474166B" w14:textId="77777777" w:rsidR="00577D08" w:rsidRDefault="00330FC0">
          <w:r>
            <w:rPr>
              <w:rFonts w:hint="eastAsia"/>
            </w:rPr>
            <w:t>按组合计提坏账准备：</w:t>
          </w:r>
        </w:p>
      </w:sdtContent>
    </w:sdt>
    <w:sdt>
      <w:sdtPr>
        <w:alias w:val="是否适用：母公司应收账款按组合计提坏账准备[双击切换]"/>
        <w:tag w:val="_GBC_70ac43d24876403083fb1d281c12cd7e"/>
        <w:id w:val="-38287027"/>
        <w:lock w:val="contentLocked"/>
        <w:placeholder>
          <w:docPart w:val="GBC22222222222222222222222222222"/>
        </w:placeholder>
      </w:sdtPr>
      <w:sdtContent>
        <w:p w14:paraId="548CEBA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D3924E8" w14:textId="77777777" w:rsidR="00577D08" w:rsidRDefault="00330FC0">
      <w:bookmarkStart w:id="495" w:name="_Hlk533796778"/>
      <w:r>
        <w:rPr>
          <w:rFonts w:hint="eastAsia"/>
        </w:rPr>
        <w:t>组合计提项目：</w:t>
      </w:r>
      <w:sdt>
        <w:sdtPr>
          <w:rPr>
            <w:rFonts w:hint="eastAsia"/>
          </w:rPr>
          <w:alias w:val="按组合计提坏账准备的应收账款明细-组合名称"/>
          <w:tag w:val="_GBC_f2cd2e7d8a6f493ebfd1838be7b87223"/>
          <w:id w:val="-166248002"/>
          <w:placeholder>
            <w:docPart w:val="863F44C036ED4A588EB10AB40F27C028"/>
          </w:placeholder>
          <w:comboBox/>
        </w:sdtPr>
        <w:sdtContent>
          <w:r>
            <w:rPr>
              <w:rFonts w:hint="eastAsia"/>
            </w:rPr>
            <w:t>组合账龄</w:t>
          </w:r>
        </w:sdtContent>
      </w:sdt>
    </w:p>
    <w:p w14:paraId="5449BDCF" w14:textId="47A8ADB2" w:rsidR="00577D08" w:rsidRDefault="00330FC0">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2da079c1515b4a8f95770937142fdccb"/>
          <w:id w:val="1772197670"/>
          <w:placeholder>
            <w:docPart w:val="863F44C036ED4A588EB10AB40F27C028"/>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应收账款按组合计提坏账准备"/>
          <w:tag w:val="_GBC_f64b56aa027540f0b7ab78abc6fef514"/>
          <w:id w:val="-31957426"/>
          <w:placeholder>
            <w:docPart w:val="863F44C036ED4A588EB10AB40F27C028"/>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538"/>
        <w:gridCol w:w="3602"/>
        <w:gridCol w:w="3513"/>
      </w:tblGrid>
      <w:tr w:rsidR="00577D08" w14:paraId="54D3CDD6" w14:textId="77777777">
        <w:sdt>
          <w:sdtPr>
            <w:tag w:val="_PLD_685d7e84e47740668b70cce04f42de5b"/>
            <w:id w:val="941414089"/>
          </w:sdtPr>
          <w:sdtContent>
            <w:tc>
              <w:tcPr>
                <w:tcW w:w="1158" w:type="pct"/>
                <w:vMerge w:val="restart"/>
                <w:vAlign w:val="center"/>
              </w:tcPr>
              <w:p w14:paraId="2C038CC3" w14:textId="77777777" w:rsidR="00577D08" w:rsidRDefault="00330FC0">
                <w:pPr>
                  <w:jc w:val="center"/>
                </w:pPr>
                <w:r>
                  <w:rPr>
                    <w:rFonts w:hint="eastAsia"/>
                  </w:rPr>
                  <w:t>名称</w:t>
                </w:r>
              </w:p>
            </w:tc>
          </w:sdtContent>
        </w:sdt>
        <w:sdt>
          <w:sdtPr>
            <w:tag w:val="_PLD_80bd7906b1fa41658076794e93d74585"/>
            <w:id w:val="1340968191"/>
          </w:sdtPr>
          <w:sdtContent>
            <w:tc>
              <w:tcPr>
                <w:tcW w:w="3842" w:type="pct"/>
                <w:gridSpan w:val="3"/>
                <w:vAlign w:val="center"/>
              </w:tcPr>
              <w:p w14:paraId="1F3BD129" w14:textId="77777777" w:rsidR="00577D08" w:rsidRDefault="00330FC0">
                <w:pPr>
                  <w:jc w:val="center"/>
                </w:pPr>
                <w:r>
                  <w:rPr>
                    <w:rFonts w:hint="eastAsia"/>
                  </w:rPr>
                  <w:t>期末余额</w:t>
                </w:r>
              </w:p>
            </w:tc>
          </w:sdtContent>
        </w:sdt>
      </w:tr>
      <w:tr w:rsidR="00577D08" w14:paraId="2510FA62" w14:textId="77777777">
        <w:tc>
          <w:tcPr>
            <w:tcW w:w="1158" w:type="pct"/>
            <w:vMerge/>
            <w:vAlign w:val="center"/>
          </w:tcPr>
          <w:p w14:paraId="5C8C7091" w14:textId="77777777" w:rsidR="00577D08" w:rsidRDefault="00577D08">
            <w:pPr>
              <w:jc w:val="center"/>
            </w:pPr>
          </w:p>
        </w:tc>
        <w:sdt>
          <w:sdtPr>
            <w:tag w:val="_PLD_696cb3bb4809472f88c41396728262f5"/>
            <w:id w:val="-2139793851"/>
          </w:sdtPr>
          <w:sdtContent>
            <w:tc>
              <w:tcPr>
                <w:tcW w:w="1276" w:type="pct"/>
                <w:vAlign w:val="center"/>
              </w:tcPr>
              <w:p w14:paraId="12C7651D" w14:textId="77777777" w:rsidR="00577D08" w:rsidRDefault="00330FC0">
                <w:pPr>
                  <w:jc w:val="center"/>
                </w:pPr>
                <w:r>
                  <w:rPr>
                    <w:rFonts w:hint="eastAsia"/>
                  </w:rPr>
                  <w:t>账面余额</w:t>
                </w:r>
              </w:p>
            </w:tc>
          </w:sdtContent>
        </w:sdt>
        <w:sdt>
          <w:sdtPr>
            <w:tag w:val="_PLD_70e2c6a60e9b4f08bbbb1a23cd403ade"/>
            <w:id w:val="-40905441"/>
          </w:sdtPr>
          <w:sdtContent>
            <w:tc>
              <w:tcPr>
                <w:tcW w:w="1299" w:type="pct"/>
                <w:vAlign w:val="center"/>
              </w:tcPr>
              <w:p w14:paraId="067EB55F" w14:textId="77777777" w:rsidR="00577D08" w:rsidRDefault="00330FC0">
                <w:pPr>
                  <w:jc w:val="center"/>
                </w:pPr>
                <w:r>
                  <w:rPr>
                    <w:rFonts w:hint="eastAsia"/>
                  </w:rPr>
                  <w:t>坏账准备</w:t>
                </w:r>
              </w:p>
            </w:tc>
          </w:sdtContent>
        </w:sdt>
        <w:sdt>
          <w:sdtPr>
            <w:tag w:val="_PLD_1fd76d95bed54fc5b0c669cf7b1d5e18"/>
            <w:id w:val="1587807633"/>
          </w:sdtPr>
          <w:sdtContent>
            <w:tc>
              <w:tcPr>
                <w:tcW w:w="1267" w:type="pct"/>
                <w:vAlign w:val="center"/>
              </w:tcPr>
              <w:p w14:paraId="4600BAF4" w14:textId="77777777" w:rsidR="00577D08" w:rsidRDefault="00330FC0">
                <w:pPr>
                  <w:jc w:val="center"/>
                </w:pPr>
                <w:r>
                  <w:t>计提比例</w:t>
                </w:r>
                <w:r>
                  <w:rPr>
                    <w:rFonts w:hint="eastAsia"/>
                  </w:rPr>
                  <w:t>（</w:t>
                </w:r>
                <w:r>
                  <w:rPr>
                    <w:rFonts w:hint="eastAsia"/>
                  </w:rPr>
                  <w:t>%</w:t>
                </w:r>
                <w:r>
                  <w:rPr>
                    <w:rFonts w:hint="eastAsia"/>
                  </w:rPr>
                  <w:t>）</w:t>
                </w:r>
              </w:p>
            </w:tc>
          </w:sdtContent>
        </w:sdt>
      </w:tr>
      <w:tr w:rsidR="00577D08" w14:paraId="12EAB580" w14:textId="77777777">
        <w:tc>
          <w:tcPr>
            <w:tcW w:w="1158" w:type="pct"/>
          </w:tcPr>
          <w:p w14:paraId="17624FFB" w14:textId="77777777" w:rsidR="00577D08" w:rsidRDefault="00330FC0">
            <w:r>
              <w:rPr>
                <w:rFonts w:hint="eastAsia"/>
              </w:rPr>
              <w:t>1</w:t>
            </w:r>
            <w:r>
              <w:rPr>
                <w:rFonts w:hint="eastAsia"/>
              </w:rPr>
              <w:t>年以内（含</w:t>
            </w:r>
            <w:r>
              <w:rPr>
                <w:rFonts w:hint="eastAsia"/>
              </w:rPr>
              <w:t>1</w:t>
            </w:r>
            <w:r>
              <w:rPr>
                <w:rFonts w:hint="eastAsia"/>
              </w:rPr>
              <w:t>年）</w:t>
            </w:r>
          </w:p>
        </w:tc>
        <w:tc>
          <w:tcPr>
            <w:tcW w:w="1276" w:type="pct"/>
          </w:tcPr>
          <w:p w14:paraId="31A30383" w14:textId="77777777" w:rsidR="00577D08" w:rsidRDefault="00330FC0">
            <w:pPr>
              <w:jc w:val="right"/>
            </w:pPr>
            <w:r>
              <w:rPr>
                <w:rFonts w:hint="eastAsia"/>
              </w:rPr>
              <w:t>713,702,536.52</w:t>
            </w:r>
          </w:p>
        </w:tc>
        <w:tc>
          <w:tcPr>
            <w:tcW w:w="1299" w:type="pct"/>
          </w:tcPr>
          <w:p w14:paraId="55CA7C53" w14:textId="77777777" w:rsidR="00577D08" w:rsidRDefault="00330FC0">
            <w:pPr>
              <w:jc w:val="right"/>
            </w:pPr>
            <w:r>
              <w:rPr>
                <w:rFonts w:hint="eastAsia"/>
              </w:rPr>
              <w:t>35,685,125.54</w:t>
            </w:r>
          </w:p>
        </w:tc>
        <w:tc>
          <w:tcPr>
            <w:tcW w:w="1267" w:type="pct"/>
          </w:tcPr>
          <w:p w14:paraId="54105DC8" w14:textId="77777777" w:rsidR="00577D08" w:rsidRDefault="00330FC0">
            <w:pPr>
              <w:jc w:val="right"/>
            </w:pPr>
            <w:r>
              <w:rPr>
                <w:rFonts w:hint="eastAsia"/>
              </w:rPr>
              <w:t>5.00</w:t>
            </w:r>
          </w:p>
        </w:tc>
      </w:tr>
      <w:tr w:rsidR="00577D08" w14:paraId="3CADDE1D" w14:textId="77777777">
        <w:tc>
          <w:tcPr>
            <w:tcW w:w="1158" w:type="pct"/>
          </w:tcPr>
          <w:p w14:paraId="51419BEF" w14:textId="77777777" w:rsidR="00577D08" w:rsidRDefault="00330FC0">
            <w:r>
              <w:rPr>
                <w:rFonts w:hint="eastAsia"/>
              </w:rPr>
              <w:t>1</w:t>
            </w:r>
            <w:r>
              <w:rPr>
                <w:rFonts w:hint="eastAsia"/>
              </w:rPr>
              <w:t>至</w:t>
            </w:r>
            <w:r>
              <w:rPr>
                <w:rFonts w:hint="eastAsia"/>
              </w:rPr>
              <w:t>2</w:t>
            </w:r>
            <w:r>
              <w:rPr>
                <w:rFonts w:hint="eastAsia"/>
              </w:rPr>
              <w:t>年</w:t>
            </w:r>
          </w:p>
        </w:tc>
        <w:tc>
          <w:tcPr>
            <w:tcW w:w="1276" w:type="pct"/>
          </w:tcPr>
          <w:p w14:paraId="5D07EEA6" w14:textId="77777777" w:rsidR="00577D08" w:rsidRDefault="00330FC0">
            <w:pPr>
              <w:jc w:val="right"/>
            </w:pPr>
            <w:r>
              <w:rPr>
                <w:rFonts w:hint="eastAsia"/>
              </w:rPr>
              <w:t>181,054,388.64</w:t>
            </w:r>
          </w:p>
        </w:tc>
        <w:tc>
          <w:tcPr>
            <w:tcW w:w="1299" w:type="pct"/>
          </w:tcPr>
          <w:p w14:paraId="145B3372" w14:textId="77777777" w:rsidR="00577D08" w:rsidRDefault="00330FC0">
            <w:pPr>
              <w:jc w:val="right"/>
            </w:pPr>
            <w:r>
              <w:rPr>
                <w:rFonts w:hint="eastAsia"/>
              </w:rPr>
              <w:t>18,105,438.86</w:t>
            </w:r>
          </w:p>
        </w:tc>
        <w:tc>
          <w:tcPr>
            <w:tcW w:w="1267" w:type="pct"/>
          </w:tcPr>
          <w:p w14:paraId="09D1476D" w14:textId="77777777" w:rsidR="00577D08" w:rsidRDefault="00330FC0">
            <w:pPr>
              <w:jc w:val="right"/>
            </w:pPr>
            <w:r>
              <w:rPr>
                <w:rFonts w:hint="eastAsia"/>
              </w:rPr>
              <w:t>10.00</w:t>
            </w:r>
          </w:p>
        </w:tc>
      </w:tr>
      <w:tr w:rsidR="00577D08" w14:paraId="7DBEADF2" w14:textId="77777777">
        <w:tc>
          <w:tcPr>
            <w:tcW w:w="1158" w:type="pct"/>
          </w:tcPr>
          <w:p w14:paraId="752EDD3E" w14:textId="77777777" w:rsidR="00577D08" w:rsidRDefault="00330FC0">
            <w:r>
              <w:rPr>
                <w:rFonts w:hint="eastAsia"/>
              </w:rPr>
              <w:t>2</w:t>
            </w:r>
            <w:r>
              <w:rPr>
                <w:rFonts w:hint="eastAsia"/>
              </w:rPr>
              <w:t>至</w:t>
            </w:r>
            <w:r>
              <w:rPr>
                <w:rFonts w:hint="eastAsia"/>
              </w:rPr>
              <w:t>3</w:t>
            </w:r>
            <w:r>
              <w:rPr>
                <w:rFonts w:hint="eastAsia"/>
              </w:rPr>
              <w:t>年</w:t>
            </w:r>
          </w:p>
        </w:tc>
        <w:tc>
          <w:tcPr>
            <w:tcW w:w="1276" w:type="pct"/>
          </w:tcPr>
          <w:p w14:paraId="21EA8425" w14:textId="77777777" w:rsidR="00577D08" w:rsidRDefault="00330FC0">
            <w:pPr>
              <w:jc w:val="right"/>
            </w:pPr>
            <w:r>
              <w:rPr>
                <w:rFonts w:hint="eastAsia"/>
              </w:rPr>
              <w:t>82,371,831.64</w:t>
            </w:r>
          </w:p>
        </w:tc>
        <w:tc>
          <w:tcPr>
            <w:tcW w:w="1299" w:type="pct"/>
          </w:tcPr>
          <w:p w14:paraId="3CDC3338" w14:textId="77777777" w:rsidR="00577D08" w:rsidRDefault="00330FC0">
            <w:pPr>
              <w:jc w:val="right"/>
            </w:pPr>
            <w:r>
              <w:rPr>
                <w:rFonts w:hint="eastAsia"/>
              </w:rPr>
              <w:t>16,474,366.33</w:t>
            </w:r>
          </w:p>
        </w:tc>
        <w:tc>
          <w:tcPr>
            <w:tcW w:w="1267" w:type="pct"/>
          </w:tcPr>
          <w:p w14:paraId="66A5B286" w14:textId="77777777" w:rsidR="00577D08" w:rsidRDefault="00330FC0">
            <w:pPr>
              <w:jc w:val="right"/>
            </w:pPr>
            <w:r>
              <w:rPr>
                <w:rFonts w:hint="eastAsia"/>
              </w:rPr>
              <w:t>20.00</w:t>
            </w:r>
          </w:p>
        </w:tc>
      </w:tr>
      <w:tr w:rsidR="00577D08" w14:paraId="10759361" w14:textId="77777777">
        <w:tc>
          <w:tcPr>
            <w:tcW w:w="1158" w:type="pct"/>
          </w:tcPr>
          <w:p w14:paraId="17241301" w14:textId="77777777" w:rsidR="00577D08" w:rsidRDefault="00330FC0">
            <w:r>
              <w:rPr>
                <w:rFonts w:hint="eastAsia"/>
              </w:rPr>
              <w:t>3</w:t>
            </w:r>
            <w:r>
              <w:rPr>
                <w:rFonts w:hint="eastAsia"/>
              </w:rPr>
              <w:t>至</w:t>
            </w:r>
            <w:r>
              <w:rPr>
                <w:rFonts w:hint="eastAsia"/>
              </w:rPr>
              <w:t>4</w:t>
            </w:r>
            <w:r>
              <w:rPr>
                <w:rFonts w:hint="eastAsia"/>
              </w:rPr>
              <w:t>年</w:t>
            </w:r>
          </w:p>
        </w:tc>
        <w:tc>
          <w:tcPr>
            <w:tcW w:w="1276" w:type="pct"/>
          </w:tcPr>
          <w:p w14:paraId="5DF9CB07" w14:textId="77777777" w:rsidR="00577D08" w:rsidRDefault="00330FC0">
            <w:pPr>
              <w:jc w:val="right"/>
            </w:pPr>
            <w:r>
              <w:rPr>
                <w:rFonts w:hint="eastAsia"/>
              </w:rPr>
              <w:t>25,396,376.13</w:t>
            </w:r>
          </w:p>
        </w:tc>
        <w:tc>
          <w:tcPr>
            <w:tcW w:w="1299" w:type="pct"/>
          </w:tcPr>
          <w:p w14:paraId="52EEB830" w14:textId="77777777" w:rsidR="00577D08" w:rsidRDefault="00330FC0">
            <w:pPr>
              <w:jc w:val="right"/>
            </w:pPr>
            <w:r>
              <w:rPr>
                <w:rFonts w:hint="eastAsia"/>
              </w:rPr>
              <w:t>7,618,912.84</w:t>
            </w:r>
          </w:p>
        </w:tc>
        <w:tc>
          <w:tcPr>
            <w:tcW w:w="1267" w:type="pct"/>
          </w:tcPr>
          <w:p w14:paraId="2B1CF1D0" w14:textId="77777777" w:rsidR="00577D08" w:rsidRDefault="00330FC0">
            <w:pPr>
              <w:jc w:val="right"/>
            </w:pPr>
            <w:r>
              <w:rPr>
                <w:rFonts w:hint="eastAsia"/>
              </w:rPr>
              <w:t>30.00</w:t>
            </w:r>
          </w:p>
        </w:tc>
      </w:tr>
      <w:tr w:rsidR="00577D08" w14:paraId="47EB8825" w14:textId="77777777">
        <w:tc>
          <w:tcPr>
            <w:tcW w:w="1158" w:type="pct"/>
          </w:tcPr>
          <w:p w14:paraId="09A3A96A" w14:textId="77777777" w:rsidR="00577D08" w:rsidRDefault="00330FC0">
            <w:r>
              <w:rPr>
                <w:rFonts w:hint="eastAsia"/>
              </w:rPr>
              <w:t>4</w:t>
            </w:r>
            <w:r>
              <w:rPr>
                <w:rFonts w:hint="eastAsia"/>
              </w:rPr>
              <w:t>至</w:t>
            </w:r>
            <w:r>
              <w:rPr>
                <w:rFonts w:hint="eastAsia"/>
              </w:rPr>
              <w:t>5</w:t>
            </w:r>
            <w:r>
              <w:rPr>
                <w:rFonts w:hint="eastAsia"/>
              </w:rPr>
              <w:t>年</w:t>
            </w:r>
          </w:p>
        </w:tc>
        <w:tc>
          <w:tcPr>
            <w:tcW w:w="1276" w:type="pct"/>
          </w:tcPr>
          <w:p w14:paraId="66A6EB52" w14:textId="77777777" w:rsidR="00577D08" w:rsidRDefault="00330FC0">
            <w:pPr>
              <w:jc w:val="right"/>
            </w:pPr>
            <w:r>
              <w:rPr>
                <w:rFonts w:hint="eastAsia"/>
              </w:rPr>
              <w:t>9,422,836.06</w:t>
            </w:r>
          </w:p>
        </w:tc>
        <w:tc>
          <w:tcPr>
            <w:tcW w:w="1299" w:type="pct"/>
          </w:tcPr>
          <w:p w14:paraId="2C9EA240" w14:textId="77777777" w:rsidR="00577D08" w:rsidRDefault="00330FC0">
            <w:pPr>
              <w:jc w:val="right"/>
            </w:pPr>
            <w:r>
              <w:rPr>
                <w:rFonts w:hint="eastAsia"/>
              </w:rPr>
              <w:t>4,711,418.03</w:t>
            </w:r>
          </w:p>
        </w:tc>
        <w:tc>
          <w:tcPr>
            <w:tcW w:w="1267" w:type="pct"/>
          </w:tcPr>
          <w:p w14:paraId="5CC33595" w14:textId="77777777" w:rsidR="00577D08" w:rsidRDefault="00330FC0">
            <w:pPr>
              <w:jc w:val="right"/>
            </w:pPr>
            <w:r>
              <w:rPr>
                <w:rFonts w:hint="eastAsia"/>
              </w:rPr>
              <w:t>50.00</w:t>
            </w:r>
          </w:p>
        </w:tc>
      </w:tr>
      <w:tr w:rsidR="00577D08" w14:paraId="4297A12A" w14:textId="77777777">
        <w:tc>
          <w:tcPr>
            <w:tcW w:w="1158" w:type="pct"/>
          </w:tcPr>
          <w:p w14:paraId="31D2C650" w14:textId="77777777" w:rsidR="00577D08" w:rsidRDefault="00330FC0">
            <w:r>
              <w:rPr>
                <w:rFonts w:hint="eastAsia"/>
              </w:rPr>
              <w:t>5</w:t>
            </w:r>
            <w:r>
              <w:rPr>
                <w:rFonts w:hint="eastAsia"/>
              </w:rPr>
              <w:t>年以上</w:t>
            </w:r>
          </w:p>
        </w:tc>
        <w:tc>
          <w:tcPr>
            <w:tcW w:w="1276" w:type="pct"/>
          </w:tcPr>
          <w:p w14:paraId="7E0EC0DA" w14:textId="77777777" w:rsidR="00577D08" w:rsidRDefault="00330FC0">
            <w:pPr>
              <w:jc w:val="right"/>
            </w:pPr>
            <w:r>
              <w:rPr>
                <w:rFonts w:hint="eastAsia"/>
              </w:rPr>
              <w:t>11,413,874.52</w:t>
            </w:r>
          </w:p>
        </w:tc>
        <w:tc>
          <w:tcPr>
            <w:tcW w:w="1299" w:type="pct"/>
          </w:tcPr>
          <w:p w14:paraId="17096A94" w14:textId="77777777" w:rsidR="00577D08" w:rsidRDefault="00330FC0">
            <w:pPr>
              <w:jc w:val="right"/>
            </w:pPr>
            <w:r>
              <w:rPr>
                <w:rFonts w:hint="eastAsia"/>
              </w:rPr>
              <w:t>11,413,874.52</w:t>
            </w:r>
          </w:p>
        </w:tc>
        <w:tc>
          <w:tcPr>
            <w:tcW w:w="1267" w:type="pct"/>
          </w:tcPr>
          <w:p w14:paraId="5F4A5B26" w14:textId="77777777" w:rsidR="00577D08" w:rsidRDefault="00330FC0">
            <w:pPr>
              <w:jc w:val="right"/>
            </w:pPr>
            <w:r>
              <w:rPr>
                <w:rFonts w:hint="eastAsia"/>
              </w:rPr>
              <w:t>100.00</w:t>
            </w:r>
          </w:p>
        </w:tc>
      </w:tr>
      <w:tr w:rsidR="00577D08" w14:paraId="752E089E" w14:textId="77777777">
        <w:tc>
          <w:tcPr>
            <w:tcW w:w="1158" w:type="pct"/>
            <w:vAlign w:val="center"/>
          </w:tcPr>
          <w:p w14:paraId="4E0E925D" w14:textId="77777777" w:rsidR="00577D08" w:rsidRDefault="00330FC0">
            <w:pPr>
              <w:jc w:val="center"/>
            </w:pPr>
            <w:r>
              <w:rPr>
                <w:rFonts w:hint="eastAsia"/>
              </w:rPr>
              <w:t>合计</w:t>
            </w:r>
          </w:p>
        </w:tc>
        <w:tc>
          <w:tcPr>
            <w:tcW w:w="1276" w:type="pct"/>
          </w:tcPr>
          <w:p w14:paraId="2011C5EA" w14:textId="77777777" w:rsidR="00577D08" w:rsidRDefault="00330FC0">
            <w:pPr>
              <w:jc w:val="right"/>
            </w:pPr>
            <w:r>
              <w:t>1,023,361,843.51</w:t>
            </w:r>
          </w:p>
        </w:tc>
        <w:tc>
          <w:tcPr>
            <w:tcW w:w="1299" w:type="pct"/>
          </w:tcPr>
          <w:p w14:paraId="64E26A76" w14:textId="77777777" w:rsidR="00577D08" w:rsidRDefault="00330FC0">
            <w:pPr>
              <w:jc w:val="right"/>
            </w:pPr>
            <w:r>
              <w:t>94,009,136.12</w:t>
            </w:r>
          </w:p>
        </w:tc>
        <w:tc>
          <w:tcPr>
            <w:tcW w:w="1267" w:type="pct"/>
          </w:tcPr>
          <w:p w14:paraId="5D1B2382" w14:textId="77777777" w:rsidR="00577D08" w:rsidRDefault="00330FC0">
            <w:pPr>
              <w:jc w:val="right"/>
            </w:pPr>
            <w:r>
              <w:t>9.19</w:t>
            </w:r>
          </w:p>
        </w:tc>
      </w:tr>
    </w:tbl>
    <w:p w14:paraId="020D7FCD" w14:textId="77777777" w:rsidR="00577D08" w:rsidRDefault="00330FC0">
      <w:r>
        <w:rPr>
          <w:rFonts w:hint="eastAsia"/>
        </w:rPr>
        <w:t>按组合计提坏账准备的说明：</w:t>
      </w:r>
    </w:p>
    <w:sdt>
      <w:sdtPr>
        <w:alias w:val="是否适用：母公司应收账款按组合计提坏账的确认标准及说明[双击切换]"/>
        <w:tag w:val="_GBC_63044b38e77844689beec86348cdea93"/>
        <w:id w:val="-958879546"/>
        <w:placeholder>
          <w:docPart w:val="863F44C036ED4A588EB10AB40F27C028"/>
        </w:placeholder>
      </w:sdtPr>
      <w:sdtContent>
        <w:p w14:paraId="5AEC8C4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FCD569C" w14:textId="77777777" w:rsidR="00577D08" w:rsidRDefault="00330FC0">
      <w:bookmarkStart w:id="496" w:name="_Hlk534616017"/>
      <w:bookmarkEnd w:id="495"/>
      <w:r>
        <w:rPr>
          <w:rFonts w:hint="eastAsia"/>
        </w:rPr>
        <w:t>按预期信用损失一般模型计提坏账准备</w:t>
      </w:r>
    </w:p>
    <w:sdt>
      <w:sdtPr>
        <w:alias w:val="是否适用：母公司应收账款按一般预计信用损失模型计提坏账[双击切换]"/>
        <w:tag w:val="_GBC_681a6428f5004327ac9c72b5eb632f13"/>
        <w:id w:val="-639500963"/>
        <w:placeholder>
          <w:docPart w:val="GBC22222222222222222222222222222"/>
        </w:placeholder>
      </w:sdtPr>
      <w:sdtContent>
        <w:p w14:paraId="4380639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7A0F58"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715f45f6066e4ba295d3973a2eed903b"/>
        <w:id w:val="-1032880264"/>
        <w:placeholder>
          <w:docPart w:val="GBC22222222222222222222222222222"/>
        </w:placeholder>
      </w:sdtPr>
      <w:sdtContent>
        <w:p w14:paraId="78AB7B3B" w14:textId="77777777" w:rsidR="00577D08" w:rsidRDefault="00330FC0">
          <w:pPr>
            <w:rPr>
              <w:bCs/>
              <w:szCs w:val="22"/>
            </w:rPr>
          </w:pPr>
          <w:r>
            <w:rPr>
              <w:rFonts w:hint="eastAsia"/>
              <w:bCs/>
              <w:szCs w:val="22"/>
            </w:rPr>
            <w:t>无</w:t>
          </w:r>
        </w:p>
      </w:sdtContent>
    </w:sdt>
    <w:p w14:paraId="65A38596" w14:textId="77777777" w:rsidR="00577D08" w:rsidRDefault="00330FC0">
      <w:pPr>
        <w:pStyle w:val="affc"/>
      </w:pPr>
      <w:r>
        <w:rPr>
          <w:rFonts w:hint="eastAsia"/>
        </w:rPr>
        <w:t>对本期发生损失准备变动的应收账款账面余额显著变动的情况说明：</w:t>
      </w:r>
    </w:p>
    <w:sdt>
      <w:sdtPr>
        <w:alias w:val="是否适用：母公司对本期发生损失准备变动的账面余额显著变动的情况说明[双击切换]"/>
        <w:tag w:val="_GBC_2624b4d5ae5d4288ad7c6f9bcbcff810"/>
        <w:id w:val="-2084595492"/>
        <w:placeholder>
          <w:docPart w:val="GBC22222222222222222222222222222"/>
        </w:placeholder>
      </w:sdtPr>
      <w:sdtContent>
        <w:p w14:paraId="4D48AEC6"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865AF41" w14:textId="77777777" w:rsidR="00577D08" w:rsidRDefault="00330FC0">
      <w:pPr>
        <w:pStyle w:val="4"/>
        <w:numPr>
          <w:ilvl w:val="3"/>
          <w:numId w:val="126"/>
        </w:numPr>
        <w:ind w:left="426" w:hangingChars="202" w:hanging="426"/>
        <w:rPr>
          <w:rFonts w:hint="eastAsia"/>
        </w:rPr>
      </w:pPr>
      <w:bookmarkStart w:id="497" w:name="_Hlk534890665"/>
      <w:bookmarkEnd w:id="496"/>
      <w:r>
        <w:rPr>
          <w:rFonts w:hint="eastAsia"/>
        </w:rPr>
        <w:t>坏账准备的情况</w:t>
      </w:r>
    </w:p>
    <w:sdt>
      <w:sdtPr>
        <w:alias w:val="是否适用：母公司应收账款坏账准备情况[双击切换]"/>
        <w:tag w:val="_GBC_c4b273c4d86b423ea0abe5794b3a9a07"/>
        <w:id w:val="-619532396"/>
        <w:placeholder>
          <w:docPart w:val="GBC22222222222222222222222222222"/>
        </w:placeholder>
      </w:sdtPr>
      <w:sdtContent>
        <w:p w14:paraId="70013BD5"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A6157E1" w14:textId="643C06C0" w:rsidR="00577D08" w:rsidRDefault="00330FC0">
      <w:pPr>
        <w:pStyle w:val="aff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5686999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r w:rsidR="00CC5C32">
            <w:rPr>
              <w:rFonts w:hint="eastAsia"/>
              <w:szCs w:val="21"/>
            </w:rPr>
            <w:t xml:space="preserve"> </w:t>
          </w:r>
        </w:sdtContent>
      </w:sdt>
      <w:r>
        <w:rPr>
          <w:rFonts w:hint="eastAsia"/>
          <w:szCs w:val="21"/>
        </w:rPr>
        <w:t>币种：</w:t>
      </w:r>
      <w:sdt>
        <w:sdtPr>
          <w:rPr>
            <w:rFonts w:hint="eastAsia"/>
            <w:szCs w:val="21"/>
          </w:rPr>
          <w:alias w:val="币种：母公司应收账款坏账准备情况"/>
          <w:tag w:val="_GBC_e88786d88c2b4853820fef447c6f542a"/>
          <w:id w:val="9956971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268"/>
        <w:gridCol w:w="1905"/>
        <w:gridCol w:w="2068"/>
        <w:gridCol w:w="1905"/>
        <w:gridCol w:w="1910"/>
        <w:gridCol w:w="1908"/>
        <w:gridCol w:w="1899"/>
      </w:tblGrid>
      <w:tr w:rsidR="00577D08" w14:paraId="69D3FBE2" w14:textId="77777777">
        <w:trPr>
          <w:jc w:val="center"/>
        </w:trPr>
        <w:sdt>
          <w:sdtPr>
            <w:tag w:val="_PLD_98300d230c0347eb87a2635ad51c1d00"/>
            <w:id w:val="-810399222"/>
          </w:sdtPr>
          <w:sdtContent>
            <w:tc>
              <w:tcPr>
                <w:tcW w:w="818" w:type="pct"/>
                <w:vMerge w:val="restart"/>
                <w:shd w:val="clear" w:color="auto" w:fill="FFFFFF"/>
                <w:vAlign w:val="center"/>
              </w:tcPr>
              <w:p w14:paraId="03755C89" w14:textId="77777777" w:rsidR="00577D08" w:rsidRDefault="00330FC0">
                <w:pPr>
                  <w:widowControl w:val="0"/>
                  <w:jc w:val="center"/>
                </w:pPr>
                <w:r>
                  <w:t>类别</w:t>
                </w:r>
              </w:p>
            </w:tc>
          </w:sdtContent>
        </w:sdt>
        <w:sdt>
          <w:sdtPr>
            <w:tag w:val="_PLD_7769f2b383ef45cea01b90026bb353c2"/>
            <w:id w:val="-1318030320"/>
          </w:sdtPr>
          <w:sdtContent>
            <w:tc>
              <w:tcPr>
                <w:tcW w:w="687" w:type="pct"/>
                <w:vMerge w:val="restart"/>
                <w:shd w:val="clear" w:color="auto" w:fill="FFFFFF"/>
                <w:vAlign w:val="center"/>
              </w:tcPr>
              <w:p w14:paraId="486BA8BE" w14:textId="77777777" w:rsidR="00577D08" w:rsidRDefault="00330FC0">
                <w:pPr>
                  <w:widowControl w:val="0"/>
                  <w:jc w:val="center"/>
                </w:pPr>
                <w:r>
                  <w:t>期初余额</w:t>
                </w:r>
              </w:p>
            </w:tc>
          </w:sdtContent>
        </w:sdt>
        <w:sdt>
          <w:sdtPr>
            <w:tag w:val="_PLD_cd024d723ca84c77aded9d7b7313563b"/>
            <w:id w:val="-518847368"/>
          </w:sdtPr>
          <w:sdtContent>
            <w:tc>
              <w:tcPr>
                <w:tcW w:w="2810" w:type="pct"/>
                <w:gridSpan w:val="4"/>
                <w:shd w:val="clear" w:color="auto" w:fill="FFFFFF"/>
                <w:vAlign w:val="center"/>
              </w:tcPr>
              <w:p w14:paraId="65356AF8" w14:textId="77777777" w:rsidR="00577D08" w:rsidRDefault="00330FC0">
                <w:pPr>
                  <w:widowControl w:val="0"/>
                  <w:jc w:val="center"/>
                </w:pPr>
                <w:r>
                  <w:rPr>
                    <w:rFonts w:hint="eastAsia"/>
                  </w:rPr>
                  <w:t>本期变动</w:t>
                </w:r>
                <w:r>
                  <w:t>金额</w:t>
                </w:r>
              </w:p>
            </w:tc>
          </w:sdtContent>
        </w:sdt>
        <w:sdt>
          <w:sdtPr>
            <w:tag w:val="_PLD_1225558b3fd34599bc2c3f9eb23fba1e"/>
            <w:id w:val="-1057470957"/>
          </w:sdtPr>
          <w:sdtContent>
            <w:tc>
              <w:tcPr>
                <w:tcW w:w="685" w:type="pct"/>
                <w:vMerge w:val="restart"/>
                <w:shd w:val="clear" w:color="auto" w:fill="FFFFFF"/>
                <w:vAlign w:val="center"/>
              </w:tcPr>
              <w:p w14:paraId="4D55A627" w14:textId="77777777" w:rsidR="00577D08" w:rsidRDefault="00330FC0">
                <w:pPr>
                  <w:widowControl w:val="0"/>
                  <w:jc w:val="center"/>
                </w:pPr>
                <w:r>
                  <w:t>期末余额</w:t>
                </w:r>
              </w:p>
            </w:tc>
          </w:sdtContent>
        </w:sdt>
      </w:tr>
      <w:tr w:rsidR="00577D08" w14:paraId="5F22D68B" w14:textId="77777777">
        <w:trPr>
          <w:jc w:val="center"/>
        </w:trPr>
        <w:tc>
          <w:tcPr>
            <w:tcW w:w="818" w:type="pct"/>
            <w:vMerge/>
            <w:shd w:val="clear" w:color="auto" w:fill="FFFFFF"/>
            <w:vAlign w:val="center"/>
          </w:tcPr>
          <w:p w14:paraId="04730584" w14:textId="77777777" w:rsidR="00577D08" w:rsidRDefault="00577D08">
            <w:pPr>
              <w:widowControl w:val="0"/>
              <w:jc w:val="center"/>
            </w:pPr>
          </w:p>
        </w:tc>
        <w:tc>
          <w:tcPr>
            <w:tcW w:w="687" w:type="pct"/>
            <w:vMerge/>
            <w:shd w:val="clear" w:color="auto" w:fill="FFFFFF"/>
            <w:vAlign w:val="center"/>
          </w:tcPr>
          <w:p w14:paraId="4BA74875" w14:textId="77777777" w:rsidR="00577D08" w:rsidRDefault="00577D08">
            <w:pPr>
              <w:widowControl w:val="0"/>
              <w:jc w:val="center"/>
            </w:pPr>
          </w:p>
        </w:tc>
        <w:sdt>
          <w:sdtPr>
            <w:tag w:val="_PLD_3e1ba6e4785f430c89e70b3081ee1f0a"/>
            <w:id w:val="-1797292974"/>
          </w:sdtPr>
          <w:sdtContent>
            <w:tc>
              <w:tcPr>
                <w:tcW w:w="746" w:type="pct"/>
                <w:shd w:val="clear" w:color="auto" w:fill="FFFFFF"/>
                <w:vAlign w:val="center"/>
              </w:tcPr>
              <w:p w14:paraId="6B93907C" w14:textId="77777777" w:rsidR="00577D08" w:rsidRDefault="00330FC0">
                <w:pPr>
                  <w:widowControl w:val="0"/>
                  <w:jc w:val="center"/>
                </w:pPr>
                <w:r>
                  <w:t>计提</w:t>
                </w:r>
              </w:p>
            </w:tc>
          </w:sdtContent>
        </w:sdt>
        <w:sdt>
          <w:sdtPr>
            <w:tag w:val="_PLD_e1238ab8ec634edb975aa51e169f4488"/>
            <w:id w:val="-1239944177"/>
          </w:sdtPr>
          <w:sdtContent>
            <w:tc>
              <w:tcPr>
                <w:tcW w:w="687" w:type="pct"/>
                <w:shd w:val="clear" w:color="auto" w:fill="FFFFFF"/>
                <w:vAlign w:val="center"/>
              </w:tcPr>
              <w:p w14:paraId="171AD90A" w14:textId="77777777" w:rsidR="00577D08" w:rsidRDefault="00330FC0">
                <w:pPr>
                  <w:widowControl w:val="0"/>
                  <w:jc w:val="center"/>
                </w:pPr>
                <w:r>
                  <w:rPr>
                    <w:rFonts w:hint="eastAsia"/>
                  </w:rPr>
                  <w:t>收回或转回</w:t>
                </w:r>
              </w:p>
            </w:tc>
          </w:sdtContent>
        </w:sdt>
        <w:tc>
          <w:tcPr>
            <w:tcW w:w="689" w:type="pct"/>
            <w:shd w:val="clear" w:color="auto" w:fill="FFFFFF"/>
            <w:vAlign w:val="center"/>
          </w:tcPr>
          <w:sdt>
            <w:sdtPr>
              <w:tag w:val="_PLD_4909ee6a3062412caf5e93a150ca2e23"/>
              <w:id w:val="1391843485"/>
            </w:sdtPr>
            <w:sdtContent>
              <w:p w14:paraId="7C050F00" w14:textId="77777777" w:rsidR="00577D08" w:rsidRDefault="00330FC0">
                <w:pPr>
                  <w:widowControl w:val="0"/>
                  <w:jc w:val="center"/>
                </w:pPr>
                <w:r>
                  <w:rPr>
                    <w:rFonts w:hint="eastAsia"/>
                  </w:rPr>
                  <w:t>转销或核销</w:t>
                </w:r>
              </w:p>
            </w:sdtContent>
          </w:sdt>
        </w:tc>
        <w:tc>
          <w:tcPr>
            <w:tcW w:w="688" w:type="pct"/>
            <w:shd w:val="clear" w:color="auto" w:fill="FFFFFF"/>
            <w:vAlign w:val="center"/>
          </w:tcPr>
          <w:sdt>
            <w:sdtPr>
              <w:tag w:val="_PLD_b95e9591908443ef8eef29a18814ebfa"/>
              <w:id w:val="1690169291"/>
            </w:sdtPr>
            <w:sdtContent>
              <w:p w14:paraId="691D5FF2" w14:textId="77777777" w:rsidR="00577D08" w:rsidRDefault="00330FC0">
                <w:pPr>
                  <w:widowControl w:val="0"/>
                  <w:jc w:val="center"/>
                </w:pPr>
                <w:r>
                  <w:rPr>
                    <w:rFonts w:hint="eastAsia"/>
                  </w:rPr>
                  <w:t>其他变动</w:t>
                </w:r>
              </w:p>
            </w:sdtContent>
          </w:sdt>
        </w:tc>
        <w:tc>
          <w:tcPr>
            <w:tcW w:w="685" w:type="pct"/>
            <w:vMerge/>
            <w:shd w:val="clear" w:color="auto" w:fill="FFFFFF"/>
            <w:vAlign w:val="center"/>
          </w:tcPr>
          <w:p w14:paraId="26F6A4F3" w14:textId="77777777" w:rsidR="00577D08" w:rsidRDefault="00577D08">
            <w:pPr>
              <w:widowControl w:val="0"/>
              <w:jc w:val="right"/>
            </w:pPr>
          </w:p>
        </w:tc>
      </w:tr>
      <w:tr w:rsidR="00577D08" w14:paraId="6E1D2589" w14:textId="77777777">
        <w:trPr>
          <w:jc w:val="center"/>
        </w:trPr>
        <w:tc>
          <w:tcPr>
            <w:tcW w:w="818" w:type="pct"/>
          </w:tcPr>
          <w:p w14:paraId="568D6B49" w14:textId="77777777" w:rsidR="00577D08" w:rsidRDefault="00330FC0">
            <w:pPr>
              <w:widowControl w:val="0"/>
            </w:pPr>
            <w:r>
              <w:rPr>
                <w:rFonts w:hint="eastAsia"/>
              </w:rPr>
              <w:t>按单项计提坏账准备</w:t>
            </w:r>
          </w:p>
        </w:tc>
        <w:tc>
          <w:tcPr>
            <w:tcW w:w="687" w:type="pct"/>
          </w:tcPr>
          <w:p w14:paraId="0A59B2BA" w14:textId="77777777" w:rsidR="00577D08" w:rsidRDefault="00330FC0">
            <w:pPr>
              <w:widowControl w:val="0"/>
              <w:jc w:val="right"/>
            </w:pPr>
            <w:r>
              <w:t>26,918,902.65</w:t>
            </w:r>
          </w:p>
        </w:tc>
        <w:tc>
          <w:tcPr>
            <w:tcW w:w="746" w:type="pct"/>
          </w:tcPr>
          <w:p w14:paraId="2E2A4FEE" w14:textId="77777777" w:rsidR="00577D08" w:rsidRDefault="00330FC0">
            <w:pPr>
              <w:widowControl w:val="0"/>
              <w:jc w:val="right"/>
            </w:pPr>
            <w:r>
              <w:t>4,347,204.13</w:t>
            </w:r>
          </w:p>
        </w:tc>
        <w:tc>
          <w:tcPr>
            <w:tcW w:w="687" w:type="pct"/>
          </w:tcPr>
          <w:p w14:paraId="28492671" w14:textId="77777777" w:rsidR="00577D08" w:rsidRDefault="00330FC0">
            <w:pPr>
              <w:widowControl w:val="0"/>
              <w:jc w:val="right"/>
            </w:pPr>
            <w:r>
              <w:t>275,615.30</w:t>
            </w:r>
          </w:p>
        </w:tc>
        <w:tc>
          <w:tcPr>
            <w:tcW w:w="689" w:type="pct"/>
          </w:tcPr>
          <w:p w14:paraId="195493BF" w14:textId="77777777" w:rsidR="00577D08" w:rsidRDefault="00330FC0">
            <w:pPr>
              <w:widowControl w:val="0"/>
              <w:jc w:val="right"/>
            </w:pPr>
            <w:r>
              <w:t>1,538,418.96</w:t>
            </w:r>
          </w:p>
        </w:tc>
        <w:tc>
          <w:tcPr>
            <w:tcW w:w="688" w:type="pct"/>
          </w:tcPr>
          <w:p w14:paraId="5CB4BFEE" w14:textId="77777777" w:rsidR="00577D08" w:rsidRDefault="00577D08">
            <w:pPr>
              <w:widowControl w:val="0"/>
              <w:jc w:val="right"/>
            </w:pPr>
          </w:p>
        </w:tc>
        <w:tc>
          <w:tcPr>
            <w:tcW w:w="685" w:type="pct"/>
          </w:tcPr>
          <w:p w14:paraId="1D33FA7C" w14:textId="77777777" w:rsidR="00577D08" w:rsidRDefault="00330FC0">
            <w:pPr>
              <w:widowControl w:val="0"/>
              <w:jc w:val="right"/>
            </w:pPr>
            <w:r>
              <w:t>29,452,072.52</w:t>
            </w:r>
          </w:p>
        </w:tc>
      </w:tr>
      <w:tr w:rsidR="00577D08" w14:paraId="64A6A849" w14:textId="77777777">
        <w:trPr>
          <w:jc w:val="center"/>
        </w:trPr>
        <w:tc>
          <w:tcPr>
            <w:tcW w:w="818" w:type="pct"/>
          </w:tcPr>
          <w:p w14:paraId="6F35E557" w14:textId="77777777" w:rsidR="00577D08" w:rsidRDefault="00330FC0">
            <w:pPr>
              <w:widowControl w:val="0"/>
            </w:pPr>
            <w:r>
              <w:rPr>
                <w:rFonts w:hint="eastAsia"/>
              </w:rPr>
              <w:t>按组合计提坏账准备</w:t>
            </w:r>
          </w:p>
        </w:tc>
        <w:tc>
          <w:tcPr>
            <w:tcW w:w="687" w:type="pct"/>
          </w:tcPr>
          <w:p w14:paraId="01AC1C17" w14:textId="77777777" w:rsidR="00577D08" w:rsidRDefault="00330FC0">
            <w:pPr>
              <w:widowControl w:val="0"/>
              <w:jc w:val="right"/>
            </w:pPr>
            <w:r>
              <w:t>79,591,139.76</w:t>
            </w:r>
          </w:p>
        </w:tc>
        <w:tc>
          <w:tcPr>
            <w:tcW w:w="746" w:type="pct"/>
          </w:tcPr>
          <w:p w14:paraId="42BE5DF8" w14:textId="77777777" w:rsidR="00577D08" w:rsidRDefault="00330FC0">
            <w:pPr>
              <w:widowControl w:val="0"/>
              <w:jc w:val="right"/>
            </w:pPr>
            <w:r>
              <w:t>14,559,996.36</w:t>
            </w:r>
          </w:p>
        </w:tc>
        <w:tc>
          <w:tcPr>
            <w:tcW w:w="687" w:type="pct"/>
          </w:tcPr>
          <w:p w14:paraId="1C27D51B" w14:textId="77777777" w:rsidR="00577D08" w:rsidRDefault="00577D08">
            <w:pPr>
              <w:widowControl w:val="0"/>
              <w:jc w:val="right"/>
            </w:pPr>
          </w:p>
        </w:tc>
        <w:tc>
          <w:tcPr>
            <w:tcW w:w="689" w:type="pct"/>
          </w:tcPr>
          <w:p w14:paraId="3F272767" w14:textId="77777777" w:rsidR="00577D08" w:rsidRDefault="00330FC0">
            <w:pPr>
              <w:widowControl w:val="0"/>
              <w:jc w:val="right"/>
            </w:pPr>
            <w:r>
              <w:t>142,000.00</w:t>
            </w:r>
          </w:p>
        </w:tc>
        <w:tc>
          <w:tcPr>
            <w:tcW w:w="688" w:type="pct"/>
          </w:tcPr>
          <w:p w14:paraId="5C1F75E7" w14:textId="77777777" w:rsidR="00577D08" w:rsidRDefault="00577D08">
            <w:pPr>
              <w:widowControl w:val="0"/>
              <w:jc w:val="right"/>
            </w:pPr>
          </w:p>
        </w:tc>
        <w:tc>
          <w:tcPr>
            <w:tcW w:w="685" w:type="pct"/>
          </w:tcPr>
          <w:p w14:paraId="3DFB16CE" w14:textId="77777777" w:rsidR="00577D08" w:rsidRDefault="00330FC0">
            <w:pPr>
              <w:widowControl w:val="0"/>
              <w:jc w:val="right"/>
            </w:pPr>
            <w:r>
              <w:t>94,009,136.12</w:t>
            </w:r>
          </w:p>
        </w:tc>
      </w:tr>
      <w:tr w:rsidR="00577D08" w14:paraId="147E460C" w14:textId="77777777">
        <w:trPr>
          <w:jc w:val="center"/>
        </w:trPr>
        <w:tc>
          <w:tcPr>
            <w:tcW w:w="818" w:type="pct"/>
            <w:vAlign w:val="center"/>
          </w:tcPr>
          <w:p w14:paraId="6892F559" w14:textId="77777777" w:rsidR="00577D08" w:rsidRDefault="00330FC0">
            <w:pPr>
              <w:widowControl w:val="0"/>
              <w:jc w:val="center"/>
            </w:pPr>
            <w:r>
              <w:rPr>
                <w:rFonts w:hint="eastAsia"/>
              </w:rPr>
              <w:t>合计</w:t>
            </w:r>
          </w:p>
        </w:tc>
        <w:tc>
          <w:tcPr>
            <w:tcW w:w="687" w:type="pct"/>
          </w:tcPr>
          <w:p w14:paraId="68DB48B2" w14:textId="77777777" w:rsidR="00577D08" w:rsidRDefault="00330FC0">
            <w:pPr>
              <w:widowControl w:val="0"/>
              <w:jc w:val="right"/>
            </w:pPr>
            <w:r>
              <w:t>106,510,042.41</w:t>
            </w:r>
          </w:p>
        </w:tc>
        <w:tc>
          <w:tcPr>
            <w:tcW w:w="746" w:type="pct"/>
          </w:tcPr>
          <w:p w14:paraId="3F80CE0C" w14:textId="77777777" w:rsidR="00577D08" w:rsidRDefault="00330FC0">
            <w:pPr>
              <w:widowControl w:val="0"/>
              <w:jc w:val="right"/>
            </w:pPr>
            <w:r>
              <w:t>18,907,200.49</w:t>
            </w:r>
          </w:p>
        </w:tc>
        <w:tc>
          <w:tcPr>
            <w:tcW w:w="687" w:type="pct"/>
          </w:tcPr>
          <w:p w14:paraId="4B6D8617" w14:textId="77777777" w:rsidR="00577D08" w:rsidRDefault="00330FC0">
            <w:pPr>
              <w:widowControl w:val="0"/>
              <w:jc w:val="right"/>
            </w:pPr>
            <w:r>
              <w:t>275,615.30</w:t>
            </w:r>
          </w:p>
        </w:tc>
        <w:tc>
          <w:tcPr>
            <w:tcW w:w="689" w:type="pct"/>
          </w:tcPr>
          <w:p w14:paraId="43BDF121" w14:textId="77777777" w:rsidR="00577D08" w:rsidRDefault="00330FC0">
            <w:pPr>
              <w:widowControl w:val="0"/>
              <w:jc w:val="right"/>
            </w:pPr>
            <w:r>
              <w:t>1,680,418.96</w:t>
            </w:r>
          </w:p>
        </w:tc>
        <w:tc>
          <w:tcPr>
            <w:tcW w:w="688" w:type="pct"/>
          </w:tcPr>
          <w:p w14:paraId="68D8517B" w14:textId="77777777" w:rsidR="00577D08" w:rsidRDefault="00577D08">
            <w:pPr>
              <w:widowControl w:val="0"/>
              <w:jc w:val="right"/>
            </w:pPr>
          </w:p>
        </w:tc>
        <w:tc>
          <w:tcPr>
            <w:tcW w:w="685" w:type="pct"/>
          </w:tcPr>
          <w:p w14:paraId="4DBADB5C" w14:textId="77777777" w:rsidR="00577D08" w:rsidRDefault="00330FC0">
            <w:pPr>
              <w:widowControl w:val="0"/>
              <w:jc w:val="right"/>
            </w:pPr>
            <w:r>
              <w:t>123,461,208.64</w:t>
            </w:r>
          </w:p>
        </w:tc>
      </w:tr>
    </w:tbl>
    <w:p w14:paraId="4B51E3DF" w14:textId="77777777" w:rsidR="00577D08" w:rsidRDefault="00577D08">
      <w:pPr>
        <w:pStyle w:val="affc"/>
      </w:pPr>
    </w:p>
    <w:p w14:paraId="1F9FAD9E" w14:textId="77777777" w:rsidR="00577D08" w:rsidRDefault="00330FC0">
      <w:bookmarkStart w:id="498" w:name="_Hlk153789356"/>
      <w:bookmarkEnd w:id="497"/>
      <w:r>
        <w:rPr>
          <w:rFonts w:hint="eastAsia"/>
        </w:rPr>
        <w:t>其中本期坏账准备收回或转回金额重要的：</w:t>
      </w:r>
    </w:p>
    <w:sdt>
      <w:sdtPr>
        <w:alias w:val="是否适用：母公司其中本期坏账准备收回或转回金额重要的[双击切换]"/>
        <w:tag w:val="_GBC_5f9ff028d97f4757bc779516f257bedd"/>
        <w:id w:val="-1278098801"/>
        <w:placeholder>
          <w:docPart w:val="GBC22222222222222222222222222222"/>
        </w:placeholder>
      </w:sdtPr>
      <w:sdtContent>
        <w:p w14:paraId="4BD4447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95265D0" w14:textId="77777777" w:rsidR="00577D08" w:rsidRDefault="00577D08"/>
    <w:p w14:paraId="5918B055" w14:textId="77777777" w:rsidR="00577D08" w:rsidRDefault="00330FC0">
      <w:r>
        <w:rPr>
          <w:rFonts w:hint="eastAsia"/>
        </w:rPr>
        <w:t>其他说明：</w:t>
      </w:r>
    </w:p>
    <w:sdt>
      <w:sdtPr>
        <w:alias w:val="应收账款坏账准备情况的说明"/>
        <w:tag w:val="_GBC_cff8cbc4c64e413fadcc7d21dcb34fc7"/>
        <w:id w:val="803429520"/>
        <w:placeholder>
          <w:docPart w:val="GBC22222222222222222222222222222"/>
        </w:placeholder>
      </w:sdtPr>
      <w:sdtContent>
        <w:p w14:paraId="23318991" w14:textId="77777777" w:rsidR="00577D08" w:rsidRDefault="00330FC0">
          <w:pPr>
            <w:ind w:rightChars="-759" w:right="-1594"/>
          </w:pPr>
          <w:r>
            <w:rPr>
              <w:rFonts w:hint="eastAsia"/>
            </w:rPr>
            <w:t>无</w:t>
          </w:r>
        </w:p>
      </w:sdtContent>
    </w:sdt>
    <w:bookmarkEnd w:id="498"/>
    <w:p w14:paraId="3E774D9A" w14:textId="77777777" w:rsidR="00577D08" w:rsidRDefault="00330FC0">
      <w:pPr>
        <w:pStyle w:val="4"/>
        <w:numPr>
          <w:ilvl w:val="3"/>
          <w:numId w:val="126"/>
        </w:numPr>
        <w:ind w:left="426" w:hangingChars="202" w:hanging="426"/>
        <w:rPr>
          <w:rFonts w:hint="eastAsia"/>
        </w:rPr>
      </w:pPr>
      <w:r>
        <w:t>本期实际核销的应收</w:t>
      </w:r>
      <w:r>
        <w:rPr>
          <w:rFonts w:hint="eastAsia"/>
        </w:rPr>
        <w:t>账款</w:t>
      </w:r>
      <w:r>
        <w:t>情况</w:t>
      </w:r>
    </w:p>
    <w:sdt>
      <w:sdtPr>
        <w:alias w:val="是否适用：母公司本期实际核销的应收账款情况[双击切换]"/>
        <w:tag w:val="_GBC_a30d476ac6184bc98f9b334fa55067ac"/>
        <w:id w:val="1410280258"/>
        <w:placeholder>
          <w:docPart w:val="GBC22222222222222222222222222222"/>
        </w:placeholder>
      </w:sdtPr>
      <w:sdtContent>
        <w:p w14:paraId="01E8E331"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E6084E6" w14:textId="39C16FCF" w:rsidR="00577D08" w:rsidRDefault="00330FC0">
      <w:pPr>
        <w:jc w:val="right"/>
      </w:pPr>
      <w:r>
        <w:rPr>
          <w:rFonts w:hint="eastAsia"/>
        </w:rPr>
        <w:t>单位：</w:t>
      </w:r>
      <w:sdt>
        <w:sdtPr>
          <w:rPr>
            <w:rFonts w:hint="eastAsia"/>
          </w:rPr>
          <w:alias w:val="单位：母公司财务附注：本报告期实际核销的应收款项情况"/>
          <w:tag w:val="_GBC_a5c3b5e8c8bf477abc83c1766768abf2"/>
          <w:id w:val="-4427762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财务附注：本报告期实际核销的应收款项情况"/>
          <w:tag w:val="_GBC_c46c6c481aca4428892d83e0d45ec77c"/>
          <w:id w:val="-17682287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6"/>
        <w:gridCol w:w="7317"/>
      </w:tblGrid>
      <w:tr w:rsidR="00577D08" w14:paraId="3F3DAE62" w14:textId="77777777">
        <w:sdt>
          <w:sdtPr>
            <w:tag w:val="_PLD_5c7267345db44379846ba86d759302da"/>
            <w:id w:val="-312028193"/>
          </w:sdtPr>
          <w:sdtContent>
            <w:tc>
              <w:tcPr>
                <w:tcW w:w="2361" w:type="pct"/>
                <w:vAlign w:val="center"/>
              </w:tcPr>
              <w:p w14:paraId="37D74AF1" w14:textId="77777777" w:rsidR="00577D08" w:rsidRDefault="00330FC0">
                <w:pPr>
                  <w:jc w:val="center"/>
                </w:pPr>
                <w:r>
                  <w:rPr>
                    <w:rFonts w:hint="eastAsia"/>
                  </w:rPr>
                  <w:t>项目</w:t>
                </w:r>
              </w:p>
            </w:tc>
          </w:sdtContent>
        </w:sdt>
        <w:sdt>
          <w:sdtPr>
            <w:tag w:val="_PLD_99874d480e864cddaf845b554cb24ccb"/>
            <w:id w:val="1804279058"/>
          </w:sdtPr>
          <w:sdtContent>
            <w:tc>
              <w:tcPr>
                <w:tcW w:w="2639" w:type="pct"/>
                <w:vAlign w:val="center"/>
              </w:tcPr>
              <w:p w14:paraId="5962D2CB" w14:textId="77777777" w:rsidR="00577D08" w:rsidRDefault="00330FC0">
                <w:pPr>
                  <w:jc w:val="center"/>
                </w:pPr>
                <w:r>
                  <w:rPr>
                    <w:rFonts w:hint="eastAsia"/>
                  </w:rPr>
                  <w:t>核销金额</w:t>
                </w:r>
              </w:p>
            </w:tc>
          </w:sdtContent>
        </w:sdt>
      </w:tr>
      <w:tr w:rsidR="00577D08" w14:paraId="56B4FCDE" w14:textId="77777777">
        <w:tc>
          <w:tcPr>
            <w:tcW w:w="2361" w:type="pct"/>
            <w:vAlign w:val="center"/>
          </w:tcPr>
          <w:p w14:paraId="3C57AA03" w14:textId="77777777" w:rsidR="00577D08" w:rsidRDefault="00330FC0">
            <w:r>
              <w:rPr>
                <w:rFonts w:hint="eastAsia"/>
              </w:rPr>
              <w:t>实际核销的应收账款</w:t>
            </w:r>
          </w:p>
        </w:tc>
        <w:tc>
          <w:tcPr>
            <w:tcW w:w="2639" w:type="pct"/>
            <w:vAlign w:val="center"/>
          </w:tcPr>
          <w:p w14:paraId="0A2208B7" w14:textId="77777777" w:rsidR="00577D08" w:rsidRDefault="00330FC0">
            <w:pPr>
              <w:jc w:val="right"/>
            </w:pPr>
            <w:r>
              <w:t>1,680,418.96</w:t>
            </w:r>
          </w:p>
        </w:tc>
      </w:tr>
    </w:tbl>
    <w:p w14:paraId="7855A6D0" w14:textId="77777777" w:rsidR="00577D08" w:rsidRDefault="00330FC0">
      <w:r>
        <w:rPr>
          <w:rFonts w:hint="eastAsia"/>
        </w:rPr>
        <w:t>其中重要的应收账款核销情况</w:t>
      </w:r>
    </w:p>
    <w:sdt>
      <w:sdtPr>
        <w:alias w:val="是否适用：母公司其中重要的应收账款核销情况[双击切换]"/>
        <w:tag w:val="_GBC_7110dba4b9b14a6ea7177cba57fd2d03"/>
        <w:id w:val="1991820773"/>
        <w:placeholder>
          <w:docPart w:val="GBC22222222222222222222222222222"/>
        </w:placeholder>
      </w:sdtPr>
      <w:sdtContent>
        <w:p w14:paraId="08ED756C"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8BE6D74" w14:textId="77777777" w:rsidR="00577D08" w:rsidRDefault="00330FC0">
      <w:pPr>
        <w:snapToGrid w:val="0"/>
        <w:spacing w:line="240" w:lineRule="atLeast"/>
      </w:pPr>
      <w:r>
        <w:rPr>
          <w:rFonts w:hint="eastAsia"/>
        </w:rPr>
        <w:t>应收账款核销说明：</w:t>
      </w:r>
    </w:p>
    <w:sdt>
      <w:sdtPr>
        <w:rPr>
          <w:rFonts w:hint="eastAsia"/>
        </w:rPr>
        <w:alias w:val="是否适用：母公司应收账款核销说明[双击切换]"/>
        <w:tag w:val="_GBC_2ba809c9e31c411795d7353d4b11a774"/>
        <w:id w:val="436641098"/>
        <w:placeholder>
          <w:docPart w:val="GBC22222222222222222222222222222"/>
        </w:placeholder>
      </w:sdtPr>
      <w:sdtContent>
        <w:p w14:paraId="5C79BDFA" w14:textId="77777777" w:rsidR="00577D08" w:rsidRDefault="00330FC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579FA8F" w14:textId="77777777" w:rsidR="00577D08" w:rsidRDefault="00000000">
      <w:pPr>
        <w:snapToGrid w:val="0"/>
        <w:spacing w:line="240" w:lineRule="atLeast"/>
      </w:pPr>
      <w:sdt>
        <w:sdtPr>
          <w:alias w:val="应收帐款冲销坏帐明细的说明"/>
          <w:tag w:val="_GBC_97c9dfe2aae8471ba60bcba95fc04bc7"/>
          <w:id w:val="2111464329"/>
          <w:placeholder>
            <w:docPart w:val="GBC22222222222222222222222222222"/>
          </w:placeholder>
        </w:sdtPr>
        <w:sdtContent>
          <w:r w:rsidR="00330FC0">
            <w:rPr>
              <w:rFonts w:hint="eastAsia"/>
            </w:rPr>
            <w:t>无</w:t>
          </w:r>
        </w:sdtContent>
      </w:sdt>
    </w:p>
    <w:p w14:paraId="738E1883" w14:textId="77777777" w:rsidR="00577D08" w:rsidRDefault="00330FC0">
      <w:pPr>
        <w:pStyle w:val="4"/>
        <w:numPr>
          <w:ilvl w:val="3"/>
          <w:numId w:val="126"/>
        </w:numPr>
        <w:ind w:left="426" w:hangingChars="202" w:hanging="426"/>
        <w:rPr>
          <w:rFonts w:hint="eastAsia"/>
        </w:rPr>
      </w:pPr>
      <w:bookmarkStart w:id="499" w:name="_Hlk90023019"/>
      <w:bookmarkStart w:id="500" w:name="_Hlk153789714"/>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7fffc10e897f45d19e0dc3f8ffc2224f"/>
        <w:id w:val="-403296452"/>
        <w:placeholder>
          <w:docPart w:val="GBC22222222222222222222222222222"/>
        </w:placeholder>
      </w:sdtPr>
      <w:sdtContent>
        <w:p w14:paraId="2D4F4E41" w14:textId="77777777" w:rsidR="00577D08" w:rsidRDefault="00330FC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679E668" w14:textId="77777777" w:rsidR="00577D08" w:rsidRDefault="00330FC0">
      <w:pPr>
        <w:snapToGrid w:val="0"/>
        <w:spacing w:line="240" w:lineRule="atLeast"/>
        <w:jc w:val="right"/>
      </w:pPr>
      <w:r>
        <w:rPr>
          <w:rFonts w:hint="eastAsia"/>
        </w:rPr>
        <w:t>单位：</w:t>
      </w:r>
      <w:sdt>
        <w:sdtPr>
          <w:alias w:val="单位：财务附注：应收账款前五名欠款情况"/>
          <w:tag w:val="_GBC_e41caaf031c645a09f9ff82e1bde3008"/>
          <w:id w:val="182592924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币种：</w:t>
      </w:r>
      <w:sdt>
        <w:sdtPr>
          <w:rPr>
            <w:rFonts w:hint="eastAsia"/>
          </w:rPr>
          <w:alias w:val="币种：财务附注：应收账款前五名欠款情况"/>
          <w:tag w:val="_GBC_03b6faf9055245869ad37558d10f0525"/>
          <w:id w:val="-3898079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984"/>
        <w:gridCol w:w="1985"/>
        <w:gridCol w:w="2126"/>
        <w:gridCol w:w="2898"/>
        <w:gridCol w:w="1727"/>
      </w:tblGrid>
      <w:tr w:rsidR="00577D08" w14:paraId="5075F526" w14:textId="77777777">
        <w:trPr>
          <w:cantSplit/>
        </w:trPr>
        <w:sdt>
          <w:sdtPr>
            <w:tag w:val="_PLD_68ef52d85e9b4f23a72393cc4b01b204"/>
            <w:id w:val="-491100407"/>
          </w:sdtPr>
          <w:sdtContent>
            <w:tc>
              <w:tcPr>
                <w:tcW w:w="3369" w:type="dxa"/>
                <w:vAlign w:val="center"/>
              </w:tcPr>
              <w:p w14:paraId="1D8918F9" w14:textId="77777777" w:rsidR="00577D08" w:rsidRDefault="00330FC0">
                <w:pPr>
                  <w:ind w:right="105"/>
                  <w:jc w:val="center"/>
                </w:pPr>
                <w:r>
                  <w:rPr>
                    <w:rFonts w:hint="eastAsia"/>
                  </w:rPr>
                  <w:t>单位名称</w:t>
                </w:r>
              </w:p>
            </w:tc>
          </w:sdtContent>
        </w:sdt>
        <w:sdt>
          <w:sdtPr>
            <w:tag w:val="_PLD_a62fd4b0ddfb407795d57ea0471df65a"/>
            <w:id w:val="655807786"/>
          </w:sdtPr>
          <w:sdtContent>
            <w:tc>
              <w:tcPr>
                <w:tcW w:w="1984" w:type="dxa"/>
                <w:vAlign w:val="center"/>
              </w:tcPr>
              <w:p w14:paraId="2F8FBF3B" w14:textId="77777777" w:rsidR="00577D08" w:rsidRDefault="00330FC0">
                <w:pPr>
                  <w:ind w:right="73"/>
                  <w:jc w:val="center"/>
                </w:pPr>
                <w:r>
                  <w:rPr>
                    <w:rFonts w:hint="eastAsia"/>
                  </w:rPr>
                  <w:t>应收账款期末余额</w:t>
                </w:r>
              </w:p>
            </w:tc>
          </w:sdtContent>
        </w:sdt>
        <w:sdt>
          <w:sdtPr>
            <w:tag w:val="_PLD_7e753de74ef54c5da4e5c10a41366274"/>
            <w:id w:val="438798375"/>
          </w:sdtPr>
          <w:sdtContent>
            <w:tc>
              <w:tcPr>
                <w:tcW w:w="1985" w:type="dxa"/>
                <w:vAlign w:val="center"/>
              </w:tcPr>
              <w:p w14:paraId="38A80BCE" w14:textId="77777777" w:rsidR="00577D08" w:rsidRDefault="00330FC0">
                <w:pPr>
                  <w:jc w:val="center"/>
                </w:pPr>
                <w:r>
                  <w:rPr>
                    <w:rFonts w:hint="eastAsia"/>
                  </w:rPr>
                  <w:t>合同资产期末余额</w:t>
                </w:r>
              </w:p>
            </w:tc>
          </w:sdtContent>
        </w:sdt>
        <w:sdt>
          <w:sdtPr>
            <w:tag w:val="_PLD_1589be2aa7134b3f9de4e223e83a7a61"/>
            <w:id w:val="-1358347397"/>
          </w:sdtPr>
          <w:sdtContent>
            <w:tc>
              <w:tcPr>
                <w:tcW w:w="2126" w:type="dxa"/>
                <w:vAlign w:val="center"/>
              </w:tcPr>
              <w:p w14:paraId="21D9C1B8" w14:textId="77777777" w:rsidR="00577D08" w:rsidRDefault="00330FC0">
                <w:pPr>
                  <w:jc w:val="center"/>
                </w:pPr>
                <w:r>
                  <w:rPr>
                    <w:rFonts w:hint="eastAsia"/>
                  </w:rPr>
                  <w:t>应收账款和合同资产期末余额</w:t>
                </w:r>
              </w:p>
            </w:tc>
          </w:sdtContent>
        </w:sdt>
        <w:sdt>
          <w:sdtPr>
            <w:tag w:val="_PLD_e84ecb8c9e5146e8b4ede4a709c5ef5f"/>
            <w:id w:val="619268952"/>
          </w:sdtPr>
          <w:sdtContent>
            <w:tc>
              <w:tcPr>
                <w:tcW w:w="2898" w:type="dxa"/>
                <w:vAlign w:val="center"/>
              </w:tcPr>
              <w:p w14:paraId="39E96831" w14:textId="77777777" w:rsidR="00577D08" w:rsidRDefault="00330FC0">
                <w:pPr>
                  <w:jc w:val="center"/>
                </w:pPr>
                <w:r>
                  <w:rPr>
                    <w:rFonts w:hint="eastAsia"/>
                  </w:rPr>
                  <w:t>占应收账款和合同资产期末余额合计数的比例（</w:t>
                </w:r>
                <w:r>
                  <w:rPr>
                    <w:rFonts w:hint="eastAsia"/>
                  </w:rPr>
                  <w:t>%</w:t>
                </w:r>
                <w:r>
                  <w:rPr>
                    <w:rFonts w:hint="eastAsia"/>
                  </w:rPr>
                  <w:t>）</w:t>
                </w:r>
              </w:p>
            </w:tc>
          </w:sdtContent>
        </w:sdt>
        <w:sdt>
          <w:sdtPr>
            <w:tag w:val="_PLD_da58e99405a342aa95b8ffb814c33752"/>
            <w:id w:val="-926814186"/>
          </w:sdtPr>
          <w:sdtContent>
            <w:tc>
              <w:tcPr>
                <w:tcW w:w="1727" w:type="dxa"/>
                <w:vAlign w:val="center"/>
              </w:tcPr>
              <w:p w14:paraId="4A4EEA0E" w14:textId="77777777" w:rsidR="00577D08" w:rsidRDefault="00330FC0">
                <w:pPr>
                  <w:jc w:val="center"/>
                </w:pPr>
                <w:r>
                  <w:rPr>
                    <w:rFonts w:hint="eastAsia"/>
                  </w:rPr>
                  <w:t>坏账准备期末余额</w:t>
                </w:r>
              </w:p>
            </w:tc>
          </w:sdtContent>
        </w:sdt>
      </w:tr>
      <w:tr w:rsidR="00577D08" w14:paraId="26E16E9E" w14:textId="77777777">
        <w:trPr>
          <w:cantSplit/>
        </w:trPr>
        <w:tc>
          <w:tcPr>
            <w:tcW w:w="3369" w:type="dxa"/>
          </w:tcPr>
          <w:p w14:paraId="584A9961" w14:textId="77777777" w:rsidR="00577D08" w:rsidRDefault="00330FC0">
            <w:pPr>
              <w:ind w:right="105"/>
            </w:pPr>
            <w:r>
              <w:rPr>
                <w:rFonts w:hint="eastAsia"/>
              </w:rPr>
              <w:t>云南变压器电气股份有限公司</w:t>
            </w:r>
          </w:p>
        </w:tc>
        <w:tc>
          <w:tcPr>
            <w:tcW w:w="1984" w:type="dxa"/>
          </w:tcPr>
          <w:p w14:paraId="40EB11A1" w14:textId="77777777" w:rsidR="00577D08" w:rsidRDefault="00330FC0">
            <w:pPr>
              <w:ind w:right="73"/>
              <w:jc w:val="right"/>
            </w:pPr>
            <w:r>
              <w:t>193,010,617.41</w:t>
            </w:r>
          </w:p>
        </w:tc>
        <w:tc>
          <w:tcPr>
            <w:tcW w:w="1985" w:type="dxa"/>
          </w:tcPr>
          <w:p w14:paraId="15101CD7" w14:textId="77777777" w:rsidR="00577D08" w:rsidRDefault="00577D08">
            <w:pPr>
              <w:jc w:val="right"/>
            </w:pPr>
          </w:p>
        </w:tc>
        <w:tc>
          <w:tcPr>
            <w:tcW w:w="2126" w:type="dxa"/>
          </w:tcPr>
          <w:p w14:paraId="262F254C" w14:textId="77777777" w:rsidR="00577D08" w:rsidRDefault="00330FC0">
            <w:pPr>
              <w:jc w:val="right"/>
            </w:pPr>
            <w:r>
              <w:t>193,010,617.41</w:t>
            </w:r>
          </w:p>
        </w:tc>
        <w:tc>
          <w:tcPr>
            <w:tcW w:w="2898" w:type="dxa"/>
          </w:tcPr>
          <w:p w14:paraId="79B68922" w14:textId="77777777" w:rsidR="00577D08" w:rsidRDefault="00330FC0">
            <w:pPr>
              <w:jc w:val="right"/>
            </w:pPr>
            <w:r>
              <w:t>15.16</w:t>
            </w:r>
          </w:p>
        </w:tc>
        <w:tc>
          <w:tcPr>
            <w:tcW w:w="1727" w:type="dxa"/>
          </w:tcPr>
          <w:p w14:paraId="6AB7C3DA" w14:textId="77777777" w:rsidR="00577D08" w:rsidRDefault="00330FC0">
            <w:pPr>
              <w:jc w:val="right"/>
            </w:pPr>
            <w:r>
              <w:t>-</w:t>
            </w:r>
          </w:p>
        </w:tc>
      </w:tr>
      <w:tr w:rsidR="00577D08" w14:paraId="42830613" w14:textId="77777777">
        <w:trPr>
          <w:cantSplit/>
        </w:trPr>
        <w:tc>
          <w:tcPr>
            <w:tcW w:w="3369" w:type="dxa"/>
          </w:tcPr>
          <w:p w14:paraId="315D76DF" w14:textId="77777777" w:rsidR="00577D08" w:rsidRDefault="00330FC0">
            <w:pPr>
              <w:ind w:right="105"/>
            </w:pPr>
            <w:r>
              <w:rPr>
                <w:rFonts w:hint="eastAsia"/>
              </w:rPr>
              <w:t>中国电建集团重庆工程有限公司</w:t>
            </w:r>
          </w:p>
        </w:tc>
        <w:tc>
          <w:tcPr>
            <w:tcW w:w="1984" w:type="dxa"/>
          </w:tcPr>
          <w:p w14:paraId="69A609D3" w14:textId="77777777" w:rsidR="00577D08" w:rsidRDefault="00330FC0">
            <w:pPr>
              <w:ind w:right="73"/>
              <w:jc w:val="right"/>
            </w:pPr>
            <w:r>
              <w:t>24,246,013.34</w:t>
            </w:r>
          </w:p>
        </w:tc>
        <w:tc>
          <w:tcPr>
            <w:tcW w:w="1985" w:type="dxa"/>
          </w:tcPr>
          <w:p w14:paraId="21D3C210" w14:textId="77777777" w:rsidR="00577D08" w:rsidRDefault="00577D08">
            <w:pPr>
              <w:jc w:val="right"/>
            </w:pPr>
          </w:p>
        </w:tc>
        <w:tc>
          <w:tcPr>
            <w:tcW w:w="2126" w:type="dxa"/>
          </w:tcPr>
          <w:p w14:paraId="53C8B48E" w14:textId="77777777" w:rsidR="00577D08" w:rsidRDefault="00330FC0">
            <w:pPr>
              <w:jc w:val="right"/>
            </w:pPr>
            <w:r>
              <w:t>24,246,013.34</w:t>
            </w:r>
          </w:p>
        </w:tc>
        <w:tc>
          <w:tcPr>
            <w:tcW w:w="2898" w:type="dxa"/>
          </w:tcPr>
          <w:p w14:paraId="55C39622" w14:textId="77777777" w:rsidR="00577D08" w:rsidRDefault="00330FC0">
            <w:pPr>
              <w:jc w:val="right"/>
            </w:pPr>
            <w:r>
              <w:t>1.90</w:t>
            </w:r>
          </w:p>
        </w:tc>
        <w:tc>
          <w:tcPr>
            <w:tcW w:w="1727" w:type="dxa"/>
          </w:tcPr>
          <w:p w14:paraId="4B637B6E" w14:textId="77777777" w:rsidR="00577D08" w:rsidRDefault="00330FC0">
            <w:pPr>
              <w:jc w:val="right"/>
            </w:pPr>
            <w:r>
              <w:t>1,365,517.28</w:t>
            </w:r>
          </w:p>
        </w:tc>
      </w:tr>
      <w:tr w:rsidR="00577D08" w14:paraId="74B550E9" w14:textId="77777777">
        <w:trPr>
          <w:cantSplit/>
        </w:trPr>
        <w:tc>
          <w:tcPr>
            <w:tcW w:w="3369" w:type="dxa"/>
          </w:tcPr>
          <w:p w14:paraId="378CDBF2" w14:textId="77777777" w:rsidR="00577D08" w:rsidRDefault="00330FC0">
            <w:pPr>
              <w:ind w:right="105"/>
            </w:pPr>
            <w:r>
              <w:rPr>
                <w:rFonts w:hint="eastAsia"/>
              </w:rPr>
              <w:t>中能建（上海）成套工程有限公司</w:t>
            </w:r>
          </w:p>
        </w:tc>
        <w:tc>
          <w:tcPr>
            <w:tcW w:w="1984" w:type="dxa"/>
          </w:tcPr>
          <w:p w14:paraId="31DEB2F9" w14:textId="77777777" w:rsidR="00577D08" w:rsidRDefault="00330FC0">
            <w:pPr>
              <w:ind w:right="73"/>
              <w:jc w:val="right"/>
            </w:pPr>
            <w:r>
              <w:t>20,644,392.50</w:t>
            </w:r>
          </w:p>
        </w:tc>
        <w:tc>
          <w:tcPr>
            <w:tcW w:w="1985" w:type="dxa"/>
          </w:tcPr>
          <w:p w14:paraId="4784CF0D" w14:textId="77777777" w:rsidR="00577D08" w:rsidRDefault="00577D08">
            <w:pPr>
              <w:jc w:val="right"/>
            </w:pPr>
          </w:p>
        </w:tc>
        <w:tc>
          <w:tcPr>
            <w:tcW w:w="2126" w:type="dxa"/>
          </w:tcPr>
          <w:p w14:paraId="4D080255" w14:textId="77777777" w:rsidR="00577D08" w:rsidRDefault="00330FC0">
            <w:pPr>
              <w:jc w:val="right"/>
            </w:pPr>
            <w:r>
              <w:t>20,644,392.50</w:t>
            </w:r>
          </w:p>
        </w:tc>
        <w:tc>
          <w:tcPr>
            <w:tcW w:w="2898" w:type="dxa"/>
          </w:tcPr>
          <w:p w14:paraId="474E6433" w14:textId="77777777" w:rsidR="00577D08" w:rsidRDefault="00330FC0">
            <w:pPr>
              <w:jc w:val="right"/>
            </w:pPr>
            <w:r>
              <w:t>1.62</w:t>
            </w:r>
          </w:p>
        </w:tc>
        <w:tc>
          <w:tcPr>
            <w:tcW w:w="1727" w:type="dxa"/>
          </w:tcPr>
          <w:p w14:paraId="2566D2E5" w14:textId="77777777" w:rsidR="00577D08" w:rsidRDefault="00330FC0">
            <w:pPr>
              <w:jc w:val="right"/>
            </w:pPr>
            <w:r>
              <w:t>1,032,219.63</w:t>
            </w:r>
          </w:p>
        </w:tc>
      </w:tr>
      <w:tr w:rsidR="00577D08" w14:paraId="6CC54DB5" w14:textId="77777777">
        <w:trPr>
          <w:cantSplit/>
        </w:trPr>
        <w:tc>
          <w:tcPr>
            <w:tcW w:w="3369" w:type="dxa"/>
          </w:tcPr>
          <w:p w14:paraId="6AEE03E9" w14:textId="77777777" w:rsidR="00577D08" w:rsidRDefault="00330FC0">
            <w:pPr>
              <w:ind w:right="105"/>
            </w:pPr>
            <w:r>
              <w:rPr>
                <w:rFonts w:hint="eastAsia"/>
              </w:rPr>
              <w:t>川开电气有限公司</w:t>
            </w:r>
          </w:p>
        </w:tc>
        <w:tc>
          <w:tcPr>
            <w:tcW w:w="1984" w:type="dxa"/>
          </w:tcPr>
          <w:p w14:paraId="4818F8DB" w14:textId="77777777" w:rsidR="00577D08" w:rsidRDefault="00330FC0">
            <w:pPr>
              <w:ind w:right="73"/>
              <w:jc w:val="right"/>
            </w:pPr>
            <w:r>
              <w:t>16,385,978.02</w:t>
            </w:r>
          </w:p>
        </w:tc>
        <w:tc>
          <w:tcPr>
            <w:tcW w:w="1985" w:type="dxa"/>
          </w:tcPr>
          <w:p w14:paraId="010FC31A" w14:textId="77777777" w:rsidR="00577D08" w:rsidRDefault="00577D08">
            <w:pPr>
              <w:jc w:val="right"/>
            </w:pPr>
          </w:p>
        </w:tc>
        <w:tc>
          <w:tcPr>
            <w:tcW w:w="2126" w:type="dxa"/>
          </w:tcPr>
          <w:p w14:paraId="54BC723E" w14:textId="77777777" w:rsidR="00577D08" w:rsidRDefault="00330FC0">
            <w:pPr>
              <w:jc w:val="right"/>
            </w:pPr>
            <w:r>
              <w:t>16,385,978.02</w:t>
            </w:r>
          </w:p>
        </w:tc>
        <w:tc>
          <w:tcPr>
            <w:tcW w:w="2898" w:type="dxa"/>
          </w:tcPr>
          <w:p w14:paraId="5C779E66" w14:textId="77777777" w:rsidR="00577D08" w:rsidRDefault="00330FC0">
            <w:pPr>
              <w:jc w:val="right"/>
            </w:pPr>
            <w:r>
              <w:t>1.29</w:t>
            </w:r>
          </w:p>
        </w:tc>
        <w:tc>
          <w:tcPr>
            <w:tcW w:w="1727" w:type="dxa"/>
          </w:tcPr>
          <w:p w14:paraId="7404873E" w14:textId="77777777" w:rsidR="00577D08" w:rsidRDefault="00330FC0">
            <w:pPr>
              <w:jc w:val="right"/>
            </w:pPr>
            <w:r>
              <w:t>819,298.90</w:t>
            </w:r>
          </w:p>
        </w:tc>
      </w:tr>
      <w:tr w:rsidR="00577D08" w14:paraId="42064697" w14:textId="77777777">
        <w:trPr>
          <w:cantSplit/>
        </w:trPr>
        <w:tc>
          <w:tcPr>
            <w:tcW w:w="3369" w:type="dxa"/>
          </w:tcPr>
          <w:p w14:paraId="68430014" w14:textId="77777777" w:rsidR="00577D08" w:rsidRDefault="00330FC0">
            <w:pPr>
              <w:ind w:right="105"/>
            </w:pPr>
            <w:r>
              <w:rPr>
                <w:rFonts w:hint="eastAsia"/>
              </w:rPr>
              <w:t>宏桥建水新能源有限公司</w:t>
            </w:r>
          </w:p>
        </w:tc>
        <w:tc>
          <w:tcPr>
            <w:tcW w:w="1984" w:type="dxa"/>
          </w:tcPr>
          <w:p w14:paraId="6D66EBAF" w14:textId="77777777" w:rsidR="00577D08" w:rsidRDefault="00330FC0">
            <w:pPr>
              <w:ind w:right="73"/>
              <w:jc w:val="right"/>
            </w:pPr>
            <w:r>
              <w:t>12,928,980.00</w:t>
            </w:r>
          </w:p>
        </w:tc>
        <w:tc>
          <w:tcPr>
            <w:tcW w:w="1985" w:type="dxa"/>
          </w:tcPr>
          <w:p w14:paraId="206C9269" w14:textId="77777777" w:rsidR="00577D08" w:rsidRDefault="00577D08">
            <w:pPr>
              <w:jc w:val="right"/>
            </w:pPr>
          </w:p>
        </w:tc>
        <w:tc>
          <w:tcPr>
            <w:tcW w:w="2126" w:type="dxa"/>
          </w:tcPr>
          <w:p w14:paraId="0039871D" w14:textId="77777777" w:rsidR="00577D08" w:rsidRDefault="00330FC0">
            <w:pPr>
              <w:jc w:val="right"/>
            </w:pPr>
            <w:r>
              <w:t>12,928,980.00</w:t>
            </w:r>
          </w:p>
        </w:tc>
        <w:tc>
          <w:tcPr>
            <w:tcW w:w="2898" w:type="dxa"/>
          </w:tcPr>
          <w:p w14:paraId="3A010328" w14:textId="77777777" w:rsidR="00577D08" w:rsidRDefault="00330FC0">
            <w:pPr>
              <w:jc w:val="right"/>
            </w:pPr>
            <w:r>
              <w:t>1.02</w:t>
            </w:r>
          </w:p>
        </w:tc>
        <w:tc>
          <w:tcPr>
            <w:tcW w:w="1727" w:type="dxa"/>
          </w:tcPr>
          <w:p w14:paraId="53E2E209" w14:textId="77777777" w:rsidR="00577D08" w:rsidRDefault="00330FC0">
            <w:pPr>
              <w:jc w:val="right"/>
            </w:pPr>
            <w:r>
              <w:t>646,449.00</w:t>
            </w:r>
          </w:p>
        </w:tc>
      </w:tr>
      <w:tr w:rsidR="00577D08" w14:paraId="4138B099" w14:textId="77777777">
        <w:trPr>
          <w:cantSplit/>
        </w:trPr>
        <w:tc>
          <w:tcPr>
            <w:tcW w:w="3369" w:type="dxa"/>
            <w:vAlign w:val="center"/>
          </w:tcPr>
          <w:p w14:paraId="05CEE819" w14:textId="77777777" w:rsidR="00577D08" w:rsidRDefault="00330FC0">
            <w:pPr>
              <w:ind w:right="105"/>
              <w:jc w:val="center"/>
            </w:pPr>
            <w:r>
              <w:rPr>
                <w:rFonts w:hint="eastAsia"/>
              </w:rPr>
              <w:t>合计</w:t>
            </w:r>
          </w:p>
        </w:tc>
        <w:tc>
          <w:tcPr>
            <w:tcW w:w="1984" w:type="dxa"/>
          </w:tcPr>
          <w:p w14:paraId="6DAAC75E" w14:textId="77777777" w:rsidR="00577D08" w:rsidRDefault="00330FC0">
            <w:pPr>
              <w:ind w:right="73"/>
              <w:jc w:val="right"/>
            </w:pPr>
            <w:r>
              <w:t>267,215,981.27</w:t>
            </w:r>
          </w:p>
        </w:tc>
        <w:tc>
          <w:tcPr>
            <w:tcW w:w="1985" w:type="dxa"/>
          </w:tcPr>
          <w:p w14:paraId="4BAF5B82" w14:textId="77777777" w:rsidR="00577D08" w:rsidRDefault="00577D08">
            <w:pPr>
              <w:jc w:val="right"/>
            </w:pPr>
          </w:p>
        </w:tc>
        <w:tc>
          <w:tcPr>
            <w:tcW w:w="2126" w:type="dxa"/>
          </w:tcPr>
          <w:p w14:paraId="21565588" w14:textId="77777777" w:rsidR="00577D08" w:rsidRDefault="00330FC0">
            <w:pPr>
              <w:jc w:val="right"/>
            </w:pPr>
            <w:r>
              <w:t>267,215,981.27</w:t>
            </w:r>
          </w:p>
        </w:tc>
        <w:tc>
          <w:tcPr>
            <w:tcW w:w="2898" w:type="dxa"/>
          </w:tcPr>
          <w:p w14:paraId="081C0AF1" w14:textId="77777777" w:rsidR="00577D08" w:rsidRDefault="00330FC0">
            <w:pPr>
              <w:jc w:val="right"/>
            </w:pPr>
            <w:r>
              <w:t>20.99</w:t>
            </w:r>
          </w:p>
        </w:tc>
        <w:tc>
          <w:tcPr>
            <w:tcW w:w="1727" w:type="dxa"/>
          </w:tcPr>
          <w:p w14:paraId="36DC6C6F" w14:textId="77777777" w:rsidR="00577D08" w:rsidRDefault="00330FC0">
            <w:pPr>
              <w:jc w:val="right"/>
            </w:pPr>
            <w:r>
              <w:t>3,863,484.81</w:t>
            </w:r>
          </w:p>
        </w:tc>
      </w:tr>
    </w:tbl>
    <w:p w14:paraId="36DBA1FE" w14:textId="77777777" w:rsidR="00577D08" w:rsidRDefault="00330FC0">
      <w:pPr>
        <w:snapToGrid w:val="0"/>
        <w:spacing w:line="240" w:lineRule="atLeast"/>
      </w:pPr>
      <w:r>
        <w:rPr>
          <w:rFonts w:hint="eastAsia"/>
        </w:rPr>
        <w:t>其他说明：</w:t>
      </w:r>
    </w:p>
    <w:sdt>
      <w:sdtPr>
        <w:alias w:val="按欠款方归集的期末余额前五名的应收账款情况的说明"/>
        <w:tag w:val="_GBC_4233d26567cb46b2a0053fbc4949e5ad"/>
        <w:id w:val="-628393173"/>
        <w:placeholder>
          <w:docPart w:val="GBC22222222222222222222222222222"/>
        </w:placeholder>
      </w:sdtPr>
      <w:sdtContent>
        <w:p w14:paraId="22E260E5" w14:textId="77777777" w:rsidR="00577D08" w:rsidRDefault="00330FC0">
          <w:pPr>
            <w:snapToGrid w:val="0"/>
            <w:spacing w:line="240" w:lineRule="atLeast"/>
          </w:pPr>
          <w:r>
            <w:rPr>
              <w:rFonts w:hint="eastAsia"/>
            </w:rPr>
            <w:t>无</w:t>
          </w:r>
        </w:p>
      </w:sdtContent>
    </w:sdt>
    <w:bookmarkEnd w:id="499"/>
    <w:bookmarkEnd w:id="500"/>
    <w:p w14:paraId="61ABFFF0" w14:textId="77777777" w:rsidR="00577D08" w:rsidRDefault="00330FC0">
      <w:r>
        <w:rPr>
          <w:rFonts w:hint="eastAsia"/>
        </w:rPr>
        <w:t>其他</w:t>
      </w:r>
      <w:r>
        <w:t>说明：</w:t>
      </w:r>
    </w:p>
    <w:sdt>
      <w:sdtPr>
        <w:alias w:val="是否适用：母公司应收账款其他说明[双击切换]"/>
        <w:tag w:val="_GBC_4765684a53b9474f898fa6c2bd313427"/>
        <w:id w:val="1924533141"/>
        <w:placeholder>
          <w:docPart w:val="GBC22222222222222222222222222222"/>
        </w:placeholder>
      </w:sdtPr>
      <w:sdtContent>
        <w:p w14:paraId="1E8696B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应收账款其他说明"/>
        <w:tag w:val="_GBC_050ad4436a034bc991ef13e9e868e8f8"/>
        <w:id w:val="-1485317237"/>
        <w:placeholder>
          <w:docPart w:val="GBC22222222222222222222222222222"/>
        </w:placeholder>
      </w:sdtPr>
      <w:sdtContent>
        <w:p w14:paraId="2C50E657" w14:textId="77777777" w:rsidR="00577D08" w:rsidRDefault="00330FC0">
          <w:pPr>
            <w:snapToGrid w:val="0"/>
            <w:spacing w:line="240" w:lineRule="atLeast"/>
          </w:pPr>
          <w:r>
            <w:rPr>
              <w:rFonts w:hint="eastAsia"/>
            </w:rPr>
            <w:t>无</w:t>
          </w:r>
        </w:p>
      </w:sdtContent>
    </w:sdt>
    <w:p w14:paraId="36A154BF" w14:textId="77777777" w:rsidR="00577D08" w:rsidRDefault="00577D08">
      <w:pPr>
        <w:snapToGrid w:val="0"/>
        <w:spacing w:line="240" w:lineRule="atLeast"/>
      </w:pPr>
    </w:p>
    <w:p w14:paraId="663D059E" w14:textId="77777777" w:rsidR="00577D08" w:rsidRDefault="00577D08">
      <w:pPr>
        <w:snapToGrid w:val="0"/>
        <w:spacing w:line="240" w:lineRule="atLeast"/>
        <w:sectPr w:rsidR="00577D08">
          <w:pgSz w:w="16838" w:h="11906" w:orient="landscape"/>
          <w:pgMar w:top="1797" w:right="1525" w:bottom="1276" w:left="1440" w:header="856" w:footer="992" w:gutter="0"/>
          <w:cols w:space="425"/>
          <w:docGrid w:linePitch="312"/>
        </w:sectPr>
      </w:pPr>
    </w:p>
    <w:p w14:paraId="4E0D5D42" w14:textId="77777777" w:rsidR="00577D08" w:rsidRDefault="00330FC0">
      <w:pPr>
        <w:pStyle w:val="3"/>
        <w:numPr>
          <w:ilvl w:val="0"/>
          <w:numId w:val="125"/>
        </w:numPr>
        <w:rPr>
          <w:rFonts w:ascii="宋体" w:hAnsi="宋体" w:hint="eastAsia"/>
          <w:szCs w:val="21"/>
        </w:rPr>
      </w:pPr>
      <w:r>
        <w:rPr>
          <w:rFonts w:ascii="宋体" w:hAnsi="宋体" w:hint="eastAsia"/>
          <w:szCs w:val="21"/>
        </w:rPr>
        <w:lastRenderedPageBreak/>
        <w:t>其他应收款</w:t>
      </w:r>
    </w:p>
    <w:p w14:paraId="71BF852A" w14:textId="77777777" w:rsidR="00577D08" w:rsidRDefault="00330FC0">
      <w:pPr>
        <w:pStyle w:val="4"/>
        <w:rPr>
          <w:rFonts w:hint="eastAsia"/>
        </w:rPr>
      </w:pPr>
      <w:bookmarkStart w:id="501" w:name="_Hlk153789873"/>
      <w:bookmarkStart w:id="502" w:name="_Hlk533796954"/>
      <w:r>
        <w:rPr>
          <w:rFonts w:hint="eastAsia"/>
        </w:rPr>
        <w:t>项目列示</w:t>
      </w:r>
    </w:p>
    <w:sdt>
      <w:sdtPr>
        <w:alias w:val="是否适用：母公司其他应收款分类列示[双击切换]"/>
        <w:tag w:val="_GBC_eca97260629e4985b01404cfe0f9630b"/>
        <w:id w:val="-528884554"/>
        <w:placeholder>
          <w:docPart w:val="GBC22222222222222222222222222222"/>
        </w:placeholder>
      </w:sdtPr>
      <w:sdtContent>
        <w:p w14:paraId="5B649471"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C9F9A61" w14:textId="2061959F" w:rsidR="00577D08" w:rsidRDefault="00330FC0">
      <w:pPr>
        <w:jc w:val="right"/>
      </w:pPr>
      <w:r>
        <w:rPr>
          <w:rFonts w:hint="eastAsia"/>
        </w:rPr>
        <w:t>单位：</w:t>
      </w:r>
      <w:sdt>
        <w:sdtPr>
          <w:rPr>
            <w:rFonts w:hint="eastAsia"/>
          </w:rPr>
          <w:alias w:val="单位：母公司其他应收款分类列示"/>
          <w:tag w:val="_GBC_3e648241a63447daac5dd00971efb146"/>
          <w:id w:val="-18268814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其他应收款分类列示"/>
          <w:tag w:val="_GBC_c7b8206dd7dd44fcb02f4cced206c1b8"/>
          <w:id w:val="12098416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96"/>
        <w:gridCol w:w="2938"/>
        <w:gridCol w:w="2924"/>
      </w:tblGrid>
      <w:tr w:rsidR="00577D08" w14:paraId="67DD7F41" w14:textId="77777777">
        <w:trPr>
          <w:cantSplit/>
        </w:trPr>
        <w:sdt>
          <w:sdtPr>
            <w:tag w:val="_PLD_3fbe550dc0704e7ebed42463d474129d"/>
            <w:id w:val="428628643"/>
          </w:sdtPr>
          <w:sdtContent>
            <w:tc>
              <w:tcPr>
                <w:tcW w:w="3196" w:type="dxa"/>
                <w:vAlign w:val="center"/>
              </w:tcPr>
              <w:p w14:paraId="51F24138" w14:textId="77777777" w:rsidR="00577D08" w:rsidRDefault="00330FC0">
                <w:pPr>
                  <w:jc w:val="center"/>
                </w:pPr>
                <w:r>
                  <w:rPr>
                    <w:rFonts w:hint="eastAsia"/>
                  </w:rPr>
                  <w:t>项目</w:t>
                </w:r>
              </w:p>
            </w:tc>
          </w:sdtContent>
        </w:sdt>
        <w:sdt>
          <w:sdtPr>
            <w:tag w:val="_PLD_5161bba6c7a3460784316b0695f47487"/>
            <w:id w:val="2090647578"/>
          </w:sdtPr>
          <w:sdtContent>
            <w:tc>
              <w:tcPr>
                <w:tcW w:w="2938" w:type="dxa"/>
                <w:vAlign w:val="center"/>
              </w:tcPr>
              <w:p w14:paraId="55BCF435" w14:textId="77777777" w:rsidR="00577D08" w:rsidRDefault="00330FC0">
                <w:pPr>
                  <w:jc w:val="center"/>
                </w:pPr>
                <w:r>
                  <w:rPr>
                    <w:rFonts w:hint="eastAsia"/>
                  </w:rPr>
                  <w:t>期末余额</w:t>
                </w:r>
              </w:p>
            </w:tc>
          </w:sdtContent>
        </w:sdt>
        <w:sdt>
          <w:sdtPr>
            <w:tag w:val="_PLD_54007dfc9bc24ec0b86bc4694efe4938"/>
            <w:id w:val="269668163"/>
          </w:sdtPr>
          <w:sdtContent>
            <w:tc>
              <w:tcPr>
                <w:tcW w:w="2924" w:type="dxa"/>
                <w:vAlign w:val="center"/>
              </w:tcPr>
              <w:p w14:paraId="4CF1808D" w14:textId="77777777" w:rsidR="00577D08" w:rsidRDefault="00330FC0">
                <w:pPr>
                  <w:jc w:val="center"/>
                </w:pPr>
                <w:r>
                  <w:rPr>
                    <w:rFonts w:hint="eastAsia"/>
                  </w:rPr>
                  <w:t>期初余额</w:t>
                </w:r>
              </w:p>
            </w:tc>
          </w:sdtContent>
        </w:sdt>
      </w:tr>
      <w:tr w:rsidR="00577D08" w14:paraId="65D8536C" w14:textId="77777777">
        <w:trPr>
          <w:cantSplit/>
        </w:trPr>
        <w:tc>
          <w:tcPr>
            <w:tcW w:w="3196" w:type="dxa"/>
            <w:vAlign w:val="center"/>
          </w:tcPr>
          <w:p w14:paraId="3767DF3E" w14:textId="77777777" w:rsidR="00577D08" w:rsidRDefault="00330FC0">
            <w:pPr>
              <w:ind w:right="5"/>
            </w:pPr>
            <w:r>
              <w:rPr>
                <w:rFonts w:hint="eastAsia"/>
              </w:rPr>
              <w:t>应收利息</w:t>
            </w:r>
          </w:p>
        </w:tc>
        <w:tc>
          <w:tcPr>
            <w:tcW w:w="2938" w:type="dxa"/>
            <w:vAlign w:val="center"/>
          </w:tcPr>
          <w:p w14:paraId="26EC2651" w14:textId="77777777" w:rsidR="00577D08" w:rsidRDefault="00577D08">
            <w:pPr>
              <w:ind w:right="5"/>
              <w:jc w:val="right"/>
            </w:pPr>
          </w:p>
        </w:tc>
        <w:tc>
          <w:tcPr>
            <w:tcW w:w="2924" w:type="dxa"/>
            <w:vAlign w:val="center"/>
          </w:tcPr>
          <w:p w14:paraId="4C86AE44" w14:textId="77777777" w:rsidR="00577D08" w:rsidRDefault="00577D08">
            <w:pPr>
              <w:ind w:right="5"/>
              <w:jc w:val="right"/>
            </w:pPr>
          </w:p>
        </w:tc>
      </w:tr>
      <w:tr w:rsidR="00577D08" w14:paraId="2D0CEE2B" w14:textId="77777777">
        <w:trPr>
          <w:cantSplit/>
        </w:trPr>
        <w:tc>
          <w:tcPr>
            <w:tcW w:w="3196" w:type="dxa"/>
            <w:vAlign w:val="center"/>
          </w:tcPr>
          <w:p w14:paraId="37054594" w14:textId="77777777" w:rsidR="00577D08" w:rsidRDefault="00330FC0">
            <w:pPr>
              <w:ind w:right="5"/>
            </w:pPr>
            <w:r>
              <w:rPr>
                <w:rFonts w:hint="eastAsia"/>
              </w:rPr>
              <w:t>应收股利</w:t>
            </w:r>
          </w:p>
        </w:tc>
        <w:tc>
          <w:tcPr>
            <w:tcW w:w="2938" w:type="dxa"/>
            <w:vAlign w:val="center"/>
          </w:tcPr>
          <w:p w14:paraId="604B1575" w14:textId="77777777" w:rsidR="00577D08" w:rsidRDefault="00577D08">
            <w:pPr>
              <w:ind w:right="5"/>
              <w:jc w:val="right"/>
            </w:pPr>
          </w:p>
        </w:tc>
        <w:tc>
          <w:tcPr>
            <w:tcW w:w="2924" w:type="dxa"/>
            <w:vAlign w:val="center"/>
          </w:tcPr>
          <w:p w14:paraId="3B83096A" w14:textId="77777777" w:rsidR="00577D08" w:rsidRDefault="00577D08">
            <w:pPr>
              <w:ind w:right="5"/>
              <w:jc w:val="right"/>
            </w:pPr>
          </w:p>
        </w:tc>
      </w:tr>
      <w:tr w:rsidR="00577D08" w14:paraId="3245D8E5" w14:textId="77777777">
        <w:trPr>
          <w:cantSplit/>
        </w:trPr>
        <w:tc>
          <w:tcPr>
            <w:tcW w:w="3196" w:type="dxa"/>
            <w:vAlign w:val="center"/>
          </w:tcPr>
          <w:p w14:paraId="6419A61C" w14:textId="77777777" w:rsidR="00577D08" w:rsidRDefault="00330FC0">
            <w:pPr>
              <w:ind w:right="5"/>
            </w:pPr>
            <w:r>
              <w:rPr>
                <w:rFonts w:hint="eastAsia"/>
              </w:rPr>
              <w:t>其他应收款</w:t>
            </w:r>
          </w:p>
        </w:tc>
        <w:tc>
          <w:tcPr>
            <w:tcW w:w="2938" w:type="dxa"/>
          </w:tcPr>
          <w:p w14:paraId="47066CBE" w14:textId="77777777" w:rsidR="00577D08" w:rsidRDefault="00330FC0">
            <w:pPr>
              <w:ind w:right="5"/>
              <w:jc w:val="right"/>
            </w:pPr>
            <w:r>
              <w:t>382,065,489.93</w:t>
            </w:r>
          </w:p>
        </w:tc>
        <w:tc>
          <w:tcPr>
            <w:tcW w:w="2924" w:type="dxa"/>
          </w:tcPr>
          <w:p w14:paraId="5C86966E" w14:textId="77777777" w:rsidR="00577D08" w:rsidRDefault="00330FC0">
            <w:pPr>
              <w:ind w:right="5"/>
              <w:jc w:val="right"/>
            </w:pPr>
            <w:r>
              <w:t>325,553,719.91</w:t>
            </w:r>
          </w:p>
        </w:tc>
      </w:tr>
      <w:tr w:rsidR="00577D08" w14:paraId="1E66E928" w14:textId="77777777">
        <w:trPr>
          <w:cantSplit/>
        </w:trPr>
        <w:tc>
          <w:tcPr>
            <w:tcW w:w="3196" w:type="dxa"/>
            <w:vAlign w:val="center"/>
          </w:tcPr>
          <w:p w14:paraId="3C9EA85A" w14:textId="77777777" w:rsidR="00577D08" w:rsidRDefault="00330FC0">
            <w:pPr>
              <w:autoSpaceDE w:val="0"/>
              <w:autoSpaceDN w:val="0"/>
              <w:adjustRightInd w:val="0"/>
            </w:pPr>
            <w:r>
              <w:rPr>
                <w:rFonts w:hint="eastAsia"/>
              </w:rPr>
              <w:t>合计</w:t>
            </w:r>
          </w:p>
        </w:tc>
        <w:tc>
          <w:tcPr>
            <w:tcW w:w="2938" w:type="dxa"/>
          </w:tcPr>
          <w:p w14:paraId="2DAD5266" w14:textId="77777777" w:rsidR="00577D08" w:rsidRDefault="00330FC0">
            <w:pPr>
              <w:jc w:val="right"/>
            </w:pPr>
            <w:r>
              <w:t>382,065,489.93</w:t>
            </w:r>
          </w:p>
        </w:tc>
        <w:tc>
          <w:tcPr>
            <w:tcW w:w="2924" w:type="dxa"/>
          </w:tcPr>
          <w:p w14:paraId="6D3ED464" w14:textId="77777777" w:rsidR="00577D08" w:rsidRDefault="00330FC0">
            <w:pPr>
              <w:jc w:val="right"/>
            </w:pPr>
            <w:r>
              <w:t>325,553,719.91</w:t>
            </w:r>
          </w:p>
        </w:tc>
      </w:tr>
    </w:tbl>
    <w:p w14:paraId="6D0B5B80" w14:textId="77777777" w:rsidR="00577D08" w:rsidRDefault="00330FC0">
      <w:bookmarkStart w:id="503" w:name="_Hlk533797002"/>
      <w:bookmarkEnd w:id="501"/>
      <w:bookmarkEnd w:id="502"/>
      <w:r>
        <w:rPr>
          <w:rFonts w:hint="eastAsia"/>
        </w:rPr>
        <w:t>其他说明：</w:t>
      </w:r>
    </w:p>
    <w:sdt>
      <w:sdtPr>
        <w:alias w:val="是否适用：母公司其他应收款分类列示其他说明[双击切换]"/>
        <w:tag w:val="_GBC_17d0b67d20cb486dbc08e07c11e1224a"/>
        <w:id w:val="-1569880273"/>
        <w:placeholder>
          <w:docPart w:val="GBC22222222222222222222222222222"/>
        </w:placeholder>
      </w:sdtPr>
      <w:sdtContent>
        <w:p w14:paraId="67C231A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03"/>
    <w:p w14:paraId="1FF72909" w14:textId="77777777" w:rsidR="00577D08" w:rsidRDefault="00330FC0">
      <w:pPr>
        <w:pStyle w:val="4"/>
        <w:ind w:left="360" w:hanging="360"/>
        <w:rPr>
          <w:rFonts w:hint="eastAsia"/>
        </w:rPr>
      </w:pPr>
      <w:r>
        <w:rPr>
          <w:rFonts w:hint="eastAsia"/>
        </w:rPr>
        <w:t>应收利息</w:t>
      </w:r>
    </w:p>
    <w:p w14:paraId="67EE0A8B" w14:textId="77777777" w:rsidR="00577D08" w:rsidRDefault="00330FC0">
      <w:pPr>
        <w:pStyle w:val="5"/>
        <w:numPr>
          <w:ilvl w:val="0"/>
          <w:numId w:val="127"/>
        </w:numPr>
        <w:ind w:leftChars="0"/>
      </w:pPr>
      <w:bookmarkStart w:id="504" w:name="_Hlk533797042"/>
      <w:r>
        <w:rPr>
          <w:rFonts w:hint="eastAsia"/>
        </w:rPr>
        <w:t>应收利息分类</w:t>
      </w:r>
    </w:p>
    <w:sdt>
      <w:sdtPr>
        <w:alias w:val="是否适用：母公司应收利息分类[双击切换]"/>
        <w:tag w:val="_GBC_5e0cba78d09b4764ada25ce89de1c4fd"/>
        <w:id w:val="-663558763"/>
        <w:placeholder>
          <w:docPart w:val="GBC22222222222222222222222222222"/>
        </w:placeholder>
      </w:sdtPr>
      <w:sdtContent>
        <w:p w14:paraId="3217734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8AD48A6" w14:textId="77777777" w:rsidR="00577D08" w:rsidRDefault="00330FC0">
      <w:pPr>
        <w:pStyle w:val="5"/>
        <w:numPr>
          <w:ilvl w:val="0"/>
          <w:numId w:val="127"/>
        </w:numPr>
        <w:ind w:leftChars="0"/>
        <w:rPr>
          <w:rFonts w:asciiTheme="minorHAnsi" w:hAnsiTheme="minorHAnsi" w:cs="宋体"/>
          <w:kern w:val="0"/>
          <w:szCs w:val="22"/>
        </w:rPr>
      </w:pPr>
      <w:bookmarkStart w:id="505" w:name="_Hlk533797114"/>
      <w:bookmarkEnd w:id="504"/>
      <w:r>
        <w:rPr>
          <w:rFonts w:asciiTheme="minorHAnsi" w:hAnsiTheme="minorHAnsi" w:cs="宋体" w:hint="eastAsia"/>
          <w:kern w:val="0"/>
          <w:szCs w:val="22"/>
        </w:rPr>
        <w:t>重要逾期利息</w:t>
      </w:r>
    </w:p>
    <w:sdt>
      <w:sdtPr>
        <w:alias w:val="是否适用：母公司重要逾期利息[双击切换]"/>
        <w:tag w:val="_GBC_2d954f5af6a64a34941652eeb166dce8"/>
        <w:id w:val="74406159"/>
        <w:placeholder>
          <w:docPart w:val="GBC22222222222222222222222222222"/>
        </w:placeholder>
      </w:sdtPr>
      <w:sdtContent>
        <w:p w14:paraId="3AC8DF72"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730FBC5" w14:textId="77777777" w:rsidR="00577D08" w:rsidRDefault="00330FC0">
      <w:pPr>
        <w:pStyle w:val="5"/>
        <w:numPr>
          <w:ilvl w:val="0"/>
          <w:numId w:val="127"/>
        </w:numPr>
        <w:ind w:leftChars="0"/>
        <w:rPr>
          <w:rFonts w:asciiTheme="minorHAnsi" w:hAnsiTheme="minorHAnsi" w:cs="宋体"/>
          <w:kern w:val="0"/>
          <w:szCs w:val="22"/>
        </w:rPr>
      </w:pPr>
      <w:bookmarkStart w:id="506" w:name="_Hlk154149455"/>
      <w:bookmarkStart w:id="507" w:name="_Hlk153789950"/>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按坏账计提方法分类披露[双击切换]"/>
        <w:tag w:val="_GBC_fe4d472a766545fe91e93448a26e5403"/>
        <w:id w:val="1455599344"/>
        <w:placeholder>
          <w:docPart w:val="GBC22222222222222222222222222222"/>
        </w:placeholder>
      </w:sdtPr>
      <w:sdtContent>
        <w:p w14:paraId="3D3788D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8A4707" w14:textId="77777777" w:rsidR="00577D08" w:rsidRDefault="00330FC0">
      <w:r>
        <w:rPr>
          <w:rFonts w:hint="eastAsia"/>
        </w:rPr>
        <w:t>按单项计提坏账准备：</w:t>
      </w:r>
    </w:p>
    <w:sdt>
      <w:sdtPr>
        <w:alias w:val="是否适用：母公司按单项计提坏账准备的详细情况[双击切换]"/>
        <w:tag w:val="_GBC_d06b9654dbc04fa7af49f1a5ad28f657"/>
        <w:id w:val="-184986820"/>
        <w:placeholder>
          <w:docPart w:val="GBC22222222222222222222222222222"/>
        </w:placeholder>
      </w:sdtPr>
      <w:sdtContent>
        <w:p w14:paraId="51D3889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2D14A1" w14:textId="77777777" w:rsidR="00577D08" w:rsidRDefault="00330FC0">
      <w:r>
        <w:rPr>
          <w:rFonts w:hint="eastAsia"/>
        </w:rPr>
        <w:t>按单项计提坏账准备的说明：</w:t>
      </w:r>
    </w:p>
    <w:sdt>
      <w:sdtPr>
        <w:alias w:val="是否适用：母公司按单项计提坏账准备的说明[双击切换]"/>
        <w:tag w:val="_GBC_7a6fa6b7c7de4c12942ac6477ec9ffb8"/>
        <w:id w:val="-135414141"/>
        <w:placeholder>
          <w:docPart w:val="GBC22222222222222222222222222222"/>
        </w:placeholder>
      </w:sdtPr>
      <w:sdtContent>
        <w:p w14:paraId="4B7D284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B7FD436" w14:textId="77777777" w:rsidR="00577D08" w:rsidRDefault="00330FC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ce999ec0925c4191a03a5c3b162652e0"/>
        <w:id w:val="-1267543360"/>
        <w:placeholder>
          <w:docPart w:val="GBC22222222222222222222222222222"/>
        </w:placeholder>
      </w:sdtPr>
      <w:sdtContent>
        <w:p w14:paraId="11FCE4FA" w14:textId="77777777" w:rsidR="00577D08" w:rsidRDefault="00330FC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2DE8F7A1" w14:textId="77777777" w:rsidR="00577D08" w:rsidRDefault="00330FC0">
      <w:pPr>
        <w:pStyle w:val="5"/>
        <w:numPr>
          <w:ilvl w:val="0"/>
          <w:numId w:val="127"/>
        </w:numPr>
        <w:ind w:leftChars="0"/>
        <w:rPr>
          <w:rFonts w:asciiTheme="minorHAnsi" w:hAnsiTheme="minorHAnsi" w:cs="宋体"/>
          <w:kern w:val="0"/>
          <w:szCs w:val="22"/>
        </w:rPr>
      </w:pPr>
      <w:bookmarkStart w:id="508" w:name="_Hlk533868784"/>
      <w:bookmarkEnd w:id="505"/>
      <w:bookmarkEnd w:id="506"/>
      <w:bookmarkEnd w:id="507"/>
      <w:r>
        <w:rPr>
          <w:rFonts w:asciiTheme="minorHAnsi" w:hAnsiTheme="minorHAnsi" w:cs="宋体" w:hint="eastAsia"/>
          <w:kern w:val="0"/>
          <w:szCs w:val="22"/>
        </w:rPr>
        <w:t>按</w:t>
      </w:r>
      <w:r>
        <w:rPr>
          <w:rFonts w:hint="eastAsia"/>
          <w:szCs w:val="22"/>
        </w:rPr>
        <w:t>预期信用损失一般模型计提坏账准备</w:t>
      </w:r>
    </w:p>
    <w:sdt>
      <w:sdtPr>
        <w:alias w:val="是否适用：母公司应收利息坏账准备调节表[双击切换]"/>
        <w:tag w:val="_GBC_f31c9323c5434941917fd7e42ea1fd1b"/>
        <w:id w:val="-1146201031"/>
        <w:placeholder>
          <w:docPart w:val="GBC22222222222222222222222222222"/>
        </w:placeholder>
      </w:sdtPr>
      <w:sdtContent>
        <w:p w14:paraId="5D70A6C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5BB8247" w14:textId="77777777" w:rsidR="00577D08" w:rsidRDefault="00330FC0">
      <w:pPr>
        <w:autoSpaceDE w:val="0"/>
        <w:autoSpaceDN w:val="0"/>
        <w:adjustRightInd w:val="0"/>
        <w:ind w:rightChars="50" w:right="105"/>
      </w:pPr>
      <w:bookmarkStart w:id="509" w:name="OLE_LINK5"/>
      <w:r>
        <w:rPr>
          <w:rFonts w:hint="eastAsia"/>
        </w:rPr>
        <w:t>各阶段划分依据和坏账准备计提比例</w:t>
      </w:r>
    </w:p>
    <w:bookmarkEnd w:id="509" w:displacedByCustomXml="next"/>
    <w:sdt>
      <w:sdtPr>
        <w:rPr>
          <w:bCs/>
          <w:szCs w:val="22"/>
        </w:rPr>
        <w:alias w:val="应收利息各阶段划分依据和坏账准备计提比例"/>
        <w:tag w:val="_GBC_b77aa29618704a4d96dead6a87509661"/>
        <w:id w:val="506333049"/>
        <w:placeholder>
          <w:docPart w:val="GBC22222222222222222222222222222"/>
        </w:placeholder>
      </w:sdtPr>
      <w:sdtContent>
        <w:p w14:paraId="4581B10A" w14:textId="77777777" w:rsidR="00577D08" w:rsidRDefault="00330FC0">
          <w:pPr>
            <w:rPr>
              <w:bCs/>
              <w:szCs w:val="22"/>
            </w:rPr>
          </w:pPr>
          <w:r>
            <w:rPr>
              <w:rFonts w:hint="eastAsia"/>
              <w:bCs/>
              <w:szCs w:val="22"/>
            </w:rPr>
            <w:t>无</w:t>
          </w:r>
        </w:p>
      </w:sdtContent>
    </w:sdt>
    <w:p w14:paraId="1B719EE8" w14:textId="77777777" w:rsidR="00577D08" w:rsidRDefault="00330FC0">
      <w:pPr>
        <w:pStyle w:val="affc"/>
      </w:pPr>
      <w:r>
        <w:rPr>
          <w:rFonts w:hint="eastAsia"/>
        </w:rPr>
        <w:t>对本期发生损失准备变动的应收利息账面余额显著变动的情况说明：</w:t>
      </w:r>
    </w:p>
    <w:sdt>
      <w:sdtPr>
        <w:alias w:val="是否适用：母公司应收利息本期发生损失准备变动且账面余额显著变动的情况说明[双击切换]"/>
        <w:tag w:val="_GBC_2798f4ad45d644a484ca2567cd62ed60"/>
        <w:id w:val="-169566815"/>
        <w:placeholder>
          <w:docPart w:val="GBC22222222222222222222222222222"/>
        </w:placeholder>
      </w:sdtPr>
      <w:sdtContent>
        <w:p w14:paraId="70E9EEB0"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976CFEB" w14:textId="77777777" w:rsidR="00577D08" w:rsidRDefault="00330FC0">
      <w:pPr>
        <w:pStyle w:val="5"/>
        <w:numPr>
          <w:ilvl w:val="0"/>
          <w:numId w:val="127"/>
        </w:numPr>
        <w:ind w:leftChars="0"/>
        <w:rPr>
          <w:rFonts w:asciiTheme="minorHAnsi" w:hAnsiTheme="minorHAnsi" w:cs="宋体"/>
          <w:kern w:val="0"/>
          <w:szCs w:val="22"/>
        </w:rPr>
      </w:pPr>
      <w:bookmarkStart w:id="510" w:name="_Hlk533797211"/>
      <w:bookmarkStart w:id="511" w:name="_Hlk154149866"/>
      <w:bookmarkStart w:id="512" w:name="_Hlk153790581"/>
      <w:bookmarkEnd w:id="508"/>
      <w:bookmarkEnd w:id="510"/>
      <w:r>
        <w:rPr>
          <w:rFonts w:asciiTheme="minorHAnsi" w:hAnsiTheme="minorHAnsi" w:cs="宋体" w:hint="eastAsia"/>
          <w:kern w:val="0"/>
          <w:szCs w:val="22"/>
        </w:rPr>
        <w:t>坏账准备的情况</w:t>
      </w:r>
    </w:p>
    <w:sdt>
      <w:sdtPr>
        <w:alias w:val="是否适用：母公司坏账准备情况[双击切换]"/>
        <w:tag w:val="_GBC_44a257b47fa748eca2cab9dd0877e841"/>
        <w:id w:val="426010206"/>
        <w:placeholder>
          <w:docPart w:val="GBC22222222222222222222222222222"/>
        </w:placeholder>
      </w:sdtPr>
      <w:sdtContent>
        <w:p w14:paraId="3E135F7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42EE38" w14:textId="77777777" w:rsidR="00577D08" w:rsidRDefault="00330FC0">
      <w:r>
        <w:rPr>
          <w:rFonts w:hint="eastAsia"/>
        </w:rPr>
        <w:t>其中本期坏账准备收回或转回金额重要的：</w:t>
      </w:r>
    </w:p>
    <w:sdt>
      <w:sdtPr>
        <w:alias w:val="是否适用：本期坏账准备收回或转回金额重要的[双击切换]"/>
        <w:tag w:val="_GBC_dda1c249e9da4520abee515b8b42f5f4"/>
        <w:id w:val="1458293413"/>
        <w:placeholder>
          <w:docPart w:val="GBC22222222222222222222222222222"/>
        </w:placeholder>
      </w:sdtPr>
      <w:sdtContent>
        <w:p w14:paraId="0AB9897A"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DBCA77" w14:textId="77777777" w:rsidR="00577D08" w:rsidRDefault="00330FC0">
      <w:r>
        <w:rPr>
          <w:rFonts w:hint="eastAsia"/>
        </w:rPr>
        <w:t>其他说明：</w:t>
      </w:r>
    </w:p>
    <w:sdt>
      <w:sdtPr>
        <w:alias w:val="母公司坏账准备情况的说明"/>
        <w:tag w:val="_GBC_31b65196a31b451f9f81b4cd487599d5"/>
        <w:id w:val="1276597759"/>
        <w:placeholder>
          <w:docPart w:val="GBC22222222222222222222222222222"/>
        </w:placeholder>
      </w:sdtPr>
      <w:sdtContent>
        <w:p w14:paraId="2CF2F31A" w14:textId="77777777" w:rsidR="00577D08" w:rsidRDefault="00330FC0">
          <w:pPr>
            <w:ind w:rightChars="20" w:right="42"/>
          </w:pPr>
          <w:r>
            <w:rPr>
              <w:rFonts w:hint="eastAsia"/>
            </w:rPr>
            <w:t>无</w:t>
          </w:r>
        </w:p>
      </w:sdtContent>
    </w:sdt>
    <w:p w14:paraId="7F64E4F0" w14:textId="77777777" w:rsidR="00577D08" w:rsidRDefault="00330FC0">
      <w:pPr>
        <w:pStyle w:val="5"/>
        <w:numPr>
          <w:ilvl w:val="0"/>
          <w:numId w:val="127"/>
        </w:numPr>
        <w:ind w:leftChars="0"/>
        <w:rPr>
          <w:rFonts w:asciiTheme="minorHAnsi" w:hAnsiTheme="minorHAnsi" w:cs="宋体"/>
          <w:kern w:val="0"/>
          <w:szCs w:val="22"/>
        </w:rPr>
      </w:pPr>
      <w:r>
        <w:rPr>
          <w:rFonts w:asciiTheme="minorHAnsi" w:hAnsiTheme="minorHAnsi" w:cs="宋体"/>
          <w:kern w:val="0"/>
          <w:szCs w:val="22"/>
        </w:rPr>
        <w:t>本期实际核销的应收</w:t>
      </w:r>
      <w:r>
        <w:rPr>
          <w:rFonts w:asciiTheme="minorHAnsi" w:hAnsiTheme="minorHAnsi" w:cs="宋体" w:hint="eastAsia"/>
          <w:kern w:val="0"/>
          <w:szCs w:val="22"/>
        </w:rPr>
        <w:t>利息</w:t>
      </w:r>
      <w:r>
        <w:rPr>
          <w:rFonts w:asciiTheme="minorHAnsi" w:hAnsiTheme="minorHAnsi" w:cs="宋体"/>
          <w:kern w:val="0"/>
          <w:szCs w:val="22"/>
        </w:rPr>
        <w:t>情况</w:t>
      </w:r>
    </w:p>
    <w:sdt>
      <w:sdtPr>
        <w:alias w:val="是否适用：实际核销的情况[双击切换]"/>
        <w:tag w:val="_GBC_078b310c81244c1d880a4059768019f1"/>
        <w:id w:val="1529836228"/>
        <w:placeholder>
          <w:docPart w:val="GBC22222222222222222222222222222"/>
        </w:placeholder>
      </w:sdtPr>
      <w:sdtContent>
        <w:p w14:paraId="5CAFC9B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EDB4FEB" w14:textId="77777777" w:rsidR="00577D08" w:rsidRDefault="00330FC0">
      <w:r>
        <w:rPr>
          <w:rFonts w:hint="eastAsia"/>
        </w:rPr>
        <w:t>其中重要的应收利息核销情况</w:t>
      </w:r>
    </w:p>
    <w:sdt>
      <w:sdtPr>
        <w:rPr>
          <w:rFonts w:hint="eastAsia"/>
        </w:rPr>
        <w:alias w:val="是否适用：母公司重要的核销情况[双击切换]"/>
        <w:tag w:val="_GBC_d68df6b80a1a45bcb388baf56df1b958"/>
        <w:id w:val="-1618519316"/>
        <w:placeholder>
          <w:docPart w:val="GBC22222222222222222222222222222"/>
        </w:placeholder>
      </w:sdtPr>
      <w:sdtContent>
        <w:p w14:paraId="1E95D8AB"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5A5D9FB" w14:textId="77777777" w:rsidR="00577D08" w:rsidRDefault="00330FC0">
      <w:pPr>
        <w:snapToGrid w:val="0"/>
        <w:spacing w:line="240" w:lineRule="atLeast"/>
      </w:pPr>
      <w:r>
        <w:rPr>
          <w:rFonts w:hint="eastAsia"/>
        </w:rPr>
        <w:t>核销说明：</w:t>
      </w:r>
    </w:p>
    <w:sdt>
      <w:sdtPr>
        <w:alias w:val="是否适用：母公司核销说明[双击切换]"/>
        <w:tag w:val="_GBC_dd0453ff96014cb191f4b96cd3787f15"/>
        <w:id w:val="47497227"/>
        <w:placeholder>
          <w:docPart w:val="GBC22222222222222222222222222222"/>
        </w:placeholder>
      </w:sdtPr>
      <w:sdtContent>
        <w:p w14:paraId="76A8656C"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11"/>
    <w:p w14:paraId="3547C829" w14:textId="77777777" w:rsidR="00577D08" w:rsidRDefault="00330FC0">
      <w:r>
        <w:rPr>
          <w:rFonts w:hint="eastAsia"/>
        </w:rPr>
        <w:t>其他说明：</w:t>
      </w:r>
    </w:p>
    <w:sdt>
      <w:sdtPr>
        <w:rPr>
          <w:rFonts w:hint="eastAsia"/>
        </w:rPr>
        <w:alias w:val="是否适用：应收利息的说明[双击切换]"/>
        <w:tag w:val="_GBC_9a3e6e5b075544d3b90be42ae9d883ef"/>
        <w:id w:val="-1774396644"/>
        <w:placeholder>
          <w:docPart w:val="GBC22222222222222222222222222222"/>
        </w:placeholder>
      </w:sdtPr>
      <w:sdtContent>
        <w:p w14:paraId="1DD6A45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12"/>
    <w:p w14:paraId="4E6B501B" w14:textId="77777777" w:rsidR="00577D08" w:rsidRDefault="00330FC0">
      <w:pPr>
        <w:pStyle w:val="4"/>
        <w:ind w:left="360" w:hanging="360"/>
        <w:rPr>
          <w:rFonts w:hint="eastAsia"/>
        </w:rPr>
      </w:pPr>
      <w:r>
        <w:rPr>
          <w:rFonts w:hint="eastAsia"/>
        </w:rPr>
        <w:lastRenderedPageBreak/>
        <w:t>应收股利</w:t>
      </w:r>
    </w:p>
    <w:p w14:paraId="05ED05FC" w14:textId="77777777" w:rsidR="00577D08" w:rsidRDefault="00330FC0">
      <w:pPr>
        <w:pStyle w:val="5"/>
        <w:numPr>
          <w:ilvl w:val="0"/>
          <w:numId w:val="128"/>
        </w:numPr>
        <w:ind w:leftChars="0"/>
        <w:rPr>
          <w:rFonts w:asciiTheme="minorHAnsi" w:hAnsiTheme="minorHAnsi" w:cs="宋体"/>
          <w:kern w:val="0"/>
          <w:szCs w:val="22"/>
        </w:rPr>
      </w:pPr>
      <w:bookmarkStart w:id="513" w:name="_Hlk533797257"/>
      <w:r>
        <w:rPr>
          <w:rFonts w:asciiTheme="minorHAnsi" w:hAnsiTheme="minorHAnsi" w:cs="宋体" w:hint="eastAsia"/>
          <w:kern w:val="0"/>
          <w:szCs w:val="22"/>
        </w:rPr>
        <w:t>应收股利</w:t>
      </w:r>
    </w:p>
    <w:sdt>
      <w:sdtPr>
        <w:alias w:val="是否适用：母公司应收股利[双击切换]"/>
        <w:tag w:val="_GBC_a52dcf5153694fbe9527781c61a5006e"/>
        <w:id w:val="584574379"/>
        <w:placeholder>
          <w:docPart w:val="GBC22222222222222222222222222222"/>
        </w:placeholder>
      </w:sdtPr>
      <w:sdtContent>
        <w:p w14:paraId="710B56C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B0D265F" w14:textId="77777777" w:rsidR="00577D08" w:rsidRDefault="00330FC0">
      <w:pPr>
        <w:pStyle w:val="5"/>
        <w:numPr>
          <w:ilvl w:val="0"/>
          <w:numId w:val="128"/>
        </w:numPr>
        <w:ind w:leftChars="0"/>
        <w:rPr>
          <w:rFonts w:asciiTheme="minorHAnsi" w:hAnsiTheme="minorHAnsi" w:cs="宋体"/>
          <w:kern w:val="0"/>
          <w:szCs w:val="22"/>
        </w:rPr>
      </w:pPr>
      <w:bookmarkStart w:id="514" w:name="_Hlk533797316"/>
      <w:bookmarkEnd w:id="513"/>
      <w:r>
        <w:rPr>
          <w:rFonts w:asciiTheme="minorHAnsi" w:hAnsiTheme="minorHAnsi" w:cs="宋体" w:hint="eastAsia"/>
          <w:kern w:val="0"/>
          <w:szCs w:val="22"/>
        </w:rPr>
        <w:t>重要的账龄超过</w:t>
      </w:r>
      <w:r>
        <w:rPr>
          <w:rFonts w:asciiTheme="minorHAnsi" w:hAnsiTheme="minorHAnsi" w:cs="宋体" w:hint="eastAsia"/>
          <w:kern w:val="0"/>
          <w:szCs w:val="22"/>
        </w:rPr>
        <w:t>1</w:t>
      </w:r>
      <w:r>
        <w:rPr>
          <w:rFonts w:asciiTheme="minorHAnsi" w:hAnsiTheme="minorHAnsi" w:cs="宋体" w:hint="eastAsia"/>
          <w:kern w:val="0"/>
          <w:szCs w:val="22"/>
        </w:rPr>
        <w:t>年的应收股利</w:t>
      </w:r>
    </w:p>
    <w:sdt>
      <w:sdtPr>
        <w:alias w:val="是否适用：母公司重要的账龄超过1年的应收股利[双击切换]"/>
        <w:tag w:val="_GBC_70eb463d08894908bb104ae0b258e76e"/>
        <w:id w:val="1431541550"/>
        <w:placeholder>
          <w:docPart w:val="GBC22222222222222222222222222222"/>
        </w:placeholder>
      </w:sdtPr>
      <w:sdtContent>
        <w:p w14:paraId="2286041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58EB89" w14:textId="77777777" w:rsidR="00577D08" w:rsidRDefault="00330FC0">
      <w:pPr>
        <w:pStyle w:val="5"/>
        <w:numPr>
          <w:ilvl w:val="0"/>
          <w:numId w:val="128"/>
        </w:numPr>
        <w:ind w:leftChars="0"/>
        <w:rPr>
          <w:rFonts w:asciiTheme="minorHAnsi" w:hAnsiTheme="minorHAnsi" w:cs="宋体"/>
          <w:kern w:val="0"/>
          <w:szCs w:val="22"/>
        </w:rPr>
      </w:pPr>
      <w:bookmarkStart w:id="515" w:name="_Hlk154150045"/>
      <w:bookmarkStart w:id="516" w:name="_Hlk153790907"/>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母公司按坏账计提方法分类披露[双击切换]"/>
        <w:tag w:val="_GBC_3e6131bf64764260959e58957d1a923e"/>
        <w:id w:val="-1390721072"/>
        <w:placeholder>
          <w:docPart w:val="GBC22222222222222222222222222222"/>
        </w:placeholder>
      </w:sdtPr>
      <w:sdtContent>
        <w:p w14:paraId="1050AB2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1C3D756" w14:textId="77777777" w:rsidR="00577D08" w:rsidRDefault="00330FC0">
      <w:r>
        <w:rPr>
          <w:rFonts w:hint="eastAsia"/>
        </w:rPr>
        <w:t>按单项计提坏账准备：</w:t>
      </w:r>
    </w:p>
    <w:sdt>
      <w:sdtPr>
        <w:alias w:val="是否适用：母公司按单项计提坏账准备的详细情况[双击切换]"/>
        <w:tag w:val="_GBC_0bffd65beafa48e6aca929c5c2140787"/>
        <w:id w:val="65385712"/>
        <w:placeholder>
          <w:docPart w:val="GBC22222222222222222222222222222"/>
        </w:placeholder>
      </w:sdtPr>
      <w:sdtContent>
        <w:p w14:paraId="5128A6A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8D44A9" w14:textId="77777777" w:rsidR="00577D08" w:rsidRDefault="00330FC0">
      <w:r>
        <w:rPr>
          <w:rFonts w:hint="eastAsia"/>
        </w:rPr>
        <w:t>按单项计提坏账准备的说明：</w:t>
      </w:r>
    </w:p>
    <w:sdt>
      <w:sdtPr>
        <w:alias w:val="是否适用：母公司按单项计提坏账准备的说明[双击切换]"/>
        <w:tag w:val="_GBC_3ff3367dda784192860c78e5be49cae0"/>
        <w:id w:val="-1209797946"/>
        <w:placeholder>
          <w:docPart w:val="GBC22222222222222222222222222222"/>
        </w:placeholder>
      </w:sdtPr>
      <w:sdtContent>
        <w:p w14:paraId="098FCD88"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CCC8E7B" w14:textId="77777777" w:rsidR="00577D08" w:rsidRDefault="00330FC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5b769fae73d0491bae227d3968699870"/>
        <w:id w:val="742758174"/>
        <w:placeholder>
          <w:docPart w:val="GBC22222222222222222222222222222"/>
        </w:placeholder>
      </w:sdtPr>
      <w:sdtContent>
        <w:p w14:paraId="7E82E7BC" w14:textId="77777777" w:rsidR="00577D08" w:rsidRDefault="00330FC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7F011C97" w14:textId="77777777" w:rsidR="00577D08" w:rsidRDefault="00330FC0">
      <w:pPr>
        <w:pStyle w:val="5"/>
        <w:numPr>
          <w:ilvl w:val="0"/>
          <w:numId w:val="128"/>
        </w:numPr>
        <w:ind w:leftChars="0"/>
        <w:rPr>
          <w:rFonts w:asciiTheme="minorHAnsi" w:hAnsiTheme="minorHAnsi" w:cs="宋体"/>
          <w:kern w:val="0"/>
          <w:szCs w:val="22"/>
        </w:rPr>
      </w:pPr>
      <w:bookmarkStart w:id="517" w:name="_Hlk533868874"/>
      <w:bookmarkEnd w:id="514"/>
      <w:bookmarkEnd w:id="515"/>
      <w:bookmarkEnd w:id="516"/>
      <w:r>
        <w:rPr>
          <w:rFonts w:asciiTheme="minorHAnsi" w:hAnsiTheme="minorHAnsi" w:cs="宋体" w:hint="eastAsia"/>
          <w:kern w:val="0"/>
          <w:szCs w:val="22"/>
        </w:rPr>
        <w:t>按</w:t>
      </w:r>
      <w:r>
        <w:rPr>
          <w:rFonts w:hint="eastAsia"/>
          <w:szCs w:val="22"/>
        </w:rPr>
        <w:t>预期信用损失一般模型计提坏账准备</w:t>
      </w:r>
    </w:p>
    <w:sdt>
      <w:sdtPr>
        <w:alias w:val="是否适用：母公司应收股利坏账准备调节表[双击切换]"/>
        <w:tag w:val="_GBC_5cbd8c1c52fa42d19db26aadad6a74b8"/>
        <w:id w:val="2111932881"/>
        <w:placeholder>
          <w:docPart w:val="GBC22222222222222222222222222222"/>
        </w:placeholder>
      </w:sdtPr>
      <w:sdtContent>
        <w:p w14:paraId="68B2D27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4080E3"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应收股利各阶段划分依据和坏账准备计提比例"/>
        <w:tag w:val="_GBC_add0117a614f4e33bfb451894481c309"/>
        <w:id w:val="1837024033"/>
        <w:placeholder>
          <w:docPart w:val="GBC22222222222222222222222222222"/>
        </w:placeholder>
      </w:sdtPr>
      <w:sdtContent>
        <w:p w14:paraId="589D48A6" w14:textId="77777777" w:rsidR="00577D08" w:rsidRDefault="00330FC0">
          <w:pPr>
            <w:rPr>
              <w:bCs/>
              <w:szCs w:val="22"/>
            </w:rPr>
          </w:pPr>
          <w:r>
            <w:rPr>
              <w:rFonts w:hint="eastAsia"/>
              <w:bCs/>
              <w:szCs w:val="22"/>
            </w:rPr>
            <w:t>无</w:t>
          </w:r>
        </w:p>
      </w:sdtContent>
    </w:sdt>
    <w:p w14:paraId="24F8ED63" w14:textId="77777777" w:rsidR="00577D08" w:rsidRDefault="00330FC0">
      <w:pPr>
        <w:pStyle w:val="affc"/>
      </w:pPr>
      <w:r>
        <w:rPr>
          <w:rFonts w:hint="eastAsia"/>
        </w:rPr>
        <w:t>对本期发生损失准备变动的应收股利账面余额显著变动的情况说明：</w:t>
      </w:r>
    </w:p>
    <w:sdt>
      <w:sdtPr>
        <w:rPr>
          <w:rFonts w:hint="eastAsia"/>
        </w:rPr>
        <w:alias w:val="是否适用：母公司应收股利本期发生损失准备变动且账面余额显著变动的情况说明[双击切换]"/>
        <w:tag w:val="_GBC_97e9fe7a49b947f79ce9d174eeaf0f5f"/>
        <w:id w:val="840352591"/>
        <w:placeholder>
          <w:docPart w:val="GBC22222222222222222222222222222"/>
        </w:placeholder>
      </w:sdtPr>
      <w:sdtContent>
        <w:p w14:paraId="7CB7A3B6" w14:textId="77777777" w:rsidR="00577D08" w:rsidRDefault="00330FC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C107887" w14:textId="77777777" w:rsidR="00577D08" w:rsidRDefault="00330FC0">
      <w:pPr>
        <w:pStyle w:val="5"/>
        <w:numPr>
          <w:ilvl w:val="0"/>
          <w:numId w:val="128"/>
        </w:numPr>
        <w:ind w:leftChars="0"/>
        <w:rPr>
          <w:rFonts w:asciiTheme="minorHAnsi" w:hAnsiTheme="minorHAnsi" w:cs="宋体"/>
          <w:kern w:val="0"/>
          <w:szCs w:val="22"/>
        </w:rPr>
      </w:pPr>
      <w:bookmarkStart w:id="518" w:name="_Hlk154150256"/>
      <w:bookmarkStart w:id="519" w:name="_Hlk153792018"/>
      <w:bookmarkEnd w:id="517"/>
      <w:r>
        <w:rPr>
          <w:rFonts w:asciiTheme="minorHAnsi" w:hAnsiTheme="minorHAnsi" w:cs="宋体" w:hint="eastAsia"/>
          <w:kern w:val="0"/>
          <w:szCs w:val="22"/>
        </w:rPr>
        <w:t>坏账准备的情况</w:t>
      </w:r>
    </w:p>
    <w:sdt>
      <w:sdtPr>
        <w:alias w:val="是否适用：母公司坏账准备情况[双击切换]"/>
        <w:tag w:val="_GBC_821565a30d3745e0bc44de118b7dee6f"/>
        <w:id w:val="733822978"/>
        <w:placeholder>
          <w:docPart w:val="GBC22222222222222222222222222222"/>
        </w:placeholder>
      </w:sdtPr>
      <w:sdtContent>
        <w:p w14:paraId="0EEC8CD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3E2E320" w14:textId="77777777" w:rsidR="00577D08" w:rsidRDefault="00330FC0">
      <w:r>
        <w:rPr>
          <w:rFonts w:hint="eastAsia"/>
        </w:rPr>
        <w:t>其中本期坏账准备收回或转回金额重要的：</w:t>
      </w:r>
    </w:p>
    <w:sdt>
      <w:sdtPr>
        <w:alias w:val="是否适用：母公司本期坏账准备收回或转回金额重要的[双击切换]"/>
        <w:tag w:val="_GBC_0d1ed1559d1344db8b219f59e8d21024"/>
        <w:id w:val="-242023613"/>
        <w:placeholder>
          <w:docPart w:val="GBC22222222222222222222222222222"/>
        </w:placeholder>
      </w:sdtPr>
      <w:sdtContent>
        <w:p w14:paraId="52301B1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8D153C" w14:textId="77777777" w:rsidR="00577D08" w:rsidRDefault="00330FC0">
      <w:r>
        <w:rPr>
          <w:rFonts w:hint="eastAsia"/>
        </w:rPr>
        <w:t>其他说明：</w:t>
      </w:r>
    </w:p>
    <w:sdt>
      <w:sdtPr>
        <w:alias w:val="母公司坏账准备情况的说明"/>
        <w:tag w:val="_GBC_1ed1f4303f9641fba538e08ef13fe5e7"/>
        <w:id w:val="-1531647943"/>
        <w:placeholder>
          <w:docPart w:val="GBC22222222222222222222222222222"/>
        </w:placeholder>
      </w:sdtPr>
      <w:sdtContent>
        <w:p w14:paraId="31744F47" w14:textId="77777777" w:rsidR="00577D08" w:rsidRDefault="00330FC0">
          <w:pPr>
            <w:ind w:rightChars="20" w:right="42"/>
          </w:pPr>
          <w:r>
            <w:rPr>
              <w:rFonts w:hint="eastAsia"/>
            </w:rPr>
            <w:t>无</w:t>
          </w:r>
        </w:p>
      </w:sdtContent>
    </w:sdt>
    <w:p w14:paraId="56121E46" w14:textId="77777777" w:rsidR="00577D08" w:rsidRDefault="00330FC0">
      <w:pPr>
        <w:pStyle w:val="5"/>
        <w:numPr>
          <w:ilvl w:val="0"/>
          <w:numId w:val="128"/>
        </w:numPr>
        <w:ind w:leftChars="0"/>
        <w:rPr>
          <w:rFonts w:asciiTheme="minorHAnsi" w:hAnsiTheme="minorHAnsi" w:cs="宋体"/>
          <w:kern w:val="0"/>
          <w:szCs w:val="22"/>
        </w:rPr>
      </w:pPr>
      <w:bookmarkStart w:id="520" w:name="_Hlk155883151"/>
      <w:r>
        <w:rPr>
          <w:rFonts w:asciiTheme="minorHAnsi" w:hAnsiTheme="minorHAnsi" w:cs="宋体"/>
          <w:kern w:val="0"/>
          <w:szCs w:val="22"/>
        </w:rPr>
        <w:t>本期实际核销的应收</w:t>
      </w:r>
      <w:r>
        <w:rPr>
          <w:rFonts w:asciiTheme="minorHAnsi" w:hAnsiTheme="minorHAnsi" w:cs="宋体" w:hint="eastAsia"/>
          <w:kern w:val="0"/>
          <w:szCs w:val="22"/>
        </w:rPr>
        <w:t>股利</w:t>
      </w:r>
      <w:r>
        <w:rPr>
          <w:rFonts w:asciiTheme="minorHAnsi" w:hAnsiTheme="minorHAnsi" w:cs="宋体"/>
          <w:kern w:val="0"/>
          <w:szCs w:val="22"/>
        </w:rPr>
        <w:t>情况</w:t>
      </w:r>
    </w:p>
    <w:sdt>
      <w:sdtPr>
        <w:alias w:val="是否适用：母公司实际核销的情况[双击切换]"/>
        <w:tag w:val="_GBC_1b5ee2d7fd5a4b549b2a2bd673f1698a"/>
        <w:id w:val="-644659655"/>
        <w:placeholder>
          <w:docPart w:val="GBC22222222222222222222222222222"/>
        </w:placeholder>
      </w:sdtPr>
      <w:sdtContent>
        <w:p w14:paraId="1020483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20"/>
    <w:p w14:paraId="417EFEDB" w14:textId="77777777" w:rsidR="00577D08" w:rsidRDefault="00330FC0">
      <w:r>
        <w:rPr>
          <w:rFonts w:hint="eastAsia"/>
        </w:rPr>
        <w:t>其中重要的应收股利核销情况</w:t>
      </w:r>
    </w:p>
    <w:sdt>
      <w:sdtPr>
        <w:rPr>
          <w:rFonts w:hint="eastAsia"/>
        </w:rPr>
        <w:alias w:val="是否适用：母公司重要的核销情况[双击切换]"/>
        <w:tag w:val="_GBC_2151c3ad65384379897352f370874db1"/>
        <w:id w:val="-244495741"/>
        <w:placeholder>
          <w:docPart w:val="GBC22222222222222222222222222222"/>
        </w:placeholder>
      </w:sdtPr>
      <w:sdtContent>
        <w:p w14:paraId="4003FD16"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411138D" w14:textId="77777777" w:rsidR="00577D08" w:rsidRDefault="00330FC0">
      <w:pPr>
        <w:snapToGrid w:val="0"/>
        <w:spacing w:line="240" w:lineRule="atLeast"/>
      </w:pPr>
      <w:r>
        <w:rPr>
          <w:rFonts w:hint="eastAsia"/>
        </w:rPr>
        <w:t>核销说明：</w:t>
      </w:r>
    </w:p>
    <w:sdt>
      <w:sdtPr>
        <w:alias w:val="是否适用：母公司核销说明[双击切换]"/>
        <w:tag w:val="_GBC_f8d1d851a8a641b3b3733ca0037885d1"/>
        <w:id w:val="-1024243444"/>
        <w:placeholder>
          <w:docPart w:val="GBC22222222222222222222222222222"/>
        </w:placeholder>
      </w:sdtPr>
      <w:sdtContent>
        <w:p w14:paraId="4E27EAE7"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C6B824C" w14:textId="77777777" w:rsidR="00577D08" w:rsidRDefault="00330FC0">
      <w:bookmarkStart w:id="521" w:name="_Hlk533797406"/>
      <w:bookmarkEnd w:id="518"/>
      <w:bookmarkEnd w:id="519"/>
      <w:r>
        <w:rPr>
          <w:rFonts w:hint="eastAsia"/>
        </w:rPr>
        <w:t>其他说明：</w:t>
      </w:r>
    </w:p>
    <w:sdt>
      <w:sdtPr>
        <w:alias w:val="是否适用：母公司应收股利其他说明[双击切换]"/>
        <w:tag w:val="_GBC_75450c3c0332439986937f5dec59f65c"/>
        <w:id w:val="1508702694"/>
        <w:placeholder>
          <w:docPart w:val="GBC22222222222222222222222222222"/>
        </w:placeholder>
      </w:sdtPr>
      <w:sdtContent>
        <w:p w14:paraId="73728A67"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21"/>
    <w:p w14:paraId="0C3487BC" w14:textId="77777777" w:rsidR="00577D08" w:rsidRDefault="00330FC0">
      <w:pPr>
        <w:pStyle w:val="4"/>
        <w:ind w:left="360" w:hanging="360"/>
        <w:rPr>
          <w:rFonts w:hint="eastAsia"/>
        </w:rPr>
      </w:pPr>
      <w:r>
        <w:rPr>
          <w:rFonts w:hint="eastAsia"/>
        </w:rPr>
        <w:t>其他应收款</w:t>
      </w:r>
    </w:p>
    <w:p w14:paraId="5647E394" w14:textId="77777777" w:rsidR="00577D08" w:rsidRDefault="00330FC0">
      <w:pPr>
        <w:pStyle w:val="5"/>
        <w:numPr>
          <w:ilvl w:val="0"/>
          <w:numId w:val="129"/>
        </w:numPr>
        <w:ind w:leftChars="0"/>
        <w:rPr>
          <w:rFonts w:asciiTheme="minorHAnsi" w:hAnsiTheme="minorHAnsi" w:cs="宋体"/>
          <w:kern w:val="0"/>
          <w:szCs w:val="22"/>
        </w:rPr>
      </w:pPr>
      <w:bookmarkStart w:id="522" w:name="_Hlk153797719"/>
      <w:bookmarkStart w:id="523" w:name="_Hlk533797447"/>
      <w:r>
        <w:rPr>
          <w:rFonts w:asciiTheme="minorHAnsi" w:hAnsiTheme="minorHAnsi" w:cs="宋体" w:hint="eastAsia"/>
          <w:kern w:val="0"/>
          <w:szCs w:val="22"/>
        </w:rPr>
        <w:t>按账龄披露</w:t>
      </w:r>
    </w:p>
    <w:sdt>
      <w:sdtPr>
        <w:alias w:val="是否适用：母公司其他应收款按账龄披露[双击切换]"/>
        <w:tag w:val="_GBC_5c11b96990fa439da812b87b47ed4c80"/>
        <w:id w:val="-1593932881"/>
        <w:placeholder>
          <w:docPart w:val="GBC22222222222222222222222222222"/>
        </w:placeholder>
      </w:sdtPr>
      <w:sdtContent>
        <w:p w14:paraId="1EF28C05"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9F25AD4" w14:textId="455D6E3D" w:rsidR="00577D08" w:rsidRDefault="00330FC0">
      <w:pPr>
        <w:jc w:val="right"/>
      </w:pPr>
      <w:r>
        <w:rPr>
          <w:rFonts w:hint="eastAsia"/>
        </w:rPr>
        <w:t>单位：</w:t>
      </w:r>
      <w:sdt>
        <w:sdtPr>
          <w:rPr>
            <w:rFonts w:hint="eastAsia"/>
          </w:rPr>
          <w:alias w:val="单位：母公司其他应收款按账龄披露"/>
          <w:tag w:val="_GBC_41616ef98f834aa2b100f687773d3969"/>
          <w:id w:val="8709611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其他应收款按账龄披露"/>
          <w:tag w:val="_GBC_5e3917487f6647c3bad62a8fb87ea91e"/>
          <w:id w:val="13849111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072"/>
        <w:gridCol w:w="2993"/>
        <w:gridCol w:w="2993"/>
      </w:tblGrid>
      <w:tr w:rsidR="00577D08" w14:paraId="20AFC6C1" w14:textId="77777777">
        <w:trPr>
          <w:cantSplit/>
        </w:trPr>
        <w:sdt>
          <w:sdtPr>
            <w:tag w:val="_PLD_e6b4d3ce2efb49849027845f309f652a"/>
            <w:id w:val="-917630775"/>
          </w:sdtPr>
          <w:sdtContent>
            <w:tc>
              <w:tcPr>
                <w:tcW w:w="3072" w:type="dxa"/>
                <w:tcBorders>
                  <w:top w:val="single" w:sz="4" w:space="0" w:color="auto"/>
                  <w:left w:val="single" w:sz="4" w:space="0" w:color="auto"/>
                  <w:bottom w:val="single" w:sz="4" w:space="0" w:color="auto"/>
                  <w:right w:val="single" w:sz="4" w:space="0" w:color="auto"/>
                </w:tcBorders>
                <w:vAlign w:val="center"/>
              </w:tcPr>
              <w:p w14:paraId="41936E01" w14:textId="77777777" w:rsidR="00577D08" w:rsidRDefault="00330FC0">
                <w:pPr>
                  <w:jc w:val="center"/>
                </w:pPr>
                <w:r>
                  <w:rPr>
                    <w:rFonts w:hint="eastAsia"/>
                  </w:rPr>
                  <w:t>账龄</w:t>
                </w:r>
              </w:p>
            </w:tc>
          </w:sdtContent>
        </w:sdt>
        <w:sdt>
          <w:sdtPr>
            <w:tag w:val="_PLD_2a2524c4aa88497fa0bf73f43366d799"/>
            <w:id w:val="1078941395"/>
          </w:sdtPr>
          <w:sdtContent>
            <w:tc>
              <w:tcPr>
                <w:tcW w:w="2993" w:type="dxa"/>
                <w:tcBorders>
                  <w:top w:val="single" w:sz="4" w:space="0" w:color="auto"/>
                  <w:left w:val="single" w:sz="4" w:space="0" w:color="auto"/>
                  <w:bottom w:val="single" w:sz="4" w:space="0" w:color="auto"/>
                  <w:right w:val="single" w:sz="4" w:space="0" w:color="auto"/>
                </w:tcBorders>
                <w:vAlign w:val="center"/>
              </w:tcPr>
              <w:p w14:paraId="4FEFE0EC" w14:textId="77777777" w:rsidR="00577D08" w:rsidRDefault="00330FC0">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63769de747ae44d5b345aed18107390b"/>
              <w:id w:val="699123296"/>
            </w:sdtPr>
            <w:sdtContent>
              <w:p w14:paraId="40949F4B" w14:textId="77777777" w:rsidR="00577D08" w:rsidRDefault="00330FC0">
                <w:pPr>
                  <w:jc w:val="center"/>
                </w:pPr>
                <w:r>
                  <w:rPr>
                    <w:rFonts w:hint="eastAsia"/>
                  </w:rPr>
                  <w:t>期初账面余额</w:t>
                </w:r>
              </w:p>
            </w:sdtContent>
          </w:sdt>
        </w:tc>
      </w:tr>
      <w:tr w:rsidR="00577D08" w14:paraId="404B2775"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268B109" w14:textId="77777777" w:rsidR="00577D08" w:rsidRDefault="00330FC0">
            <w:r>
              <w:rPr>
                <w:rFonts w:hint="eastAsia"/>
              </w:rPr>
              <w:t>1</w:t>
            </w:r>
            <w:r>
              <w:rPr>
                <w:rFonts w:hint="eastAsia"/>
              </w:rPr>
              <w:t>年以内（含</w:t>
            </w:r>
            <w:r>
              <w:rPr>
                <w:rFonts w:hint="eastAsia"/>
              </w:rPr>
              <w:t>1</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555C4E5B" w14:textId="77777777" w:rsidR="00577D08" w:rsidRDefault="00330FC0">
            <w:pPr>
              <w:jc w:val="right"/>
            </w:pPr>
            <w:r>
              <w:t>378,875,706.64</w:t>
            </w:r>
          </w:p>
        </w:tc>
        <w:tc>
          <w:tcPr>
            <w:tcW w:w="2993" w:type="dxa"/>
            <w:tcBorders>
              <w:top w:val="single" w:sz="4" w:space="0" w:color="auto"/>
              <w:left w:val="single" w:sz="4" w:space="0" w:color="auto"/>
              <w:bottom w:val="single" w:sz="4" w:space="0" w:color="auto"/>
              <w:right w:val="single" w:sz="4" w:space="0" w:color="auto"/>
            </w:tcBorders>
          </w:tcPr>
          <w:p w14:paraId="5136D9B7" w14:textId="77777777" w:rsidR="00577D08" w:rsidRDefault="00330FC0">
            <w:pPr>
              <w:jc w:val="right"/>
            </w:pPr>
            <w:r>
              <w:t>322,878,334.11</w:t>
            </w:r>
          </w:p>
        </w:tc>
      </w:tr>
      <w:tr w:rsidR="00577D08" w14:paraId="4AABE46C"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E359583" w14:textId="77777777" w:rsidR="00577D08" w:rsidRDefault="00330FC0">
            <w:r>
              <w:rPr>
                <w:rFonts w:hint="eastAsia"/>
              </w:rPr>
              <w:t>1</w:t>
            </w:r>
            <w:r>
              <w:rPr>
                <w:rFonts w:hint="eastAsia"/>
              </w:rPr>
              <w:t>至</w:t>
            </w:r>
            <w:r>
              <w:rPr>
                <w:rFonts w:hint="eastAsia"/>
              </w:rPr>
              <w:t>2</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08B58C8C" w14:textId="77777777" w:rsidR="00577D08" w:rsidRDefault="00330FC0">
            <w:pPr>
              <w:jc w:val="right"/>
            </w:pPr>
            <w:r>
              <w:t>1,738,334.74</w:t>
            </w:r>
          </w:p>
        </w:tc>
        <w:tc>
          <w:tcPr>
            <w:tcW w:w="2993" w:type="dxa"/>
            <w:tcBorders>
              <w:top w:val="single" w:sz="4" w:space="0" w:color="auto"/>
              <w:left w:val="single" w:sz="4" w:space="0" w:color="auto"/>
              <w:bottom w:val="single" w:sz="4" w:space="0" w:color="auto"/>
              <w:right w:val="single" w:sz="4" w:space="0" w:color="auto"/>
            </w:tcBorders>
          </w:tcPr>
          <w:p w14:paraId="37DD950D" w14:textId="77777777" w:rsidR="00577D08" w:rsidRDefault="00330FC0">
            <w:pPr>
              <w:jc w:val="right"/>
            </w:pPr>
            <w:r>
              <w:t>2,159,061.46</w:t>
            </w:r>
          </w:p>
        </w:tc>
      </w:tr>
      <w:tr w:rsidR="00577D08" w14:paraId="149F8E3F"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3F66CEC3" w14:textId="77777777" w:rsidR="00577D08" w:rsidRDefault="00330FC0">
            <w:r>
              <w:rPr>
                <w:rFonts w:hint="eastAsia"/>
              </w:rPr>
              <w:t>2</w:t>
            </w:r>
            <w:r>
              <w:rPr>
                <w:rFonts w:hint="eastAsia"/>
              </w:rPr>
              <w:t>至</w:t>
            </w:r>
            <w:r>
              <w:rPr>
                <w:rFonts w:hint="eastAsia"/>
              </w:rPr>
              <w:t>3</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6616EC46" w14:textId="77777777" w:rsidR="00577D08" w:rsidRDefault="00330FC0">
            <w:pPr>
              <w:jc w:val="right"/>
            </w:pPr>
            <w:r>
              <w:t>1,634,243.77</w:t>
            </w:r>
          </w:p>
        </w:tc>
        <w:tc>
          <w:tcPr>
            <w:tcW w:w="2993" w:type="dxa"/>
            <w:tcBorders>
              <w:top w:val="single" w:sz="4" w:space="0" w:color="auto"/>
              <w:left w:val="single" w:sz="4" w:space="0" w:color="auto"/>
              <w:bottom w:val="single" w:sz="4" w:space="0" w:color="auto"/>
              <w:right w:val="single" w:sz="4" w:space="0" w:color="auto"/>
            </w:tcBorders>
          </w:tcPr>
          <w:p w14:paraId="187326AE" w14:textId="77777777" w:rsidR="00577D08" w:rsidRDefault="00330FC0">
            <w:pPr>
              <w:jc w:val="right"/>
            </w:pPr>
            <w:r>
              <w:t>1,057,051.33</w:t>
            </w:r>
          </w:p>
        </w:tc>
      </w:tr>
      <w:tr w:rsidR="00577D08" w14:paraId="5F6728A6"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820C0BB" w14:textId="77777777" w:rsidR="00577D08" w:rsidRDefault="00330FC0">
            <w:r>
              <w:rPr>
                <w:rFonts w:hint="eastAsia"/>
              </w:rPr>
              <w:t>3</w:t>
            </w:r>
            <w:r>
              <w:rPr>
                <w:rFonts w:hint="eastAsia"/>
              </w:rPr>
              <w:t>至</w:t>
            </w:r>
            <w:r>
              <w:rPr>
                <w:rFonts w:hint="eastAsia"/>
              </w:rPr>
              <w:t>4</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2B8EA877" w14:textId="77777777" w:rsidR="00577D08" w:rsidRDefault="00330FC0">
            <w:pPr>
              <w:jc w:val="right"/>
            </w:pPr>
            <w:r>
              <w:t>879,119.80</w:t>
            </w:r>
          </w:p>
        </w:tc>
        <w:tc>
          <w:tcPr>
            <w:tcW w:w="2993" w:type="dxa"/>
            <w:tcBorders>
              <w:top w:val="single" w:sz="4" w:space="0" w:color="auto"/>
              <w:left w:val="single" w:sz="4" w:space="0" w:color="auto"/>
              <w:bottom w:val="single" w:sz="4" w:space="0" w:color="auto"/>
              <w:right w:val="single" w:sz="4" w:space="0" w:color="auto"/>
            </w:tcBorders>
          </w:tcPr>
          <w:p w14:paraId="1AE1B19A" w14:textId="77777777" w:rsidR="00577D08" w:rsidRDefault="00330FC0">
            <w:pPr>
              <w:jc w:val="right"/>
            </w:pPr>
            <w:r>
              <w:t>426,721.70</w:t>
            </w:r>
          </w:p>
        </w:tc>
      </w:tr>
      <w:tr w:rsidR="00577D08" w14:paraId="5DD694A6"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38F61FE" w14:textId="77777777" w:rsidR="00577D08" w:rsidRDefault="00330FC0">
            <w:r>
              <w:rPr>
                <w:rFonts w:hint="eastAsia"/>
              </w:rPr>
              <w:t>4</w:t>
            </w:r>
            <w:r>
              <w:rPr>
                <w:rFonts w:hint="eastAsia"/>
              </w:rPr>
              <w:t>至</w:t>
            </w:r>
            <w:r>
              <w:rPr>
                <w:rFonts w:hint="eastAsia"/>
              </w:rPr>
              <w:t>5</w:t>
            </w:r>
            <w:r>
              <w:rPr>
                <w:rFonts w:hint="eastAsia"/>
              </w:rPr>
              <w:t>年</w:t>
            </w:r>
          </w:p>
        </w:tc>
        <w:tc>
          <w:tcPr>
            <w:tcW w:w="2993" w:type="dxa"/>
            <w:tcBorders>
              <w:top w:val="single" w:sz="4" w:space="0" w:color="auto"/>
              <w:left w:val="single" w:sz="4" w:space="0" w:color="auto"/>
              <w:bottom w:val="single" w:sz="4" w:space="0" w:color="auto"/>
              <w:right w:val="single" w:sz="4" w:space="0" w:color="auto"/>
            </w:tcBorders>
          </w:tcPr>
          <w:p w14:paraId="7EAF0025" w14:textId="77777777" w:rsidR="00577D08" w:rsidRDefault="00330FC0">
            <w:pPr>
              <w:jc w:val="right"/>
            </w:pPr>
            <w:r>
              <w:t>349,854.62</w:t>
            </w:r>
          </w:p>
        </w:tc>
        <w:tc>
          <w:tcPr>
            <w:tcW w:w="2993" w:type="dxa"/>
            <w:tcBorders>
              <w:top w:val="single" w:sz="4" w:space="0" w:color="auto"/>
              <w:left w:val="single" w:sz="4" w:space="0" w:color="auto"/>
              <w:bottom w:val="single" w:sz="4" w:space="0" w:color="auto"/>
              <w:right w:val="single" w:sz="4" w:space="0" w:color="auto"/>
            </w:tcBorders>
          </w:tcPr>
          <w:p w14:paraId="1AA59876" w14:textId="77777777" w:rsidR="00577D08" w:rsidRDefault="00330FC0">
            <w:pPr>
              <w:jc w:val="right"/>
            </w:pPr>
            <w:r>
              <w:t>587,430.92</w:t>
            </w:r>
          </w:p>
        </w:tc>
      </w:tr>
      <w:tr w:rsidR="00577D08" w14:paraId="53E1C87F"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C117D79" w14:textId="77777777" w:rsidR="00577D08" w:rsidRDefault="00330FC0">
            <w:r>
              <w:rPr>
                <w:rFonts w:hint="eastAsia"/>
              </w:rPr>
              <w:t>5</w:t>
            </w:r>
            <w:r>
              <w:rPr>
                <w:rFonts w:hint="eastAsia"/>
              </w:rPr>
              <w:t>年以上</w:t>
            </w:r>
          </w:p>
        </w:tc>
        <w:tc>
          <w:tcPr>
            <w:tcW w:w="2993" w:type="dxa"/>
            <w:tcBorders>
              <w:top w:val="single" w:sz="4" w:space="0" w:color="auto"/>
              <w:left w:val="single" w:sz="4" w:space="0" w:color="auto"/>
              <w:bottom w:val="single" w:sz="4" w:space="0" w:color="auto"/>
              <w:right w:val="single" w:sz="4" w:space="0" w:color="auto"/>
            </w:tcBorders>
          </w:tcPr>
          <w:p w14:paraId="16074448" w14:textId="77777777" w:rsidR="00577D08" w:rsidRDefault="00330FC0">
            <w:pPr>
              <w:jc w:val="right"/>
            </w:pPr>
            <w:r>
              <w:t>962,353.00</w:t>
            </w:r>
          </w:p>
        </w:tc>
        <w:tc>
          <w:tcPr>
            <w:tcW w:w="2993" w:type="dxa"/>
            <w:tcBorders>
              <w:top w:val="single" w:sz="4" w:space="0" w:color="auto"/>
              <w:left w:val="single" w:sz="4" w:space="0" w:color="auto"/>
              <w:bottom w:val="single" w:sz="4" w:space="0" w:color="auto"/>
              <w:right w:val="single" w:sz="4" w:space="0" w:color="auto"/>
            </w:tcBorders>
          </w:tcPr>
          <w:p w14:paraId="2FD32FE9" w14:textId="77777777" w:rsidR="00577D08" w:rsidRDefault="00330FC0">
            <w:pPr>
              <w:jc w:val="right"/>
            </w:pPr>
            <w:r>
              <w:t>747,353.00</w:t>
            </w:r>
          </w:p>
        </w:tc>
      </w:tr>
      <w:tr w:rsidR="00577D08" w14:paraId="193FDD23"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7D59B96" w14:textId="77777777" w:rsidR="00577D08" w:rsidRDefault="00330FC0">
            <w:pPr>
              <w:jc w:val="center"/>
            </w:pPr>
            <w:r>
              <w:rPr>
                <w:rFonts w:hint="eastAsia"/>
              </w:rPr>
              <w:lastRenderedPageBreak/>
              <w:t>合计</w:t>
            </w:r>
          </w:p>
        </w:tc>
        <w:tc>
          <w:tcPr>
            <w:tcW w:w="2993" w:type="dxa"/>
            <w:tcBorders>
              <w:top w:val="single" w:sz="4" w:space="0" w:color="auto"/>
              <w:left w:val="single" w:sz="4" w:space="0" w:color="auto"/>
              <w:bottom w:val="single" w:sz="4" w:space="0" w:color="auto"/>
              <w:right w:val="single" w:sz="4" w:space="0" w:color="auto"/>
            </w:tcBorders>
          </w:tcPr>
          <w:p w14:paraId="78BE8F19" w14:textId="77777777" w:rsidR="00577D08" w:rsidRDefault="00330FC0">
            <w:pPr>
              <w:jc w:val="right"/>
            </w:pPr>
            <w:r>
              <w:t>384,439,612.57</w:t>
            </w:r>
          </w:p>
        </w:tc>
        <w:tc>
          <w:tcPr>
            <w:tcW w:w="2993" w:type="dxa"/>
            <w:tcBorders>
              <w:top w:val="single" w:sz="4" w:space="0" w:color="auto"/>
              <w:left w:val="single" w:sz="4" w:space="0" w:color="auto"/>
              <w:bottom w:val="single" w:sz="4" w:space="0" w:color="auto"/>
              <w:right w:val="single" w:sz="4" w:space="0" w:color="auto"/>
            </w:tcBorders>
          </w:tcPr>
          <w:p w14:paraId="4184A878" w14:textId="77777777" w:rsidR="00577D08" w:rsidRDefault="00330FC0">
            <w:pPr>
              <w:jc w:val="right"/>
            </w:pPr>
            <w:r>
              <w:t>327,855,952.52</w:t>
            </w:r>
          </w:p>
        </w:tc>
      </w:tr>
    </w:tbl>
    <w:bookmarkEnd w:id="522"/>
    <w:p w14:paraId="42133D83" w14:textId="77777777" w:rsidR="00577D08" w:rsidRDefault="00330FC0">
      <w:pPr>
        <w:pStyle w:val="5"/>
        <w:numPr>
          <w:ilvl w:val="0"/>
          <w:numId w:val="129"/>
        </w:numPr>
        <w:ind w:leftChars="0"/>
        <w:rPr>
          <w:rFonts w:asciiTheme="minorHAnsi" w:hAnsiTheme="minorHAnsi" w:cs="宋体"/>
          <w:kern w:val="0"/>
          <w:szCs w:val="22"/>
        </w:rPr>
      </w:pPr>
      <w:r>
        <w:rPr>
          <w:rFonts w:asciiTheme="minorHAnsi" w:hAnsiTheme="minorHAnsi" w:cs="宋体" w:hint="eastAsia"/>
          <w:kern w:val="0"/>
          <w:szCs w:val="22"/>
        </w:rPr>
        <w:t>按款项性质分类情况</w:t>
      </w:r>
    </w:p>
    <w:p w14:paraId="772BB476" w14:textId="77777777" w:rsidR="00577D08" w:rsidRDefault="00000000">
      <w:sdt>
        <w:sdtPr>
          <w:alias w:val="是否适用：母公司其他应收款按款项性质分类情况[双击切换]"/>
          <w:tag w:val="_GBC_a5e5418d19394a1c8f8093184d9b360a"/>
          <w:id w:val="-1203177833"/>
          <w:placeholder>
            <w:docPart w:val="GBC22222222222222222222222222222"/>
          </w:placeholder>
        </w:sdtPr>
        <w:sdtContent>
          <w:r w:rsidR="00330FC0">
            <w:rPr>
              <w:rFonts w:ascii="宋体" w:hAnsi="宋体"/>
            </w:rPr>
            <w:fldChar w:fldCharType="begin"/>
          </w:r>
          <w:r w:rsidR="00330FC0">
            <w:rPr>
              <w:rFonts w:ascii="宋体" w:hAnsi="宋体" w:hint="eastAsia"/>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p>
    <w:p w14:paraId="62B705F5" w14:textId="66D9EA15" w:rsidR="00577D08" w:rsidRDefault="00330FC0">
      <w:pPr>
        <w:jc w:val="right"/>
      </w:pPr>
      <w:r>
        <w:rPr>
          <w:rFonts w:hint="eastAsia"/>
        </w:rPr>
        <w:t>单位：</w:t>
      </w:r>
      <w:sdt>
        <w:sdtPr>
          <w:rPr>
            <w:rFonts w:hint="eastAsia"/>
          </w:rPr>
          <w:alias w:val="单位：财务附注：母公司其他应收款按款项性质分类情况"/>
          <w:tag w:val="_GBC_451485fc33dc4b2c9be5a44730242ca7"/>
          <w:id w:val="15952030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财务附注：母公司其他应收款按款项性质分类情况"/>
          <w:tag w:val="_GBC_f3e8ad411fc545a19718a43203281efd"/>
          <w:id w:val="-3309901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3076"/>
        <w:gridCol w:w="2980"/>
        <w:gridCol w:w="2991"/>
      </w:tblGrid>
      <w:tr w:rsidR="00577D08" w14:paraId="73C3E4D1" w14:textId="77777777">
        <w:sdt>
          <w:sdtPr>
            <w:tag w:val="_PLD_fa2a2127303b4deebb2bcaea193eb6d9"/>
            <w:id w:val="1424687916"/>
          </w:sdtPr>
          <w:sdtContent>
            <w:tc>
              <w:tcPr>
                <w:tcW w:w="3076" w:type="dxa"/>
                <w:vAlign w:val="center"/>
              </w:tcPr>
              <w:p w14:paraId="226C61D8" w14:textId="77777777" w:rsidR="00577D08" w:rsidRDefault="00330FC0">
                <w:pPr>
                  <w:jc w:val="center"/>
                </w:pPr>
                <w:r>
                  <w:rPr>
                    <w:rFonts w:hint="eastAsia"/>
                  </w:rPr>
                  <w:t>款项性质</w:t>
                </w:r>
              </w:p>
            </w:tc>
          </w:sdtContent>
        </w:sdt>
        <w:sdt>
          <w:sdtPr>
            <w:tag w:val="_PLD_aa55d719329144e5a0eafd36222d0851"/>
            <w:id w:val="-196317228"/>
          </w:sdtPr>
          <w:sdtContent>
            <w:tc>
              <w:tcPr>
                <w:tcW w:w="2980" w:type="dxa"/>
                <w:vAlign w:val="center"/>
              </w:tcPr>
              <w:p w14:paraId="32F26D24" w14:textId="77777777" w:rsidR="00577D08" w:rsidRDefault="00330FC0">
                <w:pPr>
                  <w:jc w:val="center"/>
                </w:pPr>
                <w:r>
                  <w:rPr>
                    <w:rFonts w:hint="eastAsia"/>
                  </w:rPr>
                  <w:t>期末账面余额</w:t>
                </w:r>
              </w:p>
            </w:tc>
          </w:sdtContent>
        </w:sdt>
        <w:sdt>
          <w:sdtPr>
            <w:tag w:val="_PLD_146282129b6a4b52a6963dad9647679a"/>
            <w:id w:val="1597058748"/>
          </w:sdtPr>
          <w:sdtContent>
            <w:tc>
              <w:tcPr>
                <w:tcW w:w="2991" w:type="dxa"/>
                <w:vAlign w:val="center"/>
              </w:tcPr>
              <w:p w14:paraId="1951D778" w14:textId="77777777" w:rsidR="00577D08" w:rsidRDefault="00330FC0">
                <w:pPr>
                  <w:jc w:val="center"/>
                </w:pPr>
                <w:r>
                  <w:rPr>
                    <w:rFonts w:hint="eastAsia"/>
                  </w:rPr>
                  <w:t>期初账面余额</w:t>
                </w:r>
              </w:p>
            </w:tc>
          </w:sdtContent>
        </w:sdt>
      </w:tr>
      <w:tr w:rsidR="00577D08" w14:paraId="114C4605" w14:textId="77777777">
        <w:tc>
          <w:tcPr>
            <w:tcW w:w="3076" w:type="dxa"/>
          </w:tcPr>
          <w:p w14:paraId="3D2E180B" w14:textId="77777777" w:rsidR="00577D08" w:rsidRDefault="00330FC0">
            <w:pPr>
              <w:rPr>
                <w:highlight w:val="yellow"/>
              </w:rPr>
            </w:pPr>
            <w:r>
              <w:rPr>
                <w:rFonts w:hint="eastAsia"/>
              </w:rPr>
              <w:t>合并范围内关联方往来</w:t>
            </w:r>
          </w:p>
        </w:tc>
        <w:tc>
          <w:tcPr>
            <w:tcW w:w="2980" w:type="dxa"/>
          </w:tcPr>
          <w:p w14:paraId="2C5D2A0D" w14:textId="77777777" w:rsidR="00577D08" w:rsidRDefault="00330FC0">
            <w:pPr>
              <w:jc w:val="right"/>
            </w:pPr>
            <w:r>
              <w:rPr>
                <w:rFonts w:hint="eastAsia"/>
              </w:rPr>
              <w:t>369,587,223.55</w:t>
            </w:r>
          </w:p>
        </w:tc>
        <w:tc>
          <w:tcPr>
            <w:tcW w:w="2991" w:type="dxa"/>
          </w:tcPr>
          <w:p w14:paraId="0D22F637" w14:textId="77777777" w:rsidR="00577D08" w:rsidRDefault="00330FC0">
            <w:pPr>
              <w:jc w:val="right"/>
            </w:pPr>
            <w:r>
              <w:rPr>
                <w:rFonts w:hint="eastAsia"/>
              </w:rPr>
              <w:t>310,861,709.62</w:t>
            </w:r>
          </w:p>
        </w:tc>
      </w:tr>
      <w:tr w:rsidR="00577D08" w14:paraId="518F3FB9" w14:textId="77777777">
        <w:tc>
          <w:tcPr>
            <w:tcW w:w="3076" w:type="dxa"/>
          </w:tcPr>
          <w:p w14:paraId="3626DD79" w14:textId="77777777" w:rsidR="00577D08" w:rsidRDefault="00330FC0">
            <w:pPr>
              <w:rPr>
                <w:highlight w:val="yellow"/>
              </w:rPr>
            </w:pPr>
            <w:r>
              <w:rPr>
                <w:rFonts w:hint="eastAsia"/>
              </w:rPr>
              <w:t>押金及保证金</w:t>
            </w:r>
          </w:p>
        </w:tc>
        <w:tc>
          <w:tcPr>
            <w:tcW w:w="2980" w:type="dxa"/>
          </w:tcPr>
          <w:p w14:paraId="0C0B3284" w14:textId="77777777" w:rsidR="00577D08" w:rsidRDefault="00330FC0">
            <w:pPr>
              <w:jc w:val="right"/>
            </w:pPr>
            <w:r>
              <w:rPr>
                <w:rFonts w:hint="eastAsia"/>
              </w:rPr>
              <w:t>12,865,518.42</w:t>
            </w:r>
          </w:p>
        </w:tc>
        <w:tc>
          <w:tcPr>
            <w:tcW w:w="2991" w:type="dxa"/>
          </w:tcPr>
          <w:p w14:paraId="249DB757" w14:textId="77777777" w:rsidR="00577D08" w:rsidRDefault="00330FC0">
            <w:pPr>
              <w:jc w:val="right"/>
            </w:pPr>
            <w:r>
              <w:rPr>
                <w:rFonts w:hint="eastAsia"/>
              </w:rPr>
              <w:t>14,577,178.79</w:t>
            </w:r>
          </w:p>
        </w:tc>
      </w:tr>
      <w:tr w:rsidR="00577D08" w14:paraId="7F0A3A59" w14:textId="77777777">
        <w:tc>
          <w:tcPr>
            <w:tcW w:w="3076" w:type="dxa"/>
          </w:tcPr>
          <w:p w14:paraId="7F8C821B" w14:textId="77777777" w:rsidR="00577D08" w:rsidRDefault="00330FC0">
            <w:pPr>
              <w:rPr>
                <w:highlight w:val="yellow"/>
              </w:rPr>
            </w:pPr>
            <w:r>
              <w:rPr>
                <w:rFonts w:hint="eastAsia"/>
              </w:rPr>
              <w:t>往来及其他</w:t>
            </w:r>
          </w:p>
        </w:tc>
        <w:tc>
          <w:tcPr>
            <w:tcW w:w="2980" w:type="dxa"/>
          </w:tcPr>
          <w:p w14:paraId="4C684736" w14:textId="77777777" w:rsidR="00577D08" w:rsidRDefault="00330FC0">
            <w:pPr>
              <w:jc w:val="right"/>
            </w:pPr>
            <w:r>
              <w:rPr>
                <w:rFonts w:hint="eastAsia"/>
              </w:rPr>
              <w:t>1,986,870.60</w:t>
            </w:r>
          </w:p>
        </w:tc>
        <w:tc>
          <w:tcPr>
            <w:tcW w:w="2991" w:type="dxa"/>
          </w:tcPr>
          <w:p w14:paraId="5780B0C4" w14:textId="77777777" w:rsidR="00577D08" w:rsidRDefault="00330FC0">
            <w:pPr>
              <w:jc w:val="right"/>
            </w:pPr>
            <w:r>
              <w:rPr>
                <w:rFonts w:hint="eastAsia"/>
              </w:rPr>
              <w:t>2,417,064.11</w:t>
            </w:r>
          </w:p>
        </w:tc>
      </w:tr>
      <w:tr w:rsidR="00577D08" w14:paraId="066BFDD0" w14:textId="77777777">
        <w:tc>
          <w:tcPr>
            <w:tcW w:w="3076" w:type="dxa"/>
            <w:vAlign w:val="center"/>
          </w:tcPr>
          <w:p w14:paraId="466D5ECB" w14:textId="77777777" w:rsidR="00577D08" w:rsidRDefault="00330FC0">
            <w:pPr>
              <w:jc w:val="center"/>
            </w:pPr>
            <w:r>
              <w:t>合计</w:t>
            </w:r>
          </w:p>
        </w:tc>
        <w:tc>
          <w:tcPr>
            <w:tcW w:w="2980" w:type="dxa"/>
          </w:tcPr>
          <w:p w14:paraId="6CDA7254" w14:textId="77777777" w:rsidR="00577D08" w:rsidRDefault="00330FC0">
            <w:pPr>
              <w:jc w:val="right"/>
            </w:pPr>
            <w:r>
              <w:t>384,439,612.57</w:t>
            </w:r>
          </w:p>
        </w:tc>
        <w:tc>
          <w:tcPr>
            <w:tcW w:w="2991" w:type="dxa"/>
          </w:tcPr>
          <w:p w14:paraId="1360DF87" w14:textId="77777777" w:rsidR="00577D08" w:rsidRDefault="00330FC0">
            <w:pPr>
              <w:jc w:val="right"/>
            </w:pPr>
            <w:r>
              <w:t>327,855,952.52</w:t>
            </w:r>
          </w:p>
        </w:tc>
      </w:tr>
    </w:tbl>
    <w:p w14:paraId="77F4B7C7" w14:textId="77777777" w:rsidR="00577D08" w:rsidRDefault="00330FC0">
      <w:pPr>
        <w:pStyle w:val="5"/>
        <w:numPr>
          <w:ilvl w:val="0"/>
          <w:numId w:val="129"/>
        </w:numPr>
        <w:ind w:leftChars="0"/>
        <w:rPr>
          <w:rFonts w:asciiTheme="minorHAnsi" w:hAnsiTheme="minorHAnsi" w:cs="宋体"/>
          <w:kern w:val="0"/>
          <w:szCs w:val="22"/>
        </w:rPr>
      </w:pPr>
      <w:bookmarkStart w:id="524" w:name="_Hlk533870927"/>
      <w:bookmarkEnd w:id="523"/>
      <w:r>
        <w:rPr>
          <w:rFonts w:asciiTheme="minorHAnsi" w:hAnsiTheme="minorHAnsi" w:cs="宋体" w:hint="eastAsia"/>
          <w:kern w:val="0"/>
          <w:szCs w:val="22"/>
        </w:rPr>
        <w:t>坏账准备计提情况</w:t>
      </w:r>
    </w:p>
    <w:sdt>
      <w:sdtPr>
        <w:alias w:val="是否适用：母公司其他应收款坏账准备调节表[双击切换]"/>
        <w:tag w:val="_GBC_34d55fda2adc4508bb77a03583cd3d2d"/>
        <w:id w:val="1090203403"/>
        <w:placeholder>
          <w:docPart w:val="GBC22222222222222222222222222222"/>
        </w:placeholder>
      </w:sdtPr>
      <w:sdtContent>
        <w:p w14:paraId="023B355F"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47B3C87" w14:textId="5A83D988" w:rsidR="00577D08" w:rsidRDefault="00330FC0">
      <w:pPr>
        <w:autoSpaceDE w:val="0"/>
        <w:autoSpaceDN w:val="0"/>
        <w:adjustRightInd w:val="0"/>
        <w:ind w:rightChars="50" w:right="105"/>
        <w:jc w:val="right"/>
      </w:pPr>
      <w:r>
        <w:rPr>
          <w:rFonts w:hint="eastAsia"/>
        </w:rPr>
        <w:t>单位：</w:t>
      </w:r>
      <w:sdt>
        <w:sdtPr>
          <w:rPr>
            <w:rFonts w:hint="eastAsia"/>
          </w:rPr>
          <w:alias w:val="单位：母公司其他应收款坏账准备调节表"/>
          <w:tag w:val="_GBC_b494dbb0c2794f39b9fb29a12fc478f8"/>
          <w:id w:val="1100182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其他应收款坏账准备调节表"/>
          <w:tag w:val="_GBC_a5fe64b13e1448e3b1446e3cf0428cfc"/>
          <w:id w:val="4120540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560"/>
        <w:gridCol w:w="1985"/>
        <w:gridCol w:w="1985"/>
        <w:gridCol w:w="1706"/>
      </w:tblGrid>
      <w:tr w:rsidR="00577D08" w14:paraId="770FDF6C" w14:textId="77777777">
        <w:sdt>
          <w:sdtPr>
            <w:tag w:val="_PLD_21b2d66f9e3e44f9a3867e2f9fa483ea"/>
            <w:id w:val="730893365"/>
          </w:sdtPr>
          <w:sdtContent>
            <w:tc>
              <w:tcPr>
                <w:tcW w:w="1811" w:type="dxa"/>
                <w:vMerge w:val="restart"/>
                <w:vAlign w:val="center"/>
              </w:tcPr>
              <w:p w14:paraId="76CDD7AA"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坏账准备</w:t>
                </w:r>
              </w:p>
            </w:tc>
          </w:sdtContent>
        </w:sdt>
        <w:sdt>
          <w:sdtPr>
            <w:tag w:val="_PLD_34b0b4bcbee6472f945ee1ca26e45970"/>
            <w:id w:val="465089122"/>
          </w:sdtPr>
          <w:sdtContent>
            <w:tc>
              <w:tcPr>
                <w:tcW w:w="1560" w:type="dxa"/>
                <w:vAlign w:val="center"/>
              </w:tcPr>
              <w:p w14:paraId="51D796AF"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第一阶段</w:t>
                </w:r>
              </w:p>
            </w:tc>
          </w:sdtContent>
        </w:sdt>
        <w:sdt>
          <w:sdtPr>
            <w:tag w:val="_PLD_aa89fd65169d424f824fd7e383c25916"/>
            <w:id w:val="-1077364449"/>
          </w:sdtPr>
          <w:sdtContent>
            <w:tc>
              <w:tcPr>
                <w:tcW w:w="1985" w:type="dxa"/>
                <w:vAlign w:val="center"/>
              </w:tcPr>
              <w:p w14:paraId="56BC9037"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第二阶段</w:t>
                </w:r>
              </w:p>
            </w:tc>
          </w:sdtContent>
        </w:sdt>
        <w:sdt>
          <w:sdtPr>
            <w:tag w:val="_PLD_12639a93161546c79f54a930c0ece668"/>
            <w:id w:val="1339192622"/>
          </w:sdtPr>
          <w:sdtContent>
            <w:tc>
              <w:tcPr>
                <w:tcW w:w="1985" w:type="dxa"/>
                <w:vAlign w:val="center"/>
              </w:tcPr>
              <w:p w14:paraId="1AF56340"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第三阶段</w:t>
                </w:r>
              </w:p>
            </w:tc>
          </w:sdtContent>
        </w:sdt>
        <w:sdt>
          <w:sdtPr>
            <w:tag w:val="_PLD_5a93d463a9c749a7a3988972a030308e"/>
            <w:id w:val="-1171557883"/>
          </w:sdtPr>
          <w:sdtContent>
            <w:tc>
              <w:tcPr>
                <w:tcW w:w="1706" w:type="dxa"/>
                <w:vMerge w:val="restart"/>
                <w:vAlign w:val="center"/>
              </w:tcPr>
              <w:p w14:paraId="52ED5CD9"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合计</w:t>
                </w:r>
              </w:p>
            </w:tc>
          </w:sdtContent>
        </w:sdt>
      </w:tr>
      <w:tr w:rsidR="00577D08" w14:paraId="307A5533" w14:textId="77777777">
        <w:tc>
          <w:tcPr>
            <w:tcW w:w="1811" w:type="dxa"/>
            <w:vMerge/>
            <w:vAlign w:val="center"/>
          </w:tcPr>
          <w:p w14:paraId="36FB3655" w14:textId="77777777" w:rsidR="00577D08" w:rsidRDefault="00577D08">
            <w:pPr>
              <w:jc w:val="center"/>
              <w:rPr>
                <w:color w:val="008000"/>
              </w:rPr>
            </w:pPr>
          </w:p>
        </w:tc>
        <w:sdt>
          <w:sdtPr>
            <w:tag w:val="_PLD_6c31319b241149a587899b0690e3641d"/>
            <w:id w:val="2081098554"/>
          </w:sdtPr>
          <w:sdtContent>
            <w:tc>
              <w:tcPr>
                <w:tcW w:w="1560" w:type="dxa"/>
                <w:vAlign w:val="center"/>
              </w:tcPr>
              <w:p w14:paraId="5E603DB5"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未来12个月预期信用损失</w:t>
                </w:r>
              </w:p>
            </w:tc>
          </w:sdtContent>
        </w:sdt>
        <w:sdt>
          <w:sdtPr>
            <w:tag w:val="_PLD_4c23d250a4214769af939ed6c6506e15"/>
            <w:id w:val="35790632"/>
          </w:sdtPr>
          <w:sdtContent>
            <w:tc>
              <w:tcPr>
                <w:tcW w:w="1985" w:type="dxa"/>
                <w:vAlign w:val="center"/>
              </w:tcPr>
              <w:p w14:paraId="2D2C38FF"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96f4d1ff5d1541a5bcedcc9d7d297735"/>
            <w:id w:val="-2107797467"/>
          </w:sdtPr>
          <w:sdtContent>
            <w:tc>
              <w:tcPr>
                <w:tcW w:w="1985" w:type="dxa"/>
                <w:vAlign w:val="center"/>
              </w:tcPr>
              <w:p w14:paraId="14936C3A" w14:textId="77777777" w:rsidR="00577D08" w:rsidRDefault="00330FC0">
                <w:pPr>
                  <w:pStyle w:val="TableParagraph"/>
                  <w:spacing w:after="0" w:line="24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1706" w:type="dxa"/>
            <w:vMerge/>
            <w:vAlign w:val="center"/>
          </w:tcPr>
          <w:p w14:paraId="76AB9B86" w14:textId="77777777" w:rsidR="00577D08" w:rsidRDefault="00577D08">
            <w:pPr>
              <w:jc w:val="center"/>
              <w:rPr>
                <w:color w:val="008000"/>
              </w:rPr>
            </w:pPr>
          </w:p>
        </w:tc>
      </w:tr>
      <w:tr w:rsidR="00577D08" w14:paraId="61DB8E06" w14:textId="77777777">
        <w:tc>
          <w:tcPr>
            <w:tcW w:w="1811" w:type="dxa"/>
            <w:vAlign w:val="center"/>
          </w:tcPr>
          <w:p w14:paraId="60234032"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tc>
          <w:tcPr>
            <w:tcW w:w="1560" w:type="dxa"/>
            <w:vAlign w:val="center"/>
          </w:tcPr>
          <w:p w14:paraId="4362A09F" w14:textId="77777777" w:rsidR="00577D08" w:rsidRDefault="00330FC0">
            <w:pPr>
              <w:jc w:val="right"/>
            </w:pPr>
            <w:r>
              <w:t>600,831.22</w:t>
            </w:r>
          </w:p>
        </w:tc>
        <w:tc>
          <w:tcPr>
            <w:tcW w:w="1985" w:type="dxa"/>
            <w:vAlign w:val="center"/>
          </w:tcPr>
          <w:p w14:paraId="39B8C12A" w14:textId="77777777" w:rsidR="00577D08" w:rsidRDefault="00330FC0">
            <w:pPr>
              <w:jc w:val="right"/>
            </w:pPr>
            <w:r>
              <w:t>214,906.15</w:t>
            </w:r>
          </w:p>
        </w:tc>
        <w:tc>
          <w:tcPr>
            <w:tcW w:w="1985" w:type="dxa"/>
            <w:vAlign w:val="center"/>
          </w:tcPr>
          <w:p w14:paraId="7FD73415" w14:textId="77777777" w:rsidR="00577D08" w:rsidRDefault="00330FC0">
            <w:pPr>
              <w:jc w:val="right"/>
            </w:pPr>
            <w:r>
              <w:t>1,486,495.24</w:t>
            </w:r>
          </w:p>
        </w:tc>
        <w:tc>
          <w:tcPr>
            <w:tcW w:w="1706" w:type="dxa"/>
            <w:vAlign w:val="center"/>
          </w:tcPr>
          <w:p w14:paraId="7DF602EF" w14:textId="77777777" w:rsidR="00577D08" w:rsidRDefault="00330FC0">
            <w:pPr>
              <w:jc w:val="right"/>
            </w:pPr>
            <w:r>
              <w:t>2,302,232.61</w:t>
            </w:r>
          </w:p>
        </w:tc>
      </w:tr>
      <w:tr w:rsidR="00577D08" w14:paraId="6D809516" w14:textId="77777777">
        <w:tc>
          <w:tcPr>
            <w:tcW w:w="1811" w:type="dxa"/>
            <w:vAlign w:val="center"/>
          </w:tcPr>
          <w:p w14:paraId="3EE4581E"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2025年1月1日余额在本期</w:t>
            </w:r>
          </w:p>
        </w:tc>
        <w:tc>
          <w:tcPr>
            <w:tcW w:w="1560" w:type="dxa"/>
            <w:vAlign w:val="center"/>
          </w:tcPr>
          <w:p w14:paraId="59154BDE" w14:textId="77777777" w:rsidR="00577D08" w:rsidRDefault="00577D08">
            <w:pPr>
              <w:jc w:val="right"/>
            </w:pPr>
          </w:p>
        </w:tc>
        <w:tc>
          <w:tcPr>
            <w:tcW w:w="1985" w:type="dxa"/>
            <w:vAlign w:val="center"/>
          </w:tcPr>
          <w:p w14:paraId="210C5CBE" w14:textId="77777777" w:rsidR="00577D08" w:rsidRDefault="00577D08">
            <w:pPr>
              <w:jc w:val="right"/>
            </w:pPr>
          </w:p>
        </w:tc>
        <w:tc>
          <w:tcPr>
            <w:tcW w:w="1985" w:type="dxa"/>
            <w:vAlign w:val="center"/>
          </w:tcPr>
          <w:p w14:paraId="724E975F" w14:textId="77777777" w:rsidR="00577D08" w:rsidRDefault="00577D08">
            <w:pPr>
              <w:jc w:val="right"/>
            </w:pPr>
          </w:p>
        </w:tc>
        <w:tc>
          <w:tcPr>
            <w:tcW w:w="1706" w:type="dxa"/>
            <w:vAlign w:val="center"/>
          </w:tcPr>
          <w:p w14:paraId="4C121A1C" w14:textId="77777777" w:rsidR="00577D08" w:rsidRDefault="00577D08">
            <w:pPr>
              <w:jc w:val="right"/>
            </w:pPr>
          </w:p>
        </w:tc>
      </w:tr>
      <w:tr w:rsidR="00577D08" w14:paraId="331C5EF2" w14:textId="77777777">
        <w:tc>
          <w:tcPr>
            <w:tcW w:w="1811" w:type="dxa"/>
            <w:vAlign w:val="center"/>
          </w:tcPr>
          <w:p w14:paraId="78E462ED"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--转入第二阶段</w:t>
            </w:r>
          </w:p>
        </w:tc>
        <w:tc>
          <w:tcPr>
            <w:tcW w:w="1560" w:type="dxa"/>
            <w:vAlign w:val="center"/>
          </w:tcPr>
          <w:p w14:paraId="6CB41AB3" w14:textId="77777777" w:rsidR="00577D08" w:rsidRDefault="00330FC0">
            <w:pPr>
              <w:jc w:val="right"/>
            </w:pPr>
            <w:r>
              <w:t>-86,916.74</w:t>
            </w:r>
          </w:p>
        </w:tc>
        <w:tc>
          <w:tcPr>
            <w:tcW w:w="1985" w:type="dxa"/>
            <w:vAlign w:val="center"/>
          </w:tcPr>
          <w:p w14:paraId="547147ED" w14:textId="77777777" w:rsidR="00577D08" w:rsidRDefault="00330FC0">
            <w:pPr>
              <w:jc w:val="right"/>
            </w:pPr>
            <w:r>
              <w:t>86,916.74</w:t>
            </w:r>
          </w:p>
        </w:tc>
        <w:tc>
          <w:tcPr>
            <w:tcW w:w="1985" w:type="dxa"/>
            <w:vAlign w:val="center"/>
          </w:tcPr>
          <w:p w14:paraId="18E13587" w14:textId="77777777" w:rsidR="00577D08" w:rsidRDefault="00577D08">
            <w:pPr>
              <w:jc w:val="right"/>
            </w:pPr>
          </w:p>
        </w:tc>
        <w:tc>
          <w:tcPr>
            <w:tcW w:w="1706" w:type="dxa"/>
            <w:vAlign w:val="center"/>
          </w:tcPr>
          <w:p w14:paraId="12CF3B23" w14:textId="77777777" w:rsidR="00577D08" w:rsidRDefault="00577D08">
            <w:pPr>
              <w:jc w:val="right"/>
            </w:pPr>
          </w:p>
        </w:tc>
      </w:tr>
      <w:tr w:rsidR="00577D08" w14:paraId="3323A52E" w14:textId="77777777">
        <w:tc>
          <w:tcPr>
            <w:tcW w:w="1811" w:type="dxa"/>
            <w:vAlign w:val="center"/>
          </w:tcPr>
          <w:p w14:paraId="62732A5A"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--转入第三阶段</w:t>
            </w:r>
          </w:p>
        </w:tc>
        <w:tc>
          <w:tcPr>
            <w:tcW w:w="1560" w:type="dxa"/>
            <w:vAlign w:val="center"/>
          </w:tcPr>
          <w:p w14:paraId="772CA0A0" w14:textId="77777777" w:rsidR="00577D08" w:rsidRDefault="00577D08">
            <w:pPr>
              <w:jc w:val="right"/>
            </w:pPr>
          </w:p>
        </w:tc>
        <w:tc>
          <w:tcPr>
            <w:tcW w:w="1985" w:type="dxa"/>
            <w:vAlign w:val="center"/>
          </w:tcPr>
          <w:p w14:paraId="061B037A" w14:textId="77777777" w:rsidR="00577D08" w:rsidRDefault="00330FC0">
            <w:pPr>
              <w:jc w:val="right"/>
            </w:pPr>
            <w:r>
              <w:t>-162,424.38</w:t>
            </w:r>
          </w:p>
        </w:tc>
        <w:tc>
          <w:tcPr>
            <w:tcW w:w="1985" w:type="dxa"/>
            <w:vAlign w:val="center"/>
          </w:tcPr>
          <w:p w14:paraId="556121C8" w14:textId="77777777" w:rsidR="00577D08" w:rsidRDefault="00330FC0">
            <w:pPr>
              <w:jc w:val="right"/>
            </w:pPr>
            <w:r>
              <w:t>162,424.38</w:t>
            </w:r>
          </w:p>
        </w:tc>
        <w:tc>
          <w:tcPr>
            <w:tcW w:w="1706" w:type="dxa"/>
            <w:vAlign w:val="center"/>
          </w:tcPr>
          <w:p w14:paraId="0A59D3EB" w14:textId="77777777" w:rsidR="00577D08" w:rsidRDefault="00577D08">
            <w:pPr>
              <w:jc w:val="right"/>
            </w:pPr>
          </w:p>
        </w:tc>
      </w:tr>
      <w:tr w:rsidR="00577D08" w14:paraId="3F05F861" w14:textId="77777777">
        <w:tc>
          <w:tcPr>
            <w:tcW w:w="1811" w:type="dxa"/>
            <w:vAlign w:val="center"/>
          </w:tcPr>
          <w:p w14:paraId="7984A222"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--转回第二阶段</w:t>
            </w:r>
          </w:p>
        </w:tc>
        <w:tc>
          <w:tcPr>
            <w:tcW w:w="1560" w:type="dxa"/>
            <w:vAlign w:val="center"/>
          </w:tcPr>
          <w:p w14:paraId="704CFD0B" w14:textId="77777777" w:rsidR="00577D08" w:rsidRDefault="00577D08">
            <w:pPr>
              <w:jc w:val="right"/>
            </w:pPr>
          </w:p>
        </w:tc>
        <w:tc>
          <w:tcPr>
            <w:tcW w:w="1985" w:type="dxa"/>
            <w:vAlign w:val="center"/>
          </w:tcPr>
          <w:p w14:paraId="5494713A" w14:textId="77777777" w:rsidR="00577D08" w:rsidRDefault="00577D08">
            <w:pPr>
              <w:jc w:val="right"/>
            </w:pPr>
          </w:p>
        </w:tc>
        <w:tc>
          <w:tcPr>
            <w:tcW w:w="1985" w:type="dxa"/>
            <w:vAlign w:val="center"/>
          </w:tcPr>
          <w:p w14:paraId="5DC89D01" w14:textId="77777777" w:rsidR="00577D08" w:rsidRDefault="00577D08">
            <w:pPr>
              <w:jc w:val="right"/>
            </w:pPr>
          </w:p>
        </w:tc>
        <w:tc>
          <w:tcPr>
            <w:tcW w:w="1706" w:type="dxa"/>
            <w:vAlign w:val="center"/>
          </w:tcPr>
          <w:p w14:paraId="743C0E85" w14:textId="77777777" w:rsidR="00577D08" w:rsidRDefault="00577D08">
            <w:pPr>
              <w:jc w:val="right"/>
            </w:pPr>
          </w:p>
        </w:tc>
      </w:tr>
      <w:tr w:rsidR="00577D08" w14:paraId="5FB99D02" w14:textId="77777777">
        <w:tc>
          <w:tcPr>
            <w:tcW w:w="1811" w:type="dxa"/>
            <w:vAlign w:val="center"/>
          </w:tcPr>
          <w:p w14:paraId="63168903"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--转回第一阶段</w:t>
            </w:r>
          </w:p>
        </w:tc>
        <w:tc>
          <w:tcPr>
            <w:tcW w:w="1560" w:type="dxa"/>
            <w:vAlign w:val="center"/>
          </w:tcPr>
          <w:p w14:paraId="729327E1" w14:textId="77777777" w:rsidR="00577D08" w:rsidRDefault="00577D08">
            <w:pPr>
              <w:jc w:val="right"/>
            </w:pPr>
          </w:p>
        </w:tc>
        <w:tc>
          <w:tcPr>
            <w:tcW w:w="1985" w:type="dxa"/>
            <w:vAlign w:val="center"/>
          </w:tcPr>
          <w:p w14:paraId="126DE33E" w14:textId="77777777" w:rsidR="00577D08" w:rsidRDefault="00577D08">
            <w:pPr>
              <w:jc w:val="right"/>
            </w:pPr>
          </w:p>
        </w:tc>
        <w:tc>
          <w:tcPr>
            <w:tcW w:w="1985" w:type="dxa"/>
            <w:vAlign w:val="center"/>
          </w:tcPr>
          <w:p w14:paraId="1CB388C8" w14:textId="77777777" w:rsidR="00577D08" w:rsidRDefault="00577D08">
            <w:pPr>
              <w:jc w:val="right"/>
            </w:pPr>
          </w:p>
        </w:tc>
        <w:tc>
          <w:tcPr>
            <w:tcW w:w="1706" w:type="dxa"/>
            <w:vAlign w:val="center"/>
          </w:tcPr>
          <w:p w14:paraId="2E933088" w14:textId="77777777" w:rsidR="00577D08" w:rsidRDefault="00577D08">
            <w:pPr>
              <w:jc w:val="right"/>
            </w:pPr>
          </w:p>
        </w:tc>
      </w:tr>
      <w:tr w:rsidR="00577D08" w14:paraId="35B8A454" w14:textId="77777777">
        <w:tc>
          <w:tcPr>
            <w:tcW w:w="1811" w:type="dxa"/>
            <w:vAlign w:val="center"/>
          </w:tcPr>
          <w:p w14:paraId="6EC93A21"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本期计提</w:t>
            </w:r>
          </w:p>
        </w:tc>
        <w:tc>
          <w:tcPr>
            <w:tcW w:w="1560" w:type="dxa"/>
            <w:vAlign w:val="center"/>
          </w:tcPr>
          <w:p w14:paraId="38C7ED1D" w14:textId="77777777" w:rsidR="00577D08" w:rsidRDefault="00330FC0">
            <w:pPr>
              <w:jc w:val="right"/>
            </w:pPr>
            <w:r>
              <w:t>-49,490.31</w:t>
            </w:r>
          </w:p>
        </w:tc>
        <w:tc>
          <w:tcPr>
            <w:tcW w:w="1985" w:type="dxa"/>
            <w:vAlign w:val="center"/>
          </w:tcPr>
          <w:p w14:paraId="68E04561" w14:textId="77777777" w:rsidR="00577D08" w:rsidRDefault="00330FC0">
            <w:pPr>
              <w:jc w:val="right"/>
            </w:pPr>
            <w:r>
              <w:t>34,434.96</w:t>
            </w:r>
          </w:p>
        </w:tc>
        <w:tc>
          <w:tcPr>
            <w:tcW w:w="1985" w:type="dxa"/>
            <w:vAlign w:val="center"/>
          </w:tcPr>
          <w:p w14:paraId="7ED27DE4" w14:textId="77777777" w:rsidR="00577D08" w:rsidRDefault="00330FC0">
            <w:pPr>
              <w:jc w:val="right"/>
            </w:pPr>
            <w:r>
              <w:t>86,945.38</w:t>
            </w:r>
          </w:p>
        </w:tc>
        <w:tc>
          <w:tcPr>
            <w:tcW w:w="1706" w:type="dxa"/>
            <w:vAlign w:val="center"/>
          </w:tcPr>
          <w:p w14:paraId="6C3483FE" w14:textId="77777777" w:rsidR="00577D08" w:rsidRDefault="00330FC0">
            <w:pPr>
              <w:jc w:val="right"/>
            </w:pPr>
            <w:r>
              <w:t>71,890.03</w:t>
            </w:r>
          </w:p>
        </w:tc>
      </w:tr>
      <w:tr w:rsidR="00577D08" w14:paraId="444F3F94" w14:textId="77777777">
        <w:tc>
          <w:tcPr>
            <w:tcW w:w="1811" w:type="dxa"/>
            <w:vAlign w:val="center"/>
          </w:tcPr>
          <w:p w14:paraId="07850A81" w14:textId="77777777" w:rsidR="00577D08" w:rsidRDefault="00330FC0">
            <w:pPr>
              <w:pStyle w:val="TableParagraph"/>
              <w:spacing w:after="0" w:line="240" w:lineRule="auto"/>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lang w:eastAsia="zh-CN"/>
              </w:rPr>
              <w:t>本期转回</w:t>
            </w:r>
          </w:p>
        </w:tc>
        <w:tc>
          <w:tcPr>
            <w:tcW w:w="1560" w:type="dxa"/>
            <w:vAlign w:val="center"/>
          </w:tcPr>
          <w:p w14:paraId="15F09E21" w14:textId="77777777" w:rsidR="00577D08" w:rsidRDefault="00577D08">
            <w:pPr>
              <w:jc w:val="right"/>
            </w:pPr>
          </w:p>
        </w:tc>
        <w:tc>
          <w:tcPr>
            <w:tcW w:w="1985" w:type="dxa"/>
            <w:vAlign w:val="center"/>
          </w:tcPr>
          <w:p w14:paraId="4AEF125B" w14:textId="77777777" w:rsidR="00577D08" w:rsidRDefault="00577D08">
            <w:pPr>
              <w:jc w:val="right"/>
            </w:pPr>
          </w:p>
        </w:tc>
        <w:tc>
          <w:tcPr>
            <w:tcW w:w="1985" w:type="dxa"/>
            <w:vAlign w:val="center"/>
          </w:tcPr>
          <w:p w14:paraId="50A01A01" w14:textId="77777777" w:rsidR="00577D08" w:rsidRDefault="00577D08">
            <w:pPr>
              <w:jc w:val="right"/>
            </w:pPr>
          </w:p>
        </w:tc>
        <w:tc>
          <w:tcPr>
            <w:tcW w:w="1706" w:type="dxa"/>
            <w:vAlign w:val="center"/>
          </w:tcPr>
          <w:p w14:paraId="29127640" w14:textId="77777777" w:rsidR="00577D08" w:rsidRDefault="00577D08">
            <w:pPr>
              <w:jc w:val="right"/>
            </w:pPr>
          </w:p>
        </w:tc>
      </w:tr>
      <w:tr w:rsidR="00577D08" w14:paraId="2D001185" w14:textId="77777777">
        <w:tc>
          <w:tcPr>
            <w:tcW w:w="1811" w:type="dxa"/>
            <w:vAlign w:val="center"/>
          </w:tcPr>
          <w:p w14:paraId="2F46F1CD"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本期转销</w:t>
            </w:r>
          </w:p>
        </w:tc>
        <w:tc>
          <w:tcPr>
            <w:tcW w:w="1560" w:type="dxa"/>
            <w:vAlign w:val="center"/>
          </w:tcPr>
          <w:p w14:paraId="4FB70191" w14:textId="77777777" w:rsidR="00577D08" w:rsidRDefault="00577D08">
            <w:pPr>
              <w:jc w:val="right"/>
            </w:pPr>
          </w:p>
        </w:tc>
        <w:tc>
          <w:tcPr>
            <w:tcW w:w="1985" w:type="dxa"/>
            <w:vAlign w:val="center"/>
          </w:tcPr>
          <w:p w14:paraId="3AC3E514" w14:textId="77777777" w:rsidR="00577D08" w:rsidRDefault="00577D08">
            <w:pPr>
              <w:jc w:val="right"/>
            </w:pPr>
          </w:p>
        </w:tc>
        <w:tc>
          <w:tcPr>
            <w:tcW w:w="1985" w:type="dxa"/>
            <w:vAlign w:val="center"/>
          </w:tcPr>
          <w:p w14:paraId="0837FC19" w14:textId="77777777" w:rsidR="00577D08" w:rsidRDefault="00577D08">
            <w:pPr>
              <w:jc w:val="right"/>
            </w:pPr>
          </w:p>
        </w:tc>
        <w:tc>
          <w:tcPr>
            <w:tcW w:w="1706" w:type="dxa"/>
            <w:vAlign w:val="center"/>
          </w:tcPr>
          <w:p w14:paraId="66CEF7AA" w14:textId="77777777" w:rsidR="00577D08" w:rsidRDefault="00577D08">
            <w:pPr>
              <w:jc w:val="right"/>
            </w:pPr>
          </w:p>
        </w:tc>
      </w:tr>
      <w:tr w:rsidR="00577D08" w14:paraId="5E5CCAF3" w14:textId="77777777">
        <w:tc>
          <w:tcPr>
            <w:tcW w:w="1811" w:type="dxa"/>
            <w:vAlign w:val="center"/>
          </w:tcPr>
          <w:p w14:paraId="76ACF035" w14:textId="77777777" w:rsidR="00577D08" w:rsidRDefault="00330FC0">
            <w:pPr>
              <w:pStyle w:val="TableParagraph"/>
              <w:spacing w:after="0" w:line="240" w:lineRule="auto"/>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lang w:eastAsia="zh-CN"/>
              </w:rPr>
              <w:t>本期核销</w:t>
            </w:r>
          </w:p>
        </w:tc>
        <w:tc>
          <w:tcPr>
            <w:tcW w:w="1560" w:type="dxa"/>
            <w:vAlign w:val="center"/>
          </w:tcPr>
          <w:p w14:paraId="638819BD" w14:textId="77777777" w:rsidR="00577D08" w:rsidRDefault="00577D08">
            <w:pPr>
              <w:jc w:val="right"/>
            </w:pPr>
          </w:p>
        </w:tc>
        <w:tc>
          <w:tcPr>
            <w:tcW w:w="1985" w:type="dxa"/>
            <w:vAlign w:val="center"/>
          </w:tcPr>
          <w:p w14:paraId="7750447E" w14:textId="77777777" w:rsidR="00577D08" w:rsidRDefault="00577D08">
            <w:pPr>
              <w:jc w:val="right"/>
            </w:pPr>
          </w:p>
        </w:tc>
        <w:tc>
          <w:tcPr>
            <w:tcW w:w="1985" w:type="dxa"/>
            <w:vAlign w:val="center"/>
          </w:tcPr>
          <w:p w14:paraId="5D6097FF" w14:textId="77777777" w:rsidR="00577D08" w:rsidRDefault="00577D08">
            <w:pPr>
              <w:jc w:val="right"/>
            </w:pPr>
          </w:p>
        </w:tc>
        <w:tc>
          <w:tcPr>
            <w:tcW w:w="1706" w:type="dxa"/>
            <w:vAlign w:val="center"/>
          </w:tcPr>
          <w:p w14:paraId="5DB40626" w14:textId="77777777" w:rsidR="00577D08" w:rsidRDefault="00577D08">
            <w:pPr>
              <w:jc w:val="right"/>
            </w:pPr>
          </w:p>
        </w:tc>
      </w:tr>
      <w:tr w:rsidR="00577D08" w14:paraId="38299D1D" w14:textId="77777777">
        <w:tc>
          <w:tcPr>
            <w:tcW w:w="1811" w:type="dxa"/>
            <w:vAlign w:val="center"/>
          </w:tcPr>
          <w:p w14:paraId="28E2C2BE" w14:textId="77777777" w:rsidR="00577D08" w:rsidRDefault="00330FC0">
            <w:pPr>
              <w:pStyle w:val="TableParagraph"/>
              <w:spacing w:after="0" w:line="24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其他变动</w:t>
            </w:r>
          </w:p>
        </w:tc>
        <w:tc>
          <w:tcPr>
            <w:tcW w:w="1560" w:type="dxa"/>
            <w:vAlign w:val="center"/>
          </w:tcPr>
          <w:p w14:paraId="1E55AD2C" w14:textId="77777777" w:rsidR="00577D08" w:rsidRDefault="00577D08">
            <w:pPr>
              <w:jc w:val="right"/>
            </w:pPr>
          </w:p>
        </w:tc>
        <w:tc>
          <w:tcPr>
            <w:tcW w:w="1985" w:type="dxa"/>
            <w:vAlign w:val="center"/>
          </w:tcPr>
          <w:p w14:paraId="57E122A9" w14:textId="77777777" w:rsidR="00577D08" w:rsidRDefault="00577D08">
            <w:pPr>
              <w:jc w:val="right"/>
            </w:pPr>
          </w:p>
        </w:tc>
        <w:tc>
          <w:tcPr>
            <w:tcW w:w="1985" w:type="dxa"/>
            <w:vAlign w:val="center"/>
          </w:tcPr>
          <w:p w14:paraId="72FB97A4" w14:textId="77777777" w:rsidR="00577D08" w:rsidRDefault="00577D08">
            <w:pPr>
              <w:jc w:val="right"/>
            </w:pPr>
          </w:p>
        </w:tc>
        <w:tc>
          <w:tcPr>
            <w:tcW w:w="1706" w:type="dxa"/>
            <w:vAlign w:val="center"/>
          </w:tcPr>
          <w:p w14:paraId="38F55E26" w14:textId="77777777" w:rsidR="00577D08" w:rsidRDefault="00577D08">
            <w:pPr>
              <w:jc w:val="right"/>
            </w:pPr>
          </w:p>
        </w:tc>
      </w:tr>
      <w:tr w:rsidR="00577D08" w14:paraId="6F4B9AD1" w14:textId="77777777">
        <w:tc>
          <w:tcPr>
            <w:tcW w:w="1811" w:type="dxa"/>
            <w:vAlign w:val="center"/>
          </w:tcPr>
          <w:p w14:paraId="2F7D3C0D" w14:textId="77777777" w:rsidR="00577D08" w:rsidRDefault="00330FC0">
            <w:pPr>
              <w:pStyle w:val="TableParagraph"/>
              <w:spacing w:after="0" w:line="240" w:lineRule="auto"/>
              <w:rPr>
                <w:rFonts w:ascii="宋体" w:eastAsia="宋体" w:hAnsi="宋体" w:cs="宋体" w:hint="eastAsia"/>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tc>
          <w:tcPr>
            <w:tcW w:w="1560" w:type="dxa"/>
            <w:vAlign w:val="center"/>
          </w:tcPr>
          <w:p w14:paraId="72758261" w14:textId="77777777" w:rsidR="00577D08" w:rsidRDefault="00330FC0">
            <w:pPr>
              <w:jc w:val="right"/>
            </w:pPr>
            <w:r>
              <w:t>464,424.17</w:t>
            </w:r>
          </w:p>
        </w:tc>
        <w:tc>
          <w:tcPr>
            <w:tcW w:w="1985" w:type="dxa"/>
            <w:vAlign w:val="center"/>
          </w:tcPr>
          <w:p w14:paraId="2117C444" w14:textId="77777777" w:rsidR="00577D08" w:rsidRDefault="00330FC0">
            <w:pPr>
              <w:jc w:val="right"/>
            </w:pPr>
            <w:r>
              <w:t>173,833.47</w:t>
            </w:r>
          </w:p>
        </w:tc>
        <w:tc>
          <w:tcPr>
            <w:tcW w:w="1985" w:type="dxa"/>
            <w:vAlign w:val="center"/>
          </w:tcPr>
          <w:p w14:paraId="27D13674" w14:textId="77777777" w:rsidR="00577D08" w:rsidRDefault="00330FC0">
            <w:pPr>
              <w:jc w:val="right"/>
            </w:pPr>
            <w:r>
              <w:t>1,735,865.00</w:t>
            </w:r>
          </w:p>
        </w:tc>
        <w:tc>
          <w:tcPr>
            <w:tcW w:w="1706" w:type="dxa"/>
            <w:vAlign w:val="center"/>
          </w:tcPr>
          <w:p w14:paraId="2022BA23" w14:textId="77777777" w:rsidR="00577D08" w:rsidRDefault="00330FC0">
            <w:pPr>
              <w:jc w:val="right"/>
            </w:pPr>
            <w:r>
              <w:t>2,374,122.64</w:t>
            </w:r>
          </w:p>
        </w:tc>
      </w:tr>
    </w:tbl>
    <w:p w14:paraId="427F366B" w14:textId="77777777" w:rsidR="00577D08" w:rsidRDefault="00330FC0">
      <w:pPr>
        <w:autoSpaceDE w:val="0"/>
        <w:autoSpaceDN w:val="0"/>
        <w:adjustRightInd w:val="0"/>
        <w:ind w:rightChars="50" w:right="105"/>
      </w:pPr>
      <w:r>
        <w:rPr>
          <w:rFonts w:hint="eastAsia"/>
        </w:rPr>
        <w:t>各阶段划分依据和坏账准备计提比例</w:t>
      </w:r>
    </w:p>
    <w:sdt>
      <w:sdtPr>
        <w:rPr>
          <w:bCs/>
          <w:szCs w:val="22"/>
        </w:rPr>
        <w:alias w:val="其他应收款各阶段划分依据和坏账准备计提比例"/>
        <w:tag w:val="_GBC_3c3eb8d29e064b68909ad636fcd177ff"/>
        <w:id w:val="992760189"/>
        <w:placeholder>
          <w:docPart w:val="GBC22222222222222222222222222222"/>
        </w:placeholder>
      </w:sdtPr>
      <w:sdtContent>
        <w:p w14:paraId="25576F54" w14:textId="77777777" w:rsidR="00577D08" w:rsidRDefault="00330FC0">
          <w:pPr>
            <w:rPr>
              <w:bCs/>
              <w:szCs w:val="22"/>
            </w:rPr>
          </w:pPr>
          <w:r>
            <w:rPr>
              <w:rFonts w:hint="eastAsia"/>
              <w:bCs/>
              <w:szCs w:val="22"/>
            </w:rPr>
            <w:t>无</w:t>
          </w:r>
        </w:p>
      </w:sdtContent>
    </w:sdt>
    <w:p w14:paraId="2656B5CB" w14:textId="77777777" w:rsidR="00577D08" w:rsidRDefault="00330FC0">
      <w:pPr>
        <w:pStyle w:val="affc"/>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1984917220"/>
        <w:placeholder>
          <w:docPart w:val="GBC22222222222222222222222222222"/>
        </w:placeholder>
      </w:sdtPr>
      <w:sdtContent>
        <w:p w14:paraId="67890323"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E4A401E" w14:textId="77777777" w:rsidR="00577D08" w:rsidRDefault="00330FC0">
      <w:bookmarkStart w:id="525" w:name="_Hlk534806894"/>
      <w:bookmarkEnd w:id="524"/>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1174301591"/>
        <w:placeholder>
          <w:docPart w:val="GBC22222222222222222222222222222"/>
        </w:placeholder>
      </w:sdtPr>
      <w:sdtContent>
        <w:p w14:paraId="518A6FA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6EB2334" w14:textId="77777777" w:rsidR="00577D08" w:rsidRDefault="00330FC0">
      <w:pPr>
        <w:pStyle w:val="5"/>
        <w:numPr>
          <w:ilvl w:val="0"/>
          <w:numId w:val="129"/>
        </w:numPr>
        <w:ind w:leftChars="0"/>
        <w:rPr>
          <w:rFonts w:asciiTheme="minorHAnsi" w:hAnsiTheme="minorHAnsi" w:cs="宋体"/>
          <w:kern w:val="0"/>
          <w:szCs w:val="22"/>
        </w:rPr>
      </w:pPr>
      <w:bookmarkStart w:id="526" w:name="_Hlk533797618"/>
      <w:bookmarkStart w:id="527" w:name="_Hlk153797908"/>
      <w:bookmarkEnd w:id="525"/>
      <w:r>
        <w:rPr>
          <w:rFonts w:asciiTheme="minorHAnsi" w:hAnsiTheme="minorHAnsi" w:cs="宋体" w:hint="eastAsia"/>
          <w:kern w:val="0"/>
          <w:szCs w:val="22"/>
        </w:rPr>
        <w:t>坏账准备的情况</w:t>
      </w:r>
    </w:p>
    <w:sdt>
      <w:sdtPr>
        <w:alias w:val="是否适用：母公司其他应收款坏账准备情况[双击切换]"/>
        <w:tag w:val="_GBC_fe964b2b8e824335995eaad4df852022"/>
        <w:id w:val="-296524610"/>
        <w:placeholder>
          <w:docPart w:val="GBC22222222222222222222222222222"/>
        </w:placeholder>
      </w:sdtPr>
      <w:sdtContent>
        <w:p w14:paraId="45B2562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5A1302C" w14:textId="77777777" w:rsidR="00577D08" w:rsidRDefault="00330FC0">
      <w:r>
        <w:rPr>
          <w:rFonts w:hint="eastAsia"/>
        </w:rPr>
        <w:t>其中本期坏账准备转回或收回金额重要的：</w:t>
      </w:r>
    </w:p>
    <w:sdt>
      <w:sdtPr>
        <w:alias w:val="是否适用：母公司其他应收款坏账准备转回或收回金额重要的[双击切换]"/>
        <w:tag w:val="_GBC_f8ce6c07169e42188641fc1bc1ab86d4"/>
        <w:id w:val="487143605"/>
        <w:placeholder>
          <w:docPart w:val="GBC22222222222222222222222222222"/>
        </w:placeholder>
      </w:sdtPr>
      <w:sdtContent>
        <w:p w14:paraId="73C205C9"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26"/>
    <w:p w14:paraId="7564EF3F" w14:textId="77777777" w:rsidR="00577D08" w:rsidRDefault="00330FC0">
      <w:pPr>
        <w:ind w:rightChars="-759" w:right="-1594"/>
      </w:pPr>
      <w:r>
        <w:rPr>
          <w:rFonts w:hint="eastAsia"/>
        </w:rPr>
        <w:t>其他说明：</w:t>
      </w:r>
    </w:p>
    <w:sdt>
      <w:sdtPr>
        <w:alias w:val="其他应收款坏账准备情况的说明"/>
        <w:tag w:val="_GBC_66f33e1d4ef94cf78a5265ef0130e24d"/>
        <w:id w:val="-573440784"/>
        <w:placeholder>
          <w:docPart w:val="GBC22222222222222222222222222222"/>
        </w:placeholder>
      </w:sdtPr>
      <w:sdtContent>
        <w:p w14:paraId="3C3B2E36" w14:textId="77777777" w:rsidR="00577D08" w:rsidRDefault="00330FC0">
          <w:pPr>
            <w:ind w:rightChars="-759" w:right="-1594"/>
          </w:pPr>
          <w:r>
            <w:rPr>
              <w:rFonts w:hint="eastAsia"/>
            </w:rPr>
            <w:t>无</w:t>
          </w:r>
        </w:p>
      </w:sdtContent>
    </w:sdt>
    <w:bookmarkEnd w:id="527"/>
    <w:p w14:paraId="45689DDE" w14:textId="77777777" w:rsidR="00577D08" w:rsidRDefault="00330FC0">
      <w:pPr>
        <w:pStyle w:val="5"/>
        <w:numPr>
          <w:ilvl w:val="0"/>
          <w:numId w:val="129"/>
        </w:numPr>
        <w:ind w:leftChars="0"/>
        <w:rPr>
          <w:rFonts w:asciiTheme="minorHAnsi" w:hAnsiTheme="minorHAnsi" w:cs="宋体"/>
          <w:kern w:val="0"/>
          <w:szCs w:val="22"/>
        </w:rPr>
      </w:pPr>
      <w:r>
        <w:rPr>
          <w:rFonts w:asciiTheme="minorHAnsi" w:hAnsiTheme="minorHAnsi" w:cs="宋体" w:hint="eastAsia"/>
          <w:kern w:val="0"/>
          <w:szCs w:val="22"/>
        </w:rPr>
        <w:t>本期实际核销的其他应收款情况</w:t>
      </w:r>
    </w:p>
    <w:sdt>
      <w:sdtPr>
        <w:alias w:val="是否适用：母公司本期实际核销的其他应收款情况[双击切换]"/>
        <w:tag w:val="_GBC_1513ed448adb4dda8e855e090428591f"/>
        <w:id w:val="47348672"/>
        <w:placeholder>
          <w:docPart w:val="GBC22222222222222222222222222222"/>
        </w:placeholder>
      </w:sdtPr>
      <w:sdtContent>
        <w:p w14:paraId="597D15BA"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EB776BC" w14:textId="77777777" w:rsidR="00577D08" w:rsidRDefault="00330FC0">
      <w:r>
        <w:rPr>
          <w:rFonts w:hint="eastAsia"/>
        </w:rPr>
        <w:t>其中重要的其他应收款核销情况：</w:t>
      </w:r>
    </w:p>
    <w:sdt>
      <w:sdtPr>
        <w:alias w:val="是否适用：母公司其中重要的其他应收款核销情况[双击切换]"/>
        <w:tag w:val="_GBC_9c869030965c44c2962f562c051ed47e"/>
        <w:id w:val="-129945157"/>
        <w:placeholder>
          <w:docPart w:val="GBC22222222222222222222222222222"/>
        </w:placeholder>
      </w:sdtPr>
      <w:sdtContent>
        <w:p w14:paraId="4F52CEEE"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6D968FD" w14:textId="77777777" w:rsidR="00577D08" w:rsidRDefault="00330FC0">
      <w:pPr>
        <w:snapToGrid w:val="0"/>
        <w:spacing w:line="240" w:lineRule="atLeast"/>
      </w:pPr>
      <w:r>
        <w:rPr>
          <w:rFonts w:hint="eastAsia"/>
        </w:rPr>
        <w:lastRenderedPageBreak/>
        <w:t>其他应收款核销说明：</w:t>
      </w:r>
    </w:p>
    <w:sdt>
      <w:sdtPr>
        <w:rPr>
          <w:rFonts w:hint="eastAsia"/>
        </w:rPr>
        <w:alias w:val="是否适用：母公司其他应收款核销说明[双击切换]"/>
        <w:tag w:val="_GBC_a3327d4637ec4274aa83caff4b6e71fd"/>
        <w:id w:val="-289361788"/>
        <w:placeholder>
          <w:docPart w:val="GBC22222222222222222222222222222"/>
        </w:placeholder>
      </w:sdtPr>
      <w:sdtContent>
        <w:p w14:paraId="4D9D744C"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C835EE7" w14:textId="77777777" w:rsidR="00577D08" w:rsidRDefault="00330FC0">
      <w:pPr>
        <w:pStyle w:val="5"/>
        <w:numPr>
          <w:ilvl w:val="0"/>
          <w:numId w:val="129"/>
        </w:numPr>
        <w:ind w:leftChars="0"/>
        <w:rPr>
          <w:rFonts w:asciiTheme="minorHAnsi" w:hAnsiTheme="minorHAnsi" w:cs="宋体"/>
          <w:kern w:val="0"/>
          <w:szCs w:val="22"/>
        </w:rPr>
      </w:pPr>
      <w:bookmarkStart w:id="528" w:name="_Hlk153798048"/>
      <w:r>
        <w:rPr>
          <w:rFonts w:asciiTheme="minorHAnsi" w:hAnsiTheme="minorHAnsi" w:cs="宋体" w:hint="eastAsia"/>
          <w:kern w:val="0"/>
          <w:szCs w:val="22"/>
        </w:rPr>
        <w:t>按欠款方归集的期末余额前五名的其他应收款情况</w:t>
      </w:r>
    </w:p>
    <w:sdt>
      <w:sdtPr>
        <w:alias w:val="是否适用：母公司按欠款方归集的期末余额前五名的其他应收款情况[双击切换]"/>
        <w:tag w:val="_GBC_40b667221c1442478b0cdaa57feca3d8"/>
        <w:id w:val="-1898583362"/>
        <w:placeholder>
          <w:docPart w:val="GBC22222222222222222222222222222"/>
        </w:placeholder>
      </w:sdtPr>
      <w:sdtContent>
        <w:p w14:paraId="46DC8ED9"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660E6E3" w14:textId="035EC4C9" w:rsidR="00577D08" w:rsidRDefault="00330FC0">
      <w:pPr>
        <w:jc w:val="right"/>
      </w:pPr>
      <w:r>
        <w:rPr>
          <w:rFonts w:hint="eastAsia"/>
        </w:rPr>
        <w:t>单位：</w:t>
      </w:r>
      <w:sdt>
        <w:sdtPr>
          <w:rPr>
            <w:rFonts w:hint="eastAsia"/>
          </w:rPr>
          <w:alias w:val="单位：母公司财务附注：其他应收账款前五名欠款情况"/>
          <w:tag w:val="_GBC_a5049697dafb47839070e9dec68636fd"/>
          <w:id w:val="-2064859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财务附注：其他应收账款前五名欠款情况"/>
          <w:tag w:val="_GBC_6c4661b2d22f41aeb2f5a016fbe1a3ac"/>
          <w:id w:val="-18937167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59"/>
        <w:gridCol w:w="1560"/>
        <w:gridCol w:w="1417"/>
        <w:gridCol w:w="1353"/>
        <w:gridCol w:w="1209"/>
      </w:tblGrid>
      <w:tr w:rsidR="00577D08" w14:paraId="307C99CC" w14:textId="77777777">
        <w:trPr>
          <w:cantSplit/>
        </w:trPr>
        <w:sdt>
          <w:sdtPr>
            <w:rPr>
              <w:sz w:val="20"/>
              <w:szCs w:val="20"/>
            </w:rPr>
            <w:tag w:val="_PLD_97ae589741524eeaa277e2e3a81b13c6"/>
            <w:id w:val="1137764459"/>
          </w:sdtPr>
          <w:sdtContent>
            <w:tc>
              <w:tcPr>
                <w:tcW w:w="1951" w:type="dxa"/>
                <w:vAlign w:val="center"/>
              </w:tcPr>
              <w:p w14:paraId="1E8653F4" w14:textId="77777777" w:rsidR="00577D08" w:rsidRDefault="00330FC0">
                <w:pPr>
                  <w:ind w:right="105"/>
                  <w:jc w:val="center"/>
                  <w:rPr>
                    <w:sz w:val="20"/>
                    <w:szCs w:val="20"/>
                  </w:rPr>
                </w:pPr>
                <w:r>
                  <w:rPr>
                    <w:rFonts w:hint="eastAsia"/>
                    <w:sz w:val="20"/>
                    <w:szCs w:val="20"/>
                  </w:rPr>
                  <w:t>单位名称</w:t>
                </w:r>
              </w:p>
            </w:tc>
          </w:sdtContent>
        </w:sdt>
        <w:sdt>
          <w:sdtPr>
            <w:rPr>
              <w:sz w:val="20"/>
              <w:szCs w:val="20"/>
            </w:rPr>
            <w:tag w:val="_PLD_c22b4ec5955348c988f93a834a184c51"/>
            <w:id w:val="-919094684"/>
          </w:sdtPr>
          <w:sdtContent>
            <w:tc>
              <w:tcPr>
                <w:tcW w:w="1559" w:type="dxa"/>
                <w:vAlign w:val="center"/>
              </w:tcPr>
              <w:p w14:paraId="224F880A" w14:textId="77777777" w:rsidR="00577D08" w:rsidRDefault="00330FC0">
                <w:pPr>
                  <w:ind w:right="73"/>
                  <w:jc w:val="center"/>
                  <w:rPr>
                    <w:sz w:val="20"/>
                    <w:szCs w:val="20"/>
                  </w:rPr>
                </w:pPr>
                <w:r>
                  <w:rPr>
                    <w:rFonts w:hint="eastAsia"/>
                    <w:sz w:val="20"/>
                    <w:szCs w:val="20"/>
                  </w:rPr>
                  <w:t>期末余额</w:t>
                </w:r>
              </w:p>
            </w:tc>
          </w:sdtContent>
        </w:sdt>
        <w:sdt>
          <w:sdtPr>
            <w:rPr>
              <w:sz w:val="20"/>
              <w:szCs w:val="20"/>
            </w:rPr>
            <w:tag w:val="_PLD_a49ad92f72864a62b0f46c5d7fa4a110"/>
            <w:id w:val="-446387838"/>
          </w:sdtPr>
          <w:sdtContent>
            <w:tc>
              <w:tcPr>
                <w:tcW w:w="1560" w:type="dxa"/>
                <w:vAlign w:val="center"/>
              </w:tcPr>
              <w:p w14:paraId="6022BDA6" w14:textId="77777777" w:rsidR="00577D08" w:rsidRDefault="00330FC0">
                <w:pPr>
                  <w:jc w:val="center"/>
                  <w:rPr>
                    <w:sz w:val="20"/>
                    <w:szCs w:val="20"/>
                  </w:rPr>
                </w:pPr>
                <w:r>
                  <w:rPr>
                    <w:rFonts w:hint="eastAsia"/>
                    <w:sz w:val="20"/>
                    <w:szCs w:val="20"/>
                  </w:rPr>
                  <w:t>占其他应收款期末余额合计数的比例</w:t>
                </w:r>
                <w:r>
                  <w:rPr>
                    <w:rFonts w:hint="eastAsia"/>
                    <w:sz w:val="20"/>
                    <w:szCs w:val="20"/>
                  </w:rPr>
                  <w:t>(</w:t>
                </w:r>
                <w:r>
                  <w:rPr>
                    <w:sz w:val="20"/>
                    <w:szCs w:val="20"/>
                  </w:rPr>
                  <w:t>%)</w:t>
                </w:r>
              </w:p>
            </w:tc>
          </w:sdtContent>
        </w:sdt>
        <w:sdt>
          <w:sdtPr>
            <w:rPr>
              <w:sz w:val="20"/>
              <w:szCs w:val="20"/>
            </w:rPr>
            <w:tag w:val="_PLD_c8433b11194a41288fcd24feb3e7d527"/>
            <w:id w:val="1259028839"/>
          </w:sdtPr>
          <w:sdtContent>
            <w:tc>
              <w:tcPr>
                <w:tcW w:w="1417" w:type="dxa"/>
                <w:vAlign w:val="center"/>
              </w:tcPr>
              <w:p w14:paraId="2FD2773A" w14:textId="77777777" w:rsidR="00577D08" w:rsidRDefault="00330FC0">
                <w:pPr>
                  <w:ind w:right="73"/>
                  <w:jc w:val="center"/>
                  <w:rPr>
                    <w:sz w:val="20"/>
                    <w:szCs w:val="20"/>
                  </w:rPr>
                </w:pPr>
                <w:r>
                  <w:rPr>
                    <w:rFonts w:hint="eastAsia"/>
                    <w:sz w:val="20"/>
                    <w:szCs w:val="20"/>
                  </w:rPr>
                  <w:t>款项的性质</w:t>
                </w:r>
              </w:p>
            </w:tc>
          </w:sdtContent>
        </w:sdt>
        <w:sdt>
          <w:sdtPr>
            <w:rPr>
              <w:sz w:val="20"/>
              <w:szCs w:val="20"/>
            </w:rPr>
            <w:tag w:val="_PLD_003c0f3b03b34c10880da6ddba3d0f8c"/>
            <w:id w:val="1563671845"/>
          </w:sdtPr>
          <w:sdtContent>
            <w:tc>
              <w:tcPr>
                <w:tcW w:w="1353" w:type="dxa"/>
                <w:vAlign w:val="center"/>
              </w:tcPr>
              <w:p w14:paraId="3834B174" w14:textId="77777777" w:rsidR="00577D08" w:rsidRDefault="00330FC0">
                <w:pPr>
                  <w:ind w:right="73"/>
                  <w:jc w:val="center"/>
                  <w:rPr>
                    <w:sz w:val="20"/>
                    <w:szCs w:val="20"/>
                  </w:rPr>
                </w:pPr>
                <w:r>
                  <w:rPr>
                    <w:rFonts w:hint="eastAsia"/>
                    <w:sz w:val="20"/>
                    <w:szCs w:val="20"/>
                  </w:rPr>
                  <w:t>账龄</w:t>
                </w:r>
              </w:p>
            </w:tc>
          </w:sdtContent>
        </w:sdt>
        <w:sdt>
          <w:sdtPr>
            <w:rPr>
              <w:sz w:val="20"/>
              <w:szCs w:val="20"/>
            </w:rPr>
            <w:tag w:val="_PLD_de96d0c3523e4231935073b8b7dd47be"/>
            <w:id w:val="-1523080249"/>
          </w:sdtPr>
          <w:sdtContent>
            <w:tc>
              <w:tcPr>
                <w:tcW w:w="1209" w:type="dxa"/>
                <w:vAlign w:val="center"/>
              </w:tcPr>
              <w:p w14:paraId="5888909F" w14:textId="77777777" w:rsidR="00577D08" w:rsidRDefault="00330FC0">
                <w:pPr>
                  <w:jc w:val="center"/>
                  <w:rPr>
                    <w:sz w:val="20"/>
                    <w:szCs w:val="20"/>
                  </w:rPr>
                </w:pPr>
                <w:r>
                  <w:rPr>
                    <w:rFonts w:hint="eastAsia"/>
                    <w:sz w:val="20"/>
                    <w:szCs w:val="20"/>
                  </w:rPr>
                  <w:t>坏账准备</w:t>
                </w:r>
              </w:p>
              <w:p w14:paraId="0A2109AB" w14:textId="77777777" w:rsidR="00577D08" w:rsidRDefault="00330FC0">
                <w:pPr>
                  <w:jc w:val="center"/>
                  <w:rPr>
                    <w:sz w:val="20"/>
                    <w:szCs w:val="20"/>
                  </w:rPr>
                </w:pPr>
                <w:r>
                  <w:rPr>
                    <w:rFonts w:hint="eastAsia"/>
                    <w:sz w:val="20"/>
                    <w:szCs w:val="20"/>
                  </w:rPr>
                  <w:t>期末余额</w:t>
                </w:r>
              </w:p>
            </w:tc>
          </w:sdtContent>
        </w:sdt>
      </w:tr>
      <w:tr w:rsidR="00577D08" w14:paraId="45C07778" w14:textId="77777777">
        <w:trPr>
          <w:cantSplit/>
        </w:trPr>
        <w:tc>
          <w:tcPr>
            <w:tcW w:w="1951" w:type="dxa"/>
            <w:vAlign w:val="center"/>
          </w:tcPr>
          <w:p w14:paraId="3724F52F" w14:textId="77777777" w:rsidR="00577D08" w:rsidRDefault="00330FC0">
            <w:pPr>
              <w:ind w:right="105"/>
              <w:jc w:val="both"/>
              <w:rPr>
                <w:sz w:val="20"/>
                <w:szCs w:val="20"/>
              </w:rPr>
            </w:pPr>
            <w:r>
              <w:rPr>
                <w:rFonts w:hint="eastAsia"/>
                <w:sz w:val="20"/>
                <w:szCs w:val="20"/>
              </w:rPr>
              <w:t>云南变压器电气股份有限公司</w:t>
            </w:r>
          </w:p>
        </w:tc>
        <w:tc>
          <w:tcPr>
            <w:tcW w:w="1559" w:type="dxa"/>
            <w:vAlign w:val="center"/>
          </w:tcPr>
          <w:p w14:paraId="1FDEF041" w14:textId="77777777" w:rsidR="00577D08" w:rsidRDefault="00330FC0">
            <w:pPr>
              <w:ind w:right="73"/>
              <w:jc w:val="right"/>
              <w:rPr>
                <w:sz w:val="20"/>
                <w:szCs w:val="20"/>
              </w:rPr>
            </w:pPr>
            <w:r>
              <w:rPr>
                <w:rFonts w:hint="eastAsia"/>
                <w:sz w:val="20"/>
                <w:szCs w:val="20"/>
              </w:rPr>
              <w:t>238,864,273.36</w:t>
            </w:r>
          </w:p>
        </w:tc>
        <w:tc>
          <w:tcPr>
            <w:tcW w:w="1560" w:type="dxa"/>
            <w:vAlign w:val="center"/>
          </w:tcPr>
          <w:p w14:paraId="46B3C1D5" w14:textId="77777777" w:rsidR="00577D08" w:rsidRDefault="00330FC0">
            <w:pPr>
              <w:jc w:val="right"/>
              <w:rPr>
                <w:sz w:val="20"/>
                <w:szCs w:val="20"/>
              </w:rPr>
            </w:pPr>
            <w:r>
              <w:rPr>
                <w:rFonts w:hint="eastAsia"/>
                <w:sz w:val="20"/>
                <w:szCs w:val="20"/>
              </w:rPr>
              <w:t>62.13</w:t>
            </w:r>
          </w:p>
        </w:tc>
        <w:tc>
          <w:tcPr>
            <w:tcW w:w="1417" w:type="dxa"/>
            <w:vAlign w:val="center"/>
          </w:tcPr>
          <w:p w14:paraId="791FE882" w14:textId="77777777" w:rsidR="00577D08" w:rsidRDefault="00330FC0">
            <w:pPr>
              <w:ind w:right="73"/>
              <w:jc w:val="center"/>
              <w:rPr>
                <w:sz w:val="20"/>
                <w:szCs w:val="20"/>
              </w:rPr>
            </w:pPr>
            <w:r>
              <w:rPr>
                <w:rFonts w:hint="eastAsia"/>
                <w:sz w:val="20"/>
                <w:szCs w:val="20"/>
              </w:rPr>
              <w:t>合并范围内关联方</w:t>
            </w:r>
          </w:p>
        </w:tc>
        <w:tc>
          <w:tcPr>
            <w:tcW w:w="1353" w:type="dxa"/>
            <w:vAlign w:val="center"/>
          </w:tcPr>
          <w:p w14:paraId="5827C527" w14:textId="77777777" w:rsidR="00577D08" w:rsidRDefault="00330FC0">
            <w:pPr>
              <w:ind w:right="73"/>
              <w:jc w:val="center"/>
              <w:rPr>
                <w:sz w:val="20"/>
                <w:szCs w:val="20"/>
              </w:rPr>
            </w:pPr>
            <w:r>
              <w:rPr>
                <w:rFonts w:hint="eastAsia"/>
                <w:sz w:val="20"/>
                <w:szCs w:val="20"/>
              </w:rPr>
              <w:t>1</w:t>
            </w:r>
            <w:r>
              <w:rPr>
                <w:rFonts w:hint="eastAsia"/>
                <w:sz w:val="20"/>
                <w:szCs w:val="20"/>
              </w:rPr>
              <w:t>年以内</w:t>
            </w:r>
          </w:p>
        </w:tc>
        <w:tc>
          <w:tcPr>
            <w:tcW w:w="1209" w:type="dxa"/>
            <w:vAlign w:val="center"/>
          </w:tcPr>
          <w:p w14:paraId="08C341D0" w14:textId="77777777" w:rsidR="00577D08" w:rsidRDefault="00577D08">
            <w:pPr>
              <w:jc w:val="right"/>
              <w:rPr>
                <w:sz w:val="20"/>
                <w:szCs w:val="20"/>
              </w:rPr>
            </w:pPr>
          </w:p>
        </w:tc>
      </w:tr>
      <w:tr w:rsidR="00577D08" w14:paraId="11D20FB4" w14:textId="77777777">
        <w:trPr>
          <w:cantSplit/>
        </w:trPr>
        <w:tc>
          <w:tcPr>
            <w:tcW w:w="1951" w:type="dxa"/>
            <w:vAlign w:val="center"/>
          </w:tcPr>
          <w:p w14:paraId="03B40533" w14:textId="77777777" w:rsidR="00577D08" w:rsidRDefault="00330FC0">
            <w:pPr>
              <w:ind w:right="105"/>
              <w:jc w:val="both"/>
              <w:rPr>
                <w:sz w:val="20"/>
                <w:szCs w:val="20"/>
              </w:rPr>
            </w:pPr>
            <w:r>
              <w:rPr>
                <w:rFonts w:hint="eastAsia"/>
                <w:sz w:val="20"/>
                <w:szCs w:val="20"/>
              </w:rPr>
              <w:t>望来充（重庆）科技有限责任公司</w:t>
            </w:r>
          </w:p>
        </w:tc>
        <w:tc>
          <w:tcPr>
            <w:tcW w:w="1559" w:type="dxa"/>
            <w:vAlign w:val="center"/>
          </w:tcPr>
          <w:p w14:paraId="2C381765" w14:textId="77777777" w:rsidR="00577D08" w:rsidRDefault="00330FC0">
            <w:pPr>
              <w:ind w:right="73"/>
              <w:jc w:val="right"/>
              <w:rPr>
                <w:sz w:val="20"/>
                <w:szCs w:val="20"/>
              </w:rPr>
            </w:pPr>
            <w:r>
              <w:rPr>
                <w:rFonts w:hint="eastAsia"/>
                <w:sz w:val="20"/>
                <w:szCs w:val="20"/>
              </w:rPr>
              <w:t>74,780,209.67</w:t>
            </w:r>
          </w:p>
        </w:tc>
        <w:tc>
          <w:tcPr>
            <w:tcW w:w="1560" w:type="dxa"/>
            <w:vAlign w:val="center"/>
          </w:tcPr>
          <w:p w14:paraId="7EE65B6C" w14:textId="77777777" w:rsidR="00577D08" w:rsidRDefault="00330FC0">
            <w:pPr>
              <w:jc w:val="right"/>
              <w:rPr>
                <w:sz w:val="20"/>
                <w:szCs w:val="20"/>
              </w:rPr>
            </w:pPr>
            <w:r>
              <w:rPr>
                <w:rFonts w:hint="eastAsia"/>
                <w:sz w:val="20"/>
                <w:szCs w:val="20"/>
              </w:rPr>
              <w:t>19.45</w:t>
            </w:r>
          </w:p>
        </w:tc>
        <w:tc>
          <w:tcPr>
            <w:tcW w:w="1417" w:type="dxa"/>
            <w:vAlign w:val="center"/>
          </w:tcPr>
          <w:p w14:paraId="664E475A" w14:textId="77777777" w:rsidR="00577D08" w:rsidRDefault="00330FC0">
            <w:pPr>
              <w:ind w:right="73"/>
              <w:jc w:val="center"/>
              <w:rPr>
                <w:sz w:val="20"/>
                <w:szCs w:val="20"/>
              </w:rPr>
            </w:pPr>
            <w:r>
              <w:rPr>
                <w:rFonts w:hint="eastAsia"/>
                <w:sz w:val="20"/>
                <w:szCs w:val="20"/>
              </w:rPr>
              <w:t>合并范围内关联方</w:t>
            </w:r>
          </w:p>
        </w:tc>
        <w:tc>
          <w:tcPr>
            <w:tcW w:w="1353" w:type="dxa"/>
            <w:vAlign w:val="center"/>
          </w:tcPr>
          <w:p w14:paraId="6414311E" w14:textId="77777777" w:rsidR="00577D08" w:rsidRDefault="00330FC0">
            <w:pPr>
              <w:ind w:right="73"/>
              <w:jc w:val="center"/>
              <w:rPr>
                <w:sz w:val="20"/>
                <w:szCs w:val="20"/>
              </w:rPr>
            </w:pPr>
            <w:r>
              <w:rPr>
                <w:rFonts w:hint="eastAsia"/>
                <w:sz w:val="20"/>
                <w:szCs w:val="20"/>
              </w:rPr>
              <w:t>1</w:t>
            </w:r>
            <w:r>
              <w:rPr>
                <w:rFonts w:hint="eastAsia"/>
                <w:sz w:val="20"/>
                <w:szCs w:val="20"/>
              </w:rPr>
              <w:t>年以内</w:t>
            </w:r>
          </w:p>
        </w:tc>
        <w:tc>
          <w:tcPr>
            <w:tcW w:w="1209" w:type="dxa"/>
            <w:vAlign w:val="center"/>
          </w:tcPr>
          <w:p w14:paraId="75AD3B8A" w14:textId="77777777" w:rsidR="00577D08" w:rsidRDefault="00577D08">
            <w:pPr>
              <w:jc w:val="right"/>
              <w:rPr>
                <w:sz w:val="20"/>
                <w:szCs w:val="20"/>
              </w:rPr>
            </w:pPr>
          </w:p>
        </w:tc>
      </w:tr>
      <w:tr w:rsidR="00577D08" w14:paraId="3629EF9C" w14:textId="77777777">
        <w:trPr>
          <w:cantSplit/>
        </w:trPr>
        <w:tc>
          <w:tcPr>
            <w:tcW w:w="1951" w:type="dxa"/>
            <w:vAlign w:val="center"/>
          </w:tcPr>
          <w:p w14:paraId="42B11587" w14:textId="77777777" w:rsidR="00577D08" w:rsidRDefault="00330FC0">
            <w:pPr>
              <w:ind w:right="105"/>
              <w:jc w:val="both"/>
              <w:rPr>
                <w:sz w:val="20"/>
                <w:szCs w:val="20"/>
              </w:rPr>
            </w:pPr>
            <w:r>
              <w:rPr>
                <w:rFonts w:hint="eastAsia"/>
                <w:sz w:val="20"/>
                <w:szCs w:val="20"/>
              </w:rPr>
              <w:t>黔南望江变压器有限公司</w:t>
            </w:r>
          </w:p>
        </w:tc>
        <w:tc>
          <w:tcPr>
            <w:tcW w:w="1559" w:type="dxa"/>
            <w:vAlign w:val="center"/>
          </w:tcPr>
          <w:p w14:paraId="1E93AB2B" w14:textId="77777777" w:rsidR="00577D08" w:rsidRDefault="00330FC0">
            <w:pPr>
              <w:ind w:right="73"/>
              <w:jc w:val="right"/>
              <w:rPr>
                <w:sz w:val="20"/>
                <w:szCs w:val="20"/>
              </w:rPr>
            </w:pPr>
            <w:r>
              <w:rPr>
                <w:rFonts w:hint="eastAsia"/>
                <w:sz w:val="20"/>
                <w:szCs w:val="20"/>
              </w:rPr>
              <w:t>55,905,316.48</w:t>
            </w:r>
          </w:p>
        </w:tc>
        <w:tc>
          <w:tcPr>
            <w:tcW w:w="1560" w:type="dxa"/>
            <w:vAlign w:val="center"/>
          </w:tcPr>
          <w:p w14:paraId="221A6345" w14:textId="77777777" w:rsidR="00577D08" w:rsidRDefault="00330FC0">
            <w:pPr>
              <w:jc w:val="right"/>
              <w:rPr>
                <w:sz w:val="20"/>
                <w:szCs w:val="20"/>
              </w:rPr>
            </w:pPr>
            <w:r>
              <w:rPr>
                <w:rFonts w:hint="eastAsia"/>
                <w:sz w:val="20"/>
                <w:szCs w:val="20"/>
              </w:rPr>
              <w:t>14.54</w:t>
            </w:r>
          </w:p>
        </w:tc>
        <w:tc>
          <w:tcPr>
            <w:tcW w:w="1417" w:type="dxa"/>
            <w:vAlign w:val="center"/>
          </w:tcPr>
          <w:p w14:paraId="695F0EF4" w14:textId="77777777" w:rsidR="00577D08" w:rsidRDefault="00330FC0">
            <w:pPr>
              <w:ind w:right="73"/>
              <w:jc w:val="center"/>
              <w:rPr>
                <w:sz w:val="20"/>
                <w:szCs w:val="20"/>
              </w:rPr>
            </w:pPr>
            <w:r>
              <w:rPr>
                <w:rFonts w:hint="eastAsia"/>
                <w:sz w:val="20"/>
                <w:szCs w:val="20"/>
              </w:rPr>
              <w:t>合并范围内关联方</w:t>
            </w:r>
          </w:p>
        </w:tc>
        <w:tc>
          <w:tcPr>
            <w:tcW w:w="1353" w:type="dxa"/>
            <w:vAlign w:val="center"/>
          </w:tcPr>
          <w:p w14:paraId="7ECD8C04" w14:textId="77777777" w:rsidR="00577D08" w:rsidRDefault="00330FC0">
            <w:pPr>
              <w:ind w:right="73"/>
              <w:jc w:val="center"/>
              <w:rPr>
                <w:sz w:val="20"/>
                <w:szCs w:val="20"/>
              </w:rPr>
            </w:pPr>
            <w:r>
              <w:rPr>
                <w:rFonts w:hint="eastAsia"/>
                <w:sz w:val="20"/>
                <w:szCs w:val="20"/>
              </w:rPr>
              <w:t>1</w:t>
            </w:r>
            <w:r>
              <w:rPr>
                <w:rFonts w:hint="eastAsia"/>
                <w:sz w:val="20"/>
                <w:szCs w:val="20"/>
              </w:rPr>
              <w:t>年以内</w:t>
            </w:r>
          </w:p>
        </w:tc>
        <w:tc>
          <w:tcPr>
            <w:tcW w:w="1209" w:type="dxa"/>
            <w:vAlign w:val="center"/>
          </w:tcPr>
          <w:p w14:paraId="2E816C71" w14:textId="77777777" w:rsidR="00577D08" w:rsidRDefault="00577D08">
            <w:pPr>
              <w:jc w:val="right"/>
              <w:rPr>
                <w:sz w:val="20"/>
                <w:szCs w:val="20"/>
              </w:rPr>
            </w:pPr>
          </w:p>
        </w:tc>
      </w:tr>
      <w:tr w:rsidR="00577D08" w14:paraId="68054832" w14:textId="77777777">
        <w:trPr>
          <w:cantSplit/>
        </w:trPr>
        <w:tc>
          <w:tcPr>
            <w:tcW w:w="1951" w:type="dxa"/>
            <w:vAlign w:val="center"/>
          </w:tcPr>
          <w:p w14:paraId="01DA153C" w14:textId="77777777" w:rsidR="00577D08" w:rsidRDefault="00330FC0">
            <w:pPr>
              <w:ind w:right="105"/>
              <w:jc w:val="both"/>
              <w:rPr>
                <w:sz w:val="20"/>
                <w:szCs w:val="20"/>
              </w:rPr>
            </w:pPr>
            <w:r>
              <w:rPr>
                <w:rFonts w:hint="eastAsia"/>
                <w:sz w:val="20"/>
                <w:szCs w:val="20"/>
              </w:rPr>
              <w:t>中交一公局交通工程有限公司</w:t>
            </w:r>
          </w:p>
        </w:tc>
        <w:tc>
          <w:tcPr>
            <w:tcW w:w="1559" w:type="dxa"/>
            <w:vAlign w:val="center"/>
          </w:tcPr>
          <w:p w14:paraId="266D3EF1" w14:textId="77777777" w:rsidR="00577D08" w:rsidRDefault="00330FC0">
            <w:pPr>
              <w:ind w:right="73"/>
              <w:jc w:val="right"/>
              <w:rPr>
                <w:sz w:val="20"/>
                <w:szCs w:val="20"/>
              </w:rPr>
            </w:pPr>
            <w:r>
              <w:rPr>
                <w:rFonts w:hint="eastAsia"/>
                <w:sz w:val="20"/>
                <w:szCs w:val="20"/>
              </w:rPr>
              <w:t>1,014,227.50</w:t>
            </w:r>
          </w:p>
        </w:tc>
        <w:tc>
          <w:tcPr>
            <w:tcW w:w="1560" w:type="dxa"/>
            <w:vAlign w:val="center"/>
          </w:tcPr>
          <w:p w14:paraId="48147A78" w14:textId="77777777" w:rsidR="00577D08" w:rsidRDefault="00330FC0">
            <w:pPr>
              <w:jc w:val="right"/>
              <w:rPr>
                <w:sz w:val="20"/>
                <w:szCs w:val="20"/>
              </w:rPr>
            </w:pPr>
            <w:r>
              <w:rPr>
                <w:rFonts w:hint="eastAsia"/>
                <w:sz w:val="20"/>
                <w:szCs w:val="20"/>
              </w:rPr>
              <w:t>0.26</w:t>
            </w:r>
          </w:p>
        </w:tc>
        <w:tc>
          <w:tcPr>
            <w:tcW w:w="1417" w:type="dxa"/>
            <w:vAlign w:val="center"/>
          </w:tcPr>
          <w:p w14:paraId="54AB330C" w14:textId="77777777" w:rsidR="00577D08" w:rsidRDefault="00330FC0">
            <w:pPr>
              <w:ind w:right="73"/>
              <w:jc w:val="center"/>
              <w:rPr>
                <w:sz w:val="20"/>
                <w:szCs w:val="20"/>
              </w:rPr>
            </w:pPr>
            <w:r>
              <w:rPr>
                <w:rFonts w:hint="eastAsia"/>
                <w:sz w:val="20"/>
                <w:szCs w:val="20"/>
              </w:rPr>
              <w:t>押金及保证金</w:t>
            </w:r>
          </w:p>
        </w:tc>
        <w:tc>
          <w:tcPr>
            <w:tcW w:w="1353" w:type="dxa"/>
            <w:vAlign w:val="center"/>
          </w:tcPr>
          <w:p w14:paraId="46D22AF3" w14:textId="77777777" w:rsidR="00577D08" w:rsidRDefault="00330FC0">
            <w:pPr>
              <w:ind w:right="73"/>
              <w:jc w:val="center"/>
              <w:rPr>
                <w:sz w:val="20"/>
                <w:szCs w:val="20"/>
              </w:rPr>
            </w:pPr>
            <w:r>
              <w:rPr>
                <w:rFonts w:hint="eastAsia"/>
                <w:sz w:val="20"/>
                <w:szCs w:val="20"/>
              </w:rPr>
              <w:t>2-3</w:t>
            </w:r>
            <w:r>
              <w:rPr>
                <w:rFonts w:hint="eastAsia"/>
                <w:sz w:val="20"/>
                <w:szCs w:val="20"/>
              </w:rPr>
              <w:t>年、</w:t>
            </w:r>
            <w:r>
              <w:rPr>
                <w:rFonts w:hint="eastAsia"/>
                <w:sz w:val="20"/>
                <w:szCs w:val="20"/>
              </w:rPr>
              <w:t>3-4</w:t>
            </w:r>
            <w:r>
              <w:rPr>
                <w:rFonts w:hint="eastAsia"/>
                <w:sz w:val="20"/>
                <w:szCs w:val="20"/>
              </w:rPr>
              <w:t>年、</w:t>
            </w:r>
            <w:r>
              <w:rPr>
                <w:rFonts w:hint="eastAsia"/>
                <w:sz w:val="20"/>
                <w:szCs w:val="20"/>
              </w:rPr>
              <w:t>4-5</w:t>
            </w:r>
            <w:r>
              <w:rPr>
                <w:rFonts w:hint="eastAsia"/>
                <w:sz w:val="20"/>
                <w:szCs w:val="20"/>
              </w:rPr>
              <w:t>年、</w:t>
            </w:r>
            <w:r>
              <w:rPr>
                <w:rFonts w:hint="eastAsia"/>
                <w:sz w:val="20"/>
                <w:szCs w:val="20"/>
              </w:rPr>
              <w:t>5</w:t>
            </w:r>
            <w:r>
              <w:rPr>
                <w:rFonts w:hint="eastAsia"/>
                <w:sz w:val="20"/>
                <w:szCs w:val="20"/>
              </w:rPr>
              <w:t>年以上</w:t>
            </w:r>
          </w:p>
        </w:tc>
        <w:tc>
          <w:tcPr>
            <w:tcW w:w="1209" w:type="dxa"/>
            <w:vAlign w:val="center"/>
          </w:tcPr>
          <w:p w14:paraId="07C69315" w14:textId="77777777" w:rsidR="00577D08" w:rsidRDefault="00330FC0">
            <w:pPr>
              <w:jc w:val="right"/>
              <w:rPr>
                <w:sz w:val="20"/>
                <w:szCs w:val="20"/>
              </w:rPr>
            </w:pPr>
            <w:r>
              <w:rPr>
                <w:rFonts w:hint="eastAsia"/>
                <w:sz w:val="20"/>
                <w:szCs w:val="20"/>
              </w:rPr>
              <w:t>826,690.26</w:t>
            </w:r>
          </w:p>
        </w:tc>
      </w:tr>
      <w:tr w:rsidR="00577D08" w14:paraId="7A8A225A" w14:textId="77777777">
        <w:trPr>
          <w:cantSplit/>
        </w:trPr>
        <w:tc>
          <w:tcPr>
            <w:tcW w:w="1951" w:type="dxa"/>
            <w:vAlign w:val="center"/>
          </w:tcPr>
          <w:p w14:paraId="2DAF8F84" w14:textId="77777777" w:rsidR="00577D08" w:rsidRDefault="00330FC0">
            <w:pPr>
              <w:ind w:right="105"/>
              <w:jc w:val="both"/>
              <w:rPr>
                <w:sz w:val="20"/>
                <w:szCs w:val="20"/>
              </w:rPr>
            </w:pPr>
            <w:r>
              <w:rPr>
                <w:rFonts w:hint="eastAsia"/>
                <w:sz w:val="20"/>
                <w:szCs w:val="20"/>
              </w:rPr>
              <w:t>中能建（上海）成套工程有限公司</w:t>
            </w:r>
          </w:p>
        </w:tc>
        <w:tc>
          <w:tcPr>
            <w:tcW w:w="1559" w:type="dxa"/>
            <w:vAlign w:val="center"/>
          </w:tcPr>
          <w:p w14:paraId="43217D44" w14:textId="77777777" w:rsidR="00577D08" w:rsidRDefault="00330FC0">
            <w:pPr>
              <w:ind w:right="73"/>
              <w:jc w:val="right"/>
              <w:rPr>
                <w:sz w:val="20"/>
                <w:szCs w:val="20"/>
              </w:rPr>
            </w:pPr>
            <w:r>
              <w:rPr>
                <w:rFonts w:hint="eastAsia"/>
                <w:sz w:val="20"/>
                <w:szCs w:val="20"/>
              </w:rPr>
              <w:t>800,000.00</w:t>
            </w:r>
          </w:p>
        </w:tc>
        <w:tc>
          <w:tcPr>
            <w:tcW w:w="1560" w:type="dxa"/>
            <w:vAlign w:val="center"/>
          </w:tcPr>
          <w:p w14:paraId="76CF6A06" w14:textId="77777777" w:rsidR="00577D08" w:rsidRDefault="00330FC0">
            <w:pPr>
              <w:jc w:val="right"/>
              <w:rPr>
                <w:sz w:val="20"/>
                <w:szCs w:val="20"/>
              </w:rPr>
            </w:pPr>
            <w:r>
              <w:rPr>
                <w:rFonts w:hint="eastAsia"/>
                <w:sz w:val="20"/>
                <w:szCs w:val="20"/>
              </w:rPr>
              <w:t>0.21</w:t>
            </w:r>
          </w:p>
        </w:tc>
        <w:tc>
          <w:tcPr>
            <w:tcW w:w="1417" w:type="dxa"/>
            <w:vAlign w:val="center"/>
          </w:tcPr>
          <w:p w14:paraId="0E235D98" w14:textId="77777777" w:rsidR="00577D08" w:rsidRDefault="00330FC0">
            <w:pPr>
              <w:ind w:right="73"/>
              <w:jc w:val="center"/>
              <w:rPr>
                <w:sz w:val="20"/>
                <w:szCs w:val="20"/>
              </w:rPr>
            </w:pPr>
            <w:r>
              <w:rPr>
                <w:rFonts w:hint="eastAsia"/>
                <w:sz w:val="20"/>
                <w:szCs w:val="20"/>
              </w:rPr>
              <w:t>押金及保证金</w:t>
            </w:r>
          </w:p>
        </w:tc>
        <w:tc>
          <w:tcPr>
            <w:tcW w:w="1353" w:type="dxa"/>
            <w:vAlign w:val="center"/>
          </w:tcPr>
          <w:p w14:paraId="7DCA5BF8" w14:textId="77777777" w:rsidR="00577D08" w:rsidRDefault="00330FC0">
            <w:pPr>
              <w:ind w:right="73"/>
              <w:jc w:val="center"/>
              <w:rPr>
                <w:sz w:val="20"/>
                <w:szCs w:val="20"/>
              </w:rPr>
            </w:pPr>
            <w:r>
              <w:rPr>
                <w:rFonts w:hint="eastAsia"/>
                <w:sz w:val="20"/>
                <w:szCs w:val="20"/>
              </w:rPr>
              <w:t>5</w:t>
            </w:r>
            <w:r>
              <w:rPr>
                <w:rFonts w:hint="eastAsia"/>
                <w:sz w:val="20"/>
                <w:szCs w:val="20"/>
              </w:rPr>
              <w:t>年以上</w:t>
            </w:r>
          </w:p>
        </w:tc>
        <w:tc>
          <w:tcPr>
            <w:tcW w:w="1209" w:type="dxa"/>
            <w:vAlign w:val="center"/>
          </w:tcPr>
          <w:p w14:paraId="57372B6F" w14:textId="77777777" w:rsidR="00577D08" w:rsidRDefault="00330FC0">
            <w:pPr>
              <w:jc w:val="right"/>
              <w:rPr>
                <w:sz w:val="20"/>
                <w:szCs w:val="20"/>
              </w:rPr>
            </w:pPr>
            <w:r>
              <w:rPr>
                <w:rFonts w:hint="eastAsia"/>
                <w:sz w:val="20"/>
                <w:szCs w:val="20"/>
              </w:rPr>
              <w:t>40,000.00</w:t>
            </w:r>
          </w:p>
        </w:tc>
      </w:tr>
      <w:tr w:rsidR="00577D08" w14:paraId="11F21C6F" w14:textId="77777777">
        <w:trPr>
          <w:cantSplit/>
        </w:trPr>
        <w:tc>
          <w:tcPr>
            <w:tcW w:w="1951" w:type="dxa"/>
          </w:tcPr>
          <w:p w14:paraId="2054DF84" w14:textId="77777777" w:rsidR="00577D08" w:rsidRDefault="00330FC0">
            <w:pPr>
              <w:ind w:right="105"/>
              <w:jc w:val="center"/>
              <w:rPr>
                <w:sz w:val="20"/>
                <w:szCs w:val="20"/>
              </w:rPr>
            </w:pPr>
            <w:r>
              <w:rPr>
                <w:rFonts w:hint="eastAsia"/>
                <w:sz w:val="20"/>
                <w:szCs w:val="20"/>
              </w:rPr>
              <w:t>合计</w:t>
            </w:r>
          </w:p>
        </w:tc>
        <w:tc>
          <w:tcPr>
            <w:tcW w:w="1559" w:type="dxa"/>
            <w:vAlign w:val="center"/>
          </w:tcPr>
          <w:p w14:paraId="730F9880" w14:textId="77777777" w:rsidR="00577D08" w:rsidRDefault="00330FC0">
            <w:pPr>
              <w:ind w:right="73"/>
              <w:jc w:val="right"/>
              <w:rPr>
                <w:sz w:val="20"/>
                <w:szCs w:val="20"/>
              </w:rPr>
            </w:pPr>
            <w:r>
              <w:rPr>
                <w:sz w:val="20"/>
                <w:szCs w:val="20"/>
              </w:rPr>
              <w:t>371,364,027.01</w:t>
            </w:r>
          </w:p>
        </w:tc>
        <w:tc>
          <w:tcPr>
            <w:tcW w:w="1560" w:type="dxa"/>
            <w:vAlign w:val="center"/>
          </w:tcPr>
          <w:p w14:paraId="385A66A1" w14:textId="77777777" w:rsidR="00577D08" w:rsidRDefault="00330FC0">
            <w:pPr>
              <w:jc w:val="right"/>
              <w:rPr>
                <w:sz w:val="20"/>
                <w:szCs w:val="20"/>
              </w:rPr>
            </w:pPr>
            <w:r>
              <w:rPr>
                <w:sz w:val="20"/>
                <w:szCs w:val="20"/>
              </w:rPr>
              <w:t>96.59</w:t>
            </w:r>
          </w:p>
        </w:tc>
        <w:tc>
          <w:tcPr>
            <w:tcW w:w="1417" w:type="dxa"/>
          </w:tcPr>
          <w:p w14:paraId="7F1FF957" w14:textId="77777777" w:rsidR="00577D08" w:rsidRDefault="00330FC0">
            <w:pPr>
              <w:ind w:right="73"/>
              <w:jc w:val="center"/>
              <w:rPr>
                <w:sz w:val="20"/>
                <w:szCs w:val="20"/>
              </w:rPr>
            </w:pPr>
            <w:r>
              <w:rPr>
                <w:sz w:val="20"/>
                <w:szCs w:val="20"/>
              </w:rPr>
              <w:t>/</w:t>
            </w:r>
          </w:p>
        </w:tc>
        <w:tc>
          <w:tcPr>
            <w:tcW w:w="1353" w:type="dxa"/>
          </w:tcPr>
          <w:p w14:paraId="08AD6A0E" w14:textId="77777777" w:rsidR="00577D08" w:rsidRDefault="00330FC0">
            <w:pPr>
              <w:ind w:right="73"/>
              <w:jc w:val="center"/>
              <w:rPr>
                <w:sz w:val="20"/>
                <w:szCs w:val="20"/>
              </w:rPr>
            </w:pPr>
            <w:r>
              <w:rPr>
                <w:sz w:val="20"/>
                <w:szCs w:val="20"/>
              </w:rPr>
              <w:t>/</w:t>
            </w:r>
          </w:p>
        </w:tc>
        <w:tc>
          <w:tcPr>
            <w:tcW w:w="1209" w:type="dxa"/>
            <w:vAlign w:val="center"/>
          </w:tcPr>
          <w:p w14:paraId="7FCA60D7" w14:textId="77777777" w:rsidR="00577D08" w:rsidRDefault="00330FC0">
            <w:pPr>
              <w:jc w:val="right"/>
              <w:rPr>
                <w:sz w:val="20"/>
                <w:szCs w:val="20"/>
              </w:rPr>
            </w:pPr>
            <w:r>
              <w:rPr>
                <w:sz w:val="20"/>
                <w:szCs w:val="20"/>
              </w:rPr>
              <w:t>866,690.26</w:t>
            </w:r>
          </w:p>
        </w:tc>
      </w:tr>
    </w:tbl>
    <w:p w14:paraId="10397969" w14:textId="77777777" w:rsidR="00577D08" w:rsidRDefault="00330FC0">
      <w:pPr>
        <w:pStyle w:val="5"/>
        <w:numPr>
          <w:ilvl w:val="0"/>
          <w:numId w:val="129"/>
        </w:numPr>
        <w:ind w:leftChars="0"/>
        <w:rPr>
          <w:rFonts w:asciiTheme="minorHAnsi" w:hAnsiTheme="minorHAnsi" w:cs="宋体"/>
          <w:kern w:val="0"/>
          <w:szCs w:val="22"/>
        </w:rPr>
      </w:pPr>
      <w:bookmarkStart w:id="529" w:name="_Hlk153798113"/>
      <w:bookmarkEnd w:id="528"/>
      <w:r>
        <w:rPr>
          <w:rFonts w:asciiTheme="minorHAnsi" w:hAnsiTheme="minorHAnsi" w:cs="宋体"/>
          <w:kern w:val="0"/>
          <w:szCs w:val="22"/>
        </w:rPr>
        <w:t>因资金集中管理而列报于其他应收款</w:t>
      </w:r>
    </w:p>
    <w:sdt>
      <w:sdtPr>
        <w:alias w:val="是否适用：母公司因资金集中管理而列报于其他应收款[双击切换]"/>
        <w:tag w:val="_GBC_618dc514c72c4f30836fe51ef5fc4589"/>
        <w:id w:val="2000150175"/>
        <w:placeholder>
          <w:docPart w:val="GBC22222222222222222222222222222"/>
        </w:placeholder>
      </w:sdtPr>
      <w:sdtContent>
        <w:p w14:paraId="07F375A2" w14:textId="77777777" w:rsidR="00577D08" w:rsidRDefault="00330FC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29"/>
    <w:p w14:paraId="21F47C14" w14:textId="77777777" w:rsidR="00577D08" w:rsidRDefault="00330FC0">
      <w:r>
        <w:rPr>
          <w:rFonts w:hint="eastAsia"/>
        </w:rPr>
        <w:t>其他</w:t>
      </w:r>
      <w:r>
        <w:t>说明：</w:t>
      </w:r>
    </w:p>
    <w:sdt>
      <w:sdtPr>
        <w:rPr>
          <w:rFonts w:hint="eastAsia"/>
        </w:rPr>
        <w:alias w:val="是否适用：母公司其他应收款的其他说明[双击切换]"/>
        <w:tag w:val="_GBC_479bc9ed241548c695a3905f38eb23fd"/>
        <w:id w:val="-2052064853"/>
        <w:placeholder>
          <w:docPart w:val="GBC22222222222222222222222222222"/>
        </w:placeholder>
      </w:sdtPr>
      <w:sdtContent>
        <w:p w14:paraId="3B48D5E5"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44288BB" w14:textId="77777777" w:rsidR="00577D08" w:rsidRDefault="00577D08"/>
    <w:p w14:paraId="37846645" w14:textId="77777777" w:rsidR="00577D08" w:rsidRDefault="00577D08">
      <w:pPr>
        <w:sectPr w:rsidR="00577D08">
          <w:pgSz w:w="11906" w:h="16838"/>
          <w:pgMar w:top="1525" w:right="1276" w:bottom="1440" w:left="1797" w:header="856" w:footer="992" w:gutter="0"/>
          <w:cols w:space="425"/>
          <w:docGrid w:linePitch="312"/>
        </w:sectPr>
      </w:pPr>
    </w:p>
    <w:p w14:paraId="6D54341D" w14:textId="77777777" w:rsidR="00577D08" w:rsidRDefault="00330FC0">
      <w:pPr>
        <w:pStyle w:val="3"/>
        <w:numPr>
          <w:ilvl w:val="0"/>
          <w:numId w:val="125"/>
        </w:numPr>
        <w:rPr>
          <w:rFonts w:ascii="宋体" w:hAnsi="宋体" w:hint="eastAsia"/>
          <w:szCs w:val="21"/>
        </w:rPr>
      </w:pPr>
      <w:r>
        <w:rPr>
          <w:rFonts w:ascii="宋体" w:hAnsi="宋体" w:hint="eastAsia"/>
          <w:szCs w:val="21"/>
        </w:rPr>
        <w:lastRenderedPageBreak/>
        <w:t>长期股权投资</w:t>
      </w:r>
    </w:p>
    <w:sdt>
      <w:sdtPr>
        <w:alias w:val="是否适用：母公司长期股权投资[双击切换]"/>
        <w:tag w:val="_GBC_57a2f87498c64eab83308bdf3afc6268"/>
        <w:id w:val="-1517300843"/>
        <w:lock w:val="contentLocked"/>
        <w:placeholder>
          <w:docPart w:val="GBC22222222222222222222222222222"/>
        </w:placeholder>
      </w:sdtPr>
      <w:sdtContent>
        <w:p w14:paraId="52602E93"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EE7A8ED" w14:textId="05859105" w:rsidR="00577D08" w:rsidRDefault="00330FC0">
      <w:pPr>
        <w:jc w:val="right"/>
      </w:pPr>
      <w:r>
        <w:rPr>
          <w:rFonts w:hint="eastAsia"/>
        </w:rPr>
        <w:t>单位：</w:t>
      </w:r>
      <w:sdt>
        <w:sdtPr>
          <w:rPr>
            <w:rFonts w:hint="eastAsia"/>
          </w:rPr>
          <w:alias w:val="单位：母公司财务附注：长期股权投资"/>
          <w:tag w:val="_GBC_9d11e81055cb4017a0055a75ae95ae64"/>
          <w:id w:val="17126149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财务附注：长期股权投资"/>
          <w:tag w:val="_GBC_fbeeb4a7e8254b6dbbd1030f26dad505"/>
          <w:id w:val="-21419508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741"/>
        <w:gridCol w:w="1702"/>
        <w:gridCol w:w="1702"/>
        <w:gridCol w:w="1744"/>
        <w:gridCol w:w="1722"/>
        <w:gridCol w:w="1705"/>
      </w:tblGrid>
      <w:tr w:rsidR="00577D08" w14:paraId="2C474566" w14:textId="77777777">
        <w:trPr>
          <w:cantSplit/>
        </w:trPr>
        <w:sdt>
          <w:sdtPr>
            <w:tag w:val="_PLD_0747ffd7336145fcb6d5e622fab54966"/>
            <w:id w:val="-1961090737"/>
          </w:sdtPr>
          <w:sdtContent>
            <w:tc>
              <w:tcPr>
                <w:tcW w:w="1279" w:type="pct"/>
                <w:vMerge w:val="restart"/>
                <w:vAlign w:val="center"/>
              </w:tcPr>
              <w:p w14:paraId="284858AD" w14:textId="77777777" w:rsidR="00577D08" w:rsidRDefault="00330FC0">
                <w:pPr>
                  <w:jc w:val="center"/>
                </w:pPr>
                <w:r>
                  <w:rPr>
                    <w:rFonts w:hint="eastAsia"/>
                  </w:rPr>
                  <w:t>项目</w:t>
                </w:r>
              </w:p>
            </w:tc>
          </w:sdtContent>
        </w:sdt>
        <w:sdt>
          <w:sdtPr>
            <w:tag w:val="_PLD_0b9f6f6d89c44029bf1de3ed5f6a4aa0"/>
            <w:id w:val="368198640"/>
          </w:sdtPr>
          <w:sdtContent>
            <w:tc>
              <w:tcPr>
                <w:tcW w:w="1856" w:type="pct"/>
                <w:gridSpan w:val="3"/>
                <w:vAlign w:val="center"/>
              </w:tcPr>
              <w:p w14:paraId="7A7EB0BF" w14:textId="77777777" w:rsidR="00577D08" w:rsidRDefault="00330FC0">
                <w:pPr>
                  <w:jc w:val="center"/>
                </w:pPr>
                <w:r>
                  <w:rPr>
                    <w:rFonts w:hint="eastAsia"/>
                  </w:rPr>
                  <w:t>期末余额</w:t>
                </w:r>
              </w:p>
            </w:tc>
          </w:sdtContent>
        </w:sdt>
        <w:sdt>
          <w:sdtPr>
            <w:tag w:val="_PLD_d1ebeae29ff34029a10a8e0c447a171b"/>
            <w:id w:val="-1422251394"/>
          </w:sdtPr>
          <w:sdtContent>
            <w:tc>
              <w:tcPr>
                <w:tcW w:w="1865" w:type="pct"/>
                <w:gridSpan w:val="3"/>
                <w:vAlign w:val="center"/>
              </w:tcPr>
              <w:p w14:paraId="694F8FA9" w14:textId="77777777" w:rsidR="00577D08" w:rsidRDefault="00330FC0">
                <w:pPr>
                  <w:jc w:val="center"/>
                </w:pPr>
                <w:r>
                  <w:rPr>
                    <w:rFonts w:hint="eastAsia"/>
                  </w:rPr>
                  <w:t>期初余额</w:t>
                </w:r>
              </w:p>
            </w:tc>
          </w:sdtContent>
        </w:sdt>
      </w:tr>
      <w:tr w:rsidR="00577D08" w14:paraId="788B0B10" w14:textId="77777777">
        <w:trPr>
          <w:cantSplit/>
        </w:trPr>
        <w:tc>
          <w:tcPr>
            <w:tcW w:w="1279" w:type="pct"/>
            <w:vMerge/>
            <w:vAlign w:val="center"/>
          </w:tcPr>
          <w:p w14:paraId="453E2F53" w14:textId="77777777" w:rsidR="00577D08" w:rsidRDefault="00577D08">
            <w:pPr>
              <w:jc w:val="center"/>
            </w:pPr>
          </w:p>
        </w:tc>
        <w:sdt>
          <w:sdtPr>
            <w:tag w:val="_PLD_dd00c7deeb1e4ede9c3e40d64760a230"/>
            <w:id w:val="-2066169435"/>
          </w:sdtPr>
          <w:sdtContent>
            <w:tc>
              <w:tcPr>
                <w:tcW w:w="628" w:type="pct"/>
                <w:vAlign w:val="center"/>
              </w:tcPr>
              <w:p w14:paraId="7DAA51C0" w14:textId="77777777" w:rsidR="00577D08" w:rsidRDefault="00330FC0">
                <w:pPr>
                  <w:jc w:val="center"/>
                </w:pPr>
                <w:r>
                  <w:rPr>
                    <w:rFonts w:hint="eastAsia"/>
                  </w:rPr>
                  <w:t>账面余额</w:t>
                </w:r>
              </w:p>
            </w:tc>
          </w:sdtContent>
        </w:sdt>
        <w:sdt>
          <w:sdtPr>
            <w:tag w:val="_PLD_dc4e6ed6511949b7a546924cafae2546"/>
            <w:id w:val="1157969037"/>
          </w:sdtPr>
          <w:sdtContent>
            <w:tc>
              <w:tcPr>
                <w:tcW w:w="614" w:type="pct"/>
                <w:vAlign w:val="center"/>
              </w:tcPr>
              <w:p w14:paraId="0A0F2159" w14:textId="77777777" w:rsidR="00577D08" w:rsidRDefault="00330FC0">
                <w:pPr>
                  <w:jc w:val="center"/>
                </w:pPr>
                <w:r>
                  <w:rPr>
                    <w:rFonts w:hint="eastAsia"/>
                  </w:rPr>
                  <w:t>减值准备</w:t>
                </w:r>
              </w:p>
            </w:tc>
          </w:sdtContent>
        </w:sdt>
        <w:sdt>
          <w:sdtPr>
            <w:tag w:val="_PLD_1d7bbdc4e6144c95a3fcb7369904bea6"/>
            <w:id w:val="1580788175"/>
          </w:sdtPr>
          <w:sdtContent>
            <w:tc>
              <w:tcPr>
                <w:tcW w:w="614" w:type="pct"/>
                <w:vAlign w:val="center"/>
              </w:tcPr>
              <w:p w14:paraId="017F0AB5" w14:textId="77777777" w:rsidR="00577D08" w:rsidRDefault="00330FC0">
                <w:pPr>
                  <w:jc w:val="center"/>
                </w:pPr>
                <w:r>
                  <w:rPr>
                    <w:rFonts w:hint="eastAsia"/>
                  </w:rPr>
                  <w:t>账面价值</w:t>
                </w:r>
              </w:p>
            </w:tc>
          </w:sdtContent>
        </w:sdt>
        <w:sdt>
          <w:sdtPr>
            <w:tag w:val="_PLD_bd8a9c944702423e9ff20ddba1c4b3aa"/>
            <w:id w:val="625660765"/>
          </w:sdtPr>
          <w:sdtContent>
            <w:tc>
              <w:tcPr>
                <w:tcW w:w="629" w:type="pct"/>
                <w:vAlign w:val="center"/>
              </w:tcPr>
              <w:p w14:paraId="01CA7E26" w14:textId="77777777" w:rsidR="00577D08" w:rsidRDefault="00330FC0">
                <w:pPr>
                  <w:jc w:val="center"/>
                </w:pPr>
                <w:r>
                  <w:rPr>
                    <w:rFonts w:hint="eastAsia"/>
                  </w:rPr>
                  <w:t>账面余额</w:t>
                </w:r>
              </w:p>
            </w:tc>
          </w:sdtContent>
        </w:sdt>
        <w:sdt>
          <w:sdtPr>
            <w:tag w:val="_PLD_708c7153bc9a48c792e109da0ba5f2f8"/>
            <w:id w:val="244007705"/>
          </w:sdtPr>
          <w:sdtContent>
            <w:tc>
              <w:tcPr>
                <w:tcW w:w="621" w:type="pct"/>
                <w:vAlign w:val="center"/>
              </w:tcPr>
              <w:p w14:paraId="50563AB7" w14:textId="77777777" w:rsidR="00577D08" w:rsidRDefault="00330FC0">
                <w:pPr>
                  <w:jc w:val="center"/>
                </w:pPr>
                <w:r>
                  <w:rPr>
                    <w:rFonts w:hint="eastAsia"/>
                  </w:rPr>
                  <w:t>减值准备</w:t>
                </w:r>
              </w:p>
            </w:tc>
          </w:sdtContent>
        </w:sdt>
        <w:sdt>
          <w:sdtPr>
            <w:tag w:val="_PLD_1516e7000a9747a28074e3f321fa96a7"/>
            <w:id w:val="1531846117"/>
          </w:sdtPr>
          <w:sdtContent>
            <w:tc>
              <w:tcPr>
                <w:tcW w:w="615" w:type="pct"/>
                <w:vAlign w:val="center"/>
              </w:tcPr>
              <w:p w14:paraId="17176BB0" w14:textId="77777777" w:rsidR="00577D08" w:rsidRDefault="00330FC0">
                <w:pPr>
                  <w:jc w:val="center"/>
                </w:pPr>
                <w:r>
                  <w:rPr>
                    <w:rFonts w:hint="eastAsia"/>
                  </w:rPr>
                  <w:t>账面价值</w:t>
                </w:r>
              </w:p>
            </w:tc>
          </w:sdtContent>
        </w:sdt>
      </w:tr>
      <w:tr w:rsidR="00577D08" w14:paraId="6148BCE0" w14:textId="77777777">
        <w:trPr>
          <w:cantSplit/>
        </w:trPr>
        <w:tc>
          <w:tcPr>
            <w:tcW w:w="1279" w:type="pct"/>
            <w:vAlign w:val="center"/>
          </w:tcPr>
          <w:p w14:paraId="093453A3" w14:textId="77777777" w:rsidR="00577D08" w:rsidRDefault="00330FC0">
            <w:r>
              <w:rPr>
                <w:rFonts w:hint="eastAsia"/>
              </w:rPr>
              <w:t>对子公司投资</w:t>
            </w:r>
          </w:p>
        </w:tc>
        <w:tc>
          <w:tcPr>
            <w:tcW w:w="628" w:type="pct"/>
          </w:tcPr>
          <w:p w14:paraId="37793A34" w14:textId="77777777" w:rsidR="00577D08" w:rsidRDefault="00330FC0">
            <w:pPr>
              <w:jc w:val="right"/>
            </w:pPr>
            <w:r>
              <w:t>837,978,675.90</w:t>
            </w:r>
          </w:p>
        </w:tc>
        <w:tc>
          <w:tcPr>
            <w:tcW w:w="614" w:type="pct"/>
          </w:tcPr>
          <w:p w14:paraId="40BABA40" w14:textId="77777777" w:rsidR="00577D08" w:rsidRDefault="00577D08">
            <w:pPr>
              <w:jc w:val="right"/>
            </w:pPr>
          </w:p>
        </w:tc>
        <w:tc>
          <w:tcPr>
            <w:tcW w:w="614" w:type="pct"/>
          </w:tcPr>
          <w:p w14:paraId="56880F87" w14:textId="77777777" w:rsidR="00577D08" w:rsidRDefault="00330FC0">
            <w:pPr>
              <w:jc w:val="right"/>
            </w:pPr>
            <w:r>
              <w:t>837,978,675.90</w:t>
            </w:r>
          </w:p>
        </w:tc>
        <w:tc>
          <w:tcPr>
            <w:tcW w:w="629" w:type="pct"/>
          </w:tcPr>
          <w:p w14:paraId="3CC8858F" w14:textId="77777777" w:rsidR="00577D08" w:rsidRDefault="00330FC0">
            <w:pPr>
              <w:jc w:val="right"/>
            </w:pPr>
            <w:r>
              <w:t>660,425,575.90</w:t>
            </w:r>
          </w:p>
        </w:tc>
        <w:tc>
          <w:tcPr>
            <w:tcW w:w="621" w:type="pct"/>
          </w:tcPr>
          <w:p w14:paraId="73B89EC8" w14:textId="77777777" w:rsidR="00577D08" w:rsidRDefault="00577D08">
            <w:pPr>
              <w:jc w:val="right"/>
            </w:pPr>
          </w:p>
        </w:tc>
        <w:tc>
          <w:tcPr>
            <w:tcW w:w="615" w:type="pct"/>
          </w:tcPr>
          <w:p w14:paraId="0CB044B6" w14:textId="77777777" w:rsidR="00577D08" w:rsidRDefault="00330FC0">
            <w:pPr>
              <w:jc w:val="right"/>
            </w:pPr>
            <w:r>
              <w:t>660,425,575.90</w:t>
            </w:r>
          </w:p>
        </w:tc>
      </w:tr>
      <w:tr w:rsidR="00577D08" w14:paraId="1B174FC7" w14:textId="77777777">
        <w:trPr>
          <w:cantSplit/>
        </w:trPr>
        <w:tc>
          <w:tcPr>
            <w:tcW w:w="1279" w:type="pct"/>
            <w:vAlign w:val="center"/>
          </w:tcPr>
          <w:p w14:paraId="3E82D782" w14:textId="77777777" w:rsidR="00577D08" w:rsidRDefault="00330FC0">
            <w:r>
              <w:rPr>
                <w:rFonts w:hint="eastAsia"/>
              </w:rPr>
              <w:t>对联营、合营企业投资</w:t>
            </w:r>
          </w:p>
        </w:tc>
        <w:tc>
          <w:tcPr>
            <w:tcW w:w="628" w:type="pct"/>
          </w:tcPr>
          <w:p w14:paraId="3C9272EA" w14:textId="77777777" w:rsidR="00577D08" w:rsidRDefault="00330FC0">
            <w:pPr>
              <w:jc w:val="right"/>
            </w:pPr>
            <w:r>
              <w:t>16,104,348.61</w:t>
            </w:r>
          </w:p>
        </w:tc>
        <w:tc>
          <w:tcPr>
            <w:tcW w:w="614" w:type="pct"/>
          </w:tcPr>
          <w:p w14:paraId="594F48EF" w14:textId="77777777" w:rsidR="00577D08" w:rsidRDefault="00577D08">
            <w:pPr>
              <w:jc w:val="right"/>
            </w:pPr>
          </w:p>
        </w:tc>
        <w:tc>
          <w:tcPr>
            <w:tcW w:w="614" w:type="pct"/>
          </w:tcPr>
          <w:p w14:paraId="51ADCF11" w14:textId="77777777" w:rsidR="00577D08" w:rsidRDefault="00330FC0">
            <w:pPr>
              <w:jc w:val="right"/>
            </w:pPr>
            <w:r>
              <w:t>16,104,348.61</w:t>
            </w:r>
          </w:p>
        </w:tc>
        <w:tc>
          <w:tcPr>
            <w:tcW w:w="629" w:type="pct"/>
          </w:tcPr>
          <w:p w14:paraId="13ED9BA4" w14:textId="77777777" w:rsidR="00577D08" w:rsidRDefault="00330FC0">
            <w:pPr>
              <w:jc w:val="right"/>
            </w:pPr>
            <w:r>
              <w:t>14,718,479.56</w:t>
            </w:r>
          </w:p>
        </w:tc>
        <w:tc>
          <w:tcPr>
            <w:tcW w:w="621" w:type="pct"/>
          </w:tcPr>
          <w:p w14:paraId="1D789B9A" w14:textId="77777777" w:rsidR="00577D08" w:rsidRDefault="00577D08">
            <w:pPr>
              <w:jc w:val="right"/>
            </w:pPr>
          </w:p>
        </w:tc>
        <w:tc>
          <w:tcPr>
            <w:tcW w:w="615" w:type="pct"/>
          </w:tcPr>
          <w:p w14:paraId="36F61F30" w14:textId="77777777" w:rsidR="00577D08" w:rsidRDefault="00330FC0">
            <w:pPr>
              <w:jc w:val="right"/>
            </w:pPr>
            <w:r>
              <w:t>14,718,479.56</w:t>
            </w:r>
          </w:p>
        </w:tc>
      </w:tr>
      <w:tr w:rsidR="00577D08" w14:paraId="58B2BAE7" w14:textId="77777777">
        <w:trPr>
          <w:cantSplit/>
        </w:trPr>
        <w:tc>
          <w:tcPr>
            <w:tcW w:w="1279" w:type="pct"/>
            <w:vAlign w:val="center"/>
          </w:tcPr>
          <w:p w14:paraId="685C48E0" w14:textId="77777777" w:rsidR="00577D08" w:rsidRDefault="00330FC0">
            <w:pPr>
              <w:jc w:val="center"/>
            </w:pPr>
            <w:r>
              <w:rPr>
                <w:rFonts w:hint="eastAsia"/>
              </w:rPr>
              <w:t>合计</w:t>
            </w:r>
          </w:p>
        </w:tc>
        <w:tc>
          <w:tcPr>
            <w:tcW w:w="628" w:type="pct"/>
          </w:tcPr>
          <w:p w14:paraId="3764B36F" w14:textId="77777777" w:rsidR="00577D08" w:rsidRDefault="00330FC0">
            <w:pPr>
              <w:jc w:val="right"/>
            </w:pPr>
            <w:r>
              <w:t>854,083,024.51</w:t>
            </w:r>
          </w:p>
        </w:tc>
        <w:tc>
          <w:tcPr>
            <w:tcW w:w="614" w:type="pct"/>
          </w:tcPr>
          <w:p w14:paraId="2D447F0B" w14:textId="77777777" w:rsidR="00577D08" w:rsidRDefault="00577D08">
            <w:pPr>
              <w:jc w:val="right"/>
            </w:pPr>
          </w:p>
        </w:tc>
        <w:tc>
          <w:tcPr>
            <w:tcW w:w="614" w:type="pct"/>
          </w:tcPr>
          <w:p w14:paraId="37CA9B0B" w14:textId="77777777" w:rsidR="00577D08" w:rsidRDefault="00330FC0">
            <w:pPr>
              <w:jc w:val="right"/>
            </w:pPr>
            <w:r>
              <w:t>854,083,024.51</w:t>
            </w:r>
          </w:p>
        </w:tc>
        <w:tc>
          <w:tcPr>
            <w:tcW w:w="629" w:type="pct"/>
          </w:tcPr>
          <w:p w14:paraId="72AACADC" w14:textId="77777777" w:rsidR="00577D08" w:rsidRDefault="00330FC0">
            <w:pPr>
              <w:jc w:val="right"/>
            </w:pPr>
            <w:r>
              <w:t>675,144,055.46</w:t>
            </w:r>
          </w:p>
        </w:tc>
        <w:tc>
          <w:tcPr>
            <w:tcW w:w="621" w:type="pct"/>
          </w:tcPr>
          <w:p w14:paraId="1D356045" w14:textId="77777777" w:rsidR="00577D08" w:rsidRDefault="00577D08">
            <w:pPr>
              <w:jc w:val="right"/>
            </w:pPr>
          </w:p>
        </w:tc>
        <w:tc>
          <w:tcPr>
            <w:tcW w:w="615" w:type="pct"/>
          </w:tcPr>
          <w:p w14:paraId="23BB04C5" w14:textId="77777777" w:rsidR="00577D08" w:rsidRDefault="00330FC0">
            <w:pPr>
              <w:jc w:val="right"/>
            </w:pPr>
            <w:r>
              <w:t>675,144,055.46</w:t>
            </w:r>
          </w:p>
        </w:tc>
      </w:tr>
    </w:tbl>
    <w:p w14:paraId="5BB918BE" w14:textId="77777777" w:rsidR="00577D08" w:rsidRDefault="00330FC0">
      <w:pPr>
        <w:pStyle w:val="4"/>
        <w:numPr>
          <w:ilvl w:val="0"/>
          <w:numId w:val="130"/>
        </w:numPr>
        <w:rPr>
          <w:rFonts w:hint="eastAsia"/>
        </w:rPr>
      </w:pPr>
      <w:bookmarkStart w:id="530" w:name="_Hlk183097113"/>
      <w:r>
        <w:rPr>
          <w:rFonts w:hint="eastAsia"/>
        </w:rPr>
        <w:t>对子公司投资</w:t>
      </w:r>
    </w:p>
    <w:sdt>
      <w:sdtPr>
        <w:alias w:val="是否适用：母公司对子公司投资[双击切换]"/>
        <w:tag w:val="_GBC_db6ca6099b0a42bca0cbba7ead69557f"/>
        <w:id w:val="805977907"/>
        <w:placeholder>
          <w:docPart w:val="GBC22222222222222222222222222222"/>
        </w:placeholder>
      </w:sdtPr>
      <w:sdtContent>
        <w:p w14:paraId="66F70F48"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F122A54" w14:textId="5DFF8E9E" w:rsidR="00577D08" w:rsidRDefault="00330FC0">
      <w:pPr>
        <w:jc w:val="right"/>
      </w:pPr>
      <w:r>
        <w:rPr>
          <w:rFonts w:hint="eastAsia"/>
        </w:rPr>
        <w:t>单位：</w:t>
      </w:r>
      <w:sdt>
        <w:sdtPr>
          <w:rPr>
            <w:rFonts w:hint="eastAsia"/>
          </w:rPr>
          <w:alias w:val="单位：母公司财务附注：对子公司投资"/>
          <w:tag w:val="_GBC_744810ff600d4176af7d45c0bf0b7978"/>
          <w:id w:val="-3630695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财务附注：对子公司投资"/>
          <w:tag w:val="_GBC_d2f8249dd813484db8850cd3e6e60609"/>
          <w:id w:val="-5175517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1529"/>
        <w:gridCol w:w="1519"/>
        <w:gridCol w:w="1529"/>
        <w:gridCol w:w="1512"/>
        <w:gridCol w:w="1476"/>
        <w:gridCol w:w="1542"/>
        <w:gridCol w:w="1553"/>
        <w:gridCol w:w="1520"/>
      </w:tblGrid>
      <w:tr w:rsidR="00577D08" w14:paraId="4E69A7E4" w14:textId="77777777">
        <w:trPr>
          <w:trHeight w:val="226"/>
        </w:trPr>
        <w:sdt>
          <w:sdtPr>
            <w:tag w:val="_PLD_d6bd1b977853473e95bd45b9709f33ad"/>
            <w:id w:val="-2099474490"/>
          </w:sdtPr>
          <w:sdtContent>
            <w:tc>
              <w:tcPr>
                <w:tcW w:w="608" w:type="pct"/>
                <w:vMerge w:val="restart"/>
                <w:tcBorders>
                  <w:top w:val="single" w:sz="4" w:space="0" w:color="auto"/>
                  <w:left w:val="single" w:sz="4" w:space="0" w:color="auto"/>
                  <w:right w:val="single" w:sz="4" w:space="0" w:color="auto"/>
                </w:tcBorders>
                <w:vAlign w:val="center"/>
              </w:tcPr>
              <w:p w14:paraId="66EEA4F1" w14:textId="77777777" w:rsidR="00577D08" w:rsidRDefault="00330FC0">
                <w:pPr>
                  <w:jc w:val="center"/>
                </w:pPr>
                <w:r>
                  <w:rPr>
                    <w:rFonts w:hint="eastAsia"/>
                  </w:rPr>
                  <w:t>被投资单位</w:t>
                </w:r>
              </w:p>
            </w:tc>
          </w:sdtContent>
        </w:sdt>
        <w:sdt>
          <w:sdtPr>
            <w:tag w:val="_PLD_dfca273db8c94621ae808db0b8393c3e"/>
            <w:id w:val="223720499"/>
          </w:sdtPr>
          <w:sdtContent>
            <w:tc>
              <w:tcPr>
                <w:tcW w:w="548" w:type="pct"/>
                <w:vMerge w:val="restart"/>
                <w:tcBorders>
                  <w:top w:val="single" w:sz="4" w:space="0" w:color="auto"/>
                  <w:left w:val="single" w:sz="4" w:space="0" w:color="auto"/>
                  <w:right w:val="single" w:sz="4" w:space="0" w:color="auto"/>
                </w:tcBorders>
                <w:vAlign w:val="center"/>
              </w:tcPr>
              <w:p w14:paraId="6C3A95E1" w14:textId="77777777" w:rsidR="00577D08" w:rsidRDefault="00330FC0">
                <w:pPr>
                  <w:jc w:val="center"/>
                </w:pPr>
                <w:r>
                  <w:rPr>
                    <w:rFonts w:hint="eastAsia"/>
                  </w:rPr>
                  <w:t>期初余额（账面价值）</w:t>
                </w:r>
              </w:p>
            </w:tc>
          </w:sdtContent>
        </w:sdt>
        <w:sdt>
          <w:sdtPr>
            <w:tag w:val="_PLD_207fa0db16cd408da51641aebf065076"/>
            <w:id w:val="2071064767"/>
          </w:sdtPr>
          <w:sdtContent>
            <w:tc>
              <w:tcPr>
                <w:tcW w:w="549" w:type="pct"/>
                <w:vMerge w:val="restart"/>
                <w:tcBorders>
                  <w:top w:val="single" w:sz="4" w:space="0" w:color="auto"/>
                  <w:left w:val="single" w:sz="4" w:space="0" w:color="auto"/>
                  <w:right w:val="single" w:sz="4" w:space="0" w:color="auto"/>
                </w:tcBorders>
                <w:vAlign w:val="center"/>
              </w:tcPr>
              <w:p w14:paraId="1E94BAE6" w14:textId="77777777" w:rsidR="00577D08" w:rsidRDefault="00330FC0">
                <w:pPr>
                  <w:jc w:val="center"/>
                </w:pPr>
                <w:r>
                  <w:rPr>
                    <w:rFonts w:hint="eastAsia"/>
                  </w:rPr>
                  <w:t>减值准备期初余额</w:t>
                </w:r>
              </w:p>
            </w:tc>
          </w:sdtContent>
        </w:sdt>
        <w:sdt>
          <w:sdtPr>
            <w:tag w:val="_PLD_102d3532a197425b9668f17eda325ed9"/>
            <w:id w:val="1150172982"/>
          </w:sdtPr>
          <w:sdtContent>
            <w:tc>
              <w:tcPr>
                <w:tcW w:w="2185" w:type="pct"/>
                <w:gridSpan w:val="4"/>
                <w:tcBorders>
                  <w:top w:val="single" w:sz="4" w:space="0" w:color="auto"/>
                  <w:left w:val="single" w:sz="4" w:space="0" w:color="auto"/>
                  <w:bottom w:val="single" w:sz="4" w:space="0" w:color="auto"/>
                  <w:right w:val="single" w:sz="4" w:space="0" w:color="auto"/>
                </w:tcBorders>
                <w:vAlign w:val="center"/>
              </w:tcPr>
              <w:p w14:paraId="4AD2BB3B" w14:textId="77777777" w:rsidR="00577D08" w:rsidRDefault="00330FC0">
                <w:pPr>
                  <w:jc w:val="center"/>
                </w:pPr>
                <w:r>
                  <w:rPr>
                    <w:rFonts w:hint="eastAsia"/>
                  </w:rPr>
                  <w:t>本期增减变动</w:t>
                </w:r>
              </w:p>
            </w:tc>
          </w:sdtContent>
        </w:sdt>
        <w:sdt>
          <w:sdtPr>
            <w:tag w:val="_PLD_2554c67582634570800484fc9e2a0422"/>
            <w:id w:val="1411660652"/>
          </w:sdtPr>
          <w:sdtContent>
            <w:tc>
              <w:tcPr>
                <w:tcW w:w="561" w:type="pct"/>
                <w:vMerge w:val="restart"/>
                <w:tcBorders>
                  <w:top w:val="single" w:sz="4" w:space="0" w:color="auto"/>
                  <w:left w:val="single" w:sz="4" w:space="0" w:color="auto"/>
                  <w:right w:val="single" w:sz="4" w:space="0" w:color="auto"/>
                </w:tcBorders>
                <w:vAlign w:val="center"/>
              </w:tcPr>
              <w:p w14:paraId="1165B0AF" w14:textId="77777777" w:rsidR="00577D08" w:rsidRDefault="00330FC0">
                <w:pPr>
                  <w:jc w:val="center"/>
                </w:pPr>
                <w:r>
                  <w:rPr>
                    <w:rFonts w:hint="eastAsia"/>
                  </w:rPr>
                  <w:t>期末余额（账面价值）</w:t>
                </w:r>
              </w:p>
            </w:tc>
          </w:sdtContent>
        </w:sdt>
        <w:sdt>
          <w:sdtPr>
            <w:tag w:val="_PLD_506ae787a0d747fd8b850b3b13cc1e28"/>
            <w:id w:val="-488326849"/>
          </w:sdtPr>
          <w:sdtContent>
            <w:tc>
              <w:tcPr>
                <w:tcW w:w="549" w:type="pct"/>
                <w:vMerge w:val="restart"/>
                <w:tcBorders>
                  <w:top w:val="single" w:sz="4" w:space="0" w:color="auto"/>
                  <w:left w:val="single" w:sz="4" w:space="0" w:color="auto"/>
                  <w:right w:val="single" w:sz="4" w:space="0" w:color="auto"/>
                </w:tcBorders>
                <w:vAlign w:val="center"/>
              </w:tcPr>
              <w:p w14:paraId="0537F2C8" w14:textId="77777777" w:rsidR="00577D08" w:rsidRDefault="00330FC0">
                <w:pPr>
                  <w:jc w:val="center"/>
                </w:pPr>
                <w:r>
                  <w:rPr>
                    <w:rFonts w:hint="eastAsia"/>
                  </w:rPr>
                  <w:t>减值准备期末余额</w:t>
                </w:r>
              </w:p>
            </w:tc>
          </w:sdtContent>
        </w:sdt>
      </w:tr>
      <w:tr w:rsidR="00577D08" w14:paraId="7C2D8B3C" w14:textId="77777777">
        <w:trPr>
          <w:trHeight w:val="405"/>
        </w:trPr>
        <w:tc>
          <w:tcPr>
            <w:tcW w:w="608" w:type="pct"/>
            <w:vMerge/>
            <w:tcBorders>
              <w:left w:val="single" w:sz="4" w:space="0" w:color="auto"/>
              <w:bottom w:val="single" w:sz="4" w:space="0" w:color="auto"/>
              <w:right w:val="single" w:sz="4" w:space="0" w:color="auto"/>
            </w:tcBorders>
            <w:vAlign w:val="center"/>
          </w:tcPr>
          <w:p w14:paraId="465AA960" w14:textId="77777777" w:rsidR="00577D08" w:rsidRDefault="00577D08">
            <w:pPr>
              <w:jc w:val="center"/>
            </w:pPr>
          </w:p>
        </w:tc>
        <w:tc>
          <w:tcPr>
            <w:tcW w:w="548" w:type="pct"/>
            <w:vMerge/>
            <w:tcBorders>
              <w:left w:val="single" w:sz="4" w:space="0" w:color="auto"/>
              <w:bottom w:val="single" w:sz="4" w:space="0" w:color="auto"/>
              <w:right w:val="single" w:sz="4" w:space="0" w:color="auto"/>
            </w:tcBorders>
            <w:vAlign w:val="center"/>
          </w:tcPr>
          <w:p w14:paraId="1F208FA9" w14:textId="77777777" w:rsidR="00577D08" w:rsidRDefault="00577D08">
            <w:pPr>
              <w:jc w:val="center"/>
            </w:pPr>
          </w:p>
        </w:tc>
        <w:tc>
          <w:tcPr>
            <w:tcW w:w="549" w:type="pct"/>
            <w:vMerge/>
            <w:tcBorders>
              <w:left w:val="single" w:sz="4" w:space="0" w:color="auto"/>
              <w:bottom w:val="single" w:sz="4" w:space="0" w:color="auto"/>
              <w:right w:val="single" w:sz="4" w:space="0" w:color="auto"/>
            </w:tcBorders>
            <w:vAlign w:val="center"/>
          </w:tcPr>
          <w:p w14:paraId="3F33FA52" w14:textId="77777777" w:rsidR="00577D08" w:rsidRDefault="00577D08">
            <w:pPr>
              <w:jc w:val="center"/>
            </w:pPr>
          </w:p>
        </w:tc>
        <w:sdt>
          <w:sdtPr>
            <w:tag w:val="_PLD_82e1276ea16049878dd86dc7f97ce1b8"/>
            <w:id w:val="434178087"/>
          </w:sdtPr>
          <w:sdtContent>
            <w:tc>
              <w:tcPr>
                <w:tcW w:w="549" w:type="pct"/>
                <w:tcBorders>
                  <w:top w:val="single" w:sz="4" w:space="0" w:color="auto"/>
                  <w:left w:val="single" w:sz="4" w:space="0" w:color="auto"/>
                  <w:bottom w:val="single" w:sz="4" w:space="0" w:color="auto"/>
                  <w:right w:val="single" w:sz="4" w:space="0" w:color="auto"/>
                </w:tcBorders>
                <w:vAlign w:val="center"/>
              </w:tcPr>
              <w:p w14:paraId="4816F0E8" w14:textId="77777777" w:rsidR="00577D08" w:rsidRDefault="00330FC0">
                <w:pPr>
                  <w:jc w:val="center"/>
                </w:pPr>
                <w:r>
                  <w:rPr>
                    <w:rFonts w:hint="eastAsia"/>
                  </w:rPr>
                  <w:t>追加投资</w:t>
                </w:r>
              </w:p>
            </w:tc>
          </w:sdtContent>
        </w:sdt>
        <w:sdt>
          <w:sdtPr>
            <w:tag w:val="_PLD_38bb9dba87bb42bfaf6b04b85c4cc3d4"/>
            <w:id w:val="362486157"/>
          </w:sdtPr>
          <w:sdtContent>
            <w:tc>
              <w:tcPr>
                <w:tcW w:w="546" w:type="pct"/>
                <w:tcBorders>
                  <w:left w:val="single" w:sz="4" w:space="0" w:color="auto"/>
                  <w:bottom w:val="single" w:sz="4" w:space="0" w:color="auto"/>
                  <w:right w:val="single" w:sz="4" w:space="0" w:color="auto"/>
                </w:tcBorders>
                <w:vAlign w:val="center"/>
              </w:tcPr>
              <w:p w14:paraId="3324DB4F" w14:textId="77777777" w:rsidR="00577D08" w:rsidRDefault="00330FC0">
                <w:pPr>
                  <w:jc w:val="center"/>
                </w:pPr>
                <w:r>
                  <w:rPr>
                    <w:rFonts w:hint="eastAsia"/>
                  </w:rPr>
                  <w:t>减少投资</w:t>
                </w:r>
              </w:p>
            </w:tc>
          </w:sdtContent>
        </w:sdt>
        <w:sdt>
          <w:sdtPr>
            <w:tag w:val="_PLD_c8ba4c1973d24083b160e5d4377dba54"/>
            <w:id w:val="-1882314072"/>
          </w:sdtPr>
          <w:sdtContent>
            <w:tc>
              <w:tcPr>
                <w:tcW w:w="533" w:type="pct"/>
                <w:tcBorders>
                  <w:left w:val="single" w:sz="4" w:space="0" w:color="auto"/>
                  <w:bottom w:val="single" w:sz="4" w:space="0" w:color="auto"/>
                  <w:right w:val="single" w:sz="4" w:space="0" w:color="auto"/>
                </w:tcBorders>
                <w:vAlign w:val="center"/>
              </w:tcPr>
              <w:p w14:paraId="27FE362D" w14:textId="77777777" w:rsidR="00577D08" w:rsidRDefault="00330FC0">
                <w:pPr>
                  <w:jc w:val="center"/>
                </w:pPr>
                <w:r>
                  <w:rPr>
                    <w:rFonts w:hint="eastAsia"/>
                  </w:rPr>
                  <w:t>计提减值准备</w:t>
                </w:r>
              </w:p>
            </w:tc>
          </w:sdtContent>
        </w:sdt>
        <w:sdt>
          <w:sdtPr>
            <w:tag w:val="_PLD_1fc11db026f7483585537cdf471d9062"/>
            <w:id w:val="-914314613"/>
          </w:sdtPr>
          <w:sdtContent>
            <w:tc>
              <w:tcPr>
                <w:tcW w:w="557" w:type="pct"/>
                <w:tcBorders>
                  <w:left w:val="single" w:sz="4" w:space="0" w:color="auto"/>
                  <w:bottom w:val="single" w:sz="4" w:space="0" w:color="auto"/>
                  <w:right w:val="single" w:sz="4" w:space="0" w:color="auto"/>
                </w:tcBorders>
                <w:vAlign w:val="center"/>
              </w:tcPr>
              <w:p w14:paraId="5E7112F8" w14:textId="77777777" w:rsidR="00577D08" w:rsidRDefault="00330FC0">
                <w:pPr>
                  <w:jc w:val="center"/>
                </w:pPr>
                <w:r>
                  <w:rPr>
                    <w:rFonts w:hint="eastAsia"/>
                  </w:rPr>
                  <w:t>其他</w:t>
                </w:r>
              </w:p>
            </w:tc>
          </w:sdtContent>
        </w:sdt>
        <w:tc>
          <w:tcPr>
            <w:tcW w:w="561" w:type="pct"/>
            <w:vMerge/>
            <w:tcBorders>
              <w:left w:val="single" w:sz="4" w:space="0" w:color="auto"/>
              <w:bottom w:val="single" w:sz="4" w:space="0" w:color="auto"/>
              <w:right w:val="single" w:sz="4" w:space="0" w:color="auto"/>
            </w:tcBorders>
            <w:vAlign w:val="center"/>
          </w:tcPr>
          <w:p w14:paraId="32F19DE5" w14:textId="77777777" w:rsidR="00577D08" w:rsidRDefault="00577D08">
            <w:pPr>
              <w:jc w:val="center"/>
            </w:pPr>
          </w:p>
        </w:tc>
        <w:tc>
          <w:tcPr>
            <w:tcW w:w="549" w:type="pct"/>
            <w:vMerge/>
            <w:tcBorders>
              <w:left w:val="single" w:sz="4" w:space="0" w:color="auto"/>
              <w:bottom w:val="single" w:sz="4" w:space="0" w:color="auto"/>
              <w:right w:val="single" w:sz="4" w:space="0" w:color="auto"/>
            </w:tcBorders>
            <w:vAlign w:val="center"/>
          </w:tcPr>
          <w:p w14:paraId="7A431FF2" w14:textId="77777777" w:rsidR="00577D08" w:rsidRDefault="00577D08">
            <w:pPr>
              <w:jc w:val="center"/>
            </w:pPr>
          </w:p>
        </w:tc>
      </w:tr>
      <w:tr w:rsidR="00577D08" w14:paraId="4C2E5285" w14:textId="77777777">
        <w:tc>
          <w:tcPr>
            <w:tcW w:w="608" w:type="pct"/>
            <w:tcBorders>
              <w:top w:val="single" w:sz="4" w:space="0" w:color="auto"/>
              <w:left w:val="single" w:sz="4" w:space="0" w:color="auto"/>
              <w:bottom w:val="single" w:sz="4" w:space="0" w:color="auto"/>
              <w:right w:val="single" w:sz="4" w:space="0" w:color="auto"/>
            </w:tcBorders>
          </w:tcPr>
          <w:p w14:paraId="7A43749B" w14:textId="77777777" w:rsidR="00577D08" w:rsidRDefault="00330FC0">
            <w:r>
              <w:rPr>
                <w:rFonts w:hint="eastAsia"/>
              </w:rPr>
              <w:t>云南变压器电气股份有限公司</w:t>
            </w:r>
          </w:p>
        </w:tc>
        <w:tc>
          <w:tcPr>
            <w:tcW w:w="548" w:type="pct"/>
            <w:tcBorders>
              <w:top w:val="single" w:sz="4" w:space="0" w:color="auto"/>
              <w:left w:val="single" w:sz="4" w:space="0" w:color="auto"/>
              <w:bottom w:val="single" w:sz="4" w:space="0" w:color="auto"/>
              <w:right w:val="single" w:sz="4" w:space="0" w:color="auto"/>
            </w:tcBorders>
            <w:vAlign w:val="center"/>
          </w:tcPr>
          <w:p w14:paraId="08DD493C" w14:textId="77777777" w:rsidR="00577D08" w:rsidRDefault="00330FC0">
            <w:pPr>
              <w:jc w:val="right"/>
            </w:pPr>
            <w:r>
              <w:rPr>
                <w:rFonts w:hint="eastAsia"/>
              </w:rPr>
              <w:t>559,816,869.00</w:t>
            </w:r>
          </w:p>
        </w:tc>
        <w:tc>
          <w:tcPr>
            <w:tcW w:w="549" w:type="pct"/>
            <w:tcBorders>
              <w:top w:val="single" w:sz="4" w:space="0" w:color="auto"/>
              <w:left w:val="single" w:sz="4" w:space="0" w:color="auto"/>
              <w:bottom w:val="single" w:sz="4" w:space="0" w:color="auto"/>
              <w:right w:val="single" w:sz="4" w:space="0" w:color="auto"/>
            </w:tcBorders>
            <w:vAlign w:val="center"/>
          </w:tcPr>
          <w:p w14:paraId="2C4F3E11"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770CDFA6" w14:textId="77777777" w:rsidR="00577D08" w:rsidRDefault="00330FC0">
            <w:pPr>
              <w:jc w:val="right"/>
            </w:pPr>
            <w:r>
              <w:rPr>
                <w:rFonts w:hint="eastAsia"/>
              </w:rPr>
              <w:t>120,413,100.00</w:t>
            </w:r>
          </w:p>
        </w:tc>
        <w:tc>
          <w:tcPr>
            <w:tcW w:w="546" w:type="pct"/>
            <w:tcBorders>
              <w:top w:val="single" w:sz="4" w:space="0" w:color="auto"/>
              <w:left w:val="single" w:sz="4" w:space="0" w:color="auto"/>
              <w:bottom w:val="single" w:sz="4" w:space="0" w:color="auto"/>
              <w:right w:val="single" w:sz="4" w:space="0" w:color="auto"/>
            </w:tcBorders>
            <w:vAlign w:val="center"/>
          </w:tcPr>
          <w:p w14:paraId="43ECDC77" w14:textId="77777777" w:rsidR="00577D08" w:rsidRDefault="00577D08">
            <w:pPr>
              <w:jc w:val="right"/>
            </w:pPr>
          </w:p>
        </w:tc>
        <w:tc>
          <w:tcPr>
            <w:tcW w:w="533" w:type="pct"/>
            <w:tcBorders>
              <w:top w:val="single" w:sz="4" w:space="0" w:color="auto"/>
              <w:left w:val="single" w:sz="4" w:space="0" w:color="auto"/>
              <w:bottom w:val="single" w:sz="4" w:space="0" w:color="auto"/>
              <w:right w:val="single" w:sz="4" w:space="0" w:color="auto"/>
            </w:tcBorders>
            <w:vAlign w:val="center"/>
          </w:tcPr>
          <w:p w14:paraId="70D29021" w14:textId="77777777" w:rsidR="00577D08" w:rsidRDefault="00577D08">
            <w:pPr>
              <w:jc w:val="right"/>
            </w:pPr>
          </w:p>
        </w:tc>
        <w:tc>
          <w:tcPr>
            <w:tcW w:w="557" w:type="pct"/>
            <w:tcBorders>
              <w:top w:val="single" w:sz="4" w:space="0" w:color="auto"/>
              <w:left w:val="single" w:sz="4" w:space="0" w:color="auto"/>
              <w:bottom w:val="single" w:sz="4" w:space="0" w:color="auto"/>
              <w:right w:val="single" w:sz="4" w:space="0" w:color="auto"/>
            </w:tcBorders>
            <w:vAlign w:val="center"/>
          </w:tcPr>
          <w:p w14:paraId="58F02617" w14:textId="77777777" w:rsidR="00577D08" w:rsidRDefault="00577D08">
            <w:pPr>
              <w:jc w:val="right"/>
            </w:pPr>
          </w:p>
        </w:tc>
        <w:tc>
          <w:tcPr>
            <w:tcW w:w="561" w:type="pct"/>
            <w:tcBorders>
              <w:top w:val="single" w:sz="4" w:space="0" w:color="auto"/>
              <w:left w:val="single" w:sz="4" w:space="0" w:color="auto"/>
              <w:bottom w:val="single" w:sz="4" w:space="0" w:color="auto"/>
              <w:right w:val="single" w:sz="4" w:space="0" w:color="auto"/>
            </w:tcBorders>
            <w:vAlign w:val="center"/>
          </w:tcPr>
          <w:p w14:paraId="0FF233F9" w14:textId="77777777" w:rsidR="00577D08" w:rsidRDefault="00330FC0">
            <w:pPr>
              <w:jc w:val="right"/>
            </w:pPr>
            <w:r>
              <w:rPr>
                <w:rFonts w:hint="eastAsia"/>
              </w:rPr>
              <w:t>680,229,969.00</w:t>
            </w:r>
          </w:p>
        </w:tc>
        <w:tc>
          <w:tcPr>
            <w:tcW w:w="549" w:type="pct"/>
            <w:tcBorders>
              <w:top w:val="single" w:sz="4" w:space="0" w:color="auto"/>
              <w:left w:val="single" w:sz="4" w:space="0" w:color="auto"/>
              <w:bottom w:val="single" w:sz="4" w:space="0" w:color="auto"/>
              <w:right w:val="single" w:sz="4" w:space="0" w:color="auto"/>
            </w:tcBorders>
          </w:tcPr>
          <w:p w14:paraId="59C09559" w14:textId="77777777" w:rsidR="00577D08" w:rsidRDefault="00577D08">
            <w:pPr>
              <w:jc w:val="right"/>
            </w:pPr>
          </w:p>
        </w:tc>
      </w:tr>
      <w:tr w:rsidR="00577D08" w14:paraId="7A6B9BFE" w14:textId="77777777">
        <w:tc>
          <w:tcPr>
            <w:tcW w:w="608" w:type="pct"/>
            <w:tcBorders>
              <w:top w:val="single" w:sz="4" w:space="0" w:color="auto"/>
              <w:left w:val="single" w:sz="4" w:space="0" w:color="auto"/>
              <w:bottom w:val="single" w:sz="4" w:space="0" w:color="auto"/>
              <w:right w:val="single" w:sz="4" w:space="0" w:color="auto"/>
            </w:tcBorders>
          </w:tcPr>
          <w:p w14:paraId="28209455" w14:textId="77777777" w:rsidR="00577D08" w:rsidRDefault="00330FC0">
            <w:r>
              <w:rPr>
                <w:rFonts w:hint="eastAsia"/>
              </w:rPr>
              <w:t>重庆惠泽电器有限公司</w:t>
            </w:r>
          </w:p>
        </w:tc>
        <w:tc>
          <w:tcPr>
            <w:tcW w:w="548" w:type="pct"/>
            <w:tcBorders>
              <w:top w:val="single" w:sz="4" w:space="0" w:color="auto"/>
              <w:left w:val="single" w:sz="4" w:space="0" w:color="auto"/>
              <w:bottom w:val="single" w:sz="4" w:space="0" w:color="auto"/>
              <w:right w:val="single" w:sz="4" w:space="0" w:color="auto"/>
            </w:tcBorders>
            <w:vAlign w:val="center"/>
          </w:tcPr>
          <w:p w14:paraId="04E73675" w14:textId="77777777" w:rsidR="00577D08" w:rsidRDefault="00330FC0">
            <w:pPr>
              <w:jc w:val="right"/>
            </w:pPr>
            <w:r>
              <w:rPr>
                <w:rFonts w:hint="eastAsia"/>
              </w:rPr>
              <w:t>40,181,504.66</w:t>
            </w:r>
          </w:p>
        </w:tc>
        <w:tc>
          <w:tcPr>
            <w:tcW w:w="549" w:type="pct"/>
            <w:tcBorders>
              <w:top w:val="single" w:sz="4" w:space="0" w:color="auto"/>
              <w:left w:val="single" w:sz="4" w:space="0" w:color="auto"/>
              <w:bottom w:val="single" w:sz="4" w:space="0" w:color="auto"/>
              <w:right w:val="single" w:sz="4" w:space="0" w:color="auto"/>
            </w:tcBorders>
            <w:vAlign w:val="center"/>
          </w:tcPr>
          <w:p w14:paraId="3520D51C"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479C6C43" w14:textId="77777777" w:rsidR="00577D08" w:rsidRDefault="00577D08">
            <w:pPr>
              <w:jc w:val="right"/>
            </w:pPr>
          </w:p>
        </w:tc>
        <w:tc>
          <w:tcPr>
            <w:tcW w:w="546" w:type="pct"/>
            <w:tcBorders>
              <w:top w:val="single" w:sz="4" w:space="0" w:color="auto"/>
              <w:left w:val="single" w:sz="4" w:space="0" w:color="auto"/>
              <w:bottom w:val="single" w:sz="4" w:space="0" w:color="auto"/>
              <w:right w:val="single" w:sz="4" w:space="0" w:color="auto"/>
            </w:tcBorders>
            <w:vAlign w:val="center"/>
          </w:tcPr>
          <w:p w14:paraId="56F21F0E" w14:textId="77777777" w:rsidR="00577D08" w:rsidRDefault="00577D08">
            <w:pPr>
              <w:jc w:val="right"/>
            </w:pPr>
          </w:p>
        </w:tc>
        <w:tc>
          <w:tcPr>
            <w:tcW w:w="533" w:type="pct"/>
            <w:tcBorders>
              <w:top w:val="single" w:sz="4" w:space="0" w:color="auto"/>
              <w:left w:val="single" w:sz="4" w:space="0" w:color="auto"/>
              <w:bottom w:val="single" w:sz="4" w:space="0" w:color="auto"/>
              <w:right w:val="single" w:sz="4" w:space="0" w:color="auto"/>
            </w:tcBorders>
            <w:vAlign w:val="center"/>
          </w:tcPr>
          <w:p w14:paraId="219E3853" w14:textId="77777777" w:rsidR="00577D08" w:rsidRDefault="00577D08">
            <w:pPr>
              <w:jc w:val="right"/>
            </w:pPr>
          </w:p>
        </w:tc>
        <w:tc>
          <w:tcPr>
            <w:tcW w:w="557" w:type="pct"/>
            <w:tcBorders>
              <w:top w:val="single" w:sz="4" w:space="0" w:color="auto"/>
              <w:left w:val="single" w:sz="4" w:space="0" w:color="auto"/>
              <w:bottom w:val="single" w:sz="4" w:space="0" w:color="auto"/>
              <w:right w:val="single" w:sz="4" w:space="0" w:color="auto"/>
            </w:tcBorders>
            <w:vAlign w:val="center"/>
          </w:tcPr>
          <w:p w14:paraId="4DE392A1" w14:textId="77777777" w:rsidR="00577D08" w:rsidRDefault="00577D08">
            <w:pPr>
              <w:jc w:val="right"/>
            </w:pPr>
          </w:p>
        </w:tc>
        <w:tc>
          <w:tcPr>
            <w:tcW w:w="561" w:type="pct"/>
            <w:tcBorders>
              <w:top w:val="single" w:sz="4" w:space="0" w:color="auto"/>
              <w:left w:val="single" w:sz="4" w:space="0" w:color="auto"/>
              <w:bottom w:val="single" w:sz="4" w:space="0" w:color="auto"/>
              <w:right w:val="single" w:sz="4" w:space="0" w:color="auto"/>
            </w:tcBorders>
            <w:vAlign w:val="center"/>
          </w:tcPr>
          <w:p w14:paraId="2E7D1975" w14:textId="77777777" w:rsidR="00577D08" w:rsidRDefault="00330FC0">
            <w:pPr>
              <w:jc w:val="right"/>
            </w:pPr>
            <w:r>
              <w:rPr>
                <w:rFonts w:hint="eastAsia"/>
              </w:rPr>
              <w:t>40,181,504.66</w:t>
            </w:r>
          </w:p>
        </w:tc>
        <w:tc>
          <w:tcPr>
            <w:tcW w:w="549" w:type="pct"/>
            <w:tcBorders>
              <w:top w:val="single" w:sz="4" w:space="0" w:color="auto"/>
              <w:left w:val="single" w:sz="4" w:space="0" w:color="auto"/>
              <w:bottom w:val="single" w:sz="4" w:space="0" w:color="auto"/>
              <w:right w:val="single" w:sz="4" w:space="0" w:color="auto"/>
            </w:tcBorders>
          </w:tcPr>
          <w:p w14:paraId="104677B9" w14:textId="77777777" w:rsidR="00577D08" w:rsidRDefault="00577D08">
            <w:pPr>
              <w:jc w:val="right"/>
            </w:pPr>
          </w:p>
        </w:tc>
      </w:tr>
      <w:tr w:rsidR="00577D08" w14:paraId="394DBD41" w14:textId="77777777">
        <w:tc>
          <w:tcPr>
            <w:tcW w:w="608" w:type="pct"/>
            <w:tcBorders>
              <w:top w:val="single" w:sz="4" w:space="0" w:color="auto"/>
              <w:left w:val="single" w:sz="4" w:space="0" w:color="auto"/>
              <w:bottom w:val="single" w:sz="4" w:space="0" w:color="auto"/>
              <w:right w:val="single" w:sz="4" w:space="0" w:color="auto"/>
            </w:tcBorders>
          </w:tcPr>
          <w:p w14:paraId="0D4C4A6D" w14:textId="77777777" w:rsidR="00577D08" w:rsidRDefault="00330FC0">
            <w:r>
              <w:rPr>
                <w:rFonts w:hint="eastAsia"/>
              </w:rPr>
              <w:t>黔南望江变压器有限公司</w:t>
            </w:r>
          </w:p>
        </w:tc>
        <w:tc>
          <w:tcPr>
            <w:tcW w:w="548" w:type="pct"/>
            <w:tcBorders>
              <w:top w:val="single" w:sz="4" w:space="0" w:color="auto"/>
              <w:left w:val="single" w:sz="4" w:space="0" w:color="auto"/>
              <w:bottom w:val="single" w:sz="4" w:space="0" w:color="auto"/>
              <w:right w:val="single" w:sz="4" w:space="0" w:color="auto"/>
            </w:tcBorders>
            <w:vAlign w:val="center"/>
          </w:tcPr>
          <w:p w14:paraId="42CFE17C" w14:textId="77777777" w:rsidR="00577D08" w:rsidRDefault="00330FC0">
            <w:pPr>
              <w:jc w:val="right"/>
            </w:pPr>
            <w:r>
              <w:rPr>
                <w:rFonts w:hint="eastAsia"/>
              </w:rPr>
              <w:t>60,427,202.24</w:t>
            </w:r>
          </w:p>
        </w:tc>
        <w:tc>
          <w:tcPr>
            <w:tcW w:w="549" w:type="pct"/>
            <w:tcBorders>
              <w:top w:val="single" w:sz="4" w:space="0" w:color="auto"/>
              <w:left w:val="single" w:sz="4" w:space="0" w:color="auto"/>
              <w:bottom w:val="single" w:sz="4" w:space="0" w:color="auto"/>
              <w:right w:val="single" w:sz="4" w:space="0" w:color="auto"/>
            </w:tcBorders>
            <w:vAlign w:val="center"/>
          </w:tcPr>
          <w:p w14:paraId="3C0A1A21"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6A9933C9" w14:textId="77777777" w:rsidR="00577D08" w:rsidRDefault="00577D08">
            <w:pPr>
              <w:jc w:val="right"/>
            </w:pPr>
          </w:p>
        </w:tc>
        <w:tc>
          <w:tcPr>
            <w:tcW w:w="546" w:type="pct"/>
            <w:tcBorders>
              <w:top w:val="single" w:sz="4" w:space="0" w:color="auto"/>
              <w:left w:val="single" w:sz="4" w:space="0" w:color="auto"/>
              <w:bottom w:val="single" w:sz="4" w:space="0" w:color="auto"/>
              <w:right w:val="single" w:sz="4" w:space="0" w:color="auto"/>
            </w:tcBorders>
            <w:vAlign w:val="center"/>
          </w:tcPr>
          <w:p w14:paraId="12649105" w14:textId="77777777" w:rsidR="00577D08" w:rsidRDefault="00577D08">
            <w:pPr>
              <w:jc w:val="right"/>
            </w:pPr>
          </w:p>
        </w:tc>
        <w:tc>
          <w:tcPr>
            <w:tcW w:w="533" w:type="pct"/>
            <w:tcBorders>
              <w:top w:val="single" w:sz="4" w:space="0" w:color="auto"/>
              <w:left w:val="single" w:sz="4" w:space="0" w:color="auto"/>
              <w:bottom w:val="single" w:sz="4" w:space="0" w:color="auto"/>
              <w:right w:val="single" w:sz="4" w:space="0" w:color="auto"/>
            </w:tcBorders>
            <w:vAlign w:val="center"/>
          </w:tcPr>
          <w:p w14:paraId="371C2EFB" w14:textId="77777777" w:rsidR="00577D08" w:rsidRDefault="00577D08">
            <w:pPr>
              <w:jc w:val="right"/>
            </w:pPr>
          </w:p>
        </w:tc>
        <w:tc>
          <w:tcPr>
            <w:tcW w:w="557" w:type="pct"/>
            <w:tcBorders>
              <w:top w:val="single" w:sz="4" w:space="0" w:color="auto"/>
              <w:left w:val="single" w:sz="4" w:space="0" w:color="auto"/>
              <w:bottom w:val="single" w:sz="4" w:space="0" w:color="auto"/>
              <w:right w:val="single" w:sz="4" w:space="0" w:color="auto"/>
            </w:tcBorders>
            <w:vAlign w:val="center"/>
          </w:tcPr>
          <w:p w14:paraId="4F431592" w14:textId="77777777" w:rsidR="00577D08" w:rsidRDefault="00577D08">
            <w:pPr>
              <w:jc w:val="right"/>
            </w:pPr>
          </w:p>
        </w:tc>
        <w:tc>
          <w:tcPr>
            <w:tcW w:w="561" w:type="pct"/>
            <w:tcBorders>
              <w:top w:val="single" w:sz="4" w:space="0" w:color="auto"/>
              <w:left w:val="single" w:sz="4" w:space="0" w:color="auto"/>
              <w:bottom w:val="single" w:sz="4" w:space="0" w:color="auto"/>
              <w:right w:val="single" w:sz="4" w:space="0" w:color="auto"/>
            </w:tcBorders>
            <w:vAlign w:val="center"/>
          </w:tcPr>
          <w:p w14:paraId="5B9F5954" w14:textId="77777777" w:rsidR="00577D08" w:rsidRDefault="00330FC0">
            <w:pPr>
              <w:jc w:val="right"/>
            </w:pPr>
            <w:r>
              <w:rPr>
                <w:rFonts w:hint="eastAsia"/>
              </w:rPr>
              <w:t>60,427,202.24</w:t>
            </w:r>
          </w:p>
        </w:tc>
        <w:tc>
          <w:tcPr>
            <w:tcW w:w="549" w:type="pct"/>
            <w:tcBorders>
              <w:top w:val="single" w:sz="4" w:space="0" w:color="auto"/>
              <w:left w:val="single" w:sz="4" w:space="0" w:color="auto"/>
              <w:bottom w:val="single" w:sz="4" w:space="0" w:color="auto"/>
              <w:right w:val="single" w:sz="4" w:space="0" w:color="auto"/>
            </w:tcBorders>
          </w:tcPr>
          <w:p w14:paraId="0B32DCD0" w14:textId="77777777" w:rsidR="00577D08" w:rsidRDefault="00577D08">
            <w:pPr>
              <w:jc w:val="right"/>
            </w:pPr>
          </w:p>
        </w:tc>
      </w:tr>
      <w:tr w:rsidR="00577D08" w14:paraId="7C3CCE06" w14:textId="77777777">
        <w:tc>
          <w:tcPr>
            <w:tcW w:w="608" w:type="pct"/>
            <w:tcBorders>
              <w:top w:val="single" w:sz="4" w:space="0" w:color="auto"/>
              <w:left w:val="single" w:sz="4" w:space="0" w:color="auto"/>
              <w:bottom w:val="single" w:sz="4" w:space="0" w:color="auto"/>
              <w:right w:val="single" w:sz="4" w:space="0" w:color="auto"/>
            </w:tcBorders>
          </w:tcPr>
          <w:p w14:paraId="76622819" w14:textId="77777777" w:rsidR="00577D08" w:rsidRDefault="00330FC0">
            <w:r>
              <w:rPr>
                <w:rFonts w:hint="eastAsia"/>
              </w:rPr>
              <w:t>上海渝申望变新能源科技有限公司</w:t>
            </w:r>
          </w:p>
        </w:tc>
        <w:tc>
          <w:tcPr>
            <w:tcW w:w="548" w:type="pct"/>
            <w:tcBorders>
              <w:top w:val="single" w:sz="4" w:space="0" w:color="auto"/>
              <w:left w:val="single" w:sz="4" w:space="0" w:color="auto"/>
              <w:bottom w:val="single" w:sz="4" w:space="0" w:color="auto"/>
              <w:right w:val="single" w:sz="4" w:space="0" w:color="auto"/>
            </w:tcBorders>
            <w:vAlign w:val="center"/>
          </w:tcPr>
          <w:p w14:paraId="2EA93DD8"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2DB65D90"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48302BD6" w14:textId="77777777" w:rsidR="00577D08" w:rsidRDefault="00330FC0">
            <w:pPr>
              <w:jc w:val="right"/>
            </w:pPr>
            <w:r>
              <w:rPr>
                <w:rFonts w:hint="eastAsia"/>
              </w:rPr>
              <w:t>10,200,000.00</w:t>
            </w:r>
          </w:p>
        </w:tc>
        <w:tc>
          <w:tcPr>
            <w:tcW w:w="546" w:type="pct"/>
            <w:tcBorders>
              <w:top w:val="single" w:sz="4" w:space="0" w:color="auto"/>
              <w:left w:val="single" w:sz="4" w:space="0" w:color="auto"/>
              <w:bottom w:val="single" w:sz="4" w:space="0" w:color="auto"/>
              <w:right w:val="single" w:sz="4" w:space="0" w:color="auto"/>
            </w:tcBorders>
            <w:vAlign w:val="center"/>
          </w:tcPr>
          <w:p w14:paraId="7B0E985D" w14:textId="77777777" w:rsidR="00577D08" w:rsidRDefault="00330FC0">
            <w:pPr>
              <w:jc w:val="right"/>
            </w:pPr>
            <w:r>
              <w:rPr>
                <w:rFonts w:hint="eastAsia"/>
              </w:rPr>
              <w:t>8,160,000.00</w:t>
            </w:r>
          </w:p>
        </w:tc>
        <w:tc>
          <w:tcPr>
            <w:tcW w:w="533" w:type="pct"/>
            <w:tcBorders>
              <w:top w:val="single" w:sz="4" w:space="0" w:color="auto"/>
              <w:left w:val="single" w:sz="4" w:space="0" w:color="auto"/>
              <w:bottom w:val="single" w:sz="4" w:space="0" w:color="auto"/>
              <w:right w:val="single" w:sz="4" w:space="0" w:color="auto"/>
            </w:tcBorders>
            <w:vAlign w:val="center"/>
          </w:tcPr>
          <w:p w14:paraId="79F83000" w14:textId="77777777" w:rsidR="00577D08" w:rsidRDefault="00577D08">
            <w:pPr>
              <w:jc w:val="right"/>
            </w:pPr>
          </w:p>
        </w:tc>
        <w:tc>
          <w:tcPr>
            <w:tcW w:w="557" w:type="pct"/>
            <w:tcBorders>
              <w:top w:val="single" w:sz="4" w:space="0" w:color="auto"/>
              <w:left w:val="single" w:sz="4" w:space="0" w:color="auto"/>
              <w:bottom w:val="single" w:sz="4" w:space="0" w:color="auto"/>
              <w:right w:val="single" w:sz="4" w:space="0" w:color="auto"/>
            </w:tcBorders>
            <w:vAlign w:val="center"/>
          </w:tcPr>
          <w:p w14:paraId="415678E5" w14:textId="77777777" w:rsidR="00577D08" w:rsidRDefault="00577D08">
            <w:pPr>
              <w:jc w:val="right"/>
            </w:pPr>
          </w:p>
        </w:tc>
        <w:tc>
          <w:tcPr>
            <w:tcW w:w="561" w:type="pct"/>
            <w:tcBorders>
              <w:top w:val="single" w:sz="4" w:space="0" w:color="auto"/>
              <w:left w:val="single" w:sz="4" w:space="0" w:color="auto"/>
              <w:bottom w:val="single" w:sz="4" w:space="0" w:color="auto"/>
              <w:right w:val="single" w:sz="4" w:space="0" w:color="auto"/>
            </w:tcBorders>
            <w:vAlign w:val="center"/>
          </w:tcPr>
          <w:p w14:paraId="2D68BDA3" w14:textId="77777777" w:rsidR="00577D08" w:rsidRDefault="00330FC0">
            <w:pPr>
              <w:jc w:val="right"/>
            </w:pPr>
            <w:r>
              <w:rPr>
                <w:rFonts w:hint="eastAsia"/>
              </w:rPr>
              <w:t>2,040,000.00</w:t>
            </w:r>
          </w:p>
        </w:tc>
        <w:tc>
          <w:tcPr>
            <w:tcW w:w="549" w:type="pct"/>
            <w:tcBorders>
              <w:top w:val="single" w:sz="4" w:space="0" w:color="auto"/>
              <w:left w:val="single" w:sz="4" w:space="0" w:color="auto"/>
              <w:bottom w:val="single" w:sz="4" w:space="0" w:color="auto"/>
              <w:right w:val="single" w:sz="4" w:space="0" w:color="auto"/>
            </w:tcBorders>
          </w:tcPr>
          <w:p w14:paraId="263FE4E4" w14:textId="77777777" w:rsidR="00577D08" w:rsidRDefault="00577D08">
            <w:pPr>
              <w:jc w:val="right"/>
            </w:pPr>
          </w:p>
        </w:tc>
      </w:tr>
      <w:tr w:rsidR="00577D08" w14:paraId="374F1B1A" w14:textId="77777777">
        <w:tc>
          <w:tcPr>
            <w:tcW w:w="608" w:type="pct"/>
            <w:tcBorders>
              <w:top w:val="single" w:sz="4" w:space="0" w:color="auto"/>
              <w:left w:val="single" w:sz="4" w:space="0" w:color="auto"/>
              <w:bottom w:val="single" w:sz="4" w:space="0" w:color="auto"/>
              <w:right w:val="single" w:sz="4" w:space="0" w:color="auto"/>
            </w:tcBorders>
          </w:tcPr>
          <w:p w14:paraId="43B8BC28" w14:textId="77777777" w:rsidR="00577D08" w:rsidRDefault="00330FC0">
            <w:r>
              <w:rPr>
                <w:rFonts w:hint="eastAsia"/>
              </w:rPr>
              <w:t>沈阳望泽电气有限公司</w:t>
            </w:r>
          </w:p>
        </w:tc>
        <w:tc>
          <w:tcPr>
            <w:tcW w:w="548" w:type="pct"/>
            <w:tcBorders>
              <w:top w:val="single" w:sz="4" w:space="0" w:color="auto"/>
              <w:left w:val="single" w:sz="4" w:space="0" w:color="auto"/>
              <w:bottom w:val="single" w:sz="4" w:space="0" w:color="auto"/>
              <w:right w:val="single" w:sz="4" w:space="0" w:color="auto"/>
            </w:tcBorders>
            <w:vAlign w:val="center"/>
          </w:tcPr>
          <w:p w14:paraId="21172DAA"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113F9226"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4ED688E8" w14:textId="77777777" w:rsidR="00577D08" w:rsidRDefault="00330FC0">
            <w:pPr>
              <w:jc w:val="right"/>
            </w:pPr>
            <w:r>
              <w:rPr>
                <w:rFonts w:hint="eastAsia"/>
              </w:rPr>
              <w:t>5,100,000.00</w:t>
            </w:r>
          </w:p>
        </w:tc>
        <w:tc>
          <w:tcPr>
            <w:tcW w:w="546" w:type="pct"/>
            <w:tcBorders>
              <w:top w:val="single" w:sz="4" w:space="0" w:color="auto"/>
              <w:left w:val="single" w:sz="4" w:space="0" w:color="auto"/>
              <w:bottom w:val="single" w:sz="4" w:space="0" w:color="auto"/>
              <w:right w:val="single" w:sz="4" w:space="0" w:color="auto"/>
            </w:tcBorders>
            <w:vAlign w:val="center"/>
          </w:tcPr>
          <w:p w14:paraId="174F029A" w14:textId="77777777" w:rsidR="00577D08" w:rsidRDefault="00577D08">
            <w:pPr>
              <w:jc w:val="right"/>
            </w:pPr>
          </w:p>
        </w:tc>
        <w:tc>
          <w:tcPr>
            <w:tcW w:w="533" w:type="pct"/>
            <w:tcBorders>
              <w:top w:val="single" w:sz="4" w:space="0" w:color="auto"/>
              <w:left w:val="single" w:sz="4" w:space="0" w:color="auto"/>
              <w:bottom w:val="single" w:sz="4" w:space="0" w:color="auto"/>
              <w:right w:val="single" w:sz="4" w:space="0" w:color="auto"/>
            </w:tcBorders>
            <w:vAlign w:val="center"/>
          </w:tcPr>
          <w:p w14:paraId="4D238B03" w14:textId="77777777" w:rsidR="00577D08" w:rsidRDefault="00577D08">
            <w:pPr>
              <w:jc w:val="right"/>
            </w:pPr>
          </w:p>
        </w:tc>
        <w:tc>
          <w:tcPr>
            <w:tcW w:w="557" w:type="pct"/>
            <w:tcBorders>
              <w:top w:val="single" w:sz="4" w:space="0" w:color="auto"/>
              <w:left w:val="single" w:sz="4" w:space="0" w:color="auto"/>
              <w:bottom w:val="single" w:sz="4" w:space="0" w:color="auto"/>
              <w:right w:val="single" w:sz="4" w:space="0" w:color="auto"/>
            </w:tcBorders>
            <w:vAlign w:val="center"/>
          </w:tcPr>
          <w:p w14:paraId="6798CD5A" w14:textId="77777777" w:rsidR="00577D08" w:rsidRDefault="00577D08">
            <w:pPr>
              <w:jc w:val="right"/>
            </w:pPr>
          </w:p>
        </w:tc>
        <w:tc>
          <w:tcPr>
            <w:tcW w:w="561" w:type="pct"/>
            <w:tcBorders>
              <w:top w:val="single" w:sz="4" w:space="0" w:color="auto"/>
              <w:left w:val="single" w:sz="4" w:space="0" w:color="auto"/>
              <w:bottom w:val="single" w:sz="4" w:space="0" w:color="auto"/>
              <w:right w:val="single" w:sz="4" w:space="0" w:color="auto"/>
            </w:tcBorders>
            <w:vAlign w:val="center"/>
          </w:tcPr>
          <w:p w14:paraId="6C0AD8AC" w14:textId="77777777" w:rsidR="00577D08" w:rsidRDefault="00330FC0">
            <w:pPr>
              <w:jc w:val="right"/>
            </w:pPr>
            <w:r>
              <w:rPr>
                <w:rFonts w:hint="eastAsia"/>
              </w:rPr>
              <w:t>5,100,000.00</w:t>
            </w:r>
          </w:p>
        </w:tc>
        <w:tc>
          <w:tcPr>
            <w:tcW w:w="549" w:type="pct"/>
            <w:tcBorders>
              <w:top w:val="single" w:sz="4" w:space="0" w:color="auto"/>
              <w:left w:val="single" w:sz="4" w:space="0" w:color="auto"/>
              <w:bottom w:val="single" w:sz="4" w:space="0" w:color="auto"/>
              <w:right w:val="single" w:sz="4" w:space="0" w:color="auto"/>
            </w:tcBorders>
          </w:tcPr>
          <w:p w14:paraId="77273CA9" w14:textId="77777777" w:rsidR="00577D08" w:rsidRDefault="00577D08">
            <w:pPr>
              <w:jc w:val="right"/>
            </w:pPr>
          </w:p>
        </w:tc>
      </w:tr>
      <w:tr w:rsidR="00577D08" w14:paraId="52DFC58B" w14:textId="77777777">
        <w:tc>
          <w:tcPr>
            <w:tcW w:w="608" w:type="pct"/>
            <w:tcBorders>
              <w:top w:val="single" w:sz="4" w:space="0" w:color="auto"/>
              <w:left w:val="single" w:sz="4" w:space="0" w:color="auto"/>
              <w:bottom w:val="single" w:sz="4" w:space="0" w:color="auto"/>
              <w:right w:val="single" w:sz="4" w:space="0" w:color="auto"/>
            </w:tcBorders>
          </w:tcPr>
          <w:p w14:paraId="70CF8A16" w14:textId="77777777" w:rsidR="00577D08" w:rsidRDefault="00330FC0">
            <w:r>
              <w:rPr>
                <w:rFonts w:hint="eastAsia"/>
              </w:rPr>
              <w:t>望来充（重庆）科技有限责任公司</w:t>
            </w:r>
          </w:p>
        </w:tc>
        <w:tc>
          <w:tcPr>
            <w:tcW w:w="548" w:type="pct"/>
            <w:tcBorders>
              <w:top w:val="single" w:sz="4" w:space="0" w:color="auto"/>
              <w:left w:val="single" w:sz="4" w:space="0" w:color="auto"/>
              <w:bottom w:val="single" w:sz="4" w:space="0" w:color="auto"/>
              <w:right w:val="single" w:sz="4" w:space="0" w:color="auto"/>
            </w:tcBorders>
            <w:vAlign w:val="center"/>
          </w:tcPr>
          <w:p w14:paraId="64F15F6F"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1AE6FF77"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vAlign w:val="center"/>
          </w:tcPr>
          <w:p w14:paraId="2AE33F6A" w14:textId="77777777" w:rsidR="00577D08" w:rsidRDefault="00330FC0">
            <w:pPr>
              <w:jc w:val="right"/>
            </w:pPr>
            <w:r>
              <w:rPr>
                <w:rFonts w:hint="eastAsia"/>
              </w:rPr>
              <w:t>50,000,000.00</w:t>
            </w:r>
          </w:p>
        </w:tc>
        <w:tc>
          <w:tcPr>
            <w:tcW w:w="546" w:type="pct"/>
            <w:tcBorders>
              <w:top w:val="single" w:sz="4" w:space="0" w:color="auto"/>
              <w:left w:val="single" w:sz="4" w:space="0" w:color="auto"/>
              <w:bottom w:val="single" w:sz="4" w:space="0" w:color="auto"/>
              <w:right w:val="single" w:sz="4" w:space="0" w:color="auto"/>
            </w:tcBorders>
            <w:vAlign w:val="center"/>
          </w:tcPr>
          <w:p w14:paraId="6B048E69" w14:textId="77777777" w:rsidR="00577D08" w:rsidRDefault="00577D08">
            <w:pPr>
              <w:jc w:val="right"/>
            </w:pPr>
          </w:p>
        </w:tc>
        <w:tc>
          <w:tcPr>
            <w:tcW w:w="533" w:type="pct"/>
            <w:tcBorders>
              <w:top w:val="single" w:sz="4" w:space="0" w:color="auto"/>
              <w:left w:val="single" w:sz="4" w:space="0" w:color="auto"/>
              <w:bottom w:val="single" w:sz="4" w:space="0" w:color="auto"/>
              <w:right w:val="single" w:sz="4" w:space="0" w:color="auto"/>
            </w:tcBorders>
            <w:vAlign w:val="center"/>
          </w:tcPr>
          <w:p w14:paraId="28D8483C" w14:textId="77777777" w:rsidR="00577D08" w:rsidRDefault="00577D08">
            <w:pPr>
              <w:jc w:val="right"/>
            </w:pPr>
          </w:p>
        </w:tc>
        <w:tc>
          <w:tcPr>
            <w:tcW w:w="557" w:type="pct"/>
            <w:tcBorders>
              <w:top w:val="single" w:sz="4" w:space="0" w:color="auto"/>
              <w:left w:val="single" w:sz="4" w:space="0" w:color="auto"/>
              <w:bottom w:val="single" w:sz="4" w:space="0" w:color="auto"/>
              <w:right w:val="single" w:sz="4" w:space="0" w:color="auto"/>
            </w:tcBorders>
            <w:vAlign w:val="center"/>
          </w:tcPr>
          <w:p w14:paraId="0C57E377" w14:textId="77777777" w:rsidR="00577D08" w:rsidRDefault="00577D08">
            <w:pPr>
              <w:jc w:val="right"/>
            </w:pPr>
          </w:p>
        </w:tc>
        <w:tc>
          <w:tcPr>
            <w:tcW w:w="561" w:type="pct"/>
            <w:tcBorders>
              <w:top w:val="single" w:sz="4" w:space="0" w:color="auto"/>
              <w:left w:val="single" w:sz="4" w:space="0" w:color="auto"/>
              <w:bottom w:val="single" w:sz="4" w:space="0" w:color="auto"/>
              <w:right w:val="single" w:sz="4" w:space="0" w:color="auto"/>
            </w:tcBorders>
            <w:vAlign w:val="center"/>
          </w:tcPr>
          <w:p w14:paraId="22BE1284" w14:textId="77777777" w:rsidR="00577D08" w:rsidRDefault="00330FC0">
            <w:pPr>
              <w:jc w:val="right"/>
            </w:pPr>
            <w:r>
              <w:rPr>
                <w:rFonts w:hint="eastAsia"/>
              </w:rPr>
              <w:t>50,000,000.00</w:t>
            </w:r>
          </w:p>
        </w:tc>
        <w:tc>
          <w:tcPr>
            <w:tcW w:w="549" w:type="pct"/>
            <w:tcBorders>
              <w:top w:val="single" w:sz="4" w:space="0" w:color="auto"/>
              <w:left w:val="single" w:sz="4" w:space="0" w:color="auto"/>
              <w:bottom w:val="single" w:sz="4" w:space="0" w:color="auto"/>
              <w:right w:val="single" w:sz="4" w:space="0" w:color="auto"/>
            </w:tcBorders>
          </w:tcPr>
          <w:p w14:paraId="70D913F6" w14:textId="77777777" w:rsidR="00577D08" w:rsidRDefault="00577D08">
            <w:pPr>
              <w:jc w:val="right"/>
            </w:pPr>
          </w:p>
        </w:tc>
      </w:tr>
      <w:tr w:rsidR="00577D08" w14:paraId="6A6C5FA5" w14:textId="77777777">
        <w:tc>
          <w:tcPr>
            <w:tcW w:w="608" w:type="pct"/>
            <w:tcBorders>
              <w:top w:val="single" w:sz="4" w:space="0" w:color="auto"/>
              <w:left w:val="single" w:sz="4" w:space="0" w:color="auto"/>
              <w:bottom w:val="single" w:sz="4" w:space="0" w:color="auto"/>
              <w:right w:val="single" w:sz="4" w:space="0" w:color="auto"/>
            </w:tcBorders>
            <w:vAlign w:val="center"/>
          </w:tcPr>
          <w:p w14:paraId="6DAA4507" w14:textId="77777777" w:rsidR="00577D08" w:rsidRDefault="00330FC0">
            <w:pPr>
              <w:jc w:val="center"/>
            </w:pPr>
            <w:r>
              <w:rPr>
                <w:rFonts w:hint="eastAsia"/>
              </w:rPr>
              <w:t>合计</w:t>
            </w:r>
          </w:p>
        </w:tc>
        <w:tc>
          <w:tcPr>
            <w:tcW w:w="548" w:type="pct"/>
            <w:tcBorders>
              <w:top w:val="single" w:sz="4" w:space="0" w:color="auto"/>
              <w:left w:val="single" w:sz="4" w:space="0" w:color="auto"/>
              <w:bottom w:val="single" w:sz="4" w:space="0" w:color="auto"/>
              <w:right w:val="single" w:sz="4" w:space="0" w:color="auto"/>
            </w:tcBorders>
          </w:tcPr>
          <w:p w14:paraId="38270E16" w14:textId="77777777" w:rsidR="00577D08" w:rsidRDefault="00330FC0">
            <w:pPr>
              <w:jc w:val="right"/>
            </w:pPr>
            <w:r>
              <w:t>660,425,575.90</w:t>
            </w:r>
          </w:p>
        </w:tc>
        <w:tc>
          <w:tcPr>
            <w:tcW w:w="549" w:type="pct"/>
            <w:tcBorders>
              <w:top w:val="single" w:sz="4" w:space="0" w:color="auto"/>
              <w:left w:val="single" w:sz="4" w:space="0" w:color="auto"/>
              <w:bottom w:val="single" w:sz="4" w:space="0" w:color="auto"/>
              <w:right w:val="single" w:sz="4" w:space="0" w:color="auto"/>
            </w:tcBorders>
          </w:tcPr>
          <w:p w14:paraId="4D54353D" w14:textId="77777777" w:rsidR="00577D08" w:rsidRDefault="00577D08">
            <w:pPr>
              <w:jc w:val="right"/>
            </w:pPr>
          </w:p>
        </w:tc>
        <w:tc>
          <w:tcPr>
            <w:tcW w:w="549" w:type="pct"/>
            <w:tcBorders>
              <w:top w:val="single" w:sz="4" w:space="0" w:color="auto"/>
              <w:left w:val="single" w:sz="4" w:space="0" w:color="auto"/>
              <w:bottom w:val="single" w:sz="4" w:space="0" w:color="auto"/>
              <w:right w:val="single" w:sz="4" w:space="0" w:color="auto"/>
            </w:tcBorders>
          </w:tcPr>
          <w:p w14:paraId="328B376F" w14:textId="77777777" w:rsidR="00577D08" w:rsidRDefault="00330FC0">
            <w:pPr>
              <w:jc w:val="right"/>
            </w:pPr>
            <w:r>
              <w:t>185,713,100.00</w:t>
            </w:r>
          </w:p>
        </w:tc>
        <w:tc>
          <w:tcPr>
            <w:tcW w:w="546" w:type="pct"/>
            <w:tcBorders>
              <w:top w:val="single" w:sz="4" w:space="0" w:color="auto"/>
              <w:left w:val="single" w:sz="4" w:space="0" w:color="auto"/>
              <w:bottom w:val="single" w:sz="4" w:space="0" w:color="auto"/>
              <w:right w:val="single" w:sz="4" w:space="0" w:color="auto"/>
            </w:tcBorders>
          </w:tcPr>
          <w:p w14:paraId="21DA61BC" w14:textId="77777777" w:rsidR="00577D08" w:rsidRDefault="00330FC0">
            <w:pPr>
              <w:jc w:val="right"/>
            </w:pPr>
            <w:r>
              <w:t>8,160,000.00</w:t>
            </w:r>
          </w:p>
        </w:tc>
        <w:tc>
          <w:tcPr>
            <w:tcW w:w="533" w:type="pct"/>
            <w:tcBorders>
              <w:top w:val="single" w:sz="4" w:space="0" w:color="auto"/>
              <w:left w:val="single" w:sz="4" w:space="0" w:color="auto"/>
              <w:bottom w:val="single" w:sz="4" w:space="0" w:color="auto"/>
              <w:right w:val="single" w:sz="4" w:space="0" w:color="auto"/>
            </w:tcBorders>
          </w:tcPr>
          <w:p w14:paraId="51E43CEB" w14:textId="77777777" w:rsidR="00577D08" w:rsidRDefault="00577D08">
            <w:pPr>
              <w:jc w:val="right"/>
            </w:pPr>
          </w:p>
        </w:tc>
        <w:tc>
          <w:tcPr>
            <w:tcW w:w="557" w:type="pct"/>
            <w:tcBorders>
              <w:top w:val="single" w:sz="4" w:space="0" w:color="auto"/>
              <w:left w:val="single" w:sz="4" w:space="0" w:color="auto"/>
              <w:bottom w:val="single" w:sz="4" w:space="0" w:color="auto"/>
              <w:right w:val="single" w:sz="4" w:space="0" w:color="auto"/>
            </w:tcBorders>
          </w:tcPr>
          <w:p w14:paraId="3C01D21F" w14:textId="77777777" w:rsidR="00577D08" w:rsidRDefault="00577D08">
            <w:pPr>
              <w:jc w:val="right"/>
            </w:pPr>
          </w:p>
        </w:tc>
        <w:tc>
          <w:tcPr>
            <w:tcW w:w="561" w:type="pct"/>
            <w:tcBorders>
              <w:top w:val="single" w:sz="4" w:space="0" w:color="auto"/>
              <w:left w:val="single" w:sz="4" w:space="0" w:color="auto"/>
              <w:bottom w:val="single" w:sz="4" w:space="0" w:color="auto"/>
              <w:right w:val="single" w:sz="4" w:space="0" w:color="auto"/>
            </w:tcBorders>
          </w:tcPr>
          <w:p w14:paraId="2CE6C56E" w14:textId="77777777" w:rsidR="00577D08" w:rsidRDefault="00330FC0">
            <w:pPr>
              <w:jc w:val="right"/>
            </w:pPr>
            <w:r>
              <w:t>837,978,675.90</w:t>
            </w:r>
          </w:p>
        </w:tc>
        <w:tc>
          <w:tcPr>
            <w:tcW w:w="549" w:type="pct"/>
            <w:tcBorders>
              <w:top w:val="single" w:sz="4" w:space="0" w:color="auto"/>
              <w:left w:val="single" w:sz="4" w:space="0" w:color="auto"/>
              <w:bottom w:val="single" w:sz="4" w:space="0" w:color="auto"/>
              <w:right w:val="single" w:sz="4" w:space="0" w:color="auto"/>
            </w:tcBorders>
          </w:tcPr>
          <w:p w14:paraId="2C30E275" w14:textId="77777777" w:rsidR="00577D08" w:rsidRDefault="00577D08">
            <w:pPr>
              <w:jc w:val="right"/>
            </w:pPr>
          </w:p>
        </w:tc>
      </w:tr>
    </w:tbl>
    <w:bookmarkEnd w:id="530"/>
    <w:p w14:paraId="5A9E1F2C" w14:textId="77777777" w:rsidR="00577D08" w:rsidRDefault="00330FC0">
      <w:pPr>
        <w:pStyle w:val="4"/>
        <w:numPr>
          <w:ilvl w:val="0"/>
          <w:numId w:val="130"/>
        </w:numPr>
        <w:rPr>
          <w:rFonts w:hint="eastAsia"/>
        </w:rPr>
      </w:pPr>
      <w:r>
        <w:rPr>
          <w:rFonts w:hint="eastAsia"/>
        </w:rPr>
        <w:lastRenderedPageBreak/>
        <w:t>对联营、合营企业投资</w:t>
      </w:r>
    </w:p>
    <w:sdt>
      <w:sdtPr>
        <w:alias w:val="是否适用：母公司对联营、合营企业投资[双击切换]"/>
        <w:tag w:val="_GBC_2e4760cb979247e69579530b3868e897"/>
        <w:id w:val="-33818380"/>
        <w:placeholder>
          <w:docPart w:val="GBC22222222222222222222222222222"/>
        </w:placeholder>
      </w:sdtPr>
      <w:sdtContent>
        <w:p w14:paraId="7F1EB9D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8CC6BA8" w14:textId="00F18B3F" w:rsidR="00577D08" w:rsidRDefault="00330FC0">
      <w:pPr>
        <w:jc w:val="right"/>
      </w:pPr>
      <w:r>
        <w:rPr>
          <w:rFonts w:hint="eastAsia"/>
        </w:rPr>
        <w:t>单位：</w:t>
      </w:r>
      <w:sdt>
        <w:sdtPr>
          <w:rPr>
            <w:rFonts w:hint="eastAsia"/>
          </w:rPr>
          <w:alias w:val="单位：母公司财务附注：对联营、合营企业投资"/>
          <w:tag w:val="_GBC_ccad125c53784121bdbf82967e585280"/>
          <w:id w:val="7055337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rPr>
          <w:rFonts w:hint="eastAsia"/>
        </w:rPr>
        <w:t>币种：</w:t>
      </w:r>
      <w:sdt>
        <w:sdtPr>
          <w:rPr>
            <w:rFonts w:hint="eastAsia"/>
          </w:rPr>
          <w:alias w:val="币种：母公司财务附注：对联营、合营企业投资"/>
          <w:tag w:val="_GBC_f572fc517d504bef8d5942b395a68d39"/>
          <w:id w:val="-3063151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424"/>
        <w:gridCol w:w="1319"/>
        <w:gridCol w:w="926"/>
        <w:gridCol w:w="1359"/>
        <w:gridCol w:w="982"/>
        <w:gridCol w:w="987"/>
        <w:gridCol w:w="1102"/>
        <w:gridCol w:w="1088"/>
        <w:gridCol w:w="1060"/>
        <w:gridCol w:w="1424"/>
        <w:gridCol w:w="1030"/>
      </w:tblGrid>
      <w:tr w:rsidR="00577D08" w14:paraId="32F4EF97" w14:textId="77777777">
        <w:sdt>
          <w:sdtPr>
            <w:tag w:val="_PLD_cddf860d624b41069bef0850b92b7db2"/>
            <w:id w:val="1721548655"/>
          </w:sdtPr>
          <w:sdtContent>
            <w:tc>
              <w:tcPr>
                <w:tcW w:w="422" w:type="pct"/>
                <w:vMerge w:val="restart"/>
                <w:tcBorders>
                  <w:top w:val="single" w:sz="4" w:space="0" w:color="auto"/>
                  <w:left w:val="single" w:sz="4" w:space="0" w:color="auto"/>
                  <w:right w:val="single" w:sz="4" w:space="0" w:color="auto"/>
                </w:tcBorders>
                <w:vAlign w:val="center"/>
              </w:tcPr>
              <w:p w14:paraId="354B044B" w14:textId="77777777" w:rsidR="00577D08" w:rsidRDefault="00330FC0">
                <w:pPr>
                  <w:jc w:val="center"/>
                </w:pPr>
                <w:r>
                  <w:rPr>
                    <w:rFonts w:hint="eastAsia"/>
                  </w:rPr>
                  <w:t>投资</w:t>
                </w:r>
              </w:p>
              <w:p w14:paraId="19F0792E" w14:textId="77777777" w:rsidR="00577D08" w:rsidRDefault="00330FC0">
                <w:pPr>
                  <w:jc w:val="center"/>
                </w:pPr>
                <w:r>
                  <w:rPr>
                    <w:rFonts w:hint="eastAsia"/>
                  </w:rPr>
                  <w:t>单位</w:t>
                </w:r>
              </w:p>
            </w:tc>
          </w:sdtContent>
        </w:sdt>
        <w:sdt>
          <w:sdtPr>
            <w:tag w:val="_PLD_1e9893e3e3854470a87271f1c7db6cdb"/>
            <w:id w:val="1748612376"/>
          </w:sdtPr>
          <w:sdtContent>
            <w:tc>
              <w:tcPr>
                <w:tcW w:w="505" w:type="pct"/>
                <w:vMerge w:val="restart"/>
                <w:tcBorders>
                  <w:top w:val="single" w:sz="4" w:space="0" w:color="auto"/>
                  <w:left w:val="single" w:sz="4" w:space="0" w:color="auto"/>
                  <w:right w:val="single" w:sz="4" w:space="0" w:color="auto"/>
                </w:tcBorders>
                <w:vAlign w:val="center"/>
              </w:tcPr>
              <w:p w14:paraId="39659B93" w14:textId="77777777" w:rsidR="00577D08" w:rsidRDefault="00330FC0">
                <w:pPr>
                  <w:jc w:val="center"/>
                </w:pPr>
                <w:r>
                  <w:rPr>
                    <w:rFonts w:hint="eastAsia"/>
                  </w:rPr>
                  <w:t>期初</w:t>
                </w:r>
              </w:p>
              <w:p w14:paraId="0A0E2348" w14:textId="77777777" w:rsidR="00577D08" w:rsidRDefault="00330FC0">
                <w:pPr>
                  <w:jc w:val="center"/>
                </w:pPr>
                <w:r>
                  <w:rPr>
                    <w:rFonts w:hint="eastAsia"/>
                  </w:rPr>
                  <w:t>余额（账面价值）</w:t>
                </w:r>
              </w:p>
            </w:tc>
          </w:sdtContent>
        </w:sdt>
        <w:sdt>
          <w:sdtPr>
            <w:tag w:val="_PLD_51e202fa7d4541e8b1073ad1aab00e23"/>
            <w:id w:val="-904532607"/>
          </w:sdtPr>
          <w:sdtContent>
            <w:tc>
              <w:tcPr>
                <w:tcW w:w="3194" w:type="pct"/>
                <w:gridSpan w:val="8"/>
                <w:tcBorders>
                  <w:top w:val="single" w:sz="4" w:space="0" w:color="auto"/>
                  <w:left w:val="single" w:sz="4" w:space="0" w:color="auto"/>
                  <w:bottom w:val="single" w:sz="4" w:space="0" w:color="auto"/>
                  <w:right w:val="single" w:sz="4" w:space="0" w:color="auto"/>
                </w:tcBorders>
                <w:vAlign w:val="center"/>
              </w:tcPr>
              <w:p w14:paraId="5B6C4291" w14:textId="77777777" w:rsidR="00577D08" w:rsidRDefault="00330FC0">
                <w:pPr>
                  <w:jc w:val="center"/>
                </w:pPr>
                <w:r>
                  <w:rPr>
                    <w:rFonts w:hint="eastAsia"/>
                  </w:rPr>
                  <w:t>本期增减变动</w:t>
                </w:r>
              </w:p>
            </w:tc>
          </w:sdtContent>
        </w:sdt>
        <w:sdt>
          <w:sdtPr>
            <w:tag w:val="_PLD_fb68ab3bfe254cb4ac4728b9c324a1ea"/>
            <w:id w:val="-671404037"/>
          </w:sdtPr>
          <w:sdtContent>
            <w:tc>
              <w:tcPr>
                <w:tcW w:w="505" w:type="pct"/>
                <w:vMerge w:val="restart"/>
                <w:tcBorders>
                  <w:top w:val="single" w:sz="4" w:space="0" w:color="auto"/>
                  <w:left w:val="single" w:sz="4" w:space="0" w:color="auto"/>
                  <w:right w:val="single" w:sz="4" w:space="0" w:color="auto"/>
                </w:tcBorders>
                <w:vAlign w:val="center"/>
              </w:tcPr>
              <w:p w14:paraId="6342A478" w14:textId="77777777" w:rsidR="00577D08" w:rsidRDefault="00330FC0">
                <w:pPr>
                  <w:jc w:val="center"/>
                </w:pPr>
                <w:r>
                  <w:rPr>
                    <w:rFonts w:hint="eastAsia"/>
                  </w:rPr>
                  <w:t>期末</w:t>
                </w:r>
              </w:p>
              <w:p w14:paraId="0EAC69BC" w14:textId="77777777" w:rsidR="00577D08" w:rsidRDefault="00330FC0">
                <w:pPr>
                  <w:jc w:val="center"/>
                </w:pPr>
                <w:r>
                  <w:rPr>
                    <w:rFonts w:hint="eastAsia"/>
                  </w:rPr>
                  <w:t>余额（账面价值）</w:t>
                </w:r>
              </w:p>
            </w:tc>
          </w:sdtContent>
        </w:sdt>
        <w:sdt>
          <w:sdtPr>
            <w:tag w:val="_PLD_79ea6426597c4707b961bbd96c8cf19f"/>
            <w:id w:val="158671971"/>
          </w:sdtPr>
          <w:sdtContent>
            <w:tc>
              <w:tcPr>
                <w:tcW w:w="373" w:type="pct"/>
                <w:vMerge w:val="restart"/>
                <w:tcBorders>
                  <w:top w:val="single" w:sz="4" w:space="0" w:color="auto"/>
                  <w:left w:val="single" w:sz="4" w:space="0" w:color="auto"/>
                  <w:right w:val="single" w:sz="4" w:space="0" w:color="auto"/>
                </w:tcBorders>
                <w:vAlign w:val="center"/>
              </w:tcPr>
              <w:p w14:paraId="0761187C" w14:textId="77777777" w:rsidR="00577D08" w:rsidRDefault="00330FC0">
                <w:pPr>
                  <w:jc w:val="center"/>
                </w:pPr>
                <w:r>
                  <w:rPr>
                    <w:rFonts w:hint="eastAsia"/>
                  </w:rPr>
                  <w:t>减值准备期末余额</w:t>
                </w:r>
              </w:p>
            </w:tc>
          </w:sdtContent>
        </w:sdt>
      </w:tr>
      <w:tr w:rsidR="00577D08" w14:paraId="49EBDCE8" w14:textId="77777777">
        <w:tc>
          <w:tcPr>
            <w:tcW w:w="422" w:type="pct"/>
            <w:vMerge/>
            <w:tcBorders>
              <w:left w:val="single" w:sz="4" w:space="0" w:color="auto"/>
              <w:bottom w:val="single" w:sz="4" w:space="0" w:color="auto"/>
              <w:right w:val="single" w:sz="4" w:space="0" w:color="auto"/>
            </w:tcBorders>
            <w:vAlign w:val="center"/>
          </w:tcPr>
          <w:p w14:paraId="79984393" w14:textId="77777777" w:rsidR="00577D08" w:rsidRDefault="00577D08">
            <w:pPr>
              <w:jc w:val="center"/>
            </w:pPr>
          </w:p>
        </w:tc>
        <w:tc>
          <w:tcPr>
            <w:tcW w:w="505" w:type="pct"/>
            <w:vMerge/>
            <w:tcBorders>
              <w:left w:val="single" w:sz="4" w:space="0" w:color="auto"/>
              <w:bottom w:val="single" w:sz="4" w:space="0" w:color="auto"/>
              <w:right w:val="single" w:sz="4" w:space="0" w:color="auto"/>
            </w:tcBorders>
            <w:vAlign w:val="center"/>
          </w:tcPr>
          <w:p w14:paraId="616568CB" w14:textId="77777777" w:rsidR="00577D08" w:rsidRDefault="00577D08">
            <w:pPr>
              <w:jc w:val="center"/>
            </w:pPr>
          </w:p>
        </w:tc>
        <w:sdt>
          <w:sdtPr>
            <w:tag w:val="_PLD_759fe0f59b6046308988b932a5f90e06"/>
            <w:id w:val="1110159522"/>
          </w:sdtPr>
          <w:sdtContent>
            <w:tc>
              <w:tcPr>
                <w:tcW w:w="468" w:type="pct"/>
                <w:tcBorders>
                  <w:top w:val="single" w:sz="4" w:space="0" w:color="auto"/>
                  <w:left w:val="single" w:sz="4" w:space="0" w:color="auto"/>
                  <w:bottom w:val="single" w:sz="4" w:space="0" w:color="auto"/>
                  <w:right w:val="single" w:sz="4" w:space="0" w:color="auto"/>
                </w:tcBorders>
                <w:vAlign w:val="center"/>
              </w:tcPr>
              <w:p w14:paraId="0A722078" w14:textId="77777777" w:rsidR="00577D08" w:rsidRDefault="00330FC0">
                <w:pPr>
                  <w:jc w:val="center"/>
                </w:pPr>
                <w:r>
                  <w:rPr>
                    <w:rFonts w:hint="eastAsia"/>
                  </w:rPr>
                  <w:t>追加投资</w:t>
                </w:r>
              </w:p>
            </w:tc>
          </w:sdtContent>
        </w:sdt>
        <w:sdt>
          <w:sdtPr>
            <w:tag w:val="_PLD_6f033bedb79a4bd7bc36dc52845a5ea0"/>
            <w:id w:val="-1748960673"/>
          </w:sdtPr>
          <w:sdtContent>
            <w:tc>
              <w:tcPr>
                <w:tcW w:w="337" w:type="pct"/>
                <w:tcBorders>
                  <w:top w:val="single" w:sz="4" w:space="0" w:color="auto"/>
                  <w:left w:val="single" w:sz="4" w:space="0" w:color="auto"/>
                  <w:bottom w:val="single" w:sz="4" w:space="0" w:color="auto"/>
                  <w:right w:val="single" w:sz="4" w:space="0" w:color="auto"/>
                </w:tcBorders>
                <w:vAlign w:val="center"/>
              </w:tcPr>
              <w:p w14:paraId="57546493" w14:textId="77777777" w:rsidR="00577D08" w:rsidRDefault="00330FC0">
                <w:pPr>
                  <w:jc w:val="center"/>
                </w:pPr>
                <w:r>
                  <w:rPr>
                    <w:rFonts w:hint="eastAsia"/>
                  </w:rPr>
                  <w:t>减少投资</w:t>
                </w:r>
              </w:p>
            </w:tc>
          </w:sdtContent>
        </w:sdt>
        <w:sdt>
          <w:sdtPr>
            <w:tag w:val="_PLD_67e4baac3d05451d940d328c18f19014"/>
            <w:id w:val="-2099397530"/>
          </w:sdtPr>
          <w:sdtContent>
            <w:tc>
              <w:tcPr>
                <w:tcW w:w="493" w:type="pct"/>
                <w:tcBorders>
                  <w:top w:val="single" w:sz="4" w:space="0" w:color="auto"/>
                  <w:left w:val="single" w:sz="4" w:space="0" w:color="auto"/>
                  <w:bottom w:val="single" w:sz="4" w:space="0" w:color="auto"/>
                  <w:right w:val="single" w:sz="4" w:space="0" w:color="auto"/>
                </w:tcBorders>
                <w:vAlign w:val="center"/>
              </w:tcPr>
              <w:p w14:paraId="5BA33218" w14:textId="77777777" w:rsidR="00577D08" w:rsidRDefault="00330FC0">
                <w:pPr>
                  <w:jc w:val="center"/>
                </w:pPr>
                <w:r>
                  <w:rPr>
                    <w:rFonts w:hint="eastAsia"/>
                  </w:rPr>
                  <w:t>权益法下确认的投资损益</w:t>
                </w:r>
              </w:p>
            </w:tc>
          </w:sdtContent>
        </w:sdt>
        <w:sdt>
          <w:sdtPr>
            <w:tag w:val="_PLD_700419003e5b4596b973710043374374"/>
            <w:id w:val="-117686698"/>
          </w:sdtPr>
          <w:sdtContent>
            <w:tc>
              <w:tcPr>
                <w:tcW w:w="357" w:type="pct"/>
                <w:tcBorders>
                  <w:top w:val="single" w:sz="4" w:space="0" w:color="auto"/>
                  <w:left w:val="single" w:sz="4" w:space="0" w:color="auto"/>
                  <w:bottom w:val="single" w:sz="4" w:space="0" w:color="auto"/>
                  <w:right w:val="single" w:sz="4" w:space="0" w:color="auto"/>
                </w:tcBorders>
                <w:vAlign w:val="center"/>
              </w:tcPr>
              <w:p w14:paraId="1EC5A2A1" w14:textId="77777777" w:rsidR="00577D08" w:rsidRDefault="00330FC0">
                <w:pPr>
                  <w:jc w:val="center"/>
                </w:pPr>
                <w:r>
                  <w:rPr>
                    <w:rFonts w:hint="eastAsia"/>
                  </w:rPr>
                  <w:t>其他综合收益调整</w:t>
                </w:r>
              </w:p>
            </w:tc>
          </w:sdtContent>
        </w:sdt>
        <w:sdt>
          <w:sdtPr>
            <w:tag w:val="_PLD_9318c7f257d249e0a0b9bf70263601d5"/>
            <w:id w:val="-1243106135"/>
          </w:sdtPr>
          <w:sdtContent>
            <w:tc>
              <w:tcPr>
                <w:tcW w:w="359" w:type="pct"/>
                <w:tcBorders>
                  <w:top w:val="single" w:sz="4" w:space="0" w:color="auto"/>
                  <w:left w:val="single" w:sz="4" w:space="0" w:color="auto"/>
                  <w:bottom w:val="single" w:sz="4" w:space="0" w:color="auto"/>
                  <w:right w:val="single" w:sz="4" w:space="0" w:color="auto"/>
                </w:tcBorders>
                <w:vAlign w:val="center"/>
              </w:tcPr>
              <w:p w14:paraId="1EFCC126" w14:textId="77777777" w:rsidR="00577D08" w:rsidRDefault="00330FC0">
                <w:pPr>
                  <w:jc w:val="center"/>
                </w:pPr>
                <w:r>
                  <w:rPr>
                    <w:rFonts w:hint="eastAsia"/>
                  </w:rPr>
                  <w:t>其他权益变动</w:t>
                </w:r>
              </w:p>
            </w:tc>
          </w:sdtContent>
        </w:sdt>
        <w:sdt>
          <w:sdtPr>
            <w:tag w:val="_PLD_efb3a8c8f6b64ad1a5fbb4cf67eb4c96"/>
            <w:id w:val="448440672"/>
          </w:sdtPr>
          <w:sdtContent>
            <w:tc>
              <w:tcPr>
                <w:tcW w:w="400" w:type="pct"/>
                <w:tcBorders>
                  <w:top w:val="single" w:sz="4" w:space="0" w:color="auto"/>
                  <w:left w:val="single" w:sz="4" w:space="0" w:color="auto"/>
                  <w:bottom w:val="single" w:sz="4" w:space="0" w:color="auto"/>
                  <w:right w:val="single" w:sz="4" w:space="0" w:color="auto"/>
                </w:tcBorders>
                <w:vAlign w:val="center"/>
              </w:tcPr>
              <w:p w14:paraId="618A8D4B" w14:textId="77777777" w:rsidR="00577D08" w:rsidRDefault="00330FC0">
                <w:pPr>
                  <w:jc w:val="center"/>
                </w:pPr>
                <w:r>
                  <w:rPr>
                    <w:rFonts w:hint="eastAsia"/>
                  </w:rPr>
                  <w:t>宣告发放现金股利或利润</w:t>
                </w:r>
              </w:p>
            </w:tc>
          </w:sdtContent>
        </w:sdt>
        <w:sdt>
          <w:sdtPr>
            <w:tag w:val="_PLD_2cc45ca82119420bb4d261a3eb788ba0"/>
            <w:id w:val="551431842"/>
          </w:sdtPr>
          <w:sdtContent>
            <w:tc>
              <w:tcPr>
                <w:tcW w:w="395" w:type="pct"/>
                <w:tcBorders>
                  <w:top w:val="single" w:sz="4" w:space="0" w:color="auto"/>
                  <w:left w:val="single" w:sz="4" w:space="0" w:color="auto"/>
                  <w:bottom w:val="single" w:sz="4" w:space="0" w:color="auto"/>
                  <w:right w:val="single" w:sz="4" w:space="0" w:color="auto"/>
                </w:tcBorders>
                <w:vAlign w:val="center"/>
              </w:tcPr>
              <w:p w14:paraId="1B5B62D2" w14:textId="77777777" w:rsidR="00577D08" w:rsidRDefault="00330FC0">
                <w:pPr>
                  <w:jc w:val="center"/>
                </w:pPr>
                <w:r>
                  <w:rPr>
                    <w:rFonts w:hint="eastAsia"/>
                  </w:rPr>
                  <w:t>计提减值准备</w:t>
                </w:r>
              </w:p>
            </w:tc>
          </w:sdtContent>
        </w:sdt>
        <w:sdt>
          <w:sdtPr>
            <w:tag w:val="_PLD_85d3aa0f514447b38d92097f7a30e385"/>
            <w:id w:val="1331719619"/>
          </w:sdtPr>
          <w:sdtContent>
            <w:tc>
              <w:tcPr>
                <w:tcW w:w="385" w:type="pct"/>
                <w:tcBorders>
                  <w:top w:val="single" w:sz="4" w:space="0" w:color="auto"/>
                  <w:left w:val="single" w:sz="4" w:space="0" w:color="auto"/>
                  <w:bottom w:val="single" w:sz="4" w:space="0" w:color="auto"/>
                  <w:right w:val="single" w:sz="4" w:space="0" w:color="auto"/>
                </w:tcBorders>
                <w:vAlign w:val="center"/>
              </w:tcPr>
              <w:p w14:paraId="1BEACD56" w14:textId="77777777" w:rsidR="00577D08" w:rsidRDefault="00330FC0">
                <w:pPr>
                  <w:jc w:val="center"/>
                </w:pPr>
                <w:r>
                  <w:rPr>
                    <w:rFonts w:hint="eastAsia"/>
                  </w:rPr>
                  <w:t>其他</w:t>
                </w:r>
              </w:p>
            </w:tc>
          </w:sdtContent>
        </w:sdt>
        <w:tc>
          <w:tcPr>
            <w:tcW w:w="505" w:type="pct"/>
            <w:vMerge/>
            <w:tcBorders>
              <w:left w:val="single" w:sz="4" w:space="0" w:color="auto"/>
              <w:bottom w:val="single" w:sz="4" w:space="0" w:color="auto"/>
              <w:right w:val="single" w:sz="4" w:space="0" w:color="auto"/>
            </w:tcBorders>
            <w:vAlign w:val="center"/>
          </w:tcPr>
          <w:p w14:paraId="19D414D1" w14:textId="77777777" w:rsidR="00577D08" w:rsidRDefault="00577D08">
            <w:pPr>
              <w:jc w:val="center"/>
            </w:pPr>
          </w:p>
        </w:tc>
        <w:tc>
          <w:tcPr>
            <w:tcW w:w="373" w:type="pct"/>
            <w:vMerge/>
            <w:tcBorders>
              <w:left w:val="single" w:sz="4" w:space="0" w:color="auto"/>
              <w:bottom w:val="single" w:sz="4" w:space="0" w:color="auto"/>
              <w:right w:val="single" w:sz="4" w:space="0" w:color="auto"/>
            </w:tcBorders>
            <w:vAlign w:val="center"/>
          </w:tcPr>
          <w:p w14:paraId="782F4EB8" w14:textId="77777777" w:rsidR="00577D08" w:rsidRDefault="00577D08">
            <w:pPr>
              <w:jc w:val="center"/>
            </w:pPr>
          </w:p>
        </w:tc>
      </w:tr>
      <w:tr w:rsidR="00577D08" w14:paraId="5E8440E1" w14:textId="77777777">
        <w:sdt>
          <w:sdtPr>
            <w:tag w:val="_PLD_b5de7a3b12554dad8d8701df843651f7"/>
            <w:id w:val="689111421"/>
          </w:sdtPr>
          <w:sdtContent>
            <w:tc>
              <w:tcPr>
                <w:tcW w:w="5000" w:type="pct"/>
                <w:gridSpan w:val="12"/>
                <w:tcBorders>
                  <w:top w:val="single" w:sz="4" w:space="0" w:color="auto"/>
                  <w:left w:val="single" w:sz="4" w:space="0" w:color="auto"/>
                  <w:bottom w:val="single" w:sz="4" w:space="0" w:color="auto"/>
                  <w:right w:val="single" w:sz="4" w:space="0" w:color="auto"/>
                </w:tcBorders>
                <w:vAlign w:val="center"/>
              </w:tcPr>
              <w:p w14:paraId="7886980E" w14:textId="77777777" w:rsidR="00577D08" w:rsidRDefault="00330FC0">
                <w:pPr>
                  <w:jc w:val="both"/>
                </w:pPr>
                <w:r>
                  <w:rPr>
                    <w:rFonts w:hint="eastAsia"/>
                  </w:rPr>
                  <w:t>一、合营企业</w:t>
                </w:r>
              </w:p>
            </w:tc>
          </w:sdtContent>
        </w:sdt>
      </w:tr>
      <w:tr w:rsidR="00577D08" w14:paraId="04B9B91D" w14:textId="77777777">
        <w:tc>
          <w:tcPr>
            <w:tcW w:w="422" w:type="pct"/>
            <w:tcBorders>
              <w:top w:val="single" w:sz="4" w:space="0" w:color="auto"/>
              <w:left w:val="single" w:sz="4" w:space="0" w:color="auto"/>
              <w:bottom w:val="single" w:sz="4" w:space="0" w:color="auto"/>
              <w:right w:val="single" w:sz="4" w:space="0" w:color="auto"/>
            </w:tcBorders>
            <w:vAlign w:val="center"/>
          </w:tcPr>
          <w:p w14:paraId="12B9D1E1" w14:textId="77777777" w:rsidR="00577D08" w:rsidRDefault="00330FC0">
            <w:pPr>
              <w:jc w:val="both"/>
            </w:pPr>
            <w:r>
              <w:rPr>
                <w:rFonts w:hint="eastAsia"/>
              </w:rPr>
              <w:t>小计</w:t>
            </w:r>
          </w:p>
        </w:tc>
        <w:tc>
          <w:tcPr>
            <w:tcW w:w="505" w:type="pct"/>
            <w:tcBorders>
              <w:top w:val="single" w:sz="4" w:space="0" w:color="auto"/>
              <w:left w:val="single" w:sz="4" w:space="0" w:color="auto"/>
              <w:bottom w:val="single" w:sz="4" w:space="0" w:color="auto"/>
              <w:right w:val="single" w:sz="4" w:space="0" w:color="auto"/>
            </w:tcBorders>
            <w:vAlign w:val="center"/>
          </w:tcPr>
          <w:p w14:paraId="7DB56BEB" w14:textId="77777777" w:rsidR="00577D08" w:rsidRDefault="00577D08">
            <w:pPr>
              <w:jc w:val="right"/>
            </w:pPr>
          </w:p>
        </w:tc>
        <w:tc>
          <w:tcPr>
            <w:tcW w:w="468" w:type="pct"/>
            <w:tcBorders>
              <w:top w:val="single" w:sz="4" w:space="0" w:color="auto"/>
              <w:left w:val="single" w:sz="4" w:space="0" w:color="auto"/>
              <w:bottom w:val="single" w:sz="4" w:space="0" w:color="auto"/>
              <w:right w:val="single" w:sz="4" w:space="0" w:color="auto"/>
            </w:tcBorders>
            <w:vAlign w:val="center"/>
          </w:tcPr>
          <w:p w14:paraId="33FA05A4" w14:textId="77777777" w:rsidR="00577D08" w:rsidRDefault="00577D08">
            <w:pPr>
              <w:jc w:val="right"/>
            </w:pPr>
          </w:p>
        </w:tc>
        <w:tc>
          <w:tcPr>
            <w:tcW w:w="337" w:type="pct"/>
            <w:tcBorders>
              <w:top w:val="single" w:sz="4" w:space="0" w:color="auto"/>
              <w:left w:val="single" w:sz="4" w:space="0" w:color="auto"/>
              <w:bottom w:val="single" w:sz="4" w:space="0" w:color="auto"/>
              <w:right w:val="single" w:sz="4" w:space="0" w:color="auto"/>
            </w:tcBorders>
            <w:vAlign w:val="center"/>
          </w:tcPr>
          <w:p w14:paraId="19B73461"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246131E0" w14:textId="77777777" w:rsidR="00577D08" w:rsidRDefault="00577D08">
            <w:pPr>
              <w:jc w:val="right"/>
            </w:pPr>
          </w:p>
        </w:tc>
        <w:tc>
          <w:tcPr>
            <w:tcW w:w="357" w:type="pct"/>
            <w:tcBorders>
              <w:top w:val="single" w:sz="4" w:space="0" w:color="auto"/>
              <w:left w:val="single" w:sz="4" w:space="0" w:color="auto"/>
              <w:bottom w:val="single" w:sz="4" w:space="0" w:color="auto"/>
              <w:right w:val="single" w:sz="4" w:space="0" w:color="auto"/>
            </w:tcBorders>
            <w:vAlign w:val="center"/>
          </w:tcPr>
          <w:p w14:paraId="3FC32089" w14:textId="77777777" w:rsidR="00577D08" w:rsidRDefault="00577D08">
            <w:pPr>
              <w:jc w:val="right"/>
            </w:pPr>
          </w:p>
        </w:tc>
        <w:tc>
          <w:tcPr>
            <w:tcW w:w="359" w:type="pct"/>
            <w:tcBorders>
              <w:top w:val="single" w:sz="4" w:space="0" w:color="auto"/>
              <w:left w:val="single" w:sz="4" w:space="0" w:color="auto"/>
              <w:bottom w:val="single" w:sz="4" w:space="0" w:color="auto"/>
              <w:right w:val="single" w:sz="4" w:space="0" w:color="auto"/>
            </w:tcBorders>
            <w:vAlign w:val="center"/>
          </w:tcPr>
          <w:p w14:paraId="3BC41085" w14:textId="77777777" w:rsidR="00577D08" w:rsidRDefault="00577D08">
            <w:pPr>
              <w:jc w:val="right"/>
            </w:pPr>
          </w:p>
        </w:tc>
        <w:tc>
          <w:tcPr>
            <w:tcW w:w="400" w:type="pct"/>
            <w:tcBorders>
              <w:top w:val="single" w:sz="4" w:space="0" w:color="auto"/>
              <w:left w:val="single" w:sz="4" w:space="0" w:color="auto"/>
              <w:bottom w:val="single" w:sz="4" w:space="0" w:color="auto"/>
              <w:right w:val="single" w:sz="4" w:space="0" w:color="auto"/>
            </w:tcBorders>
            <w:vAlign w:val="center"/>
          </w:tcPr>
          <w:p w14:paraId="6BBA959B" w14:textId="77777777" w:rsidR="00577D08" w:rsidRDefault="00577D08">
            <w:pPr>
              <w:jc w:val="right"/>
            </w:pPr>
          </w:p>
        </w:tc>
        <w:tc>
          <w:tcPr>
            <w:tcW w:w="395" w:type="pct"/>
            <w:tcBorders>
              <w:top w:val="single" w:sz="4" w:space="0" w:color="auto"/>
              <w:left w:val="single" w:sz="4" w:space="0" w:color="auto"/>
              <w:bottom w:val="single" w:sz="4" w:space="0" w:color="auto"/>
              <w:right w:val="single" w:sz="4" w:space="0" w:color="auto"/>
            </w:tcBorders>
            <w:vAlign w:val="center"/>
          </w:tcPr>
          <w:p w14:paraId="700A4C99"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56297BFF"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1086CD91" w14:textId="77777777" w:rsidR="00577D08" w:rsidRDefault="00577D08">
            <w:pPr>
              <w:jc w:val="right"/>
            </w:pPr>
          </w:p>
        </w:tc>
        <w:tc>
          <w:tcPr>
            <w:tcW w:w="373" w:type="pct"/>
            <w:tcBorders>
              <w:top w:val="single" w:sz="4" w:space="0" w:color="auto"/>
              <w:left w:val="single" w:sz="4" w:space="0" w:color="auto"/>
              <w:bottom w:val="single" w:sz="4" w:space="0" w:color="auto"/>
              <w:right w:val="single" w:sz="4" w:space="0" w:color="auto"/>
            </w:tcBorders>
            <w:vAlign w:val="center"/>
          </w:tcPr>
          <w:p w14:paraId="1E88E4AE" w14:textId="77777777" w:rsidR="00577D08" w:rsidRDefault="00577D08">
            <w:pPr>
              <w:jc w:val="right"/>
            </w:pPr>
          </w:p>
        </w:tc>
      </w:tr>
      <w:tr w:rsidR="00577D08" w14:paraId="4FBEE0AC" w14:textId="77777777">
        <w:sdt>
          <w:sdtPr>
            <w:tag w:val="_PLD_473021cffa734643a0c35649ee4b5043"/>
            <w:id w:val="1784919990"/>
          </w:sdtPr>
          <w:sdtContent>
            <w:tc>
              <w:tcPr>
                <w:tcW w:w="5000" w:type="pct"/>
                <w:gridSpan w:val="12"/>
                <w:tcBorders>
                  <w:top w:val="single" w:sz="4" w:space="0" w:color="auto"/>
                  <w:left w:val="single" w:sz="4" w:space="0" w:color="auto"/>
                  <w:bottom w:val="single" w:sz="4" w:space="0" w:color="auto"/>
                  <w:right w:val="single" w:sz="4" w:space="0" w:color="auto"/>
                </w:tcBorders>
                <w:vAlign w:val="center"/>
              </w:tcPr>
              <w:p w14:paraId="63FF2F1A" w14:textId="77777777" w:rsidR="00577D08" w:rsidRDefault="00330FC0">
                <w:pPr>
                  <w:jc w:val="both"/>
                </w:pPr>
                <w:r>
                  <w:rPr>
                    <w:rFonts w:hint="eastAsia"/>
                  </w:rPr>
                  <w:t>二、联营企业</w:t>
                </w:r>
              </w:p>
            </w:tc>
          </w:sdtContent>
        </w:sdt>
      </w:tr>
      <w:tr w:rsidR="00577D08" w14:paraId="1F6E0D0C" w14:textId="77777777">
        <w:tc>
          <w:tcPr>
            <w:tcW w:w="422" w:type="pct"/>
            <w:tcBorders>
              <w:top w:val="single" w:sz="4" w:space="0" w:color="auto"/>
              <w:left w:val="single" w:sz="4" w:space="0" w:color="auto"/>
              <w:bottom w:val="single" w:sz="4" w:space="0" w:color="auto"/>
              <w:right w:val="single" w:sz="4" w:space="0" w:color="auto"/>
            </w:tcBorders>
          </w:tcPr>
          <w:p w14:paraId="68BDF35C" w14:textId="77777777" w:rsidR="00577D08" w:rsidRDefault="00330FC0">
            <w:pPr>
              <w:jc w:val="both"/>
            </w:pPr>
            <w:r>
              <w:rPr>
                <w:rFonts w:hint="eastAsia"/>
              </w:rPr>
              <w:t>重庆能投长寿经开区售电有限公司</w:t>
            </w:r>
          </w:p>
        </w:tc>
        <w:tc>
          <w:tcPr>
            <w:tcW w:w="505" w:type="pct"/>
            <w:tcBorders>
              <w:top w:val="single" w:sz="4" w:space="0" w:color="auto"/>
              <w:left w:val="single" w:sz="4" w:space="0" w:color="auto"/>
              <w:bottom w:val="single" w:sz="4" w:space="0" w:color="auto"/>
              <w:right w:val="single" w:sz="4" w:space="0" w:color="auto"/>
            </w:tcBorders>
            <w:vAlign w:val="center"/>
          </w:tcPr>
          <w:p w14:paraId="5A2DF832" w14:textId="77777777" w:rsidR="00577D08" w:rsidRDefault="00330FC0">
            <w:pPr>
              <w:jc w:val="right"/>
            </w:pPr>
            <w:r>
              <w:rPr>
                <w:rFonts w:hint="eastAsia"/>
              </w:rPr>
              <w:t>14,718,479.56</w:t>
            </w:r>
          </w:p>
        </w:tc>
        <w:tc>
          <w:tcPr>
            <w:tcW w:w="468" w:type="pct"/>
            <w:tcBorders>
              <w:top w:val="single" w:sz="4" w:space="0" w:color="auto"/>
              <w:left w:val="single" w:sz="4" w:space="0" w:color="auto"/>
              <w:bottom w:val="single" w:sz="4" w:space="0" w:color="auto"/>
              <w:right w:val="single" w:sz="4" w:space="0" w:color="auto"/>
            </w:tcBorders>
            <w:vAlign w:val="center"/>
          </w:tcPr>
          <w:p w14:paraId="309785F5" w14:textId="77777777" w:rsidR="00577D08" w:rsidRDefault="00577D08">
            <w:pPr>
              <w:jc w:val="right"/>
            </w:pPr>
          </w:p>
        </w:tc>
        <w:tc>
          <w:tcPr>
            <w:tcW w:w="337" w:type="pct"/>
            <w:tcBorders>
              <w:top w:val="single" w:sz="4" w:space="0" w:color="auto"/>
              <w:left w:val="single" w:sz="4" w:space="0" w:color="auto"/>
              <w:bottom w:val="single" w:sz="4" w:space="0" w:color="auto"/>
              <w:right w:val="single" w:sz="4" w:space="0" w:color="auto"/>
            </w:tcBorders>
            <w:vAlign w:val="center"/>
          </w:tcPr>
          <w:p w14:paraId="3FFAE225"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16C26CA0" w14:textId="77777777" w:rsidR="00577D08" w:rsidRDefault="00330FC0">
            <w:pPr>
              <w:jc w:val="right"/>
            </w:pPr>
            <w:r>
              <w:rPr>
                <w:rFonts w:hint="eastAsia"/>
              </w:rPr>
              <w:t>-813,839.54</w:t>
            </w:r>
          </w:p>
        </w:tc>
        <w:tc>
          <w:tcPr>
            <w:tcW w:w="357" w:type="pct"/>
            <w:tcBorders>
              <w:top w:val="single" w:sz="4" w:space="0" w:color="auto"/>
              <w:left w:val="single" w:sz="4" w:space="0" w:color="auto"/>
              <w:bottom w:val="single" w:sz="4" w:space="0" w:color="auto"/>
              <w:right w:val="single" w:sz="4" w:space="0" w:color="auto"/>
            </w:tcBorders>
            <w:vAlign w:val="center"/>
          </w:tcPr>
          <w:p w14:paraId="3BCDFF08" w14:textId="77777777" w:rsidR="00577D08" w:rsidRDefault="00577D08">
            <w:pPr>
              <w:jc w:val="right"/>
            </w:pPr>
          </w:p>
        </w:tc>
        <w:tc>
          <w:tcPr>
            <w:tcW w:w="359" w:type="pct"/>
            <w:tcBorders>
              <w:top w:val="single" w:sz="4" w:space="0" w:color="auto"/>
              <w:left w:val="single" w:sz="4" w:space="0" w:color="auto"/>
              <w:bottom w:val="single" w:sz="4" w:space="0" w:color="auto"/>
              <w:right w:val="single" w:sz="4" w:space="0" w:color="auto"/>
            </w:tcBorders>
            <w:vAlign w:val="center"/>
          </w:tcPr>
          <w:p w14:paraId="68BDA5A1" w14:textId="77777777" w:rsidR="00577D08" w:rsidRDefault="00577D08">
            <w:pPr>
              <w:jc w:val="right"/>
            </w:pPr>
          </w:p>
        </w:tc>
        <w:tc>
          <w:tcPr>
            <w:tcW w:w="400" w:type="pct"/>
            <w:tcBorders>
              <w:top w:val="single" w:sz="4" w:space="0" w:color="auto"/>
              <w:left w:val="single" w:sz="4" w:space="0" w:color="auto"/>
              <w:bottom w:val="single" w:sz="4" w:space="0" w:color="auto"/>
              <w:right w:val="single" w:sz="4" w:space="0" w:color="auto"/>
            </w:tcBorders>
            <w:vAlign w:val="center"/>
          </w:tcPr>
          <w:p w14:paraId="4E87F584" w14:textId="77777777" w:rsidR="00577D08" w:rsidRDefault="00577D08">
            <w:pPr>
              <w:jc w:val="right"/>
            </w:pPr>
          </w:p>
        </w:tc>
        <w:tc>
          <w:tcPr>
            <w:tcW w:w="395" w:type="pct"/>
            <w:tcBorders>
              <w:top w:val="single" w:sz="4" w:space="0" w:color="auto"/>
              <w:left w:val="single" w:sz="4" w:space="0" w:color="auto"/>
              <w:bottom w:val="single" w:sz="4" w:space="0" w:color="auto"/>
              <w:right w:val="single" w:sz="4" w:space="0" w:color="auto"/>
            </w:tcBorders>
            <w:vAlign w:val="center"/>
          </w:tcPr>
          <w:p w14:paraId="50E2B599"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245D96F6"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35750FD1" w14:textId="77777777" w:rsidR="00577D08" w:rsidRDefault="00330FC0">
            <w:pPr>
              <w:jc w:val="right"/>
            </w:pPr>
            <w:r>
              <w:rPr>
                <w:rFonts w:hint="eastAsia"/>
              </w:rPr>
              <w:t>13,904,640.02</w:t>
            </w:r>
          </w:p>
        </w:tc>
        <w:tc>
          <w:tcPr>
            <w:tcW w:w="373" w:type="pct"/>
            <w:tcBorders>
              <w:top w:val="single" w:sz="4" w:space="0" w:color="auto"/>
              <w:left w:val="single" w:sz="4" w:space="0" w:color="auto"/>
              <w:bottom w:val="single" w:sz="4" w:space="0" w:color="auto"/>
              <w:right w:val="single" w:sz="4" w:space="0" w:color="auto"/>
            </w:tcBorders>
            <w:vAlign w:val="center"/>
          </w:tcPr>
          <w:p w14:paraId="66ECA475" w14:textId="77777777" w:rsidR="00577D08" w:rsidRDefault="00577D08">
            <w:pPr>
              <w:jc w:val="right"/>
            </w:pPr>
          </w:p>
        </w:tc>
      </w:tr>
      <w:tr w:rsidR="00577D08" w14:paraId="1967CB9D" w14:textId="77777777">
        <w:tc>
          <w:tcPr>
            <w:tcW w:w="422" w:type="pct"/>
            <w:tcBorders>
              <w:top w:val="single" w:sz="4" w:space="0" w:color="auto"/>
              <w:left w:val="single" w:sz="4" w:space="0" w:color="auto"/>
              <w:bottom w:val="single" w:sz="4" w:space="0" w:color="auto"/>
              <w:right w:val="single" w:sz="4" w:space="0" w:color="auto"/>
            </w:tcBorders>
          </w:tcPr>
          <w:p w14:paraId="5BF75874" w14:textId="77777777" w:rsidR="00577D08" w:rsidRDefault="00330FC0">
            <w:pPr>
              <w:jc w:val="both"/>
            </w:pPr>
            <w:r>
              <w:rPr>
                <w:rFonts w:hint="eastAsia"/>
              </w:rPr>
              <w:t>深圳南海电气科技有限公司</w:t>
            </w:r>
          </w:p>
        </w:tc>
        <w:tc>
          <w:tcPr>
            <w:tcW w:w="505" w:type="pct"/>
            <w:tcBorders>
              <w:top w:val="single" w:sz="4" w:space="0" w:color="auto"/>
              <w:left w:val="single" w:sz="4" w:space="0" w:color="auto"/>
              <w:bottom w:val="single" w:sz="4" w:space="0" w:color="auto"/>
              <w:right w:val="single" w:sz="4" w:space="0" w:color="auto"/>
            </w:tcBorders>
            <w:vAlign w:val="center"/>
          </w:tcPr>
          <w:p w14:paraId="3B0944D7" w14:textId="77777777" w:rsidR="00577D08" w:rsidRDefault="00577D08">
            <w:pPr>
              <w:jc w:val="right"/>
            </w:pPr>
          </w:p>
        </w:tc>
        <w:tc>
          <w:tcPr>
            <w:tcW w:w="468" w:type="pct"/>
            <w:tcBorders>
              <w:top w:val="single" w:sz="4" w:space="0" w:color="auto"/>
              <w:left w:val="single" w:sz="4" w:space="0" w:color="auto"/>
              <w:bottom w:val="single" w:sz="4" w:space="0" w:color="auto"/>
              <w:right w:val="single" w:sz="4" w:space="0" w:color="auto"/>
            </w:tcBorders>
            <w:vAlign w:val="center"/>
          </w:tcPr>
          <w:p w14:paraId="6DA2B8C1" w14:textId="77777777" w:rsidR="00577D08" w:rsidRDefault="00330FC0">
            <w:pPr>
              <w:jc w:val="right"/>
            </w:pPr>
            <w:r>
              <w:rPr>
                <w:rFonts w:hint="eastAsia"/>
              </w:rPr>
              <w:t>4,000,000.00</w:t>
            </w:r>
          </w:p>
        </w:tc>
        <w:tc>
          <w:tcPr>
            <w:tcW w:w="337" w:type="pct"/>
            <w:tcBorders>
              <w:top w:val="single" w:sz="4" w:space="0" w:color="auto"/>
              <w:left w:val="single" w:sz="4" w:space="0" w:color="auto"/>
              <w:bottom w:val="single" w:sz="4" w:space="0" w:color="auto"/>
              <w:right w:val="single" w:sz="4" w:space="0" w:color="auto"/>
            </w:tcBorders>
            <w:vAlign w:val="center"/>
          </w:tcPr>
          <w:p w14:paraId="1696BD5A"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vAlign w:val="center"/>
          </w:tcPr>
          <w:p w14:paraId="2FEAD547" w14:textId="77777777" w:rsidR="00577D08" w:rsidRDefault="00330FC0">
            <w:pPr>
              <w:jc w:val="right"/>
            </w:pPr>
            <w:r>
              <w:rPr>
                <w:rFonts w:hint="eastAsia"/>
              </w:rPr>
              <w:t>-1,800,291.41</w:t>
            </w:r>
          </w:p>
        </w:tc>
        <w:tc>
          <w:tcPr>
            <w:tcW w:w="357" w:type="pct"/>
            <w:tcBorders>
              <w:top w:val="single" w:sz="4" w:space="0" w:color="auto"/>
              <w:left w:val="single" w:sz="4" w:space="0" w:color="auto"/>
              <w:bottom w:val="single" w:sz="4" w:space="0" w:color="auto"/>
              <w:right w:val="single" w:sz="4" w:space="0" w:color="auto"/>
            </w:tcBorders>
            <w:vAlign w:val="center"/>
          </w:tcPr>
          <w:p w14:paraId="5F04C561" w14:textId="77777777" w:rsidR="00577D08" w:rsidRDefault="00577D08">
            <w:pPr>
              <w:jc w:val="right"/>
            </w:pPr>
          </w:p>
        </w:tc>
        <w:tc>
          <w:tcPr>
            <w:tcW w:w="359" w:type="pct"/>
            <w:tcBorders>
              <w:top w:val="single" w:sz="4" w:space="0" w:color="auto"/>
              <w:left w:val="single" w:sz="4" w:space="0" w:color="auto"/>
              <w:bottom w:val="single" w:sz="4" w:space="0" w:color="auto"/>
              <w:right w:val="single" w:sz="4" w:space="0" w:color="auto"/>
            </w:tcBorders>
            <w:vAlign w:val="center"/>
          </w:tcPr>
          <w:p w14:paraId="55150A1B" w14:textId="77777777" w:rsidR="00577D08" w:rsidRDefault="00577D08">
            <w:pPr>
              <w:jc w:val="right"/>
            </w:pPr>
          </w:p>
        </w:tc>
        <w:tc>
          <w:tcPr>
            <w:tcW w:w="400" w:type="pct"/>
            <w:tcBorders>
              <w:top w:val="single" w:sz="4" w:space="0" w:color="auto"/>
              <w:left w:val="single" w:sz="4" w:space="0" w:color="auto"/>
              <w:bottom w:val="single" w:sz="4" w:space="0" w:color="auto"/>
              <w:right w:val="single" w:sz="4" w:space="0" w:color="auto"/>
            </w:tcBorders>
            <w:vAlign w:val="center"/>
          </w:tcPr>
          <w:p w14:paraId="23318EEB" w14:textId="77777777" w:rsidR="00577D08" w:rsidRDefault="00577D08">
            <w:pPr>
              <w:jc w:val="right"/>
            </w:pPr>
          </w:p>
        </w:tc>
        <w:tc>
          <w:tcPr>
            <w:tcW w:w="395" w:type="pct"/>
            <w:tcBorders>
              <w:top w:val="single" w:sz="4" w:space="0" w:color="auto"/>
              <w:left w:val="single" w:sz="4" w:space="0" w:color="auto"/>
              <w:bottom w:val="single" w:sz="4" w:space="0" w:color="auto"/>
              <w:right w:val="single" w:sz="4" w:space="0" w:color="auto"/>
            </w:tcBorders>
            <w:vAlign w:val="center"/>
          </w:tcPr>
          <w:p w14:paraId="3F44906F"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vAlign w:val="center"/>
          </w:tcPr>
          <w:p w14:paraId="4465BB9B"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vAlign w:val="center"/>
          </w:tcPr>
          <w:p w14:paraId="0DDAF584" w14:textId="77777777" w:rsidR="00577D08" w:rsidRDefault="00330FC0">
            <w:pPr>
              <w:jc w:val="right"/>
            </w:pPr>
            <w:r>
              <w:rPr>
                <w:rFonts w:hint="eastAsia"/>
              </w:rPr>
              <w:t>2,199,708.59</w:t>
            </w:r>
          </w:p>
        </w:tc>
        <w:tc>
          <w:tcPr>
            <w:tcW w:w="373" w:type="pct"/>
            <w:tcBorders>
              <w:top w:val="single" w:sz="4" w:space="0" w:color="auto"/>
              <w:left w:val="single" w:sz="4" w:space="0" w:color="auto"/>
              <w:bottom w:val="single" w:sz="4" w:space="0" w:color="auto"/>
              <w:right w:val="single" w:sz="4" w:space="0" w:color="auto"/>
            </w:tcBorders>
            <w:vAlign w:val="center"/>
          </w:tcPr>
          <w:p w14:paraId="24097204" w14:textId="77777777" w:rsidR="00577D08" w:rsidRDefault="00577D08">
            <w:pPr>
              <w:jc w:val="right"/>
            </w:pPr>
          </w:p>
        </w:tc>
      </w:tr>
      <w:tr w:rsidR="00577D08" w14:paraId="0C351871" w14:textId="77777777">
        <w:tc>
          <w:tcPr>
            <w:tcW w:w="422" w:type="pct"/>
            <w:tcBorders>
              <w:top w:val="single" w:sz="4" w:space="0" w:color="auto"/>
              <w:left w:val="single" w:sz="4" w:space="0" w:color="auto"/>
              <w:bottom w:val="single" w:sz="4" w:space="0" w:color="auto"/>
              <w:right w:val="single" w:sz="4" w:space="0" w:color="auto"/>
            </w:tcBorders>
            <w:vAlign w:val="center"/>
          </w:tcPr>
          <w:p w14:paraId="3DFAF670" w14:textId="77777777" w:rsidR="00577D08" w:rsidRDefault="00330FC0">
            <w:pPr>
              <w:jc w:val="both"/>
            </w:pPr>
            <w:r>
              <w:rPr>
                <w:rFonts w:hint="eastAsia"/>
              </w:rPr>
              <w:t>小计</w:t>
            </w:r>
          </w:p>
        </w:tc>
        <w:tc>
          <w:tcPr>
            <w:tcW w:w="505" w:type="pct"/>
            <w:tcBorders>
              <w:top w:val="single" w:sz="4" w:space="0" w:color="auto"/>
              <w:left w:val="single" w:sz="4" w:space="0" w:color="auto"/>
              <w:bottom w:val="single" w:sz="4" w:space="0" w:color="auto"/>
              <w:right w:val="single" w:sz="4" w:space="0" w:color="auto"/>
            </w:tcBorders>
          </w:tcPr>
          <w:p w14:paraId="5FCD0D90" w14:textId="77777777" w:rsidR="00577D08" w:rsidRDefault="00330FC0">
            <w:pPr>
              <w:jc w:val="right"/>
            </w:pPr>
            <w:r>
              <w:t>14,718,479.56</w:t>
            </w:r>
          </w:p>
        </w:tc>
        <w:tc>
          <w:tcPr>
            <w:tcW w:w="468" w:type="pct"/>
            <w:tcBorders>
              <w:top w:val="single" w:sz="4" w:space="0" w:color="auto"/>
              <w:left w:val="single" w:sz="4" w:space="0" w:color="auto"/>
              <w:bottom w:val="single" w:sz="4" w:space="0" w:color="auto"/>
              <w:right w:val="single" w:sz="4" w:space="0" w:color="auto"/>
            </w:tcBorders>
          </w:tcPr>
          <w:p w14:paraId="588E3636" w14:textId="77777777" w:rsidR="00577D08" w:rsidRDefault="00330FC0">
            <w:pPr>
              <w:jc w:val="right"/>
            </w:pPr>
            <w:r>
              <w:t>4,000,000.00</w:t>
            </w:r>
          </w:p>
        </w:tc>
        <w:tc>
          <w:tcPr>
            <w:tcW w:w="337" w:type="pct"/>
            <w:tcBorders>
              <w:top w:val="single" w:sz="4" w:space="0" w:color="auto"/>
              <w:left w:val="single" w:sz="4" w:space="0" w:color="auto"/>
              <w:bottom w:val="single" w:sz="4" w:space="0" w:color="auto"/>
              <w:right w:val="single" w:sz="4" w:space="0" w:color="auto"/>
            </w:tcBorders>
          </w:tcPr>
          <w:p w14:paraId="62C29AD8"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tcPr>
          <w:p w14:paraId="5EBB3984" w14:textId="77777777" w:rsidR="00577D08" w:rsidRDefault="00330FC0">
            <w:pPr>
              <w:jc w:val="right"/>
            </w:pPr>
            <w:r>
              <w:t>-2,614,130.95</w:t>
            </w:r>
          </w:p>
        </w:tc>
        <w:tc>
          <w:tcPr>
            <w:tcW w:w="357" w:type="pct"/>
            <w:tcBorders>
              <w:top w:val="single" w:sz="4" w:space="0" w:color="auto"/>
              <w:left w:val="single" w:sz="4" w:space="0" w:color="auto"/>
              <w:bottom w:val="single" w:sz="4" w:space="0" w:color="auto"/>
              <w:right w:val="single" w:sz="4" w:space="0" w:color="auto"/>
            </w:tcBorders>
          </w:tcPr>
          <w:p w14:paraId="4F9A701E" w14:textId="77777777" w:rsidR="00577D08" w:rsidRDefault="00577D08">
            <w:pPr>
              <w:jc w:val="right"/>
            </w:pPr>
          </w:p>
        </w:tc>
        <w:tc>
          <w:tcPr>
            <w:tcW w:w="359" w:type="pct"/>
            <w:tcBorders>
              <w:top w:val="single" w:sz="4" w:space="0" w:color="auto"/>
              <w:left w:val="single" w:sz="4" w:space="0" w:color="auto"/>
              <w:bottom w:val="single" w:sz="4" w:space="0" w:color="auto"/>
              <w:right w:val="single" w:sz="4" w:space="0" w:color="auto"/>
            </w:tcBorders>
          </w:tcPr>
          <w:p w14:paraId="72CC0FB4" w14:textId="77777777" w:rsidR="00577D08" w:rsidRDefault="00577D08">
            <w:pPr>
              <w:jc w:val="right"/>
            </w:pPr>
          </w:p>
        </w:tc>
        <w:tc>
          <w:tcPr>
            <w:tcW w:w="400" w:type="pct"/>
            <w:tcBorders>
              <w:top w:val="single" w:sz="4" w:space="0" w:color="auto"/>
              <w:left w:val="single" w:sz="4" w:space="0" w:color="auto"/>
              <w:bottom w:val="single" w:sz="4" w:space="0" w:color="auto"/>
              <w:right w:val="single" w:sz="4" w:space="0" w:color="auto"/>
            </w:tcBorders>
          </w:tcPr>
          <w:p w14:paraId="1983604F" w14:textId="77777777" w:rsidR="00577D08" w:rsidRDefault="00577D08">
            <w:pPr>
              <w:jc w:val="right"/>
            </w:pPr>
          </w:p>
        </w:tc>
        <w:tc>
          <w:tcPr>
            <w:tcW w:w="395" w:type="pct"/>
            <w:tcBorders>
              <w:top w:val="single" w:sz="4" w:space="0" w:color="auto"/>
              <w:left w:val="single" w:sz="4" w:space="0" w:color="auto"/>
              <w:bottom w:val="single" w:sz="4" w:space="0" w:color="auto"/>
              <w:right w:val="single" w:sz="4" w:space="0" w:color="auto"/>
            </w:tcBorders>
          </w:tcPr>
          <w:p w14:paraId="60126A2C"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tcPr>
          <w:p w14:paraId="3D801205"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tcPr>
          <w:p w14:paraId="75402334" w14:textId="77777777" w:rsidR="00577D08" w:rsidRDefault="00330FC0">
            <w:pPr>
              <w:jc w:val="right"/>
            </w:pPr>
            <w:r>
              <w:t>16,104,348.61</w:t>
            </w:r>
          </w:p>
        </w:tc>
        <w:tc>
          <w:tcPr>
            <w:tcW w:w="373" w:type="pct"/>
            <w:tcBorders>
              <w:top w:val="single" w:sz="4" w:space="0" w:color="auto"/>
              <w:left w:val="single" w:sz="4" w:space="0" w:color="auto"/>
              <w:bottom w:val="single" w:sz="4" w:space="0" w:color="auto"/>
              <w:right w:val="single" w:sz="4" w:space="0" w:color="auto"/>
            </w:tcBorders>
            <w:vAlign w:val="center"/>
          </w:tcPr>
          <w:p w14:paraId="3893767B" w14:textId="77777777" w:rsidR="00577D08" w:rsidRDefault="00577D08">
            <w:pPr>
              <w:jc w:val="right"/>
            </w:pPr>
          </w:p>
        </w:tc>
      </w:tr>
      <w:tr w:rsidR="00577D08" w14:paraId="3C9CF704" w14:textId="77777777">
        <w:tc>
          <w:tcPr>
            <w:tcW w:w="422" w:type="pct"/>
            <w:tcBorders>
              <w:top w:val="single" w:sz="4" w:space="0" w:color="auto"/>
              <w:left w:val="single" w:sz="4" w:space="0" w:color="auto"/>
              <w:bottom w:val="single" w:sz="4" w:space="0" w:color="auto"/>
              <w:right w:val="single" w:sz="4" w:space="0" w:color="auto"/>
            </w:tcBorders>
            <w:vAlign w:val="center"/>
          </w:tcPr>
          <w:p w14:paraId="6BF74CAA" w14:textId="77777777" w:rsidR="00577D08" w:rsidRDefault="00330FC0">
            <w:pPr>
              <w:jc w:val="center"/>
            </w:pPr>
            <w:r>
              <w:rPr>
                <w:rFonts w:hint="eastAsia"/>
              </w:rPr>
              <w:t>合计</w:t>
            </w:r>
          </w:p>
        </w:tc>
        <w:tc>
          <w:tcPr>
            <w:tcW w:w="505" w:type="pct"/>
            <w:tcBorders>
              <w:top w:val="single" w:sz="4" w:space="0" w:color="auto"/>
              <w:left w:val="single" w:sz="4" w:space="0" w:color="auto"/>
              <w:bottom w:val="single" w:sz="4" w:space="0" w:color="auto"/>
              <w:right w:val="single" w:sz="4" w:space="0" w:color="auto"/>
            </w:tcBorders>
          </w:tcPr>
          <w:p w14:paraId="0944F6A5" w14:textId="77777777" w:rsidR="00577D08" w:rsidRDefault="00330FC0">
            <w:pPr>
              <w:jc w:val="right"/>
            </w:pPr>
            <w:r>
              <w:t>14,718,479.56</w:t>
            </w:r>
          </w:p>
        </w:tc>
        <w:tc>
          <w:tcPr>
            <w:tcW w:w="468" w:type="pct"/>
            <w:tcBorders>
              <w:top w:val="single" w:sz="4" w:space="0" w:color="auto"/>
              <w:left w:val="single" w:sz="4" w:space="0" w:color="auto"/>
              <w:bottom w:val="single" w:sz="4" w:space="0" w:color="auto"/>
              <w:right w:val="single" w:sz="4" w:space="0" w:color="auto"/>
            </w:tcBorders>
          </w:tcPr>
          <w:p w14:paraId="35B6C62C" w14:textId="77777777" w:rsidR="00577D08" w:rsidRDefault="00330FC0">
            <w:pPr>
              <w:jc w:val="right"/>
            </w:pPr>
            <w:r>
              <w:t>4,000,000.00</w:t>
            </w:r>
          </w:p>
        </w:tc>
        <w:tc>
          <w:tcPr>
            <w:tcW w:w="337" w:type="pct"/>
            <w:tcBorders>
              <w:top w:val="single" w:sz="4" w:space="0" w:color="auto"/>
              <w:left w:val="single" w:sz="4" w:space="0" w:color="auto"/>
              <w:bottom w:val="single" w:sz="4" w:space="0" w:color="auto"/>
              <w:right w:val="single" w:sz="4" w:space="0" w:color="auto"/>
            </w:tcBorders>
          </w:tcPr>
          <w:p w14:paraId="3FDD6299" w14:textId="77777777" w:rsidR="00577D08" w:rsidRDefault="00577D08">
            <w:pPr>
              <w:jc w:val="right"/>
            </w:pPr>
          </w:p>
        </w:tc>
        <w:tc>
          <w:tcPr>
            <w:tcW w:w="493" w:type="pct"/>
            <w:tcBorders>
              <w:top w:val="single" w:sz="4" w:space="0" w:color="auto"/>
              <w:left w:val="single" w:sz="4" w:space="0" w:color="auto"/>
              <w:bottom w:val="single" w:sz="4" w:space="0" w:color="auto"/>
              <w:right w:val="single" w:sz="4" w:space="0" w:color="auto"/>
            </w:tcBorders>
          </w:tcPr>
          <w:p w14:paraId="2B1C4E8A" w14:textId="77777777" w:rsidR="00577D08" w:rsidRDefault="00330FC0">
            <w:pPr>
              <w:jc w:val="right"/>
            </w:pPr>
            <w:r>
              <w:t>-2,614,130.95</w:t>
            </w:r>
          </w:p>
        </w:tc>
        <w:tc>
          <w:tcPr>
            <w:tcW w:w="357" w:type="pct"/>
            <w:tcBorders>
              <w:top w:val="single" w:sz="4" w:space="0" w:color="auto"/>
              <w:left w:val="single" w:sz="4" w:space="0" w:color="auto"/>
              <w:bottom w:val="single" w:sz="4" w:space="0" w:color="auto"/>
              <w:right w:val="single" w:sz="4" w:space="0" w:color="auto"/>
            </w:tcBorders>
          </w:tcPr>
          <w:p w14:paraId="77FDDE7E" w14:textId="77777777" w:rsidR="00577D08" w:rsidRDefault="00577D08">
            <w:pPr>
              <w:jc w:val="right"/>
            </w:pPr>
          </w:p>
        </w:tc>
        <w:tc>
          <w:tcPr>
            <w:tcW w:w="359" w:type="pct"/>
            <w:tcBorders>
              <w:top w:val="single" w:sz="4" w:space="0" w:color="auto"/>
              <w:left w:val="single" w:sz="4" w:space="0" w:color="auto"/>
              <w:bottom w:val="single" w:sz="4" w:space="0" w:color="auto"/>
              <w:right w:val="single" w:sz="4" w:space="0" w:color="auto"/>
            </w:tcBorders>
          </w:tcPr>
          <w:p w14:paraId="614D8A39" w14:textId="77777777" w:rsidR="00577D08" w:rsidRDefault="00577D08">
            <w:pPr>
              <w:jc w:val="right"/>
            </w:pPr>
          </w:p>
        </w:tc>
        <w:tc>
          <w:tcPr>
            <w:tcW w:w="400" w:type="pct"/>
            <w:tcBorders>
              <w:top w:val="single" w:sz="4" w:space="0" w:color="auto"/>
              <w:left w:val="single" w:sz="4" w:space="0" w:color="auto"/>
              <w:bottom w:val="single" w:sz="4" w:space="0" w:color="auto"/>
              <w:right w:val="single" w:sz="4" w:space="0" w:color="auto"/>
            </w:tcBorders>
          </w:tcPr>
          <w:p w14:paraId="76BC8FAF" w14:textId="77777777" w:rsidR="00577D08" w:rsidRDefault="00577D08">
            <w:pPr>
              <w:jc w:val="right"/>
            </w:pPr>
          </w:p>
        </w:tc>
        <w:tc>
          <w:tcPr>
            <w:tcW w:w="395" w:type="pct"/>
            <w:tcBorders>
              <w:top w:val="single" w:sz="4" w:space="0" w:color="auto"/>
              <w:left w:val="single" w:sz="4" w:space="0" w:color="auto"/>
              <w:bottom w:val="single" w:sz="4" w:space="0" w:color="auto"/>
              <w:right w:val="single" w:sz="4" w:space="0" w:color="auto"/>
            </w:tcBorders>
          </w:tcPr>
          <w:p w14:paraId="3AE12AC1" w14:textId="77777777" w:rsidR="00577D08" w:rsidRDefault="00577D08">
            <w:pPr>
              <w:jc w:val="right"/>
            </w:pPr>
          </w:p>
        </w:tc>
        <w:tc>
          <w:tcPr>
            <w:tcW w:w="385" w:type="pct"/>
            <w:tcBorders>
              <w:top w:val="single" w:sz="4" w:space="0" w:color="auto"/>
              <w:left w:val="single" w:sz="4" w:space="0" w:color="auto"/>
              <w:bottom w:val="single" w:sz="4" w:space="0" w:color="auto"/>
              <w:right w:val="single" w:sz="4" w:space="0" w:color="auto"/>
            </w:tcBorders>
          </w:tcPr>
          <w:p w14:paraId="6B320374" w14:textId="77777777" w:rsidR="00577D08" w:rsidRDefault="00577D08">
            <w:pPr>
              <w:jc w:val="right"/>
            </w:pPr>
          </w:p>
        </w:tc>
        <w:tc>
          <w:tcPr>
            <w:tcW w:w="505" w:type="pct"/>
            <w:tcBorders>
              <w:top w:val="single" w:sz="4" w:space="0" w:color="auto"/>
              <w:left w:val="single" w:sz="4" w:space="0" w:color="auto"/>
              <w:bottom w:val="single" w:sz="4" w:space="0" w:color="auto"/>
              <w:right w:val="single" w:sz="4" w:space="0" w:color="auto"/>
            </w:tcBorders>
          </w:tcPr>
          <w:p w14:paraId="78BB7512" w14:textId="77777777" w:rsidR="00577D08" w:rsidRDefault="00330FC0">
            <w:pPr>
              <w:jc w:val="right"/>
            </w:pPr>
            <w:r>
              <w:t>16,104,348.61</w:t>
            </w:r>
          </w:p>
        </w:tc>
        <w:tc>
          <w:tcPr>
            <w:tcW w:w="373" w:type="pct"/>
            <w:tcBorders>
              <w:top w:val="single" w:sz="4" w:space="0" w:color="auto"/>
              <w:left w:val="single" w:sz="4" w:space="0" w:color="auto"/>
              <w:bottom w:val="single" w:sz="4" w:space="0" w:color="auto"/>
              <w:right w:val="single" w:sz="4" w:space="0" w:color="auto"/>
            </w:tcBorders>
            <w:vAlign w:val="center"/>
          </w:tcPr>
          <w:p w14:paraId="4A871E29" w14:textId="77777777" w:rsidR="00577D08" w:rsidRDefault="00577D08">
            <w:pPr>
              <w:jc w:val="right"/>
            </w:pPr>
          </w:p>
        </w:tc>
      </w:tr>
    </w:tbl>
    <w:p w14:paraId="6CBD3269" w14:textId="77777777" w:rsidR="00577D08" w:rsidRDefault="00330FC0">
      <w:pPr>
        <w:pStyle w:val="4"/>
        <w:numPr>
          <w:ilvl w:val="0"/>
          <w:numId w:val="74"/>
        </w:numPr>
        <w:rPr>
          <w:rFonts w:hint="eastAsia"/>
        </w:rPr>
      </w:pPr>
      <w:bookmarkStart w:id="531" w:name="_Hlk155165896"/>
      <w:r>
        <w:rPr>
          <w:rFonts w:hint="eastAsia"/>
        </w:rPr>
        <w:t>长期股权投资的减值测试情况</w:t>
      </w:r>
    </w:p>
    <w:sdt>
      <w:sdtPr>
        <w:alias w:val="是否适用：减值测试情况[双击切换]"/>
        <w:tag w:val="_GBC_99f575f7d43c4e27846e49ee35c9e10f"/>
        <w:id w:val="592507798"/>
        <w:placeholder>
          <w:docPart w:val="GBC22222222222222222222222222222"/>
        </w:placeholder>
      </w:sdtPr>
      <w:sdtContent>
        <w:p w14:paraId="3143DDC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31"/>
    <w:p w14:paraId="13A104D3" w14:textId="77777777" w:rsidR="00577D08" w:rsidRDefault="00330FC0">
      <w:r>
        <w:rPr>
          <w:rFonts w:hint="eastAsia"/>
        </w:rPr>
        <w:t>其他说明：</w:t>
      </w:r>
    </w:p>
    <w:sdt>
      <w:sdtPr>
        <w:rPr>
          <w:rFonts w:hint="eastAsia"/>
        </w:rPr>
        <w:alias w:val="长期股权投资的说明"/>
        <w:tag w:val="_GBC_938f2ac679ca480c83553ff73f8b80b6"/>
        <w:id w:val="431401252"/>
        <w:placeholder>
          <w:docPart w:val="GBC22222222222222222222222222222"/>
        </w:placeholder>
      </w:sdtPr>
      <w:sdtContent>
        <w:p w14:paraId="2342D617" w14:textId="77777777" w:rsidR="00577D08" w:rsidRDefault="00330FC0">
          <w:r>
            <w:rPr>
              <w:rFonts w:hint="eastAsia"/>
            </w:rPr>
            <w:t>无</w:t>
          </w:r>
        </w:p>
      </w:sdtContent>
    </w:sdt>
    <w:p w14:paraId="561BF61D" w14:textId="77777777" w:rsidR="00577D08" w:rsidRDefault="00577D08"/>
    <w:p w14:paraId="09BD9480" w14:textId="77777777" w:rsidR="00577D08" w:rsidRDefault="00577D08">
      <w:pPr>
        <w:sectPr w:rsidR="00577D08">
          <w:pgSz w:w="16838" w:h="11906" w:orient="landscape"/>
          <w:pgMar w:top="1797" w:right="1525" w:bottom="1276" w:left="1440" w:header="856" w:footer="992" w:gutter="0"/>
          <w:cols w:space="425"/>
          <w:docGrid w:linePitch="312"/>
        </w:sectPr>
      </w:pPr>
    </w:p>
    <w:p w14:paraId="48F69D6F" w14:textId="77777777" w:rsidR="00577D08" w:rsidRDefault="00330FC0">
      <w:pPr>
        <w:pStyle w:val="3"/>
        <w:numPr>
          <w:ilvl w:val="0"/>
          <w:numId w:val="125"/>
        </w:numPr>
      </w:pPr>
      <w:r>
        <w:rPr>
          <w:rFonts w:hint="eastAsia"/>
        </w:rPr>
        <w:lastRenderedPageBreak/>
        <w:t>营业收入和营业成本</w:t>
      </w:r>
    </w:p>
    <w:p w14:paraId="3802883C" w14:textId="77777777" w:rsidR="00577D08" w:rsidRDefault="00330FC0">
      <w:pPr>
        <w:pStyle w:val="4"/>
        <w:numPr>
          <w:ilvl w:val="0"/>
          <w:numId w:val="131"/>
        </w:numPr>
        <w:rPr>
          <w:rFonts w:hint="eastAsia"/>
        </w:r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797729929"/>
        <w:placeholder>
          <w:docPart w:val="GBC22222222222222222222222222222"/>
        </w:placeholder>
      </w:sdtPr>
      <w:sdtContent>
        <w:p w14:paraId="543148A0" w14:textId="77777777" w:rsidR="00577D08" w:rsidRDefault="00330FC0">
          <w:pPr>
            <w:pStyle w:val="aff9"/>
            <w:ind w:firstLineChars="0" w:firstLine="0"/>
            <w:jc w:val="left"/>
            <w:rPr>
              <w:rFonts w:ascii="宋体" w:hAnsi="宋体" w:hint="eastAsia"/>
              <w:bCs/>
              <w:szCs w:val="21"/>
            </w:rPr>
          </w:pPr>
          <w:r>
            <w:rPr>
              <w:rFonts w:ascii="宋体" w:hAnsi="宋体"/>
              <w:bCs/>
              <w:szCs w:val="21"/>
            </w:rPr>
            <w:fldChar w:fldCharType="begin"/>
          </w:r>
          <w:r>
            <w:rPr>
              <w:rFonts w:ascii="宋体" w:hAnsi="宋体"/>
              <w:bCs/>
              <w:szCs w:val="21"/>
            </w:rPr>
            <w:instrText xml:space="preserve"> </w:instrText>
          </w:r>
          <w:r>
            <w:rPr>
              <w:rFonts w:ascii="宋体" w:hAnsi="宋体" w:hint="eastAsia"/>
              <w:bCs/>
              <w:szCs w:val="21"/>
            </w:rPr>
            <w:instrText xml:space="preserve">MACROBUTTON  SnrToggleCheckbox √适用 </w:instrText>
          </w:r>
          <w:r>
            <w:rPr>
              <w:rFonts w:ascii="宋体" w:hAnsi="宋体"/>
              <w:bCs/>
              <w:szCs w:val="21"/>
            </w:rPr>
            <w:instrText xml:space="preserve">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14:paraId="01BC125F" w14:textId="568C208C" w:rsidR="00577D08" w:rsidRDefault="00330FC0">
      <w:pPr>
        <w:pStyle w:val="aff9"/>
        <w:ind w:firstLineChars="0" w:firstLine="0"/>
        <w:jc w:val="right"/>
        <w:rPr>
          <w:rFonts w:ascii="宋体" w:hAnsi="宋体" w:hint="eastAsia"/>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1627481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r w:rsidR="00CC5C32">
            <w:rPr>
              <w:rFonts w:ascii="宋体" w:hAnsi="宋体" w:hint="eastAsia"/>
              <w:bCs/>
              <w:szCs w:val="21"/>
            </w:rPr>
            <w:t xml:space="preserve"> </w:t>
          </w:r>
        </w:sdtContent>
      </w:sdt>
      <w:r>
        <w:rPr>
          <w:rFonts w:ascii="宋体" w:hAnsi="宋体" w:hint="eastAsia"/>
          <w:bCs/>
          <w:szCs w:val="21"/>
        </w:rPr>
        <w:t>币种：</w:t>
      </w:r>
      <w:sdt>
        <w:sdtPr>
          <w:rPr>
            <w:rFonts w:ascii="宋体" w:hAnsi="宋体" w:hint="eastAsia"/>
            <w:bCs/>
            <w:szCs w:val="21"/>
          </w:rPr>
          <w:alias w:val="币种：母公司财务附注：营业收入"/>
          <w:tag w:val="_GBC_5940d445dfb6426f97376a89f3df08e7"/>
          <w:id w:val="-2338565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922"/>
        <w:gridCol w:w="1923"/>
        <w:gridCol w:w="1922"/>
        <w:gridCol w:w="1923"/>
      </w:tblGrid>
      <w:tr w:rsidR="00577D08" w14:paraId="10DB67FB" w14:textId="77777777">
        <w:sdt>
          <w:sdtPr>
            <w:tag w:val="_PLD_03d52d676cf8435a8f7a530f92cd7617"/>
            <w:id w:val="1173531820"/>
          </w:sdtPr>
          <w:sdtContent>
            <w:tc>
              <w:tcPr>
                <w:tcW w:w="642" w:type="pct"/>
                <w:vMerge w:val="restart"/>
                <w:tcBorders>
                  <w:top w:val="single" w:sz="4" w:space="0" w:color="auto"/>
                  <w:left w:val="single" w:sz="4" w:space="0" w:color="auto"/>
                  <w:right w:val="single" w:sz="4" w:space="0" w:color="auto"/>
                </w:tcBorders>
                <w:vAlign w:val="center"/>
              </w:tcPr>
              <w:p w14:paraId="27197DBC" w14:textId="77777777" w:rsidR="00577D08" w:rsidRDefault="00330FC0">
                <w:pPr>
                  <w:jc w:val="center"/>
                </w:pPr>
                <w:r>
                  <w:rPr>
                    <w:rFonts w:hint="eastAsia"/>
                  </w:rPr>
                  <w:t>项目</w:t>
                </w:r>
              </w:p>
            </w:tc>
          </w:sdtContent>
        </w:sdt>
        <w:sdt>
          <w:sdtPr>
            <w:tag w:val="_PLD_32b5faadfe0b45d19044be5526af3c2d"/>
            <w:id w:val="-1390497299"/>
          </w:sdtPr>
          <w:sdtContent>
            <w:tc>
              <w:tcPr>
                <w:tcW w:w="2179" w:type="pct"/>
                <w:gridSpan w:val="2"/>
                <w:tcBorders>
                  <w:top w:val="single" w:sz="4" w:space="0" w:color="auto"/>
                  <w:left w:val="single" w:sz="4" w:space="0" w:color="auto"/>
                  <w:bottom w:val="single" w:sz="4" w:space="0" w:color="auto"/>
                  <w:right w:val="single" w:sz="4" w:space="0" w:color="auto"/>
                </w:tcBorders>
                <w:vAlign w:val="center"/>
              </w:tcPr>
              <w:p w14:paraId="17F96A1F" w14:textId="77777777" w:rsidR="00577D08" w:rsidRDefault="00330FC0">
                <w:pPr>
                  <w:jc w:val="center"/>
                </w:pPr>
                <w:r>
                  <w:rPr>
                    <w:rFonts w:hint="eastAsia"/>
                  </w:rPr>
                  <w:t>本期发生额</w:t>
                </w:r>
              </w:p>
            </w:tc>
          </w:sdtContent>
        </w:sdt>
        <w:sdt>
          <w:sdtPr>
            <w:tag w:val="_PLD_5e3b95dc7e564cbabd77bf88c8a43781"/>
            <w:id w:val="715699336"/>
          </w:sdtPr>
          <w:sdtContent>
            <w:tc>
              <w:tcPr>
                <w:tcW w:w="2179" w:type="pct"/>
                <w:gridSpan w:val="2"/>
                <w:tcBorders>
                  <w:top w:val="single" w:sz="4" w:space="0" w:color="auto"/>
                  <w:left w:val="single" w:sz="4" w:space="0" w:color="auto"/>
                  <w:bottom w:val="single" w:sz="4" w:space="0" w:color="auto"/>
                  <w:right w:val="single" w:sz="4" w:space="0" w:color="auto"/>
                </w:tcBorders>
                <w:vAlign w:val="center"/>
              </w:tcPr>
              <w:p w14:paraId="5668E30E" w14:textId="77777777" w:rsidR="00577D08" w:rsidRDefault="00330FC0">
                <w:pPr>
                  <w:jc w:val="center"/>
                </w:pPr>
                <w:r>
                  <w:rPr>
                    <w:rFonts w:hint="eastAsia"/>
                  </w:rPr>
                  <w:t>上期发生额</w:t>
                </w:r>
              </w:p>
            </w:tc>
          </w:sdtContent>
        </w:sdt>
      </w:tr>
      <w:tr w:rsidR="00577D08" w14:paraId="7B566C5F" w14:textId="77777777">
        <w:tc>
          <w:tcPr>
            <w:tcW w:w="642" w:type="pct"/>
            <w:vMerge/>
            <w:tcBorders>
              <w:left w:val="single" w:sz="4" w:space="0" w:color="auto"/>
              <w:bottom w:val="single" w:sz="4" w:space="0" w:color="auto"/>
              <w:right w:val="single" w:sz="4" w:space="0" w:color="auto"/>
            </w:tcBorders>
            <w:vAlign w:val="center"/>
          </w:tcPr>
          <w:p w14:paraId="4C30BE22" w14:textId="77777777" w:rsidR="00577D08" w:rsidRDefault="00577D08">
            <w:pPr>
              <w:jc w:val="center"/>
            </w:pPr>
          </w:p>
        </w:tc>
        <w:sdt>
          <w:sdtPr>
            <w:tag w:val="_PLD_35d68e9def174e9fb111f9c26dc6e586"/>
            <w:id w:val="1001549098"/>
          </w:sdtPr>
          <w:sdtContent>
            <w:tc>
              <w:tcPr>
                <w:tcW w:w="1089" w:type="pct"/>
                <w:tcBorders>
                  <w:top w:val="single" w:sz="4" w:space="0" w:color="auto"/>
                  <w:left w:val="single" w:sz="4" w:space="0" w:color="auto"/>
                  <w:bottom w:val="single" w:sz="4" w:space="0" w:color="auto"/>
                  <w:right w:val="single" w:sz="4" w:space="0" w:color="auto"/>
                </w:tcBorders>
                <w:vAlign w:val="center"/>
              </w:tcPr>
              <w:p w14:paraId="04FAEFCD" w14:textId="77777777" w:rsidR="00577D08" w:rsidRDefault="00330FC0">
                <w:pPr>
                  <w:jc w:val="center"/>
                </w:pPr>
                <w:r>
                  <w:rPr>
                    <w:rFonts w:hint="eastAsia"/>
                  </w:rPr>
                  <w:t>收入</w:t>
                </w:r>
              </w:p>
            </w:tc>
          </w:sdtContent>
        </w:sdt>
        <w:sdt>
          <w:sdtPr>
            <w:tag w:val="_PLD_bca4c40811a6455bb6f684093a6c0c7d"/>
            <w:id w:val="1045876317"/>
          </w:sdtPr>
          <w:sdtContent>
            <w:tc>
              <w:tcPr>
                <w:tcW w:w="1090" w:type="pct"/>
                <w:tcBorders>
                  <w:top w:val="single" w:sz="4" w:space="0" w:color="auto"/>
                  <w:left w:val="single" w:sz="4" w:space="0" w:color="auto"/>
                  <w:bottom w:val="single" w:sz="4" w:space="0" w:color="auto"/>
                  <w:right w:val="single" w:sz="4" w:space="0" w:color="auto"/>
                </w:tcBorders>
                <w:vAlign w:val="center"/>
              </w:tcPr>
              <w:p w14:paraId="29CE4FF5" w14:textId="77777777" w:rsidR="00577D08" w:rsidRDefault="00330FC0">
                <w:pPr>
                  <w:jc w:val="center"/>
                </w:pPr>
                <w:r>
                  <w:rPr>
                    <w:rFonts w:hint="eastAsia"/>
                  </w:rPr>
                  <w:t>成本</w:t>
                </w:r>
              </w:p>
            </w:tc>
          </w:sdtContent>
        </w:sdt>
        <w:sdt>
          <w:sdtPr>
            <w:tag w:val="_PLD_913bf231029842ff9aedaf2297b238c1"/>
            <w:id w:val="1020745444"/>
          </w:sdtPr>
          <w:sdtContent>
            <w:tc>
              <w:tcPr>
                <w:tcW w:w="1089" w:type="pct"/>
                <w:tcBorders>
                  <w:top w:val="single" w:sz="4" w:space="0" w:color="auto"/>
                  <w:left w:val="single" w:sz="4" w:space="0" w:color="auto"/>
                  <w:bottom w:val="single" w:sz="4" w:space="0" w:color="auto"/>
                  <w:right w:val="single" w:sz="4" w:space="0" w:color="auto"/>
                </w:tcBorders>
                <w:vAlign w:val="center"/>
              </w:tcPr>
              <w:p w14:paraId="6ADE4497" w14:textId="77777777" w:rsidR="00577D08" w:rsidRDefault="00330FC0">
                <w:pPr>
                  <w:jc w:val="center"/>
                </w:pPr>
                <w:r>
                  <w:rPr>
                    <w:rFonts w:hint="eastAsia"/>
                  </w:rPr>
                  <w:t>收入</w:t>
                </w:r>
              </w:p>
            </w:tc>
          </w:sdtContent>
        </w:sdt>
        <w:sdt>
          <w:sdtPr>
            <w:tag w:val="_PLD_f626f406150145439510a3b7f1a71e39"/>
            <w:id w:val="-1252042420"/>
          </w:sdtPr>
          <w:sdtContent>
            <w:tc>
              <w:tcPr>
                <w:tcW w:w="1090" w:type="pct"/>
                <w:tcBorders>
                  <w:top w:val="single" w:sz="4" w:space="0" w:color="auto"/>
                  <w:left w:val="single" w:sz="4" w:space="0" w:color="auto"/>
                  <w:bottom w:val="single" w:sz="4" w:space="0" w:color="auto"/>
                  <w:right w:val="single" w:sz="4" w:space="0" w:color="auto"/>
                </w:tcBorders>
                <w:vAlign w:val="center"/>
              </w:tcPr>
              <w:p w14:paraId="6BFA45D8" w14:textId="77777777" w:rsidR="00577D08" w:rsidRDefault="00330FC0">
                <w:pPr>
                  <w:jc w:val="center"/>
                </w:pPr>
                <w:r>
                  <w:rPr>
                    <w:rFonts w:hint="eastAsia"/>
                  </w:rPr>
                  <w:t>成本</w:t>
                </w:r>
              </w:p>
            </w:tc>
          </w:sdtContent>
        </w:sdt>
      </w:tr>
      <w:tr w:rsidR="00577D08" w14:paraId="2DD1C386" w14:textId="77777777">
        <w:tc>
          <w:tcPr>
            <w:tcW w:w="642" w:type="pct"/>
            <w:tcBorders>
              <w:top w:val="single" w:sz="4" w:space="0" w:color="auto"/>
              <w:left w:val="single" w:sz="4" w:space="0" w:color="auto"/>
              <w:bottom w:val="single" w:sz="4" w:space="0" w:color="auto"/>
              <w:right w:val="single" w:sz="4" w:space="0" w:color="auto"/>
            </w:tcBorders>
            <w:vAlign w:val="center"/>
          </w:tcPr>
          <w:p w14:paraId="3D8870EC" w14:textId="77777777" w:rsidR="00577D08" w:rsidRDefault="00330FC0">
            <w:r>
              <w:rPr>
                <w:rFonts w:hint="eastAsia"/>
              </w:rPr>
              <w:t>主营业务</w:t>
            </w:r>
          </w:p>
        </w:tc>
        <w:tc>
          <w:tcPr>
            <w:tcW w:w="1089" w:type="pct"/>
            <w:tcBorders>
              <w:top w:val="single" w:sz="4" w:space="0" w:color="auto"/>
              <w:left w:val="single" w:sz="4" w:space="0" w:color="auto"/>
              <w:bottom w:val="single" w:sz="4" w:space="0" w:color="auto"/>
              <w:right w:val="single" w:sz="4" w:space="0" w:color="auto"/>
            </w:tcBorders>
          </w:tcPr>
          <w:p w14:paraId="3660E3AE" w14:textId="77777777" w:rsidR="00577D08" w:rsidRDefault="00330FC0">
            <w:pPr>
              <w:jc w:val="right"/>
            </w:pPr>
            <w:r>
              <w:t xml:space="preserve"> 2,774,387,067.60 </w:t>
            </w:r>
          </w:p>
        </w:tc>
        <w:tc>
          <w:tcPr>
            <w:tcW w:w="1090" w:type="pct"/>
            <w:tcBorders>
              <w:top w:val="single" w:sz="4" w:space="0" w:color="auto"/>
              <w:left w:val="single" w:sz="4" w:space="0" w:color="auto"/>
              <w:bottom w:val="single" w:sz="4" w:space="0" w:color="auto"/>
              <w:right w:val="single" w:sz="4" w:space="0" w:color="auto"/>
            </w:tcBorders>
          </w:tcPr>
          <w:p w14:paraId="3E0B4ACD" w14:textId="77777777" w:rsidR="00577D08" w:rsidRDefault="00330FC0">
            <w:pPr>
              <w:jc w:val="right"/>
            </w:pPr>
            <w:r>
              <w:t xml:space="preserve"> 2,480,511,405.69 </w:t>
            </w:r>
          </w:p>
        </w:tc>
        <w:tc>
          <w:tcPr>
            <w:tcW w:w="1089" w:type="pct"/>
            <w:tcBorders>
              <w:top w:val="single" w:sz="4" w:space="0" w:color="auto"/>
              <w:left w:val="single" w:sz="4" w:space="0" w:color="auto"/>
              <w:bottom w:val="single" w:sz="4" w:space="0" w:color="auto"/>
              <w:right w:val="single" w:sz="4" w:space="0" w:color="auto"/>
            </w:tcBorders>
          </w:tcPr>
          <w:p w14:paraId="524163FA" w14:textId="77777777" w:rsidR="00577D08" w:rsidRDefault="00330FC0">
            <w:pPr>
              <w:jc w:val="right"/>
            </w:pPr>
            <w:r>
              <w:t>2,608,977,114.95</w:t>
            </w:r>
          </w:p>
        </w:tc>
        <w:tc>
          <w:tcPr>
            <w:tcW w:w="1090" w:type="pct"/>
            <w:tcBorders>
              <w:top w:val="single" w:sz="4" w:space="0" w:color="auto"/>
              <w:left w:val="single" w:sz="4" w:space="0" w:color="auto"/>
              <w:bottom w:val="single" w:sz="4" w:space="0" w:color="auto"/>
              <w:right w:val="single" w:sz="4" w:space="0" w:color="auto"/>
            </w:tcBorders>
          </w:tcPr>
          <w:p w14:paraId="31A54EEE" w14:textId="77777777" w:rsidR="00577D08" w:rsidRDefault="00330FC0">
            <w:pPr>
              <w:jc w:val="right"/>
            </w:pPr>
            <w:r>
              <w:t>2,375,066,742.32</w:t>
            </w:r>
          </w:p>
        </w:tc>
      </w:tr>
      <w:tr w:rsidR="00577D08" w14:paraId="440CBACF" w14:textId="77777777">
        <w:tc>
          <w:tcPr>
            <w:tcW w:w="642" w:type="pct"/>
            <w:tcBorders>
              <w:top w:val="single" w:sz="4" w:space="0" w:color="auto"/>
              <w:left w:val="single" w:sz="4" w:space="0" w:color="auto"/>
              <w:bottom w:val="single" w:sz="4" w:space="0" w:color="auto"/>
              <w:right w:val="single" w:sz="4" w:space="0" w:color="auto"/>
            </w:tcBorders>
            <w:vAlign w:val="center"/>
          </w:tcPr>
          <w:p w14:paraId="6346B4F5" w14:textId="77777777" w:rsidR="00577D08" w:rsidRDefault="00330FC0">
            <w:r>
              <w:rPr>
                <w:rFonts w:hint="eastAsia"/>
              </w:rPr>
              <w:t>其他业务</w:t>
            </w:r>
          </w:p>
        </w:tc>
        <w:tc>
          <w:tcPr>
            <w:tcW w:w="1089" w:type="pct"/>
            <w:tcBorders>
              <w:top w:val="single" w:sz="4" w:space="0" w:color="auto"/>
              <w:left w:val="single" w:sz="4" w:space="0" w:color="auto"/>
              <w:bottom w:val="single" w:sz="4" w:space="0" w:color="auto"/>
              <w:right w:val="single" w:sz="4" w:space="0" w:color="auto"/>
            </w:tcBorders>
          </w:tcPr>
          <w:p w14:paraId="2A990D92" w14:textId="77777777" w:rsidR="00577D08" w:rsidRDefault="00330FC0">
            <w:pPr>
              <w:jc w:val="right"/>
            </w:pPr>
            <w:r>
              <w:t xml:space="preserve"> 86,483,162.20 </w:t>
            </w:r>
          </w:p>
        </w:tc>
        <w:tc>
          <w:tcPr>
            <w:tcW w:w="1090" w:type="pct"/>
            <w:tcBorders>
              <w:top w:val="single" w:sz="4" w:space="0" w:color="auto"/>
              <w:left w:val="single" w:sz="4" w:space="0" w:color="auto"/>
              <w:bottom w:val="single" w:sz="4" w:space="0" w:color="auto"/>
              <w:right w:val="single" w:sz="4" w:space="0" w:color="auto"/>
            </w:tcBorders>
          </w:tcPr>
          <w:p w14:paraId="4CAA6976" w14:textId="77777777" w:rsidR="00577D08" w:rsidRDefault="00330FC0">
            <w:pPr>
              <w:jc w:val="right"/>
            </w:pPr>
            <w:r>
              <w:t xml:space="preserve"> 83,255,915.44 </w:t>
            </w:r>
          </w:p>
        </w:tc>
        <w:tc>
          <w:tcPr>
            <w:tcW w:w="1089" w:type="pct"/>
            <w:tcBorders>
              <w:top w:val="single" w:sz="4" w:space="0" w:color="auto"/>
              <w:left w:val="single" w:sz="4" w:space="0" w:color="auto"/>
              <w:bottom w:val="single" w:sz="4" w:space="0" w:color="auto"/>
              <w:right w:val="single" w:sz="4" w:space="0" w:color="auto"/>
            </w:tcBorders>
          </w:tcPr>
          <w:p w14:paraId="409CC263" w14:textId="77777777" w:rsidR="00577D08" w:rsidRDefault="00330FC0">
            <w:pPr>
              <w:jc w:val="right"/>
            </w:pPr>
            <w:r>
              <w:t>71,978,591.78</w:t>
            </w:r>
          </w:p>
        </w:tc>
        <w:tc>
          <w:tcPr>
            <w:tcW w:w="1090" w:type="pct"/>
            <w:tcBorders>
              <w:top w:val="single" w:sz="4" w:space="0" w:color="auto"/>
              <w:left w:val="single" w:sz="4" w:space="0" w:color="auto"/>
              <w:bottom w:val="single" w:sz="4" w:space="0" w:color="auto"/>
              <w:right w:val="single" w:sz="4" w:space="0" w:color="auto"/>
            </w:tcBorders>
          </w:tcPr>
          <w:p w14:paraId="58DA26BB" w14:textId="77777777" w:rsidR="00577D08" w:rsidRDefault="00330FC0">
            <w:pPr>
              <w:jc w:val="right"/>
            </w:pPr>
            <w:r>
              <w:t>69,466,386.81</w:t>
            </w:r>
          </w:p>
        </w:tc>
      </w:tr>
      <w:tr w:rsidR="00577D08" w14:paraId="56397B75" w14:textId="77777777">
        <w:tc>
          <w:tcPr>
            <w:tcW w:w="642" w:type="pct"/>
            <w:tcBorders>
              <w:top w:val="single" w:sz="4" w:space="0" w:color="auto"/>
              <w:left w:val="single" w:sz="4" w:space="0" w:color="auto"/>
              <w:bottom w:val="single" w:sz="4" w:space="0" w:color="auto"/>
              <w:right w:val="single" w:sz="4" w:space="0" w:color="auto"/>
            </w:tcBorders>
            <w:vAlign w:val="center"/>
          </w:tcPr>
          <w:p w14:paraId="3767801A" w14:textId="77777777" w:rsidR="00577D08" w:rsidRDefault="00330FC0">
            <w:pPr>
              <w:jc w:val="center"/>
            </w:pPr>
            <w:r>
              <w:rPr>
                <w:rFonts w:hint="eastAsia"/>
              </w:rPr>
              <w:t>合计</w:t>
            </w:r>
          </w:p>
        </w:tc>
        <w:tc>
          <w:tcPr>
            <w:tcW w:w="1089" w:type="pct"/>
            <w:tcBorders>
              <w:top w:val="single" w:sz="4" w:space="0" w:color="auto"/>
              <w:left w:val="single" w:sz="4" w:space="0" w:color="auto"/>
              <w:bottom w:val="single" w:sz="4" w:space="0" w:color="auto"/>
              <w:right w:val="single" w:sz="4" w:space="0" w:color="auto"/>
            </w:tcBorders>
          </w:tcPr>
          <w:p w14:paraId="18AA2450" w14:textId="77777777" w:rsidR="00577D08" w:rsidRDefault="00330FC0">
            <w:pPr>
              <w:jc w:val="right"/>
            </w:pPr>
            <w:r>
              <w:t xml:space="preserve"> 2,860,870,229.80 </w:t>
            </w:r>
          </w:p>
        </w:tc>
        <w:tc>
          <w:tcPr>
            <w:tcW w:w="1090" w:type="pct"/>
            <w:tcBorders>
              <w:top w:val="single" w:sz="4" w:space="0" w:color="auto"/>
              <w:left w:val="single" w:sz="4" w:space="0" w:color="auto"/>
              <w:bottom w:val="single" w:sz="4" w:space="0" w:color="auto"/>
              <w:right w:val="single" w:sz="4" w:space="0" w:color="auto"/>
            </w:tcBorders>
          </w:tcPr>
          <w:p w14:paraId="523FD3BF" w14:textId="77777777" w:rsidR="00577D08" w:rsidRDefault="00330FC0">
            <w:pPr>
              <w:jc w:val="right"/>
            </w:pPr>
            <w:r>
              <w:t xml:space="preserve"> 2,563,767,321.13 </w:t>
            </w:r>
          </w:p>
        </w:tc>
        <w:tc>
          <w:tcPr>
            <w:tcW w:w="1089" w:type="pct"/>
            <w:tcBorders>
              <w:top w:val="single" w:sz="4" w:space="0" w:color="auto"/>
              <w:left w:val="single" w:sz="4" w:space="0" w:color="auto"/>
              <w:bottom w:val="single" w:sz="4" w:space="0" w:color="auto"/>
              <w:right w:val="single" w:sz="4" w:space="0" w:color="auto"/>
            </w:tcBorders>
          </w:tcPr>
          <w:p w14:paraId="75AB398C" w14:textId="77777777" w:rsidR="00577D08" w:rsidRDefault="00330FC0">
            <w:pPr>
              <w:jc w:val="right"/>
            </w:pPr>
            <w:r>
              <w:t>2,680,955,706.73</w:t>
            </w:r>
          </w:p>
        </w:tc>
        <w:tc>
          <w:tcPr>
            <w:tcW w:w="1090" w:type="pct"/>
            <w:tcBorders>
              <w:top w:val="single" w:sz="4" w:space="0" w:color="auto"/>
              <w:left w:val="single" w:sz="4" w:space="0" w:color="auto"/>
              <w:bottom w:val="single" w:sz="4" w:space="0" w:color="auto"/>
              <w:right w:val="single" w:sz="4" w:space="0" w:color="auto"/>
            </w:tcBorders>
          </w:tcPr>
          <w:p w14:paraId="44CBB708" w14:textId="77777777" w:rsidR="00577D08" w:rsidRDefault="00330FC0">
            <w:pPr>
              <w:jc w:val="right"/>
            </w:pPr>
            <w:r>
              <w:t>2,444,533,129.13</w:t>
            </w:r>
          </w:p>
        </w:tc>
      </w:tr>
    </w:tbl>
    <w:p w14:paraId="76421144" w14:textId="77777777" w:rsidR="00577D08" w:rsidRDefault="00577D08"/>
    <w:bookmarkStart w:id="532" w:name="_Hlk153798384" w:displacedByCustomXml="next"/>
    <w:bookmarkStart w:id="533" w:name="_Hlk533798810" w:displacedByCustomXml="next"/>
    <w:sdt>
      <w:sdtPr>
        <w:rPr>
          <w:rFonts w:ascii="宋体" w:eastAsia="宋体" w:hAnsi="宋体" w:cs="宋体" w:hint="eastAsia"/>
          <w:b w:val="0"/>
          <w:bCs w:val="0"/>
          <w:kern w:val="0"/>
          <w:szCs w:val="24"/>
        </w:rPr>
        <w:alias w:val="模块:母公司营业收入、营业成本的分解信息"/>
        <w:tag w:val="_SEC_37411609543c494ea4ff0d898d351419"/>
        <w:id w:val="-2141265350"/>
        <w:placeholder>
          <w:docPart w:val="GBC22222222222222222222222222222"/>
        </w:placeholder>
      </w:sdtPr>
      <w:sdtEndPr>
        <w:rPr>
          <w:rFonts w:ascii="Times New Roman" w:hAnsi="Times New Roman" w:cs="Times New Roman" w:hint="default"/>
          <w:color w:val="000000" w:themeColor="text1"/>
          <w:szCs w:val="20"/>
        </w:rPr>
      </w:sdtEndPr>
      <w:sdtContent>
        <w:p w14:paraId="5F9D4EC5" w14:textId="77777777" w:rsidR="00577D08" w:rsidRDefault="00330FC0">
          <w:pPr>
            <w:pStyle w:val="4"/>
            <w:numPr>
              <w:ilvl w:val="0"/>
              <w:numId w:val="131"/>
            </w:numPr>
            <w:rPr>
              <w:rFonts w:hint="eastAsia"/>
            </w:rPr>
          </w:pPr>
          <w:r>
            <w:rPr>
              <w:rFonts w:hint="eastAsia"/>
            </w:rPr>
            <w:t>营业收入、营业成本的分解信息</w:t>
          </w:r>
        </w:p>
        <w:sdt>
          <w:sdtPr>
            <w:rPr>
              <w:rFonts w:ascii="宋体" w:hAnsi="宋体"/>
              <w:szCs w:val="21"/>
            </w:rPr>
            <w:alias w:val="是否适用：母公司营业收入、营业成本的分解信息 [双击切换]"/>
            <w:tag w:val="_GBC_ebb0bd28b90c4b2b9a1a99758f2ade01"/>
            <w:id w:val="152192295"/>
            <w:placeholder>
              <w:docPart w:val="GBC22222222222222222222222222222"/>
            </w:placeholder>
          </w:sdtPr>
          <w:sdtContent>
            <w:p w14:paraId="30E3B927" w14:textId="77777777" w:rsidR="00577D08" w:rsidRDefault="00330FC0">
              <w:pPr>
                <w:pStyle w:val="aff9"/>
                <w:ind w:firstLineChars="0" w:firstLine="0"/>
                <w:jc w:val="left"/>
                <w:rPr>
                  <w:rFonts w:ascii="宋体" w:hAnsi="宋体" w:hint="eastAsia"/>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14:paraId="2B42E1FD" w14:textId="0F5A9387" w:rsidR="00577D08" w:rsidRDefault="00330FC0">
          <w:pPr>
            <w:pStyle w:val="aff9"/>
            <w:ind w:firstLineChars="0" w:firstLine="0"/>
            <w:jc w:val="right"/>
            <w:rPr>
              <w:rFonts w:ascii="宋体" w:hAnsi="宋体" w:hint="eastAsia"/>
              <w:szCs w:val="21"/>
            </w:rPr>
          </w:pPr>
          <w:r>
            <w:rPr>
              <w:rFonts w:ascii="宋体" w:hAnsi="宋体" w:hint="eastAsia"/>
              <w:szCs w:val="21"/>
            </w:rPr>
            <w:t>单位：</w:t>
          </w:r>
          <w:sdt>
            <w:sdtPr>
              <w:rPr>
                <w:rFonts w:ascii="宋体" w:hAnsi="宋体" w:hint="eastAsia"/>
                <w:szCs w:val="21"/>
              </w:rPr>
              <w:alias w:val="单位：母公司营业收入、营业成本的分解信息 "/>
              <w:tag w:val="_GBC_3db418a3b87d48a88125df45d69873a5"/>
              <w:id w:val="9438893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r w:rsidR="00CC5C32">
                <w:rPr>
                  <w:rFonts w:ascii="宋体" w:hAnsi="宋体" w:hint="eastAsia"/>
                  <w:szCs w:val="21"/>
                </w:rPr>
                <w:t xml:space="preserve"> </w:t>
              </w:r>
            </w:sdtContent>
          </w:sdt>
          <w:r>
            <w:rPr>
              <w:rFonts w:ascii="宋体" w:hAnsi="宋体" w:hint="eastAsia"/>
              <w:szCs w:val="21"/>
            </w:rPr>
            <w:t>币种：</w:t>
          </w:r>
          <w:sdt>
            <w:sdtPr>
              <w:rPr>
                <w:rFonts w:ascii="宋体" w:hAnsi="宋体" w:hint="eastAsia"/>
                <w:szCs w:val="21"/>
              </w:rPr>
              <w:alias w:val="币种：母公司营业收入、营业成本的分解信息 "/>
              <w:tag w:val="_GBC_4b099cda1a9e49e6b317322bdc1e1e9a"/>
              <w:id w:val="11484005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7"/>
            <w:gridCol w:w="2271"/>
            <w:gridCol w:w="2818"/>
          </w:tblGrid>
          <w:tr w:rsidR="00577D08" w14:paraId="14A2510F" w14:textId="77777777">
            <w:sdt>
              <w:sdtPr>
                <w:tag w:val="_PLD_4744d45860a74eb7b15a1f53d0ba8f57"/>
                <w:id w:val="-724908967"/>
              </w:sdtPr>
              <w:sdtContent>
                <w:tc>
                  <w:tcPr>
                    <w:tcW w:w="3407" w:type="dxa"/>
                    <w:vMerge w:val="restart"/>
                    <w:tcBorders>
                      <w:top w:val="single" w:sz="4" w:space="0" w:color="auto"/>
                      <w:left w:val="single" w:sz="4" w:space="0" w:color="auto"/>
                      <w:right w:val="single" w:sz="4" w:space="0" w:color="auto"/>
                    </w:tcBorders>
                    <w:vAlign w:val="center"/>
                  </w:tcPr>
                  <w:p w14:paraId="3FE47210" w14:textId="77777777" w:rsidR="00577D08" w:rsidRDefault="00330FC0">
                    <w:pPr>
                      <w:jc w:val="center"/>
                    </w:pPr>
                    <w:r>
                      <w:rPr>
                        <w:rFonts w:hint="eastAsia"/>
                      </w:rPr>
                      <w:t>合同分类</w:t>
                    </w:r>
                  </w:p>
                </w:tc>
              </w:sdtContent>
            </w:sdt>
            <w:sdt>
              <w:sdtPr>
                <w:tag w:val="_PLD_3ace98fa65b74494a468291f479f75b5"/>
                <w:id w:val="-207885500"/>
              </w:sdtPr>
              <w:sdtContent>
                <w:tc>
                  <w:tcPr>
                    <w:tcW w:w="5089" w:type="dxa"/>
                    <w:gridSpan w:val="2"/>
                    <w:tcBorders>
                      <w:top w:val="single" w:sz="4" w:space="0" w:color="auto"/>
                      <w:left w:val="single" w:sz="4" w:space="0" w:color="auto"/>
                      <w:bottom w:val="single" w:sz="4" w:space="0" w:color="auto"/>
                      <w:right w:val="single" w:sz="4" w:space="0" w:color="auto"/>
                    </w:tcBorders>
                    <w:vAlign w:val="center"/>
                  </w:tcPr>
                  <w:p w14:paraId="39F8B0C5" w14:textId="77777777" w:rsidR="00577D08" w:rsidRDefault="00330FC0">
                    <w:pPr>
                      <w:jc w:val="center"/>
                    </w:pPr>
                    <w:r>
                      <w:rPr>
                        <w:rFonts w:hint="eastAsia"/>
                      </w:rPr>
                      <w:t>合计</w:t>
                    </w:r>
                  </w:p>
                </w:tc>
              </w:sdtContent>
            </w:sdt>
          </w:tr>
          <w:tr w:rsidR="00577D08" w14:paraId="399C7CB9" w14:textId="77777777">
            <w:tc>
              <w:tcPr>
                <w:tcW w:w="3407" w:type="dxa"/>
                <w:vMerge/>
                <w:tcBorders>
                  <w:left w:val="single" w:sz="4" w:space="0" w:color="auto"/>
                  <w:bottom w:val="single" w:sz="4" w:space="0" w:color="auto"/>
                  <w:right w:val="single" w:sz="4" w:space="0" w:color="auto"/>
                </w:tcBorders>
                <w:vAlign w:val="center"/>
              </w:tcPr>
              <w:p w14:paraId="320C579C" w14:textId="77777777" w:rsidR="00577D08" w:rsidRDefault="00577D08">
                <w:pPr>
                  <w:jc w:val="center"/>
                </w:pPr>
              </w:p>
            </w:tc>
            <w:sdt>
              <w:sdtPr>
                <w:tag w:val="_PLD_a673f735c227445596d721043ded24e6"/>
                <w:id w:val="55908399"/>
              </w:sdtPr>
              <w:sdtContent>
                <w:tc>
                  <w:tcPr>
                    <w:tcW w:w="2271" w:type="dxa"/>
                    <w:tcBorders>
                      <w:top w:val="single" w:sz="4" w:space="0" w:color="auto"/>
                      <w:left w:val="single" w:sz="4" w:space="0" w:color="auto"/>
                      <w:bottom w:val="single" w:sz="4" w:space="0" w:color="auto"/>
                      <w:right w:val="single" w:sz="4" w:space="0" w:color="auto"/>
                    </w:tcBorders>
                    <w:vAlign w:val="center"/>
                  </w:tcPr>
                  <w:p w14:paraId="1E89C721" w14:textId="77777777" w:rsidR="00577D08" w:rsidRDefault="00330FC0">
                    <w:pPr>
                      <w:jc w:val="center"/>
                    </w:pPr>
                    <w:r>
                      <w:rPr>
                        <w:rFonts w:hint="eastAsia"/>
                      </w:rPr>
                      <w:t>营业收入</w:t>
                    </w:r>
                  </w:p>
                </w:tc>
              </w:sdtContent>
            </w:sdt>
            <w:sdt>
              <w:sdtPr>
                <w:tag w:val="_PLD_dcb83a108df94ca4a331174deb896cdd"/>
                <w:id w:val="487289900"/>
              </w:sdtPr>
              <w:sdtContent>
                <w:tc>
                  <w:tcPr>
                    <w:tcW w:w="2818" w:type="dxa"/>
                    <w:tcBorders>
                      <w:top w:val="single" w:sz="4" w:space="0" w:color="auto"/>
                      <w:left w:val="single" w:sz="4" w:space="0" w:color="auto"/>
                      <w:bottom w:val="single" w:sz="4" w:space="0" w:color="auto"/>
                      <w:right w:val="single" w:sz="4" w:space="0" w:color="auto"/>
                    </w:tcBorders>
                    <w:vAlign w:val="center"/>
                  </w:tcPr>
                  <w:p w14:paraId="26A8ED18" w14:textId="77777777" w:rsidR="00577D08" w:rsidRDefault="00330FC0">
                    <w:pPr>
                      <w:jc w:val="center"/>
                    </w:pPr>
                    <w:r>
                      <w:rPr>
                        <w:rFonts w:hint="eastAsia"/>
                      </w:rPr>
                      <w:t>营业成本</w:t>
                    </w:r>
                  </w:p>
                </w:tc>
              </w:sdtContent>
            </w:sdt>
          </w:tr>
          <w:tr w:rsidR="00577D08" w14:paraId="26423462" w14:textId="77777777">
            <w:tc>
              <w:tcPr>
                <w:tcW w:w="3407" w:type="dxa"/>
                <w:tcBorders>
                  <w:top w:val="single" w:sz="4" w:space="0" w:color="auto"/>
                  <w:left w:val="single" w:sz="4" w:space="0" w:color="auto"/>
                  <w:bottom w:val="single" w:sz="4" w:space="0" w:color="auto"/>
                  <w:right w:val="single" w:sz="4" w:space="0" w:color="auto"/>
                </w:tcBorders>
                <w:vAlign w:val="center"/>
              </w:tcPr>
              <w:p w14:paraId="4369983A" w14:textId="77777777" w:rsidR="00577D08" w:rsidRDefault="00330FC0">
                <w:r>
                  <w:rPr>
                    <w:rFonts w:hint="eastAsia"/>
                  </w:rPr>
                  <w:t>商品类型</w:t>
                </w:r>
              </w:p>
            </w:tc>
            <w:tc>
              <w:tcPr>
                <w:tcW w:w="2271" w:type="dxa"/>
                <w:tcBorders>
                  <w:top w:val="single" w:sz="4" w:space="0" w:color="auto"/>
                  <w:left w:val="single" w:sz="4" w:space="0" w:color="auto"/>
                  <w:bottom w:val="single" w:sz="4" w:space="0" w:color="auto"/>
                  <w:right w:val="single" w:sz="4" w:space="0" w:color="auto"/>
                </w:tcBorders>
                <w:vAlign w:val="center"/>
              </w:tcPr>
              <w:p w14:paraId="4501CCCD" w14:textId="77777777" w:rsidR="00577D08" w:rsidRDefault="00330FC0">
                <w:pPr>
                  <w:jc w:val="right"/>
                </w:pPr>
                <w:r>
                  <w:rPr>
                    <w:rFonts w:hint="eastAsia"/>
                  </w:rPr>
                  <w:t xml:space="preserve">　</w:t>
                </w:r>
              </w:p>
            </w:tc>
            <w:tc>
              <w:tcPr>
                <w:tcW w:w="2818" w:type="dxa"/>
                <w:tcBorders>
                  <w:top w:val="single" w:sz="4" w:space="0" w:color="auto"/>
                  <w:left w:val="single" w:sz="4" w:space="0" w:color="auto"/>
                  <w:bottom w:val="single" w:sz="4" w:space="0" w:color="auto"/>
                  <w:right w:val="single" w:sz="4" w:space="0" w:color="auto"/>
                </w:tcBorders>
                <w:vAlign w:val="center"/>
              </w:tcPr>
              <w:p w14:paraId="711AA53E" w14:textId="77777777" w:rsidR="00577D08" w:rsidRDefault="00330FC0">
                <w:pPr>
                  <w:jc w:val="right"/>
                </w:pPr>
                <w:r>
                  <w:rPr>
                    <w:rFonts w:hint="eastAsia"/>
                  </w:rPr>
                  <w:t xml:space="preserve">　</w:t>
                </w:r>
              </w:p>
            </w:tc>
          </w:tr>
          <w:tr w:rsidR="00577D08" w14:paraId="4068C597" w14:textId="77777777">
            <w:tc>
              <w:tcPr>
                <w:tcW w:w="3407" w:type="dxa"/>
                <w:tcBorders>
                  <w:top w:val="single" w:sz="4" w:space="0" w:color="auto"/>
                  <w:left w:val="single" w:sz="4" w:space="0" w:color="auto"/>
                  <w:bottom w:val="single" w:sz="4" w:space="0" w:color="auto"/>
                  <w:right w:val="single" w:sz="4" w:space="0" w:color="auto"/>
                </w:tcBorders>
                <w:vAlign w:val="center"/>
              </w:tcPr>
              <w:p w14:paraId="54E06CFD" w14:textId="77777777" w:rsidR="00577D08" w:rsidRDefault="00330FC0">
                <w:pPr>
                  <w:ind w:firstLineChars="200" w:firstLine="420"/>
                </w:pPr>
                <w:r>
                  <w:rPr>
                    <w:rFonts w:hint="eastAsia"/>
                  </w:rPr>
                  <w:t>输配电及控制设备</w:t>
                </w:r>
              </w:p>
            </w:tc>
            <w:tc>
              <w:tcPr>
                <w:tcW w:w="2271" w:type="dxa"/>
                <w:tcBorders>
                  <w:top w:val="single" w:sz="4" w:space="0" w:color="auto"/>
                  <w:left w:val="single" w:sz="4" w:space="0" w:color="auto"/>
                  <w:bottom w:val="single" w:sz="4" w:space="0" w:color="auto"/>
                  <w:right w:val="single" w:sz="4" w:space="0" w:color="auto"/>
                </w:tcBorders>
              </w:tcPr>
              <w:p w14:paraId="40C21A80" w14:textId="77777777" w:rsidR="00577D08" w:rsidRDefault="00330FC0">
                <w:pPr>
                  <w:jc w:val="right"/>
                </w:pPr>
                <w:r>
                  <w:t xml:space="preserve"> 1,300,224,774.97 </w:t>
                </w:r>
              </w:p>
            </w:tc>
            <w:tc>
              <w:tcPr>
                <w:tcW w:w="2818" w:type="dxa"/>
                <w:tcBorders>
                  <w:top w:val="single" w:sz="4" w:space="0" w:color="auto"/>
                  <w:left w:val="single" w:sz="4" w:space="0" w:color="auto"/>
                  <w:bottom w:val="single" w:sz="4" w:space="0" w:color="auto"/>
                  <w:right w:val="single" w:sz="4" w:space="0" w:color="auto"/>
                </w:tcBorders>
              </w:tcPr>
              <w:p w14:paraId="717F6C40" w14:textId="77777777" w:rsidR="00577D08" w:rsidRDefault="00330FC0">
                <w:pPr>
                  <w:jc w:val="right"/>
                </w:pPr>
                <w:r>
                  <w:t xml:space="preserve"> 1,157,652,779.60 </w:t>
                </w:r>
              </w:p>
            </w:tc>
          </w:tr>
          <w:tr w:rsidR="00577D08" w14:paraId="27D9998B" w14:textId="77777777">
            <w:tc>
              <w:tcPr>
                <w:tcW w:w="3407" w:type="dxa"/>
                <w:tcBorders>
                  <w:top w:val="single" w:sz="4" w:space="0" w:color="auto"/>
                  <w:left w:val="single" w:sz="4" w:space="0" w:color="auto"/>
                  <w:bottom w:val="single" w:sz="4" w:space="0" w:color="auto"/>
                  <w:right w:val="single" w:sz="4" w:space="0" w:color="auto"/>
                </w:tcBorders>
                <w:vAlign w:val="center"/>
              </w:tcPr>
              <w:p w14:paraId="0E7112E4" w14:textId="77777777" w:rsidR="00577D08" w:rsidRDefault="00330FC0">
                <w:pPr>
                  <w:ind w:firstLineChars="200" w:firstLine="420"/>
                </w:pPr>
                <w:r>
                  <w:t>取向硅钢</w:t>
                </w:r>
              </w:p>
            </w:tc>
            <w:tc>
              <w:tcPr>
                <w:tcW w:w="2271" w:type="dxa"/>
                <w:tcBorders>
                  <w:top w:val="single" w:sz="4" w:space="0" w:color="auto"/>
                  <w:left w:val="single" w:sz="4" w:space="0" w:color="auto"/>
                  <w:bottom w:val="single" w:sz="4" w:space="0" w:color="auto"/>
                  <w:right w:val="single" w:sz="4" w:space="0" w:color="auto"/>
                </w:tcBorders>
              </w:tcPr>
              <w:p w14:paraId="22EE70EC" w14:textId="77777777" w:rsidR="00577D08" w:rsidRDefault="00330FC0">
                <w:pPr>
                  <w:jc w:val="right"/>
                </w:pPr>
                <w:r>
                  <w:t xml:space="preserve"> 1,474,162,292.63 </w:t>
                </w:r>
              </w:p>
            </w:tc>
            <w:tc>
              <w:tcPr>
                <w:tcW w:w="2818" w:type="dxa"/>
                <w:tcBorders>
                  <w:top w:val="single" w:sz="4" w:space="0" w:color="auto"/>
                  <w:left w:val="single" w:sz="4" w:space="0" w:color="auto"/>
                  <w:bottom w:val="single" w:sz="4" w:space="0" w:color="auto"/>
                  <w:right w:val="single" w:sz="4" w:space="0" w:color="auto"/>
                </w:tcBorders>
              </w:tcPr>
              <w:p w14:paraId="306EDB23" w14:textId="77777777" w:rsidR="00577D08" w:rsidRDefault="00330FC0">
                <w:pPr>
                  <w:jc w:val="right"/>
                </w:pPr>
                <w:r>
                  <w:t xml:space="preserve"> 1,322,858,626.09 </w:t>
                </w:r>
              </w:p>
            </w:tc>
          </w:tr>
          <w:tr w:rsidR="00577D08" w14:paraId="6CB2E99F" w14:textId="77777777">
            <w:tc>
              <w:tcPr>
                <w:tcW w:w="3407" w:type="dxa"/>
                <w:tcBorders>
                  <w:top w:val="single" w:sz="4" w:space="0" w:color="auto"/>
                  <w:left w:val="single" w:sz="4" w:space="0" w:color="auto"/>
                  <w:bottom w:val="single" w:sz="4" w:space="0" w:color="auto"/>
                  <w:right w:val="single" w:sz="4" w:space="0" w:color="auto"/>
                </w:tcBorders>
                <w:vAlign w:val="center"/>
              </w:tcPr>
              <w:p w14:paraId="61E43C71" w14:textId="77777777" w:rsidR="00577D08" w:rsidRDefault="00330FC0">
                <w:pPr>
                  <w:ind w:firstLineChars="200" w:firstLine="420"/>
                </w:pPr>
                <w:r>
                  <w:rPr>
                    <w:rFonts w:hint="eastAsia"/>
                  </w:rPr>
                  <w:t>其他业务</w:t>
                </w:r>
              </w:p>
            </w:tc>
            <w:tc>
              <w:tcPr>
                <w:tcW w:w="2271" w:type="dxa"/>
                <w:tcBorders>
                  <w:top w:val="single" w:sz="4" w:space="0" w:color="auto"/>
                  <w:left w:val="single" w:sz="4" w:space="0" w:color="auto"/>
                  <w:bottom w:val="single" w:sz="4" w:space="0" w:color="auto"/>
                  <w:right w:val="single" w:sz="4" w:space="0" w:color="auto"/>
                </w:tcBorders>
              </w:tcPr>
              <w:p w14:paraId="0BEF97D1" w14:textId="77777777" w:rsidR="00577D08" w:rsidRDefault="00330FC0">
                <w:pPr>
                  <w:jc w:val="right"/>
                </w:pPr>
                <w:r>
                  <w:t xml:space="preserve"> 86,483,162.20 </w:t>
                </w:r>
              </w:p>
            </w:tc>
            <w:tc>
              <w:tcPr>
                <w:tcW w:w="2818" w:type="dxa"/>
                <w:tcBorders>
                  <w:top w:val="single" w:sz="4" w:space="0" w:color="auto"/>
                  <w:left w:val="single" w:sz="4" w:space="0" w:color="auto"/>
                  <w:bottom w:val="single" w:sz="4" w:space="0" w:color="auto"/>
                  <w:right w:val="single" w:sz="4" w:space="0" w:color="auto"/>
                </w:tcBorders>
              </w:tcPr>
              <w:p w14:paraId="019FDB76" w14:textId="77777777" w:rsidR="00577D08" w:rsidRDefault="00330FC0">
                <w:pPr>
                  <w:jc w:val="right"/>
                </w:pPr>
                <w:r>
                  <w:t xml:space="preserve"> 83,255,915.44 </w:t>
                </w:r>
              </w:p>
            </w:tc>
          </w:tr>
          <w:tr w:rsidR="00577D08" w14:paraId="0E713597" w14:textId="77777777">
            <w:tc>
              <w:tcPr>
                <w:tcW w:w="3407" w:type="dxa"/>
                <w:tcBorders>
                  <w:top w:val="single" w:sz="4" w:space="0" w:color="auto"/>
                  <w:left w:val="single" w:sz="4" w:space="0" w:color="auto"/>
                  <w:bottom w:val="single" w:sz="4" w:space="0" w:color="auto"/>
                  <w:right w:val="single" w:sz="4" w:space="0" w:color="auto"/>
                </w:tcBorders>
                <w:vAlign w:val="center"/>
              </w:tcPr>
              <w:p w14:paraId="26B97BF7" w14:textId="77777777" w:rsidR="00577D08" w:rsidRDefault="00330FC0">
                <w:r>
                  <w:rPr>
                    <w:rFonts w:hint="eastAsia"/>
                  </w:rPr>
                  <w:t>按商品转让的时间分类</w:t>
                </w:r>
              </w:p>
            </w:tc>
            <w:tc>
              <w:tcPr>
                <w:tcW w:w="2271" w:type="dxa"/>
                <w:tcBorders>
                  <w:top w:val="single" w:sz="4" w:space="0" w:color="auto"/>
                  <w:left w:val="single" w:sz="4" w:space="0" w:color="auto"/>
                  <w:bottom w:val="single" w:sz="4" w:space="0" w:color="auto"/>
                  <w:right w:val="single" w:sz="4" w:space="0" w:color="auto"/>
                </w:tcBorders>
              </w:tcPr>
              <w:p w14:paraId="34D573D8" w14:textId="77777777" w:rsidR="00577D08" w:rsidRDefault="00577D08">
                <w:pPr>
                  <w:jc w:val="right"/>
                </w:pPr>
              </w:p>
            </w:tc>
            <w:tc>
              <w:tcPr>
                <w:tcW w:w="2818" w:type="dxa"/>
                <w:tcBorders>
                  <w:top w:val="single" w:sz="4" w:space="0" w:color="auto"/>
                  <w:left w:val="single" w:sz="4" w:space="0" w:color="auto"/>
                  <w:bottom w:val="single" w:sz="4" w:space="0" w:color="auto"/>
                  <w:right w:val="single" w:sz="4" w:space="0" w:color="auto"/>
                </w:tcBorders>
              </w:tcPr>
              <w:p w14:paraId="7BC9F963" w14:textId="77777777" w:rsidR="00577D08" w:rsidRDefault="00577D08">
                <w:pPr>
                  <w:jc w:val="right"/>
                </w:pPr>
              </w:p>
            </w:tc>
          </w:tr>
          <w:tr w:rsidR="00577D08" w14:paraId="114AFFBD" w14:textId="77777777">
            <w:tc>
              <w:tcPr>
                <w:tcW w:w="3407" w:type="dxa"/>
                <w:tcBorders>
                  <w:top w:val="single" w:sz="4" w:space="0" w:color="auto"/>
                  <w:left w:val="single" w:sz="4" w:space="0" w:color="auto"/>
                  <w:bottom w:val="single" w:sz="4" w:space="0" w:color="auto"/>
                  <w:right w:val="single" w:sz="4" w:space="0" w:color="auto"/>
                </w:tcBorders>
                <w:vAlign w:val="center"/>
              </w:tcPr>
              <w:p w14:paraId="2821A79E" w14:textId="77777777" w:rsidR="00577D08" w:rsidRDefault="00330FC0">
                <w:pPr>
                  <w:ind w:firstLineChars="200" w:firstLine="420"/>
                </w:pPr>
                <w:r>
                  <w:rPr>
                    <w:rFonts w:hint="eastAsia"/>
                  </w:rPr>
                  <w:t>在某一时点确认收入</w:t>
                </w:r>
              </w:p>
            </w:tc>
            <w:tc>
              <w:tcPr>
                <w:tcW w:w="2271" w:type="dxa"/>
                <w:tcBorders>
                  <w:top w:val="single" w:sz="4" w:space="0" w:color="auto"/>
                  <w:left w:val="single" w:sz="4" w:space="0" w:color="auto"/>
                  <w:bottom w:val="single" w:sz="4" w:space="0" w:color="auto"/>
                  <w:right w:val="single" w:sz="4" w:space="0" w:color="auto"/>
                </w:tcBorders>
              </w:tcPr>
              <w:p w14:paraId="2E280FFF" w14:textId="77777777" w:rsidR="00577D08" w:rsidRDefault="00330FC0">
                <w:pPr>
                  <w:jc w:val="right"/>
                </w:pPr>
                <w:r>
                  <w:t xml:space="preserve"> 2,860,870,229.80 </w:t>
                </w:r>
              </w:p>
            </w:tc>
            <w:tc>
              <w:tcPr>
                <w:tcW w:w="2818" w:type="dxa"/>
                <w:tcBorders>
                  <w:top w:val="single" w:sz="4" w:space="0" w:color="auto"/>
                  <w:left w:val="single" w:sz="4" w:space="0" w:color="auto"/>
                  <w:bottom w:val="single" w:sz="4" w:space="0" w:color="auto"/>
                  <w:right w:val="single" w:sz="4" w:space="0" w:color="auto"/>
                </w:tcBorders>
              </w:tcPr>
              <w:p w14:paraId="51FA7AEF" w14:textId="77777777" w:rsidR="00577D08" w:rsidRDefault="00330FC0">
                <w:pPr>
                  <w:jc w:val="right"/>
                </w:pPr>
                <w:r>
                  <w:t xml:space="preserve"> 2,563,767,321.13 </w:t>
                </w:r>
              </w:p>
            </w:tc>
          </w:tr>
          <w:tr w:rsidR="00577D08" w14:paraId="5437799D" w14:textId="77777777">
            <w:tc>
              <w:tcPr>
                <w:tcW w:w="3407" w:type="dxa"/>
                <w:tcBorders>
                  <w:top w:val="single" w:sz="4" w:space="0" w:color="auto"/>
                  <w:left w:val="single" w:sz="4" w:space="0" w:color="auto"/>
                  <w:bottom w:val="single" w:sz="4" w:space="0" w:color="auto"/>
                  <w:right w:val="single" w:sz="4" w:space="0" w:color="auto"/>
                </w:tcBorders>
                <w:vAlign w:val="center"/>
              </w:tcPr>
              <w:p w14:paraId="0541B222" w14:textId="77777777" w:rsidR="00577D08" w:rsidRDefault="00330FC0">
                <w:pPr>
                  <w:ind w:firstLineChars="200" w:firstLine="420"/>
                </w:pPr>
                <w:r>
                  <w:rPr>
                    <w:rFonts w:hint="eastAsia"/>
                  </w:rPr>
                  <w:t>在某一时段内确认收入</w:t>
                </w:r>
              </w:p>
            </w:tc>
            <w:tc>
              <w:tcPr>
                <w:tcW w:w="2271" w:type="dxa"/>
                <w:tcBorders>
                  <w:top w:val="single" w:sz="4" w:space="0" w:color="auto"/>
                  <w:left w:val="single" w:sz="4" w:space="0" w:color="auto"/>
                  <w:bottom w:val="single" w:sz="4" w:space="0" w:color="auto"/>
                  <w:right w:val="single" w:sz="4" w:space="0" w:color="auto"/>
                </w:tcBorders>
              </w:tcPr>
              <w:p w14:paraId="445B65DE" w14:textId="77777777" w:rsidR="00577D08" w:rsidRDefault="00577D08">
                <w:pPr>
                  <w:jc w:val="right"/>
                </w:pPr>
              </w:p>
            </w:tc>
            <w:tc>
              <w:tcPr>
                <w:tcW w:w="2818" w:type="dxa"/>
                <w:tcBorders>
                  <w:top w:val="single" w:sz="4" w:space="0" w:color="auto"/>
                  <w:left w:val="single" w:sz="4" w:space="0" w:color="auto"/>
                  <w:bottom w:val="single" w:sz="4" w:space="0" w:color="auto"/>
                  <w:right w:val="single" w:sz="4" w:space="0" w:color="auto"/>
                </w:tcBorders>
              </w:tcPr>
              <w:p w14:paraId="015FD33D" w14:textId="77777777" w:rsidR="00577D08" w:rsidRDefault="00577D08">
                <w:pPr>
                  <w:jc w:val="right"/>
                </w:pPr>
              </w:p>
            </w:tc>
          </w:tr>
          <w:tr w:rsidR="00577D08" w14:paraId="4F761231" w14:textId="77777777">
            <w:tc>
              <w:tcPr>
                <w:tcW w:w="3407" w:type="dxa"/>
                <w:tcBorders>
                  <w:top w:val="single" w:sz="4" w:space="0" w:color="auto"/>
                  <w:left w:val="single" w:sz="4" w:space="0" w:color="auto"/>
                  <w:bottom w:val="single" w:sz="4" w:space="0" w:color="auto"/>
                  <w:right w:val="single" w:sz="4" w:space="0" w:color="auto"/>
                </w:tcBorders>
                <w:vAlign w:val="center"/>
              </w:tcPr>
              <w:p w14:paraId="6F416D8D" w14:textId="77777777" w:rsidR="00577D08" w:rsidRDefault="00330FC0">
                <w:pPr>
                  <w:jc w:val="center"/>
                </w:pPr>
                <w:r>
                  <w:rPr>
                    <w:rFonts w:hint="eastAsia"/>
                  </w:rPr>
                  <w:t>合计</w:t>
                </w:r>
              </w:p>
            </w:tc>
            <w:tc>
              <w:tcPr>
                <w:tcW w:w="2271" w:type="dxa"/>
                <w:tcBorders>
                  <w:top w:val="single" w:sz="4" w:space="0" w:color="auto"/>
                  <w:left w:val="single" w:sz="4" w:space="0" w:color="auto"/>
                  <w:bottom w:val="single" w:sz="4" w:space="0" w:color="auto"/>
                  <w:right w:val="single" w:sz="4" w:space="0" w:color="auto"/>
                </w:tcBorders>
              </w:tcPr>
              <w:p w14:paraId="3C14A6A5" w14:textId="77777777" w:rsidR="00577D08" w:rsidRDefault="00330FC0">
                <w:pPr>
                  <w:jc w:val="right"/>
                </w:pPr>
                <w:r>
                  <w:t xml:space="preserve"> 2,860,870,229.80 </w:t>
                </w:r>
              </w:p>
            </w:tc>
            <w:tc>
              <w:tcPr>
                <w:tcW w:w="2818" w:type="dxa"/>
                <w:tcBorders>
                  <w:top w:val="single" w:sz="4" w:space="0" w:color="auto"/>
                  <w:left w:val="single" w:sz="4" w:space="0" w:color="auto"/>
                  <w:bottom w:val="single" w:sz="4" w:space="0" w:color="auto"/>
                  <w:right w:val="single" w:sz="4" w:space="0" w:color="auto"/>
                </w:tcBorders>
              </w:tcPr>
              <w:p w14:paraId="7F49DB7C" w14:textId="77777777" w:rsidR="00577D08" w:rsidRDefault="00330FC0">
                <w:pPr>
                  <w:jc w:val="right"/>
                </w:pPr>
                <w:r>
                  <w:t xml:space="preserve"> 2,563,767,321.13 </w:t>
                </w:r>
              </w:p>
            </w:tc>
          </w:tr>
        </w:tbl>
        <w:p w14:paraId="7FA4BC3C" w14:textId="77777777" w:rsidR="00577D08" w:rsidRDefault="00330FC0">
          <w:r>
            <w:rPr>
              <w:rFonts w:hint="eastAsia"/>
            </w:rPr>
            <w:t>其他说明：</w:t>
          </w:r>
        </w:p>
        <w:sdt>
          <w:sdtPr>
            <w:alias w:val="是否适用：母公司营业收入、营业成本的分解信息说明 [双击切换]"/>
            <w:tag w:val="_GBC_579e9b003cbd4b94a5da57be65a206f7"/>
            <w:id w:val="-1723899260"/>
            <w:placeholder>
              <w:docPart w:val="GBC22222222222222222222222222222"/>
            </w:placeholder>
          </w:sdtPr>
          <w:sdtContent>
            <w:p w14:paraId="6DD65337" w14:textId="77777777" w:rsidR="00577D08" w:rsidRDefault="00330FC0">
              <w:pPr>
                <w:rPr>
                  <w:color w:val="000000" w:themeColor="text1"/>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24343EA" w14:textId="77777777" w:rsidR="00577D08" w:rsidRDefault="00000000">
          <w:pPr>
            <w:rPr>
              <w:color w:val="000000" w:themeColor="text1"/>
            </w:rPr>
          </w:pPr>
        </w:p>
      </w:sdtContent>
    </w:sdt>
    <w:p w14:paraId="7991473D" w14:textId="77777777" w:rsidR="00577D08" w:rsidRDefault="00330FC0">
      <w:pPr>
        <w:pStyle w:val="4"/>
        <w:numPr>
          <w:ilvl w:val="0"/>
          <w:numId w:val="131"/>
        </w:numPr>
        <w:rPr>
          <w:rFonts w:ascii="宋体" w:eastAsia="宋体" w:hAnsi="宋体" w:cs="宋体" w:hint="eastAsia"/>
          <w:kern w:val="0"/>
          <w:szCs w:val="24"/>
        </w:rPr>
      </w:pPr>
      <w:bookmarkStart w:id="534" w:name="_Hlk155961563"/>
      <w:bookmarkEnd w:id="532"/>
      <w:r>
        <w:rPr>
          <w:rFonts w:ascii="宋体" w:eastAsia="宋体" w:hAnsi="宋体" w:cs="宋体" w:hint="eastAsia"/>
          <w:kern w:val="0"/>
          <w:szCs w:val="24"/>
        </w:rPr>
        <w:t>履约义务的说明</w:t>
      </w:r>
    </w:p>
    <w:sdt>
      <w:sdtPr>
        <w:alias w:val="是否适用：履约义务的说明[双击切换]"/>
        <w:tag w:val="_GBC_0b818a1fe50c41248e0bae7b16db682e"/>
        <w:id w:val="948352852"/>
        <w:placeholder>
          <w:docPart w:val="GBC22222222222222222222222222222"/>
        </w:placeholder>
      </w:sdtPr>
      <w:sdtContent>
        <w:p w14:paraId="5566EA3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8333D87" w14:textId="77777777" w:rsidR="00577D08" w:rsidRDefault="00330FC0">
      <w:pPr>
        <w:pStyle w:val="4"/>
        <w:numPr>
          <w:ilvl w:val="0"/>
          <w:numId w:val="131"/>
        </w:numPr>
        <w:rPr>
          <w:rFonts w:hint="eastAsia"/>
        </w:rPr>
      </w:pPr>
      <w:bookmarkStart w:id="535" w:name="_Hlk533798958"/>
      <w:bookmarkEnd w:id="533"/>
      <w:bookmarkEnd w:id="534"/>
      <w:r>
        <w:rPr>
          <w:rFonts w:hint="eastAsia"/>
        </w:rPr>
        <w:t>分摊至剩余履约义务的说明</w:t>
      </w:r>
    </w:p>
    <w:sdt>
      <w:sdtPr>
        <w:alias w:val="是否适用：母公司分摊至剩余履约义务的说明[双击切换]"/>
        <w:tag w:val="_GBC_7f0a9adae5ea4624a849a396f1ce90b1"/>
        <w:id w:val="-406837108"/>
        <w:placeholder>
          <w:docPart w:val="GBC22222222222222222222222222222"/>
        </w:placeholder>
      </w:sdtPr>
      <w:sdtContent>
        <w:p w14:paraId="10CC5B2F"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D2C636" w14:textId="77777777" w:rsidR="00577D08" w:rsidRDefault="00330FC0">
      <w:pPr>
        <w:pStyle w:val="4"/>
        <w:numPr>
          <w:ilvl w:val="0"/>
          <w:numId w:val="131"/>
        </w:numPr>
        <w:rPr>
          <w:rFonts w:ascii="宋体" w:eastAsia="宋体" w:hAnsi="宋体" w:cs="宋体" w:hint="eastAsia"/>
          <w:kern w:val="0"/>
          <w:szCs w:val="24"/>
        </w:rPr>
      </w:pPr>
      <w:bookmarkStart w:id="536" w:name="_Hlk153798573"/>
      <w:bookmarkEnd w:id="535"/>
      <w:r>
        <w:rPr>
          <w:rFonts w:ascii="宋体" w:eastAsia="宋体" w:hAnsi="宋体" w:cs="宋体" w:hint="eastAsia"/>
          <w:kern w:val="0"/>
          <w:szCs w:val="24"/>
        </w:rPr>
        <w:t>重大合同变更或重大交易价格调整</w:t>
      </w:r>
    </w:p>
    <w:sdt>
      <w:sdtPr>
        <w:alias w:val="是否适用：母公司重大合同变更或重大交易价格调整[双击切换]"/>
        <w:tag w:val="_GBC_df0026b6a6ff4f0a99c85462586d2446"/>
        <w:id w:val="144252756"/>
        <w:placeholder>
          <w:docPart w:val="GBC22222222222222222222222222222"/>
        </w:placeholder>
      </w:sdtPr>
      <w:sdtContent>
        <w:p w14:paraId="530AB891"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57804B" w14:textId="77777777" w:rsidR="00577D08" w:rsidRDefault="00330FC0">
      <w:pPr>
        <w:spacing w:before="60" w:after="60"/>
      </w:pPr>
      <w:bookmarkStart w:id="537" w:name="_Hlk533798751"/>
      <w:bookmarkEnd w:id="536"/>
      <w:r>
        <w:rPr>
          <w:rFonts w:hint="eastAsia"/>
        </w:rPr>
        <w:t>其他说明：</w:t>
      </w:r>
    </w:p>
    <w:p w14:paraId="00E1B37D" w14:textId="77777777" w:rsidR="00577D08" w:rsidRDefault="00000000">
      <w:sdt>
        <w:sdtPr>
          <w:alias w:val="主营业务说明"/>
          <w:tag w:val="_GBC_fd583c7468404a3e83de872adae134a2"/>
          <w:id w:val="654415101"/>
          <w:placeholder>
            <w:docPart w:val="GBC22222222222222222222222222222"/>
          </w:placeholder>
        </w:sdtPr>
        <w:sdtContent>
          <w:r w:rsidR="00330FC0">
            <w:rPr>
              <w:rFonts w:hint="eastAsia"/>
            </w:rPr>
            <w:t>无</w:t>
          </w:r>
        </w:sdtContent>
      </w:sdt>
    </w:p>
    <w:p w14:paraId="6DAF67A6" w14:textId="77777777" w:rsidR="00577D08" w:rsidRDefault="00330FC0">
      <w:pPr>
        <w:pStyle w:val="3"/>
        <w:numPr>
          <w:ilvl w:val="0"/>
          <w:numId w:val="125"/>
        </w:numPr>
        <w:rPr>
          <w:rFonts w:ascii="宋体" w:hAnsi="宋体" w:hint="eastAsia"/>
          <w:szCs w:val="21"/>
        </w:rPr>
      </w:pPr>
      <w:bookmarkStart w:id="538" w:name="OLE_LINK6"/>
      <w:bookmarkStart w:id="539" w:name="_Hlk10548739"/>
      <w:bookmarkStart w:id="540" w:name="_Hlk24031063"/>
      <w:bookmarkEnd w:id="537"/>
      <w:r>
        <w:rPr>
          <w:rFonts w:ascii="宋体" w:hAnsi="宋体" w:hint="eastAsia"/>
          <w:szCs w:val="21"/>
        </w:rPr>
        <w:t>投资收益</w:t>
      </w:r>
      <w:bookmarkEnd w:id="538"/>
    </w:p>
    <w:sdt>
      <w:sdtPr>
        <w:alias w:val="是否适用：母公司投资收益[双击切换]"/>
        <w:tag w:val="_GBC_c2bb46ec06e343088b38ac6340f45fb2"/>
        <w:id w:val="370741987"/>
        <w:placeholder>
          <w:docPart w:val="GBC22222222222222222222222222222"/>
        </w:placeholder>
      </w:sdtPr>
      <w:sdtContent>
        <w:p w14:paraId="7D282FB5" w14:textId="77777777" w:rsidR="00577D08" w:rsidRDefault="00330FC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9BB276C" w14:textId="0FE4DDE8" w:rsidR="00577D08" w:rsidRDefault="00330FC0">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6191425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r w:rsidR="00CC5C32">
            <w:rPr>
              <w:rFonts w:hint="eastAsia"/>
            </w:rPr>
            <w:t xml:space="preserve"> </w:t>
          </w:r>
        </w:sdtContent>
      </w:sdt>
      <w:r>
        <w:t>币种</w:t>
      </w:r>
      <w:r>
        <w:rPr>
          <w:rFonts w:hint="eastAsia"/>
        </w:rPr>
        <w:t>：</w:t>
      </w:r>
      <w:sdt>
        <w:sdtPr>
          <w:rPr>
            <w:rFonts w:hint="eastAsia"/>
          </w:rPr>
          <w:alias w:val="币种：财务附注：会计报表中的投资收益项目增加"/>
          <w:tag w:val="_GBC_4090bf40cd1647838a8c5908dbc544c5"/>
          <w:id w:val="134350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692"/>
        <w:gridCol w:w="2703"/>
      </w:tblGrid>
      <w:tr w:rsidR="00577D08" w14:paraId="3B543D18" w14:textId="77777777">
        <w:bookmarkStart w:id="541" w:name="_Hlk24031106" w:displacedByCustomXml="next"/>
        <w:sdt>
          <w:sdtPr>
            <w:tag w:val="_PLD_507ed5c985ab48c59a18c2d57dd68c9c"/>
            <w:id w:val="1383220281"/>
          </w:sdtPr>
          <w:sdtContent>
            <w:tc>
              <w:tcPr>
                <w:tcW w:w="3652" w:type="dxa"/>
                <w:vAlign w:val="center"/>
              </w:tcPr>
              <w:p w14:paraId="6BE406AA" w14:textId="77777777" w:rsidR="00577D08" w:rsidRDefault="00330FC0">
                <w:pPr>
                  <w:ind w:left="420" w:hanging="420"/>
                  <w:jc w:val="center"/>
                </w:pPr>
                <w:r>
                  <w:rPr>
                    <w:rFonts w:hint="eastAsia"/>
                  </w:rPr>
                  <w:t>项目</w:t>
                </w:r>
              </w:p>
            </w:tc>
          </w:sdtContent>
        </w:sdt>
        <w:sdt>
          <w:sdtPr>
            <w:tag w:val="_PLD_47187d04b5814de2ac4d8e7ab7f3dcf5"/>
            <w:id w:val="-1696984970"/>
          </w:sdtPr>
          <w:sdtContent>
            <w:tc>
              <w:tcPr>
                <w:tcW w:w="2692" w:type="dxa"/>
                <w:vAlign w:val="center"/>
              </w:tcPr>
              <w:p w14:paraId="25E09CF3" w14:textId="77777777" w:rsidR="00577D08" w:rsidRDefault="00330FC0">
                <w:pPr>
                  <w:jc w:val="center"/>
                </w:pPr>
                <w:r>
                  <w:rPr>
                    <w:rFonts w:hint="eastAsia"/>
                  </w:rPr>
                  <w:t>本期发生额</w:t>
                </w:r>
              </w:p>
            </w:tc>
          </w:sdtContent>
        </w:sdt>
        <w:sdt>
          <w:sdtPr>
            <w:tag w:val="_PLD_9b38c11702ff453c93beb78507ab4be2"/>
            <w:id w:val="-692221990"/>
          </w:sdtPr>
          <w:sdtContent>
            <w:tc>
              <w:tcPr>
                <w:tcW w:w="2703" w:type="dxa"/>
                <w:vAlign w:val="center"/>
              </w:tcPr>
              <w:p w14:paraId="34F1CD0D" w14:textId="77777777" w:rsidR="00577D08" w:rsidRDefault="00330FC0">
                <w:pPr>
                  <w:jc w:val="center"/>
                </w:pPr>
                <w:r>
                  <w:rPr>
                    <w:rFonts w:hint="eastAsia"/>
                  </w:rPr>
                  <w:t>上期发生额</w:t>
                </w:r>
              </w:p>
            </w:tc>
          </w:sdtContent>
        </w:sdt>
      </w:tr>
      <w:tr w:rsidR="00577D08" w14:paraId="051EF891" w14:textId="77777777">
        <w:tc>
          <w:tcPr>
            <w:tcW w:w="3652" w:type="dxa"/>
            <w:vAlign w:val="center"/>
          </w:tcPr>
          <w:p w14:paraId="29B8A59A" w14:textId="77777777" w:rsidR="00577D08" w:rsidRDefault="00330FC0">
            <w:r>
              <w:t>成本法核算的长期股权投资收益</w:t>
            </w:r>
          </w:p>
        </w:tc>
        <w:tc>
          <w:tcPr>
            <w:tcW w:w="2692" w:type="dxa"/>
          </w:tcPr>
          <w:p w14:paraId="2BB5BD4B" w14:textId="77777777" w:rsidR="00577D08" w:rsidRDefault="00577D08">
            <w:pPr>
              <w:jc w:val="right"/>
            </w:pPr>
          </w:p>
        </w:tc>
        <w:tc>
          <w:tcPr>
            <w:tcW w:w="2703" w:type="dxa"/>
          </w:tcPr>
          <w:p w14:paraId="762BB07F" w14:textId="77777777" w:rsidR="00577D08" w:rsidRDefault="00330FC0">
            <w:pPr>
              <w:jc w:val="right"/>
            </w:pPr>
            <w:r>
              <w:t>6,907,019.15</w:t>
            </w:r>
          </w:p>
        </w:tc>
      </w:tr>
      <w:tr w:rsidR="00577D08" w14:paraId="3D633550" w14:textId="77777777">
        <w:tc>
          <w:tcPr>
            <w:tcW w:w="3652" w:type="dxa"/>
            <w:vAlign w:val="center"/>
          </w:tcPr>
          <w:p w14:paraId="1032930B" w14:textId="77777777" w:rsidR="00577D08" w:rsidRDefault="00330FC0">
            <w:r>
              <w:rPr>
                <w:rFonts w:hint="eastAsia"/>
              </w:rPr>
              <w:t>权益法核算的长期股权投资收益</w:t>
            </w:r>
          </w:p>
        </w:tc>
        <w:tc>
          <w:tcPr>
            <w:tcW w:w="2692" w:type="dxa"/>
          </w:tcPr>
          <w:p w14:paraId="7F3FC198" w14:textId="77777777" w:rsidR="00577D08" w:rsidRDefault="00330FC0">
            <w:pPr>
              <w:jc w:val="right"/>
            </w:pPr>
            <w:r>
              <w:t>-2,614,130.95</w:t>
            </w:r>
          </w:p>
        </w:tc>
        <w:tc>
          <w:tcPr>
            <w:tcW w:w="2703" w:type="dxa"/>
          </w:tcPr>
          <w:p w14:paraId="4BF2D1B0" w14:textId="77777777" w:rsidR="00577D08" w:rsidRDefault="00330FC0">
            <w:pPr>
              <w:jc w:val="right"/>
            </w:pPr>
            <w:r>
              <w:t>-524,873.05</w:t>
            </w:r>
          </w:p>
        </w:tc>
      </w:tr>
      <w:tr w:rsidR="00577D08" w14:paraId="0D243DC0" w14:textId="77777777">
        <w:tc>
          <w:tcPr>
            <w:tcW w:w="3652" w:type="dxa"/>
            <w:vAlign w:val="center"/>
          </w:tcPr>
          <w:p w14:paraId="220118E1" w14:textId="77777777" w:rsidR="00577D08" w:rsidRDefault="00330FC0">
            <w:r>
              <w:rPr>
                <w:rFonts w:hint="eastAsia"/>
              </w:rPr>
              <w:t>处置交易性金融资产取得的投资收益</w:t>
            </w:r>
          </w:p>
        </w:tc>
        <w:tc>
          <w:tcPr>
            <w:tcW w:w="2692" w:type="dxa"/>
          </w:tcPr>
          <w:p w14:paraId="1F2428E9" w14:textId="77777777" w:rsidR="00577D08" w:rsidRDefault="00330FC0">
            <w:pPr>
              <w:jc w:val="right"/>
            </w:pPr>
            <w:r>
              <w:t>70,897.54</w:t>
            </w:r>
          </w:p>
        </w:tc>
        <w:tc>
          <w:tcPr>
            <w:tcW w:w="2703" w:type="dxa"/>
          </w:tcPr>
          <w:p w14:paraId="49423CD3" w14:textId="77777777" w:rsidR="00577D08" w:rsidRDefault="00330FC0">
            <w:pPr>
              <w:jc w:val="right"/>
            </w:pPr>
            <w:r>
              <w:t>138,299.26</w:t>
            </w:r>
          </w:p>
        </w:tc>
      </w:tr>
      <w:tr w:rsidR="00577D08" w14:paraId="3CB3345B" w14:textId="77777777">
        <w:tc>
          <w:tcPr>
            <w:tcW w:w="3652" w:type="dxa"/>
            <w:vAlign w:val="center"/>
          </w:tcPr>
          <w:p w14:paraId="4261B316" w14:textId="77777777" w:rsidR="00577D08" w:rsidRDefault="00330FC0">
            <w:r>
              <w:rPr>
                <w:rFonts w:hint="eastAsia"/>
              </w:rPr>
              <w:t>贴现未到期票据终止确认贴现息</w:t>
            </w:r>
          </w:p>
        </w:tc>
        <w:tc>
          <w:tcPr>
            <w:tcW w:w="2692" w:type="dxa"/>
          </w:tcPr>
          <w:p w14:paraId="39201FA5" w14:textId="77777777" w:rsidR="00577D08" w:rsidRDefault="00330FC0">
            <w:pPr>
              <w:jc w:val="right"/>
            </w:pPr>
            <w:r>
              <w:t>-129,377.90</w:t>
            </w:r>
          </w:p>
        </w:tc>
        <w:tc>
          <w:tcPr>
            <w:tcW w:w="2703" w:type="dxa"/>
          </w:tcPr>
          <w:p w14:paraId="206ACFD0" w14:textId="77777777" w:rsidR="00577D08" w:rsidRDefault="00330FC0">
            <w:pPr>
              <w:jc w:val="right"/>
            </w:pPr>
            <w:r>
              <w:t>-111,023.38</w:t>
            </w:r>
          </w:p>
        </w:tc>
      </w:tr>
      <w:tr w:rsidR="00577D08" w14:paraId="4CC95DDD" w14:textId="77777777">
        <w:tc>
          <w:tcPr>
            <w:tcW w:w="3652" w:type="dxa"/>
            <w:vAlign w:val="center"/>
          </w:tcPr>
          <w:p w14:paraId="41EC6013" w14:textId="77777777" w:rsidR="00577D08" w:rsidRDefault="00330FC0">
            <w:pPr>
              <w:jc w:val="center"/>
            </w:pPr>
            <w:r>
              <w:rPr>
                <w:rFonts w:hint="eastAsia"/>
              </w:rPr>
              <w:t>合计</w:t>
            </w:r>
          </w:p>
        </w:tc>
        <w:tc>
          <w:tcPr>
            <w:tcW w:w="2692" w:type="dxa"/>
          </w:tcPr>
          <w:p w14:paraId="242E8AA7" w14:textId="77777777" w:rsidR="00577D08" w:rsidRDefault="00330FC0">
            <w:pPr>
              <w:jc w:val="right"/>
            </w:pPr>
            <w:r>
              <w:t>-2,672,611.31</w:t>
            </w:r>
          </w:p>
        </w:tc>
        <w:tc>
          <w:tcPr>
            <w:tcW w:w="2703" w:type="dxa"/>
          </w:tcPr>
          <w:p w14:paraId="2889E2AA" w14:textId="77777777" w:rsidR="00577D08" w:rsidRDefault="00330FC0">
            <w:pPr>
              <w:jc w:val="right"/>
            </w:pPr>
            <w:r>
              <w:t>6,409,421.98</w:t>
            </w:r>
          </w:p>
        </w:tc>
      </w:tr>
    </w:tbl>
    <w:p w14:paraId="6422B369" w14:textId="77777777" w:rsidR="00577D08" w:rsidRDefault="00330FC0">
      <w:pPr>
        <w:spacing w:line="360" w:lineRule="exact"/>
      </w:pPr>
      <w:bookmarkStart w:id="542" w:name="_Hlk10720480"/>
      <w:bookmarkEnd w:id="539"/>
      <w:bookmarkEnd w:id="541"/>
      <w:r>
        <w:rPr>
          <w:rFonts w:hint="eastAsia"/>
        </w:rPr>
        <w:t>其他说明：</w:t>
      </w:r>
      <w:bookmarkEnd w:id="542"/>
    </w:p>
    <w:sdt>
      <w:sdtPr>
        <w:alias w:val="投资收益说明"/>
        <w:tag w:val="_GBC_003661b91b5144cfbf329a4aeb060fe6"/>
        <w:id w:val="517505521"/>
        <w:placeholder>
          <w:docPart w:val="GBC22222222222222222222222222222"/>
        </w:placeholder>
      </w:sdtPr>
      <w:sdtContent>
        <w:p w14:paraId="2249B1F7" w14:textId="77777777" w:rsidR="00577D08" w:rsidRDefault="00330FC0">
          <w:r>
            <w:rPr>
              <w:rFonts w:hint="eastAsia"/>
            </w:rPr>
            <w:t>无</w:t>
          </w:r>
        </w:p>
      </w:sdtContent>
    </w:sdt>
    <w:bookmarkEnd w:id="540"/>
    <w:p w14:paraId="003D1D03" w14:textId="77777777" w:rsidR="00577D08" w:rsidRDefault="00330FC0">
      <w:pPr>
        <w:pStyle w:val="3"/>
        <w:numPr>
          <w:ilvl w:val="0"/>
          <w:numId w:val="125"/>
        </w:numPr>
        <w:rPr>
          <w:szCs w:val="21"/>
        </w:rPr>
      </w:pPr>
      <w:r>
        <w:rPr>
          <w:rFonts w:hint="eastAsia"/>
          <w:szCs w:val="21"/>
        </w:rPr>
        <w:t>其他</w:t>
      </w:r>
    </w:p>
    <w:sdt>
      <w:sdtPr>
        <w:rPr>
          <w:rFonts w:hint="eastAsia"/>
        </w:rPr>
        <w:alias w:val="是否适用：母公司会计报表附注的其他说明事项[双击切换]"/>
        <w:tag w:val="_GBC_da1bbbf487cd4e98b945920735517f12"/>
        <w:id w:val="1469244138"/>
        <w:placeholder>
          <w:docPart w:val="GBC22222222222222222222222222222"/>
        </w:placeholder>
      </w:sdtPr>
      <w:sdtContent>
        <w:p w14:paraId="438EAC1E"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6DE54C" w14:textId="77777777" w:rsidR="00577D08" w:rsidRDefault="00330FC0">
      <w:pPr>
        <w:pStyle w:val="2"/>
        <w:numPr>
          <w:ilvl w:val="0"/>
          <w:numId w:val="52"/>
        </w:numPr>
        <w:rPr>
          <w:rFonts w:ascii="宋体" w:hAnsi="宋体" w:hint="eastAsia"/>
        </w:rPr>
      </w:pPr>
      <w:r>
        <w:rPr>
          <w:rFonts w:ascii="宋体" w:hAnsi="宋体" w:hint="eastAsia"/>
        </w:rPr>
        <w:t>补充资料</w:t>
      </w:r>
    </w:p>
    <w:p w14:paraId="3A027A23" w14:textId="77777777" w:rsidR="00577D08" w:rsidRDefault="00330FC0">
      <w:pPr>
        <w:pStyle w:val="3"/>
        <w:numPr>
          <w:ilvl w:val="0"/>
          <w:numId w:val="132"/>
        </w:numPr>
        <w:rPr>
          <w:rFonts w:ascii="宋体" w:hAnsi="宋体" w:hint="eastAsia"/>
          <w:szCs w:val="21"/>
        </w:rPr>
      </w:pPr>
      <w:bookmarkStart w:id="543" w:name="_Hlk152579827"/>
      <w:bookmarkStart w:id="544" w:name="_Hlk535584690"/>
      <w:r>
        <w:rPr>
          <w:rFonts w:ascii="宋体" w:hAnsi="宋体" w:hint="eastAsia"/>
          <w:szCs w:val="21"/>
        </w:rPr>
        <w:t>当期非经常性损益明细表</w:t>
      </w:r>
    </w:p>
    <w:sdt>
      <w:sdtPr>
        <w:alias w:val="是否适用：当期非经常性损益明细表[双击切换]"/>
        <w:tag w:val="_GBC_b3c7aec730db408a9d46da725d5662b4"/>
        <w:id w:val="-809938368"/>
        <w:placeholder>
          <w:docPart w:val="GBC22222222222222222222222222222"/>
        </w:placeholder>
      </w:sdtPr>
      <w:sdtContent>
        <w:p w14:paraId="0C146F47"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6FDB31D" w14:textId="101AAC1A" w:rsidR="00577D08" w:rsidRDefault="00330FC0">
      <w:pPr>
        <w:jc w:val="right"/>
      </w:pPr>
      <w:r>
        <w:rPr>
          <w:rFonts w:hint="eastAsia"/>
        </w:rPr>
        <w:t>单位：</w:t>
      </w:r>
      <w:sdt>
        <w:sdtPr>
          <w:rPr>
            <w:rFonts w:hint="eastAsia"/>
          </w:rPr>
          <w:alias w:val="单位：扣除非经常性损益项目和金额"/>
          <w:tag w:val="_GBC_63d386bc1f1d45a9803caa6346ef271f"/>
          <w:id w:val="-1189668461"/>
          <w:placeholder>
            <w:docPart w:val="GBC22222222222222222222222222222"/>
          </w:placeholder>
          <w:dataBinding w:prefixMappings="xmlns:clcid-ci-ar='clcid-ci-ar'" w:xpath="/*/clcid-ci-ar:DanWeiKouChuFeiJingChangXingSunYiXiangMuHeJinE[not(@periodRef)]" w:storeItemID="{89EBAB94-44A0-46A2-B712-30D997D04A6D}"/>
          <w:comboBox w:lastValue="万元 ">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r w:rsidR="00CC5C32">
            <w:rPr>
              <w:rFonts w:hint="eastAsia"/>
            </w:rPr>
            <w:t xml:space="preserve"> </w:t>
          </w:r>
        </w:sdtContent>
      </w:sdt>
      <w:r>
        <w:rPr>
          <w:rFonts w:hint="eastAsia"/>
        </w:rPr>
        <w:t>币种：</w:t>
      </w:r>
      <w:sdt>
        <w:sdtPr>
          <w:rPr>
            <w:rFonts w:hint="eastAsia"/>
          </w:rPr>
          <w:alias w:val="币种：扣除非经常性损益项目和金额"/>
          <w:tag w:val="_GBC_fb530451edb743d2bcc0dacb892d672d"/>
          <w:id w:val="1609082327"/>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4477"/>
        <w:gridCol w:w="2188"/>
        <w:gridCol w:w="2376"/>
      </w:tblGrid>
      <w:tr w:rsidR="00577D08" w14:paraId="56315992" w14:textId="77777777">
        <w:sdt>
          <w:sdtPr>
            <w:tag w:val="_PLD_f2882777d10a4346880b6d11ab006214"/>
            <w:id w:val="-1883237968"/>
          </w:sdtPr>
          <w:sdtContent>
            <w:tc>
              <w:tcPr>
                <w:tcW w:w="4477" w:type="dxa"/>
                <w:vAlign w:val="center"/>
              </w:tcPr>
              <w:p w14:paraId="4DCD1B7A" w14:textId="77777777" w:rsidR="00577D08" w:rsidRDefault="00330FC0">
                <w:pPr>
                  <w:pStyle w:val="aff9"/>
                  <w:ind w:firstLineChars="0" w:firstLine="0"/>
                  <w:jc w:val="center"/>
                  <w:rPr>
                    <w:rFonts w:ascii="宋体" w:hAnsi="宋体" w:hint="eastAsia"/>
                    <w:szCs w:val="21"/>
                  </w:rPr>
                </w:pPr>
                <w:r>
                  <w:rPr>
                    <w:rFonts w:ascii="宋体" w:hAnsi="宋体" w:hint="eastAsia"/>
                    <w:szCs w:val="21"/>
                  </w:rPr>
                  <w:t>项目</w:t>
                </w:r>
              </w:p>
            </w:tc>
          </w:sdtContent>
        </w:sdt>
        <w:sdt>
          <w:sdtPr>
            <w:tag w:val="_PLD_1f5c769dc7ea434a90d739329712e1ed"/>
            <w:id w:val="-402057706"/>
          </w:sdtPr>
          <w:sdtContent>
            <w:tc>
              <w:tcPr>
                <w:tcW w:w="2188" w:type="dxa"/>
                <w:vAlign w:val="center"/>
              </w:tcPr>
              <w:p w14:paraId="50A3FD26" w14:textId="77777777" w:rsidR="00577D08" w:rsidRDefault="00330FC0">
                <w:pPr>
                  <w:pStyle w:val="aff9"/>
                  <w:ind w:firstLineChars="0" w:firstLine="0"/>
                  <w:jc w:val="center"/>
                  <w:rPr>
                    <w:rFonts w:ascii="宋体" w:hAnsi="宋体" w:hint="eastAsia"/>
                    <w:szCs w:val="21"/>
                  </w:rPr>
                </w:pPr>
                <w:r>
                  <w:rPr>
                    <w:rFonts w:ascii="宋体" w:hAnsi="宋体" w:hint="eastAsia"/>
                    <w:szCs w:val="21"/>
                  </w:rPr>
                  <w:t>金额</w:t>
                </w:r>
              </w:p>
            </w:tc>
          </w:sdtContent>
        </w:sdt>
        <w:sdt>
          <w:sdtPr>
            <w:tag w:val="_PLD_e78492b22a7c4b8aa4989eb26eb4c98c"/>
            <w:id w:val="-1983385271"/>
          </w:sdtPr>
          <w:sdtContent>
            <w:tc>
              <w:tcPr>
                <w:tcW w:w="2376" w:type="dxa"/>
                <w:vAlign w:val="center"/>
              </w:tcPr>
              <w:p w14:paraId="3E336EE0" w14:textId="77777777" w:rsidR="00577D08" w:rsidRDefault="00330FC0">
                <w:pPr>
                  <w:pStyle w:val="aff9"/>
                  <w:ind w:firstLineChars="0" w:firstLine="0"/>
                  <w:jc w:val="center"/>
                  <w:rPr>
                    <w:rFonts w:ascii="宋体" w:hAnsi="宋体" w:hint="eastAsia"/>
                    <w:szCs w:val="21"/>
                  </w:rPr>
                </w:pPr>
                <w:r>
                  <w:rPr>
                    <w:rFonts w:ascii="宋体" w:hAnsi="宋体" w:hint="eastAsia"/>
                    <w:szCs w:val="21"/>
                  </w:rPr>
                  <w:t>说明</w:t>
                </w:r>
              </w:p>
            </w:tc>
          </w:sdtContent>
        </w:sdt>
      </w:tr>
      <w:tr w:rsidR="00577D08" w14:paraId="230BFDF7" w14:textId="77777777">
        <w:tc>
          <w:tcPr>
            <w:tcW w:w="4477" w:type="dxa"/>
            <w:vAlign w:val="center"/>
          </w:tcPr>
          <w:p w14:paraId="3E4619D8" w14:textId="77777777" w:rsidR="00577D08" w:rsidRDefault="00330FC0">
            <w:pPr>
              <w:pStyle w:val="aff9"/>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2188" w:type="dxa"/>
            <w:vAlign w:val="center"/>
          </w:tcPr>
          <w:p w14:paraId="225A4B36" w14:textId="77777777" w:rsidR="00577D08" w:rsidRDefault="00330FC0">
            <w:pPr>
              <w:jc w:val="right"/>
            </w:pPr>
            <w:r>
              <w:t>-41.15</w:t>
            </w:r>
          </w:p>
        </w:tc>
        <w:tc>
          <w:tcPr>
            <w:tcW w:w="2376" w:type="dxa"/>
            <w:vAlign w:val="center"/>
          </w:tcPr>
          <w:p w14:paraId="7D0424FD" w14:textId="77777777" w:rsidR="00577D08" w:rsidRDefault="00330FC0">
            <w:r>
              <w:rPr>
                <w:rFonts w:hint="eastAsia"/>
              </w:rPr>
              <w:t xml:space="preserve">　</w:t>
            </w:r>
          </w:p>
        </w:tc>
      </w:tr>
      <w:tr w:rsidR="00577D08" w14:paraId="108710D8" w14:textId="77777777">
        <w:tc>
          <w:tcPr>
            <w:tcW w:w="4477" w:type="dxa"/>
            <w:vAlign w:val="center"/>
          </w:tcPr>
          <w:p w14:paraId="1E1AB08B" w14:textId="77777777" w:rsidR="00577D08" w:rsidRDefault="00330FC0">
            <w:pPr>
              <w:pStyle w:val="aff9"/>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2188" w:type="dxa"/>
            <w:vAlign w:val="center"/>
          </w:tcPr>
          <w:p w14:paraId="00F386BD" w14:textId="77777777" w:rsidR="00577D08" w:rsidRDefault="00330FC0">
            <w:pPr>
              <w:jc w:val="right"/>
            </w:pPr>
            <w:r>
              <w:t>1,544.70</w:t>
            </w:r>
          </w:p>
        </w:tc>
        <w:tc>
          <w:tcPr>
            <w:tcW w:w="2376" w:type="dxa"/>
            <w:vAlign w:val="center"/>
          </w:tcPr>
          <w:p w14:paraId="1984A3A8" w14:textId="77777777" w:rsidR="00577D08" w:rsidRDefault="00330FC0">
            <w:r>
              <w:rPr>
                <w:rFonts w:hint="eastAsia"/>
              </w:rPr>
              <w:t xml:space="preserve">　</w:t>
            </w:r>
          </w:p>
        </w:tc>
      </w:tr>
      <w:tr w:rsidR="00577D08" w14:paraId="46AB0527" w14:textId="77777777">
        <w:tc>
          <w:tcPr>
            <w:tcW w:w="4477" w:type="dxa"/>
            <w:vAlign w:val="center"/>
          </w:tcPr>
          <w:p w14:paraId="289DDEE9" w14:textId="77777777" w:rsidR="00577D08" w:rsidRDefault="00330FC0">
            <w:pPr>
              <w:pStyle w:val="aff9"/>
              <w:ind w:firstLineChars="0" w:firstLine="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2188" w:type="dxa"/>
            <w:vAlign w:val="center"/>
          </w:tcPr>
          <w:p w14:paraId="4B7D67D3" w14:textId="77777777" w:rsidR="00577D08" w:rsidRDefault="00330FC0">
            <w:pPr>
              <w:jc w:val="right"/>
            </w:pPr>
            <w:r>
              <w:t>118.75</w:t>
            </w:r>
          </w:p>
        </w:tc>
        <w:tc>
          <w:tcPr>
            <w:tcW w:w="2376" w:type="dxa"/>
            <w:vAlign w:val="center"/>
          </w:tcPr>
          <w:p w14:paraId="2504DD50" w14:textId="77777777" w:rsidR="00577D08" w:rsidRDefault="00330FC0">
            <w:r>
              <w:rPr>
                <w:rFonts w:hint="eastAsia"/>
              </w:rPr>
              <w:t xml:space="preserve">　</w:t>
            </w:r>
          </w:p>
        </w:tc>
      </w:tr>
      <w:tr w:rsidR="00577D08" w14:paraId="05F2F48F" w14:textId="77777777">
        <w:tc>
          <w:tcPr>
            <w:tcW w:w="4477" w:type="dxa"/>
            <w:vAlign w:val="center"/>
          </w:tcPr>
          <w:p w14:paraId="29F180C3" w14:textId="77777777" w:rsidR="00577D08" w:rsidRDefault="00330FC0">
            <w:pPr>
              <w:pStyle w:val="aff9"/>
              <w:ind w:firstLineChars="0" w:firstLine="0"/>
              <w:jc w:val="left"/>
              <w:rPr>
                <w:szCs w:val="21"/>
              </w:rPr>
            </w:pPr>
            <w:r>
              <w:rPr>
                <w:szCs w:val="21"/>
              </w:rPr>
              <w:t>计入当期损益的对非金融企业收取的资金占用费</w:t>
            </w:r>
          </w:p>
        </w:tc>
        <w:tc>
          <w:tcPr>
            <w:tcW w:w="2188" w:type="dxa"/>
            <w:vAlign w:val="center"/>
          </w:tcPr>
          <w:p w14:paraId="30E57948" w14:textId="77777777" w:rsidR="00577D08" w:rsidRDefault="00577D08">
            <w:pPr>
              <w:jc w:val="right"/>
            </w:pPr>
          </w:p>
        </w:tc>
        <w:tc>
          <w:tcPr>
            <w:tcW w:w="2376" w:type="dxa"/>
            <w:vAlign w:val="center"/>
          </w:tcPr>
          <w:p w14:paraId="6E6A7AB9" w14:textId="77777777" w:rsidR="00577D08" w:rsidRDefault="00330FC0">
            <w:r>
              <w:rPr>
                <w:rFonts w:hint="eastAsia"/>
              </w:rPr>
              <w:t xml:space="preserve">　</w:t>
            </w:r>
          </w:p>
        </w:tc>
      </w:tr>
      <w:tr w:rsidR="00577D08" w14:paraId="5FEFE748" w14:textId="77777777">
        <w:tc>
          <w:tcPr>
            <w:tcW w:w="4477" w:type="dxa"/>
            <w:vAlign w:val="center"/>
          </w:tcPr>
          <w:p w14:paraId="549CD469" w14:textId="77777777" w:rsidR="00577D08" w:rsidRDefault="00330FC0">
            <w:pPr>
              <w:pStyle w:val="aff9"/>
              <w:ind w:firstLineChars="0" w:firstLine="0"/>
              <w:jc w:val="left"/>
              <w:rPr>
                <w:szCs w:val="21"/>
              </w:rPr>
            </w:pPr>
            <w:r>
              <w:rPr>
                <w:szCs w:val="21"/>
              </w:rPr>
              <w:t>委托他人投资或管理资产的损益</w:t>
            </w:r>
          </w:p>
        </w:tc>
        <w:tc>
          <w:tcPr>
            <w:tcW w:w="2188" w:type="dxa"/>
            <w:vAlign w:val="center"/>
          </w:tcPr>
          <w:p w14:paraId="1F8D9E68" w14:textId="77777777" w:rsidR="00577D08" w:rsidRDefault="00577D08">
            <w:pPr>
              <w:jc w:val="right"/>
            </w:pPr>
          </w:p>
        </w:tc>
        <w:tc>
          <w:tcPr>
            <w:tcW w:w="2376" w:type="dxa"/>
            <w:vAlign w:val="center"/>
          </w:tcPr>
          <w:p w14:paraId="1702C297" w14:textId="77777777" w:rsidR="00577D08" w:rsidRDefault="00330FC0">
            <w:r>
              <w:rPr>
                <w:rFonts w:hint="eastAsia"/>
              </w:rPr>
              <w:t xml:space="preserve">　</w:t>
            </w:r>
          </w:p>
        </w:tc>
      </w:tr>
      <w:tr w:rsidR="00577D08" w14:paraId="7B781AF7" w14:textId="77777777">
        <w:tc>
          <w:tcPr>
            <w:tcW w:w="4477" w:type="dxa"/>
            <w:vAlign w:val="center"/>
          </w:tcPr>
          <w:p w14:paraId="1188997D" w14:textId="77777777" w:rsidR="00577D08" w:rsidRDefault="00330FC0">
            <w:pPr>
              <w:pStyle w:val="aff9"/>
              <w:ind w:firstLineChars="0" w:firstLine="0"/>
              <w:jc w:val="left"/>
              <w:rPr>
                <w:szCs w:val="21"/>
              </w:rPr>
            </w:pPr>
            <w:r>
              <w:rPr>
                <w:szCs w:val="21"/>
              </w:rPr>
              <w:t>对外委托贷款取得的损益</w:t>
            </w:r>
          </w:p>
        </w:tc>
        <w:tc>
          <w:tcPr>
            <w:tcW w:w="2188" w:type="dxa"/>
            <w:vAlign w:val="center"/>
          </w:tcPr>
          <w:p w14:paraId="40750C34" w14:textId="77777777" w:rsidR="00577D08" w:rsidRDefault="00577D08">
            <w:pPr>
              <w:jc w:val="right"/>
            </w:pPr>
          </w:p>
        </w:tc>
        <w:tc>
          <w:tcPr>
            <w:tcW w:w="2376" w:type="dxa"/>
            <w:vAlign w:val="center"/>
          </w:tcPr>
          <w:p w14:paraId="6561FEC8" w14:textId="77777777" w:rsidR="00577D08" w:rsidRDefault="00330FC0">
            <w:r>
              <w:rPr>
                <w:rFonts w:hint="eastAsia"/>
              </w:rPr>
              <w:t xml:space="preserve">　</w:t>
            </w:r>
          </w:p>
        </w:tc>
      </w:tr>
      <w:tr w:rsidR="00577D08" w14:paraId="3F9D9473" w14:textId="77777777">
        <w:tc>
          <w:tcPr>
            <w:tcW w:w="4477" w:type="dxa"/>
            <w:vAlign w:val="center"/>
          </w:tcPr>
          <w:p w14:paraId="49AF6D8A" w14:textId="77777777" w:rsidR="00577D08" w:rsidRDefault="00330FC0">
            <w:pPr>
              <w:pStyle w:val="aff9"/>
              <w:ind w:firstLineChars="0" w:firstLine="0"/>
              <w:jc w:val="left"/>
              <w:rPr>
                <w:szCs w:val="21"/>
              </w:rPr>
            </w:pPr>
            <w:r>
              <w:rPr>
                <w:szCs w:val="21"/>
              </w:rPr>
              <w:t>因不可抗力因</w:t>
            </w:r>
            <w:r>
              <w:rPr>
                <w:rFonts w:hint="eastAsia"/>
                <w:szCs w:val="21"/>
              </w:rPr>
              <w:t>素，如遭受自然灾害而产生的各项资产损失</w:t>
            </w:r>
          </w:p>
        </w:tc>
        <w:tc>
          <w:tcPr>
            <w:tcW w:w="2188" w:type="dxa"/>
            <w:vAlign w:val="center"/>
          </w:tcPr>
          <w:p w14:paraId="6A0A320E" w14:textId="77777777" w:rsidR="00577D08" w:rsidRDefault="00577D08">
            <w:pPr>
              <w:jc w:val="right"/>
            </w:pPr>
          </w:p>
        </w:tc>
        <w:tc>
          <w:tcPr>
            <w:tcW w:w="2376" w:type="dxa"/>
            <w:vAlign w:val="center"/>
          </w:tcPr>
          <w:p w14:paraId="242F24A5" w14:textId="77777777" w:rsidR="00577D08" w:rsidRDefault="00330FC0">
            <w:r>
              <w:rPr>
                <w:rFonts w:hint="eastAsia"/>
              </w:rPr>
              <w:t xml:space="preserve">　</w:t>
            </w:r>
          </w:p>
        </w:tc>
      </w:tr>
      <w:tr w:rsidR="00577D08" w14:paraId="6D72B3C7" w14:textId="77777777">
        <w:tc>
          <w:tcPr>
            <w:tcW w:w="4477" w:type="dxa"/>
            <w:vAlign w:val="center"/>
          </w:tcPr>
          <w:p w14:paraId="1B54D6B2" w14:textId="77777777" w:rsidR="00577D08" w:rsidRDefault="00330FC0">
            <w:pPr>
              <w:pStyle w:val="aff9"/>
              <w:ind w:firstLineChars="0" w:firstLine="0"/>
              <w:jc w:val="left"/>
            </w:pPr>
            <w:r>
              <w:rPr>
                <w:rFonts w:hint="eastAsia"/>
              </w:rPr>
              <w:t>单独进行减值测试的应收款项减值准备转回</w:t>
            </w:r>
          </w:p>
        </w:tc>
        <w:tc>
          <w:tcPr>
            <w:tcW w:w="2188" w:type="dxa"/>
            <w:vAlign w:val="center"/>
          </w:tcPr>
          <w:p w14:paraId="20BD391E" w14:textId="77777777" w:rsidR="00577D08" w:rsidRDefault="00330FC0">
            <w:pPr>
              <w:jc w:val="right"/>
            </w:pPr>
            <w:r>
              <w:t>52.23</w:t>
            </w:r>
          </w:p>
        </w:tc>
        <w:tc>
          <w:tcPr>
            <w:tcW w:w="2376" w:type="dxa"/>
            <w:vAlign w:val="center"/>
          </w:tcPr>
          <w:p w14:paraId="1644EE32" w14:textId="77777777" w:rsidR="00577D08" w:rsidRDefault="00330FC0">
            <w:r>
              <w:rPr>
                <w:rFonts w:hint="eastAsia"/>
              </w:rPr>
              <w:t xml:space="preserve">　</w:t>
            </w:r>
          </w:p>
        </w:tc>
      </w:tr>
      <w:tr w:rsidR="00577D08" w14:paraId="74AA7183" w14:textId="77777777">
        <w:tc>
          <w:tcPr>
            <w:tcW w:w="4477" w:type="dxa"/>
            <w:vAlign w:val="center"/>
          </w:tcPr>
          <w:p w14:paraId="6467BB4C" w14:textId="77777777" w:rsidR="00577D08" w:rsidRDefault="00330FC0">
            <w:pPr>
              <w:pStyle w:val="aff9"/>
              <w:ind w:firstLineChars="0" w:firstLine="0"/>
              <w:jc w:val="left"/>
              <w:rPr>
                <w:szCs w:val="21"/>
              </w:rPr>
            </w:pPr>
            <w:r>
              <w:rPr>
                <w:szCs w:val="21"/>
              </w:rPr>
              <w:t>企业取得子公司、联营企业及合营企业的投资成本小于取得投资时应享有被投资单位可辨认净资产公允价值产生的收益</w:t>
            </w:r>
          </w:p>
        </w:tc>
        <w:tc>
          <w:tcPr>
            <w:tcW w:w="2188" w:type="dxa"/>
            <w:vAlign w:val="center"/>
          </w:tcPr>
          <w:p w14:paraId="7A8942EC" w14:textId="77777777" w:rsidR="00577D08" w:rsidRDefault="00577D08">
            <w:pPr>
              <w:jc w:val="right"/>
            </w:pPr>
          </w:p>
        </w:tc>
        <w:tc>
          <w:tcPr>
            <w:tcW w:w="2376" w:type="dxa"/>
            <w:vAlign w:val="center"/>
          </w:tcPr>
          <w:p w14:paraId="7ED962A6" w14:textId="77777777" w:rsidR="00577D08" w:rsidRDefault="00330FC0">
            <w:r>
              <w:rPr>
                <w:rFonts w:hint="eastAsia"/>
              </w:rPr>
              <w:t xml:space="preserve">　</w:t>
            </w:r>
          </w:p>
        </w:tc>
      </w:tr>
      <w:tr w:rsidR="00577D08" w14:paraId="0E3A66A6" w14:textId="77777777">
        <w:tc>
          <w:tcPr>
            <w:tcW w:w="4477" w:type="dxa"/>
            <w:vAlign w:val="center"/>
          </w:tcPr>
          <w:p w14:paraId="49D1AE7E" w14:textId="77777777" w:rsidR="00577D08" w:rsidRDefault="00330FC0">
            <w:pPr>
              <w:pStyle w:val="aff9"/>
              <w:ind w:firstLineChars="0" w:firstLine="0"/>
              <w:jc w:val="left"/>
              <w:rPr>
                <w:szCs w:val="21"/>
              </w:rPr>
            </w:pPr>
            <w:r>
              <w:rPr>
                <w:szCs w:val="21"/>
              </w:rPr>
              <w:t>同一控制下企业合并产生的子公司期初至合并日的当期净损益</w:t>
            </w:r>
          </w:p>
        </w:tc>
        <w:tc>
          <w:tcPr>
            <w:tcW w:w="2188" w:type="dxa"/>
            <w:vAlign w:val="center"/>
          </w:tcPr>
          <w:p w14:paraId="0C1FF403" w14:textId="77777777" w:rsidR="00577D08" w:rsidRDefault="00577D08">
            <w:pPr>
              <w:jc w:val="right"/>
            </w:pPr>
          </w:p>
        </w:tc>
        <w:tc>
          <w:tcPr>
            <w:tcW w:w="2376" w:type="dxa"/>
            <w:vAlign w:val="center"/>
          </w:tcPr>
          <w:p w14:paraId="40E0E192" w14:textId="77777777" w:rsidR="00577D08" w:rsidRDefault="00330FC0">
            <w:r>
              <w:rPr>
                <w:rFonts w:hint="eastAsia"/>
              </w:rPr>
              <w:t xml:space="preserve">　</w:t>
            </w:r>
          </w:p>
        </w:tc>
      </w:tr>
      <w:tr w:rsidR="00577D08" w14:paraId="546D1577" w14:textId="77777777">
        <w:tc>
          <w:tcPr>
            <w:tcW w:w="4477" w:type="dxa"/>
            <w:vAlign w:val="center"/>
          </w:tcPr>
          <w:p w14:paraId="7180A227" w14:textId="77777777" w:rsidR="00577D08" w:rsidRDefault="00330FC0">
            <w:pPr>
              <w:pStyle w:val="aff9"/>
              <w:ind w:firstLineChars="0" w:firstLine="0"/>
              <w:jc w:val="left"/>
              <w:rPr>
                <w:szCs w:val="21"/>
              </w:rPr>
            </w:pPr>
            <w:r>
              <w:rPr>
                <w:szCs w:val="21"/>
              </w:rPr>
              <w:t>非货币性资产交换损益</w:t>
            </w:r>
          </w:p>
        </w:tc>
        <w:tc>
          <w:tcPr>
            <w:tcW w:w="2188" w:type="dxa"/>
            <w:vAlign w:val="center"/>
          </w:tcPr>
          <w:p w14:paraId="6ED9A6AE" w14:textId="77777777" w:rsidR="00577D08" w:rsidRDefault="00577D08">
            <w:pPr>
              <w:jc w:val="right"/>
            </w:pPr>
          </w:p>
        </w:tc>
        <w:tc>
          <w:tcPr>
            <w:tcW w:w="2376" w:type="dxa"/>
            <w:vAlign w:val="center"/>
          </w:tcPr>
          <w:p w14:paraId="2EDC4C6F" w14:textId="77777777" w:rsidR="00577D08" w:rsidRDefault="00330FC0">
            <w:r>
              <w:rPr>
                <w:rFonts w:hint="eastAsia"/>
              </w:rPr>
              <w:t xml:space="preserve">　</w:t>
            </w:r>
          </w:p>
        </w:tc>
      </w:tr>
      <w:tr w:rsidR="00577D08" w14:paraId="0DC28594" w14:textId="77777777">
        <w:tc>
          <w:tcPr>
            <w:tcW w:w="4477" w:type="dxa"/>
            <w:vAlign w:val="center"/>
          </w:tcPr>
          <w:p w14:paraId="77DD5995" w14:textId="77777777" w:rsidR="00577D08" w:rsidRDefault="00330FC0">
            <w:pPr>
              <w:pStyle w:val="aff9"/>
              <w:ind w:firstLineChars="0" w:firstLine="0"/>
              <w:jc w:val="left"/>
              <w:rPr>
                <w:szCs w:val="21"/>
              </w:rPr>
            </w:pPr>
            <w:r>
              <w:rPr>
                <w:szCs w:val="21"/>
              </w:rPr>
              <w:t>债务重组损益</w:t>
            </w:r>
          </w:p>
        </w:tc>
        <w:tc>
          <w:tcPr>
            <w:tcW w:w="2188" w:type="dxa"/>
            <w:vAlign w:val="center"/>
          </w:tcPr>
          <w:p w14:paraId="01C2A3CA" w14:textId="77777777" w:rsidR="00577D08" w:rsidRDefault="00577D08">
            <w:pPr>
              <w:jc w:val="right"/>
            </w:pPr>
          </w:p>
        </w:tc>
        <w:tc>
          <w:tcPr>
            <w:tcW w:w="2376" w:type="dxa"/>
            <w:vAlign w:val="center"/>
          </w:tcPr>
          <w:p w14:paraId="23123D33" w14:textId="77777777" w:rsidR="00577D08" w:rsidRDefault="00330FC0">
            <w:r>
              <w:rPr>
                <w:rFonts w:hint="eastAsia"/>
              </w:rPr>
              <w:t xml:space="preserve">　</w:t>
            </w:r>
          </w:p>
        </w:tc>
      </w:tr>
      <w:tr w:rsidR="00577D08" w14:paraId="5F816724" w14:textId="77777777">
        <w:tc>
          <w:tcPr>
            <w:tcW w:w="4477" w:type="dxa"/>
            <w:vAlign w:val="center"/>
          </w:tcPr>
          <w:p w14:paraId="7A8B4425" w14:textId="77777777" w:rsidR="00577D08" w:rsidRDefault="00330FC0">
            <w:pPr>
              <w:pStyle w:val="aff9"/>
              <w:ind w:firstLineChars="0" w:firstLine="0"/>
              <w:jc w:val="left"/>
              <w:rPr>
                <w:szCs w:val="21"/>
              </w:rPr>
            </w:pPr>
            <w:r>
              <w:rPr>
                <w:szCs w:val="21"/>
              </w:rPr>
              <w:t>企业</w:t>
            </w:r>
            <w:r>
              <w:rPr>
                <w:rFonts w:hint="eastAsia"/>
                <w:szCs w:val="21"/>
              </w:rPr>
              <w:t>因相关经营活动不再持续而发生的一次性费用，如安置职工的支出等</w:t>
            </w:r>
          </w:p>
        </w:tc>
        <w:tc>
          <w:tcPr>
            <w:tcW w:w="2188" w:type="dxa"/>
            <w:vAlign w:val="center"/>
          </w:tcPr>
          <w:p w14:paraId="4BC24749" w14:textId="77777777" w:rsidR="00577D08" w:rsidRDefault="00577D08">
            <w:pPr>
              <w:jc w:val="right"/>
            </w:pPr>
          </w:p>
        </w:tc>
        <w:tc>
          <w:tcPr>
            <w:tcW w:w="2376" w:type="dxa"/>
            <w:vAlign w:val="center"/>
          </w:tcPr>
          <w:p w14:paraId="7735A17E" w14:textId="77777777" w:rsidR="00577D08" w:rsidRDefault="00330FC0">
            <w:r>
              <w:rPr>
                <w:rFonts w:hint="eastAsia"/>
              </w:rPr>
              <w:t xml:space="preserve">　</w:t>
            </w:r>
          </w:p>
        </w:tc>
      </w:tr>
      <w:tr w:rsidR="00577D08" w14:paraId="44E53903" w14:textId="77777777">
        <w:tc>
          <w:tcPr>
            <w:tcW w:w="4477" w:type="dxa"/>
            <w:vAlign w:val="center"/>
          </w:tcPr>
          <w:p w14:paraId="025EC066" w14:textId="77777777" w:rsidR="00577D08" w:rsidRDefault="00330FC0">
            <w:pPr>
              <w:pStyle w:val="aff9"/>
              <w:ind w:firstLineChars="0" w:firstLine="0"/>
              <w:jc w:val="left"/>
              <w:rPr>
                <w:szCs w:val="21"/>
              </w:rPr>
            </w:pPr>
            <w:r>
              <w:rPr>
                <w:szCs w:val="21"/>
              </w:rPr>
              <w:t>因税收、会计等法律、法规</w:t>
            </w:r>
            <w:r>
              <w:rPr>
                <w:rFonts w:hint="eastAsia"/>
                <w:szCs w:val="21"/>
              </w:rPr>
              <w:t>的调整对当期损益产生的一次性影响</w:t>
            </w:r>
          </w:p>
        </w:tc>
        <w:tc>
          <w:tcPr>
            <w:tcW w:w="2188" w:type="dxa"/>
            <w:vAlign w:val="center"/>
          </w:tcPr>
          <w:p w14:paraId="0807C740" w14:textId="77777777" w:rsidR="00577D08" w:rsidRDefault="00577D08">
            <w:pPr>
              <w:jc w:val="right"/>
            </w:pPr>
          </w:p>
        </w:tc>
        <w:tc>
          <w:tcPr>
            <w:tcW w:w="2376" w:type="dxa"/>
            <w:vAlign w:val="center"/>
          </w:tcPr>
          <w:p w14:paraId="2D738C97" w14:textId="77777777" w:rsidR="00577D08" w:rsidRDefault="00330FC0">
            <w:r>
              <w:rPr>
                <w:rFonts w:hint="eastAsia"/>
              </w:rPr>
              <w:t xml:space="preserve">　</w:t>
            </w:r>
          </w:p>
        </w:tc>
      </w:tr>
      <w:tr w:rsidR="00577D08" w14:paraId="6A9D31F1" w14:textId="77777777">
        <w:tc>
          <w:tcPr>
            <w:tcW w:w="4477" w:type="dxa"/>
            <w:vAlign w:val="center"/>
          </w:tcPr>
          <w:p w14:paraId="28C91394" w14:textId="77777777" w:rsidR="00577D08" w:rsidRDefault="00330FC0">
            <w:pPr>
              <w:pStyle w:val="aff9"/>
              <w:ind w:firstLineChars="0" w:firstLine="0"/>
              <w:jc w:val="left"/>
            </w:pPr>
            <w:r>
              <w:t>因取消、修改股权激励计划一次性确认的股份支付费用</w:t>
            </w:r>
          </w:p>
        </w:tc>
        <w:tc>
          <w:tcPr>
            <w:tcW w:w="2188" w:type="dxa"/>
            <w:vAlign w:val="center"/>
          </w:tcPr>
          <w:p w14:paraId="4500CAB7" w14:textId="77777777" w:rsidR="00577D08" w:rsidRDefault="00330FC0">
            <w:pPr>
              <w:jc w:val="right"/>
            </w:pPr>
            <w:r>
              <w:t>-686.08</w:t>
            </w:r>
          </w:p>
        </w:tc>
        <w:tc>
          <w:tcPr>
            <w:tcW w:w="2376" w:type="dxa"/>
            <w:vAlign w:val="center"/>
          </w:tcPr>
          <w:p w14:paraId="4A6D9FED" w14:textId="77777777" w:rsidR="00577D08" w:rsidRDefault="00577D08"/>
        </w:tc>
      </w:tr>
      <w:tr w:rsidR="00577D08" w14:paraId="597BBB65" w14:textId="77777777">
        <w:tc>
          <w:tcPr>
            <w:tcW w:w="4477" w:type="dxa"/>
            <w:vAlign w:val="center"/>
          </w:tcPr>
          <w:p w14:paraId="2B91EB81" w14:textId="77777777" w:rsidR="00577D08" w:rsidRDefault="00330FC0">
            <w:pPr>
              <w:pStyle w:val="aff9"/>
              <w:ind w:firstLineChars="0" w:firstLine="0"/>
              <w:jc w:val="left"/>
            </w:pPr>
            <w:r>
              <w:t>对于现金结算的股份支付，在可行权日之后，应付职工薪酬的公允价值变动产生的损益</w:t>
            </w:r>
          </w:p>
        </w:tc>
        <w:tc>
          <w:tcPr>
            <w:tcW w:w="2188" w:type="dxa"/>
            <w:vAlign w:val="center"/>
          </w:tcPr>
          <w:p w14:paraId="18047E7F" w14:textId="77777777" w:rsidR="00577D08" w:rsidRDefault="00577D08">
            <w:pPr>
              <w:jc w:val="right"/>
            </w:pPr>
          </w:p>
        </w:tc>
        <w:tc>
          <w:tcPr>
            <w:tcW w:w="2376" w:type="dxa"/>
            <w:vAlign w:val="center"/>
          </w:tcPr>
          <w:p w14:paraId="7F757E50" w14:textId="77777777" w:rsidR="00577D08" w:rsidRDefault="00577D08"/>
        </w:tc>
      </w:tr>
      <w:tr w:rsidR="00577D08" w14:paraId="33151F9E" w14:textId="77777777">
        <w:tc>
          <w:tcPr>
            <w:tcW w:w="4477" w:type="dxa"/>
            <w:vAlign w:val="center"/>
          </w:tcPr>
          <w:p w14:paraId="7AD1071A" w14:textId="77777777" w:rsidR="00577D08" w:rsidRDefault="00330FC0">
            <w:pPr>
              <w:pStyle w:val="aff9"/>
              <w:ind w:firstLineChars="0" w:firstLine="0"/>
              <w:jc w:val="left"/>
              <w:rPr>
                <w:szCs w:val="21"/>
              </w:rPr>
            </w:pPr>
            <w:r>
              <w:rPr>
                <w:szCs w:val="21"/>
              </w:rPr>
              <w:t>采用公允价值模式进行后续计量的投资性房地产公允价值变动产生的损益</w:t>
            </w:r>
          </w:p>
        </w:tc>
        <w:tc>
          <w:tcPr>
            <w:tcW w:w="2188" w:type="dxa"/>
            <w:vAlign w:val="center"/>
          </w:tcPr>
          <w:p w14:paraId="400A627D" w14:textId="77777777" w:rsidR="00577D08" w:rsidRDefault="00577D08">
            <w:pPr>
              <w:jc w:val="right"/>
            </w:pPr>
          </w:p>
        </w:tc>
        <w:tc>
          <w:tcPr>
            <w:tcW w:w="2376" w:type="dxa"/>
            <w:vAlign w:val="center"/>
          </w:tcPr>
          <w:p w14:paraId="69711A91" w14:textId="77777777" w:rsidR="00577D08" w:rsidRDefault="00330FC0">
            <w:r>
              <w:rPr>
                <w:rFonts w:hint="eastAsia"/>
              </w:rPr>
              <w:t xml:space="preserve">　</w:t>
            </w:r>
          </w:p>
        </w:tc>
      </w:tr>
      <w:tr w:rsidR="00577D08" w14:paraId="69179113" w14:textId="77777777">
        <w:tc>
          <w:tcPr>
            <w:tcW w:w="4477" w:type="dxa"/>
            <w:vAlign w:val="center"/>
          </w:tcPr>
          <w:p w14:paraId="4C6ABC4D" w14:textId="77777777" w:rsidR="00577D08" w:rsidRDefault="00330FC0">
            <w:pPr>
              <w:pStyle w:val="aff9"/>
              <w:ind w:firstLineChars="0" w:firstLine="0"/>
              <w:jc w:val="left"/>
              <w:rPr>
                <w:szCs w:val="21"/>
              </w:rPr>
            </w:pPr>
            <w:r>
              <w:rPr>
                <w:rFonts w:hint="eastAsia"/>
                <w:szCs w:val="21"/>
              </w:rPr>
              <w:t>交易价格显失公允的交易产生的收益</w:t>
            </w:r>
          </w:p>
        </w:tc>
        <w:tc>
          <w:tcPr>
            <w:tcW w:w="2188" w:type="dxa"/>
            <w:vAlign w:val="center"/>
          </w:tcPr>
          <w:p w14:paraId="35C6AFE3" w14:textId="77777777" w:rsidR="00577D08" w:rsidRDefault="00577D08">
            <w:pPr>
              <w:jc w:val="right"/>
            </w:pPr>
          </w:p>
        </w:tc>
        <w:tc>
          <w:tcPr>
            <w:tcW w:w="2376" w:type="dxa"/>
            <w:vAlign w:val="center"/>
          </w:tcPr>
          <w:p w14:paraId="2256701B" w14:textId="77777777" w:rsidR="00577D08" w:rsidRDefault="00330FC0">
            <w:r>
              <w:rPr>
                <w:rFonts w:hint="eastAsia"/>
              </w:rPr>
              <w:t xml:space="preserve">　</w:t>
            </w:r>
          </w:p>
        </w:tc>
      </w:tr>
      <w:tr w:rsidR="00577D08" w14:paraId="6D37F3B6" w14:textId="77777777">
        <w:tc>
          <w:tcPr>
            <w:tcW w:w="4477" w:type="dxa"/>
            <w:vAlign w:val="center"/>
          </w:tcPr>
          <w:p w14:paraId="48257ADD" w14:textId="77777777" w:rsidR="00577D08" w:rsidRDefault="00330FC0">
            <w:pPr>
              <w:pStyle w:val="aff9"/>
              <w:ind w:firstLineChars="0" w:firstLine="0"/>
              <w:jc w:val="left"/>
              <w:rPr>
                <w:szCs w:val="21"/>
              </w:rPr>
            </w:pPr>
            <w:r>
              <w:rPr>
                <w:szCs w:val="21"/>
              </w:rPr>
              <w:t>与公司正常经营业务无关的或有事项产生的损益</w:t>
            </w:r>
          </w:p>
        </w:tc>
        <w:tc>
          <w:tcPr>
            <w:tcW w:w="2188" w:type="dxa"/>
            <w:vAlign w:val="center"/>
          </w:tcPr>
          <w:p w14:paraId="60E75EE1" w14:textId="77777777" w:rsidR="00577D08" w:rsidRDefault="00577D08">
            <w:pPr>
              <w:jc w:val="right"/>
            </w:pPr>
          </w:p>
        </w:tc>
        <w:tc>
          <w:tcPr>
            <w:tcW w:w="2376" w:type="dxa"/>
            <w:vAlign w:val="center"/>
          </w:tcPr>
          <w:p w14:paraId="272FBB7A" w14:textId="77777777" w:rsidR="00577D08" w:rsidRDefault="00330FC0">
            <w:r>
              <w:rPr>
                <w:rFonts w:hint="eastAsia"/>
              </w:rPr>
              <w:t xml:space="preserve">　</w:t>
            </w:r>
          </w:p>
        </w:tc>
      </w:tr>
      <w:tr w:rsidR="00577D08" w14:paraId="2CFD9A0C" w14:textId="77777777">
        <w:tc>
          <w:tcPr>
            <w:tcW w:w="4477" w:type="dxa"/>
            <w:vAlign w:val="center"/>
          </w:tcPr>
          <w:p w14:paraId="168D7665" w14:textId="77777777" w:rsidR="00577D08" w:rsidRDefault="00330FC0">
            <w:pPr>
              <w:pStyle w:val="aff9"/>
              <w:ind w:firstLineChars="0" w:firstLine="0"/>
              <w:jc w:val="left"/>
              <w:rPr>
                <w:szCs w:val="21"/>
              </w:rPr>
            </w:pPr>
            <w:r>
              <w:rPr>
                <w:szCs w:val="21"/>
              </w:rPr>
              <w:t>受托经营取得的托管费收入</w:t>
            </w:r>
          </w:p>
        </w:tc>
        <w:tc>
          <w:tcPr>
            <w:tcW w:w="2188" w:type="dxa"/>
            <w:vAlign w:val="center"/>
          </w:tcPr>
          <w:p w14:paraId="4C03BC1C" w14:textId="77777777" w:rsidR="00577D08" w:rsidRDefault="00577D08">
            <w:pPr>
              <w:jc w:val="right"/>
            </w:pPr>
          </w:p>
        </w:tc>
        <w:tc>
          <w:tcPr>
            <w:tcW w:w="2376" w:type="dxa"/>
            <w:vAlign w:val="center"/>
          </w:tcPr>
          <w:p w14:paraId="46545996" w14:textId="77777777" w:rsidR="00577D08" w:rsidRDefault="00330FC0">
            <w:r>
              <w:rPr>
                <w:rFonts w:hint="eastAsia"/>
              </w:rPr>
              <w:t xml:space="preserve">　</w:t>
            </w:r>
          </w:p>
        </w:tc>
      </w:tr>
      <w:tr w:rsidR="00577D08" w14:paraId="6F8120D1" w14:textId="77777777">
        <w:tc>
          <w:tcPr>
            <w:tcW w:w="4477" w:type="dxa"/>
            <w:vAlign w:val="center"/>
          </w:tcPr>
          <w:p w14:paraId="180B8DF0" w14:textId="77777777" w:rsidR="00577D08" w:rsidRDefault="00330FC0">
            <w:pPr>
              <w:pStyle w:val="aff9"/>
              <w:ind w:firstLineChars="0" w:firstLine="0"/>
              <w:jc w:val="left"/>
              <w:rPr>
                <w:szCs w:val="21"/>
              </w:rPr>
            </w:pPr>
            <w:r>
              <w:rPr>
                <w:szCs w:val="21"/>
              </w:rPr>
              <w:t>除上述各项之外的其他营业外收入和支出</w:t>
            </w:r>
          </w:p>
        </w:tc>
        <w:tc>
          <w:tcPr>
            <w:tcW w:w="2188" w:type="dxa"/>
            <w:vAlign w:val="center"/>
          </w:tcPr>
          <w:p w14:paraId="0E50DFEC" w14:textId="77777777" w:rsidR="00577D08" w:rsidRDefault="00330FC0">
            <w:pPr>
              <w:jc w:val="right"/>
            </w:pPr>
            <w:r>
              <w:t>-375.25</w:t>
            </w:r>
          </w:p>
        </w:tc>
        <w:tc>
          <w:tcPr>
            <w:tcW w:w="2376" w:type="dxa"/>
            <w:vAlign w:val="center"/>
          </w:tcPr>
          <w:p w14:paraId="4FAB08E5" w14:textId="77777777" w:rsidR="00577D08" w:rsidRDefault="00330FC0">
            <w:r>
              <w:rPr>
                <w:rFonts w:hint="eastAsia"/>
              </w:rPr>
              <w:t xml:space="preserve">　</w:t>
            </w:r>
          </w:p>
        </w:tc>
      </w:tr>
      <w:tr w:rsidR="00577D08" w14:paraId="5C84AFE7" w14:textId="77777777">
        <w:tc>
          <w:tcPr>
            <w:tcW w:w="4477" w:type="dxa"/>
            <w:vAlign w:val="center"/>
          </w:tcPr>
          <w:p w14:paraId="47D4D3C8" w14:textId="77777777" w:rsidR="00577D08" w:rsidRDefault="00330FC0">
            <w:pPr>
              <w:pStyle w:val="aff9"/>
              <w:ind w:firstLineChars="0" w:firstLine="0"/>
              <w:jc w:val="left"/>
              <w:rPr>
                <w:szCs w:val="21"/>
              </w:rPr>
            </w:pPr>
            <w:r>
              <w:rPr>
                <w:szCs w:val="21"/>
              </w:rPr>
              <w:lastRenderedPageBreak/>
              <w:t>其他符合非经常性损益定义的损益项目</w:t>
            </w:r>
          </w:p>
        </w:tc>
        <w:tc>
          <w:tcPr>
            <w:tcW w:w="2188" w:type="dxa"/>
          </w:tcPr>
          <w:p w14:paraId="4ACD8230" w14:textId="77777777" w:rsidR="00577D08" w:rsidRDefault="00577D08">
            <w:pPr>
              <w:jc w:val="right"/>
            </w:pPr>
          </w:p>
        </w:tc>
        <w:tc>
          <w:tcPr>
            <w:tcW w:w="2376" w:type="dxa"/>
            <w:vAlign w:val="center"/>
          </w:tcPr>
          <w:p w14:paraId="49083FCE" w14:textId="77777777" w:rsidR="00577D08" w:rsidRDefault="00330FC0">
            <w:r>
              <w:rPr>
                <w:rFonts w:hint="eastAsia"/>
              </w:rPr>
              <w:t xml:space="preserve">　</w:t>
            </w:r>
          </w:p>
        </w:tc>
      </w:tr>
      <w:tr w:rsidR="00577D08" w14:paraId="04FD2792" w14:textId="77777777">
        <w:tc>
          <w:tcPr>
            <w:tcW w:w="4477" w:type="dxa"/>
            <w:vAlign w:val="center"/>
          </w:tcPr>
          <w:p w14:paraId="695D2A99" w14:textId="77777777" w:rsidR="00577D08" w:rsidRDefault="00330FC0">
            <w:pPr>
              <w:pStyle w:val="aff9"/>
              <w:ind w:firstLineChars="0" w:firstLine="0"/>
              <w:jc w:val="left"/>
              <w:rPr>
                <w:szCs w:val="21"/>
              </w:rPr>
            </w:pPr>
            <w:r>
              <w:rPr>
                <w:rFonts w:hint="eastAsia"/>
              </w:rPr>
              <w:t>减：</w:t>
            </w:r>
            <w:r>
              <w:rPr>
                <w:szCs w:val="21"/>
              </w:rPr>
              <w:t>所得税影响额</w:t>
            </w:r>
          </w:p>
        </w:tc>
        <w:tc>
          <w:tcPr>
            <w:tcW w:w="2188" w:type="dxa"/>
          </w:tcPr>
          <w:p w14:paraId="36382F30" w14:textId="77777777" w:rsidR="00577D08" w:rsidRDefault="00330FC0">
            <w:pPr>
              <w:jc w:val="right"/>
            </w:pPr>
            <w:r>
              <w:t>90.42</w:t>
            </w:r>
          </w:p>
        </w:tc>
        <w:tc>
          <w:tcPr>
            <w:tcW w:w="2376" w:type="dxa"/>
            <w:vAlign w:val="center"/>
          </w:tcPr>
          <w:p w14:paraId="247704BA" w14:textId="77777777" w:rsidR="00577D08" w:rsidRDefault="00330FC0">
            <w:r>
              <w:rPr>
                <w:rFonts w:hint="eastAsia"/>
              </w:rPr>
              <w:t xml:space="preserve">　</w:t>
            </w:r>
          </w:p>
        </w:tc>
      </w:tr>
      <w:tr w:rsidR="00577D08" w14:paraId="44ECE183" w14:textId="77777777">
        <w:tc>
          <w:tcPr>
            <w:tcW w:w="4477" w:type="dxa"/>
            <w:vAlign w:val="center"/>
          </w:tcPr>
          <w:p w14:paraId="7EE3B0E6" w14:textId="77777777" w:rsidR="00577D08" w:rsidRDefault="00330FC0">
            <w:pPr>
              <w:pStyle w:val="aff9"/>
              <w:jc w:val="left"/>
              <w:rPr>
                <w:szCs w:val="21"/>
              </w:rPr>
            </w:pPr>
            <w:r>
              <w:rPr>
                <w:szCs w:val="21"/>
              </w:rPr>
              <w:t>少数股东权益影响额</w:t>
            </w:r>
            <w:r>
              <w:rPr>
                <w:rFonts w:hint="eastAsia"/>
                <w:szCs w:val="21"/>
              </w:rPr>
              <w:t>（税后）</w:t>
            </w:r>
          </w:p>
        </w:tc>
        <w:tc>
          <w:tcPr>
            <w:tcW w:w="2188" w:type="dxa"/>
          </w:tcPr>
          <w:p w14:paraId="000675D9" w14:textId="77777777" w:rsidR="00577D08" w:rsidRDefault="00330FC0">
            <w:pPr>
              <w:jc w:val="right"/>
            </w:pPr>
            <w:r>
              <w:t>77.92</w:t>
            </w:r>
          </w:p>
        </w:tc>
        <w:tc>
          <w:tcPr>
            <w:tcW w:w="2376" w:type="dxa"/>
            <w:vAlign w:val="center"/>
          </w:tcPr>
          <w:p w14:paraId="12E3B6EA" w14:textId="77777777" w:rsidR="00577D08" w:rsidRDefault="00330FC0">
            <w:r>
              <w:rPr>
                <w:rFonts w:hint="eastAsia"/>
              </w:rPr>
              <w:t xml:space="preserve">　</w:t>
            </w:r>
          </w:p>
        </w:tc>
      </w:tr>
      <w:tr w:rsidR="00577D08" w14:paraId="69B0A89D" w14:textId="77777777">
        <w:tc>
          <w:tcPr>
            <w:tcW w:w="4477" w:type="dxa"/>
            <w:vAlign w:val="center"/>
          </w:tcPr>
          <w:p w14:paraId="4E94300E" w14:textId="77777777" w:rsidR="00577D08" w:rsidRDefault="00330FC0">
            <w:pPr>
              <w:pStyle w:val="aff9"/>
              <w:ind w:firstLineChars="0" w:firstLine="0"/>
              <w:jc w:val="center"/>
              <w:rPr>
                <w:szCs w:val="21"/>
              </w:rPr>
            </w:pPr>
            <w:r>
              <w:rPr>
                <w:szCs w:val="21"/>
              </w:rPr>
              <w:t>合计</w:t>
            </w:r>
          </w:p>
        </w:tc>
        <w:tc>
          <w:tcPr>
            <w:tcW w:w="2188" w:type="dxa"/>
          </w:tcPr>
          <w:p w14:paraId="26046C11" w14:textId="77777777" w:rsidR="00577D08" w:rsidRDefault="00330FC0">
            <w:pPr>
              <w:jc w:val="right"/>
            </w:pPr>
            <w:r>
              <w:t>444.86</w:t>
            </w:r>
          </w:p>
        </w:tc>
        <w:tc>
          <w:tcPr>
            <w:tcW w:w="2376" w:type="dxa"/>
            <w:vAlign w:val="center"/>
          </w:tcPr>
          <w:p w14:paraId="12B29FFF" w14:textId="77777777" w:rsidR="00577D08" w:rsidRDefault="00330FC0">
            <w:r>
              <w:rPr>
                <w:rFonts w:hint="eastAsia"/>
              </w:rPr>
              <w:t xml:space="preserve">　</w:t>
            </w:r>
          </w:p>
        </w:tc>
      </w:tr>
    </w:tbl>
    <w:p w14:paraId="39418AF8" w14:textId="77777777" w:rsidR="00577D08" w:rsidRDefault="00330FC0">
      <w:bookmarkStart w:id="545" w:name="_Hlk154752626"/>
      <w:bookmarkEnd w:id="543"/>
      <w:bookmarkEnd w:id="544"/>
      <w:r>
        <w:rPr>
          <w:rFonts w:hint="eastAsia"/>
        </w:rPr>
        <w:t>对公司将《公开发行证券的公司信息披露解释性公告第</w:t>
      </w:r>
      <w:r>
        <w:t>1</w:t>
      </w:r>
      <w:r>
        <w:t>号</w:t>
      </w:r>
      <w:r>
        <w:t>——</w:t>
      </w:r>
      <w:r>
        <w:t>非经常性损益》未列举的项目认定为非经常性损益项目且金额重大的，以及将《公开发行证券的公司信息披露解释性公告第</w:t>
      </w:r>
      <w:r>
        <w:t>1</w:t>
      </w:r>
      <w:r>
        <w:t>号</w:t>
      </w:r>
      <w:r>
        <w:t>——</w:t>
      </w:r>
      <w:r>
        <w:t>非经常性损益》中列举的非经常性损益项目界定为经常性损益的项目，应说明原因。</w:t>
      </w:r>
    </w:p>
    <w:sdt>
      <w:sdtPr>
        <w:alias w:val="是否适用：将非经常性损益项目界定为经常性损益项目[双击切换]"/>
        <w:tag w:val="_GBC_a967cba183d54f83a4f652d6d31302c3"/>
        <w:id w:val="-78986939"/>
        <w:placeholder>
          <w:docPart w:val="GBC22222222222222222222222222222"/>
        </w:placeholder>
      </w:sdtPr>
      <w:sdtContent>
        <w:p w14:paraId="227D1035"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2E37900" w14:textId="77777777" w:rsidR="00577D08" w:rsidRDefault="00330FC0">
      <w:pPr>
        <w:spacing w:line="360" w:lineRule="exact"/>
      </w:pPr>
      <w:r>
        <w:rPr>
          <w:rFonts w:hint="eastAsia"/>
        </w:rPr>
        <w:t>其他说明：</w:t>
      </w:r>
    </w:p>
    <w:sdt>
      <w:sdtPr>
        <w:alias w:val="是否适用：非经常性损益的其他说明[双击切换]"/>
        <w:tag w:val="_GBC_02aa469151f448ef8b478dba20a7d811"/>
        <w:id w:val="1642617237"/>
        <w:placeholder>
          <w:docPart w:val="GBC22222222222222222222222222222"/>
        </w:placeholder>
      </w:sdtPr>
      <w:sdtContent>
        <w:p w14:paraId="5BA5D43C"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545"/>
    <w:p w14:paraId="03CBD678" w14:textId="77777777" w:rsidR="00577D08" w:rsidRDefault="00330FC0">
      <w:pPr>
        <w:pStyle w:val="3"/>
        <w:numPr>
          <w:ilvl w:val="0"/>
          <w:numId w:val="132"/>
        </w:numPr>
        <w:rPr>
          <w:szCs w:val="21"/>
        </w:rPr>
      </w:pPr>
      <w:r>
        <w:rPr>
          <w:rFonts w:hint="eastAsia"/>
          <w:szCs w:val="21"/>
        </w:rPr>
        <w:t>净资产收益率及每股收益</w:t>
      </w:r>
    </w:p>
    <w:sdt>
      <w:sdtPr>
        <w:alias w:val="是否适用：净资产收益率及每股收益[双击切换]"/>
        <w:tag w:val="_GBC_c0f530bdf9ee48239f470eda08b303d7"/>
        <w:id w:val="1084947072"/>
        <w:placeholder>
          <w:docPart w:val="GBC22222222222222222222222222222"/>
        </w:placeholder>
      </w:sdtPr>
      <w:sdtContent>
        <w:p w14:paraId="3DEF76D0" w14:textId="77777777" w:rsidR="00577D08" w:rsidRDefault="00330FC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13"/>
        <w:gridCol w:w="1840"/>
        <w:gridCol w:w="2146"/>
        <w:gridCol w:w="2148"/>
      </w:tblGrid>
      <w:tr w:rsidR="00577D08" w14:paraId="3E9BF683" w14:textId="77777777">
        <w:trPr>
          <w:trHeight w:val="270"/>
        </w:trPr>
        <w:sdt>
          <w:sdtPr>
            <w:tag w:val="_PLD_85d9a7abc9cd45768b2b5f99afa4a4ef"/>
            <w:id w:val="1675990121"/>
          </w:sdtPr>
          <w:sdtContent>
            <w:tc>
              <w:tcPr>
                <w:tcW w:w="2913" w:type="dxa"/>
                <w:vMerge w:val="restart"/>
                <w:tcBorders>
                  <w:top w:val="single" w:sz="4" w:space="0" w:color="auto"/>
                  <w:left w:val="single" w:sz="4" w:space="0" w:color="auto"/>
                  <w:bottom w:val="single" w:sz="4" w:space="0" w:color="auto"/>
                  <w:right w:val="single" w:sz="4" w:space="0" w:color="auto"/>
                </w:tcBorders>
                <w:vAlign w:val="center"/>
              </w:tcPr>
              <w:p w14:paraId="26ADCC67" w14:textId="77777777" w:rsidR="00577D08" w:rsidRDefault="00330FC0">
                <w:pPr>
                  <w:jc w:val="center"/>
                </w:pPr>
                <w:r>
                  <w:t>报告期利润</w:t>
                </w:r>
              </w:p>
            </w:tc>
          </w:sdtContent>
        </w:sdt>
        <w:sdt>
          <w:sdtPr>
            <w:tag w:val="_PLD_7f5ad103cbb04f7d904001b07266bf41"/>
            <w:id w:val="-229611650"/>
          </w:sdtPr>
          <w:sdtContent>
            <w:tc>
              <w:tcPr>
                <w:tcW w:w="1840" w:type="dxa"/>
                <w:vMerge w:val="restart"/>
                <w:tcBorders>
                  <w:top w:val="single" w:sz="4" w:space="0" w:color="auto"/>
                  <w:left w:val="single" w:sz="4" w:space="0" w:color="auto"/>
                  <w:right w:val="single" w:sz="4" w:space="0" w:color="auto"/>
                </w:tcBorders>
                <w:vAlign w:val="center"/>
              </w:tcPr>
              <w:p w14:paraId="74873FCA" w14:textId="77777777" w:rsidR="00577D08" w:rsidRDefault="00330FC0">
                <w:pPr>
                  <w:jc w:val="center"/>
                </w:pPr>
                <w:r>
                  <w:t>加权平均净资产收益率（</w:t>
                </w:r>
                <w:r>
                  <w:t>%</w:t>
                </w:r>
                <w:r>
                  <w:t>）</w:t>
                </w:r>
              </w:p>
            </w:tc>
          </w:sdtContent>
        </w:sdt>
        <w:sdt>
          <w:sdtPr>
            <w:tag w:val="_PLD_adaa515ff68f455d8bcd75e516da3040"/>
            <w:id w:val="-1776399655"/>
          </w:sdtPr>
          <w:sdtContent>
            <w:tc>
              <w:tcPr>
                <w:tcW w:w="4294" w:type="dxa"/>
                <w:gridSpan w:val="2"/>
                <w:tcBorders>
                  <w:top w:val="single" w:sz="4" w:space="0" w:color="auto"/>
                  <w:left w:val="single" w:sz="4" w:space="0" w:color="auto"/>
                  <w:bottom w:val="single" w:sz="4" w:space="0" w:color="auto"/>
                  <w:right w:val="single" w:sz="4" w:space="0" w:color="auto"/>
                </w:tcBorders>
                <w:vAlign w:val="center"/>
              </w:tcPr>
              <w:p w14:paraId="03A72751" w14:textId="77777777" w:rsidR="00577D08" w:rsidRDefault="00330FC0">
                <w:pPr>
                  <w:jc w:val="center"/>
                </w:pPr>
                <w:r>
                  <w:t>每股收益</w:t>
                </w:r>
              </w:p>
            </w:tc>
          </w:sdtContent>
        </w:sdt>
      </w:tr>
      <w:tr w:rsidR="00577D08" w14:paraId="5CA18940" w14:textId="77777777">
        <w:trPr>
          <w:trHeight w:val="360"/>
        </w:trPr>
        <w:tc>
          <w:tcPr>
            <w:tcW w:w="2913" w:type="dxa"/>
            <w:vMerge/>
            <w:tcBorders>
              <w:top w:val="single" w:sz="4" w:space="0" w:color="auto"/>
              <w:left w:val="single" w:sz="4" w:space="0" w:color="auto"/>
              <w:bottom w:val="single" w:sz="4" w:space="0" w:color="auto"/>
              <w:right w:val="single" w:sz="4" w:space="0" w:color="auto"/>
            </w:tcBorders>
            <w:vAlign w:val="center"/>
          </w:tcPr>
          <w:p w14:paraId="004CE040" w14:textId="77777777" w:rsidR="00577D08" w:rsidRDefault="00577D08">
            <w:pPr>
              <w:jc w:val="center"/>
            </w:pPr>
          </w:p>
        </w:tc>
        <w:tc>
          <w:tcPr>
            <w:tcW w:w="1840" w:type="dxa"/>
            <w:vMerge/>
            <w:tcBorders>
              <w:left w:val="single" w:sz="4" w:space="0" w:color="auto"/>
              <w:bottom w:val="single" w:sz="4" w:space="0" w:color="auto"/>
              <w:right w:val="single" w:sz="4" w:space="0" w:color="auto"/>
            </w:tcBorders>
            <w:vAlign w:val="center"/>
          </w:tcPr>
          <w:p w14:paraId="2043B6DE" w14:textId="77777777" w:rsidR="00577D08" w:rsidRDefault="00577D08">
            <w:pPr>
              <w:jc w:val="center"/>
            </w:pPr>
          </w:p>
        </w:tc>
        <w:sdt>
          <w:sdtPr>
            <w:tag w:val="_PLD_503a9e353572491fb64751c75881b5ac"/>
            <w:id w:val="-1404751166"/>
          </w:sdtPr>
          <w:sdtContent>
            <w:tc>
              <w:tcPr>
                <w:tcW w:w="2146" w:type="dxa"/>
                <w:tcBorders>
                  <w:top w:val="single" w:sz="4" w:space="0" w:color="auto"/>
                  <w:left w:val="single" w:sz="4" w:space="0" w:color="auto"/>
                  <w:bottom w:val="single" w:sz="4" w:space="0" w:color="auto"/>
                  <w:right w:val="single" w:sz="4" w:space="0" w:color="auto"/>
                </w:tcBorders>
                <w:vAlign w:val="center"/>
              </w:tcPr>
              <w:p w14:paraId="60CB1E4B" w14:textId="77777777" w:rsidR="00577D08" w:rsidRDefault="00330FC0">
                <w:pPr>
                  <w:jc w:val="center"/>
                </w:pPr>
                <w:r>
                  <w:t>基本每股收益</w:t>
                </w:r>
              </w:p>
            </w:tc>
          </w:sdtContent>
        </w:sdt>
        <w:sdt>
          <w:sdtPr>
            <w:tag w:val="_PLD_b57959d0e3714f2590eb4529892e5c18"/>
            <w:id w:val="-1666774093"/>
          </w:sdtPr>
          <w:sdtContent>
            <w:tc>
              <w:tcPr>
                <w:tcW w:w="2148" w:type="dxa"/>
                <w:tcBorders>
                  <w:top w:val="single" w:sz="4" w:space="0" w:color="auto"/>
                  <w:left w:val="single" w:sz="4" w:space="0" w:color="auto"/>
                  <w:bottom w:val="single" w:sz="4" w:space="0" w:color="auto"/>
                  <w:right w:val="single" w:sz="4" w:space="0" w:color="auto"/>
                </w:tcBorders>
                <w:vAlign w:val="center"/>
              </w:tcPr>
              <w:p w14:paraId="6B55FB96" w14:textId="77777777" w:rsidR="00577D08" w:rsidRDefault="00330FC0">
                <w:pPr>
                  <w:jc w:val="center"/>
                </w:pPr>
                <w:r>
                  <w:t>稀释每股收益</w:t>
                </w:r>
              </w:p>
            </w:tc>
          </w:sdtContent>
        </w:sdt>
      </w:tr>
      <w:tr w:rsidR="00577D08" w14:paraId="78EE2AFC" w14:textId="77777777">
        <w:trPr>
          <w:trHeight w:val="360"/>
        </w:trPr>
        <w:tc>
          <w:tcPr>
            <w:tcW w:w="2913" w:type="dxa"/>
            <w:tcBorders>
              <w:top w:val="single" w:sz="4" w:space="0" w:color="auto"/>
              <w:left w:val="single" w:sz="4" w:space="0" w:color="auto"/>
              <w:bottom w:val="single" w:sz="4" w:space="0" w:color="auto"/>
              <w:right w:val="single" w:sz="4" w:space="0" w:color="auto"/>
            </w:tcBorders>
            <w:vAlign w:val="center"/>
          </w:tcPr>
          <w:p w14:paraId="3C1B3B7C" w14:textId="77777777" w:rsidR="00577D08" w:rsidRDefault="00330FC0">
            <w:r>
              <w:t>归属于公司普通股股东的净利润</w:t>
            </w:r>
          </w:p>
        </w:tc>
        <w:tc>
          <w:tcPr>
            <w:tcW w:w="1840" w:type="dxa"/>
            <w:tcBorders>
              <w:top w:val="single" w:sz="4" w:space="0" w:color="auto"/>
              <w:left w:val="single" w:sz="4" w:space="0" w:color="auto"/>
              <w:bottom w:val="single" w:sz="4" w:space="0" w:color="auto"/>
              <w:right w:val="single" w:sz="4" w:space="0" w:color="auto"/>
            </w:tcBorders>
            <w:vAlign w:val="center"/>
          </w:tcPr>
          <w:p w14:paraId="7BC5D8B6" w14:textId="77777777" w:rsidR="00577D08" w:rsidRDefault="00330FC0">
            <w:pPr>
              <w:jc w:val="right"/>
            </w:pPr>
            <w:r>
              <w:t>2.83</w:t>
            </w:r>
          </w:p>
        </w:tc>
        <w:tc>
          <w:tcPr>
            <w:tcW w:w="2146" w:type="dxa"/>
            <w:tcBorders>
              <w:top w:val="single" w:sz="4" w:space="0" w:color="auto"/>
              <w:left w:val="single" w:sz="4" w:space="0" w:color="auto"/>
              <w:bottom w:val="single" w:sz="4" w:space="0" w:color="auto"/>
              <w:right w:val="single" w:sz="4" w:space="0" w:color="auto"/>
            </w:tcBorders>
            <w:vAlign w:val="center"/>
          </w:tcPr>
          <w:p w14:paraId="7017C80F" w14:textId="77777777" w:rsidR="00577D08" w:rsidRDefault="00330FC0">
            <w:pPr>
              <w:jc w:val="right"/>
            </w:pPr>
            <w:r>
              <w:t>0.21</w:t>
            </w:r>
          </w:p>
        </w:tc>
        <w:tc>
          <w:tcPr>
            <w:tcW w:w="2148" w:type="dxa"/>
            <w:tcBorders>
              <w:top w:val="single" w:sz="4" w:space="0" w:color="auto"/>
              <w:left w:val="single" w:sz="4" w:space="0" w:color="auto"/>
              <w:bottom w:val="single" w:sz="4" w:space="0" w:color="auto"/>
              <w:right w:val="single" w:sz="4" w:space="0" w:color="auto"/>
            </w:tcBorders>
            <w:vAlign w:val="center"/>
          </w:tcPr>
          <w:p w14:paraId="5B62D0B9" w14:textId="77777777" w:rsidR="00577D08" w:rsidRDefault="00330FC0">
            <w:pPr>
              <w:jc w:val="right"/>
            </w:pPr>
            <w:r>
              <w:t>0.21</w:t>
            </w:r>
          </w:p>
        </w:tc>
      </w:tr>
      <w:tr w:rsidR="00577D08" w14:paraId="0C0EEB33" w14:textId="77777777">
        <w:trPr>
          <w:trHeight w:val="360"/>
        </w:trPr>
        <w:tc>
          <w:tcPr>
            <w:tcW w:w="2913" w:type="dxa"/>
            <w:tcBorders>
              <w:top w:val="single" w:sz="4" w:space="0" w:color="auto"/>
              <w:left w:val="single" w:sz="4" w:space="0" w:color="auto"/>
              <w:bottom w:val="single" w:sz="4" w:space="0" w:color="auto"/>
              <w:right w:val="single" w:sz="4" w:space="0" w:color="auto"/>
            </w:tcBorders>
            <w:vAlign w:val="center"/>
          </w:tcPr>
          <w:p w14:paraId="63F40752" w14:textId="77777777" w:rsidR="00577D08" w:rsidRDefault="00330FC0">
            <w:r>
              <w:t>扣除非经常性损益后归属于公司普通股股东的净利润</w:t>
            </w:r>
          </w:p>
        </w:tc>
        <w:tc>
          <w:tcPr>
            <w:tcW w:w="1840" w:type="dxa"/>
            <w:tcBorders>
              <w:top w:val="single" w:sz="4" w:space="0" w:color="auto"/>
              <w:left w:val="single" w:sz="4" w:space="0" w:color="auto"/>
              <w:bottom w:val="single" w:sz="4" w:space="0" w:color="auto"/>
              <w:right w:val="single" w:sz="4" w:space="0" w:color="auto"/>
            </w:tcBorders>
            <w:vAlign w:val="center"/>
          </w:tcPr>
          <w:p w14:paraId="23C9C5B5" w14:textId="77777777" w:rsidR="00577D08" w:rsidRDefault="00330FC0">
            <w:pPr>
              <w:jc w:val="right"/>
            </w:pPr>
            <w:r>
              <w:t>2.64</w:t>
            </w:r>
          </w:p>
        </w:tc>
        <w:tc>
          <w:tcPr>
            <w:tcW w:w="2146" w:type="dxa"/>
            <w:tcBorders>
              <w:top w:val="single" w:sz="4" w:space="0" w:color="auto"/>
              <w:left w:val="single" w:sz="4" w:space="0" w:color="auto"/>
              <w:bottom w:val="single" w:sz="4" w:space="0" w:color="auto"/>
              <w:right w:val="single" w:sz="4" w:space="0" w:color="auto"/>
            </w:tcBorders>
            <w:vAlign w:val="center"/>
          </w:tcPr>
          <w:p w14:paraId="0EB28055" w14:textId="77777777" w:rsidR="00577D08" w:rsidRDefault="00330FC0">
            <w:pPr>
              <w:jc w:val="right"/>
            </w:pPr>
            <w:r>
              <w:t>0.19</w:t>
            </w:r>
          </w:p>
        </w:tc>
        <w:tc>
          <w:tcPr>
            <w:tcW w:w="2148" w:type="dxa"/>
            <w:tcBorders>
              <w:top w:val="single" w:sz="4" w:space="0" w:color="auto"/>
              <w:left w:val="single" w:sz="4" w:space="0" w:color="auto"/>
              <w:bottom w:val="single" w:sz="4" w:space="0" w:color="auto"/>
              <w:right w:val="single" w:sz="4" w:space="0" w:color="auto"/>
            </w:tcBorders>
            <w:vAlign w:val="center"/>
          </w:tcPr>
          <w:p w14:paraId="70F1EC9B" w14:textId="77777777" w:rsidR="00577D08" w:rsidRDefault="00330FC0">
            <w:pPr>
              <w:jc w:val="right"/>
            </w:pPr>
            <w:r>
              <w:t>0.19</w:t>
            </w:r>
          </w:p>
        </w:tc>
      </w:tr>
    </w:tbl>
    <w:p w14:paraId="3361C4CA" w14:textId="77777777" w:rsidR="00577D08" w:rsidRDefault="00330FC0">
      <w:pPr>
        <w:pStyle w:val="3"/>
        <w:numPr>
          <w:ilvl w:val="0"/>
          <w:numId w:val="132"/>
        </w:numPr>
        <w:rPr>
          <w:rFonts w:ascii="宋体" w:hAnsi="宋体" w:hint="eastAsia"/>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431558943"/>
        <w:placeholder>
          <w:docPart w:val="GBC22222222222222222222222222222"/>
        </w:placeholder>
      </w:sdtPr>
      <w:sdtContent>
        <w:p w14:paraId="48C75B3D" w14:textId="77777777" w:rsidR="00577D08" w:rsidRDefault="00330FC0">
          <w:pPr>
            <w:rPr>
              <w:rFonts w:cstheme="minorBidi"/>
              <w:kern w:val="2"/>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304158B" w14:textId="77777777" w:rsidR="00577D08" w:rsidRDefault="00330FC0">
      <w:pPr>
        <w:pStyle w:val="3"/>
        <w:numPr>
          <w:ilvl w:val="0"/>
          <w:numId w:val="132"/>
        </w:numPr>
        <w:rPr>
          <w:szCs w:val="21"/>
        </w:rPr>
      </w:pPr>
      <w:r>
        <w:rPr>
          <w:rFonts w:hint="eastAsia"/>
          <w:szCs w:val="21"/>
        </w:rPr>
        <w:t>其他</w:t>
      </w:r>
    </w:p>
    <w:sdt>
      <w:sdtPr>
        <w:rPr>
          <w:rFonts w:hint="eastAsia"/>
        </w:rPr>
        <w:alias w:val="是否适用：补充资料其他说明事项[双击切换]"/>
        <w:tag w:val="_GBC_96c49cb17ab64891ac1d396be649be3c"/>
        <w:id w:val="1264180620"/>
        <w:placeholder>
          <w:docPart w:val="GBC22222222222222222222222222222"/>
        </w:placeholder>
      </w:sdtPr>
      <w:sdtContent>
        <w:p w14:paraId="6EBB3BED" w14:textId="77777777" w:rsidR="00577D08" w:rsidRDefault="00330FC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F6E969" w14:textId="77777777" w:rsidR="00577D08" w:rsidRDefault="00577D08"/>
    <w:p w14:paraId="5E6533CA" w14:textId="77777777" w:rsidR="00577D08" w:rsidRDefault="00577D08">
      <w:pPr>
        <w:spacing w:line="360" w:lineRule="exact"/>
        <w:ind w:right="5"/>
        <w:rPr>
          <w:b/>
          <w:bCs/>
          <w:sz w:val="24"/>
        </w:rPr>
      </w:pPr>
      <w:bookmarkStart w:id="546" w:name="_Hlk90043452"/>
      <w:bookmarkStart w:id="547" w:name="_Hlk89951888"/>
    </w:p>
    <w:p w14:paraId="6B80B3A2" w14:textId="77777777" w:rsidR="00577D08" w:rsidRDefault="00330FC0">
      <w:pPr>
        <w:wordWrap w:val="0"/>
        <w:spacing w:line="360" w:lineRule="exact"/>
        <w:jc w:val="right"/>
        <w:rPr>
          <w:u w:val="single"/>
        </w:rPr>
      </w:pPr>
      <w:r>
        <w:t>董事长：</w:t>
      </w:r>
      <w:sdt>
        <w:sdtPr>
          <w:alias w:val="报告发布人"/>
          <w:tag w:val="_GBC_728ad6dff57942a69e22fcccc1f10a3c"/>
          <w:id w:val="2085944914"/>
          <w:placeholder>
            <w:docPart w:val="GBC22222222222222222222222222222"/>
          </w:placeholder>
        </w:sdtPr>
        <w:sdtContent>
          <w:r>
            <w:rPr>
              <w:rFonts w:hint="eastAsia"/>
            </w:rPr>
            <w:t>杨泽民</w:t>
          </w:r>
        </w:sdtContent>
      </w:sdt>
    </w:p>
    <w:p w14:paraId="4378333B" w14:textId="77777777" w:rsidR="00577D08" w:rsidRDefault="00330FC0">
      <w:pPr>
        <w:spacing w:line="360" w:lineRule="exact"/>
        <w:jc w:val="right"/>
      </w:pPr>
      <w:r>
        <w:t>董事会批准报送日期：</w:t>
      </w:r>
      <w:sdt>
        <w:sdtPr>
          <w:alias w:val="报告董事会批准报送日期"/>
          <w:tag w:val="_GBC_7b8c4a7926dc47299591537f5943936d"/>
          <w:id w:val="216941852"/>
          <w:placeholder>
            <w:docPart w:val="GBC22222222222222222222222222222"/>
          </w:placeholder>
          <w:date w:fullDate="2026-04-02T00:00:00Z">
            <w:dateFormat w:val="yyyy'年'M'月'd'日'"/>
            <w:lid w:val="zh-CN"/>
            <w:storeMappedDataAs w:val="dateTime"/>
            <w:calendar w:val="gregorian"/>
          </w:date>
        </w:sdtPr>
        <w:sdtContent>
          <w:r>
            <w:rPr>
              <w:rFonts w:hint="eastAsia"/>
            </w:rPr>
            <w:t>2026</w:t>
          </w:r>
          <w:r>
            <w:rPr>
              <w:rFonts w:hint="eastAsia"/>
            </w:rPr>
            <w:t>年</w:t>
          </w:r>
          <w:r>
            <w:rPr>
              <w:rFonts w:hint="eastAsia"/>
            </w:rPr>
            <w:t>4</w:t>
          </w:r>
          <w:r>
            <w:rPr>
              <w:rFonts w:hint="eastAsia"/>
            </w:rPr>
            <w:t>月</w:t>
          </w:r>
          <w:r>
            <w:rPr>
              <w:rFonts w:hint="eastAsia"/>
            </w:rPr>
            <w:t>2</w:t>
          </w:r>
          <w:r>
            <w:rPr>
              <w:rFonts w:hint="eastAsia"/>
            </w:rPr>
            <w:t>日</w:t>
          </w:r>
        </w:sdtContent>
      </w:sdt>
    </w:p>
    <w:bookmarkEnd w:id="546"/>
    <w:bookmarkEnd w:id="547"/>
    <w:p w14:paraId="75522F21" w14:textId="77777777" w:rsidR="00577D08" w:rsidRDefault="00577D08">
      <w:pPr>
        <w:spacing w:line="360" w:lineRule="exact"/>
        <w:ind w:right="5"/>
      </w:pPr>
    </w:p>
    <w:p w14:paraId="6CE6F6E0" w14:textId="77777777" w:rsidR="00577D08" w:rsidRDefault="00330FC0">
      <w:pPr>
        <w:spacing w:line="360" w:lineRule="exact"/>
        <w:ind w:right="5"/>
        <w:rPr>
          <w:b/>
          <w:sz w:val="24"/>
        </w:rPr>
      </w:pPr>
      <w:r>
        <w:rPr>
          <w:b/>
          <w:sz w:val="24"/>
        </w:rPr>
        <w:t>修订信息</w:t>
      </w:r>
    </w:p>
    <w:p w14:paraId="7399F32C" w14:textId="77777777" w:rsidR="00577D08" w:rsidRDefault="00000000">
      <w:sdt>
        <w:sdtPr>
          <w:alias w:val="是否适用：修订信息表[双击切换]"/>
          <w:tag w:val="_GBC_888e757d42a24d3a87b71f50b0589b0a"/>
          <w:id w:val="-1848242815"/>
          <w:placeholder>
            <w:docPart w:val="GBC22222222222222222222222222222"/>
          </w:placeholder>
        </w:sdtPr>
        <w:sdtContent>
          <w:r w:rsidR="00330FC0">
            <w:rPr>
              <w:rFonts w:ascii="宋体" w:hAnsi="宋体"/>
            </w:rPr>
            <w:fldChar w:fldCharType="begin"/>
          </w:r>
          <w:r w:rsidR="00330FC0">
            <w:rPr>
              <w:rFonts w:ascii="宋体" w:hAnsi="宋体"/>
            </w:rPr>
            <w:instrText xml:space="preserve">MACROBUTTON  SnrToggleCheckbox □适用 </w:instrText>
          </w:r>
          <w:r w:rsidR="00330FC0">
            <w:rPr>
              <w:rFonts w:ascii="宋体" w:hAnsi="宋体"/>
            </w:rPr>
            <w:fldChar w:fldCharType="end"/>
          </w:r>
          <w:r w:rsidR="00330FC0">
            <w:rPr>
              <w:rFonts w:ascii="宋体" w:hAnsi="宋体"/>
            </w:rPr>
            <w:fldChar w:fldCharType="begin"/>
          </w:r>
          <w:r w:rsidR="00330FC0">
            <w:rPr>
              <w:rFonts w:ascii="宋体" w:hAnsi="宋体"/>
            </w:rPr>
            <w:instrText xml:space="preserve"> MACROBUTTON  SnrToggleCheckbox √不适用 </w:instrText>
          </w:r>
          <w:r w:rsidR="00330FC0">
            <w:rPr>
              <w:rFonts w:ascii="宋体" w:hAnsi="宋体"/>
            </w:rPr>
            <w:fldChar w:fldCharType="end"/>
          </w:r>
        </w:sdtContent>
      </w:sdt>
      <w:r w:rsidR="00330FC0">
        <w:rPr>
          <w:rFonts w:hint="eastAsia"/>
        </w:rPr>
        <w:t>杨泽民</w:t>
      </w:r>
    </w:p>
    <w:p w14:paraId="7412CC4D" w14:textId="77777777" w:rsidR="00577D08" w:rsidRDefault="00577D08"/>
    <w:sectPr w:rsidR="00577D08">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F14C" w14:textId="77777777" w:rsidR="00EA3C40" w:rsidRDefault="00EA3C40">
      <w:r>
        <w:separator/>
      </w:r>
    </w:p>
  </w:endnote>
  <w:endnote w:type="continuationSeparator" w:id="0">
    <w:p w14:paraId="1B49302C" w14:textId="77777777" w:rsidR="00EA3C40" w:rsidRDefault="00EA3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 w:name="FZLTSK--GBK1-0">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方正超大字符集">
    <w:altName w:val="宋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EB49" w14:textId="3DC0F9C2" w:rsidR="00330FC0" w:rsidRDefault="00330FC0">
    <w:pPr>
      <w:pStyle w:val="af7"/>
      <w:jc w:val="center"/>
    </w:pPr>
    <w:r>
      <w:rPr>
        <w:b/>
        <w:bCs/>
        <w:sz w:val="24"/>
        <w:szCs w:val="24"/>
      </w:rPr>
      <w:fldChar w:fldCharType="begin"/>
    </w:r>
    <w:r>
      <w:rPr>
        <w:b/>
        <w:bCs/>
      </w:rPr>
      <w:instrText>PAGE</w:instrText>
    </w:r>
    <w:r>
      <w:rPr>
        <w:b/>
        <w:bCs/>
        <w:sz w:val="24"/>
        <w:szCs w:val="24"/>
      </w:rPr>
      <w:fldChar w:fldCharType="separate"/>
    </w:r>
    <w:r w:rsidR="00CC5C32">
      <w:rPr>
        <w:b/>
        <w:bCs/>
        <w:noProof/>
      </w:rPr>
      <w:t>226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C5C32">
      <w:rPr>
        <w:b/>
        <w:bCs/>
        <w:noProof/>
      </w:rPr>
      <w:t>226</w:t>
    </w:r>
    <w:r>
      <w:rPr>
        <w:b/>
        <w:bCs/>
        <w:sz w:val="24"/>
        <w:szCs w:val="24"/>
      </w:rPr>
      <w:fldChar w:fldCharType="end"/>
    </w:r>
  </w:p>
  <w:p w14:paraId="7F44FDBF" w14:textId="77777777" w:rsidR="00330FC0" w:rsidRDefault="00330FC0">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F69F" w14:textId="77777777" w:rsidR="00EA3C40" w:rsidRDefault="00EA3C40">
      <w:r>
        <w:separator/>
      </w:r>
    </w:p>
  </w:footnote>
  <w:footnote w:type="continuationSeparator" w:id="0">
    <w:p w14:paraId="6CFCEED9" w14:textId="77777777" w:rsidR="00EA3C40" w:rsidRDefault="00EA3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776A" w14:textId="77777777" w:rsidR="00330FC0" w:rsidRDefault="00000000">
    <w:pPr>
      <w:pStyle w:val="af9"/>
      <w:tabs>
        <w:tab w:val="clear" w:pos="8306"/>
        <w:tab w:val="left" w:pos="8364"/>
        <w:tab w:val="left" w:pos="8505"/>
      </w:tabs>
      <w:ind w:rightChars="10" w:right="21"/>
      <w:rPr>
        <w:b/>
      </w:rPr>
    </w:pPr>
    <w:sdt>
      <w:sdtPr>
        <w:rPr>
          <w:rFonts w:hint="eastAsia"/>
        </w:rPr>
        <w:alias w:val="公司法定中文名称"/>
        <w:tag w:val="_GBC_e3e0c995ecc548d39789fc25ee290bfb"/>
        <w:id w:val="1836415349"/>
        <w:dataBinding w:prefixMappings="xmlns:clcid-cgi='clcid-cgi'" w:xpath="/*/clcid-cgi:GongSiFaDingZhongWenMingCheng[not(@periodRef)]" w:storeItemID="{89EBAB94-44A0-46A2-B712-30D997D04A6D}"/>
        <w:text/>
      </w:sdtPr>
      <w:sdtContent>
        <w:r w:rsidR="00330FC0">
          <w:rPr>
            <w:rFonts w:hint="eastAsia"/>
          </w:rPr>
          <w:t>重庆望变电气（集团）股份有限公司</w:t>
        </w:r>
      </w:sdtContent>
    </w:sdt>
    <w:r w:rsidR="00330FC0">
      <w:rPr>
        <w:rFonts w:hint="eastAsia"/>
      </w:rPr>
      <w:t>2025</w:t>
    </w:r>
    <w:r w:rsidR="00330FC0">
      <w:rPr>
        <w:rFonts w:hint="eastAsia"/>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058"/>
    <w:multiLevelType w:val="multilevel"/>
    <w:tmpl w:val="00533058"/>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1C7576E"/>
    <w:multiLevelType w:val="multilevel"/>
    <w:tmpl w:val="01C7576E"/>
    <w:lvl w:ilvl="0">
      <w:start w:val="1"/>
      <w:numFmt w:val="decimal"/>
      <w:suff w:val="nothing"/>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2E66CBA"/>
    <w:multiLevelType w:val="multilevel"/>
    <w:tmpl w:val="02E66CBA"/>
    <w:lvl w:ilvl="0">
      <w:start w:val="1"/>
      <w:numFmt w:val="chineseCountingThousand"/>
      <w:suff w:val="nothing"/>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37142FD"/>
    <w:multiLevelType w:val="multilevel"/>
    <w:tmpl w:val="037142FD"/>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3B7239C"/>
    <w:multiLevelType w:val="multilevel"/>
    <w:tmpl w:val="03B7239C"/>
    <w:lvl w:ilvl="0">
      <w:start w:val="1"/>
      <w:numFmt w:val="chineseCountingThousand"/>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55A7D50"/>
    <w:multiLevelType w:val="multilevel"/>
    <w:tmpl w:val="055A7D50"/>
    <w:lvl w:ilvl="0">
      <w:start w:val="1"/>
      <w:numFmt w:val="decimal"/>
      <w:suff w:val="space"/>
      <w:lvlText w:val="(%1)."/>
      <w:lvlJc w:val="left"/>
      <w:pPr>
        <w:ind w:left="0" w:firstLine="0"/>
      </w:pPr>
      <w:rPr>
        <w:rFonts w:asciiTheme="minorEastAsia" w:eastAsia="宋体" w:hAnsiTheme="minorEastAsia"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6A353DC"/>
    <w:multiLevelType w:val="multilevel"/>
    <w:tmpl w:val="06A353D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076A22C6"/>
    <w:multiLevelType w:val="multilevel"/>
    <w:tmpl w:val="076A22C6"/>
    <w:lvl w:ilvl="0">
      <w:start w:val="1"/>
      <w:numFmt w:val="decimal"/>
      <w:suff w:val="nothing"/>
      <w:lvlText w:val="(%1)."/>
      <w:lvlJc w:val="left"/>
      <w:pPr>
        <w:ind w:left="0" w:firstLine="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80D0CFB"/>
    <w:multiLevelType w:val="multilevel"/>
    <w:tmpl w:val="080D0CFB"/>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DC97DB7"/>
    <w:multiLevelType w:val="multilevel"/>
    <w:tmpl w:val="0DC97DB7"/>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E103BA1"/>
    <w:multiLevelType w:val="multilevel"/>
    <w:tmpl w:val="0E103BA1"/>
    <w:lvl w:ilvl="0">
      <w:start w:val="1"/>
      <w:numFmt w:val="decimal"/>
      <w:suff w:val="space"/>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E1F5ED2"/>
    <w:multiLevelType w:val="multilevel"/>
    <w:tmpl w:val="0E1F5ED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0EE939DD"/>
    <w:multiLevelType w:val="multilevel"/>
    <w:tmpl w:val="0EE939DD"/>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FB258AF"/>
    <w:multiLevelType w:val="multilevel"/>
    <w:tmpl w:val="0FB258A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10A00340"/>
    <w:multiLevelType w:val="multilevel"/>
    <w:tmpl w:val="10A00340"/>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51215BB"/>
    <w:multiLevelType w:val="multilevel"/>
    <w:tmpl w:val="151215BB"/>
    <w:lvl w:ilvl="0">
      <w:start w:val="1"/>
      <w:numFmt w:val="decimal"/>
      <w:suff w:val="space"/>
      <w:lvlText w:val="(%1)."/>
      <w:lvlJc w:val="left"/>
      <w:pPr>
        <w:ind w:left="435" w:hanging="435"/>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5621257"/>
    <w:multiLevelType w:val="multilevel"/>
    <w:tmpl w:val="15621257"/>
    <w:lvl w:ilvl="0">
      <w:start w:val="1"/>
      <w:numFmt w:val="decimal"/>
      <w:lvlText w:val="%1."/>
      <w:lvlJc w:val="left"/>
      <w:pPr>
        <w:ind w:left="425" w:hanging="425"/>
      </w:pPr>
      <w:rPr>
        <w:rFonts w:hint="eastAsia"/>
      </w:rPr>
    </w:lvl>
    <w:lvl w:ilvl="1">
      <w:start w:val="1"/>
      <w:numFmt w:val="chineseCountingThousand"/>
      <w:suff w:val="space"/>
      <w:lvlText w:val="(%2)"/>
      <w:lvlJc w:val="left"/>
      <w:pPr>
        <w:ind w:left="425" w:hanging="425"/>
      </w:pPr>
      <w:rPr>
        <w:rFonts w:ascii="宋体" w:eastAsia="宋体" w:hAnsi="宋体"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17" w15:restartNumberingAfterBreak="0">
    <w:nsid w:val="185F3408"/>
    <w:multiLevelType w:val="multilevel"/>
    <w:tmpl w:val="185F340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15:restartNumberingAfterBreak="0">
    <w:nsid w:val="18982D2E"/>
    <w:multiLevelType w:val="multilevel"/>
    <w:tmpl w:val="18982D2E"/>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18A52FB9"/>
    <w:multiLevelType w:val="multilevel"/>
    <w:tmpl w:val="18A52FB9"/>
    <w:lvl w:ilvl="0">
      <w:start w:val="1"/>
      <w:numFmt w:val="chineseCountingThousand"/>
      <w:lvlText w:val="(%1)"/>
      <w:lvlJc w:val="left"/>
      <w:pPr>
        <w:ind w:left="420" w:hanging="420"/>
      </w:p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9B61093"/>
    <w:multiLevelType w:val="multilevel"/>
    <w:tmpl w:val="19B61093"/>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1B0970AA"/>
    <w:multiLevelType w:val="multilevel"/>
    <w:tmpl w:val="1B0970A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2" w15:restartNumberingAfterBreak="0">
    <w:nsid w:val="1C0A5E4B"/>
    <w:multiLevelType w:val="multilevel"/>
    <w:tmpl w:val="1C0A5E4B"/>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15:restartNumberingAfterBreak="0">
    <w:nsid w:val="1CEC30BF"/>
    <w:multiLevelType w:val="multilevel"/>
    <w:tmpl w:val="1CEC30BF"/>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1D11584D"/>
    <w:multiLevelType w:val="multilevel"/>
    <w:tmpl w:val="1D11584D"/>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1E235F8B"/>
    <w:multiLevelType w:val="multilevel"/>
    <w:tmpl w:val="1E235F8B"/>
    <w:lvl w:ilvl="0">
      <w:start w:val="1"/>
      <w:numFmt w:val="chineseCountingThousand"/>
      <w:lvlText w:val="第%1节"/>
      <w:lvlJc w:val="left"/>
      <w:pPr>
        <w:ind w:left="0" w:firstLine="0"/>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1F4131F6"/>
    <w:multiLevelType w:val="multilevel"/>
    <w:tmpl w:val="1F4131F6"/>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1F6D425C"/>
    <w:multiLevelType w:val="multilevel"/>
    <w:tmpl w:val="1F6D425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1F9677B9"/>
    <w:multiLevelType w:val="multilevel"/>
    <w:tmpl w:val="1F9677B9"/>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suff w:val="space"/>
      <w:lvlText w:val="(%4)."/>
      <w:lvlJc w:val="left"/>
      <w:pPr>
        <w:ind w:left="0" w:firstLine="0"/>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1FD019D7"/>
    <w:multiLevelType w:val="multilevel"/>
    <w:tmpl w:val="1FD019D7"/>
    <w:lvl w:ilvl="0">
      <w:start w:val="1"/>
      <w:numFmt w:val="decimal"/>
      <w:lvlText w:val="%1."/>
      <w:lvlJc w:val="left"/>
      <w:pPr>
        <w:ind w:left="425" w:hanging="425"/>
      </w:pPr>
      <w:rPr>
        <w:rFonts w:hint="eastAsia"/>
      </w:rPr>
    </w:lvl>
    <w:lvl w:ilvl="1">
      <w:start w:val="1"/>
      <w:numFmt w:val="chineseCountingThousand"/>
      <w:suff w:val="space"/>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15:restartNumberingAfterBreak="0">
    <w:nsid w:val="204F3B0A"/>
    <w:multiLevelType w:val="multilevel"/>
    <w:tmpl w:val="204F3B0A"/>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ascii="宋体" w:eastAsia="宋体" w:hAnsi="宋体" w:hint="eastAsia"/>
      </w:rPr>
    </w:lvl>
    <w:lvl w:ilvl="2">
      <w:start w:val="1"/>
      <w:numFmt w:val="chineseCountingThousand"/>
      <w:suff w:val="nothing"/>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1" w15:restartNumberingAfterBreak="0">
    <w:nsid w:val="2121200C"/>
    <w:multiLevelType w:val="multilevel"/>
    <w:tmpl w:val="212120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217F3B1B"/>
    <w:multiLevelType w:val="multilevel"/>
    <w:tmpl w:val="217F3B1B"/>
    <w:lvl w:ilvl="0">
      <w:start w:val="1"/>
      <w:numFmt w:val="decimal"/>
      <w:lvlText w:val="(%1)."/>
      <w:lvlJc w:val="left"/>
      <w:pPr>
        <w:ind w:left="0" w:firstLine="0"/>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21A7388C"/>
    <w:multiLevelType w:val="multilevel"/>
    <w:tmpl w:val="21A7388C"/>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15:restartNumberingAfterBreak="0">
    <w:nsid w:val="223C7FCF"/>
    <w:multiLevelType w:val="multilevel"/>
    <w:tmpl w:val="223C7FCF"/>
    <w:lvl w:ilvl="0">
      <w:start w:val="1"/>
      <w:numFmt w:val="decimal"/>
      <w:lvlText w:val="%1、 "/>
      <w:lvlJc w:val="left"/>
      <w:pPr>
        <w:ind w:left="545" w:hanging="440"/>
      </w:pPr>
      <w:rPr>
        <w:rFonts w:ascii="宋体" w:eastAsia="宋体" w:hAnsi="宋体" w:hint="eastAsia"/>
        <w:b/>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35" w15:restartNumberingAfterBreak="0">
    <w:nsid w:val="246C0E3A"/>
    <w:multiLevelType w:val="multilevel"/>
    <w:tmpl w:val="246C0E3A"/>
    <w:lvl w:ilvl="0">
      <w:start w:val="1"/>
      <w:numFmt w:val="decimal"/>
      <w:lvlText w:val="(%1). "/>
      <w:lvlJc w:val="left"/>
      <w:pPr>
        <w:ind w:left="425" w:hanging="425"/>
      </w:pPr>
      <w:rPr>
        <w:rFonts w:hint="eastAsia"/>
        <w:color w:val="auto"/>
        <w:u w:val="none"/>
      </w:rPr>
    </w:lvl>
    <w:lvl w:ilvl="1">
      <w:start w:val="1"/>
      <w:numFmt w:val="chineseCountingThousand"/>
      <w:suff w:val="space"/>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273131BF"/>
    <w:multiLevelType w:val="multilevel"/>
    <w:tmpl w:val="273131B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2AB9492A"/>
    <w:multiLevelType w:val="multilevel"/>
    <w:tmpl w:val="2AB9492A"/>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8" w15:restartNumberingAfterBreak="0">
    <w:nsid w:val="2ABA5091"/>
    <w:multiLevelType w:val="multilevel"/>
    <w:tmpl w:val="2ABA5091"/>
    <w:lvl w:ilvl="0">
      <w:start w:val="1"/>
      <w:numFmt w:val="chineseCountingThousand"/>
      <w:suff w:val="nothing"/>
      <w:lvlText w:val="%1、"/>
      <w:lvlJc w:val="left"/>
      <w:pPr>
        <w:ind w:left="450" w:hanging="45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2AF651E5"/>
    <w:multiLevelType w:val="multilevel"/>
    <w:tmpl w:val="2AF651E5"/>
    <w:lvl w:ilvl="0">
      <w:start w:val="1"/>
      <w:numFmt w:val="decimal"/>
      <w:suff w:val="nothing"/>
      <w:lvlText w:val="(%1). "/>
      <w:lvlJc w:val="left"/>
      <w:pPr>
        <w:ind w:left="420" w:hanging="420"/>
      </w:pPr>
      <w:rPr>
        <w:rFonts w:ascii="宋体" w:eastAsia="宋体" w:hAnsi="宋体"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2B081EE9"/>
    <w:multiLevelType w:val="multilevel"/>
    <w:tmpl w:val="2B081EE9"/>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15:restartNumberingAfterBreak="0">
    <w:nsid w:val="2C6C7566"/>
    <w:multiLevelType w:val="multilevel"/>
    <w:tmpl w:val="2C6C7566"/>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2" w15:restartNumberingAfterBreak="0">
    <w:nsid w:val="2C7D045A"/>
    <w:multiLevelType w:val="multilevel"/>
    <w:tmpl w:val="2C7D045A"/>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2D376212"/>
    <w:multiLevelType w:val="multilevel"/>
    <w:tmpl w:val="2D376212"/>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44" w15:restartNumberingAfterBreak="0">
    <w:nsid w:val="2DE55932"/>
    <w:multiLevelType w:val="multilevel"/>
    <w:tmpl w:val="2DE55932"/>
    <w:lvl w:ilvl="0">
      <w:start w:val="1"/>
      <w:numFmt w:val="chineseCountingThousand"/>
      <w:suff w:val="nothing"/>
      <w:lvlText w:val="%1、"/>
      <w:lvlJc w:val="left"/>
      <w:pPr>
        <w:ind w:left="1272" w:hanging="420"/>
      </w:pPr>
      <w:rPr>
        <w:rFonts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304B6811"/>
    <w:multiLevelType w:val="multilevel"/>
    <w:tmpl w:val="304B6811"/>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46" w15:restartNumberingAfterBreak="0">
    <w:nsid w:val="31042AC8"/>
    <w:multiLevelType w:val="multilevel"/>
    <w:tmpl w:val="31042AC8"/>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7" w15:restartNumberingAfterBreak="0">
    <w:nsid w:val="322A2C22"/>
    <w:multiLevelType w:val="multilevel"/>
    <w:tmpl w:val="322A2C22"/>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326F7C0F"/>
    <w:multiLevelType w:val="multilevel"/>
    <w:tmpl w:val="326F7C0F"/>
    <w:lvl w:ilvl="0">
      <w:start w:val="1"/>
      <w:numFmt w:val="decimal"/>
      <w:suff w:val="nothing"/>
      <w:lvlText w:val="(%1)."/>
      <w:lvlJc w:val="left"/>
      <w:pPr>
        <w:ind w:left="420" w:hanging="420"/>
      </w:pPr>
      <w:rPr>
        <w:rFonts w:asciiTheme="minorEastAsia" w:eastAsia="宋体" w:hAnsiTheme="min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3438131C"/>
    <w:multiLevelType w:val="multilevel"/>
    <w:tmpl w:val="343813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346B3069"/>
    <w:multiLevelType w:val="multilevel"/>
    <w:tmpl w:val="346B3069"/>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1" w15:restartNumberingAfterBreak="0">
    <w:nsid w:val="352D39A8"/>
    <w:multiLevelType w:val="multilevel"/>
    <w:tmpl w:val="352D39A8"/>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37C3610E"/>
    <w:multiLevelType w:val="multilevel"/>
    <w:tmpl w:val="37C3610E"/>
    <w:lvl w:ilvl="0">
      <w:start w:val="1"/>
      <w:numFmt w:val="chineseCountingThousand"/>
      <w:lvlText w:val="%1、"/>
      <w:lvlJc w:val="left"/>
      <w:pPr>
        <w:ind w:left="0" w:firstLine="0"/>
      </w:pPr>
      <w:rPr>
        <w:rFonts w:hint="default"/>
        <w:b/>
        <w:i w:val="0"/>
        <w:color w:val="auto"/>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391941CF"/>
    <w:multiLevelType w:val="multilevel"/>
    <w:tmpl w:val="391941CF"/>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4" w15:restartNumberingAfterBreak="0">
    <w:nsid w:val="3A0E649E"/>
    <w:multiLevelType w:val="multilevel"/>
    <w:tmpl w:val="3A0E649E"/>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5" w15:restartNumberingAfterBreak="0">
    <w:nsid w:val="3D2B6D0A"/>
    <w:multiLevelType w:val="multilevel"/>
    <w:tmpl w:val="3D2B6D0A"/>
    <w:lvl w:ilvl="0">
      <w:start w:val="1"/>
      <w:numFmt w:val="chineseCountingThousand"/>
      <w:suff w:val="space"/>
      <w:lvlText w:val="(%1)"/>
      <w:lvlJc w:val="left"/>
      <w:pPr>
        <w:ind w:left="420" w:hanging="420"/>
      </w:pPr>
      <w:rPr>
        <w:rFonts w:ascii="宋体" w:eastAsia="宋体" w:hAnsi="宋体" w:hint="eastAsia"/>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3D411AC0"/>
    <w:multiLevelType w:val="multilevel"/>
    <w:tmpl w:val="3D411AC0"/>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7" w15:restartNumberingAfterBreak="0">
    <w:nsid w:val="3D620F38"/>
    <w:multiLevelType w:val="multilevel"/>
    <w:tmpl w:val="3D620F38"/>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3DC039A2"/>
    <w:multiLevelType w:val="multilevel"/>
    <w:tmpl w:val="3DC039A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9" w15:restartNumberingAfterBreak="0">
    <w:nsid w:val="3EA740FE"/>
    <w:multiLevelType w:val="multilevel"/>
    <w:tmpl w:val="3EA740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15:restartNumberingAfterBreak="0">
    <w:nsid w:val="3F1C5616"/>
    <w:multiLevelType w:val="multilevel"/>
    <w:tmpl w:val="3F1C5616"/>
    <w:lvl w:ilvl="0">
      <w:start w:val="1"/>
      <w:numFmt w:val="japaneseCounting"/>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3FAB46A5"/>
    <w:multiLevelType w:val="multilevel"/>
    <w:tmpl w:val="3FAB46A5"/>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2" w15:restartNumberingAfterBreak="0">
    <w:nsid w:val="401A73B0"/>
    <w:multiLevelType w:val="multilevel"/>
    <w:tmpl w:val="401A73B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15:restartNumberingAfterBreak="0">
    <w:nsid w:val="40973487"/>
    <w:multiLevelType w:val="multilevel"/>
    <w:tmpl w:val="40973487"/>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4" w15:restartNumberingAfterBreak="0">
    <w:nsid w:val="414422AC"/>
    <w:multiLevelType w:val="multilevel"/>
    <w:tmpl w:val="414422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65" w15:restartNumberingAfterBreak="0">
    <w:nsid w:val="41CF53AC"/>
    <w:multiLevelType w:val="multilevel"/>
    <w:tmpl w:val="41CF53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66" w15:restartNumberingAfterBreak="0">
    <w:nsid w:val="42F33200"/>
    <w:multiLevelType w:val="multilevel"/>
    <w:tmpl w:val="42F33200"/>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15:restartNumberingAfterBreak="0">
    <w:nsid w:val="44360F32"/>
    <w:multiLevelType w:val="multilevel"/>
    <w:tmpl w:val="44360F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8" w15:restartNumberingAfterBreak="0">
    <w:nsid w:val="452D24C2"/>
    <w:multiLevelType w:val="multilevel"/>
    <w:tmpl w:val="452D24C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15:restartNumberingAfterBreak="0">
    <w:nsid w:val="453722AE"/>
    <w:multiLevelType w:val="multilevel"/>
    <w:tmpl w:val="453722AE"/>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0" w15:restartNumberingAfterBreak="0">
    <w:nsid w:val="45D95701"/>
    <w:multiLevelType w:val="multilevel"/>
    <w:tmpl w:val="45D9570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1" w15:restartNumberingAfterBreak="0">
    <w:nsid w:val="45EE0604"/>
    <w:multiLevelType w:val="multilevel"/>
    <w:tmpl w:val="45EE0604"/>
    <w:lvl w:ilvl="0">
      <w:start w:val="1"/>
      <w:numFmt w:val="japaneseCounting"/>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2" w15:restartNumberingAfterBreak="0">
    <w:nsid w:val="463E0B3C"/>
    <w:multiLevelType w:val="multilevel"/>
    <w:tmpl w:val="463E0B3C"/>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15:restartNumberingAfterBreak="0">
    <w:nsid w:val="46E20981"/>
    <w:multiLevelType w:val="multilevel"/>
    <w:tmpl w:val="46E2098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4" w15:restartNumberingAfterBreak="0">
    <w:nsid w:val="49C71EB0"/>
    <w:multiLevelType w:val="multilevel"/>
    <w:tmpl w:val="49C71EB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5" w15:restartNumberingAfterBreak="0">
    <w:nsid w:val="4A125FEF"/>
    <w:multiLevelType w:val="multilevel"/>
    <w:tmpl w:val="4A125FEF"/>
    <w:lvl w:ilvl="0">
      <w:start w:val="1"/>
      <w:numFmt w:val="decimal"/>
      <w:lvlText w:val="%1、"/>
      <w:lvlJc w:val="left"/>
      <w:pPr>
        <w:ind w:left="420" w:hanging="420"/>
      </w:pPr>
      <w:rPr>
        <w:rFonts w:asciiTheme="majorEastAsia" w:eastAsia="宋体" w:hAnsiTheme="majorEastAsia"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4AC23DB8"/>
    <w:multiLevelType w:val="multilevel"/>
    <w:tmpl w:val="4AC23DB8"/>
    <w:lvl w:ilvl="0">
      <w:start w:val="1"/>
      <w:numFmt w:val="chineseCountingThousand"/>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4ACD5C44"/>
    <w:multiLevelType w:val="multilevel"/>
    <w:tmpl w:val="4ACD5C44"/>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4B8A1F74"/>
    <w:multiLevelType w:val="multilevel"/>
    <w:tmpl w:val="4B8A1F7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9" w15:restartNumberingAfterBreak="0">
    <w:nsid w:val="4FF23454"/>
    <w:multiLevelType w:val="multilevel"/>
    <w:tmpl w:val="4FF23454"/>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0" w15:restartNumberingAfterBreak="0">
    <w:nsid w:val="50F33864"/>
    <w:multiLevelType w:val="multilevel"/>
    <w:tmpl w:val="50F33864"/>
    <w:lvl w:ilvl="0">
      <w:start w:val="1"/>
      <w:numFmt w:val="chineseCountingThousand"/>
      <w:lvlText w:val="(%1)"/>
      <w:lvlJc w:val="right"/>
      <w:pPr>
        <w:ind w:left="1260" w:hanging="420"/>
      </w:pPr>
      <w:rPr>
        <w:rFonts w:hint="eastAsia"/>
      </w:rPr>
    </w:lvl>
    <w:lvl w:ilvl="1">
      <w:start w:val="1"/>
      <w:numFmt w:val="lowerLetter"/>
      <w:lvlText w:val="%2)"/>
      <w:lvlJc w:val="left"/>
      <w:pPr>
        <w:ind w:left="840" w:hanging="420"/>
      </w:pPr>
    </w:lvl>
    <w:lvl w:ilvl="2">
      <w:start w:val="1"/>
      <w:numFmt w:val="chineseCountingThousand"/>
      <w:lvlText w:val="(%3)"/>
      <w:lvlJc w:val="right"/>
      <w:pPr>
        <w:ind w:left="420" w:hanging="420"/>
      </w:pPr>
      <w:rPr>
        <w:rFonts w:hint="eastAsia"/>
      </w:rPr>
    </w:lvl>
    <w:lvl w:ilvl="3">
      <w:start w:val="1"/>
      <w:numFmt w:val="chineseCountingThousand"/>
      <w:suff w:val="nothing"/>
      <w:lvlText w:val="(%4)"/>
      <w:lvlJc w:val="left"/>
      <w:pPr>
        <w:ind w:left="0" w:firstLine="0"/>
      </w:pPr>
      <w:rPr>
        <w:rFonts w:ascii="宋体" w:eastAsia="宋体" w:hAnsi="宋体" w:hint="eastAsia"/>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1" w15:restartNumberingAfterBreak="0">
    <w:nsid w:val="511727FE"/>
    <w:multiLevelType w:val="multilevel"/>
    <w:tmpl w:val="511727F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2" w15:restartNumberingAfterBreak="0">
    <w:nsid w:val="51265863"/>
    <w:multiLevelType w:val="multilevel"/>
    <w:tmpl w:val="51265863"/>
    <w:lvl w:ilvl="0">
      <w:start w:val="1"/>
      <w:numFmt w:val="chineseCountingThousand"/>
      <w:lvlText w:val="(%1)"/>
      <w:lvlJc w:val="left"/>
      <w:pPr>
        <w:ind w:left="420" w:hanging="420"/>
      </w:pPr>
    </w:lvl>
    <w:lvl w:ilvl="1">
      <w:start w:val="1"/>
      <w:numFmt w:val="decimal"/>
      <w:lvlText w:val="(%2). "/>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3" w15:restartNumberingAfterBreak="0">
    <w:nsid w:val="520C604D"/>
    <w:multiLevelType w:val="multilevel"/>
    <w:tmpl w:val="520C604D"/>
    <w:lvl w:ilvl="0">
      <w:start w:val="1"/>
      <w:numFmt w:val="decimal"/>
      <w:suff w:val="space"/>
      <w:lvlText w:val="(%1)."/>
      <w:lvlJc w:val="left"/>
      <w:pPr>
        <w:ind w:left="0" w:firstLine="0"/>
      </w:pPr>
      <w:rPr>
        <w:rFonts w:asciiTheme="minorEastAsia" w:eastAsia="宋体" w:hAnsiTheme="minorEastAsia"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4" w15:restartNumberingAfterBreak="0">
    <w:nsid w:val="531A49E7"/>
    <w:multiLevelType w:val="multilevel"/>
    <w:tmpl w:val="531A49E7"/>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5" w15:restartNumberingAfterBreak="0">
    <w:nsid w:val="542027AB"/>
    <w:multiLevelType w:val="multilevel"/>
    <w:tmpl w:val="542027AB"/>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6" w15:restartNumberingAfterBreak="0">
    <w:nsid w:val="573E2AF3"/>
    <w:multiLevelType w:val="multilevel"/>
    <w:tmpl w:val="573E2AF3"/>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87" w15:restartNumberingAfterBreak="0">
    <w:nsid w:val="57D70C03"/>
    <w:multiLevelType w:val="multilevel"/>
    <w:tmpl w:val="57D70C0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15:restartNumberingAfterBreak="0">
    <w:nsid w:val="58C25FCB"/>
    <w:multiLevelType w:val="multilevel"/>
    <w:tmpl w:val="58C25FCB"/>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9" w15:restartNumberingAfterBreak="0">
    <w:nsid w:val="59862246"/>
    <w:multiLevelType w:val="multilevel"/>
    <w:tmpl w:val="5986224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15:restartNumberingAfterBreak="0">
    <w:nsid w:val="59EF7C0F"/>
    <w:multiLevelType w:val="multilevel"/>
    <w:tmpl w:val="59EF7C0F"/>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15:restartNumberingAfterBreak="0">
    <w:nsid w:val="5BDC5A30"/>
    <w:multiLevelType w:val="multilevel"/>
    <w:tmpl w:val="5BDC5A3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2" w15:restartNumberingAfterBreak="0">
    <w:nsid w:val="5C673432"/>
    <w:multiLevelType w:val="multilevel"/>
    <w:tmpl w:val="5C6734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3" w15:restartNumberingAfterBreak="0">
    <w:nsid w:val="5CA85E2E"/>
    <w:multiLevelType w:val="multilevel"/>
    <w:tmpl w:val="5CA85E2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15:restartNumberingAfterBreak="0">
    <w:nsid w:val="5CED316C"/>
    <w:multiLevelType w:val="multilevel"/>
    <w:tmpl w:val="5CED316C"/>
    <w:lvl w:ilvl="0">
      <w:start w:val="1"/>
      <w:numFmt w:val="decimal"/>
      <w:suff w:val="space"/>
      <w:lvlText w:val="(%1)."/>
      <w:lvlJc w:val="left"/>
      <w:pPr>
        <w:ind w:left="360" w:hanging="36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5" w15:restartNumberingAfterBreak="0">
    <w:nsid w:val="5D107713"/>
    <w:multiLevelType w:val="multilevel"/>
    <w:tmpl w:val="5D10771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15:restartNumberingAfterBreak="0">
    <w:nsid w:val="5D9A1F7E"/>
    <w:multiLevelType w:val="multilevel"/>
    <w:tmpl w:val="5D9A1F7E"/>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7" w15:restartNumberingAfterBreak="0">
    <w:nsid w:val="5DB24638"/>
    <w:multiLevelType w:val="multilevel"/>
    <w:tmpl w:val="5DB2463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8" w15:restartNumberingAfterBreak="0">
    <w:nsid w:val="5DD2799E"/>
    <w:multiLevelType w:val="multilevel"/>
    <w:tmpl w:val="5DD2799E"/>
    <w:lvl w:ilvl="0">
      <w:start w:val="1"/>
      <w:numFmt w:val="decimal"/>
      <w:lvlText w:val="%1、 "/>
      <w:lvlJc w:val="left"/>
      <w:pPr>
        <w:ind w:left="440" w:hanging="440"/>
      </w:pPr>
      <w:rPr>
        <w:rFonts w:ascii="宋体" w:eastAsia="宋体" w:hAnsi="宋体" w:hint="eastAsia"/>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9" w15:restartNumberingAfterBreak="0">
    <w:nsid w:val="5DED1C0B"/>
    <w:multiLevelType w:val="multilevel"/>
    <w:tmpl w:val="5DED1C0B"/>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00" w15:restartNumberingAfterBreak="0">
    <w:nsid w:val="5F405219"/>
    <w:multiLevelType w:val="multilevel"/>
    <w:tmpl w:val="5F405219"/>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1" w15:restartNumberingAfterBreak="0">
    <w:nsid w:val="60421A59"/>
    <w:multiLevelType w:val="multilevel"/>
    <w:tmpl w:val="60421A59"/>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63C5513C"/>
    <w:multiLevelType w:val="multilevel"/>
    <w:tmpl w:val="63C5513C"/>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3" w15:restartNumberingAfterBreak="0">
    <w:nsid w:val="650F40B7"/>
    <w:multiLevelType w:val="multilevel"/>
    <w:tmpl w:val="650F40B7"/>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4" w15:restartNumberingAfterBreak="0">
    <w:nsid w:val="67183EE7"/>
    <w:multiLevelType w:val="multilevel"/>
    <w:tmpl w:val="67183EE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5" w15:restartNumberingAfterBreak="0">
    <w:nsid w:val="69535DE9"/>
    <w:multiLevelType w:val="multilevel"/>
    <w:tmpl w:val="69535DE9"/>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6" w15:restartNumberingAfterBreak="0">
    <w:nsid w:val="6B96254F"/>
    <w:multiLevelType w:val="multilevel"/>
    <w:tmpl w:val="6B96254F"/>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7" w15:restartNumberingAfterBreak="0">
    <w:nsid w:val="6F111C3A"/>
    <w:multiLevelType w:val="multilevel"/>
    <w:tmpl w:val="6F111C3A"/>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8" w15:restartNumberingAfterBreak="0">
    <w:nsid w:val="700C4404"/>
    <w:multiLevelType w:val="multilevel"/>
    <w:tmpl w:val="700C4404"/>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09" w15:restartNumberingAfterBreak="0">
    <w:nsid w:val="701D5786"/>
    <w:multiLevelType w:val="multilevel"/>
    <w:tmpl w:val="701D5786"/>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0" w15:restartNumberingAfterBreak="0">
    <w:nsid w:val="70A4034A"/>
    <w:multiLevelType w:val="multilevel"/>
    <w:tmpl w:val="70A4034A"/>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15:restartNumberingAfterBreak="0">
    <w:nsid w:val="70E42A22"/>
    <w:multiLevelType w:val="multilevel"/>
    <w:tmpl w:val="70E42A2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2" w15:restartNumberingAfterBreak="0">
    <w:nsid w:val="71052507"/>
    <w:multiLevelType w:val="multilevel"/>
    <w:tmpl w:val="71052507"/>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13" w15:restartNumberingAfterBreak="0">
    <w:nsid w:val="71D36D86"/>
    <w:multiLevelType w:val="multilevel"/>
    <w:tmpl w:val="71D36D86"/>
    <w:lvl w:ilvl="0">
      <w:start w:val="1"/>
      <w:numFmt w:val="decimal"/>
      <w:suff w:val="space"/>
      <w:lvlText w:val="(%1)."/>
      <w:lvlJc w:val="left"/>
      <w:pPr>
        <w:ind w:left="360" w:hanging="36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4" w15:restartNumberingAfterBreak="0">
    <w:nsid w:val="728231A6"/>
    <w:multiLevelType w:val="multilevel"/>
    <w:tmpl w:val="728231A6"/>
    <w:lvl w:ilvl="0">
      <w:start w:val="1"/>
      <w:numFmt w:val="decimal"/>
      <w:suff w:val="space"/>
      <w:lvlText w:val="(%1)."/>
      <w:lvlJc w:val="left"/>
      <w:pPr>
        <w:ind w:left="0" w:firstLine="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5" w15:restartNumberingAfterBreak="0">
    <w:nsid w:val="73FB28AC"/>
    <w:multiLevelType w:val="multilevel"/>
    <w:tmpl w:val="73FB28AC"/>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6" w15:restartNumberingAfterBreak="0">
    <w:nsid w:val="7405377B"/>
    <w:multiLevelType w:val="multilevel"/>
    <w:tmpl w:val="7405377B"/>
    <w:lvl w:ilvl="0">
      <w:start w:val="1"/>
      <w:numFmt w:val="chineseCountingThousand"/>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7" w15:restartNumberingAfterBreak="0">
    <w:nsid w:val="75482B44"/>
    <w:multiLevelType w:val="multilevel"/>
    <w:tmpl w:val="75482B44"/>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8" w15:restartNumberingAfterBreak="0">
    <w:nsid w:val="76B4167B"/>
    <w:multiLevelType w:val="multilevel"/>
    <w:tmpl w:val="76B4167B"/>
    <w:lvl w:ilvl="0">
      <w:start w:val="1"/>
      <w:numFmt w:val="decimal"/>
      <w:lvlText w:val="%1、"/>
      <w:lvlJc w:val="left"/>
      <w:pPr>
        <w:ind w:left="420" w:hanging="420"/>
      </w:pPr>
      <w:rPr>
        <w:rFonts w:ascii="宋体" w:eastAsia="宋体" w:hAnsi="宋体"/>
        <w:b/>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9" w15:restartNumberingAfterBreak="0">
    <w:nsid w:val="76DD5C82"/>
    <w:multiLevelType w:val="multilevel"/>
    <w:tmpl w:val="76DD5C82"/>
    <w:lvl w:ilvl="0">
      <w:start w:val="1"/>
      <w:numFmt w:val="decimal"/>
      <w:suff w:val="nothing"/>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0" w15:restartNumberingAfterBreak="0">
    <w:nsid w:val="77111D1D"/>
    <w:multiLevelType w:val="multilevel"/>
    <w:tmpl w:val="77111D1D"/>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1" w15:restartNumberingAfterBreak="0">
    <w:nsid w:val="77194021"/>
    <w:multiLevelType w:val="multilevel"/>
    <w:tmpl w:val="7719402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2" w15:restartNumberingAfterBreak="0">
    <w:nsid w:val="772B7E65"/>
    <w:multiLevelType w:val="multilevel"/>
    <w:tmpl w:val="772B7E65"/>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3" w15:restartNumberingAfterBreak="0">
    <w:nsid w:val="787035DE"/>
    <w:multiLevelType w:val="multilevel"/>
    <w:tmpl w:val="787035D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4" w15:restartNumberingAfterBreak="0">
    <w:nsid w:val="7A1266A0"/>
    <w:multiLevelType w:val="multilevel"/>
    <w:tmpl w:val="7A1266A0"/>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5" w15:restartNumberingAfterBreak="0">
    <w:nsid w:val="7B1E025F"/>
    <w:multiLevelType w:val="multilevel"/>
    <w:tmpl w:val="7B1E025F"/>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6" w15:restartNumberingAfterBreak="0">
    <w:nsid w:val="7C5239AC"/>
    <w:multiLevelType w:val="multilevel"/>
    <w:tmpl w:val="7C5239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27" w15:restartNumberingAfterBreak="0">
    <w:nsid w:val="7D07444B"/>
    <w:multiLevelType w:val="multilevel"/>
    <w:tmpl w:val="7D07444B"/>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15:restartNumberingAfterBreak="0">
    <w:nsid w:val="7D1B5BAE"/>
    <w:multiLevelType w:val="multilevel"/>
    <w:tmpl w:val="7D1B5BA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9" w15:restartNumberingAfterBreak="0">
    <w:nsid w:val="7DDF1B1D"/>
    <w:multiLevelType w:val="multilevel"/>
    <w:tmpl w:val="7DDF1B1D"/>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0" w15:restartNumberingAfterBreak="0">
    <w:nsid w:val="7E7E7E18"/>
    <w:multiLevelType w:val="multilevel"/>
    <w:tmpl w:val="7E7E7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1" w15:restartNumberingAfterBreak="0">
    <w:nsid w:val="7FCC199E"/>
    <w:multiLevelType w:val="multilevel"/>
    <w:tmpl w:val="7FCC199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282229139">
    <w:abstractNumId w:val="52"/>
  </w:num>
  <w:num w:numId="2" w16cid:durableId="1322343136">
    <w:abstractNumId w:val="25"/>
  </w:num>
  <w:num w:numId="3" w16cid:durableId="2098356971">
    <w:abstractNumId w:val="4"/>
  </w:num>
  <w:num w:numId="4" w16cid:durableId="1155144833">
    <w:abstractNumId w:val="35"/>
  </w:num>
  <w:num w:numId="5" w16cid:durableId="258148265">
    <w:abstractNumId w:val="30"/>
  </w:num>
  <w:num w:numId="6" w16cid:durableId="1839223597">
    <w:abstractNumId w:val="82"/>
  </w:num>
  <w:num w:numId="7" w16cid:durableId="713238696">
    <w:abstractNumId w:val="44"/>
  </w:num>
  <w:num w:numId="8" w16cid:durableId="329211977">
    <w:abstractNumId w:val="55"/>
  </w:num>
  <w:num w:numId="9" w16cid:durableId="478306754">
    <w:abstractNumId w:val="47"/>
  </w:num>
  <w:num w:numId="10" w16cid:durableId="1574854224">
    <w:abstractNumId w:val="32"/>
  </w:num>
  <w:num w:numId="11" w16cid:durableId="926040001">
    <w:abstractNumId w:val="48"/>
  </w:num>
  <w:num w:numId="12" w16cid:durableId="1300380181">
    <w:abstractNumId w:val="24"/>
  </w:num>
  <w:num w:numId="13" w16cid:durableId="1240675795">
    <w:abstractNumId w:val="114"/>
  </w:num>
  <w:num w:numId="14" w16cid:durableId="1527256214">
    <w:abstractNumId w:val="34"/>
  </w:num>
  <w:num w:numId="15" w16cid:durableId="1909150741">
    <w:abstractNumId w:val="56"/>
  </w:num>
  <w:num w:numId="16" w16cid:durableId="950358515">
    <w:abstractNumId w:val="96"/>
  </w:num>
  <w:num w:numId="17" w16cid:durableId="502357495">
    <w:abstractNumId w:val="80"/>
  </w:num>
  <w:num w:numId="18" w16cid:durableId="140780105">
    <w:abstractNumId w:val="90"/>
  </w:num>
  <w:num w:numId="19" w16cid:durableId="1545021126">
    <w:abstractNumId w:val="60"/>
  </w:num>
  <w:num w:numId="20" w16cid:durableId="1817839590">
    <w:abstractNumId w:val="54"/>
  </w:num>
  <w:num w:numId="21" w16cid:durableId="1941527087">
    <w:abstractNumId w:val="72"/>
  </w:num>
  <w:num w:numId="22" w16cid:durableId="1641575297">
    <w:abstractNumId w:val="71"/>
  </w:num>
  <w:num w:numId="23" w16cid:durableId="1346442932">
    <w:abstractNumId w:val="23"/>
  </w:num>
  <w:num w:numId="24" w16cid:durableId="742526075">
    <w:abstractNumId w:val="19"/>
  </w:num>
  <w:num w:numId="25" w16cid:durableId="1228494867">
    <w:abstractNumId w:val="37"/>
  </w:num>
  <w:num w:numId="26" w16cid:durableId="105857471">
    <w:abstractNumId w:val="9"/>
  </w:num>
  <w:num w:numId="27" w16cid:durableId="1375619367">
    <w:abstractNumId w:val="46"/>
  </w:num>
  <w:num w:numId="28" w16cid:durableId="147329416">
    <w:abstractNumId w:val="29"/>
  </w:num>
  <w:num w:numId="29" w16cid:durableId="239218845">
    <w:abstractNumId w:val="110"/>
  </w:num>
  <w:num w:numId="30" w16cid:durableId="1031343046">
    <w:abstractNumId w:val="2"/>
  </w:num>
  <w:num w:numId="31" w16cid:durableId="1469662747">
    <w:abstractNumId w:val="70"/>
  </w:num>
  <w:num w:numId="32" w16cid:durableId="486096867">
    <w:abstractNumId w:val="125"/>
  </w:num>
  <w:num w:numId="33" w16cid:durableId="2094276660">
    <w:abstractNumId w:val="85"/>
  </w:num>
  <w:num w:numId="34" w16cid:durableId="1989896628">
    <w:abstractNumId w:val="57"/>
  </w:num>
  <w:num w:numId="35" w16cid:durableId="1151018571">
    <w:abstractNumId w:val="76"/>
  </w:num>
  <w:num w:numId="36" w16cid:durableId="187064821">
    <w:abstractNumId w:val="75"/>
  </w:num>
  <w:num w:numId="37" w16cid:durableId="1110321914">
    <w:abstractNumId w:val="106"/>
  </w:num>
  <w:num w:numId="38" w16cid:durableId="1264151397">
    <w:abstractNumId w:val="83"/>
  </w:num>
  <w:num w:numId="39" w16cid:durableId="782189084">
    <w:abstractNumId w:val="5"/>
  </w:num>
  <w:num w:numId="40" w16cid:durableId="490603845">
    <w:abstractNumId w:val="122"/>
  </w:num>
  <w:num w:numId="41" w16cid:durableId="1052731367">
    <w:abstractNumId w:val="88"/>
  </w:num>
  <w:num w:numId="42" w16cid:durableId="516579395">
    <w:abstractNumId w:val="104"/>
  </w:num>
  <w:num w:numId="43" w16cid:durableId="590818361">
    <w:abstractNumId w:val="38"/>
  </w:num>
  <w:num w:numId="44" w16cid:durableId="372656714">
    <w:abstractNumId w:val="111"/>
  </w:num>
  <w:num w:numId="45" w16cid:durableId="59909006">
    <w:abstractNumId w:val="92"/>
  </w:num>
  <w:num w:numId="46" w16cid:durableId="2076777797">
    <w:abstractNumId w:val="33"/>
  </w:num>
  <w:num w:numId="47" w16cid:durableId="211229742">
    <w:abstractNumId w:val="16"/>
  </w:num>
  <w:num w:numId="48" w16cid:durableId="1530987780">
    <w:abstractNumId w:val="116"/>
  </w:num>
  <w:num w:numId="49" w16cid:durableId="1321233921">
    <w:abstractNumId w:val="26"/>
  </w:num>
  <w:num w:numId="50" w16cid:durableId="1501577063">
    <w:abstractNumId w:val="68"/>
  </w:num>
  <w:num w:numId="51" w16cid:durableId="427114901">
    <w:abstractNumId w:val="20"/>
  </w:num>
  <w:num w:numId="52" w16cid:durableId="360204810">
    <w:abstractNumId w:val="120"/>
  </w:num>
  <w:num w:numId="53" w16cid:durableId="274604768">
    <w:abstractNumId w:val="66"/>
  </w:num>
  <w:num w:numId="54" w16cid:durableId="1954439254">
    <w:abstractNumId w:val="58"/>
  </w:num>
  <w:num w:numId="55" w16cid:durableId="1321620712">
    <w:abstractNumId w:val="1"/>
  </w:num>
  <w:num w:numId="56" w16cid:durableId="1883520517">
    <w:abstractNumId w:val="31"/>
  </w:num>
  <w:num w:numId="57" w16cid:durableId="1456144779">
    <w:abstractNumId w:val="107"/>
  </w:num>
  <w:num w:numId="58" w16cid:durableId="1720863251">
    <w:abstractNumId w:val="18"/>
  </w:num>
  <w:num w:numId="59" w16cid:durableId="662397080">
    <w:abstractNumId w:val="28"/>
  </w:num>
  <w:num w:numId="60" w16cid:durableId="812604857">
    <w:abstractNumId w:val="109"/>
  </w:num>
  <w:num w:numId="61" w16cid:durableId="133714962">
    <w:abstractNumId w:val="118"/>
  </w:num>
  <w:num w:numId="62" w16cid:durableId="1330402369">
    <w:abstractNumId w:val="93"/>
  </w:num>
  <w:num w:numId="63" w16cid:durableId="72548709">
    <w:abstractNumId w:val="17"/>
  </w:num>
  <w:num w:numId="64" w16cid:durableId="1322391258">
    <w:abstractNumId w:val="121"/>
  </w:num>
  <w:num w:numId="65" w16cid:durableId="837966843">
    <w:abstractNumId w:val="102"/>
  </w:num>
  <w:num w:numId="66" w16cid:durableId="698510891">
    <w:abstractNumId w:val="73"/>
  </w:num>
  <w:num w:numId="67" w16cid:durableId="75635533">
    <w:abstractNumId w:val="45"/>
  </w:num>
  <w:num w:numId="68" w16cid:durableId="1118109889">
    <w:abstractNumId w:val="126"/>
  </w:num>
  <w:num w:numId="69" w16cid:durableId="1882328058">
    <w:abstractNumId w:val="43"/>
  </w:num>
  <w:num w:numId="70" w16cid:durableId="2018116410">
    <w:abstractNumId w:val="62"/>
  </w:num>
  <w:num w:numId="71" w16cid:durableId="153958397">
    <w:abstractNumId w:val="130"/>
  </w:num>
  <w:num w:numId="72" w16cid:durableId="959843221">
    <w:abstractNumId w:val="131"/>
  </w:num>
  <w:num w:numId="73" w16cid:durableId="1524630374">
    <w:abstractNumId w:val="36"/>
  </w:num>
  <w:num w:numId="74" w16cid:durableId="246112813">
    <w:abstractNumId w:val="100"/>
  </w:num>
  <w:num w:numId="75" w16cid:durableId="1753696199">
    <w:abstractNumId w:val="13"/>
  </w:num>
  <w:num w:numId="76" w16cid:durableId="5911746">
    <w:abstractNumId w:val="50"/>
  </w:num>
  <w:num w:numId="77" w16cid:durableId="980040390">
    <w:abstractNumId w:val="99"/>
  </w:num>
  <w:num w:numId="78" w16cid:durableId="1486118110">
    <w:abstractNumId w:val="64"/>
  </w:num>
  <w:num w:numId="79" w16cid:durableId="1575433171">
    <w:abstractNumId w:val="91"/>
  </w:num>
  <w:num w:numId="80" w16cid:durableId="1919510278">
    <w:abstractNumId w:val="103"/>
  </w:num>
  <w:num w:numId="81" w16cid:durableId="482548502">
    <w:abstractNumId w:val="10"/>
  </w:num>
  <w:num w:numId="82" w16cid:durableId="2145154459">
    <w:abstractNumId w:val="74"/>
  </w:num>
  <w:num w:numId="83" w16cid:durableId="289482735">
    <w:abstractNumId w:val="67"/>
  </w:num>
  <w:num w:numId="84" w16cid:durableId="1504472209">
    <w:abstractNumId w:val="123"/>
  </w:num>
  <w:num w:numId="85" w16cid:durableId="722944763">
    <w:abstractNumId w:val="27"/>
  </w:num>
  <w:num w:numId="86" w16cid:durableId="1761179822">
    <w:abstractNumId w:val="77"/>
  </w:num>
  <w:num w:numId="87" w16cid:durableId="757093641">
    <w:abstractNumId w:val="128"/>
  </w:num>
  <w:num w:numId="88" w16cid:durableId="1531996001">
    <w:abstractNumId w:val="39"/>
  </w:num>
  <w:num w:numId="89" w16cid:durableId="931358664">
    <w:abstractNumId w:val="127"/>
  </w:num>
  <w:num w:numId="90" w16cid:durableId="1808432157">
    <w:abstractNumId w:val="95"/>
  </w:num>
  <w:num w:numId="91" w16cid:durableId="1239171194">
    <w:abstractNumId w:val="22"/>
  </w:num>
  <w:num w:numId="92" w16cid:durableId="860358319">
    <w:abstractNumId w:val="129"/>
  </w:num>
  <w:num w:numId="93" w16cid:durableId="881986054">
    <w:abstractNumId w:val="14"/>
  </w:num>
  <w:num w:numId="94" w16cid:durableId="1636569975">
    <w:abstractNumId w:val="108"/>
  </w:num>
  <w:num w:numId="95" w16cid:durableId="998114262">
    <w:abstractNumId w:val="65"/>
  </w:num>
  <w:num w:numId="96" w16cid:durableId="1672836321">
    <w:abstractNumId w:val="79"/>
  </w:num>
  <w:num w:numId="97" w16cid:durableId="1344161946">
    <w:abstractNumId w:val="51"/>
  </w:num>
  <w:num w:numId="98" w16cid:durableId="711417053">
    <w:abstractNumId w:val="3"/>
  </w:num>
  <w:num w:numId="99" w16cid:durableId="1853840724">
    <w:abstractNumId w:val="7"/>
  </w:num>
  <w:num w:numId="100" w16cid:durableId="2088727968">
    <w:abstractNumId w:val="8"/>
  </w:num>
  <w:num w:numId="101" w16cid:durableId="1926182866">
    <w:abstractNumId w:val="119"/>
  </w:num>
  <w:num w:numId="102" w16cid:durableId="669413180">
    <w:abstractNumId w:val="15"/>
  </w:num>
  <w:num w:numId="103" w16cid:durableId="198593672">
    <w:abstractNumId w:val="98"/>
  </w:num>
  <w:num w:numId="104" w16cid:durableId="1840072436">
    <w:abstractNumId w:val="101"/>
  </w:num>
  <w:num w:numId="105" w16cid:durableId="83964528">
    <w:abstractNumId w:val="78"/>
  </w:num>
  <w:num w:numId="106" w16cid:durableId="1367368849">
    <w:abstractNumId w:val="81"/>
  </w:num>
  <w:num w:numId="107" w16cid:durableId="607006888">
    <w:abstractNumId w:val="6"/>
  </w:num>
  <w:num w:numId="108" w16cid:durableId="737821203">
    <w:abstractNumId w:val="115"/>
  </w:num>
  <w:num w:numId="109" w16cid:durableId="674068261">
    <w:abstractNumId w:val="12"/>
  </w:num>
  <w:num w:numId="110" w16cid:durableId="958995350">
    <w:abstractNumId w:val="41"/>
  </w:num>
  <w:num w:numId="111" w16cid:durableId="338581471">
    <w:abstractNumId w:val="94"/>
  </w:num>
  <w:num w:numId="112" w16cid:durableId="151874273">
    <w:abstractNumId w:val="113"/>
  </w:num>
  <w:num w:numId="113" w16cid:durableId="189730155">
    <w:abstractNumId w:val="49"/>
  </w:num>
  <w:num w:numId="114" w16cid:durableId="619921720">
    <w:abstractNumId w:val="11"/>
  </w:num>
  <w:num w:numId="115" w16cid:durableId="664474114">
    <w:abstractNumId w:val="63"/>
  </w:num>
  <w:num w:numId="116" w16cid:durableId="522793340">
    <w:abstractNumId w:val="84"/>
  </w:num>
  <w:num w:numId="117" w16cid:durableId="2005545614">
    <w:abstractNumId w:val="59"/>
  </w:num>
  <w:num w:numId="118" w16cid:durableId="1476139788">
    <w:abstractNumId w:val="69"/>
  </w:num>
  <w:num w:numId="119" w16cid:durableId="1108161722">
    <w:abstractNumId w:val="87"/>
  </w:num>
  <w:num w:numId="120" w16cid:durableId="2079551340">
    <w:abstractNumId w:val="97"/>
  </w:num>
  <w:num w:numId="121" w16cid:durableId="1282877532">
    <w:abstractNumId w:val="40"/>
  </w:num>
  <w:num w:numId="122" w16cid:durableId="874972709">
    <w:abstractNumId w:val="89"/>
  </w:num>
  <w:num w:numId="123" w16cid:durableId="1930430817">
    <w:abstractNumId w:val="21"/>
  </w:num>
  <w:num w:numId="124" w16cid:durableId="598635050">
    <w:abstractNumId w:val="61"/>
  </w:num>
  <w:num w:numId="125" w16cid:durableId="1045445728">
    <w:abstractNumId w:val="0"/>
  </w:num>
  <w:num w:numId="126" w16cid:durableId="1375738948">
    <w:abstractNumId w:val="124"/>
  </w:num>
  <w:num w:numId="127" w16cid:durableId="963972492">
    <w:abstractNumId w:val="53"/>
  </w:num>
  <w:num w:numId="128" w16cid:durableId="1545563196">
    <w:abstractNumId w:val="112"/>
  </w:num>
  <w:num w:numId="129" w16cid:durableId="2004355401">
    <w:abstractNumId w:val="86"/>
  </w:num>
  <w:num w:numId="130" w16cid:durableId="546724978">
    <w:abstractNumId w:val="105"/>
  </w:num>
  <w:num w:numId="131" w16cid:durableId="1258365883">
    <w:abstractNumId w:val="117"/>
  </w:num>
  <w:num w:numId="132" w16cid:durableId="809517469">
    <w:abstractNumId w:val="4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cyODMxYTE0ZTc0ZGU3Y2QwODc3MzYzN2Q1YmNiM2EifQ=="/>
    <w:docVar w:name="Disclosure_Version" w:val="true"/>
    <w:docVar w:name="RemovedBindingXPath" w:val="true"/>
  </w:docVars>
  <w:rsids>
    <w:rsidRoot w:val="00764A1A"/>
    <w:rsid w:val="000005BE"/>
    <w:rsid w:val="0000566B"/>
    <w:rsid w:val="00010BBD"/>
    <w:rsid w:val="00010F24"/>
    <w:rsid w:val="0001636C"/>
    <w:rsid w:val="000208F0"/>
    <w:rsid w:val="00021C21"/>
    <w:rsid w:val="00022EFB"/>
    <w:rsid w:val="00023864"/>
    <w:rsid w:val="00030A33"/>
    <w:rsid w:val="0003255C"/>
    <w:rsid w:val="00033DC0"/>
    <w:rsid w:val="00033F49"/>
    <w:rsid w:val="00036BED"/>
    <w:rsid w:val="00042E0F"/>
    <w:rsid w:val="00045334"/>
    <w:rsid w:val="000453FC"/>
    <w:rsid w:val="00046692"/>
    <w:rsid w:val="00046E1E"/>
    <w:rsid w:val="0004786E"/>
    <w:rsid w:val="00050338"/>
    <w:rsid w:val="00050F44"/>
    <w:rsid w:val="000542F0"/>
    <w:rsid w:val="00054336"/>
    <w:rsid w:val="00054DEE"/>
    <w:rsid w:val="00055B67"/>
    <w:rsid w:val="00060C4B"/>
    <w:rsid w:val="00061454"/>
    <w:rsid w:val="00061B75"/>
    <w:rsid w:val="00062B77"/>
    <w:rsid w:val="000663D9"/>
    <w:rsid w:val="00071D89"/>
    <w:rsid w:val="00071D95"/>
    <w:rsid w:val="000722B0"/>
    <w:rsid w:val="00072302"/>
    <w:rsid w:val="00081226"/>
    <w:rsid w:val="00083112"/>
    <w:rsid w:val="0008594A"/>
    <w:rsid w:val="000863CB"/>
    <w:rsid w:val="00090562"/>
    <w:rsid w:val="00092BDD"/>
    <w:rsid w:val="000949F0"/>
    <w:rsid w:val="000970DA"/>
    <w:rsid w:val="000A2031"/>
    <w:rsid w:val="000A5945"/>
    <w:rsid w:val="000A59B2"/>
    <w:rsid w:val="000A766F"/>
    <w:rsid w:val="000B0049"/>
    <w:rsid w:val="000B00DD"/>
    <w:rsid w:val="000B09F6"/>
    <w:rsid w:val="000B0B70"/>
    <w:rsid w:val="000B427A"/>
    <w:rsid w:val="000B59A7"/>
    <w:rsid w:val="000C2A8E"/>
    <w:rsid w:val="000C3232"/>
    <w:rsid w:val="000C5E41"/>
    <w:rsid w:val="000C5F4D"/>
    <w:rsid w:val="000C796E"/>
    <w:rsid w:val="000D1C7E"/>
    <w:rsid w:val="000D29B5"/>
    <w:rsid w:val="000D45F1"/>
    <w:rsid w:val="000D4768"/>
    <w:rsid w:val="000D5807"/>
    <w:rsid w:val="000D7EFD"/>
    <w:rsid w:val="000E0084"/>
    <w:rsid w:val="000E157F"/>
    <w:rsid w:val="000E4F68"/>
    <w:rsid w:val="000E5804"/>
    <w:rsid w:val="000E5A39"/>
    <w:rsid w:val="000E5EC3"/>
    <w:rsid w:val="000F0EC4"/>
    <w:rsid w:val="000F14F8"/>
    <w:rsid w:val="000F2A59"/>
    <w:rsid w:val="000F5E85"/>
    <w:rsid w:val="000F774E"/>
    <w:rsid w:val="000F7AE5"/>
    <w:rsid w:val="001023A5"/>
    <w:rsid w:val="001032DC"/>
    <w:rsid w:val="001034E6"/>
    <w:rsid w:val="00103D00"/>
    <w:rsid w:val="00112ED8"/>
    <w:rsid w:val="00113DBD"/>
    <w:rsid w:val="001158DE"/>
    <w:rsid w:val="001215BA"/>
    <w:rsid w:val="001253E7"/>
    <w:rsid w:val="00125CE7"/>
    <w:rsid w:val="001278B9"/>
    <w:rsid w:val="0012797C"/>
    <w:rsid w:val="001304CC"/>
    <w:rsid w:val="00131411"/>
    <w:rsid w:val="001325F8"/>
    <w:rsid w:val="00136356"/>
    <w:rsid w:val="00136CE7"/>
    <w:rsid w:val="0014036A"/>
    <w:rsid w:val="001412A6"/>
    <w:rsid w:val="00143CF2"/>
    <w:rsid w:val="00145068"/>
    <w:rsid w:val="00152C90"/>
    <w:rsid w:val="00152F1A"/>
    <w:rsid w:val="001547B2"/>
    <w:rsid w:val="001549D5"/>
    <w:rsid w:val="00155950"/>
    <w:rsid w:val="00160349"/>
    <w:rsid w:val="00161BA3"/>
    <w:rsid w:val="001630CB"/>
    <w:rsid w:val="00163E19"/>
    <w:rsid w:val="00166152"/>
    <w:rsid w:val="0016695C"/>
    <w:rsid w:val="001708AF"/>
    <w:rsid w:val="001718CB"/>
    <w:rsid w:val="00173156"/>
    <w:rsid w:val="001743FC"/>
    <w:rsid w:val="00175E7E"/>
    <w:rsid w:val="00175EF9"/>
    <w:rsid w:val="00177073"/>
    <w:rsid w:val="00177E23"/>
    <w:rsid w:val="00183BAC"/>
    <w:rsid w:val="00183DF8"/>
    <w:rsid w:val="001849FC"/>
    <w:rsid w:val="00187E7F"/>
    <w:rsid w:val="001902BA"/>
    <w:rsid w:val="00191618"/>
    <w:rsid w:val="001916E2"/>
    <w:rsid w:val="00192706"/>
    <w:rsid w:val="00196A88"/>
    <w:rsid w:val="001A10CF"/>
    <w:rsid w:val="001A1EE9"/>
    <w:rsid w:val="001A1FF6"/>
    <w:rsid w:val="001A21EF"/>
    <w:rsid w:val="001A3798"/>
    <w:rsid w:val="001A46FF"/>
    <w:rsid w:val="001A6961"/>
    <w:rsid w:val="001B06F5"/>
    <w:rsid w:val="001B5C26"/>
    <w:rsid w:val="001B7646"/>
    <w:rsid w:val="001C2862"/>
    <w:rsid w:val="001C2AF5"/>
    <w:rsid w:val="001C43B4"/>
    <w:rsid w:val="001C5A21"/>
    <w:rsid w:val="001D0784"/>
    <w:rsid w:val="001D1163"/>
    <w:rsid w:val="001D2CCC"/>
    <w:rsid w:val="001D2FC4"/>
    <w:rsid w:val="001D7425"/>
    <w:rsid w:val="001E00CC"/>
    <w:rsid w:val="001E09AA"/>
    <w:rsid w:val="001E2039"/>
    <w:rsid w:val="001E2A62"/>
    <w:rsid w:val="001E3C7F"/>
    <w:rsid w:val="001E6027"/>
    <w:rsid w:val="001F015B"/>
    <w:rsid w:val="001F3D47"/>
    <w:rsid w:val="001F4E6E"/>
    <w:rsid w:val="001F781C"/>
    <w:rsid w:val="002013CC"/>
    <w:rsid w:val="00201843"/>
    <w:rsid w:val="00204A1E"/>
    <w:rsid w:val="002068B4"/>
    <w:rsid w:val="00210AC1"/>
    <w:rsid w:val="00210D63"/>
    <w:rsid w:val="002140CD"/>
    <w:rsid w:val="002141CA"/>
    <w:rsid w:val="00216B77"/>
    <w:rsid w:val="002174C0"/>
    <w:rsid w:val="00220C31"/>
    <w:rsid w:val="00226A13"/>
    <w:rsid w:val="002308FB"/>
    <w:rsid w:val="00231613"/>
    <w:rsid w:val="00232E2D"/>
    <w:rsid w:val="00234E00"/>
    <w:rsid w:val="00237044"/>
    <w:rsid w:val="0023742B"/>
    <w:rsid w:val="002441FE"/>
    <w:rsid w:val="00245F4D"/>
    <w:rsid w:val="00246BA6"/>
    <w:rsid w:val="00251B3B"/>
    <w:rsid w:val="002533FA"/>
    <w:rsid w:val="00255401"/>
    <w:rsid w:val="0026176B"/>
    <w:rsid w:val="00263275"/>
    <w:rsid w:val="00266308"/>
    <w:rsid w:val="00266682"/>
    <w:rsid w:val="002712FC"/>
    <w:rsid w:val="00271366"/>
    <w:rsid w:val="00271A7D"/>
    <w:rsid w:val="00271BB3"/>
    <w:rsid w:val="00275E06"/>
    <w:rsid w:val="002804A2"/>
    <w:rsid w:val="00282497"/>
    <w:rsid w:val="002844E1"/>
    <w:rsid w:val="0028535B"/>
    <w:rsid w:val="00286AC9"/>
    <w:rsid w:val="002877E0"/>
    <w:rsid w:val="00290270"/>
    <w:rsid w:val="00291427"/>
    <w:rsid w:val="00293A65"/>
    <w:rsid w:val="00294373"/>
    <w:rsid w:val="00295C72"/>
    <w:rsid w:val="002A0020"/>
    <w:rsid w:val="002A17CC"/>
    <w:rsid w:val="002A7715"/>
    <w:rsid w:val="002B0141"/>
    <w:rsid w:val="002B07DF"/>
    <w:rsid w:val="002B0A11"/>
    <w:rsid w:val="002B139D"/>
    <w:rsid w:val="002B2570"/>
    <w:rsid w:val="002B293A"/>
    <w:rsid w:val="002B2970"/>
    <w:rsid w:val="002B3961"/>
    <w:rsid w:val="002B7348"/>
    <w:rsid w:val="002B7A42"/>
    <w:rsid w:val="002C02B7"/>
    <w:rsid w:val="002C1404"/>
    <w:rsid w:val="002C4EC2"/>
    <w:rsid w:val="002D03F5"/>
    <w:rsid w:val="002D0496"/>
    <w:rsid w:val="002D32C5"/>
    <w:rsid w:val="002D6385"/>
    <w:rsid w:val="002D673E"/>
    <w:rsid w:val="002D67A7"/>
    <w:rsid w:val="002D67FF"/>
    <w:rsid w:val="002E3CAB"/>
    <w:rsid w:val="002E3D15"/>
    <w:rsid w:val="002E49D2"/>
    <w:rsid w:val="002E5B15"/>
    <w:rsid w:val="002E5F91"/>
    <w:rsid w:val="002E6FE1"/>
    <w:rsid w:val="002F1EDD"/>
    <w:rsid w:val="002F41B3"/>
    <w:rsid w:val="002F4334"/>
    <w:rsid w:val="002F6FA6"/>
    <w:rsid w:val="003014A0"/>
    <w:rsid w:val="00303F2A"/>
    <w:rsid w:val="003046BE"/>
    <w:rsid w:val="0031065D"/>
    <w:rsid w:val="003123A1"/>
    <w:rsid w:val="00313DC0"/>
    <w:rsid w:val="00317361"/>
    <w:rsid w:val="0032060E"/>
    <w:rsid w:val="00321083"/>
    <w:rsid w:val="003210F7"/>
    <w:rsid w:val="00321ACE"/>
    <w:rsid w:val="00326381"/>
    <w:rsid w:val="00326DFC"/>
    <w:rsid w:val="003301C8"/>
    <w:rsid w:val="00330FC0"/>
    <w:rsid w:val="00334ECB"/>
    <w:rsid w:val="00336A83"/>
    <w:rsid w:val="00340C66"/>
    <w:rsid w:val="003421D5"/>
    <w:rsid w:val="003423D7"/>
    <w:rsid w:val="00343AEA"/>
    <w:rsid w:val="00344C6D"/>
    <w:rsid w:val="003457F9"/>
    <w:rsid w:val="0034793E"/>
    <w:rsid w:val="00350385"/>
    <w:rsid w:val="0035354C"/>
    <w:rsid w:val="0035499A"/>
    <w:rsid w:val="00357E3A"/>
    <w:rsid w:val="00357F76"/>
    <w:rsid w:val="003601F7"/>
    <w:rsid w:val="00361133"/>
    <w:rsid w:val="0036298A"/>
    <w:rsid w:val="00370C55"/>
    <w:rsid w:val="0037300E"/>
    <w:rsid w:val="003778DC"/>
    <w:rsid w:val="00381E05"/>
    <w:rsid w:val="003843E1"/>
    <w:rsid w:val="0038473F"/>
    <w:rsid w:val="00385EFC"/>
    <w:rsid w:val="00392C2A"/>
    <w:rsid w:val="00395799"/>
    <w:rsid w:val="003A5A4A"/>
    <w:rsid w:val="003B153A"/>
    <w:rsid w:val="003B15BB"/>
    <w:rsid w:val="003B2809"/>
    <w:rsid w:val="003B57F1"/>
    <w:rsid w:val="003B6388"/>
    <w:rsid w:val="003B65A0"/>
    <w:rsid w:val="003B662B"/>
    <w:rsid w:val="003C1603"/>
    <w:rsid w:val="003C410C"/>
    <w:rsid w:val="003C44EA"/>
    <w:rsid w:val="003C4F1C"/>
    <w:rsid w:val="003D1785"/>
    <w:rsid w:val="003D2540"/>
    <w:rsid w:val="003D2AE4"/>
    <w:rsid w:val="003D2DFE"/>
    <w:rsid w:val="003D52BE"/>
    <w:rsid w:val="003D569D"/>
    <w:rsid w:val="003D7229"/>
    <w:rsid w:val="003E0C20"/>
    <w:rsid w:val="003E29C1"/>
    <w:rsid w:val="003F0C34"/>
    <w:rsid w:val="003F34EF"/>
    <w:rsid w:val="003F4E53"/>
    <w:rsid w:val="003F5C68"/>
    <w:rsid w:val="0040141E"/>
    <w:rsid w:val="004045B5"/>
    <w:rsid w:val="004071F9"/>
    <w:rsid w:val="004100BA"/>
    <w:rsid w:val="00410642"/>
    <w:rsid w:val="00413CE3"/>
    <w:rsid w:val="00414FCE"/>
    <w:rsid w:val="00421A35"/>
    <w:rsid w:val="0042245F"/>
    <w:rsid w:val="004224C2"/>
    <w:rsid w:val="00422615"/>
    <w:rsid w:val="004232DC"/>
    <w:rsid w:val="00423CA3"/>
    <w:rsid w:val="00423D1F"/>
    <w:rsid w:val="00423D61"/>
    <w:rsid w:val="00425842"/>
    <w:rsid w:val="00426632"/>
    <w:rsid w:val="00426E3F"/>
    <w:rsid w:val="00437F6E"/>
    <w:rsid w:val="0044237D"/>
    <w:rsid w:val="0044260A"/>
    <w:rsid w:val="00443315"/>
    <w:rsid w:val="00445E87"/>
    <w:rsid w:val="00447329"/>
    <w:rsid w:val="0045352C"/>
    <w:rsid w:val="00460633"/>
    <w:rsid w:val="00462642"/>
    <w:rsid w:val="00462B9F"/>
    <w:rsid w:val="00462E05"/>
    <w:rsid w:val="00463B4E"/>
    <w:rsid w:val="00470826"/>
    <w:rsid w:val="00474744"/>
    <w:rsid w:val="00474A3A"/>
    <w:rsid w:val="00474B27"/>
    <w:rsid w:val="00476FDE"/>
    <w:rsid w:val="00490764"/>
    <w:rsid w:val="00494452"/>
    <w:rsid w:val="0049546D"/>
    <w:rsid w:val="004A02C1"/>
    <w:rsid w:val="004A4995"/>
    <w:rsid w:val="004A508E"/>
    <w:rsid w:val="004B3966"/>
    <w:rsid w:val="004B3A6F"/>
    <w:rsid w:val="004B655D"/>
    <w:rsid w:val="004C3490"/>
    <w:rsid w:val="004C349A"/>
    <w:rsid w:val="004C554E"/>
    <w:rsid w:val="004C5E71"/>
    <w:rsid w:val="004C6A45"/>
    <w:rsid w:val="004C709D"/>
    <w:rsid w:val="004D1A87"/>
    <w:rsid w:val="004D2A3B"/>
    <w:rsid w:val="004D3339"/>
    <w:rsid w:val="004D54C8"/>
    <w:rsid w:val="004D661E"/>
    <w:rsid w:val="004D67F0"/>
    <w:rsid w:val="004D6E1C"/>
    <w:rsid w:val="004E13A8"/>
    <w:rsid w:val="004E6935"/>
    <w:rsid w:val="004E718E"/>
    <w:rsid w:val="004F1078"/>
    <w:rsid w:val="005023B8"/>
    <w:rsid w:val="00503321"/>
    <w:rsid w:val="00503C30"/>
    <w:rsid w:val="00503D92"/>
    <w:rsid w:val="00505EFE"/>
    <w:rsid w:val="00513390"/>
    <w:rsid w:val="005133E5"/>
    <w:rsid w:val="0051585F"/>
    <w:rsid w:val="0051649B"/>
    <w:rsid w:val="00516B4C"/>
    <w:rsid w:val="00521CC5"/>
    <w:rsid w:val="005229B7"/>
    <w:rsid w:val="005256EB"/>
    <w:rsid w:val="00525D54"/>
    <w:rsid w:val="00531349"/>
    <w:rsid w:val="00535119"/>
    <w:rsid w:val="00536270"/>
    <w:rsid w:val="00541406"/>
    <w:rsid w:val="0054186C"/>
    <w:rsid w:val="00543617"/>
    <w:rsid w:val="005443A7"/>
    <w:rsid w:val="00544732"/>
    <w:rsid w:val="00544964"/>
    <w:rsid w:val="00546ACC"/>
    <w:rsid w:val="00547AE7"/>
    <w:rsid w:val="005531B8"/>
    <w:rsid w:val="00571705"/>
    <w:rsid w:val="00572487"/>
    <w:rsid w:val="00573795"/>
    <w:rsid w:val="005749E7"/>
    <w:rsid w:val="00574D02"/>
    <w:rsid w:val="005769EA"/>
    <w:rsid w:val="00577C2E"/>
    <w:rsid w:val="00577D08"/>
    <w:rsid w:val="005820A8"/>
    <w:rsid w:val="00582CA7"/>
    <w:rsid w:val="005834CD"/>
    <w:rsid w:val="00584C41"/>
    <w:rsid w:val="00585F3B"/>
    <w:rsid w:val="005866B3"/>
    <w:rsid w:val="00590BDB"/>
    <w:rsid w:val="005918FB"/>
    <w:rsid w:val="00592466"/>
    <w:rsid w:val="00596572"/>
    <w:rsid w:val="005967E6"/>
    <w:rsid w:val="005A0D7E"/>
    <w:rsid w:val="005A1FBC"/>
    <w:rsid w:val="005A7225"/>
    <w:rsid w:val="005B05CD"/>
    <w:rsid w:val="005B1348"/>
    <w:rsid w:val="005B1363"/>
    <w:rsid w:val="005B38BD"/>
    <w:rsid w:val="005B5B3D"/>
    <w:rsid w:val="005B64A8"/>
    <w:rsid w:val="005C0B75"/>
    <w:rsid w:val="005C6A8D"/>
    <w:rsid w:val="005C776C"/>
    <w:rsid w:val="005D4124"/>
    <w:rsid w:val="005D446F"/>
    <w:rsid w:val="005D751E"/>
    <w:rsid w:val="005D75EA"/>
    <w:rsid w:val="005E1372"/>
    <w:rsid w:val="005E1E6D"/>
    <w:rsid w:val="005E239A"/>
    <w:rsid w:val="005E2719"/>
    <w:rsid w:val="005E2C18"/>
    <w:rsid w:val="005E31BC"/>
    <w:rsid w:val="005E4A38"/>
    <w:rsid w:val="005F5158"/>
    <w:rsid w:val="005F5209"/>
    <w:rsid w:val="005F62CA"/>
    <w:rsid w:val="005F67BB"/>
    <w:rsid w:val="005F6A38"/>
    <w:rsid w:val="005F7241"/>
    <w:rsid w:val="005F7957"/>
    <w:rsid w:val="005F7C00"/>
    <w:rsid w:val="006031D4"/>
    <w:rsid w:val="006035A9"/>
    <w:rsid w:val="006061D6"/>
    <w:rsid w:val="00607836"/>
    <w:rsid w:val="00607A9F"/>
    <w:rsid w:val="00610751"/>
    <w:rsid w:val="006118E7"/>
    <w:rsid w:val="006129F8"/>
    <w:rsid w:val="006148EF"/>
    <w:rsid w:val="006157A1"/>
    <w:rsid w:val="00621D80"/>
    <w:rsid w:val="00625A69"/>
    <w:rsid w:val="006265E5"/>
    <w:rsid w:val="006304B0"/>
    <w:rsid w:val="00631644"/>
    <w:rsid w:val="00632D01"/>
    <w:rsid w:val="00634813"/>
    <w:rsid w:val="006352A7"/>
    <w:rsid w:val="00635328"/>
    <w:rsid w:val="006375B6"/>
    <w:rsid w:val="0064026E"/>
    <w:rsid w:val="00642F63"/>
    <w:rsid w:val="0064493B"/>
    <w:rsid w:val="00651F44"/>
    <w:rsid w:val="00652223"/>
    <w:rsid w:val="00652A20"/>
    <w:rsid w:val="00654D4E"/>
    <w:rsid w:val="006576AB"/>
    <w:rsid w:val="00665164"/>
    <w:rsid w:val="0067087B"/>
    <w:rsid w:val="00671A5E"/>
    <w:rsid w:val="00672550"/>
    <w:rsid w:val="00680145"/>
    <w:rsid w:val="006804AF"/>
    <w:rsid w:val="006836D6"/>
    <w:rsid w:val="00690102"/>
    <w:rsid w:val="006926A8"/>
    <w:rsid w:val="006930CD"/>
    <w:rsid w:val="0069720C"/>
    <w:rsid w:val="006A12B2"/>
    <w:rsid w:val="006B116B"/>
    <w:rsid w:val="006B3816"/>
    <w:rsid w:val="006B413B"/>
    <w:rsid w:val="006B475C"/>
    <w:rsid w:val="006B5AD9"/>
    <w:rsid w:val="006B6B99"/>
    <w:rsid w:val="006C163A"/>
    <w:rsid w:val="006C2A42"/>
    <w:rsid w:val="006C6199"/>
    <w:rsid w:val="006D04C8"/>
    <w:rsid w:val="006D1FE2"/>
    <w:rsid w:val="006D47B6"/>
    <w:rsid w:val="006D50CF"/>
    <w:rsid w:val="006D549E"/>
    <w:rsid w:val="006E0294"/>
    <w:rsid w:val="006E0AC9"/>
    <w:rsid w:val="006E0DBC"/>
    <w:rsid w:val="006E1AC3"/>
    <w:rsid w:val="006E325E"/>
    <w:rsid w:val="006E3A15"/>
    <w:rsid w:val="006E53A0"/>
    <w:rsid w:val="006E5859"/>
    <w:rsid w:val="006E5DCA"/>
    <w:rsid w:val="006E7694"/>
    <w:rsid w:val="006F00B2"/>
    <w:rsid w:val="006F2112"/>
    <w:rsid w:val="006F3F7A"/>
    <w:rsid w:val="00703CE8"/>
    <w:rsid w:val="007048AF"/>
    <w:rsid w:val="007131CB"/>
    <w:rsid w:val="00714018"/>
    <w:rsid w:val="0071436D"/>
    <w:rsid w:val="00717F67"/>
    <w:rsid w:val="00721B99"/>
    <w:rsid w:val="00722547"/>
    <w:rsid w:val="0072496B"/>
    <w:rsid w:val="00724D52"/>
    <w:rsid w:val="00725104"/>
    <w:rsid w:val="0072519F"/>
    <w:rsid w:val="0072641B"/>
    <w:rsid w:val="0072707C"/>
    <w:rsid w:val="007316C7"/>
    <w:rsid w:val="00733334"/>
    <w:rsid w:val="00737C38"/>
    <w:rsid w:val="00742D22"/>
    <w:rsid w:val="00745931"/>
    <w:rsid w:val="00746FE7"/>
    <w:rsid w:val="00751059"/>
    <w:rsid w:val="00751793"/>
    <w:rsid w:val="0075368E"/>
    <w:rsid w:val="007553C8"/>
    <w:rsid w:val="007579FA"/>
    <w:rsid w:val="00761162"/>
    <w:rsid w:val="00763E5D"/>
    <w:rsid w:val="00764A1A"/>
    <w:rsid w:val="00764D70"/>
    <w:rsid w:val="0076758F"/>
    <w:rsid w:val="00770D1C"/>
    <w:rsid w:val="00774BE3"/>
    <w:rsid w:val="00775670"/>
    <w:rsid w:val="00776046"/>
    <w:rsid w:val="00776052"/>
    <w:rsid w:val="0078203E"/>
    <w:rsid w:val="0078231A"/>
    <w:rsid w:val="00784DE8"/>
    <w:rsid w:val="007865AF"/>
    <w:rsid w:val="00786925"/>
    <w:rsid w:val="007872BD"/>
    <w:rsid w:val="007935B7"/>
    <w:rsid w:val="007938EF"/>
    <w:rsid w:val="00794C0F"/>
    <w:rsid w:val="00795F5C"/>
    <w:rsid w:val="007A2511"/>
    <w:rsid w:val="007A2795"/>
    <w:rsid w:val="007A4570"/>
    <w:rsid w:val="007A71B5"/>
    <w:rsid w:val="007B02BA"/>
    <w:rsid w:val="007B184B"/>
    <w:rsid w:val="007B76CD"/>
    <w:rsid w:val="007B7A02"/>
    <w:rsid w:val="007C0B39"/>
    <w:rsid w:val="007C51BF"/>
    <w:rsid w:val="007C5AB6"/>
    <w:rsid w:val="007D0C8E"/>
    <w:rsid w:val="007D1670"/>
    <w:rsid w:val="007D29E9"/>
    <w:rsid w:val="007D3BE4"/>
    <w:rsid w:val="007D6C05"/>
    <w:rsid w:val="007D767D"/>
    <w:rsid w:val="007E1D50"/>
    <w:rsid w:val="007E4820"/>
    <w:rsid w:val="007E5270"/>
    <w:rsid w:val="007E582E"/>
    <w:rsid w:val="007F0951"/>
    <w:rsid w:val="007F23CE"/>
    <w:rsid w:val="007F32AE"/>
    <w:rsid w:val="007F51F0"/>
    <w:rsid w:val="007F67DC"/>
    <w:rsid w:val="00800425"/>
    <w:rsid w:val="008025AB"/>
    <w:rsid w:val="00804F65"/>
    <w:rsid w:val="00806398"/>
    <w:rsid w:val="0080729A"/>
    <w:rsid w:val="0081114C"/>
    <w:rsid w:val="00811390"/>
    <w:rsid w:val="008128FB"/>
    <w:rsid w:val="00813764"/>
    <w:rsid w:val="00814A65"/>
    <w:rsid w:val="0081760B"/>
    <w:rsid w:val="00821ACF"/>
    <w:rsid w:val="00823B3E"/>
    <w:rsid w:val="0082618D"/>
    <w:rsid w:val="00826569"/>
    <w:rsid w:val="00826D7E"/>
    <w:rsid w:val="008310D6"/>
    <w:rsid w:val="00831550"/>
    <w:rsid w:val="0083577A"/>
    <w:rsid w:val="00836D98"/>
    <w:rsid w:val="00840705"/>
    <w:rsid w:val="008449DC"/>
    <w:rsid w:val="00844FA4"/>
    <w:rsid w:val="00846F5D"/>
    <w:rsid w:val="00851617"/>
    <w:rsid w:val="008535C0"/>
    <w:rsid w:val="00855637"/>
    <w:rsid w:val="0085718A"/>
    <w:rsid w:val="008705A6"/>
    <w:rsid w:val="008723BF"/>
    <w:rsid w:val="00874F5F"/>
    <w:rsid w:val="00876BEC"/>
    <w:rsid w:val="00877071"/>
    <w:rsid w:val="00877CA8"/>
    <w:rsid w:val="00880041"/>
    <w:rsid w:val="00883F4B"/>
    <w:rsid w:val="008842F5"/>
    <w:rsid w:val="00885138"/>
    <w:rsid w:val="008866B0"/>
    <w:rsid w:val="0088748D"/>
    <w:rsid w:val="00892E3A"/>
    <w:rsid w:val="0089779A"/>
    <w:rsid w:val="008A31B5"/>
    <w:rsid w:val="008A6783"/>
    <w:rsid w:val="008A70AD"/>
    <w:rsid w:val="008B2256"/>
    <w:rsid w:val="008B6E00"/>
    <w:rsid w:val="008B7C2D"/>
    <w:rsid w:val="008B7FB1"/>
    <w:rsid w:val="008C30F6"/>
    <w:rsid w:val="008C3EE2"/>
    <w:rsid w:val="008C5D9C"/>
    <w:rsid w:val="008C6E8A"/>
    <w:rsid w:val="008C6F07"/>
    <w:rsid w:val="008D290A"/>
    <w:rsid w:val="008D38E0"/>
    <w:rsid w:val="008D5649"/>
    <w:rsid w:val="008D564E"/>
    <w:rsid w:val="008E0E3B"/>
    <w:rsid w:val="008F4EAD"/>
    <w:rsid w:val="008F4FE1"/>
    <w:rsid w:val="008F5BDB"/>
    <w:rsid w:val="008F7B70"/>
    <w:rsid w:val="0090028E"/>
    <w:rsid w:val="0090030C"/>
    <w:rsid w:val="00900C53"/>
    <w:rsid w:val="00903B69"/>
    <w:rsid w:val="0090527E"/>
    <w:rsid w:val="009067EC"/>
    <w:rsid w:val="00907231"/>
    <w:rsid w:val="00910409"/>
    <w:rsid w:val="00913433"/>
    <w:rsid w:val="00913FAF"/>
    <w:rsid w:val="00914B98"/>
    <w:rsid w:val="00915B68"/>
    <w:rsid w:val="00920002"/>
    <w:rsid w:val="009206D0"/>
    <w:rsid w:val="009218DF"/>
    <w:rsid w:val="00924E75"/>
    <w:rsid w:val="00924F3B"/>
    <w:rsid w:val="00926310"/>
    <w:rsid w:val="00926492"/>
    <w:rsid w:val="00927E81"/>
    <w:rsid w:val="00932B68"/>
    <w:rsid w:val="00941225"/>
    <w:rsid w:val="009466BA"/>
    <w:rsid w:val="009507FB"/>
    <w:rsid w:val="00950DF9"/>
    <w:rsid w:val="00957067"/>
    <w:rsid w:val="00960E69"/>
    <w:rsid w:val="00962CFF"/>
    <w:rsid w:val="00964369"/>
    <w:rsid w:val="00964D87"/>
    <w:rsid w:val="0096519D"/>
    <w:rsid w:val="009653BD"/>
    <w:rsid w:val="00973A6E"/>
    <w:rsid w:val="00975698"/>
    <w:rsid w:val="00976147"/>
    <w:rsid w:val="009766FF"/>
    <w:rsid w:val="00981DF6"/>
    <w:rsid w:val="00991D89"/>
    <w:rsid w:val="00992F06"/>
    <w:rsid w:val="00993196"/>
    <w:rsid w:val="00993453"/>
    <w:rsid w:val="00993A19"/>
    <w:rsid w:val="00993BC0"/>
    <w:rsid w:val="0099486C"/>
    <w:rsid w:val="009976B2"/>
    <w:rsid w:val="00997AB2"/>
    <w:rsid w:val="009A1625"/>
    <w:rsid w:val="009A6F6D"/>
    <w:rsid w:val="009B220F"/>
    <w:rsid w:val="009B3F2F"/>
    <w:rsid w:val="009B421C"/>
    <w:rsid w:val="009B6B54"/>
    <w:rsid w:val="009B7389"/>
    <w:rsid w:val="009C6D1B"/>
    <w:rsid w:val="009C7C85"/>
    <w:rsid w:val="009D25CC"/>
    <w:rsid w:val="009D3C7B"/>
    <w:rsid w:val="009D783B"/>
    <w:rsid w:val="009E02C5"/>
    <w:rsid w:val="009E1FF2"/>
    <w:rsid w:val="009E60B2"/>
    <w:rsid w:val="009F1CE9"/>
    <w:rsid w:val="009F25DA"/>
    <w:rsid w:val="009F35FC"/>
    <w:rsid w:val="009F5696"/>
    <w:rsid w:val="009F6B90"/>
    <w:rsid w:val="009F7BAD"/>
    <w:rsid w:val="00A01AA6"/>
    <w:rsid w:val="00A03FEF"/>
    <w:rsid w:val="00A07A72"/>
    <w:rsid w:val="00A123FD"/>
    <w:rsid w:val="00A14800"/>
    <w:rsid w:val="00A14E38"/>
    <w:rsid w:val="00A21F13"/>
    <w:rsid w:val="00A32B83"/>
    <w:rsid w:val="00A3475E"/>
    <w:rsid w:val="00A36C49"/>
    <w:rsid w:val="00A40BA4"/>
    <w:rsid w:val="00A41808"/>
    <w:rsid w:val="00A42029"/>
    <w:rsid w:val="00A4418D"/>
    <w:rsid w:val="00A44ED8"/>
    <w:rsid w:val="00A44FD2"/>
    <w:rsid w:val="00A45D40"/>
    <w:rsid w:val="00A47457"/>
    <w:rsid w:val="00A551F6"/>
    <w:rsid w:val="00A56D2A"/>
    <w:rsid w:val="00A61372"/>
    <w:rsid w:val="00A6266B"/>
    <w:rsid w:val="00A6277D"/>
    <w:rsid w:val="00A6486B"/>
    <w:rsid w:val="00A67D03"/>
    <w:rsid w:val="00A67F5B"/>
    <w:rsid w:val="00A701AE"/>
    <w:rsid w:val="00A72F1E"/>
    <w:rsid w:val="00A73F74"/>
    <w:rsid w:val="00A77E4B"/>
    <w:rsid w:val="00A841C8"/>
    <w:rsid w:val="00A878BA"/>
    <w:rsid w:val="00A87D5F"/>
    <w:rsid w:val="00A9101A"/>
    <w:rsid w:val="00A91DC6"/>
    <w:rsid w:val="00A9363A"/>
    <w:rsid w:val="00A93C02"/>
    <w:rsid w:val="00A946B3"/>
    <w:rsid w:val="00A950CF"/>
    <w:rsid w:val="00A9705E"/>
    <w:rsid w:val="00AA083E"/>
    <w:rsid w:val="00AA105C"/>
    <w:rsid w:val="00AA10C5"/>
    <w:rsid w:val="00AA2153"/>
    <w:rsid w:val="00AA37BD"/>
    <w:rsid w:val="00AA61E8"/>
    <w:rsid w:val="00AA6271"/>
    <w:rsid w:val="00AA68A2"/>
    <w:rsid w:val="00AA7511"/>
    <w:rsid w:val="00AB0FEE"/>
    <w:rsid w:val="00AB6B52"/>
    <w:rsid w:val="00AB7B3A"/>
    <w:rsid w:val="00AC03B4"/>
    <w:rsid w:val="00AC263A"/>
    <w:rsid w:val="00AC273D"/>
    <w:rsid w:val="00AC29F9"/>
    <w:rsid w:val="00AC523E"/>
    <w:rsid w:val="00AC57F5"/>
    <w:rsid w:val="00AD0820"/>
    <w:rsid w:val="00AD2273"/>
    <w:rsid w:val="00AD2C92"/>
    <w:rsid w:val="00AD6775"/>
    <w:rsid w:val="00AE0282"/>
    <w:rsid w:val="00AE1352"/>
    <w:rsid w:val="00AE260C"/>
    <w:rsid w:val="00AE36B5"/>
    <w:rsid w:val="00AE6772"/>
    <w:rsid w:val="00AE6D69"/>
    <w:rsid w:val="00AF7AE8"/>
    <w:rsid w:val="00AF7CC0"/>
    <w:rsid w:val="00AF7F85"/>
    <w:rsid w:val="00B04B89"/>
    <w:rsid w:val="00B0652D"/>
    <w:rsid w:val="00B1080A"/>
    <w:rsid w:val="00B10CEF"/>
    <w:rsid w:val="00B10F33"/>
    <w:rsid w:val="00B13D95"/>
    <w:rsid w:val="00B13E42"/>
    <w:rsid w:val="00B20135"/>
    <w:rsid w:val="00B22276"/>
    <w:rsid w:val="00B24031"/>
    <w:rsid w:val="00B30E7D"/>
    <w:rsid w:val="00B34885"/>
    <w:rsid w:val="00B34ABF"/>
    <w:rsid w:val="00B428F0"/>
    <w:rsid w:val="00B4383F"/>
    <w:rsid w:val="00B53143"/>
    <w:rsid w:val="00B60032"/>
    <w:rsid w:val="00B60067"/>
    <w:rsid w:val="00B605CD"/>
    <w:rsid w:val="00B6346C"/>
    <w:rsid w:val="00B646C8"/>
    <w:rsid w:val="00B70C73"/>
    <w:rsid w:val="00B7471C"/>
    <w:rsid w:val="00B75E35"/>
    <w:rsid w:val="00B76517"/>
    <w:rsid w:val="00B80187"/>
    <w:rsid w:val="00B82189"/>
    <w:rsid w:val="00B821CC"/>
    <w:rsid w:val="00B83AEF"/>
    <w:rsid w:val="00B86E4A"/>
    <w:rsid w:val="00B87CD0"/>
    <w:rsid w:val="00B92674"/>
    <w:rsid w:val="00B93091"/>
    <w:rsid w:val="00B96C4F"/>
    <w:rsid w:val="00BA2692"/>
    <w:rsid w:val="00BB1273"/>
    <w:rsid w:val="00BB3369"/>
    <w:rsid w:val="00BB4A35"/>
    <w:rsid w:val="00BC033F"/>
    <w:rsid w:val="00BC4A3A"/>
    <w:rsid w:val="00BC51FF"/>
    <w:rsid w:val="00BC76DB"/>
    <w:rsid w:val="00BD01BE"/>
    <w:rsid w:val="00BD5064"/>
    <w:rsid w:val="00BD5384"/>
    <w:rsid w:val="00BD7DAD"/>
    <w:rsid w:val="00BE06E7"/>
    <w:rsid w:val="00BE391E"/>
    <w:rsid w:val="00BE5997"/>
    <w:rsid w:val="00BF5312"/>
    <w:rsid w:val="00BF555C"/>
    <w:rsid w:val="00BF6952"/>
    <w:rsid w:val="00BF6F93"/>
    <w:rsid w:val="00C00994"/>
    <w:rsid w:val="00C026F3"/>
    <w:rsid w:val="00C061D9"/>
    <w:rsid w:val="00C06A39"/>
    <w:rsid w:val="00C10E56"/>
    <w:rsid w:val="00C11530"/>
    <w:rsid w:val="00C120B8"/>
    <w:rsid w:val="00C154F3"/>
    <w:rsid w:val="00C2073F"/>
    <w:rsid w:val="00C246DB"/>
    <w:rsid w:val="00C31ADC"/>
    <w:rsid w:val="00C33764"/>
    <w:rsid w:val="00C36368"/>
    <w:rsid w:val="00C41916"/>
    <w:rsid w:val="00C41C04"/>
    <w:rsid w:val="00C42818"/>
    <w:rsid w:val="00C43921"/>
    <w:rsid w:val="00C45C0A"/>
    <w:rsid w:val="00C51328"/>
    <w:rsid w:val="00C51ACB"/>
    <w:rsid w:val="00C5781B"/>
    <w:rsid w:val="00C60545"/>
    <w:rsid w:val="00C60549"/>
    <w:rsid w:val="00C619E8"/>
    <w:rsid w:val="00C63834"/>
    <w:rsid w:val="00C638C4"/>
    <w:rsid w:val="00C65984"/>
    <w:rsid w:val="00C67181"/>
    <w:rsid w:val="00C731AC"/>
    <w:rsid w:val="00C73747"/>
    <w:rsid w:val="00C82476"/>
    <w:rsid w:val="00C8362C"/>
    <w:rsid w:val="00C848D2"/>
    <w:rsid w:val="00C908AE"/>
    <w:rsid w:val="00C95D49"/>
    <w:rsid w:val="00C96C2B"/>
    <w:rsid w:val="00CA5FA4"/>
    <w:rsid w:val="00CA728E"/>
    <w:rsid w:val="00CA7412"/>
    <w:rsid w:val="00CA7788"/>
    <w:rsid w:val="00CA7BD7"/>
    <w:rsid w:val="00CB2A24"/>
    <w:rsid w:val="00CB397C"/>
    <w:rsid w:val="00CB542C"/>
    <w:rsid w:val="00CB6456"/>
    <w:rsid w:val="00CB6A71"/>
    <w:rsid w:val="00CC28D1"/>
    <w:rsid w:val="00CC3BA3"/>
    <w:rsid w:val="00CC4723"/>
    <w:rsid w:val="00CC5C32"/>
    <w:rsid w:val="00CD2010"/>
    <w:rsid w:val="00CD2DCC"/>
    <w:rsid w:val="00CD3424"/>
    <w:rsid w:val="00CD7D47"/>
    <w:rsid w:val="00CE0836"/>
    <w:rsid w:val="00CE1695"/>
    <w:rsid w:val="00CE2FB5"/>
    <w:rsid w:val="00CE6891"/>
    <w:rsid w:val="00CF34BE"/>
    <w:rsid w:val="00CF3A81"/>
    <w:rsid w:val="00CF3D14"/>
    <w:rsid w:val="00CF3F95"/>
    <w:rsid w:val="00CF504B"/>
    <w:rsid w:val="00CF656C"/>
    <w:rsid w:val="00CF723A"/>
    <w:rsid w:val="00D00922"/>
    <w:rsid w:val="00D01AA8"/>
    <w:rsid w:val="00D03AB3"/>
    <w:rsid w:val="00D03FCE"/>
    <w:rsid w:val="00D072CF"/>
    <w:rsid w:val="00D14B6E"/>
    <w:rsid w:val="00D15078"/>
    <w:rsid w:val="00D154D1"/>
    <w:rsid w:val="00D23140"/>
    <w:rsid w:val="00D277A7"/>
    <w:rsid w:val="00D350C8"/>
    <w:rsid w:val="00D369B1"/>
    <w:rsid w:val="00D36B4C"/>
    <w:rsid w:val="00D37F6C"/>
    <w:rsid w:val="00D40CEA"/>
    <w:rsid w:val="00D42DE9"/>
    <w:rsid w:val="00D44AFF"/>
    <w:rsid w:val="00D45056"/>
    <w:rsid w:val="00D459EA"/>
    <w:rsid w:val="00D53AA9"/>
    <w:rsid w:val="00D5423C"/>
    <w:rsid w:val="00D5670E"/>
    <w:rsid w:val="00D5727D"/>
    <w:rsid w:val="00D64A00"/>
    <w:rsid w:val="00D678F7"/>
    <w:rsid w:val="00D67FD8"/>
    <w:rsid w:val="00D71789"/>
    <w:rsid w:val="00D71D24"/>
    <w:rsid w:val="00D726A2"/>
    <w:rsid w:val="00D72BDA"/>
    <w:rsid w:val="00D72CC6"/>
    <w:rsid w:val="00D75810"/>
    <w:rsid w:val="00D760CB"/>
    <w:rsid w:val="00D76A31"/>
    <w:rsid w:val="00D770A8"/>
    <w:rsid w:val="00D77966"/>
    <w:rsid w:val="00D802D6"/>
    <w:rsid w:val="00D84654"/>
    <w:rsid w:val="00D856AF"/>
    <w:rsid w:val="00D8635A"/>
    <w:rsid w:val="00D86989"/>
    <w:rsid w:val="00D90710"/>
    <w:rsid w:val="00D9138B"/>
    <w:rsid w:val="00D934F6"/>
    <w:rsid w:val="00D93932"/>
    <w:rsid w:val="00D94BD3"/>
    <w:rsid w:val="00D95025"/>
    <w:rsid w:val="00D95043"/>
    <w:rsid w:val="00D97114"/>
    <w:rsid w:val="00DA2D34"/>
    <w:rsid w:val="00DA5AD1"/>
    <w:rsid w:val="00DB14C6"/>
    <w:rsid w:val="00DB3CA8"/>
    <w:rsid w:val="00DB61AD"/>
    <w:rsid w:val="00DB6CF2"/>
    <w:rsid w:val="00DC35A4"/>
    <w:rsid w:val="00DC3E08"/>
    <w:rsid w:val="00DC5CDA"/>
    <w:rsid w:val="00DC6E3B"/>
    <w:rsid w:val="00DD2314"/>
    <w:rsid w:val="00DD238F"/>
    <w:rsid w:val="00DD3D77"/>
    <w:rsid w:val="00DD436A"/>
    <w:rsid w:val="00DE576D"/>
    <w:rsid w:val="00DE5EEF"/>
    <w:rsid w:val="00DE7F02"/>
    <w:rsid w:val="00DF0672"/>
    <w:rsid w:val="00DF246C"/>
    <w:rsid w:val="00DF35D6"/>
    <w:rsid w:val="00DF3F1D"/>
    <w:rsid w:val="00DF3FCE"/>
    <w:rsid w:val="00DF486E"/>
    <w:rsid w:val="00DF64CC"/>
    <w:rsid w:val="00DF7D74"/>
    <w:rsid w:val="00E00A92"/>
    <w:rsid w:val="00E01A9B"/>
    <w:rsid w:val="00E01BC3"/>
    <w:rsid w:val="00E01DF8"/>
    <w:rsid w:val="00E0344C"/>
    <w:rsid w:val="00E051BD"/>
    <w:rsid w:val="00E058C3"/>
    <w:rsid w:val="00E10C53"/>
    <w:rsid w:val="00E10DE1"/>
    <w:rsid w:val="00E11453"/>
    <w:rsid w:val="00E124EC"/>
    <w:rsid w:val="00E13059"/>
    <w:rsid w:val="00E14961"/>
    <w:rsid w:val="00E1636E"/>
    <w:rsid w:val="00E16DD4"/>
    <w:rsid w:val="00E200C2"/>
    <w:rsid w:val="00E23F98"/>
    <w:rsid w:val="00E26DFE"/>
    <w:rsid w:val="00E26E3E"/>
    <w:rsid w:val="00E3141F"/>
    <w:rsid w:val="00E31A8D"/>
    <w:rsid w:val="00E40315"/>
    <w:rsid w:val="00E4053B"/>
    <w:rsid w:val="00E413BD"/>
    <w:rsid w:val="00E418BD"/>
    <w:rsid w:val="00E42D97"/>
    <w:rsid w:val="00E433BC"/>
    <w:rsid w:val="00E46987"/>
    <w:rsid w:val="00E47D4D"/>
    <w:rsid w:val="00E52FD4"/>
    <w:rsid w:val="00E53D09"/>
    <w:rsid w:val="00E57810"/>
    <w:rsid w:val="00E608D2"/>
    <w:rsid w:val="00E64867"/>
    <w:rsid w:val="00E6534C"/>
    <w:rsid w:val="00E66447"/>
    <w:rsid w:val="00E735A4"/>
    <w:rsid w:val="00E87710"/>
    <w:rsid w:val="00E92869"/>
    <w:rsid w:val="00E9555E"/>
    <w:rsid w:val="00EA06DA"/>
    <w:rsid w:val="00EA3440"/>
    <w:rsid w:val="00EA3986"/>
    <w:rsid w:val="00EA3C40"/>
    <w:rsid w:val="00EA78C7"/>
    <w:rsid w:val="00EB2297"/>
    <w:rsid w:val="00EB26D5"/>
    <w:rsid w:val="00EB28BB"/>
    <w:rsid w:val="00EB37A4"/>
    <w:rsid w:val="00EB45FC"/>
    <w:rsid w:val="00EB5CEC"/>
    <w:rsid w:val="00EC1FC9"/>
    <w:rsid w:val="00EC4649"/>
    <w:rsid w:val="00EC5360"/>
    <w:rsid w:val="00EC66BC"/>
    <w:rsid w:val="00ED004C"/>
    <w:rsid w:val="00ED4555"/>
    <w:rsid w:val="00ED45BC"/>
    <w:rsid w:val="00ED676F"/>
    <w:rsid w:val="00ED7E74"/>
    <w:rsid w:val="00EE2D21"/>
    <w:rsid w:val="00EE43AF"/>
    <w:rsid w:val="00EE4C7B"/>
    <w:rsid w:val="00EE511E"/>
    <w:rsid w:val="00EE5913"/>
    <w:rsid w:val="00EF0059"/>
    <w:rsid w:val="00EF2857"/>
    <w:rsid w:val="00EF446D"/>
    <w:rsid w:val="00EF7779"/>
    <w:rsid w:val="00F0070A"/>
    <w:rsid w:val="00F01E4F"/>
    <w:rsid w:val="00F02109"/>
    <w:rsid w:val="00F110B4"/>
    <w:rsid w:val="00F11783"/>
    <w:rsid w:val="00F12297"/>
    <w:rsid w:val="00F12BE1"/>
    <w:rsid w:val="00F173DA"/>
    <w:rsid w:val="00F17834"/>
    <w:rsid w:val="00F20934"/>
    <w:rsid w:val="00F22445"/>
    <w:rsid w:val="00F232CB"/>
    <w:rsid w:val="00F256EB"/>
    <w:rsid w:val="00F25E34"/>
    <w:rsid w:val="00F27E1E"/>
    <w:rsid w:val="00F30997"/>
    <w:rsid w:val="00F320D9"/>
    <w:rsid w:val="00F33FBC"/>
    <w:rsid w:val="00F340F2"/>
    <w:rsid w:val="00F341CB"/>
    <w:rsid w:val="00F35AF8"/>
    <w:rsid w:val="00F377E2"/>
    <w:rsid w:val="00F46DCF"/>
    <w:rsid w:val="00F47966"/>
    <w:rsid w:val="00F51781"/>
    <w:rsid w:val="00F527E0"/>
    <w:rsid w:val="00F55C98"/>
    <w:rsid w:val="00F56331"/>
    <w:rsid w:val="00F57E55"/>
    <w:rsid w:val="00F606F8"/>
    <w:rsid w:val="00F6605B"/>
    <w:rsid w:val="00F6627F"/>
    <w:rsid w:val="00F70E6E"/>
    <w:rsid w:val="00F71152"/>
    <w:rsid w:val="00F71FEB"/>
    <w:rsid w:val="00F72CF7"/>
    <w:rsid w:val="00F73060"/>
    <w:rsid w:val="00F77086"/>
    <w:rsid w:val="00F7764D"/>
    <w:rsid w:val="00F77FA9"/>
    <w:rsid w:val="00F8084D"/>
    <w:rsid w:val="00F82D41"/>
    <w:rsid w:val="00F86A66"/>
    <w:rsid w:val="00F87B28"/>
    <w:rsid w:val="00F90842"/>
    <w:rsid w:val="00F90DF8"/>
    <w:rsid w:val="00F92CE6"/>
    <w:rsid w:val="00F960CB"/>
    <w:rsid w:val="00FA5059"/>
    <w:rsid w:val="00FA6C5A"/>
    <w:rsid w:val="00FB210F"/>
    <w:rsid w:val="00FB30BF"/>
    <w:rsid w:val="00FB34CA"/>
    <w:rsid w:val="00FB4E03"/>
    <w:rsid w:val="00FC2396"/>
    <w:rsid w:val="00FC5712"/>
    <w:rsid w:val="00FC6D0F"/>
    <w:rsid w:val="00FC7016"/>
    <w:rsid w:val="00FC77E0"/>
    <w:rsid w:val="00FD0A08"/>
    <w:rsid w:val="00FD52EB"/>
    <w:rsid w:val="00FE1A7F"/>
    <w:rsid w:val="00FE1B08"/>
    <w:rsid w:val="00FE3F07"/>
    <w:rsid w:val="00FE7299"/>
    <w:rsid w:val="00FE72AE"/>
    <w:rsid w:val="00FF00E4"/>
    <w:rsid w:val="00FF572A"/>
    <w:rsid w:val="00FF6CD3"/>
    <w:rsid w:val="00FF6FA3"/>
    <w:rsid w:val="017E0A25"/>
    <w:rsid w:val="07CA1284"/>
    <w:rsid w:val="0AC73083"/>
    <w:rsid w:val="0DF47A22"/>
    <w:rsid w:val="0F776089"/>
    <w:rsid w:val="25436871"/>
    <w:rsid w:val="288372F4"/>
    <w:rsid w:val="2F9A2264"/>
    <w:rsid w:val="429650D8"/>
    <w:rsid w:val="46A20EF2"/>
    <w:rsid w:val="508D306D"/>
    <w:rsid w:val="6BB90E7B"/>
    <w:rsid w:val="6D8248B8"/>
    <w:rsid w:val="781D2A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5760D"/>
  <w15:docId w15:val="{0CCCD1AA-13D3-424E-A2B3-C4D650DD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1"/>
      <w:szCs w:val="21"/>
    </w:rPr>
  </w:style>
  <w:style w:type="paragraph" w:styleId="1">
    <w:name w:val="heading 1"/>
    <w:basedOn w:val="a"/>
    <w:next w:val="a"/>
    <w:link w:val="10"/>
    <w:uiPriority w:val="99"/>
    <w:qFormat/>
    <w:pPr>
      <w:keepNext/>
      <w:keepLines/>
      <w:widowControl w:val="0"/>
      <w:spacing w:before="60" w:after="60" w:line="360" w:lineRule="auto"/>
      <w:jc w:val="center"/>
      <w:outlineLvl w:val="0"/>
    </w:pPr>
    <w:rPr>
      <w:rFonts w:ascii="Calibri" w:eastAsia="黑体" w:hAnsi="Calibri"/>
      <w:b/>
      <w:bCs/>
      <w:kern w:val="44"/>
      <w:sz w:val="28"/>
      <w:szCs w:val="44"/>
    </w:rPr>
  </w:style>
  <w:style w:type="paragraph" w:styleId="2">
    <w:name w:val="heading 2"/>
    <w:basedOn w:val="a"/>
    <w:next w:val="a"/>
    <w:link w:val="20"/>
    <w:qFormat/>
    <w:pPr>
      <w:keepNext/>
      <w:keepLines/>
      <w:widowControl w:val="0"/>
      <w:spacing w:before="60" w:line="360" w:lineRule="auto"/>
      <w:jc w:val="both"/>
      <w:outlineLvl w:val="1"/>
    </w:pPr>
    <w:rPr>
      <w:rFonts w:ascii="Arial" w:hAnsi="Arial"/>
      <w:b/>
      <w:bCs/>
      <w:kern w:val="2"/>
    </w:rPr>
  </w:style>
  <w:style w:type="paragraph" w:styleId="3">
    <w:name w:val="heading 3"/>
    <w:basedOn w:val="a"/>
    <w:next w:val="a"/>
    <w:link w:val="30"/>
    <w:uiPriority w:val="9"/>
    <w:qFormat/>
    <w:pPr>
      <w:keepNext/>
      <w:keepLines/>
      <w:widowControl w:val="0"/>
      <w:spacing w:before="60" w:line="360" w:lineRule="auto"/>
      <w:jc w:val="both"/>
      <w:outlineLvl w:val="2"/>
    </w:pPr>
    <w:rPr>
      <w:rFonts w:ascii="Calibri" w:hAnsi="Calibri"/>
      <w:b/>
      <w:bCs/>
      <w:kern w:val="2"/>
      <w:szCs w:val="32"/>
    </w:rPr>
  </w:style>
  <w:style w:type="paragraph" w:styleId="4">
    <w:name w:val="heading 4"/>
    <w:basedOn w:val="a"/>
    <w:next w:val="a"/>
    <w:link w:val="40"/>
    <w:uiPriority w:val="9"/>
    <w:qFormat/>
    <w:pPr>
      <w:keepNext/>
      <w:keepLines/>
      <w:widowControl w:val="0"/>
      <w:spacing w:before="60" w:line="360" w:lineRule="auto"/>
      <w:jc w:val="both"/>
      <w:outlineLvl w:val="3"/>
    </w:pPr>
    <w:rPr>
      <w:rFonts w:asciiTheme="minorEastAsia" w:eastAsiaTheme="minorEastAsia" w:hAnsiTheme="minorEastAsia"/>
      <w:b/>
      <w:bCs/>
      <w:kern w:val="2"/>
      <w:szCs w:val="28"/>
    </w:rPr>
  </w:style>
  <w:style w:type="paragraph" w:styleId="5">
    <w:name w:val="heading 5"/>
    <w:basedOn w:val="a"/>
    <w:next w:val="a"/>
    <w:link w:val="50"/>
    <w:uiPriority w:val="9"/>
    <w:qFormat/>
    <w:pPr>
      <w:keepNext/>
      <w:keepLines/>
      <w:widowControl w:val="0"/>
      <w:spacing w:before="60" w:line="360" w:lineRule="auto"/>
      <w:ind w:leftChars="50" w:left="50"/>
      <w:jc w:val="both"/>
      <w:outlineLvl w:val="4"/>
    </w:pPr>
    <w:rPr>
      <w:rFonts w:ascii="Calibri" w:hAnsi="Calibri"/>
      <w:b/>
      <w:bCs/>
      <w:kern w:val="2"/>
      <w:szCs w:val="28"/>
    </w:rPr>
  </w:style>
  <w:style w:type="paragraph" w:styleId="6">
    <w:name w:val="heading 6"/>
    <w:basedOn w:val="a"/>
    <w:next w:val="a"/>
    <w:link w:val="60"/>
    <w:uiPriority w:val="9"/>
    <w:unhideWhenUsed/>
    <w:qFormat/>
    <w:pPr>
      <w:keepNext/>
      <w:keepLines/>
      <w:spacing w:before="60" w:after="60"/>
      <w:outlineLvl w:val="5"/>
    </w:pPr>
    <w:rPr>
      <w:rFonts w:asciiTheme="majorHAnsi" w:hAnsiTheme="majorHAnsi" w:cstheme="majorBidi"/>
      <w:b/>
      <w:bCs/>
    </w:rPr>
  </w:style>
  <w:style w:type="paragraph" w:styleId="7">
    <w:name w:val="heading 7"/>
    <w:basedOn w:val="a"/>
    <w:next w:val="a"/>
    <w:link w:val="70"/>
    <w:uiPriority w:val="9"/>
    <w:unhideWhenUsed/>
    <w:qFormat/>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widowControl w:val="0"/>
      <w:ind w:leftChars="1200" w:left="2520"/>
      <w:jc w:val="both"/>
    </w:pPr>
    <w:rPr>
      <w:rFonts w:asciiTheme="minorHAnsi" w:eastAsiaTheme="minorEastAsia" w:hAnsiTheme="minorHAnsi" w:cstheme="minorBidi"/>
      <w:kern w:val="2"/>
      <w:szCs w:val="22"/>
    </w:rPr>
  </w:style>
  <w:style w:type="paragraph" w:styleId="a3">
    <w:name w:val="Note Heading"/>
    <w:basedOn w:val="a"/>
    <w:next w:val="a"/>
    <w:link w:val="a4"/>
    <w:uiPriority w:val="99"/>
    <w:qFormat/>
    <w:pPr>
      <w:widowControl w:val="0"/>
      <w:jc w:val="center"/>
    </w:pPr>
    <w:rPr>
      <w:kern w:val="2"/>
    </w:rPr>
  </w:style>
  <w:style w:type="paragraph" w:styleId="a5">
    <w:name w:val="Normal Indent"/>
    <w:basedOn w:val="a"/>
    <w:qFormat/>
    <w:pPr>
      <w:widowControl w:val="0"/>
      <w:ind w:firstLineChars="200" w:firstLine="420"/>
      <w:jc w:val="both"/>
    </w:pPr>
    <w:rPr>
      <w:kern w:val="2"/>
    </w:rPr>
  </w:style>
  <w:style w:type="paragraph" w:styleId="a6">
    <w:name w:val="Document Map"/>
    <w:basedOn w:val="a"/>
    <w:link w:val="a7"/>
    <w:uiPriority w:val="99"/>
    <w:semiHidden/>
    <w:unhideWhenUsed/>
    <w:qFormat/>
    <w:pPr>
      <w:widowControl w:val="0"/>
      <w:jc w:val="both"/>
    </w:pPr>
    <w:rPr>
      <w:rFonts w:hAnsi="Calibri"/>
      <w:kern w:val="2"/>
      <w:sz w:val="18"/>
      <w:szCs w:val="18"/>
    </w:rPr>
  </w:style>
  <w:style w:type="paragraph" w:styleId="a8">
    <w:name w:val="toa heading"/>
    <w:basedOn w:val="a"/>
    <w:next w:val="a"/>
    <w:semiHidden/>
    <w:qFormat/>
    <w:pPr>
      <w:widowControl w:val="0"/>
      <w:spacing w:before="120"/>
      <w:jc w:val="both"/>
    </w:pPr>
    <w:rPr>
      <w:rFonts w:ascii="Arial" w:hAnsi="Arial"/>
      <w:b/>
      <w:bCs/>
      <w:kern w:val="2"/>
    </w:rPr>
  </w:style>
  <w:style w:type="paragraph" w:styleId="a9">
    <w:name w:val="annotation text"/>
    <w:basedOn w:val="a"/>
    <w:link w:val="aa"/>
    <w:qFormat/>
    <w:pPr>
      <w:widowControl w:val="0"/>
    </w:pPr>
    <w:rPr>
      <w:kern w:val="2"/>
    </w:rPr>
  </w:style>
  <w:style w:type="paragraph" w:styleId="ab">
    <w:name w:val="Salutation"/>
    <w:basedOn w:val="a"/>
    <w:next w:val="a"/>
    <w:link w:val="ac"/>
    <w:uiPriority w:val="99"/>
    <w:qFormat/>
    <w:pPr>
      <w:widowControl w:val="0"/>
      <w:jc w:val="both"/>
    </w:pPr>
    <w:rPr>
      <w:kern w:val="2"/>
    </w:rPr>
  </w:style>
  <w:style w:type="paragraph" w:styleId="31">
    <w:name w:val="List Bullet 3"/>
    <w:basedOn w:val="a"/>
    <w:qFormat/>
    <w:pPr>
      <w:widowControl w:val="0"/>
      <w:tabs>
        <w:tab w:val="left" w:pos="1200"/>
      </w:tabs>
      <w:jc w:val="both"/>
    </w:pPr>
    <w:rPr>
      <w:kern w:val="2"/>
    </w:rPr>
  </w:style>
  <w:style w:type="paragraph" w:styleId="ad">
    <w:name w:val="Body Text"/>
    <w:basedOn w:val="a"/>
    <w:link w:val="ae"/>
    <w:uiPriority w:val="99"/>
    <w:qFormat/>
    <w:pPr>
      <w:widowControl w:val="0"/>
      <w:spacing w:after="120"/>
      <w:jc w:val="both"/>
    </w:pPr>
    <w:rPr>
      <w:kern w:val="2"/>
    </w:rPr>
  </w:style>
  <w:style w:type="paragraph" w:styleId="TOC5">
    <w:name w:val="toc 5"/>
    <w:basedOn w:val="a"/>
    <w:next w:val="a"/>
    <w:uiPriority w:val="39"/>
    <w:unhideWhenUsed/>
    <w:qFormat/>
    <w:pPr>
      <w:widowControl w:val="0"/>
      <w:ind w:leftChars="800" w:left="1680"/>
      <w:jc w:val="both"/>
    </w:pPr>
    <w:rPr>
      <w:rFonts w:asciiTheme="minorHAnsi" w:eastAsiaTheme="minorEastAsia" w:hAnsiTheme="minorHAnsi" w:cstheme="minorBidi"/>
      <w:kern w:val="2"/>
      <w:szCs w:val="22"/>
    </w:rPr>
  </w:style>
  <w:style w:type="paragraph" w:styleId="TOC3">
    <w:name w:val="toc 3"/>
    <w:basedOn w:val="a"/>
    <w:next w:val="a"/>
    <w:uiPriority w:val="39"/>
    <w:unhideWhenUsed/>
    <w:qFormat/>
    <w:pPr>
      <w:spacing w:after="100" w:line="276" w:lineRule="auto"/>
      <w:ind w:left="440"/>
    </w:pPr>
    <w:rPr>
      <w:rFonts w:ascii="Calibri" w:hAnsi="Calibri"/>
      <w:sz w:val="22"/>
      <w:szCs w:val="22"/>
    </w:rPr>
  </w:style>
  <w:style w:type="paragraph" w:styleId="af">
    <w:name w:val="Plain Text"/>
    <w:basedOn w:val="a"/>
    <w:link w:val="af0"/>
    <w:qFormat/>
    <w:pPr>
      <w:widowControl w:val="0"/>
      <w:jc w:val="both"/>
    </w:pPr>
    <w:rPr>
      <w:rFonts w:hAnsi="Courier New"/>
      <w:kern w:val="2"/>
    </w:rPr>
  </w:style>
  <w:style w:type="paragraph" w:styleId="TOC8">
    <w:name w:val="toc 8"/>
    <w:basedOn w:val="a"/>
    <w:next w:val="a"/>
    <w:uiPriority w:val="39"/>
    <w:unhideWhenUsed/>
    <w:qFormat/>
    <w:pPr>
      <w:widowControl w:val="0"/>
      <w:ind w:leftChars="1400" w:left="2940"/>
      <w:jc w:val="both"/>
    </w:pPr>
    <w:rPr>
      <w:rFonts w:asciiTheme="minorHAnsi" w:eastAsiaTheme="minorEastAsia" w:hAnsiTheme="minorHAnsi" w:cstheme="minorBidi"/>
      <w:kern w:val="2"/>
      <w:szCs w:val="22"/>
    </w:rPr>
  </w:style>
  <w:style w:type="paragraph" w:styleId="af1">
    <w:name w:val="Date"/>
    <w:basedOn w:val="a"/>
    <w:next w:val="a"/>
    <w:link w:val="af2"/>
    <w:uiPriority w:val="99"/>
    <w:qFormat/>
    <w:pPr>
      <w:widowControl w:val="0"/>
      <w:ind w:leftChars="2500" w:left="100"/>
      <w:jc w:val="both"/>
    </w:pPr>
    <w:rPr>
      <w:kern w:val="2"/>
    </w:rPr>
  </w:style>
  <w:style w:type="paragraph" w:styleId="af3">
    <w:name w:val="endnote text"/>
    <w:basedOn w:val="a"/>
    <w:link w:val="af4"/>
    <w:uiPriority w:val="99"/>
    <w:semiHidden/>
    <w:unhideWhenUsed/>
    <w:qFormat/>
    <w:pPr>
      <w:snapToGrid w:val="0"/>
    </w:pPr>
  </w:style>
  <w:style w:type="paragraph" w:styleId="af5">
    <w:name w:val="Balloon Text"/>
    <w:basedOn w:val="a"/>
    <w:link w:val="af6"/>
    <w:uiPriority w:val="99"/>
    <w:unhideWhenUsed/>
    <w:qFormat/>
    <w:pPr>
      <w:widowControl w:val="0"/>
      <w:jc w:val="both"/>
    </w:pPr>
    <w:rPr>
      <w:rFonts w:ascii="Calibri" w:hAnsi="Calibri"/>
      <w:kern w:val="2"/>
      <w:sz w:val="18"/>
      <w:szCs w:val="18"/>
    </w:rPr>
  </w:style>
  <w:style w:type="paragraph" w:styleId="af7">
    <w:name w:val="footer"/>
    <w:basedOn w:val="a"/>
    <w:link w:val="af8"/>
    <w:uiPriority w:val="99"/>
    <w:unhideWhenUsed/>
    <w:qFormat/>
    <w:pPr>
      <w:widowControl w:val="0"/>
      <w:tabs>
        <w:tab w:val="center" w:pos="4153"/>
        <w:tab w:val="right" w:pos="8306"/>
      </w:tabs>
      <w:snapToGrid w:val="0"/>
    </w:pPr>
    <w:rPr>
      <w:rFonts w:ascii="Calibri" w:hAnsi="Calibri"/>
      <w:kern w:val="2"/>
      <w:sz w:val="18"/>
      <w:szCs w:val="18"/>
    </w:rPr>
  </w:style>
  <w:style w:type="paragraph" w:styleId="af9">
    <w:name w:val="header"/>
    <w:basedOn w:val="a"/>
    <w:link w:val="afa"/>
    <w:uiPriority w:val="99"/>
    <w:unhideWhenUsed/>
    <w:qFormat/>
    <w:pPr>
      <w:widowControl w:val="0"/>
      <w:pBdr>
        <w:bottom w:val="single" w:sz="6" w:space="1" w:color="auto"/>
      </w:pBdr>
      <w:tabs>
        <w:tab w:val="center" w:pos="4153"/>
        <w:tab w:val="right" w:pos="8306"/>
      </w:tabs>
      <w:snapToGrid w:val="0"/>
      <w:jc w:val="center"/>
    </w:pPr>
    <w:rPr>
      <w:rFonts w:ascii="Calibri" w:hAnsi="Calibri"/>
      <w:kern w:val="2"/>
      <w:sz w:val="18"/>
      <w:szCs w:val="18"/>
    </w:rPr>
  </w:style>
  <w:style w:type="paragraph" w:styleId="TOC1">
    <w:name w:val="toc 1"/>
    <w:basedOn w:val="a"/>
    <w:next w:val="a"/>
    <w:uiPriority w:val="39"/>
    <w:qFormat/>
    <w:pPr>
      <w:widowControl w:val="0"/>
      <w:tabs>
        <w:tab w:val="left" w:pos="1260"/>
        <w:tab w:val="right" w:leader="dot" w:pos="8823"/>
      </w:tabs>
      <w:spacing w:line="360" w:lineRule="auto"/>
      <w:jc w:val="both"/>
    </w:pPr>
    <w:rPr>
      <w:kern w:val="2"/>
    </w:rPr>
  </w:style>
  <w:style w:type="paragraph" w:styleId="TOC4">
    <w:name w:val="toc 4"/>
    <w:basedOn w:val="a"/>
    <w:next w:val="a"/>
    <w:uiPriority w:val="39"/>
    <w:unhideWhenUsed/>
    <w:qFormat/>
    <w:pPr>
      <w:widowControl w:val="0"/>
      <w:ind w:leftChars="600" w:left="1260"/>
      <w:jc w:val="both"/>
    </w:pPr>
    <w:rPr>
      <w:rFonts w:asciiTheme="minorHAnsi" w:eastAsiaTheme="minorEastAsia" w:hAnsiTheme="minorHAnsi" w:cstheme="minorBidi"/>
      <w:kern w:val="2"/>
      <w:szCs w:val="22"/>
    </w:rPr>
  </w:style>
  <w:style w:type="paragraph" w:styleId="afb">
    <w:name w:val="footnote text"/>
    <w:basedOn w:val="a"/>
    <w:link w:val="afc"/>
    <w:uiPriority w:val="99"/>
    <w:semiHidden/>
    <w:unhideWhenUsed/>
    <w:qFormat/>
    <w:pPr>
      <w:widowControl w:val="0"/>
      <w:snapToGrid w:val="0"/>
    </w:pPr>
    <w:rPr>
      <w:rFonts w:ascii="Calibri" w:hAnsi="Calibri"/>
      <w:kern w:val="2"/>
      <w:sz w:val="18"/>
      <w:szCs w:val="18"/>
    </w:rPr>
  </w:style>
  <w:style w:type="paragraph" w:styleId="TOC6">
    <w:name w:val="toc 6"/>
    <w:basedOn w:val="a"/>
    <w:next w:val="a"/>
    <w:uiPriority w:val="39"/>
    <w:unhideWhenUsed/>
    <w:qFormat/>
    <w:pPr>
      <w:widowControl w:val="0"/>
      <w:ind w:leftChars="1000" w:left="2100"/>
      <w:jc w:val="both"/>
    </w:pPr>
    <w:rPr>
      <w:rFonts w:asciiTheme="minorHAnsi" w:eastAsiaTheme="minorEastAsia" w:hAnsiTheme="minorHAnsi" w:cstheme="minorBidi"/>
      <w:kern w:val="2"/>
      <w:szCs w:val="22"/>
    </w:rPr>
  </w:style>
  <w:style w:type="paragraph" w:styleId="TOC2">
    <w:name w:val="toc 2"/>
    <w:basedOn w:val="a"/>
    <w:next w:val="a"/>
    <w:uiPriority w:val="39"/>
    <w:qFormat/>
    <w:pPr>
      <w:widowControl w:val="0"/>
      <w:ind w:leftChars="200" w:left="420"/>
      <w:jc w:val="both"/>
    </w:pPr>
    <w:rPr>
      <w:kern w:val="2"/>
    </w:rPr>
  </w:style>
  <w:style w:type="paragraph" w:styleId="TOC9">
    <w:name w:val="toc 9"/>
    <w:basedOn w:val="a"/>
    <w:next w:val="a"/>
    <w:uiPriority w:val="39"/>
    <w:unhideWhenUsed/>
    <w:qFormat/>
    <w:pPr>
      <w:widowControl w:val="0"/>
      <w:ind w:leftChars="1600" w:left="3360"/>
      <w:jc w:val="both"/>
    </w:pPr>
    <w:rPr>
      <w:rFonts w:asciiTheme="minorHAnsi" w:eastAsiaTheme="minorEastAsia" w:hAnsiTheme="minorHAnsi" w:cstheme="minorBidi"/>
      <w:kern w:val="2"/>
      <w:szCs w:val="22"/>
    </w:rPr>
  </w:style>
  <w:style w:type="paragraph" w:styleId="afd">
    <w:name w:val="Normal (Web)"/>
    <w:basedOn w:val="a"/>
    <w:uiPriority w:val="99"/>
    <w:qFormat/>
    <w:pPr>
      <w:spacing w:before="100" w:beforeAutospacing="1" w:after="100" w:afterAutospacing="1"/>
    </w:pPr>
    <w:rPr>
      <w:sz w:val="24"/>
    </w:rPr>
  </w:style>
  <w:style w:type="paragraph" w:styleId="11">
    <w:name w:val="index 1"/>
    <w:basedOn w:val="a"/>
    <w:next w:val="a"/>
    <w:semiHidden/>
    <w:qFormat/>
    <w:pPr>
      <w:ind w:firstLineChars="200" w:firstLine="420"/>
    </w:pPr>
    <w:rPr>
      <w:color w:val="000000"/>
    </w:rPr>
  </w:style>
  <w:style w:type="paragraph" w:styleId="afe">
    <w:name w:val="Title"/>
    <w:basedOn w:val="a"/>
    <w:next w:val="a"/>
    <w:link w:val="aff"/>
    <w:uiPriority w:val="10"/>
    <w:qFormat/>
    <w:pPr>
      <w:widowControl w:val="0"/>
      <w:spacing w:before="240" w:after="60"/>
      <w:jc w:val="center"/>
      <w:outlineLvl w:val="0"/>
    </w:pPr>
    <w:rPr>
      <w:rFonts w:asciiTheme="majorHAnsi" w:hAnsiTheme="majorHAnsi" w:cstheme="majorBidi"/>
      <w:b/>
      <w:bCs/>
      <w:kern w:val="2"/>
      <w:sz w:val="32"/>
      <w:szCs w:val="32"/>
    </w:rPr>
  </w:style>
  <w:style w:type="paragraph" w:styleId="aff0">
    <w:name w:val="annotation subject"/>
    <w:basedOn w:val="a9"/>
    <w:next w:val="a9"/>
    <w:link w:val="aff1"/>
    <w:uiPriority w:val="99"/>
    <w:unhideWhenUsed/>
    <w:qFormat/>
    <w:rPr>
      <w:rFonts w:ascii="Calibri" w:hAnsi="Calibri"/>
      <w:b/>
      <w:bCs/>
      <w:szCs w:val="22"/>
    </w:rPr>
  </w:style>
  <w:style w:type="table" w:styleId="aff2">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basedOn w:val="a0"/>
    <w:uiPriority w:val="22"/>
    <w:qFormat/>
    <w:rPr>
      <w:b/>
      <w:bCs/>
    </w:rPr>
  </w:style>
  <w:style w:type="character" w:styleId="aff4">
    <w:name w:val="endnote reference"/>
    <w:basedOn w:val="a0"/>
    <w:uiPriority w:val="99"/>
    <w:semiHidden/>
    <w:unhideWhenUsed/>
    <w:qFormat/>
    <w:rPr>
      <w:vertAlign w:val="superscript"/>
    </w:rPr>
  </w:style>
  <w:style w:type="character" w:styleId="aff5">
    <w:name w:val="FollowedHyperlink"/>
    <w:basedOn w:val="a0"/>
    <w:uiPriority w:val="99"/>
    <w:semiHidden/>
    <w:unhideWhenUsed/>
    <w:qFormat/>
    <w:rPr>
      <w:color w:val="800080" w:themeColor="followedHyperlink"/>
      <w:u w:val="single"/>
    </w:rPr>
  </w:style>
  <w:style w:type="character" w:styleId="aff6">
    <w:name w:val="Hyperlink"/>
    <w:basedOn w:val="a0"/>
    <w:uiPriority w:val="99"/>
    <w:qFormat/>
    <w:rPr>
      <w:rFonts w:cs="Times New Roman"/>
      <w:color w:val="0000FF"/>
      <w:u w:val="single"/>
    </w:rPr>
  </w:style>
  <w:style w:type="character" w:styleId="aff7">
    <w:name w:val="annotation reference"/>
    <w:basedOn w:val="a0"/>
    <w:uiPriority w:val="99"/>
    <w:qFormat/>
    <w:rPr>
      <w:rFonts w:eastAsia="宋体" w:cs="Times New Roman"/>
      <w:kern w:val="2"/>
      <w:sz w:val="21"/>
      <w:szCs w:val="21"/>
      <w:lang w:val="en-US" w:eastAsia="zh-CN" w:bidi="ar-SA"/>
    </w:rPr>
  </w:style>
  <w:style w:type="character" w:styleId="aff8">
    <w:name w:val="footnote reference"/>
    <w:uiPriority w:val="99"/>
    <w:semiHidden/>
    <w:unhideWhenUsed/>
    <w:qFormat/>
    <w:rPr>
      <w:vertAlign w:val="superscript"/>
    </w:rPr>
  </w:style>
  <w:style w:type="character" w:customStyle="1" w:styleId="10">
    <w:name w:val="标题 1 字符"/>
    <w:basedOn w:val="a0"/>
    <w:link w:val="1"/>
    <w:uiPriority w:val="99"/>
    <w:qFormat/>
    <w:rPr>
      <w:rFonts w:eastAsia="黑体"/>
      <w:b/>
      <w:bCs/>
      <w:kern w:val="44"/>
      <w:sz w:val="28"/>
      <w:szCs w:val="44"/>
    </w:rPr>
  </w:style>
  <w:style w:type="character" w:customStyle="1" w:styleId="20">
    <w:name w:val="标题 2 字符"/>
    <w:basedOn w:val="a0"/>
    <w:link w:val="2"/>
    <w:qFormat/>
    <w:rPr>
      <w:rFonts w:ascii="Arial" w:hAnsi="Arial"/>
      <w:b/>
      <w:bCs/>
      <w:kern w:val="2"/>
      <w:sz w:val="21"/>
      <w:szCs w:val="21"/>
    </w:rPr>
  </w:style>
  <w:style w:type="character" w:customStyle="1" w:styleId="30">
    <w:name w:val="标题 3 字符"/>
    <w:basedOn w:val="a0"/>
    <w:link w:val="3"/>
    <w:uiPriority w:val="9"/>
    <w:qFormat/>
    <w:rPr>
      <w:b/>
      <w:bCs/>
      <w:kern w:val="2"/>
      <w:sz w:val="21"/>
      <w:szCs w:val="32"/>
    </w:rPr>
  </w:style>
  <w:style w:type="character" w:customStyle="1" w:styleId="40">
    <w:name w:val="标题 4 字符"/>
    <w:basedOn w:val="a0"/>
    <w:link w:val="4"/>
    <w:uiPriority w:val="9"/>
    <w:qFormat/>
    <w:rPr>
      <w:rFonts w:asciiTheme="minorEastAsia" w:eastAsiaTheme="minorEastAsia" w:hAnsiTheme="minorEastAsia"/>
      <w:b/>
      <w:bCs/>
      <w:kern w:val="2"/>
      <w:sz w:val="21"/>
      <w:szCs w:val="28"/>
    </w:rPr>
  </w:style>
  <w:style w:type="character" w:customStyle="1" w:styleId="50">
    <w:name w:val="标题 5 字符"/>
    <w:basedOn w:val="a0"/>
    <w:link w:val="5"/>
    <w:uiPriority w:val="9"/>
    <w:qFormat/>
    <w:rPr>
      <w:b/>
      <w:bCs/>
      <w:kern w:val="2"/>
      <w:sz w:val="21"/>
      <w:szCs w:val="28"/>
    </w:rPr>
  </w:style>
  <w:style w:type="paragraph" w:customStyle="1" w:styleId="TOC10">
    <w:name w:val="TOC 标题1"/>
    <w:basedOn w:val="1"/>
    <w:next w:val="a"/>
    <w:uiPriority w:val="39"/>
    <w:qFormat/>
    <w:pPr>
      <w:widowControl/>
      <w:spacing w:before="480" w:after="0" w:line="276" w:lineRule="auto"/>
      <w:outlineLvl w:val="9"/>
    </w:pPr>
    <w:rPr>
      <w:rFonts w:ascii="Cambria" w:eastAsia="宋体" w:hAnsi="Cambria"/>
      <w:color w:val="365F91"/>
      <w:kern w:val="0"/>
      <w:szCs w:val="28"/>
    </w:rPr>
  </w:style>
  <w:style w:type="character" w:customStyle="1" w:styleId="aa">
    <w:name w:val="批注文字 字符"/>
    <w:basedOn w:val="a0"/>
    <w:link w:val="a9"/>
    <w:qFormat/>
    <w:rPr>
      <w:rFonts w:ascii="Times New Roman" w:eastAsia="宋体" w:hAnsi="Times New Roman" w:cs="Times New Roman"/>
      <w:szCs w:val="21"/>
    </w:rPr>
  </w:style>
  <w:style w:type="character" w:customStyle="1" w:styleId="af6">
    <w:name w:val="批注框文本 字符"/>
    <w:basedOn w:val="a0"/>
    <w:link w:val="af5"/>
    <w:uiPriority w:val="99"/>
    <w:qFormat/>
    <w:rPr>
      <w:rFonts w:ascii="Calibri" w:eastAsia="宋体" w:hAnsi="Calibri" w:cs="Times New Roman"/>
      <w:sz w:val="18"/>
      <w:szCs w:val="18"/>
    </w:rPr>
  </w:style>
  <w:style w:type="character" w:customStyle="1" w:styleId="ac">
    <w:name w:val="称呼 字符"/>
    <w:basedOn w:val="a0"/>
    <w:link w:val="ab"/>
    <w:uiPriority w:val="99"/>
    <w:qFormat/>
    <w:rPr>
      <w:rFonts w:ascii="Times New Roman" w:eastAsia="宋体" w:hAnsi="Times New Roman" w:cs="Times New Roman"/>
      <w:szCs w:val="21"/>
    </w:rPr>
  </w:style>
  <w:style w:type="character" w:customStyle="1" w:styleId="notnullcss1">
    <w:name w:val="notnullcss1"/>
    <w:basedOn w:val="a0"/>
    <w:uiPriority w:val="99"/>
    <w:qFormat/>
    <w:rPr>
      <w:rFonts w:eastAsia="宋体" w:cs="Times New Roman"/>
      <w:color w:val="FF0000"/>
      <w:kern w:val="2"/>
      <w:sz w:val="24"/>
      <w:szCs w:val="24"/>
      <w:lang w:val="en-US" w:eastAsia="zh-CN" w:bidi="ar-SA"/>
    </w:rPr>
  </w:style>
  <w:style w:type="paragraph" w:customStyle="1" w:styleId="xl61">
    <w:name w:val="xl61"/>
    <w:basedOn w:val="a"/>
    <w:uiPriority w:val="99"/>
    <w:qFormat/>
    <w:pPr>
      <w:spacing w:before="100" w:after="100"/>
      <w:jc w:val="right"/>
    </w:pPr>
    <w:rPr>
      <w:rFonts w:ascii="Arial Unicode MS" w:eastAsia="Arial Unicode MS"/>
      <w:sz w:val="18"/>
      <w:szCs w:val="18"/>
    </w:rPr>
  </w:style>
  <w:style w:type="paragraph" w:styleId="aff9">
    <w:name w:val="List Paragraph"/>
    <w:basedOn w:val="a"/>
    <w:uiPriority w:val="34"/>
    <w:qFormat/>
    <w:pPr>
      <w:widowControl w:val="0"/>
      <w:ind w:firstLineChars="200" w:firstLine="420"/>
      <w:jc w:val="both"/>
    </w:pPr>
    <w:rPr>
      <w:rFonts w:ascii="Calibri" w:hAnsi="Calibri"/>
      <w:kern w:val="2"/>
      <w:szCs w:val="22"/>
    </w:rPr>
  </w:style>
  <w:style w:type="character" w:customStyle="1" w:styleId="aff1">
    <w:name w:val="批注主题 字符"/>
    <w:basedOn w:val="aa"/>
    <w:link w:val="aff0"/>
    <w:uiPriority w:val="99"/>
    <w:qFormat/>
    <w:rPr>
      <w:rFonts w:ascii="Calibri" w:eastAsia="宋体" w:hAnsi="Calibri" w:cs="Times New Roman"/>
      <w:b/>
      <w:bCs/>
      <w:szCs w:val="21"/>
    </w:rPr>
  </w:style>
  <w:style w:type="character" w:customStyle="1" w:styleId="afa">
    <w:name w:val="页眉 字符"/>
    <w:basedOn w:val="a0"/>
    <w:link w:val="af9"/>
    <w:uiPriority w:val="99"/>
    <w:qFormat/>
    <w:rPr>
      <w:rFonts w:ascii="Calibri" w:eastAsia="宋体" w:hAnsi="Calibri" w:cs="Times New Roman"/>
      <w:sz w:val="18"/>
      <w:szCs w:val="18"/>
    </w:rPr>
  </w:style>
  <w:style w:type="character" w:customStyle="1" w:styleId="af8">
    <w:name w:val="页脚 字符"/>
    <w:basedOn w:val="a0"/>
    <w:link w:val="af7"/>
    <w:uiPriority w:val="99"/>
    <w:qFormat/>
    <w:rPr>
      <w:rFonts w:ascii="Calibri" w:eastAsia="宋体" w:hAnsi="Calibri" w:cs="Times New Roman"/>
      <w:sz w:val="18"/>
      <w:szCs w:val="18"/>
    </w:rPr>
  </w:style>
  <w:style w:type="character" w:customStyle="1" w:styleId="af0">
    <w:name w:val="纯文本 字符"/>
    <w:basedOn w:val="a0"/>
    <w:link w:val="af"/>
    <w:qFormat/>
    <w:rPr>
      <w:rFonts w:ascii="宋体" w:eastAsia="宋体" w:hAnsi="Courier New" w:cs="Times New Roman"/>
      <w:szCs w:val="20"/>
    </w:rPr>
  </w:style>
  <w:style w:type="character" w:customStyle="1" w:styleId="headline-content2">
    <w:name w:val="headline-content2"/>
    <w:basedOn w:val="a0"/>
    <w:qFormat/>
    <w:rPr>
      <w:rFonts w:eastAsia="宋体" w:cs="Times New Roman"/>
      <w:kern w:val="2"/>
      <w:sz w:val="24"/>
      <w:szCs w:val="24"/>
      <w:lang w:val="en-US" w:eastAsia="zh-CN" w:bidi="ar-SA"/>
    </w:rPr>
  </w:style>
  <w:style w:type="character" w:customStyle="1" w:styleId="ae">
    <w:name w:val="正文文本 字符"/>
    <w:basedOn w:val="a0"/>
    <w:link w:val="ad"/>
    <w:uiPriority w:val="99"/>
    <w:qFormat/>
    <w:rPr>
      <w:rFonts w:ascii="Times New Roman" w:eastAsia="宋体" w:hAnsi="Times New Roman" w:cs="Times New Roman"/>
      <w:szCs w:val="21"/>
    </w:rPr>
  </w:style>
  <w:style w:type="paragraph" w:customStyle="1" w:styleId="write2">
    <w:name w:val="write2"/>
    <w:basedOn w:val="a"/>
    <w:uiPriority w:val="99"/>
    <w:qFormat/>
    <w:pPr>
      <w:tabs>
        <w:tab w:val="left" w:pos="709"/>
      </w:tabs>
      <w:overflowPunct w:val="0"/>
      <w:autoSpaceDE w:val="0"/>
      <w:autoSpaceDN w:val="0"/>
      <w:adjustRightInd w:val="0"/>
      <w:jc w:val="both"/>
      <w:textAlignment w:val="baseline"/>
    </w:pPr>
    <w:rPr>
      <w:rFonts w:ascii="Helvetica-Narrow" w:hAnsi="Helvetica-Narrow"/>
      <w:lang w:val="en-AU"/>
    </w:rPr>
  </w:style>
  <w:style w:type="character" w:customStyle="1" w:styleId="af2">
    <w:name w:val="日期 字符"/>
    <w:basedOn w:val="a0"/>
    <w:link w:val="af1"/>
    <w:uiPriority w:val="99"/>
    <w:qFormat/>
    <w:rPr>
      <w:rFonts w:ascii="Times New Roman" w:eastAsia="宋体" w:hAnsi="Times New Roman" w:cs="Times New Roman"/>
      <w:szCs w:val="21"/>
    </w:rPr>
  </w:style>
  <w:style w:type="character" w:customStyle="1" w:styleId="a4">
    <w:name w:val="注释标题 字符"/>
    <w:basedOn w:val="a0"/>
    <w:link w:val="a3"/>
    <w:uiPriority w:val="99"/>
    <w:qFormat/>
    <w:rPr>
      <w:rFonts w:ascii="Times New Roman" w:eastAsia="宋体" w:hAnsi="Times New Roman" w:cs="Times New Roman"/>
      <w:szCs w:val="21"/>
    </w:rPr>
  </w:style>
  <w:style w:type="paragraph" w:customStyle="1" w:styleId="51">
    <w:name w:val="标题5"/>
    <w:basedOn w:val="a"/>
    <w:qFormat/>
    <w:pPr>
      <w:keepNext/>
      <w:keepLines/>
      <w:widowControl w:val="0"/>
      <w:spacing w:before="60" w:after="60"/>
      <w:ind w:hangingChars="200" w:hanging="420"/>
      <w:jc w:val="both"/>
      <w:outlineLvl w:val="4"/>
    </w:pPr>
    <w:rPr>
      <w:b/>
      <w:bCs/>
      <w:kern w:val="2"/>
    </w:rPr>
  </w:style>
  <w:style w:type="paragraph" w:customStyle="1" w:styleId="12">
    <w:name w:val="修订1"/>
    <w:hidden/>
    <w:uiPriority w:val="99"/>
    <w:semiHidden/>
    <w:qFormat/>
    <w:rPr>
      <w:kern w:val="2"/>
      <w:sz w:val="21"/>
      <w:szCs w:val="22"/>
    </w:rPr>
  </w:style>
  <w:style w:type="character" w:customStyle="1" w:styleId="Char">
    <w:name w:val="正文的样式 Char"/>
    <w:basedOn w:val="a0"/>
    <w:link w:val="affa"/>
    <w:qFormat/>
    <w:rPr>
      <w:kern w:val="2"/>
      <w:sz w:val="21"/>
      <w:szCs w:val="24"/>
    </w:rPr>
  </w:style>
  <w:style w:type="paragraph" w:customStyle="1" w:styleId="affa">
    <w:name w:val="正文的样式"/>
    <w:basedOn w:val="a"/>
    <w:link w:val="Char"/>
    <w:qFormat/>
    <w:pPr>
      <w:widowControl w:val="0"/>
      <w:spacing w:before="100" w:after="100"/>
      <w:jc w:val="both"/>
    </w:pPr>
    <w:rPr>
      <w:rFonts w:ascii="Calibri" w:hAnsi="Calibri"/>
      <w:kern w:val="2"/>
    </w:rPr>
  </w:style>
  <w:style w:type="character" w:customStyle="1" w:styleId="a7">
    <w:name w:val="文档结构图 字符"/>
    <w:basedOn w:val="a0"/>
    <w:link w:val="a6"/>
    <w:uiPriority w:val="99"/>
    <w:semiHidden/>
    <w:qFormat/>
    <w:rPr>
      <w:rFonts w:ascii="宋体"/>
      <w:kern w:val="2"/>
      <w:sz w:val="18"/>
      <w:szCs w:val="18"/>
    </w:rPr>
  </w:style>
  <w:style w:type="character" w:styleId="affb">
    <w:name w:val="Placeholder Text"/>
    <w:basedOn w:val="a0"/>
    <w:uiPriority w:val="99"/>
    <w:qFormat/>
    <w:rPr>
      <w:color w:val="auto"/>
    </w:rPr>
  </w:style>
  <w:style w:type="character" w:customStyle="1" w:styleId="aff">
    <w:name w:val="标题 字符"/>
    <w:basedOn w:val="a0"/>
    <w:link w:val="afe"/>
    <w:uiPriority w:val="10"/>
    <w:qFormat/>
    <w:rPr>
      <w:rFonts w:asciiTheme="majorHAnsi" w:hAnsiTheme="majorHAnsi" w:cstheme="majorBidi"/>
      <w:b/>
      <w:bCs/>
      <w:kern w:val="2"/>
      <w:sz w:val="32"/>
      <w:szCs w:val="32"/>
    </w:rPr>
  </w:style>
  <w:style w:type="paragraph" w:styleId="affc">
    <w:name w:val="No Spacing"/>
    <w:uiPriority w:val="1"/>
    <w:qFormat/>
    <w:pPr>
      <w:widowControl w:val="0"/>
      <w:jc w:val="both"/>
    </w:pPr>
    <w:rPr>
      <w:kern w:val="2"/>
      <w:sz w:val="21"/>
      <w:szCs w:val="22"/>
    </w:rPr>
  </w:style>
  <w:style w:type="character" w:customStyle="1" w:styleId="60">
    <w:name w:val="标题 6 字符"/>
    <w:basedOn w:val="a0"/>
    <w:link w:val="6"/>
    <w:uiPriority w:val="9"/>
    <w:qFormat/>
    <w:rPr>
      <w:rFonts w:asciiTheme="majorHAnsi" w:hAnsiTheme="majorHAnsi" w:cstheme="majorBidi"/>
      <w:b/>
      <w:bCs/>
      <w:sz w:val="21"/>
      <w:szCs w:val="24"/>
    </w:rPr>
  </w:style>
  <w:style w:type="character" w:customStyle="1" w:styleId="af4">
    <w:name w:val="尾注文本 字符"/>
    <w:basedOn w:val="a0"/>
    <w:link w:val="af3"/>
    <w:uiPriority w:val="99"/>
    <w:semiHidden/>
    <w:qFormat/>
    <w:rPr>
      <w:rFonts w:ascii="宋体" w:hAnsi="宋体" w:cs="宋体"/>
      <w:sz w:val="21"/>
      <w:szCs w:val="24"/>
    </w:rPr>
  </w:style>
  <w:style w:type="character" w:customStyle="1" w:styleId="Char1">
    <w:name w:val="批注主题 Char1"/>
    <w:basedOn w:val="aa"/>
    <w:uiPriority w:val="99"/>
    <w:semiHidden/>
    <w:qFormat/>
    <w:rPr>
      <w:rFonts w:ascii="Times New Roman" w:eastAsia="宋体" w:hAnsi="Times New Roman" w:cs="Times New Roman"/>
      <w:b/>
      <w:bCs/>
      <w:szCs w:val="21"/>
    </w:rPr>
  </w:style>
  <w:style w:type="character" w:customStyle="1" w:styleId="span">
    <w:name w:val="span_"/>
    <w:basedOn w:val="a0"/>
    <w:qFormat/>
  </w:style>
  <w:style w:type="paragraph" w:customStyle="1" w:styleId="32">
    <w:name w:val="标题  3"/>
    <w:basedOn w:val="a"/>
    <w:next w:val="a"/>
    <w:link w:val="3Char"/>
    <w:qFormat/>
    <w:pPr>
      <w:keepNext/>
      <w:keepLines/>
      <w:widowControl w:val="0"/>
      <w:spacing w:before="100" w:beforeAutospacing="1" w:after="100" w:afterAutospacing="1" w:line="415" w:lineRule="auto"/>
      <w:jc w:val="both"/>
    </w:pPr>
    <w:rPr>
      <w:b/>
      <w:kern w:val="2"/>
    </w:rPr>
  </w:style>
  <w:style w:type="character" w:customStyle="1" w:styleId="3Char">
    <w:name w:val="标题  3 Char"/>
    <w:basedOn w:val="a0"/>
    <w:link w:val="32"/>
    <w:qFormat/>
    <w:rPr>
      <w:rFonts w:ascii="Times New Roman" w:hAnsi="Times New Roman"/>
      <w:b/>
      <w:kern w:val="2"/>
      <w:sz w:val="21"/>
      <w:szCs w:val="24"/>
    </w:rPr>
  </w:style>
  <w:style w:type="character" w:customStyle="1" w:styleId="70">
    <w:name w:val="标题 7 字符"/>
    <w:basedOn w:val="a0"/>
    <w:link w:val="7"/>
    <w:uiPriority w:val="9"/>
    <w:qFormat/>
    <w:rPr>
      <w:rFonts w:ascii="宋体" w:hAnsi="宋体" w:cs="宋体"/>
      <w:b/>
      <w:bCs/>
      <w:sz w:val="24"/>
      <w:szCs w:val="24"/>
    </w:rPr>
  </w:style>
  <w:style w:type="character" w:customStyle="1" w:styleId="13">
    <w:name w:val="批注主题 字符1"/>
    <w:basedOn w:val="aa"/>
    <w:uiPriority w:val="99"/>
    <w:semiHidden/>
    <w:qFormat/>
    <w:rPr>
      <w:rFonts w:ascii="Times New Roman" w:eastAsia="宋体" w:hAnsi="Times New Roman" w:cs="Times New Roman"/>
      <w:b/>
      <w:bCs/>
      <w:szCs w:val="21"/>
    </w:rPr>
  </w:style>
  <w:style w:type="character" w:customStyle="1" w:styleId="4Char">
    <w:name w:val="标题 4 Char"/>
    <w:uiPriority w:val="9"/>
    <w:qFormat/>
    <w:rPr>
      <w:rFonts w:ascii="Cambria" w:hAnsi="Cambria"/>
      <w:b/>
      <w:bCs/>
      <w:kern w:val="2"/>
      <w:sz w:val="21"/>
      <w:szCs w:val="28"/>
    </w:rPr>
  </w:style>
  <w:style w:type="paragraph" w:customStyle="1" w:styleId="41">
    <w:name w:val="4"/>
    <w:basedOn w:val="a"/>
    <w:next w:val="aff9"/>
    <w:uiPriority w:val="34"/>
    <w:qFormat/>
    <w:pPr>
      <w:widowControl w:val="0"/>
      <w:ind w:firstLineChars="200" w:firstLine="420"/>
      <w:jc w:val="both"/>
    </w:pPr>
    <w:rPr>
      <w:rFonts w:ascii="Calibri" w:hAnsi="Calibri"/>
      <w:kern w:val="2"/>
      <w:szCs w:val="22"/>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f9"/>
    <w:uiPriority w:val="34"/>
    <w:qFormat/>
    <w:pPr>
      <w:widowControl w:val="0"/>
      <w:ind w:firstLineChars="200" w:firstLine="420"/>
      <w:jc w:val="both"/>
    </w:pPr>
    <w:rPr>
      <w:rFonts w:ascii="Calibri" w:hAnsi="Calibri"/>
      <w:kern w:val="2"/>
      <w:szCs w:val="22"/>
    </w:rPr>
  </w:style>
  <w:style w:type="character" w:customStyle="1" w:styleId="3Char0">
    <w:name w:val="标题 3 Char"/>
    <w:uiPriority w:val="9"/>
    <w:qFormat/>
    <w:rPr>
      <w:b/>
      <w:bCs/>
      <w:kern w:val="2"/>
      <w:sz w:val="21"/>
      <w:szCs w:val="32"/>
    </w:rPr>
  </w:style>
  <w:style w:type="paragraph" w:customStyle="1" w:styleId="22">
    <w:name w:val="2"/>
    <w:basedOn w:val="a"/>
    <w:next w:val="aff9"/>
    <w:uiPriority w:val="34"/>
    <w:qFormat/>
    <w:pPr>
      <w:widowControl w:val="0"/>
      <w:ind w:firstLineChars="200" w:firstLine="420"/>
      <w:jc w:val="both"/>
    </w:pPr>
    <w:rPr>
      <w:rFonts w:ascii="Calibri" w:hAnsi="Calibri"/>
      <w:kern w:val="2"/>
      <w:szCs w:val="22"/>
    </w:rPr>
  </w:style>
  <w:style w:type="paragraph" w:customStyle="1" w:styleId="14">
    <w:name w:val="1"/>
    <w:basedOn w:val="a"/>
    <w:next w:val="aff9"/>
    <w:uiPriority w:val="34"/>
    <w:qFormat/>
    <w:pPr>
      <w:widowControl w:val="0"/>
      <w:ind w:firstLineChars="200" w:firstLine="420"/>
      <w:jc w:val="both"/>
    </w:pPr>
    <w:rPr>
      <w:rFonts w:ascii="Calibri" w:hAnsi="Calibri"/>
      <w:kern w:val="2"/>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0">
    <w:name w:val="批注文字 Char"/>
    <w:qFormat/>
    <w:rPr>
      <w:rFonts w:ascii="Times New Roman" w:hAnsi="Times New Roman"/>
      <w:kern w:val="2"/>
      <w:sz w:val="21"/>
      <w:szCs w:val="21"/>
    </w:rPr>
  </w:style>
  <w:style w:type="character" w:customStyle="1" w:styleId="3Char1">
    <w:name w:val="标题 3 Char1"/>
    <w:uiPriority w:val="9"/>
    <w:qFormat/>
    <w:rPr>
      <w:b/>
      <w:bCs/>
      <w:kern w:val="2"/>
      <w:sz w:val="21"/>
      <w:szCs w:val="32"/>
    </w:rPr>
  </w:style>
  <w:style w:type="character" w:customStyle="1" w:styleId="2Char">
    <w:name w:val="标题 2 Char"/>
    <w:qFormat/>
    <w:rPr>
      <w:rFonts w:ascii="Arial" w:hAnsi="Arial"/>
      <w:b/>
      <w:bCs/>
      <w:kern w:val="2"/>
      <w:sz w:val="21"/>
      <w:szCs w:val="21"/>
    </w:rPr>
  </w:style>
  <w:style w:type="character" w:customStyle="1" w:styleId="5Char">
    <w:name w:val="标题 5 Char"/>
    <w:uiPriority w:val="9"/>
    <w:qFormat/>
    <w:rPr>
      <w:b/>
      <w:bCs/>
      <w:kern w:val="2"/>
      <w:sz w:val="21"/>
      <w:szCs w:val="28"/>
    </w:rPr>
  </w:style>
  <w:style w:type="paragraph" w:customStyle="1" w:styleId="71">
    <w:name w:val="7"/>
    <w:basedOn w:val="a"/>
    <w:next w:val="aff9"/>
    <w:uiPriority w:val="34"/>
    <w:qFormat/>
    <w:pPr>
      <w:widowControl w:val="0"/>
      <w:ind w:firstLineChars="200" w:firstLine="420"/>
      <w:jc w:val="both"/>
    </w:pPr>
    <w:rPr>
      <w:rFonts w:ascii="Calibri" w:hAnsi="Calibri"/>
      <w:kern w:val="2"/>
      <w:szCs w:val="22"/>
    </w:rPr>
  </w:style>
  <w:style w:type="character" w:customStyle="1" w:styleId="Char2">
    <w:name w:val="称呼 Char"/>
    <w:uiPriority w:val="99"/>
    <w:qFormat/>
    <w:rPr>
      <w:rFonts w:ascii="Times New Roman" w:hAnsi="Times New Roman"/>
      <w:kern w:val="2"/>
      <w:sz w:val="21"/>
      <w:szCs w:val="21"/>
    </w:rPr>
  </w:style>
  <w:style w:type="character" w:customStyle="1" w:styleId="fontstyle01">
    <w:name w:val="fontstyle01"/>
    <w:qFormat/>
    <w:rPr>
      <w:rFonts w:ascii="FZLTSK--GBK1-0" w:hAnsi="FZLTSK--GBK1-0" w:hint="default"/>
      <w:color w:val="000000"/>
      <w:sz w:val="20"/>
      <w:szCs w:val="20"/>
    </w:rPr>
  </w:style>
  <w:style w:type="paragraph" w:customStyle="1" w:styleId="61">
    <w:name w:val="6"/>
    <w:basedOn w:val="a"/>
    <w:next w:val="aff9"/>
    <w:uiPriority w:val="34"/>
    <w:qFormat/>
    <w:pPr>
      <w:widowControl w:val="0"/>
      <w:ind w:firstLineChars="200" w:firstLine="420"/>
      <w:jc w:val="both"/>
    </w:pPr>
    <w:rPr>
      <w:rFonts w:ascii="Calibri" w:hAnsi="Calibri"/>
      <w:kern w:val="2"/>
      <w:szCs w:val="22"/>
    </w:rPr>
  </w:style>
  <w:style w:type="character" w:customStyle="1" w:styleId="Char10">
    <w:name w:val="批注文字 Char1"/>
    <w:uiPriority w:val="99"/>
    <w:qFormat/>
    <w:rPr>
      <w:rFonts w:ascii="Times New Roman" w:hAnsi="Times New Roman"/>
      <w:kern w:val="2"/>
      <w:sz w:val="21"/>
      <w:szCs w:val="21"/>
    </w:rPr>
  </w:style>
  <w:style w:type="character" w:customStyle="1" w:styleId="5Char1">
    <w:name w:val="标题 5 Char1"/>
    <w:uiPriority w:val="9"/>
    <w:qFormat/>
    <w:rPr>
      <w:b/>
      <w:bCs/>
      <w:kern w:val="2"/>
      <w:sz w:val="21"/>
      <w:szCs w:val="28"/>
    </w:rPr>
  </w:style>
  <w:style w:type="character" w:customStyle="1" w:styleId="15">
    <w:name w:val="批注文字 字符1"/>
    <w:uiPriority w:val="99"/>
    <w:semiHidden/>
    <w:qFormat/>
    <w:locked/>
    <w:rPr>
      <w:rFonts w:ascii="Times New Roman" w:hAnsi="Times New Roman"/>
      <w:kern w:val="2"/>
      <w:sz w:val="21"/>
      <w:szCs w:val="21"/>
    </w:rPr>
  </w:style>
  <w:style w:type="character" w:customStyle="1" w:styleId="2Char1">
    <w:name w:val="标题 2 Char1"/>
    <w:qFormat/>
    <w:rPr>
      <w:rFonts w:ascii="Arial" w:hAnsi="Arial"/>
      <w:b/>
      <w:bCs/>
      <w:kern w:val="2"/>
      <w:sz w:val="21"/>
      <w:szCs w:val="21"/>
    </w:rPr>
  </w:style>
  <w:style w:type="character" w:customStyle="1" w:styleId="Char20">
    <w:name w:val="批注文字 Char2"/>
    <w:uiPriority w:val="99"/>
    <w:qFormat/>
    <w:rPr>
      <w:rFonts w:ascii="Times New Roman" w:hAnsi="Times New Roman"/>
      <w:kern w:val="2"/>
      <w:sz w:val="21"/>
      <w:szCs w:val="21"/>
    </w:rPr>
  </w:style>
  <w:style w:type="character" w:customStyle="1" w:styleId="5Char2">
    <w:name w:val="标题 5 Char2"/>
    <w:uiPriority w:val="9"/>
    <w:qFormat/>
    <w:rPr>
      <w:b/>
      <w:bCs/>
      <w:kern w:val="2"/>
      <w:sz w:val="21"/>
      <w:szCs w:val="28"/>
    </w:rPr>
  </w:style>
  <w:style w:type="paragraph" w:customStyle="1" w:styleId="52">
    <w:name w:val="5"/>
    <w:basedOn w:val="a"/>
    <w:next w:val="aff9"/>
    <w:uiPriority w:val="34"/>
    <w:qFormat/>
    <w:pPr>
      <w:widowControl w:val="0"/>
      <w:ind w:firstLineChars="200" w:firstLine="420"/>
      <w:jc w:val="both"/>
    </w:pPr>
    <w:rPr>
      <w:rFonts w:ascii="Calibri" w:hAnsi="Calibri"/>
      <w:kern w:val="2"/>
      <w:szCs w:val="22"/>
    </w:rPr>
  </w:style>
  <w:style w:type="character" w:customStyle="1" w:styleId="3Char2">
    <w:name w:val="标题 3 Char2"/>
    <w:uiPriority w:val="9"/>
    <w:qFormat/>
    <w:rPr>
      <w:b/>
      <w:bCs/>
      <w:kern w:val="2"/>
      <w:sz w:val="21"/>
      <w:szCs w:val="32"/>
    </w:rPr>
  </w:style>
  <w:style w:type="character" w:customStyle="1" w:styleId="3Char3">
    <w:name w:val="标题 3 Char3"/>
    <w:uiPriority w:val="9"/>
    <w:qFormat/>
    <w:rPr>
      <w:b/>
      <w:bCs/>
      <w:kern w:val="2"/>
      <w:sz w:val="21"/>
      <w:szCs w:val="32"/>
    </w:rPr>
  </w:style>
  <w:style w:type="character" w:customStyle="1" w:styleId="Char3">
    <w:name w:val="批注文字 Char3"/>
    <w:qFormat/>
    <w:rPr>
      <w:rFonts w:ascii="Times New Roman" w:hAnsi="Times New Roman"/>
      <w:kern w:val="2"/>
      <w:sz w:val="21"/>
      <w:szCs w:val="21"/>
    </w:rPr>
  </w:style>
  <w:style w:type="character" w:customStyle="1" w:styleId="4Char1">
    <w:name w:val="标题 4 Char1"/>
    <w:uiPriority w:val="9"/>
    <w:qFormat/>
    <w:rPr>
      <w:rFonts w:ascii="Cambria" w:hAnsi="Cambria"/>
      <w:b/>
      <w:bCs/>
      <w:kern w:val="2"/>
      <w:sz w:val="21"/>
      <w:szCs w:val="28"/>
    </w:rPr>
  </w:style>
  <w:style w:type="character" w:customStyle="1" w:styleId="afc">
    <w:name w:val="脚注文本 字符"/>
    <w:basedOn w:val="a0"/>
    <w:link w:val="afb"/>
    <w:uiPriority w:val="99"/>
    <w:semiHidden/>
    <w:qFormat/>
    <w:rPr>
      <w:kern w:val="2"/>
      <w:sz w:val="18"/>
      <w:szCs w:val="18"/>
    </w:rPr>
  </w:style>
  <w:style w:type="table" w:customStyle="1" w:styleId="g5">
    <w:name w:val="g5"/>
    <w:uiPriority w:val="99"/>
    <w:semiHidden/>
    <w:unhideWhenUsed/>
    <w:qFormat/>
    <w:tblPr>
      <w:tblCellMar>
        <w:top w:w="0" w:type="dxa"/>
        <w:left w:w="108" w:type="dxa"/>
        <w:bottom w:w="0" w:type="dxa"/>
        <w:right w:w="108" w:type="dxa"/>
      </w:tblCellMar>
    </w:tblPr>
  </w:style>
  <w:style w:type="paragraph" w:customStyle="1" w:styleId="Style151">
    <w:name w:val="_Style 151"/>
    <w:qFormat/>
    <w:rPr>
      <w:rFonts w:ascii="宋体" w:hAnsi="宋体"/>
      <w:szCs w:val="24"/>
    </w:rPr>
  </w:style>
  <w:style w:type="table" w:customStyle="1" w:styleId="g4">
    <w:name w:val="g4"/>
    <w:uiPriority w:val="99"/>
    <w:semiHidden/>
    <w:unhideWhenUsed/>
    <w:qFormat/>
    <w:rPr>
      <w:bCs/>
    </w:rPr>
    <w:tblPr>
      <w:tblCellMar>
        <w:top w:w="0" w:type="dxa"/>
        <w:left w:w="108" w:type="dxa"/>
        <w:bottom w:w="0" w:type="dxa"/>
        <w:right w:w="108" w:type="dxa"/>
      </w:tblCellMar>
    </w:tblPr>
  </w:style>
  <w:style w:type="table" w:customStyle="1" w:styleId="g2">
    <w:name w:val="g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tyle43">
    <w:name w:val="_Style 43"/>
    <w:qFormat/>
  </w:style>
  <w:style w:type="table" w:customStyle="1" w:styleId="Style52">
    <w:name w:val="_Style 52"/>
    <w:uiPriority w:val="99"/>
    <w:semiHidden/>
    <w:unhideWhenUsed/>
    <w:qFormat/>
    <w:tblPr>
      <w:tblCellMar>
        <w:top w:w="0" w:type="dxa"/>
        <w:left w:w="108" w:type="dxa"/>
        <w:bottom w:w="0" w:type="dxa"/>
        <w:right w:w="108" w:type="dxa"/>
      </w:tblCellMar>
    </w:tblPr>
  </w:style>
  <w:style w:type="table" w:customStyle="1" w:styleId="16">
    <w:name w:val="网格型1"/>
    <w:basedOn w:val="a1"/>
    <w:uiPriority w:val="99"/>
    <w:unhideWhenUsed/>
    <w:qFormat/>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1"/>
    <w:uiPriority w:val="99"/>
    <w:unhideWhenUsed/>
    <w:qFormat/>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表格-1"/>
    <w:basedOn w:val="a"/>
    <w:qFormat/>
  </w:style>
  <w:style w:type="paragraph" w:customStyle="1" w:styleId="Style80">
    <w:name w:val="_Style 80"/>
    <w:basedOn w:val="a"/>
    <w:qFormat/>
    <w:pPr>
      <w:spacing w:line="360" w:lineRule="exact"/>
      <w:ind w:firstLineChars="200" w:firstLine="420"/>
    </w:pPr>
    <w:rPr>
      <w:rFonts w:ascii="宋体" w:hAnsi="宋体" w:cs="宋体"/>
      <w:sz w:val="24"/>
      <w:szCs w:val="24"/>
    </w:rPr>
  </w:style>
  <w:style w:type="paragraph" w:customStyle="1" w:styleId="Style44">
    <w:name w:val="_Style 44"/>
    <w:basedOn w:val="a"/>
    <w:qFormat/>
    <w:rPr>
      <w:sz w:val="24"/>
      <w:szCs w:val="24"/>
    </w:rPr>
  </w:style>
  <w:style w:type="table" w:customStyle="1" w:styleId="g1">
    <w:name w:val="g1"/>
    <w:basedOn w:val="a1"/>
    <w:qFormat/>
    <w:rPr>
      <w:rFonts w:eastAsia="Times New Roman"/>
    </w:rPr>
    <w:tbl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21">
    <w:name w:val="font21"/>
    <w:basedOn w:val="a0"/>
    <w:qFormat/>
    <w:rPr>
      <w:rFonts w:ascii="宋体" w:eastAsia="宋体" w:hAnsi="宋体" w:hint="eastAsia"/>
      <w:color w:val="000000"/>
      <w:sz w:val="20"/>
      <w:szCs w:val="20"/>
      <w:u w:val="none"/>
    </w:rPr>
  </w:style>
  <w:style w:type="paragraph" w:customStyle="1" w:styleId="ds-markdown-paragraph">
    <w:name w:val="ds-markdown-paragraph"/>
    <w:basedOn w:val="a"/>
    <w:qFormat/>
    <w:pPr>
      <w:spacing w:before="100" w:beforeAutospacing="1" w:after="100" w:afterAutospacing="1"/>
    </w:pPr>
    <w:rPr>
      <w:rFonts w:ascii="宋体" w:hAnsi="宋体" w:cs="宋体"/>
      <w:sz w:val="24"/>
      <w:szCs w:val="24"/>
    </w:rPr>
  </w:style>
  <w:style w:type="character" w:customStyle="1" w:styleId="ds-markdown-cite">
    <w:name w:val="ds-markdown-cite"/>
    <w:basedOn w:val="a0"/>
    <w:qFormat/>
  </w:style>
  <w:style w:type="paragraph" w:customStyle="1" w:styleId="24">
    <w:name w:val="修订2"/>
    <w:hidden/>
    <w:uiPriority w:val="99"/>
    <w:semiHidden/>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B960C2E6-8E28-4930-AAD5-AA36AFD6E523}"/>
      </w:docPartPr>
      <w:docPartBody>
        <w:p w:rsidR="004B4AAB" w:rsidRDefault="00E161BA">
          <w:pPr>
            <w:rPr>
              <w:rFonts w:hint="eastAsia"/>
            </w:rPr>
          </w:pPr>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1F823479-1B2C-4501-A4CD-13FF47B8C52B}"/>
      </w:docPartPr>
      <w:docPartBody>
        <w:p w:rsidR="004B4AAB" w:rsidRDefault="00E161BA">
          <w:pPr>
            <w:rPr>
              <w:rFonts w:hint="eastAsia"/>
            </w:rPr>
          </w:pPr>
          <w:r>
            <w:rPr>
              <w:rStyle w:val="a3"/>
              <w:rFonts w:hint="eastAsia"/>
              <w:color w:val="333399"/>
              <w:u w:val="single"/>
            </w:rPr>
            <w:t xml:space="preserve">　　　</w:t>
          </w:r>
        </w:p>
      </w:docPartBody>
    </w:docPart>
    <w:docPart>
      <w:docPartPr>
        <w:name w:val="244B0A290A71452EA3771DBC836B7EB6"/>
        <w:category>
          <w:name w:val="常规"/>
          <w:gallery w:val="placeholder"/>
        </w:category>
        <w:types>
          <w:type w:val="bbPlcHdr"/>
        </w:types>
        <w:behaviors>
          <w:behavior w:val="content"/>
        </w:behaviors>
        <w:guid w:val="{7F5C62AC-87EF-4D48-BB68-3F709215021E}"/>
      </w:docPartPr>
      <w:docPartBody>
        <w:p w:rsidR="004B4AAB" w:rsidRDefault="00E161BA">
          <w:pPr>
            <w:pStyle w:val="244B0A290A71452EA3771DBC836B7EB6"/>
            <w:rPr>
              <w:rFonts w:hint="eastAsia"/>
            </w:rPr>
          </w:pPr>
          <w:r>
            <w:rPr>
              <w:rStyle w:val="a3"/>
              <w:rFonts w:hint="eastAsia"/>
              <w:color w:val="333399"/>
              <w:u w:val="single"/>
            </w:rPr>
            <w:t xml:space="preserve">　　　</w:t>
          </w:r>
        </w:p>
      </w:docPartBody>
    </w:docPart>
    <w:docPart>
      <w:docPartPr>
        <w:name w:val="0CBD0CC511664A699F621C8A58A5F7C6"/>
        <w:category>
          <w:name w:val="常规"/>
          <w:gallery w:val="placeholder"/>
        </w:category>
        <w:types>
          <w:type w:val="bbPlcHdr"/>
        </w:types>
        <w:behaviors>
          <w:behavior w:val="content"/>
        </w:behaviors>
        <w:guid w:val="{388A3CFA-8665-4CE8-8010-F78A6B384C60}"/>
      </w:docPartPr>
      <w:docPartBody>
        <w:p w:rsidR="004B4AAB" w:rsidRDefault="00E161BA">
          <w:pPr>
            <w:pStyle w:val="0CBD0CC511664A699F621C8A58A5F7C6"/>
            <w:rPr>
              <w:rFonts w:hint="eastAsia"/>
            </w:rPr>
          </w:pPr>
          <w:r>
            <w:rPr>
              <w:rStyle w:val="a3"/>
              <w:rFonts w:hint="eastAsia"/>
              <w:color w:val="333399"/>
              <w:u w:val="single"/>
            </w:rPr>
            <w:t xml:space="preserve">　　　</w:t>
          </w:r>
        </w:p>
      </w:docPartBody>
    </w:docPart>
    <w:docPart>
      <w:docPartPr>
        <w:name w:val="548F5ECBD39747B19301E3A7FFE96342"/>
        <w:category>
          <w:name w:val="常规"/>
          <w:gallery w:val="placeholder"/>
        </w:category>
        <w:types>
          <w:type w:val="bbPlcHdr"/>
        </w:types>
        <w:behaviors>
          <w:behavior w:val="content"/>
        </w:behaviors>
        <w:guid w:val="{7199AAAB-EC4F-4E76-8E29-C4A773740DE0}"/>
      </w:docPartPr>
      <w:docPartBody>
        <w:p w:rsidR="004B4AAB" w:rsidRDefault="00E161BA">
          <w:pPr>
            <w:pStyle w:val="548F5ECBD39747B19301E3A7FFE96342"/>
            <w:rPr>
              <w:rFonts w:hint="eastAsia"/>
            </w:rPr>
          </w:pPr>
          <w:r>
            <w:rPr>
              <w:rStyle w:val="a3"/>
              <w:rFonts w:hint="eastAsia"/>
              <w:color w:val="333399"/>
              <w:u w:val="single"/>
            </w:rPr>
            <w:t xml:space="preserve">　　　</w:t>
          </w:r>
        </w:p>
      </w:docPartBody>
    </w:docPart>
    <w:docPart>
      <w:docPartPr>
        <w:name w:val="5A2424315BFC4BB087B05781533C9AFA"/>
        <w:category>
          <w:name w:val="常规"/>
          <w:gallery w:val="placeholder"/>
        </w:category>
        <w:types>
          <w:type w:val="bbPlcHdr"/>
        </w:types>
        <w:behaviors>
          <w:behavior w:val="content"/>
        </w:behaviors>
        <w:guid w:val="{C70F8A0E-C1CA-4F82-889A-019CD23AB7A1}"/>
      </w:docPartPr>
      <w:docPartBody>
        <w:p w:rsidR="004B4AAB" w:rsidRDefault="00E161BA">
          <w:pPr>
            <w:pStyle w:val="5A2424315BFC4BB087B05781533C9AFA"/>
            <w:rPr>
              <w:rFonts w:hint="eastAsia"/>
            </w:rPr>
          </w:pPr>
          <w:r>
            <w:rPr>
              <w:rStyle w:val="a3"/>
              <w:rFonts w:hint="eastAsia"/>
              <w:color w:val="333399"/>
              <w:u w:val="single"/>
            </w:rPr>
            <w:t xml:space="preserve">　　　</w:t>
          </w:r>
        </w:p>
      </w:docPartBody>
    </w:docPart>
    <w:docPart>
      <w:docPartPr>
        <w:name w:val="2F682037E6A44CD49816583541589802"/>
        <w:category>
          <w:name w:val="常规"/>
          <w:gallery w:val="placeholder"/>
        </w:category>
        <w:types>
          <w:type w:val="bbPlcHdr"/>
        </w:types>
        <w:behaviors>
          <w:behavior w:val="content"/>
        </w:behaviors>
        <w:guid w:val="{437B10D5-1F3E-4A49-A8A7-64E41C4C28FC}"/>
      </w:docPartPr>
      <w:docPartBody>
        <w:p w:rsidR="004B4AAB" w:rsidRDefault="00E161BA">
          <w:pPr>
            <w:pStyle w:val="2F682037E6A44CD49816583541589802"/>
            <w:rPr>
              <w:rFonts w:hint="eastAsia"/>
            </w:rPr>
          </w:pPr>
          <w:r>
            <w:rPr>
              <w:rStyle w:val="a3"/>
              <w:rFonts w:hint="eastAsia"/>
              <w:color w:val="333399"/>
              <w:u w:val="single"/>
            </w:rPr>
            <w:t xml:space="preserve">　　　</w:t>
          </w:r>
        </w:p>
      </w:docPartBody>
    </w:docPart>
    <w:docPart>
      <w:docPartPr>
        <w:name w:val="C6FAA4F5C80D4628A5B3047BA0455536"/>
        <w:category>
          <w:name w:val="常规"/>
          <w:gallery w:val="placeholder"/>
        </w:category>
        <w:types>
          <w:type w:val="bbPlcHdr"/>
        </w:types>
        <w:behaviors>
          <w:behavior w:val="content"/>
        </w:behaviors>
        <w:guid w:val="{60EF1178-DF4B-4FFD-B250-C1C7F57CDDBE}"/>
      </w:docPartPr>
      <w:docPartBody>
        <w:p w:rsidR="004B4AAB" w:rsidRDefault="00E161BA">
          <w:pPr>
            <w:pStyle w:val="C6FAA4F5C80D4628A5B3047BA0455536"/>
            <w:rPr>
              <w:rFonts w:hint="eastAsia"/>
            </w:rPr>
          </w:pPr>
          <w:r>
            <w:rPr>
              <w:rStyle w:val="a3"/>
              <w:rFonts w:hint="eastAsia"/>
              <w:color w:val="333399"/>
              <w:u w:val="single"/>
            </w:rPr>
            <w:t xml:space="preserve">　　　</w:t>
          </w:r>
        </w:p>
      </w:docPartBody>
    </w:docPart>
    <w:docPart>
      <w:docPartPr>
        <w:name w:val="863F44C036ED4A588EB10AB40F27C028"/>
        <w:category>
          <w:name w:val="常规"/>
          <w:gallery w:val="placeholder"/>
        </w:category>
        <w:types>
          <w:type w:val="bbPlcHdr"/>
        </w:types>
        <w:behaviors>
          <w:behavior w:val="content"/>
        </w:behaviors>
        <w:guid w:val="{4582CC63-0D74-40F8-88B8-4FF1090D0C30}"/>
      </w:docPartPr>
      <w:docPartBody>
        <w:p w:rsidR="004B4AAB" w:rsidRDefault="00E161BA">
          <w:pPr>
            <w:pStyle w:val="863F44C036ED4A588EB10AB40F27C028"/>
            <w:rPr>
              <w:rFonts w:hint="eastAsia"/>
            </w:rPr>
          </w:pPr>
          <w:r>
            <w:rPr>
              <w:rStyle w:val="a3"/>
              <w:rFonts w:hint="eastAsia"/>
              <w:color w:val="333399"/>
              <w:u w:val="single"/>
            </w:rPr>
            <w:t xml:space="preserve">　　　</w:t>
          </w:r>
        </w:p>
      </w:docPartBody>
    </w:docPart>
    <w:docPart>
      <w:docPartPr>
        <w:name w:val="5E7BFF82C76040AD9A3479A38CD62A5C"/>
        <w:category>
          <w:name w:val="常规"/>
          <w:gallery w:val="placeholder"/>
        </w:category>
        <w:types>
          <w:type w:val="bbPlcHdr"/>
        </w:types>
        <w:behaviors>
          <w:behavior w:val="content"/>
        </w:behaviors>
        <w:guid w:val="{89E4CC72-A135-4F94-BC47-CF56D531200F}"/>
      </w:docPartPr>
      <w:docPartBody>
        <w:p w:rsidR="004B4AAB" w:rsidRDefault="00E161BA">
          <w:pPr>
            <w:pStyle w:val="5E7BFF82C76040AD9A3479A38CD62A5C"/>
            <w:rPr>
              <w:rFonts w:hint="eastAsia"/>
            </w:rPr>
          </w:pPr>
          <w:r>
            <w:rPr>
              <w:rStyle w:val="a3"/>
              <w:rFonts w:hint="eastAsia"/>
              <w:color w:val="333399"/>
              <w:u w:val="single"/>
            </w:rPr>
            <w:t xml:space="preserve">　　　</w:t>
          </w:r>
        </w:p>
      </w:docPartBody>
    </w:docPart>
    <w:docPart>
      <w:docPartPr>
        <w:name w:val="45B0E0D0695D45168D60C28CDC58513E"/>
        <w:category>
          <w:name w:val="常规"/>
          <w:gallery w:val="placeholder"/>
        </w:category>
        <w:types>
          <w:type w:val="bbPlcHdr"/>
        </w:types>
        <w:behaviors>
          <w:behavior w:val="content"/>
        </w:behaviors>
        <w:guid w:val="{9BB4C2ED-032A-438F-9D82-FDF0139FBDE2}"/>
      </w:docPartPr>
      <w:docPartBody>
        <w:p w:rsidR="004B4AAB" w:rsidRDefault="00E161BA">
          <w:pPr>
            <w:pStyle w:val="45B0E0D0695D45168D60C28CDC58513E"/>
            <w:rPr>
              <w:rFonts w:hint="eastAsia"/>
            </w:rPr>
          </w:pPr>
          <w:r>
            <w:rPr>
              <w:rStyle w:val="a3"/>
              <w:color w:val="333399"/>
              <w:u w:val="single"/>
            </w:rPr>
            <w:t xml:space="preserve">　　　</w:t>
          </w:r>
        </w:p>
      </w:docPartBody>
    </w:docPart>
    <w:docPart>
      <w:docPartPr>
        <w:name w:val="5B8FDBA2C30D42199DE2454558356AE3"/>
        <w:category>
          <w:name w:val="常规"/>
          <w:gallery w:val="placeholder"/>
        </w:category>
        <w:types>
          <w:type w:val="bbPlcHdr"/>
        </w:types>
        <w:behaviors>
          <w:behavior w:val="content"/>
        </w:behaviors>
        <w:guid w:val="{C53C5134-4497-4777-ADE4-2CC2D7E8C198}"/>
      </w:docPartPr>
      <w:docPartBody>
        <w:p w:rsidR="004B4AAB" w:rsidRDefault="00E161BA">
          <w:pPr>
            <w:pStyle w:val="5B8FDBA2C30D42199DE2454558356AE3"/>
            <w:rPr>
              <w:rFonts w:hint="eastAsia"/>
            </w:rPr>
          </w:pPr>
          <w:r>
            <w:rPr>
              <w:rStyle w:val="a3"/>
              <w:rFonts w:hint="eastAsia"/>
              <w:color w:val="333399"/>
              <w:u w:val="single"/>
            </w:rPr>
            <w:t xml:space="preserve">　　　</w:t>
          </w:r>
        </w:p>
      </w:docPartBody>
    </w:docPart>
    <w:docPart>
      <w:docPartPr>
        <w:name w:val="7B32CDAC4BF6464E8721DB706F8EBA22"/>
        <w:category>
          <w:name w:val="常规"/>
          <w:gallery w:val="placeholder"/>
        </w:category>
        <w:types>
          <w:type w:val="bbPlcHdr"/>
        </w:types>
        <w:behaviors>
          <w:behavior w:val="content"/>
        </w:behaviors>
        <w:guid w:val="{565AAF0E-90B5-47A6-8543-11E1A26F9D9E}"/>
      </w:docPartPr>
      <w:docPartBody>
        <w:p w:rsidR="004B4AAB" w:rsidRDefault="00E161BA">
          <w:pPr>
            <w:pStyle w:val="7B32CDAC4BF6464E8721DB706F8EBA22"/>
            <w:rPr>
              <w:rFonts w:hint="eastAsia"/>
            </w:rPr>
          </w:pPr>
          <w:r>
            <w:rPr>
              <w:rStyle w:val="a3"/>
              <w:rFonts w:hint="eastAsia"/>
              <w:color w:val="333399"/>
              <w:u w:val="single"/>
            </w:rPr>
            <w:t xml:space="preserve">　　　</w:t>
          </w:r>
        </w:p>
      </w:docPartBody>
    </w:docPart>
    <w:docPart>
      <w:docPartPr>
        <w:name w:val="5211D6F885A1441A8FB6AC35779D46DC"/>
        <w:category>
          <w:name w:val="常规"/>
          <w:gallery w:val="placeholder"/>
        </w:category>
        <w:types>
          <w:type w:val="bbPlcHdr"/>
        </w:types>
        <w:behaviors>
          <w:behavior w:val="content"/>
        </w:behaviors>
        <w:guid w:val="{4E58680A-9184-4778-BB4E-ECD4D91F8011}"/>
      </w:docPartPr>
      <w:docPartBody>
        <w:p w:rsidR="004B4AAB" w:rsidRDefault="00E161BA">
          <w:pPr>
            <w:pStyle w:val="5211D6F885A1441A8FB6AC35779D46DC"/>
            <w:rPr>
              <w:rFonts w:hint="eastAsia"/>
            </w:rPr>
          </w:pPr>
          <w:r>
            <w:rPr>
              <w:rStyle w:val="a3"/>
              <w:rFonts w:hint="eastAsia"/>
              <w:color w:val="333399"/>
              <w:u w:val="single"/>
            </w:rPr>
            <w:t xml:space="preserve">　　　</w:t>
          </w:r>
        </w:p>
      </w:docPartBody>
    </w:docPart>
    <w:docPart>
      <w:docPartPr>
        <w:name w:val="642D562FB03F4CD6A8CD26CB10AADAB1"/>
        <w:category>
          <w:name w:val="常规"/>
          <w:gallery w:val="placeholder"/>
        </w:category>
        <w:types>
          <w:type w:val="bbPlcHdr"/>
        </w:types>
        <w:behaviors>
          <w:behavior w:val="content"/>
        </w:behaviors>
        <w:guid w:val="{51F3634F-69CF-4855-AF2C-C953AA5A4046}"/>
      </w:docPartPr>
      <w:docPartBody>
        <w:p w:rsidR="004B4AAB" w:rsidRDefault="00E161BA">
          <w:pPr>
            <w:pStyle w:val="642D562FB03F4CD6A8CD26CB10AADAB1"/>
            <w:rPr>
              <w:rFonts w:hint="eastAsia"/>
            </w:rPr>
          </w:pPr>
          <w:r>
            <w:rPr>
              <w:rStyle w:val="a3"/>
              <w:rFonts w:hint="eastAsia"/>
              <w:color w:val="333399"/>
              <w:u w:val="single"/>
            </w:rPr>
            <w:t xml:space="preserve">　　　</w:t>
          </w:r>
        </w:p>
      </w:docPartBody>
    </w:docPart>
    <w:docPart>
      <w:docPartPr>
        <w:name w:val="A38E355CAB154820A243E0543B504CC0"/>
        <w:category>
          <w:name w:val="常规"/>
          <w:gallery w:val="placeholder"/>
        </w:category>
        <w:types>
          <w:type w:val="bbPlcHdr"/>
        </w:types>
        <w:behaviors>
          <w:behavior w:val="content"/>
        </w:behaviors>
        <w:guid w:val="{4CF12B57-19EF-4A33-AD91-F4D5D8135F2A}"/>
      </w:docPartPr>
      <w:docPartBody>
        <w:p w:rsidR="004B4AAB" w:rsidRDefault="00E161BA">
          <w:pPr>
            <w:pStyle w:val="A38E355CAB154820A243E0543B504CC0"/>
            <w:rPr>
              <w:rFonts w:hint="eastAsia"/>
            </w:rPr>
          </w:pPr>
          <w:r>
            <w:rPr>
              <w:rStyle w:val="a3"/>
              <w:rFonts w:hint="eastAsia"/>
              <w:color w:val="333399"/>
              <w:u w:val="single"/>
            </w:rPr>
            <w:t xml:space="preserve">　　　</w:t>
          </w:r>
        </w:p>
      </w:docPartBody>
    </w:docPart>
    <w:docPart>
      <w:docPartPr>
        <w:name w:val="E7A536745F8B488D99A1266A9F945A86"/>
        <w:category>
          <w:name w:val="常规"/>
          <w:gallery w:val="placeholder"/>
        </w:category>
        <w:types>
          <w:type w:val="bbPlcHdr"/>
        </w:types>
        <w:behaviors>
          <w:behavior w:val="content"/>
        </w:behaviors>
        <w:guid w:val="{9938FBCF-9A2C-42A8-8085-70A7079D90EE}"/>
      </w:docPartPr>
      <w:docPartBody>
        <w:p w:rsidR="004B4AAB" w:rsidRDefault="00E161BA">
          <w:pPr>
            <w:pStyle w:val="E7A536745F8B488D99A1266A9F945A86"/>
            <w:rPr>
              <w:rFonts w:hint="eastAsia"/>
            </w:rPr>
          </w:pPr>
          <w:r>
            <w:rPr>
              <w:rStyle w:val="a3"/>
              <w:rFonts w:hint="eastAsia"/>
            </w:rPr>
            <w:t xml:space="preserve">　</w:t>
          </w:r>
        </w:p>
      </w:docPartBody>
    </w:docPart>
    <w:docPart>
      <w:docPartPr>
        <w:name w:val="AE7994D810CA47D0AD8390D8176D7B52"/>
        <w:category>
          <w:name w:val="常规"/>
          <w:gallery w:val="placeholder"/>
        </w:category>
        <w:types>
          <w:type w:val="bbPlcHdr"/>
        </w:types>
        <w:behaviors>
          <w:behavior w:val="content"/>
        </w:behaviors>
        <w:guid w:val="{27BCAF30-F361-4525-AAE1-180E2D2813A9}"/>
      </w:docPartPr>
      <w:docPartBody>
        <w:p w:rsidR="004B4AAB" w:rsidRDefault="00E161BA">
          <w:pPr>
            <w:pStyle w:val="AE7994D810CA47D0AD8390D8176D7B52"/>
            <w:rPr>
              <w:rFonts w:hint="eastAsia"/>
            </w:rPr>
          </w:pPr>
          <w:r>
            <w:rPr>
              <w:rStyle w:val="a3"/>
              <w:rFonts w:hint="eastAsia"/>
              <w:color w:val="333399"/>
              <w:u w:val="single"/>
            </w:rPr>
            <w:t xml:space="preserve">　　　</w:t>
          </w:r>
        </w:p>
      </w:docPartBody>
    </w:docPart>
    <w:docPart>
      <w:docPartPr>
        <w:name w:val="EFC8D6548FF84CBD965294544361FEEC"/>
        <w:category>
          <w:name w:val="常规"/>
          <w:gallery w:val="placeholder"/>
        </w:category>
        <w:types>
          <w:type w:val="bbPlcHdr"/>
        </w:types>
        <w:behaviors>
          <w:behavior w:val="content"/>
        </w:behaviors>
        <w:guid w:val="{850CA154-94D7-4247-9E02-09F457FB14CF}"/>
      </w:docPartPr>
      <w:docPartBody>
        <w:p w:rsidR="004B4AAB" w:rsidRDefault="00E161BA">
          <w:pPr>
            <w:pStyle w:val="EFC8D6548FF84CBD965294544361FEEC"/>
            <w:rPr>
              <w:rFonts w:hint="eastAsia"/>
            </w:rPr>
          </w:pPr>
          <w:r>
            <w:rPr>
              <w:rStyle w:val="a3"/>
              <w:rFonts w:hint="eastAsia"/>
              <w:color w:val="333399"/>
              <w:u w:val="single"/>
            </w:rPr>
            <w:t xml:space="preserve">　　　</w:t>
          </w:r>
        </w:p>
      </w:docPartBody>
    </w:docPart>
    <w:docPart>
      <w:docPartPr>
        <w:name w:val="204DBCAD0E474523AB9CFB5F139E6F43"/>
        <w:category>
          <w:name w:val="常规"/>
          <w:gallery w:val="placeholder"/>
        </w:category>
        <w:types>
          <w:type w:val="bbPlcHdr"/>
        </w:types>
        <w:behaviors>
          <w:behavior w:val="content"/>
        </w:behaviors>
        <w:guid w:val="{657B4518-0294-461F-9EE8-E2B87A94833D}"/>
      </w:docPartPr>
      <w:docPartBody>
        <w:p w:rsidR="004B4AAB" w:rsidRDefault="00E161BA">
          <w:pPr>
            <w:pStyle w:val="204DBCAD0E474523AB9CFB5F139E6F43"/>
            <w:rPr>
              <w:rFonts w:hint="eastAsia"/>
            </w:rPr>
          </w:pPr>
          <w:r>
            <w:rPr>
              <w:rStyle w:val="a3"/>
              <w:rFonts w:hint="eastAsia"/>
              <w:color w:val="333399"/>
              <w:u w:val="single"/>
            </w:rPr>
            <w:t xml:space="preserve">　　　</w:t>
          </w:r>
        </w:p>
      </w:docPartBody>
    </w:docPart>
    <w:docPart>
      <w:docPartPr>
        <w:name w:val="30169DAF192B4B0AA1A69B2098A1161B"/>
        <w:category>
          <w:name w:val="常规"/>
          <w:gallery w:val="placeholder"/>
        </w:category>
        <w:types>
          <w:type w:val="bbPlcHdr"/>
        </w:types>
        <w:behaviors>
          <w:behavior w:val="content"/>
        </w:behaviors>
        <w:guid w:val="{B4467EC5-1EEA-4EFC-8447-0322C9BF41EF}"/>
      </w:docPartPr>
      <w:docPartBody>
        <w:p w:rsidR="004B4AAB" w:rsidRDefault="00E161BA">
          <w:pPr>
            <w:pStyle w:val="30169DAF192B4B0AA1A69B2098A1161B"/>
            <w:rPr>
              <w:rFonts w:hint="eastAsia"/>
            </w:rPr>
          </w:pPr>
          <w:r>
            <w:rPr>
              <w:rStyle w:val="a3"/>
              <w:rFonts w:hint="eastAsia"/>
              <w:color w:val="333399"/>
              <w:u w:val="single"/>
            </w:rPr>
            <w:t xml:space="preserve">　　　</w:t>
          </w:r>
        </w:p>
      </w:docPartBody>
    </w:docPart>
    <w:docPart>
      <w:docPartPr>
        <w:name w:val="EFD3FF3855CE4AFD8CD1EB64DC1EC186"/>
        <w:category>
          <w:name w:val="常规"/>
          <w:gallery w:val="placeholder"/>
        </w:category>
        <w:types>
          <w:type w:val="bbPlcHdr"/>
        </w:types>
        <w:behaviors>
          <w:behavior w:val="content"/>
        </w:behaviors>
        <w:guid w:val="{3CFE351C-40FF-4167-B600-4E1A2430CA70}"/>
      </w:docPartPr>
      <w:docPartBody>
        <w:p w:rsidR="004B4AAB" w:rsidRDefault="00E161BA">
          <w:pPr>
            <w:pStyle w:val="EFD3FF3855CE4AFD8CD1EB64DC1EC186"/>
            <w:rPr>
              <w:rFonts w:hint="eastAsia"/>
            </w:rPr>
          </w:pPr>
          <w:r>
            <w:rPr>
              <w:rStyle w:val="a3"/>
              <w:rFonts w:hint="eastAsia"/>
              <w:color w:val="333399"/>
              <w:u w:val="single"/>
            </w:rPr>
            <w:t xml:space="preserve">　　　</w:t>
          </w:r>
        </w:p>
      </w:docPartBody>
    </w:docPart>
    <w:docPart>
      <w:docPartPr>
        <w:name w:val="{f75dd692-6365-4d23-8878-f3a21bb6a6da}"/>
        <w:category>
          <w:name w:val="常规"/>
          <w:gallery w:val="placeholder"/>
        </w:category>
        <w:types>
          <w:type w:val="bbPlcHdr"/>
        </w:types>
        <w:behaviors>
          <w:behavior w:val="content"/>
        </w:behaviors>
        <w:guid w:val="{F75DD692-6365-4D23-8878-F3A21BB6A6DA}"/>
      </w:docPartPr>
      <w:docPartBody>
        <w:p w:rsidR="004B4AAB" w:rsidRDefault="00E161BA">
          <w:pPr>
            <w:rPr>
              <w:rFonts w:hint="eastAsia"/>
            </w:rPr>
          </w:pPr>
          <w:r>
            <w:rPr>
              <w:rStyle w:val="a3"/>
              <w:rFonts w:hint="eastAsia"/>
              <w:color w:val="333399"/>
              <w:u w:val="single"/>
            </w:rPr>
            <w:t xml:space="preserve">　　　</w:t>
          </w:r>
        </w:p>
      </w:docPartBody>
    </w:docPart>
    <w:docPart>
      <w:docPartPr>
        <w:name w:val="{6d6a0a29-3735-40df-a61a-d4e64fd56d96}"/>
        <w:category>
          <w:name w:val="常规"/>
          <w:gallery w:val="placeholder"/>
        </w:category>
        <w:types>
          <w:type w:val="bbPlcHdr"/>
        </w:types>
        <w:behaviors>
          <w:behavior w:val="content"/>
        </w:behaviors>
        <w:guid w:val="{6D6A0A29-3735-40DF-A61A-D4E64FD56D96}"/>
      </w:docPartPr>
      <w:docPartBody>
        <w:p w:rsidR="004B4AAB" w:rsidRDefault="00E161BA">
          <w:pPr>
            <w:pStyle w:val="0C1341619DB54005AEB92113A8BF4EF0"/>
            <w:rPr>
              <w:rFonts w:hint="eastAsia"/>
            </w:rPr>
          </w:pPr>
          <w:r>
            <w:rPr>
              <w:rStyle w:val="a3"/>
              <w:rFonts w:hint="eastAsia"/>
              <w:color w:val="333399"/>
              <w:u w:val="single"/>
            </w:rPr>
            <w:t xml:space="preserve">　　　</w:t>
          </w:r>
        </w:p>
      </w:docPartBody>
    </w:docPart>
    <w:docPart>
      <w:docPartPr>
        <w:name w:val="9703E5596B42458BAF68D2A28A07CDB4"/>
        <w:category>
          <w:name w:val="常规"/>
          <w:gallery w:val="placeholder"/>
        </w:category>
        <w:types>
          <w:type w:val="bbPlcHdr"/>
        </w:types>
        <w:behaviors>
          <w:behavior w:val="content"/>
        </w:behaviors>
        <w:guid w:val="{3C764426-C86E-4BEF-824B-AD2687709CE6}"/>
      </w:docPartPr>
      <w:docPartBody>
        <w:p w:rsidR="004B4AAB" w:rsidRDefault="00E161BA">
          <w:pPr>
            <w:pStyle w:val="9703E5596B42458BAF68D2A28A07CDB4"/>
            <w:rPr>
              <w:rFonts w:hint="eastAsia"/>
            </w:rPr>
          </w:pPr>
          <w:r>
            <w:rPr>
              <w:rStyle w:val="a3"/>
              <w:rFonts w:hint="eastAsia"/>
              <w:color w:val="333399"/>
              <w:u w:val="single"/>
            </w:rPr>
            <w:t xml:space="preserve">　　　</w:t>
          </w:r>
        </w:p>
      </w:docPartBody>
    </w:docPart>
    <w:docPart>
      <w:docPartPr>
        <w:name w:val="BD9FFEA4FCF24E77B3FF14A5DD094620"/>
        <w:category>
          <w:name w:val="常规"/>
          <w:gallery w:val="placeholder"/>
        </w:category>
        <w:types>
          <w:type w:val="bbPlcHdr"/>
        </w:types>
        <w:behaviors>
          <w:behavior w:val="content"/>
        </w:behaviors>
        <w:guid w:val="{7000475B-6D6E-4564-ADEC-59D2A8F76FF0}"/>
      </w:docPartPr>
      <w:docPartBody>
        <w:p w:rsidR="004B4AAB" w:rsidRDefault="00E161BA">
          <w:pPr>
            <w:pStyle w:val="BD9FFEA4FCF24E77B3FF14A5DD094620"/>
            <w:rPr>
              <w:rFonts w:hint="eastAsia"/>
            </w:rPr>
          </w:pPr>
          <w:r>
            <w:rPr>
              <w:rStyle w:val="a3"/>
              <w:rFonts w:hint="eastAsia"/>
              <w:color w:val="333399"/>
              <w:u w:val="single"/>
            </w:rPr>
            <w:t xml:space="preserve">　　　</w:t>
          </w:r>
        </w:p>
      </w:docPartBody>
    </w:docPart>
    <w:docPart>
      <w:docPartPr>
        <w:name w:val="B83B2C52CBF04AC28F6521F8CB6FBA9A"/>
        <w:category>
          <w:name w:val="常规"/>
          <w:gallery w:val="placeholder"/>
        </w:category>
        <w:types>
          <w:type w:val="bbPlcHdr"/>
        </w:types>
        <w:behaviors>
          <w:behavior w:val="content"/>
        </w:behaviors>
        <w:guid w:val="{2D1FC62E-4963-47B7-B5FA-A988C0925964}"/>
      </w:docPartPr>
      <w:docPartBody>
        <w:p w:rsidR="004B4AAB" w:rsidRDefault="00E161BA">
          <w:pPr>
            <w:pStyle w:val="B83B2C52CBF04AC28F6521F8CB6FBA9A"/>
            <w:rPr>
              <w:rFonts w:hint="eastAsia"/>
            </w:rPr>
          </w:pPr>
          <w:r>
            <w:rPr>
              <w:rStyle w:val="a3"/>
              <w:rFonts w:hint="eastAsia"/>
              <w:color w:val="333399"/>
              <w:u w:val="single"/>
            </w:rPr>
            <w:t xml:space="preserve">　　　</w:t>
          </w:r>
        </w:p>
      </w:docPartBody>
    </w:docPart>
    <w:docPart>
      <w:docPartPr>
        <w:name w:val="A979E7487BA94B85BA9CD0828B38026B"/>
        <w:category>
          <w:name w:val="常规"/>
          <w:gallery w:val="placeholder"/>
        </w:category>
        <w:types>
          <w:type w:val="bbPlcHdr"/>
        </w:types>
        <w:behaviors>
          <w:behavior w:val="content"/>
        </w:behaviors>
        <w:guid w:val="{1CA8DE42-9A81-4ED7-8201-AE570B100892}"/>
      </w:docPartPr>
      <w:docPartBody>
        <w:p w:rsidR="004B4AAB" w:rsidRDefault="00E161BA">
          <w:pPr>
            <w:pStyle w:val="A979E7487BA94B85BA9CD0828B38026B"/>
            <w:rPr>
              <w:rFonts w:hint="eastAsia"/>
            </w:rPr>
          </w:pPr>
          <w:r>
            <w:rPr>
              <w:rStyle w:val="a3"/>
              <w:rFonts w:hint="eastAsia"/>
            </w:rPr>
            <w:t xml:space="preserve">　</w:t>
          </w:r>
        </w:p>
      </w:docPartBody>
    </w:docPart>
    <w:docPart>
      <w:docPartPr>
        <w:name w:val="584BF12ACEB04817B7121C804A66F244"/>
        <w:category>
          <w:name w:val="常规"/>
          <w:gallery w:val="placeholder"/>
        </w:category>
        <w:types>
          <w:type w:val="bbPlcHdr"/>
        </w:types>
        <w:behaviors>
          <w:behavior w:val="content"/>
        </w:behaviors>
        <w:guid w:val="{FD7A2DFD-79E1-4C29-B818-E5993F4F72CD}"/>
      </w:docPartPr>
      <w:docPartBody>
        <w:p w:rsidR="004B4AAB" w:rsidRDefault="00E161BA">
          <w:pPr>
            <w:pStyle w:val="584BF12ACEB04817B7121C804A66F244"/>
            <w:rPr>
              <w:rFonts w:hint="eastAsia"/>
            </w:rPr>
          </w:pPr>
          <w:r>
            <w:rPr>
              <w:rStyle w:val="a3"/>
              <w:rFonts w:hint="eastAsia"/>
            </w:rPr>
            <w:t xml:space="preserve">　</w:t>
          </w:r>
        </w:p>
      </w:docPartBody>
    </w:docPart>
    <w:docPart>
      <w:docPartPr>
        <w:name w:val="388412BEEC66412D852A0AE7E03CD90E"/>
        <w:category>
          <w:name w:val="常规"/>
          <w:gallery w:val="placeholder"/>
        </w:category>
        <w:types>
          <w:type w:val="bbPlcHdr"/>
        </w:types>
        <w:behaviors>
          <w:behavior w:val="content"/>
        </w:behaviors>
        <w:guid w:val="{83431948-0732-49CE-84E5-808FA4113349}"/>
      </w:docPartPr>
      <w:docPartBody>
        <w:p w:rsidR="004B4AAB" w:rsidRDefault="00E161BA">
          <w:pPr>
            <w:pStyle w:val="388412BEEC66412D852A0AE7E03CD90E"/>
            <w:rPr>
              <w:rFonts w:hint="eastAsia"/>
            </w:rPr>
          </w:pPr>
          <w:r>
            <w:rPr>
              <w:rStyle w:val="a3"/>
              <w:rFonts w:hint="eastAsia"/>
            </w:rPr>
            <w:t xml:space="preserve">　</w:t>
          </w:r>
        </w:p>
      </w:docPartBody>
    </w:docPart>
    <w:docPart>
      <w:docPartPr>
        <w:name w:val="7DCBB4C67B014385A68993E078972DF7"/>
        <w:category>
          <w:name w:val="常规"/>
          <w:gallery w:val="placeholder"/>
        </w:category>
        <w:types>
          <w:type w:val="bbPlcHdr"/>
        </w:types>
        <w:behaviors>
          <w:behavior w:val="content"/>
        </w:behaviors>
        <w:guid w:val="{ED3326EA-DEAC-442A-A384-C337B92BF067}"/>
      </w:docPartPr>
      <w:docPartBody>
        <w:p w:rsidR="004B4AAB" w:rsidRDefault="00E161BA">
          <w:pPr>
            <w:pStyle w:val="7DCBB4C67B014385A68993E078972DF7"/>
            <w:rPr>
              <w:rFonts w:hint="eastAsia"/>
            </w:rPr>
          </w:pPr>
          <w:r>
            <w:rPr>
              <w:rStyle w:val="a3"/>
              <w:rFonts w:hint="eastAsia"/>
            </w:rPr>
            <w:t xml:space="preserve">　</w:t>
          </w:r>
        </w:p>
      </w:docPartBody>
    </w:docPart>
    <w:docPart>
      <w:docPartPr>
        <w:name w:val="41AF7DC95F9E40F2AE05261A4D11E117"/>
        <w:category>
          <w:name w:val="常规"/>
          <w:gallery w:val="placeholder"/>
        </w:category>
        <w:types>
          <w:type w:val="bbPlcHdr"/>
        </w:types>
        <w:behaviors>
          <w:behavior w:val="content"/>
        </w:behaviors>
        <w:guid w:val="{05BFA5E0-4568-448A-B414-A45F20479CB7}"/>
      </w:docPartPr>
      <w:docPartBody>
        <w:p w:rsidR="004B4AAB" w:rsidRDefault="00E161BA">
          <w:pPr>
            <w:pStyle w:val="41AF7DC95F9E40F2AE05261A4D11E117"/>
            <w:rPr>
              <w:rFonts w:hint="eastAsia"/>
            </w:rPr>
          </w:pPr>
          <w:r>
            <w:rPr>
              <w:rStyle w:val="a3"/>
              <w:rFonts w:hint="eastAsia"/>
            </w:rPr>
            <w:t xml:space="preserve">　</w:t>
          </w:r>
        </w:p>
      </w:docPartBody>
    </w:docPart>
    <w:docPart>
      <w:docPartPr>
        <w:name w:val="6FFB0B94D59548338A234836415BE0B1"/>
        <w:category>
          <w:name w:val="常规"/>
          <w:gallery w:val="placeholder"/>
        </w:category>
        <w:types>
          <w:type w:val="bbPlcHdr"/>
        </w:types>
        <w:behaviors>
          <w:behavior w:val="content"/>
        </w:behaviors>
        <w:guid w:val="{4DE4638E-C611-4A6A-9D19-2801CACECC9C}"/>
      </w:docPartPr>
      <w:docPartBody>
        <w:p w:rsidR="004B4AAB" w:rsidRDefault="00E161BA">
          <w:pPr>
            <w:pStyle w:val="6FFB0B94D59548338A234836415BE0B1"/>
            <w:rPr>
              <w:rFonts w:hint="eastAsia"/>
            </w:rPr>
          </w:pPr>
          <w:r>
            <w:rPr>
              <w:rStyle w:val="a3"/>
              <w:rFonts w:hint="eastAsia"/>
            </w:rPr>
            <w:t xml:space="preserve">　</w:t>
          </w:r>
        </w:p>
      </w:docPartBody>
    </w:docPart>
    <w:docPart>
      <w:docPartPr>
        <w:name w:val="BC5A90B464B04AC6BF5956E62A0BA5AF"/>
        <w:category>
          <w:name w:val="常规"/>
          <w:gallery w:val="placeholder"/>
        </w:category>
        <w:types>
          <w:type w:val="bbPlcHdr"/>
        </w:types>
        <w:behaviors>
          <w:behavior w:val="content"/>
        </w:behaviors>
        <w:guid w:val="{882A739D-A80C-427B-A962-AC84A922081C}"/>
      </w:docPartPr>
      <w:docPartBody>
        <w:p w:rsidR="004B4AAB" w:rsidRDefault="00E161BA">
          <w:pPr>
            <w:pStyle w:val="BC5A90B464B04AC6BF5956E62A0BA5AF"/>
            <w:rPr>
              <w:rFonts w:hint="eastAsia"/>
            </w:rPr>
          </w:pPr>
          <w:r>
            <w:rPr>
              <w:rStyle w:val="a3"/>
              <w:rFonts w:hint="eastAsia"/>
            </w:rPr>
            <w:t xml:space="preserve">　</w:t>
          </w:r>
        </w:p>
      </w:docPartBody>
    </w:docPart>
    <w:docPart>
      <w:docPartPr>
        <w:name w:val="0C9F66E4CD154DCFBA25B82493D93D1B"/>
        <w:category>
          <w:name w:val="常规"/>
          <w:gallery w:val="placeholder"/>
        </w:category>
        <w:types>
          <w:type w:val="bbPlcHdr"/>
        </w:types>
        <w:behaviors>
          <w:behavior w:val="content"/>
        </w:behaviors>
        <w:guid w:val="{23D100C8-4628-4774-B96F-06DA210FF3D6}"/>
      </w:docPartPr>
      <w:docPartBody>
        <w:p w:rsidR="004B4AAB" w:rsidRDefault="00E161BA">
          <w:pPr>
            <w:pStyle w:val="0C9F66E4CD154DCFBA25B82493D93D1B"/>
            <w:rPr>
              <w:rFonts w:hint="eastAsia"/>
            </w:rPr>
          </w:pPr>
          <w:r>
            <w:rPr>
              <w:rStyle w:val="a3"/>
              <w:rFonts w:hint="eastAsia"/>
            </w:rPr>
            <w:t xml:space="preserve">　</w:t>
          </w:r>
        </w:p>
      </w:docPartBody>
    </w:docPart>
    <w:docPart>
      <w:docPartPr>
        <w:name w:val="01E87E9DB41E40449B2D164389BEC2E5"/>
        <w:category>
          <w:name w:val="常规"/>
          <w:gallery w:val="placeholder"/>
        </w:category>
        <w:types>
          <w:type w:val="bbPlcHdr"/>
        </w:types>
        <w:behaviors>
          <w:behavior w:val="content"/>
        </w:behaviors>
        <w:guid w:val="{9AD86ABD-3A71-4F94-9514-CC743429EA54}"/>
      </w:docPartPr>
      <w:docPartBody>
        <w:p w:rsidR="004B4AAB" w:rsidRDefault="00E161BA">
          <w:pPr>
            <w:pStyle w:val="01E87E9DB41E40449B2D164389BEC2E5"/>
            <w:rPr>
              <w:rFonts w:hint="eastAsia"/>
            </w:rPr>
          </w:pPr>
          <w:r>
            <w:rPr>
              <w:rStyle w:val="a3"/>
              <w:rFonts w:hint="eastAsia"/>
            </w:rPr>
            <w:t xml:space="preserve">　</w:t>
          </w:r>
        </w:p>
      </w:docPartBody>
    </w:docPart>
    <w:docPart>
      <w:docPartPr>
        <w:name w:val="B742A8059E234EF5B634AD61F0382649"/>
        <w:category>
          <w:name w:val="常规"/>
          <w:gallery w:val="placeholder"/>
        </w:category>
        <w:types>
          <w:type w:val="bbPlcHdr"/>
        </w:types>
        <w:behaviors>
          <w:behavior w:val="content"/>
        </w:behaviors>
        <w:guid w:val="{A7387968-7557-4092-9C07-982599BEECDB}"/>
      </w:docPartPr>
      <w:docPartBody>
        <w:p w:rsidR="004B4AAB" w:rsidRDefault="00E161BA">
          <w:pPr>
            <w:pStyle w:val="B742A8059E234EF5B634AD61F0382649"/>
            <w:rPr>
              <w:rFonts w:hint="eastAsia"/>
            </w:rPr>
          </w:pPr>
          <w:r>
            <w:rPr>
              <w:rStyle w:val="a3"/>
              <w:rFonts w:hint="eastAsia"/>
            </w:rPr>
            <w:t xml:space="preserve">　</w:t>
          </w:r>
        </w:p>
      </w:docPartBody>
    </w:docPart>
    <w:docPart>
      <w:docPartPr>
        <w:name w:val="14C7B0951BCB43ACA042A56543875F5E"/>
        <w:category>
          <w:name w:val="常规"/>
          <w:gallery w:val="placeholder"/>
        </w:category>
        <w:types>
          <w:type w:val="bbPlcHdr"/>
        </w:types>
        <w:behaviors>
          <w:behavior w:val="content"/>
        </w:behaviors>
        <w:guid w:val="{252B15A8-C721-4DF2-B361-315F5EE80BCB}"/>
      </w:docPartPr>
      <w:docPartBody>
        <w:p w:rsidR="004B4AAB" w:rsidRDefault="00E161BA">
          <w:pPr>
            <w:pStyle w:val="14C7B0951BCB43ACA042A56543875F5E"/>
            <w:rPr>
              <w:rFonts w:hint="eastAsia"/>
            </w:rPr>
          </w:pPr>
          <w:r>
            <w:rPr>
              <w:rStyle w:val="a3"/>
              <w:rFonts w:hint="eastAsia"/>
            </w:rPr>
            <w:t xml:space="preserve">　</w:t>
          </w:r>
        </w:p>
      </w:docPartBody>
    </w:docPart>
    <w:docPart>
      <w:docPartPr>
        <w:name w:val="DE6386780E124C1D91DE82529DB869BE"/>
        <w:category>
          <w:name w:val="常规"/>
          <w:gallery w:val="placeholder"/>
        </w:category>
        <w:types>
          <w:type w:val="bbPlcHdr"/>
        </w:types>
        <w:behaviors>
          <w:behavior w:val="content"/>
        </w:behaviors>
        <w:guid w:val="{1ED435E9-37AC-4111-AF88-3689CDD443AE}"/>
      </w:docPartPr>
      <w:docPartBody>
        <w:p w:rsidR="004B4AAB" w:rsidRDefault="00E161BA">
          <w:pPr>
            <w:pStyle w:val="DE6386780E124C1D91DE82529DB869BE"/>
            <w:rPr>
              <w:rFonts w:hint="eastAsia"/>
            </w:rPr>
          </w:pPr>
          <w:r>
            <w:rPr>
              <w:rStyle w:val="a3"/>
              <w:rFonts w:hint="eastAsia"/>
            </w:rPr>
            <w:t xml:space="preserve">　</w:t>
          </w:r>
        </w:p>
      </w:docPartBody>
    </w:docPart>
    <w:docPart>
      <w:docPartPr>
        <w:name w:val="C322F588EFDC49D99A03699F43A1551F"/>
        <w:category>
          <w:name w:val="常规"/>
          <w:gallery w:val="placeholder"/>
        </w:category>
        <w:types>
          <w:type w:val="bbPlcHdr"/>
        </w:types>
        <w:behaviors>
          <w:behavior w:val="content"/>
        </w:behaviors>
        <w:guid w:val="{4F5E7822-B9F9-41A1-AF6D-B6C5CD11711D}"/>
      </w:docPartPr>
      <w:docPartBody>
        <w:p w:rsidR="004B4AAB" w:rsidRDefault="00E161BA">
          <w:pPr>
            <w:pStyle w:val="C322F588EFDC49D99A03699F43A1551F"/>
            <w:rPr>
              <w:rFonts w:hint="eastAsia"/>
            </w:rPr>
          </w:pPr>
          <w:r>
            <w:rPr>
              <w:rStyle w:val="a3"/>
              <w:rFonts w:hint="eastAsia"/>
            </w:rPr>
            <w:t xml:space="preserve">　</w:t>
          </w:r>
        </w:p>
      </w:docPartBody>
    </w:docPart>
    <w:docPart>
      <w:docPartPr>
        <w:name w:val="7A5CAA1EF7D54281BF27BA030AFEA60F"/>
        <w:category>
          <w:name w:val="常规"/>
          <w:gallery w:val="placeholder"/>
        </w:category>
        <w:types>
          <w:type w:val="bbPlcHdr"/>
        </w:types>
        <w:behaviors>
          <w:behavior w:val="content"/>
        </w:behaviors>
        <w:guid w:val="{71C23762-07FE-415E-8E09-21345D1FB348}"/>
      </w:docPartPr>
      <w:docPartBody>
        <w:p w:rsidR="004B4AAB" w:rsidRDefault="00E161BA">
          <w:pPr>
            <w:pStyle w:val="7A5CAA1EF7D54281BF27BA030AFEA60F"/>
            <w:rPr>
              <w:rFonts w:hint="eastAsia"/>
            </w:rPr>
          </w:pPr>
          <w:r>
            <w:rPr>
              <w:rStyle w:val="a3"/>
              <w:rFonts w:hint="eastAsia"/>
            </w:rPr>
            <w:t xml:space="preserve">　</w:t>
          </w:r>
        </w:p>
      </w:docPartBody>
    </w:docPart>
    <w:docPart>
      <w:docPartPr>
        <w:name w:val="0B937984888C4E55BA52B015D34C4CD8"/>
        <w:category>
          <w:name w:val="常规"/>
          <w:gallery w:val="placeholder"/>
        </w:category>
        <w:types>
          <w:type w:val="bbPlcHdr"/>
        </w:types>
        <w:behaviors>
          <w:behavior w:val="content"/>
        </w:behaviors>
        <w:guid w:val="{335A4C49-B953-4012-8C44-98C164275E88}"/>
      </w:docPartPr>
      <w:docPartBody>
        <w:p w:rsidR="004B4AAB" w:rsidRDefault="00E161BA">
          <w:pPr>
            <w:pStyle w:val="0B937984888C4E55BA52B015D34C4CD8"/>
            <w:rPr>
              <w:rFonts w:hint="eastAsia"/>
            </w:rPr>
          </w:pPr>
          <w:r>
            <w:rPr>
              <w:rStyle w:val="a3"/>
              <w:rFonts w:hint="eastAsia"/>
            </w:rPr>
            <w:t xml:space="preserve">　</w:t>
          </w:r>
        </w:p>
      </w:docPartBody>
    </w:docPart>
    <w:docPart>
      <w:docPartPr>
        <w:name w:val="4AEDED979F694AC79ED9C94E8A5D49E0"/>
        <w:category>
          <w:name w:val="常规"/>
          <w:gallery w:val="placeholder"/>
        </w:category>
        <w:types>
          <w:type w:val="bbPlcHdr"/>
        </w:types>
        <w:behaviors>
          <w:behavior w:val="content"/>
        </w:behaviors>
        <w:guid w:val="{B1133DCB-236E-4E0C-9852-97AC0747EA75}"/>
      </w:docPartPr>
      <w:docPartBody>
        <w:p w:rsidR="004B4AAB" w:rsidRDefault="00E161BA">
          <w:pPr>
            <w:pStyle w:val="4AEDED979F694AC79ED9C94E8A5D49E0"/>
            <w:rPr>
              <w:rFonts w:hint="eastAsia"/>
            </w:rPr>
          </w:pPr>
          <w:r>
            <w:rPr>
              <w:rStyle w:val="a3"/>
              <w:rFonts w:hint="eastAsia"/>
            </w:rPr>
            <w:t xml:space="preserve">　</w:t>
          </w:r>
        </w:p>
      </w:docPartBody>
    </w:docPart>
    <w:docPart>
      <w:docPartPr>
        <w:name w:val="DAF58BF483784A4A85A5CF558AB2F5EB"/>
        <w:category>
          <w:name w:val="常规"/>
          <w:gallery w:val="placeholder"/>
        </w:category>
        <w:types>
          <w:type w:val="bbPlcHdr"/>
        </w:types>
        <w:behaviors>
          <w:behavior w:val="content"/>
        </w:behaviors>
        <w:guid w:val="{FC1EF18E-54A1-41DC-AC1D-BA54E269AC3F}"/>
      </w:docPartPr>
      <w:docPartBody>
        <w:p w:rsidR="004B4AAB" w:rsidRDefault="00E161BA">
          <w:pPr>
            <w:pStyle w:val="DAF58BF483784A4A85A5CF558AB2F5EB"/>
            <w:rPr>
              <w:rFonts w:hint="eastAsia"/>
            </w:rPr>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 w:name="FZLTSK--GBK1-0">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方正超大字符集">
    <w:altName w:val="宋体"/>
    <w:charset w:val="86"/>
    <w:family w:val="script"/>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E7D"/>
    <w:rsid w:val="0001033E"/>
    <w:rsid w:val="00032FB5"/>
    <w:rsid w:val="00057509"/>
    <w:rsid w:val="00085010"/>
    <w:rsid w:val="000A1AD5"/>
    <w:rsid w:val="000A5319"/>
    <w:rsid w:val="000C3232"/>
    <w:rsid w:val="000E5AB8"/>
    <w:rsid w:val="000F07DC"/>
    <w:rsid w:val="00102D71"/>
    <w:rsid w:val="00110E7D"/>
    <w:rsid w:val="001157A3"/>
    <w:rsid w:val="0011732B"/>
    <w:rsid w:val="00145068"/>
    <w:rsid w:val="001547B2"/>
    <w:rsid w:val="00167536"/>
    <w:rsid w:val="00196A88"/>
    <w:rsid w:val="002500B4"/>
    <w:rsid w:val="002547B0"/>
    <w:rsid w:val="00271BB3"/>
    <w:rsid w:val="002844E1"/>
    <w:rsid w:val="00290270"/>
    <w:rsid w:val="00290D9A"/>
    <w:rsid w:val="002B2570"/>
    <w:rsid w:val="002D67A7"/>
    <w:rsid w:val="003352EE"/>
    <w:rsid w:val="00336A83"/>
    <w:rsid w:val="00350B90"/>
    <w:rsid w:val="0037167F"/>
    <w:rsid w:val="00381F11"/>
    <w:rsid w:val="003E0320"/>
    <w:rsid w:val="003E54E2"/>
    <w:rsid w:val="004468E3"/>
    <w:rsid w:val="00475448"/>
    <w:rsid w:val="004B4AAB"/>
    <w:rsid w:val="005344C9"/>
    <w:rsid w:val="0054186C"/>
    <w:rsid w:val="005820A8"/>
    <w:rsid w:val="005A15A0"/>
    <w:rsid w:val="005B1363"/>
    <w:rsid w:val="005C005D"/>
    <w:rsid w:val="005C0AEB"/>
    <w:rsid w:val="005D4124"/>
    <w:rsid w:val="005D446F"/>
    <w:rsid w:val="005E4A38"/>
    <w:rsid w:val="00624B21"/>
    <w:rsid w:val="006804AF"/>
    <w:rsid w:val="00685282"/>
    <w:rsid w:val="006A12B2"/>
    <w:rsid w:val="006B5AD9"/>
    <w:rsid w:val="006C42CA"/>
    <w:rsid w:val="006E0AC9"/>
    <w:rsid w:val="00782AAF"/>
    <w:rsid w:val="007D29E9"/>
    <w:rsid w:val="007E79F9"/>
    <w:rsid w:val="007F2F19"/>
    <w:rsid w:val="00802163"/>
    <w:rsid w:val="0080290D"/>
    <w:rsid w:val="0081114C"/>
    <w:rsid w:val="00856E84"/>
    <w:rsid w:val="008A2B37"/>
    <w:rsid w:val="008F4EAD"/>
    <w:rsid w:val="009219B8"/>
    <w:rsid w:val="009476C8"/>
    <w:rsid w:val="00970EB8"/>
    <w:rsid w:val="009871FD"/>
    <w:rsid w:val="009A2BC6"/>
    <w:rsid w:val="009B6A21"/>
    <w:rsid w:val="009C26C1"/>
    <w:rsid w:val="009E02C5"/>
    <w:rsid w:val="009F6845"/>
    <w:rsid w:val="00A003FA"/>
    <w:rsid w:val="00A15BB4"/>
    <w:rsid w:val="00A240DB"/>
    <w:rsid w:val="00A4418D"/>
    <w:rsid w:val="00A44ED8"/>
    <w:rsid w:val="00A51E8A"/>
    <w:rsid w:val="00A5759A"/>
    <w:rsid w:val="00A6486B"/>
    <w:rsid w:val="00A65BAB"/>
    <w:rsid w:val="00A701AE"/>
    <w:rsid w:val="00A8454A"/>
    <w:rsid w:val="00A86EAC"/>
    <w:rsid w:val="00A91DC6"/>
    <w:rsid w:val="00AB58D5"/>
    <w:rsid w:val="00AF5BD3"/>
    <w:rsid w:val="00B045C9"/>
    <w:rsid w:val="00B178E3"/>
    <w:rsid w:val="00B6577E"/>
    <w:rsid w:val="00B74A60"/>
    <w:rsid w:val="00B91152"/>
    <w:rsid w:val="00BB7395"/>
    <w:rsid w:val="00BC76DB"/>
    <w:rsid w:val="00BD5384"/>
    <w:rsid w:val="00BD66F6"/>
    <w:rsid w:val="00C20E68"/>
    <w:rsid w:val="00C42818"/>
    <w:rsid w:val="00C76885"/>
    <w:rsid w:val="00CC4723"/>
    <w:rsid w:val="00CF3F95"/>
    <w:rsid w:val="00D14134"/>
    <w:rsid w:val="00D613CE"/>
    <w:rsid w:val="00D80CB0"/>
    <w:rsid w:val="00DC2C8E"/>
    <w:rsid w:val="00DF3873"/>
    <w:rsid w:val="00E161BA"/>
    <w:rsid w:val="00E26DFE"/>
    <w:rsid w:val="00E84312"/>
    <w:rsid w:val="00EB4322"/>
    <w:rsid w:val="00FC1181"/>
    <w:rsid w:val="00FD412B"/>
    <w:rsid w:val="00FD52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Pr>
      <w:color w:val="808080"/>
    </w:rPr>
  </w:style>
  <w:style w:type="paragraph" w:customStyle="1" w:styleId="548F5ECBD39747B19301E3A7FFE96342">
    <w:name w:val="548F5ECBD39747B19301E3A7FFE96342"/>
    <w:qFormat/>
    <w:pPr>
      <w:widowControl w:val="0"/>
      <w:spacing w:after="160" w:line="278" w:lineRule="auto"/>
    </w:pPr>
    <w:rPr>
      <w:kern w:val="2"/>
      <w:sz w:val="22"/>
      <w:szCs w:val="24"/>
      <w14:ligatures w14:val="standardContextual"/>
    </w:rPr>
  </w:style>
  <w:style w:type="paragraph" w:customStyle="1" w:styleId="244B0A290A71452EA3771DBC836B7EB6">
    <w:name w:val="244B0A290A71452EA3771DBC836B7EB6"/>
    <w:qFormat/>
    <w:pPr>
      <w:widowControl w:val="0"/>
      <w:spacing w:after="160" w:line="278" w:lineRule="auto"/>
    </w:pPr>
    <w:rPr>
      <w:kern w:val="2"/>
      <w:sz w:val="22"/>
      <w:szCs w:val="24"/>
      <w14:ligatures w14:val="standardContextual"/>
    </w:rPr>
  </w:style>
  <w:style w:type="paragraph" w:customStyle="1" w:styleId="0CBD0CC511664A699F621C8A58A5F7C6">
    <w:name w:val="0CBD0CC511664A699F621C8A58A5F7C6"/>
    <w:qFormat/>
    <w:pPr>
      <w:widowControl w:val="0"/>
      <w:spacing w:after="160" w:line="278" w:lineRule="auto"/>
    </w:pPr>
    <w:rPr>
      <w:kern w:val="2"/>
      <w:sz w:val="22"/>
      <w:szCs w:val="24"/>
      <w14:ligatures w14:val="standardContextual"/>
    </w:rPr>
  </w:style>
  <w:style w:type="paragraph" w:customStyle="1" w:styleId="EFD3FF3855CE4AFD8CD1EB64DC1EC186">
    <w:name w:val="EFD3FF3855CE4AFD8CD1EB64DC1EC186"/>
    <w:qFormat/>
    <w:pPr>
      <w:widowControl w:val="0"/>
      <w:spacing w:after="160" w:line="278" w:lineRule="auto"/>
    </w:pPr>
    <w:rPr>
      <w:kern w:val="2"/>
      <w:sz w:val="22"/>
      <w:szCs w:val="24"/>
      <w14:ligatures w14:val="standardContextual"/>
    </w:rPr>
  </w:style>
  <w:style w:type="paragraph" w:customStyle="1" w:styleId="0C1341619DB54005AEB92113A8BF4EF0">
    <w:name w:val="0C1341619DB54005AEB92113A8BF4EF0"/>
    <w:qFormat/>
    <w:pPr>
      <w:widowControl w:val="0"/>
      <w:spacing w:after="160" w:line="278" w:lineRule="auto"/>
    </w:pPr>
    <w:rPr>
      <w:kern w:val="2"/>
      <w:sz w:val="22"/>
      <w:szCs w:val="24"/>
      <w14:ligatures w14:val="standardContextual"/>
    </w:rPr>
  </w:style>
  <w:style w:type="paragraph" w:customStyle="1" w:styleId="5A2424315BFC4BB087B05781533C9AFA">
    <w:name w:val="5A2424315BFC4BB087B05781533C9AFA"/>
    <w:qFormat/>
    <w:pPr>
      <w:widowControl w:val="0"/>
      <w:spacing w:after="160" w:line="278" w:lineRule="auto"/>
    </w:pPr>
    <w:rPr>
      <w:kern w:val="2"/>
      <w:sz w:val="22"/>
      <w:szCs w:val="24"/>
      <w14:ligatures w14:val="standardContextual"/>
    </w:rPr>
  </w:style>
  <w:style w:type="paragraph" w:customStyle="1" w:styleId="642D562FB03F4CD6A8CD26CB10AADAB1">
    <w:name w:val="642D562FB03F4CD6A8CD26CB10AADAB1"/>
    <w:qFormat/>
    <w:pPr>
      <w:widowControl w:val="0"/>
      <w:spacing w:after="160" w:line="278" w:lineRule="auto"/>
    </w:pPr>
    <w:rPr>
      <w:kern w:val="2"/>
      <w:sz w:val="22"/>
      <w:szCs w:val="24"/>
      <w14:ligatures w14:val="standardContextual"/>
    </w:rPr>
  </w:style>
  <w:style w:type="paragraph" w:customStyle="1" w:styleId="2F682037E6A44CD49816583541589802">
    <w:name w:val="2F682037E6A44CD49816583541589802"/>
    <w:qFormat/>
    <w:pPr>
      <w:widowControl w:val="0"/>
      <w:spacing w:after="160" w:line="278" w:lineRule="auto"/>
    </w:pPr>
    <w:rPr>
      <w:kern w:val="2"/>
      <w:sz w:val="22"/>
      <w:szCs w:val="24"/>
      <w14:ligatures w14:val="standardContextual"/>
    </w:rPr>
  </w:style>
  <w:style w:type="paragraph" w:customStyle="1" w:styleId="45B0E0D0695D45168D60C28CDC58513E">
    <w:name w:val="45B0E0D0695D45168D60C28CDC58513E"/>
    <w:qFormat/>
    <w:pPr>
      <w:widowControl w:val="0"/>
      <w:spacing w:after="160" w:line="278" w:lineRule="auto"/>
    </w:pPr>
    <w:rPr>
      <w:kern w:val="2"/>
      <w:sz w:val="22"/>
      <w:szCs w:val="24"/>
      <w14:ligatures w14:val="standardContextual"/>
    </w:rPr>
  </w:style>
  <w:style w:type="paragraph" w:customStyle="1" w:styleId="5B8FDBA2C30D42199DE2454558356AE3">
    <w:name w:val="5B8FDBA2C30D42199DE2454558356AE3"/>
    <w:qFormat/>
    <w:pPr>
      <w:widowControl w:val="0"/>
      <w:spacing w:after="160" w:line="278" w:lineRule="auto"/>
    </w:pPr>
    <w:rPr>
      <w:kern w:val="2"/>
      <w:sz w:val="22"/>
      <w:szCs w:val="24"/>
      <w14:ligatures w14:val="standardContextual"/>
    </w:rPr>
  </w:style>
  <w:style w:type="paragraph" w:customStyle="1" w:styleId="7B32CDAC4BF6464E8721DB706F8EBA22">
    <w:name w:val="7B32CDAC4BF6464E8721DB706F8EBA22"/>
    <w:qFormat/>
    <w:pPr>
      <w:widowControl w:val="0"/>
      <w:spacing w:after="160" w:line="278" w:lineRule="auto"/>
    </w:pPr>
    <w:rPr>
      <w:kern w:val="2"/>
      <w:sz w:val="22"/>
      <w:szCs w:val="24"/>
      <w14:ligatures w14:val="standardContextual"/>
    </w:rPr>
  </w:style>
  <w:style w:type="paragraph" w:customStyle="1" w:styleId="C6FAA4F5C80D4628A5B3047BA0455536">
    <w:name w:val="C6FAA4F5C80D4628A5B3047BA0455536"/>
    <w:qFormat/>
    <w:pPr>
      <w:widowControl w:val="0"/>
      <w:spacing w:after="160" w:line="278" w:lineRule="auto"/>
    </w:pPr>
    <w:rPr>
      <w:kern w:val="2"/>
      <w:sz w:val="22"/>
      <w:szCs w:val="24"/>
      <w14:ligatures w14:val="standardContextual"/>
    </w:rPr>
  </w:style>
  <w:style w:type="paragraph" w:customStyle="1" w:styleId="863F44C036ED4A588EB10AB40F27C028">
    <w:name w:val="863F44C036ED4A588EB10AB40F27C028"/>
    <w:qFormat/>
    <w:pPr>
      <w:widowControl w:val="0"/>
      <w:spacing w:after="160" w:line="278" w:lineRule="auto"/>
    </w:pPr>
    <w:rPr>
      <w:kern w:val="2"/>
      <w:sz w:val="22"/>
      <w:szCs w:val="24"/>
      <w14:ligatures w14:val="standardContextual"/>
    </w:rPr>
  </w:style>
  <w:style w:type="paragraph" w:customStyle="1" w:styleId="5E7BFF82C76040AD9A3479A38CD62A5C">
    <w:name w:val="5E7BFF82C76040AD9A3479A38CD62A5C"/>
    <w:qFormat/>
    <w:pPr>
      <w:widowControl w:val="0"/>
      <w:spacing w:after="160" w:line="278" w:lineRule="auto"/>
    </w:pPr>
    <w:rPr>
      <w:kern w:val="2"/>
      <w:sz w:val="22"/>
      <w:szCs w:val="24"/>
      <w14:ligatures w14:val="standardContextual"/>
    </w:rPr>
  </w:style>
  <w:style w:type="paragraph" w:customStyle="1" w:styleId="5211D6F885A1441A8FB6AC35779D46DC">
    <w:name w:val="5211D6F885A1441A8FB6AC35779D46DC"/>
    <w:qFormat/>
    <w:pPr>
      <w:widowControl w:val="0"/>
      <w:spacing w:after="160" w:line="278" w:lineRule="auto"/>
    </w:pPr>
    <w:rPr>
      <w:kern w:val="2"/>
      <w:sz w:val="22"/>
      <w:szCs w:val="24"/>
      <w14:ligatures w14:val="standardContextual"/>
    </w:rPr>
  </w:style>
  <w:style w:type="paragraph" w:customStyle="1" w:styleId="A38E355CAB154820A243E0543B504CC0">
    <w:name w:val="A38E355CAB154820A243E0543B504CC0"/>
    <w:qFormat/>
    <w:pPr>
      <w:widowControl w:val="0"/>
      <w:spacing w:after="160" w:line="278" w:lineRule="auto"/>
    </w:pPr>
    <w:rPr>
      <w:kern w:val="2"/>
      <w:sz w:val="22"/>
      <w:szCs w:val="24"/>
      <w14:ligatures w14:val="standardContextual"/>
    </w:rPr>
  </w:style>
  <w:style w:type="paragraph" w:customStyle="1" w:styleId="E7A536745F8B488D99A1266A9F945A86">
    <w:name w:val="E7A536745F8B488D99A1266A9F945A86"/>
    <w:qFormat/>
    <w:pPr>
      <w:widowControl w:val="0"/>
      <w:spacing w:after="160" w:line="278" w:lineRule="auto"/>
    </w:pPr>
    <w:rPr>
      <w:kern w:val="2"/>
      <w:sz w:val="22"/>
      <w:szCs w:val="24"/>
      <w14:ligatures w14:val="standardContextual"/>
    </w:rPr>
  </w:style>
  <w:style w:type="paragraph" w:customStyle="1" w:styleId="AE7994D810CA47D0AD8390D8176D7B52">
    <w:name w:val="AE7994D810CA47D0AD8390D8176D7B52"/>
    <w:qFormat/>
    <w:pPr>
      <w:widowControl w:val="0"/>
      <w:spacing w:after="160" w:line="278" w:lineRule="auto"/>
    </w:pPr>
    <w:rPr>
      <w:kern w:val="2"/>
      <w:sz w:val="22"/>
      <w:szCs w:val="24"/>
      <w14:ligatures w14:val="standardContextual"/>
    </w:rPr>
  </w:style>
  <w:style w:type="paragraph" w:customStyle="1" w:styleId="EFC8D6548FF84CBD965294544361FEEC">
    <w:name w:val="EFC8D6548FF84CBD965294544361FEEC"/>
    <w:qFormat/>
    <w:pPr>
      <w:widowControl w:val="0"/>
      <w:jc w:val="both"/>
    </w:pPr>
    <w:rPr>
      <w:kern w:val="2"/>
      <w:sz w:val="21"/>
      <w:szCs w:val="22"/>
    </w:rPr>
  </w:style>
  <w:style w:type="paragraph" w:customStyle="1" w:styleId="204DBCAD0E474523AB9CFB5F139E6F43">
    <w:name w:val="204DBCAD0E474523AB9CFB5F139E6F43"/>
    <w:qFormat/>
    <w:pPr>
      <w:widowControl w:val="0"/>
      <w:jc w:val="both"/>
    </w:pPr>
    <w:rPr>
      <w:kern w:val="2"/>
      <w:sz w:val="21"/>
      <w:szCs w:val="22"/>
    </w:rPr>
  </w:style>
  <w:style w:type="paragraph" w:customStyle="1" w:styleId="30169DAF192B4B0AA1A69B2098A1161B">
    <w:name w:val="30169DAF192B4B0AA1A69B2098A1161B"/>
    <w:qFormat/>
    <w:pPr>
      <w:widowControl w:val="0"/>
      <w:jc w:val="both"/>
    </w:pPr>
    <w:rPr>
      <w:kern w:val="2"/>
      <w:sz w:val="21"/>
      <w:szCs w:val="22"/>
    </w:rPr>
  </w:style>
  <w:style w:type="paragraph" w:customStyle="1" w:styleId="9703E5596B42458BAF68D2A28A07CDB4">
    <w:name w:val="9703E5596B42458BAF68D2A28A07CDB4"/>
    <w:qFormat/>
    <w:pPr>
      <w:widowControl w:val="0"/>
      <w:spacing w:after="160" w:line="278" w:lineRule="auto"/>
    </w:pPr>
    <w:rPr>
      <w:kern w:val="2"/>
      <w:sz w:val="22"/>
      <w:szCs w:val="24"/>
      <w14:ligatures w14:val="standardContextual"/>
    </w:rPr>
  </w:style>
  <w:style w:type="paragraph" w:customStyle="1" w:styleId="BD9FFEA4FCF24E77B3FF14A5DD094620">
    <w:name w:val="BD9FFEA4FCF24E77B3FF14A5DD094620"/>
    <w:qFormat/>
    <w:pPr>
      <w:widowControl w:val="0"/>
      <w:spacing w:after="160" w:line="278" w:lineRule="auto"/>
    </w:pPr>
    <w:rPr>
      <w:kern w:val="2"/>
      <w:sz w:val="22"/>
      <w:szCs w:val="24"/>
      <w14:ligatures w14:val="standardContextual"/>
    </w:rPr>
  </w:style>
  <w:style w:type="paragraph" w:customStyle="1" w:styleId="B83B2C52CBF04AC28F6521F8CB6FBA9A">
    <w:name w:val="B83B2C52CBF04AC28F6521F8CB6FBA9A"/>
    <w:qFormat/>
    <w:pPr>
      <w:widowControl w:val="0"/>
      <w:spacing w:after="160" w:line="278" w:lineRule="auto"/>
    </w:pPr>
    <w:rPr>
      <w:kern w:val="2"/>
      <w:sz w:val="22"/>
      <w:szCs w:val="24"/>
      <w14:ligatures w14:val="standardContextual"/>
    </w:rPr>
  </w:style>
  <w:style w:type="paragraph" w:customStyle="1" w:styleId="A979E7487BA94B85BA9CD0828B38026B">
    <w:name w:val="A979E7487BA94B85BA9CD0828B38026B"/>
    <w:qFormat/>
    <w:pPr>
      <w:widowControl w:val="0"/>
      <w:spacing w:after="160" w:line="278" w:lineRule="auto"/>
    </w:pPr>
    <w:rPr>
      <w:kern w:val="2"/>
      <w:sz w:val="22"/>
      <w:szCs w:val="24"/>
      <w14:ligatures w14:val="standardContextual"/>
    </w:rPr>
  </w:style>
  <w:style w:type="paragraph" w:customStyle="1" w:styleId="584BF12ACEB04817B7121C804A66F244">
    <w:name w:val="584BF12ACEB04817B7121C804A66F244"/>
    <w:qFormat/>
    <w:pPr>
      <w:widowControl w:val="0"/>
      <w:spacing w:after="160" w:line="278" w:lineRule="auto"/>
    </w:pPr>
    <w:rPr>
      <w:kern w:val="2"/>
      <w:sz w:val="22"/>
      <w:szCs w:val="24"/>
      <w14:ligatures w14:val="standardContextual"/>
    </w:rPr>
  </w:style>
  <w:style w:type="paragraph" w:customStyle="1" w:styleId="388412BEEC66412D852A0AE7E03CD90E">
    <w:name w:val="388412BEEC66412D852A0AE7E03CD90E"/>
    <w:qFormat/>
    <w:pPr>
      <w:widowControl w:val="0"/>
      <w:spacing w:after="160" w:line="278" w:lineRule="auto"/>
    </w:pPr>
    <w:rPr>
      <w:kern w:val="2"/>
      <w:sz w:val="22"/>
      <w:szCs w:val="24"/>
      <w14:ligatures w14:val="standardContextual"/>
    </w:rPr>
  </w:style>
  <w:style w:type="paragraph" w:customStyle="1" w:styleId="7DCBB4C67B014385A68993E078972DF7">
    <w:name w:val="7DCBB4C67B014385A68993E078972DF7"/>
    <w:qFormat/>
    <w:pPr>
      <w:widowControl w:val="0"/>
      <w:spacing w:after="160" w:line="278" w:lineRule="auto"/>
    </w:pPr>
    <w:rPr>
      <w:kern w:val="2"/>
      <w:sz w:val="22"/>
      <w:szCs w:val="24"/>
      <w14:ligatures w14:val="standardContextual"/>
    </w:rPr>
  </w:style>
  <w:style w:type="paragraph" w:customStyle="1" w:styleId="41AF7DC95F9E40F2AE05261A4D11E117">
    <w:name w:val="41AF7DC95F9E40F2AE05261A4D11E117"/>
    <w:qFormat/>
    <w:pPr>
      <w:widowControl w:val="0"/>
      <w:spacing w:after="160" w:line="278" w:lineRule="auto"/>
    </w:pPr>
    <w:rPr>
      <w:kern w:val="2"/>
      <w:sz w:val="22"/>
      <w:szCs w:val="24"/>
      <w14:ligatures w14:val="standardContextual"/>
    </w:rPr>
  </w:style>
  <w:style w:type="paragraph" w:customStyle="1" w:styleId="6FFB0B94D59548338A234836415BE0B1">
    <w:name w:val="6FFB0B94D59548338A234836415BE0B1"/>
    <w:qFormat/>
    <w:pPr>
      <w:widowControl w:val="0"/>
      <w:spacing w:after="160" w:line="278" w:lineRule="auto"/>
    </w:pPr>
    <w:rPr>
      <w:kern w:val="2"/>
      <w:sz w:val="22"/>
      <w:szCs w:val="24"/>
      <w14:ligatures w14:val="standardContextual"/>
    </w:rPr>
  </w:style>
  <w:style w:type="paragraph" w:customStyle="1" w:styleId="BC5A90B464B04AC6BF5956E62A0BA5AF">
    <w:name w:val="BC5A90B464B04AC6BF5956E62A0BA5AF"/>
    <w:qFormat/>
    <w:pPr>
      <w:widowControl w:val="0"/>
      <w:spacing w:after="160" w:line="278" w:lineRule="auto"/>
    </w:pPr>
    <w:rPr>
      <w:kern w:val="2"/>
      <w:sz w:val="22"/>
      <w:szCs w:val="24"/>
      <w14:ligatures w14:val="standardContextual"/>
    </w:rPr>
  </w:style>
  <w:style w:type="paragraph" w:customStyle="1" w:styleId="0C9F66E4CD154DCFBA25B82493D93D1B">
    <w:name w:val="0C9F66E4CD154DCFBA25B82493D93D1B"/>
    <w:qFormat/>
    <w:pPr>
      <w:widowControl w:val="0"/>
      <w:spacing w:after="160" w:line="278" w:lineRule="auto"/>
    </w:pPr>
    <w:rPr>
      <w:kern w:val="2"/>
      <w:sz w:val="22"/>
      <w:szCs w:val="24"/>
      <w14:ligatures w14:val="standardContextual"/>
    </w:rPr>
  </w:style>
  <w:style w:type="paragraph" w:customStyle="1" w:styleId="01E87E9DB41E40449B2D164389BEC2E5">
    <w:name w:val="01E87E9DB41E40449B2D164389BEC2E5"/>
    <w:qFormat/>
    <w:pPr>
      <w:widowControl w:val="0"/>
      <w:spacing w:after="160" w:line="278" w:lineRule="auto"/>
    </w:pPr>
    <w:rPr>
      <w:kern w:val="2"/>
      <w:sz w:val="22"/>
      <w:szCs w:val="24"/>
      <w14:ligatures w14:val="standardContextual"/>
    </w:rPr>
  </w:style>
  <w:style w:type="paragraph" w:customStyle="1" w:styleId="B742A8059E234EF5B634AD61F0382649">
    <w:name w:val="B742A8059E234EF5B634AD61F0382649"/>
    <w:qFormat/>
    <w:pPr>
      <w:widowControl w:val="0"/>
      <w:spacing w:after="160" w:line="278" w:lineRule="auto"/>
    </w:pPr>
    <w:rPr>
      <w:kern w:val="2"/>
      <w:sz w:val="22"/>
      <w:szCs w:val="24"/>
      <w14:ligatures w14:val="standardContextual"/>
    </w:rPr>
  </w:style>
  <w:style w:type="paragraph" w:customStyle="1" w:styleId="14C7B0951BCB43ACA042A56543875F5E">
    <w:name w:val="14C7B0951BCB43ACA042A56543875F5E"/>
    <w:qFormat/>
    <w:pPr>
      <w:widowControl w:val="0"/>
      <w:spacing w:after="160" w:line="278" w:lineRule="auto"/>
    </w:pPr>
    <w:rPr>
      <w:kern w:val="2"/>
      <w:sz w:val="22"/>
      <w:szCs w:val="24"/>
      <w14:ligatures w14:val="standardContextual"/>
    </w:rPr>
  </w:style>
  <w:style w:type="paragraph" w:customStyle="1" w:styleId="DE6386780E124C1D91DE82529DB869BE">
    <w:name w:val="DE6386780E124C1D91DE82529DB869BE"/>
    <w:qFormat/>
    <w:pPr>
      <w:widowControl w:val="0"/>
      <w:spacing w:after="160" w:line="278" w:lineRule="auto"/>
    </w:pPr>
    <w:rPr>
      <w:kern w:val="2"/>
      <w:sz w:val="22"/>
      <w:szCs w:val="24"/>
      <w14:ligatures w14:val="standardContextual"/>
    </w:rPr>
  </w:style>
  <w:style w:type="paragraph" w:customStyle="1" w:styleId="C322F588EFDC49D99A03699F43A1551F">
    <w:name w:val="C322F588EFDC49D99A03699F43A1551F"/>
    <w:qFormat/>
    <w:pPr>
      <w:widowControl w:val="0"/>
      <w:spacing w:after="160" w:line="278" w:lineRule="auto"/>
    </w:pPr>
    <w:rPr>
      <w:kern w:val="2"/>
      <w:sz w:val="22"/>
      <w:szCs w:val="24"/>
      <w14:ligatures w14:val="standardContextual"/>
    </w:rPr>
  </w:style>
  <w:style w:type="paragraph" w:customStyle="1" w:styleId="7A5CAA1EF7D54281BF27BA030AFEA60F">
    <w:name w:val="7A5CAA1EF7D54281BF27BA030AFEA60F"/>
    <w:qFormat/>
    <w:pPr>
      <w:widowControl w:val="0"/>
      <w:spacing w:after="160" w:line="278" w:lineRule="auto"/>
    </w:pPr>
    <w:rPr>
      <w:kern w:val="2"/>
      <w:sz w:val="22"/>
      <w:szCs w:val="24"/>
      <w14:ligatures w14:val="standardContextual"/>
    </w:rPr>
  </w:style>
  <w:style w:type="paragraph" w:customStyle="1" w:styleId="0B937984888C4E55BA52B015D34C4CD8">
    <w:name w:val="0B937984888C4E55BA52B015D34C4CD8"/>
    <w:qFormat/>
    <w:pPr>
      <w:widowControl w:val="0"/>
      <w:spacing w:after="160" w:line="278" w:lineRule="auto"/>
    </w:pPr>
    <w:rPr>
      <w:kern w:val="2"/>
      <w:sz w:val="22"/>
      <w:szCs w:val="24"/>
      <w14:ligatures w14:val="standardContextual"/>
    </w:rPr>
  </w:style>
  <w:style w:type="paragraph" w:customStyle="1" w:styleId="4AEDED979F694AC79ED9C94E8A5D49E0">
    <w:name w:val="4AEDED979F694AC79ED9C94E8A5D49E0"/>
    <w:qFormat/>
    <w:pPr>
      <w:widowControl w:val="0"/>
      <w:spacing w:after="160" w:line="278" w:lineRule="auto"/>
    </w:pPr>
    <w:rPr>
      <w:kern w:val="2"/>
      <w:sz w:val="22"/>
      <w:szCs w:val="24"/>
      <w14:ligatures w14:val="standardContextual"/>
    </w:rPr>
  </w:style>
  <w:style w:type="paragraph" w:customStyle="1" w:styleId="DAF58BF483784A4A85A5CF558AB2F5EB">
    <w:name w:val="DAF58BF483784A4A85A5CF558AB2F5EB"/>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m4><![CDATA[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]]></m:sm4>
</m:mapping>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重庆望变电气（集团）股份有限公司</clcid-cgi:GongSiFaDingZhongWenMingCheng>
  <clcid-mr:GongSiFuZeRenXingMing xmlns:clcid-mr="clcid-mr">杨泽民</clcid-mr:GongSiFuZeRenXingMing>
  <clcid-mr:ZhuGuanKuaiJiGongZuoFuZeRenXingMing xmlns:clcid-mr="clcid-mr">杨万华</clcid-mr:ZhuGuanKuaiJiGongZuoFuZeRenXingMing>
  <clcid-mr:KuaiJiJiGouFuZeRenXingMing xmlns:clcid-mr="clcid-mr">冯波</clcid-mr:KuaiJiJiGouFuZeRenXingMing>
  <clcid-cgi:GongSiFaDingDaiBiaoRen xmlns:clcid-cgi="clcid-cgi"/>
  <clcid-ci-ar:DanWeiKouChuFeiJingChangXingSunYiXiangMuHeJinE xmlns:clcid-ci-ar="clcid-ci-ar">万元 </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clcid-ci-ar:DanWeiCaiWuFuZhuYingFuPiaoJu>元 </clcid-ci-ar:DanWeiCaiWuFuZhuYingFuPiaoJu>
  <bond:GongSiFaDingZhongWenMingCheng/>
  <clcid-pte:YinQuXiaoXiuGaiGuQuanJiLiJiHuaYiCiXingQueRenDeGuFenZhiFuFeiYong/>
  <clcid-pte:DuiYuXianJinJieSuanDeGuFenZhiFuZaiKeXingQuanRiZhiHouYingFuZhiGongXinChouDeGongYunJiaZhiBianDongChanShengDeSunYi/>
  <bond:DanWeiFeiJingYingXingWangLaiZhanKuanHeZiJinChaiJie>亿元</bond:DanWeiFeiJingYingXingWangLaiZhanKuanHeZiJinChaiJie>
  <bond:BiZhongFeiJingYingXingWangLaiZhanKuanHeZiJinChaiJie>人民币</bond:BiZhongFeiJingYingXingWangLaiZhanKuanHeZiJinChaiJie>
  <bond:DanWeiMuGongSiYouXiZhaiWu>亿元</bond:DanWeiMuGongSiYouXiZhaiWu>
  <bond:DanWeiYouXiZhaiWu>亿元</bond:DanWeiYouXiZhaiWu>
  <bond:DanWeiFaXingRenJingWaiShiChangFaXingZhaiQuan>亿元</bond:DanWeiFaXingRenJingWaiShiChangFaXingZhaiQuan>
  <bond:JingWaiZhaiQuan/>
  <bond:BiZhongFaXingRenJingWaiShiChangFaXingZhaiQuan>人民币</bond:BiZhongFaXingRenJingWaiShiChangFaXingZhaiQuan>
  <bond:DanWeiMuGongSiZhaiWuJieGouQingKuang>亿元</bond:DanWeiMuGongSiZhaiWuJieGouQingKuang>
  <bond:DanWeiZhaiWuJieGouQingKuang>亿元</bond:DanWeiZhaiWuJieGouQingKuang>
</b:binding>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template xmlns:t="http://mapping.word.org/2012/template">
  <t:sse><![CDATA[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]]></t:sse>
</t:template>
</file>

<file path=customXml/itemProps1.xml><?xml version="1.0" encoding="utf-8"?>
<ds:datastoreItem xmlns:ds="http://schemas.openxmlformats.org/officeDocument/2006/customXml" ds:itemID="{03FE6F3F-44A8-4A50-AF8D-3A13021C524B}">
  <ds:schemaRefs>
    <ds:schemaRef ds:uri="http://mapping.word.org/2012/mapping"/>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4.xml><?xml version="1.0" encoding="utf-8"?>
<ds:datastoreItem xmlns:ds="http://schemas.openxmlformats.org/officeDocument/2006/customXml" ds:itemID="{64E3A5AF-2BAD-4E19-A39F-90F6E1C7F07D}">
  <ds:schemaRefs>
    <ds:schemaRef ds:uri="http://schemas.openxmlformats.org/officeDocument/2006/bibliography"/>
  </ds:schemaRefs>
</ds:datastoreItem>
</file>

<file path=customXml/itemProps5.xml><?xml version="1.0" encoding="utf-8"?>
<ds:datastoreItem xmlns:ds="http://schemas.openxmlformats.org/officeDocument/2006/customXml" ds:itemID="{05A57265-6B8B-426F-A762-9249C14BCDB8}">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65</TotalTime>
  <Pages>226</Pages>
  <Words>115170</Words>
  <Characters>147419</Characters>
  <Application>Microsoft Office Word</Application>
  <DocSecurity>0</DocSecurity>
  <Lines>14741</Lines>
  <Paragraphs>15446</Paragraphs>
  <ScaleCrop>false</ScaleCrop>
  <Company/>
  <LinksUpToDate>false</LinksUpToDate>
  <CharactersWithSpaces>247143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重庆望变电气（集团）股份有限公司2025年年度报告</dc:title>
  <dc:creator>W</dc:creator>
  <cp:lastModifiedBy>BJB-ZB-009</cp:lastModifiedBy>
  <cp:revision>22</cp:revision>
  <cp:lastPrinted>2026-04-03T05:14:00Z</cp:lastPrinted>
  <dcterms:created xsi:type="dcterms:W3CDTF">2026-04-03T01:29:00Z</dcterms:created>
  <dcterms:modified xsi:type="dcterms:W3CDTF">2026-04-03T08:41:00Z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eyJoZGlkIjoiOTY3YTMyZTFkMWRlZjQyZmE3ODQyOTU0YjFjZTJlMDAiLCJ1c2VySWQiOiIyMDIxNzEzODAifQ==</vt:lpwstr>
  </property>
  <property fmtid="{D5CDD505-2E9C-101B-9397-08002B2CF9AE}" pid="3" name="KSOProductBuildVer">
    <vt:lpwstr>2052-11.1.0.12165</vt:lpwstr>
  </property>
  <property fmtid="{D5CDD505-2E9C-101B-9397-08002B2CF9AE}" pid="4" name="ICV">
    <vt:lpwstr>954472C67E3840CD829038E90913601C</vt:lpwstr>
  </property>
</Properties>
</file>